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after="69"/>
        <w:ind w:left="6759" w:right="0" w:firstLine="0"/>
        <w:jc w:val="left"/>
        <w:rPr>
          <w:sz w:val="18"/>
        </w:rPr>
      </w:pPr>
      <w:r>
        <w:rPr>
          <w:sz w:val="18"/>
        </w:rPr>
        <w:t>工银安盛人寿〔</w:t>
      </w:r>
      <w:r>
        <w:rPr>
          <w:rFonts w:ascii="Arial" w:eastAsia="Arial"/>
          <w:sz w:val="18"/>
        </w:rPr>
        <w:t>2017</w:t>
      </w:r>
      <w:r>
        <w:rPr>
          <w:sz w:val="18"/>
        </w:rPr>
        <w:t>〕疾病保险 </w:t>
      </w:r>
      <w:r>
        <w:rPr>
          <w:rFonts w:ascii="Arial" w:eastAsia="Arial"/>
          <w:sz w:val="18"/>
        </w:rPr>
        <w:t>007 </w:t>
      </w:r>
      <w:r>
        <w:rPr>
          <w:sz w:val="18"/>
        </w:rPr>
        <w:t>号</w:t>
      </w:r>
    </w:p>
    <w:p>
      <w:pPr>
        <w:pStyle w:val="BodyText"/>
        <w:ind w:left="875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00" w:h="16840"/>
          <w:pgMar w:top="1040" w:bottom="280" w:left="880" w:right="880"/>
        </w:sectPr>
      </w:pPr>
    </w:p>
    <w:p>
      <w:pPr>
        <w:spacing w:before="239"/>
        <w:ind w:left="0" w:right="0" w:firstLine="0"/>
        <w:jc w:val="right"/>
        <w:rPr>
          <w:rFonts w:ascii="微软雅黑" w:eastAsia="微软雅黑" w:hint="eastAsia"/>
          <w:b/>
          <w:sz w:val="32"/>
        </w:rPr>
      </w:pPr>
      <w:r>
        <w:rPr>
          <w:rFonts w:ascii="微软雅黑" w:eastAsia="微软雅黑" w:hint="eastAsia"/>
          <w:b/>
          <w:sz w:val="32"/>
        </w:rPr>
        <w:t>阅  读  指 引</w:t>
      </w:r>
    </w:p>
    <w:p>
      <w:pPr>
        <w:spacing w:before="25"/>
        <w:ind w:left="2098" w:right="0" w:firstLine="0"/>
        <w:jc w:val="left"/>
        <w:rPr>
          <w:sz w:val="18"/>
        </w:rPr>
      </w:pPr>
      <w:r>
        <w:rPr/>
        <w:br w:type="column"/>
      </w:r>
      <w:r>
        <w:rPr>
          <w:w w:val="95"/>
          <w:sz w:val="18"/>
        </w:rPr>
        <w:t>请扫描以查询验证条款</w:t>
      </w:r>
    </w:p>
    <w:p>
      <w:pPr>
        <w:spacing w:after="0"/>
        <w:jc w:val="left"/>
        <w:rPr>
          <w:sz w:val="18"/>
        </w:rPr>
        <w:sectPr>
          <w:type w:val="continuous"/>
          <w:pgSz w:w="11900" w:h="16840"/>
          <w:pgMar w:top="1040" w:bottom="280" w:left="880" w:right="880"/>
          <w:cols w:num="2" w:equalWidth="0">
            <w:col w:w="5953" w:space="40"/>
            <w:col w:w="4147"/>
          </w:cols>
        </w:sectPr>
      </w:pPr>
    </w:p>
    <w:p>
      <w:pPr>
        <w:pStyle w:val="BodyText"/>
        <w:spacing w:before="110"/>
        <w:ind w:left="252"/>
      </w:pPr>
      <w:r>
        <w:rPr/>
        <w:drawing>
          <wp:anchor distT="0" distB="0" distL="0" distR="0" allowOverlap="1" layoutInCell="1" locked="0" behindDoc="1" simplePos="0" relativeHeight="268390679">
            <wp:simplePos x="0" y="0"/>
            <wp:positionH relativeFrom="page">
              <wp:posOffset>630929</wp:posOffset>
            </wp:positionH>
            <wp:positionV relativeFrom="paragraph">
              <wp:posOffset>376479</wp:posOffset>
            </wp:positionV>
            <wp:extent cx="6295650" cy="789584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95650" cy="7895847"/>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重</w:t>
      </w:r>
      <w:r>
        <w:rPr>
          <w:spacing w:val="-63"/>
          <w:w w:val="100"/>
          <w:position w:val="-7"/>
        </w:rPr>
        <w:t>．</w:t>
      </w:r>
      <w:r>
        <w:rPr>
          <w:spacing w:val="-149"/>
          <w:w w:val="100"/>
        </w:rPr>
        <w:t>点</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98"/>
          <w:w w:val="100"/>
        </w:rPr>
        <w:t>，具</w:t>
      </w:r>
      <w:r>
        <w:rPr>
          <w:spacing w:val="-63"/>
          <w:w w:val="100"/>
          <w:position w:val="-7"/>
        </w:rPr>
        <w:t>．</w:t>
      </w:r>
      <w:r>
        <w:rPr>
          <w:spacing w:val="-152"/>
          <w:w w:val="100"/>
        </w:rPr>
        <w:t>体</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详</w:t>
      </w:r>
      <w:r>
        <w:rPr>
          <w:spacing w:val="-63"/>
          <w:w w:val="100"/>
          <w:position w:val="-7"/>
        </w:rPr>
        <w:t>．</w:t>
      </w:r>
      <w:r>
        <w:rPr>
          <w:spacing w:val="-149"/>
          <w:w w:val="100"/>
        </w:rPr>
        <w:t>见</w:t>
      </w:r>
      <w:r>
        <w:rPr>
          <w:spacing w:val="-106"/>
          <w:w w:val="100"/>
          <w:position w:val="-7"/>
        </w:rPr>
        <w:t>．</w:t>
      </w:r>
      <w:r>
        <w:rPr>
          <w:spacing w:val="-130"/>
          <w:w w:val="100"/>
        </w:rPr>
        <w:t>“</w:t>
      </w:r>
      <w:r>
        <w:rPr>
          <w:spacing w:val="-84"/>
          <w:w w:val="100"/>
          <w:position w:val="-7"/>
        </w:rPr>
        <w:t>．</w:t>
      </w:r>
      <w:r>
        <w:rPr>
          <w:spacing w:val="-149"/>
          <w:w w:val="100"/>
        </w:rPr>
        <w:t>工</w:t>
      </w:r>
      <w:r>
        <w:rPr>
          <w:spacing w:val="-63"/>
          <w:w w:val="100"/>
          <w:position w:val="-7"/>
        </w:rPr>
        <w:t>．</w:t>
      </w:r>
      <w:r>
        <w:rPr>
          <w:spacing w:val="-152"/>
          <w:w w:val="100"/>
        </w:rPr>
        <w:t>银</w:t>
      </w:r>
      <w:r>
        <w:rPr>
          <w:spacing w:val="-63"/>
          <w:w w:val="100"/>
          <w:position w:val="-7"/>
        </w:rPr>
        <w:t>．</w:t>
      </w:r>
      <w:r>
        <w:rPr>
          <w:spacing w:val="-149"/>
          <w:w w:val="100"/>
        </w:rPr>
        <w:t>安</w:t>
      </w:r>
      <w:r>
        <w:rPr>
          <w:spacing w:val="-63"/>
          <w:w w:val="100"/>
          <w:position w:val="-7"/>
        </w:rPr>
        <w:t>．</w:t>
      </w:r>
      <w:r>
        <w:rPr>
          <w:spacing w:val="-152"/>
          <w:w w:val="100"/>
        </w:rPr>
        <w:t>盛</w:t>
      </w:r>
      <w:r>
        <w:rPr>
          <w:spacing w:val="-63"/>
          <w:w w:val="100"/>
          <w:position w:val="-7"/>
        </w:rPr>
        <w:t>．</w:t>
      </w:r>
      <w:r>
        <w:rPr>
          <w:spacing w:val="-149"/>
          <w:w w:val="100"/>
        </w:rPr>
        <w:t>人</w:t>
      </w:r>
      <w:r>
        <w:rPr>
          <w:spacing w:val="-63"/>
          <w:w w:val="100"/>
          <w:position w:val="-7"/>
        </w:rPr>
        <w:t>．</w:t>
      </w:r>
      <w:r>
        <w:rPr>
          <w:spacing w:val="-152"/>
          <w:w w:val="100"/>
        </w:rPr>
        <w:t>寿</w:t>
      </w:r>
      <w:r>
        <w:rPr>
          <w:spacing w:val="-63"/>
          <w:w w:val="100"/>
          <w:position w:val="-7"/>
        </w:rPr>
        <w:t>．</w:t>
      </w:r>
      <w:r>
        <w:rPr>
          <w:spacing w:val="-149"/>
          <w:w w:val="100"/>
        </w:rPr>
        <w:t>御</w:t>
      </w:r>
      <w:r>
        <w:rPr>
          <w:spacing w:val="-63"/>
          <w:w w:val="100"/>
          <w:position w:val="-7"/>
        </w:rPr>
        <w:t>．</w:t>
      </w:r>
      <w:r>
        <w:rPr>
          <w:spacing w:val="-152"/>
          <w:w w:val="100"/>
        </w:rPr>
        <w:t>享</w:t>
      </w:r>
      <w:r>
        <w:rPr>
          <w:spacing w:val="-63"/>
          <w:w w:val="100"/>
          <w:position w:val="-7"/>
        </w:rPr>
        <w:t>．</w:t>
      </w:r>
      <w:r>
        <w:rPr>
          <w:spacing w:val="-149"/>
          <w:w w:val="100"/>
        </w:rPr>
        <w:t>人</w:t>
      </w:r>
      <w:r>
        <w:rPr>
          <w:spacing w:val="-63"/>
          <w:w w:val="100"/>
          <w:position w:val="-7"/>
        </w:rPr>
        <w:t>．</w:t>
      </w:r>
      <w:r>
        <w:rPr>
          <w:spacing w:val="-149"/>
          <w:w w:val="100"/>
        </w:rPr>
        <w:t>生</w:t>
      </w:r>
      <w:r>
        <w:rPr>
          <w:spacing w:val="-63"/>
          <w:w w:val="100"/>
          <w:position w:val="-7"/>
        </w:rPr>
        <w:t>．</w:t>
      </w:r>
      <w:r>
        <w:rPr>
          <w:spacing w:val="-152"/>
          <w:w w:val="100"/>
        </w:rPr>
        <w:t>重</w:t>
      </w:r>
      <w:r>
        <w:rPr>
          <w:spacing w:val="-63"/>
          <w:w w:val="100"/>
          <w:position w:val="-7"/>
        </w:rPr>
        <w:t>．</w:t>
      </w:r>
      <w:r>
        <w:rPr>
          <w:spacing w:val="-149"/>
          <w:w w:val="100"/>
        </w:rPr>
        <w:t>大</w:t>
      </w:r>
      <w:r>
        <w:rPr>
          <w:spacing w:val="-63"/>
          <w:w w:val="100"/>
          <w:position w:val="-7"/>
        </w:rPr>
        <w:t>．</w:t>
      </w:r>
      <w:r>
        <w:rPr>
          <w:spacing w:val="-152"/>
          <w:w w:val="100"/>
        </w:rPr>
        <w:t>疾</w:t>
      </w:r>
      <w:r>
        <w:rPr>
          <w:spacing w:val="-63"/>
          <w:w w:val="100"/>
          <w:position w:val="-7"/>
        </w:rPr>
        <w:t>．</w:t>
      </w:r>
      <w:r>
        <w:rPr>
          <w:spacing w:val="-149"/>
          <w:w w:val="100"/>
        </w:rPr>
        <w:t>病</w:t>
      </w:r>
      <w:r>
        <w:rPr>
          <w:spacing w:val="-63"/>
          <w:w w:val="100"/>
          <w:position w:val="-7"/>
        </w:rPr>
        <w:t>．</w:t>
      </w:r>
      <w:r>
        <w:rPr>
          <w:spacing w:val="-152"/>
          <w:w w:val="100"/>
        </w:rPr>
        <w:t>保</w:t>
      </w:r>
      <w:r>
        <w:rPr>
          <w:spacing w:val="-63"/>
          <w:w w:val="100"/>
          <w:position w:val="-7"/>
        </w:rPr>
        <w:t>．</w:t>
      </w:r>
      <w:r>
        <w:rPr>
          <w:spacing w:val="-149"/>
          <w:w w:val="100"/>
        </w:rPr>
        <w:t>险</w:t>
      </w:r>
      <w:r>
        <w:rPr>
          <w:spacing w:val="-63"/>
          <w:w w:val="100"/>
          <w:position w:val="-7"/>
        </w:rPr>
        <w:t>．</w:t>
      </w:r>
      <w:r>
        <w:rPr>
          <w:spacing w:val="-173"/>
          <w:w w:val="100"/>
        </w:rPr>
        <w:t>”</w:t>
      </w:r>
      <w:r>
        <w:rPr>
          <w:spacing w:val="-84"/>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表</w:t>
      </w:r>
      <w:r>
        <w:rPr>
          <w:spacing w:val="-63"/>
          <w:w w:val="100"/>
          <w:position w:val="-7"/>
        </w:rPr>
        <w:t>．</w:t>
      </w:r>
      <w:r>
        <w:rPr>
          <w:spacing w:val="-152"/>
          <w:w w:val="100"/>
        </w:rPr>
        <w:t>述</w:t>
      </w:r>
      <w:r>
        <w:rPr>
          <w:spacing w:val="-63"/>
          <w:w w:val="100"/>
          <w:position w:val="-7"/>
        </w:rPr>
        <w:t>．</w:t>
      </w:r>
      <w:r>
        <w:rPr>
          <w:w w:val="100"/>
        </w:rPr>
        <w:t>。</w:t>
      </w:r>
    </w:p>
    <w:p>
      <w:pPr>
        <w:pStyle w:val="BodyText"/>
        <w:spacing w:before="4"/>
        <w:ind w:left="0"/>
        <w:rPr>
          <w:sz w:val="30"/>
        </w:rPr>
      </w:pPr>
    </w:p>
    <w:p>
      <w:pPr>
        <w:tabs>
          <w:tab w:pos="1133" w:val="left" w:leader="none"/>
        </w:tabs>
        <w:spacing w:before="0"/>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该条款包含保险责任条款、一般条款两部分内容，并且在正文结尾加注名词释义</w:t>
      </w:r>
    </w:p>
    <w:p>
      <w:pPr>
        <w:pStyle w:val="ListParagraph"/>
        <w:numPr>
          <w:ilvl w:val="0"/>
          <w:numId w:val="1"/>
        </w:numPr>
        <w:tabs>
          <w:tab w:pos="1460" w:val="left" w:leader="none"/>
        </w:tabs>
        <w:spacing w:line="313" w:lineRule="exact" w:before="32" w:after="0"/>
        <w:ind w:left="1459" w:right="0" w:hanging="338"/>
        <w:jc w:val="left"/>
        <w:rPr>
          <w:sz w:val="18"/>
        </w:rPr>
      </w:pPr>
      <w:r>
        <w:rPr>
          <w:rFonts w:ascii="Microsoft JhengHei" w:eastAsia="Microsoft JhengHei" w:hint="eastAsia"/>
          <w:b/>
          <w:w w:val="95"/>
          <w:sz w:val="18"/>
        </w:rPr>
        <w:t>保险责任条款</w:t>
      </w:r>
      <w:r>
        <w:rPr>
          <w:w w:val="95"/>
          <w:sz w:val="18"/>
        </w:rPr>
        <w:t>----向您介绍该合同的基本构成、该合同所提供的保险责任以及责任免除事项。</w:t>
      </w:r>
    </w:p>
    <w:p>
      <w:pPr>
        <w:pStyle w:val="ListParagraph"/>
        <w:numPr>
          <w:ilvl w:val="0"/>
          <w:numId w:val="1"/>
        </w:numPr>
        <w:tabs>
          <w:tab w:pos="1458" w:val="left" w:leader="none"/>
        </w:tabs>
        <w:spacing w:line="312" w:lineRule="exact" w:before="0" w:after="0"/>
        <w:ind w:left="1457" w:right="0" w:hanging="338"/>
        <w:jc w:val="left"/>
        <w:rPr>
          <w:sz w:val="18"/>
        </w:rPr>
      </w:pPr>
      <w:r>
        <w:rPr>
          <w:rFonts w:ascii="Microsoft JhengHei" w:eastAsia="Microsoft JhengHei" w:hint="eastAsia"/>
          <w:b/>
          <w:w w:val="95"/>
          <w:sz w:val="18"/>
        </w:rPr>
        <w:t>一般条款</w:t>
      </w:r>
      <w:r>
        <w:rPr>
          <w:spacing w:val="-1"/>
          <w:w w:val="95"/>
          <w:sz w:val="18"/>
        </w:rPr>
        <w:t>----向您介绍您对该合同所拥有的权益和义务，以及保单服务、理赔的具体要求。</w:t>
      </w:r>
    </w:p>
    <w:p>
      <w:pPr>
        <w:pStyle w:val="ListParagraph"/>
        <w:numPr>
          <w:ilvl w:val="0"/>
          <w:numId w:val="1"/>
        </w:numPr>
        <w:tabs>
          <w:tab w:pos="1458" w:val="left" w:leader="none"/>
        </w:tabs>
        <w:spacing w:line="313" w:lineRule="exact" w:before="0" w:after="0"/>
        <w:ind w:left="1457" w:right="0" w:hanging="338"/>
        <w:jc w:val="left"/>
        <w:rPr>
          <w:sz w:val="18"/>
        </w:rPr>
      </w:pPr>
      <w:r>
        <w:rPr>
          <w:rFonts w:ascii="Microsoft JhengHei" w:eastAsia="Microsoft JhengHei" w:hint="eastAsia"/>
          <w:b/>
          <w:w w:val="95"/>
          <w:sz w:val="18"/>
        </w:rPr>
        <w:t>名词释义</w:t>
      </w:r>
      <w:r>
        <w:rPr>
          <w:spacing w:val="-1"/>
          <w:w w:val="95"/>
          <w:sz w:val="18"/>
        </w:rPr>
        <w:t>----向您解释该合同条款中所提到的一些专用名词，便于您更好地理解该合同。</w:t>
      </w:r>
    </w:p>
    <w:p>
      <w:pPr>
        <w:tabs>
          <w:tab w:pos="1128" w:val="left" w:leader="none"/>
        </w:tabs>
        <w:spacing w:before="83"/>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为帮助您更好地了解该条款，我们先介绍几个保险条款中常用的术语</w:t>
      </w:r>
    </w:p>
    <w:p>
      <w:pPr>
        <w:pStyle w:val="ListParagraph"/>
        <w:numPr>
          <w:ilvl w:val="0"/>
          <w:numId w:val="1"/>
        </w:numPr>
        <w:tabs>
          <w:tab w:pos="1460" w:val="left" w:leader="none"/>
        </w:tabs>
        <w:spacing w:line="313" w:lineRule="exact" w:before="32" w:after="0"/>
        <w:ind w:left="1459" w:right="0" w:hanging="338"/>
        <w:jc w:val="left"/>
        <w:rPr>
          <w:sz w:val="18"/>
        </w:rPr>
      </w:pPr>
      <w:r>
        <w:rPr>
          <w:rFonts w:ascii="Microsoft JhengHei" w:eastAsia="Microsoft JhengHei" w:hint="eastAsia"/>
          <w:b/>
          <w:w w:val="95"/>
          <w:sz w:val="18"/>
        </w:rPr>
        <w:t>您</w:t>
      </w:r>
      <w:r>
        <w:rPr>
          <w:spacing w:val="-1"/>
          <w:w w:val="95"/>
          <w:sz w:val="18"/>
        </w:rPr>
        <w:t>----指保险合同中所载明的投保人。</w:t>
      </w:r>
    </w:p>
    <w:p>
      <w:pPr>
        <w:pStyle w:val="ListParagraph"/>
        <w:numPr>
          <w:ilvl w:val="0"/>
          <w:numId w:val="1"/>
        </w:numPr>
        <w:tabs>
          <w:tab w:pos="1458" w:val="left" w:leader="none"/>
        </w:tabs>
        <w:spacing w:line="312" w:lineRule="exact" w:before="0" w:after="0"/>
        <w:ind w:left="1457" w:right="0" w:hanging="338"/>
        <w:jc w:val="left"/>
        <w:rPr>
          <w:sz w:val="18"/>
        </w:rPr>
      </w:pPr>
      <w:r>
        <w:rPr>
          <w:rFonts w:ascii="Microsoft JhengHei" w:eastAsia="Microsoft JhengHei" w:hint="eastAsia"/>
          <w:b/>
          <w:sz w:val="18"/>
        </w:rPr>
        <w:t>我们</w:t>
      </w:r>
      <w:r>
        <w:rPr>
          <w:spacing w:val="-1"/>
          <w:sz w:val="18"/>
        </w:rPr>
        <w:t>----指工银安盛人寿保险有限公司。</w:t>
      </w:r>
    </w:p>
    <w:p>
      <w:pPr>
        <w:pStyle w:val="ListParagraph"/>
        <w:numPr>
          <w:ilvl w:val="0"/>
          <w:numId w:val="1"/>
        </w:numPr>
        <w:tabs>
          <w:tab w:pos="1458" w:val="left" w:leader="none"/>
        </w:tabs>
        <w:spacing w:line="312" w:lineRule="exact" w:before="0" w:after="0"/>
        <w:ind w:left="1457" w:right="0" w:hanging="338"/>
        <w:jc w:val="left"/>
        <w:rPr>
          <w:sz w:val="18"/>
        </w:rPr>
      </w:pPr>
      <w:r>
        <w:rPr>
          <w:rFonts w:ascii="Microsoft JhengHei" w:eastAsia="Microsoft JhengHei" w:hint="eastAsia"/>
          <w:b/>
          <w:sz w:val="18"/>
        </w:rPr>
        <w:t>被保险人</w:t>
      </w:r>
      <w:r>
        <w:rPr>
          <w:spacing w:val="-1"/>
          <w:sz w:val="18"/>
        </w:rPr>
        <w:t>----指受保险合同保障的人。</w:t>
      </w:r>
    </w:p>
    <w:p>
      <w:pPr>
        <w:pStyle w:val="ListParagraph"/>
        <w:numPr>
          <w:ilvl w:val="0"/>
          <w:numId w:val="1"/>
        </w:numPr>
        <w:tabs>
          <w:tab w:pos="1458" w:val="left" w:leader="none"/>
        </w:tabs>
        <w:spacing w:line="313" w:lineRule="exact" w:before="0" w:after="0"/>
        <w:ind w:left="1457" w:right="0" w:hanging="338"/>
        <w:jc w:val="left"/>
        <w:rPr>
          <w:sz w:val="18"/>
        </w:rPr>
      </w:pPr>
      <w:r>
        <w:rPr>
          <w:rFonts w:ascii="Microsoft JhengHei" w:eastAsia="Microsoft JhengHei" w:hint="eastAsia"/>
          <w:b/>
          <w:sz w:val="18"/>
        </w:rPr>
        <w:t>受益人</w:t>
      </w:r>
      <w:r>
        <w:rPr>
          <w:spacing w:val="-1"/>
          <w:sz w:val="18"/>
        </w:rPr>
        <w:t>----指发生保险事故后享有保险金请求权的人。</w:t>
      </w:r>
    </w:p>
    <w:p>
      <w:pPr>
        <w:tabs>
          <w:tab w:pos="1128" w:val="left" w:leader="none"/>
        </w:tabs>
        <w:spacing w:before="84"/>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您拥有的重要权益</w:t>
      </w:r>
    </w:p>
    <w:p>
      <w:pPr>
        <w:pStyle w:val="ListParagraph"/>
        <w:numPr>
          <w:ilvl w:val="0"/>
          <w:numId w:val="1"/>
        </w:numPr>
        <w:tabs>
          <w:tab w:pos="1463" w:val="left" w:leader="none"/>
          <w:tab w:pos="9654" w:val="right" w:leader="dot"/>
        </w:tabs>
        <w:spacing w:line="240" w:lineRule="auto" w:before="89" w:after="0"/>
        <w:ind w:left="1462" w:right="0" w:hanging="341"/>
        <w:jc w:val="left"/>
        <w:rPr>
          <w:sz w:val="18"/>
        </w:rPr>
      </w:pPr>
      <w:r>
        <w:rPr>
          <w:sz w:val="18"/>
        </w:rPr>
        <w:t>签收该合同后</w:t>
      </w:r>
      <w:r>
        <w:rPr>
          <w:spacing w:val="-48"/>
          <w:sz w:val="18"/>
        </w:rPr>
        <w:t> </w:t>
      </w:r>
      <w:r>
        <w:rPr>
          <w:sz w:val="18"/>
        </w:rPr>
        <w:t>15</w:t>
      </w:r>
      <w:r>
        <w:rPr>
          <w:spacing w:val="-47"/>
          <w:sz w:val="18"/>
        </w:rPr>
        <w:t> </w:t>
      </w:r>
      <w:r>
        <w:rPr>
          <w:sz w:val="18"/>
        </w:rPr>
        <w:t>日内您可以要求全额退还保险费</w:t>
        <w:tab/>
        <w:t>1.4</w:t>
      </w:r>
    </w:p>
    <w:p>
      <w:pPr>
        <w:pStyle w:val="ListParagraph"/>
        <w:numPr>
          <w:ilvl w:val="0"/>
          <w:numId w:val="1"/>
        </w:numPr>
        <w:tabs>
          <w:tab w:pos="1460" w:val="left" w:leader="none"/>
          <w:tab w:pos="9651" w:val="right" w:leader="dot"/>
        </w:tabs>
        <w:spacing w:line="240" w:lineRule="auto" w:before="75" w:after="0"/>
        <w:ind w:left="1459" w:right="0" w:hanging="340"/>
        <w:jc w:val="left"/>
        <w:rPr>
          <w:sz w:val="18"/>
        </w:rPr>
      </w:pPr>
      <w:r>
        <w:rPr>
          <w:sz w:val="18"/>
        </w:rPr>
        <w:t>被保险人可以</w:t>
      </w:r>
      <w:r>
        <w:rPr>
          <w:spacing w:val="-3"/>
          <w:sz w:val="18"/>
        </w:rPr>
        <w:t>享</w:t>
      </w:r>
      <w:r>
        <w:rPr>
          <w:sz w:val="18"/>
        </w:rPr>
        <w:t>受该合同提供的保障</w:t>
        <w:tab/>
        <w:t>1.7</w:t>
      </w:r>
    </w:p>
    <w:p>
      <w:pPr>
        <w:pStyle w:val="ListParagraph"/>
        <w:numPr>
          <w:ilvl w:val="0"/>
          <w:numId w:val="1"/>
        </w:numPr>
        <w:tabs>
          <w:tab w:pos="1460" w:val="left" w:leader="none"/>
          <w:tab w:pos="9651" w:val="right" w:leader="dot"/>
        </w:tabs>
        <w:spacing w:line="240" w:lineRule="auto" w:before="75" w:after="0"/>
        <w:ind w:left="1459" w:right="0" w:hanging="340"/>
        <w:jc w:val="left"/>
        <w:rPr>
          <w:sz w:val="18"/>
        </w:rPr>
      </w:pPr>
      <w:r>
        <w:rPr>
          <w:sz w:val="18"/>
        </w:rPr>
        <w:t>您有解除合同</w:t>
      </w:r>
      <w:r>
        <w:rPr>
          <w:spacing w:val="-3"/>
          <w:sz w:val="18"/>
        </w:rPr>
        <w:t>的</w:t>
      </w:r>
      <w:r>
        <w:rPr>
          <w:sz w:val="18"/>
        </w:rPr>
        <w:t>权利</w:t>
        <w:tab/>
        <w:t>2.5</w:t>
      </w:r>
    </w:p>
    <w:p>
      <w:pPr>
        <w:tabs>
          <w:tab w:pos="1128" w:val="left" w:leader="none"/>
        </w:tabs>
        <w:spacing w:before="103"/>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您应承担的主要义务</w:t>
      </w:r>
    </w:p>
    <w:p>
      <w:pPr>
        <w:pStyle w:val="ListParagraph"/>
        <w:numPr>
          <w:ilvl w:val="0"/>
          <w:numId w:val="1"/>
        </w:numPr>
        <w:tabs>
          <w:tab w:pos="1460" w:val="left" w:leader="none"/>
          <w:tab w:pos="9651" w:val="right" w:leader="dot"/>
        </w:tabs>
        <w:spacing w:line="240" w:lineRule="auto" w:before="89" w:after="0"/>
        <w:ind w:left="1459" w:right="0" w:hanging="340"/>
        <w:jc w:val="left"/>
        <w:rPr>
          <w:sz w:val="18"/>
        </w:rPr>
      </w:pPr>
      <w:r>
        <w:rPr>
          <w:sz w:val="18"/>
        </w:rPr>
        <w:t>您需要按期足</w:t>
      </w:r>
      <w:r>
        <w:rPr>
          <w:spacing w:val="-3"/>
          <w:sz w:val="18"/>
        </w:rPr>
        <w:t>额</w:t>
      </w:r>
      <w:r>
        <w:rPr>
          <w:sz w:val="18"/>
        </w:rPr>
        <w:t>交纳保险费</w:t>
        <w:tab/>
        <w:t>2.1</w:t>
      </w:r>
    </w:p>
    <w:p>
      <w:pPr>
        <w:pStyle w:val="ListParagraph"/>
        <w:numPr>
          <w:ilvl w:val="0"/>
          <w:numId w:val="1"/>
        </w:numPr>
        <w:tabs>
          <w:tab w:pos="1460" w:val="left" w:leader="none"/>
          <w:tab w:pos="9652" w:val="right" w:leader="dot"/>
        </w:tabs>
        <w:spacing w:line="240" w:lineRule="auto" w:before="76" w:after="0"/>
        <w:ind w:left="1459" w:right="0" w:hanging="340"/>
        <w:jc w:val="left"/>
        <w:rPr>
          <w:sz w:val="18"/>
        </w:rPr>
      </w:pPr>
      <w:r>
        <w:rPr>
          <w:sz w:val="18"/>
        </w:rPr>
        <w:t>发生保险事故</w:t>
      </w:r>
      <w:r>
        <w:rPr>
          <w:spacing w:val="-3"/>
          <w:sz w:val="18"/>
        </w:rPr>
        <w:t>时</w:t>
      </w:r>
      <w:r>
        <w:rPr>
          <w:sz w:val="18"/>
        </w:rPr>
        <w:t>您应及早通知我们</w:t>
        <w:tab/>
        <w:t>2.8</w:t>
      </w:r>
    </w:p>
    <w:p>
      <w:pPr>
        <w:pStyle w:val="ListParagraph"/>
        <w:numPr>
          <w:ilvl w:val="0"/>
          <w:numId w:val="1"/>
        </w:numPr>
        <w:tabs>
          <w:tab w:pos="1460" w:val="left" w:leader="none"/>
          <w:tab w:pos="9651" w:val="right" w:leader="dot"/>
        </w:tabs>
        <w:spacing w:line="240" w:lineRule="auto" w:before="76" w:after="0"/>
        <w:ind w:left="1460" w:right="0" w:hanging="341"/>
        <w:jc w:val="left"/>
        <w:rPr>
          <w:sz w:val="18"/>
        </w:rPr>
      </w:pPr>
      <w:r>
        <w:rPr>
          <w:sz w:val="18"/>
        </w:rPr>
        <w:t>对于我们的询</w:t>
      </w:r>
      <w:r>
        <w:rPr>
          <w:spacing w:val="-3"/>
          <w:sz w:val="18"/>
        </w:rPr>
        <w:t>问</w:t>
      </w:r>
      <w:r>
        <w:rPr>
          <w:sz w:val="18"/>
        </w:rPr>
        <w:t>，您有如实告知的义务</w:t>
        <w:tab/>
        <w:t>2.13</w:t>
      </w:r>
    </w:p>
    <w:p>
      <w:pPr>
        <w:tabs>
          <w:tab w:pos="1032" w:val="left" w:leader="none"/>
        </w:tabs>
        <w:spacing w:before="104"/>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您应当特别注意的事项</w:t>
      </w:r>
    </w:p>
    <w:p>
      <w:pPr>
        <w:pStyle w:val="ListParagraph"/>
        <w:numPr>
          <w:ilvl w:val="0"/>
          <w:numId w:val="1"/>
        </w:numPr>
        <w:tabs>
          <w:tab w:pos="1463" w:val="left" w:leader="none"/>
          <w:tab w:pos="9654" w:val="right" w:leader="dot"/>
        </w:tabs>
        <w:spacing w:line="240" w:lineRule="auto" w:before="90" w:after="0"/>
        <w:ind w:left="1462" w:right="0" w:hanging="341"/>
        <w:jc w:val="left"/>
        <w:rPr>
          <w:sz w:val="18"/>
        </w:rPr>
      </w:pPr>
      <w:r>
        <w:rPr>
          <w:sz w:val="18"/>
        </w:rPr>
        <w:t>未成年人身故</w:t>
      </w:r>
      <w:r>
        <w:rPr>
          <w:spacing w:val="-3"/>
          <w:sz w:val="18"/>
        </w:rPr>
        <w:t>保</w:t>
      </w:r>
      <w:r>
        <w:rPr>
          <w:sz w:val="18"/>
        </w:rPr>
        <w:t>险金的限制</w:t>
        <w:tab/>
        <w:t>1.6</w:t>
      </w:r>
    </w:p>
    <w:p>
      <w:pPr>
        <w:pStyle w:val="ListParagraph"/>
        <w:numPr>
          <w:ilvl w:val="0"/>
          <w:numId w:val="1"/>
        </w:numPr>
        <w:tabs>
          <w:tab w:pos="1461" w:val="left" w:leader="none"/>
          <w:tab w:pos="9652" w:val="right" w:leader="dot"/>
        </w:tabs>
        <w:spacing w:line="240" w:lineRule="auto" w:before="76" w:after="0"/>
        <w:ind w:left="1460" w:right="0" w:hanging="341"/>
        <w:jc w:val="left"/>
        <w:rPr>
          <w:sz w:val="18"/>
        </w:rPr>
      </w:pPr>
      <w:r>
        <w:rPr>
          <w:sz w:val="18"/>
        </w:rPr>
        <w:t>我们不承担保</w:t>
      </w:r>
      <w:r>
        <w:rPr>
          <w:spacing w:val="-3"/>
          <w:sz w:val="18"/>
        </w:rPr>
        <w:t>险</w:t>
      </w:r>
      <w:r>
        <w:rPr>
          <w:sz w:val="18"/>
        </w:rPr>
        <w:t>金给付的限制</w:t>
        <w:tab/>
        <w:t>1.8</w:t>
      </w:r>
    </w:p>
    <w:p>
      <w:pPr>
        <w:pStyle w:val="ListParagraph"/>
        <w:numPr>
          <w:ilvl w:val="0"/>
          <w:numId w:val="1"/>
        </w:numPr>
        <w:tabs>
          <w:tab w:pos="1460" w:val="left" w:leader="none"/>
          <w:tab w:pos="9651" w:val="right" w:leader="dot"/>
        </w:tabs>
        <w:spacing w:line="240" w:lineRule="auto" w:before="76" w:after="0"/>
        <w:ind w:left="1460" w:right="0" w:hanging="341"/>
        <w:jc w:val="left"/>
        <w:rPr>
          <w:sz w:val="18"/>
        </w:rPr>
      </w:pPr>
      <w:r>
        <w:rPr>
          <w:sz w:val="18"/>
        </w:rPr>
        <w:t>我们对于您的</w:t>
      </w:r>
      <w:r>
        <w:rPr>
          <w:spacing w:val="-3"/>
          <w:sz w:val="18"/>
        </w:rPr>
        <w:t>未</w:t>
      </w:r>
      <w:r>
        <w:rPr>
          <w:sz w:val="18"/>
        </w:rPr>
        <w:t>还款项的处理</w:t>
        <w:tab/>
        <w:t>2.12</w:t>
      </w:r>
    </w:p>
    <w:p>
      <w:pPr>
        <w:tabs>
          <w:tab w:pos="1032" w:val="left" w:leader="none"/>
        </w:tabs>
        <w:spacing w:before="104"/>
        <w:ind w:left="396" w:right="0" w:firstLine="0"/>
        <w:jc w:val="left"/>
        <w:rPr>
          <w:rFonts w:ascii="Microsoft JhengHei" w:hAnsi="Microsoft JhengHei" w:eastAsia="Microsoft JhengHei" w:hint="eastAsia"/>
          <w:b/>
          <w:sz w:val="18"/>
        </w:rPr>
      </w:pPr>
      <w:r>
        <w:rPr/>
        <w:pict>
          <v:shapetype id="_x0000_t202" o:spt="202" coordsize="21600,21600" path="m,l,21600r21600,l21600,xe">
            <v:stroke joinstyle="miter"/>
            <v:path gradientshapeok="t" o:connecttype="rect"/>
          </v:shapetype>
          <v:shape style="position:absolute;margin-left:67.544518pt;margin-top:24.876019pt;width:452.95pt;height:178.8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8"/>
                    <w:gridCol w:w="557"/>
                    <w:gridCol w:w="2104"/>
                    <w:gridCol w:w="3748"/>
                  </w:tblGrid>
                  <w:tr>
                    <w:trPr>
                      <w:trHeight w:val="378" w:hRule="atLeast"/>
                    </w:trPr>
                    <w:tc>
                      <w:tcPr>
                        <w:tcW w:w="2638" w:type="dxa"/>
                        <w:tcBorders>
                          <w:top w:val="dotted" w:sz="6" w:space="0" w:color="000000"/>
                          <w:left w:val="dotted" w:sz="6" w:space="0" w:color="000000"/>
                        </w:tcBorders>
                      </w:tcPr>
                      <w:p>
                        <w:pPr>
                          <w:pStyle w:val="TableParagraph"/>
                          <w:spacing w:line="240" w:lineRule="auto" w:before="72"/>
                          <w:ind w:left="143"/>
                          <w:rPr>
                            <w:sz w:val="18"/>
                          </w:rPr>
                        </w:pPr>
                        <w:r>
                          <w:rPr>
                            <w:rFonts w:ascii="MS UI Gothic" w:eastAsia="MS UI Gothic" w:hint="eastAsia"/>
                            <w:w w:val="105"/>
                            <w:sz w:val="18"/>
                          </w:rPr>
                          <w:t>O </w:t>
                        </w:r>
                        <w:r>
                          <w:rPr>
                            <w:w w:val="105"/>
                            <w:sz w:val="18"/>
                          </w:rPr>
                          <w:t>保险责任条款</w:t>
                        </w:r>
                      </w:p>
                    </w:tc>
                    <w:tc>
                      <w:tcPr>
                        <w:tcW w:w="557" w:type="dxa"/>
                        <w:tcBorders>
                          <w:top w:val="dotted" w:sz="6" w:space="0" w:color="000000"/>
                        </w:tcBorders>
                      </w:tcPr>
                      <w:p>
                        <w:pPr>
                          <w:pStyle w:val="TableParagraph"/>
                          <w:spacing w:line="240" w:lineRule="auto" w:before="115"/>
                          <w:ind w:right="33"/>
                          <w:jc w:val="right"/>
                          <w:rPr>
                            <w:rFonts w:ascii="Times New Roman"/>
                            <w:sz w:val="18"/>
                          </w:rPr>
                        </w:pPr>
                        <w:r>
                          <w:rPr>
                            <w:rFonts w:ascii="Times New Roman"/>
                            <w:sz w:val="18"/>
                          </w:rPr>
                          <w:t>2.2</w:t>
                        </w:r>
                      </w:p>
                    </w:tc>
                    <w:tc>
                      <w:tcPr>
                        <w:tcW w:w="2104" w:type="dxa"/>
                        <w:tcBorders>
                          <w:top w:val="dotted" w:sz="6" w:space="0" w:color="000000"/>
                        </w:tcBorders>
                      </w:tcPr>
                      <w:p>
                        <w:pPr>
                          <w:pStyle w:val="TableParagraph"/>
                          <w:spacing w:line="240" w:lineRule="auto" w:before="72"/>
                          <w:ind w:left="54"/>
                          <w:rPr>
                            <w:sz w:val="18"/>
                          </w:rPr>
                        </w:pPr>
                        <w:r>
                          <w:rPr>
                            <w:w w:val="95"/>
                            <w:sz w:val="18"/>
                          </w:rPr>
                          <w:t>垫交保险费</w:t>
                        </w:r>
                      </w:p>
                    </w:tc>
                    <w:tc>
                      <w:tcPr>
                        <w:tcW w:w="3748" w:type="dxa"/>
                        <w:tcBorders>
                          <w:top w:val="dotted" w:sz="6" w:space="0" w:color="000000"/>
                          <w:right w:val="dotted" w:sz="6" w:space="0" w:color="000000"/>
                        </w:tcBorders>
                      </w:tcPr>
                      <w:p>
                        <w:pPr>
                          <w:pStyle w:val="TableParagraph"/>
                          <w:spacing w:line="240" w:lineRule="auto" w:before="72"/>
                          <w:ind w:left="439"/>
                          <w:rPr>
                            <w:sz w:val="18"/>
                          </w:rPr>
                        </w:pPr>
                        <w:r>
                          <w:rPr>
                            <w:rFonts w:ascii="Times New Roman" w:eastAsia="Times New Roman"/>
                            <w:sz w:val="18"/>
                          </w:rPr>
                          <w:t>2.13  </w:t>
                        </w:r>
                        <w:r>
                          <w:rPr>
                            <w:sz w:val="18"/>
                          </w:rPr>
                          <w:t>如实告知</w:t>
                        </w:r>
                      </w:p>
                    </w:tc>
                  </w:tr>
                  <w:tr>
                    <w:trPr>
                      <w:trHeight w:val="311" w:hRule="atLeast"/>
                    </w:trPr>
                    <w:tc>
                      <w:tcPr>
                        <w:tcW w:w="2638" w:type="dxa"/>
                        <w:tcBorders>
                          <w:left w:val="dotted" w:sz="6" w:space="0" w:color="000000"/>
                        </w:tcBorders>
                      </w:tcPr>
                      <w:p>
                        <w:pPr>
                          <w:pStyle w:val="TableParagraph"/>
                          <w:spacing w:line="240" w:lineRule="auto" w:before="6"/>
                          <w:ind w:left="143"/>
                          <w:rPr>
                            <w:sz w:val="18"/>
                          </w:rPr>
                        </w:pPr>
                        <w:r>
                          <w:rPr>
                            <w:rFonts w:ascii="Times New Roman" w:eastAsia="Times New Roman"/>
                            <w:sz w:val="18"/>
                          </w:rPr>
                          <w:t>1.1  </w:t>
                        </w:r>
                        <w:r>
                          <w:rPr>
                            <w:sz w:val="18"/>
                          </w:rPr>
                          <w:t>合同的构成</w:t>
                        </w:r>
                      </w:p>
                    </w:tc>
                    <w:tc>
                      <w:tcPr>
                        <w:tcW w:w="557" w:type="dxa"/>
                      </w:tcPr>
                      <w:p>
                        <w:pPr>
                          <w:pStyle w:val="TableParagraph"/>
                          <w:spacing w:line="240" w:lineRule="auto" w:before="48"/>
                          <w:ind w:right="33"/>
                          <w:jc w:val="right"/>
                          <w:rPr>
                            <w:rFonts w:ascii="Times New Roman"/>
                            <w:sz w:val="18"/>
                          </w:rPr>
                        </w:pPr>
                        <w:r>
                          <w:rPr>
                            <w:rFonts w:ascii="Times New Roman"/>
                            <w:sz w:val="18"/>
                          </w:rPr>
                          <w:t>2.3</w:t>
                        </w:r>
                      </w:p>
                    </w:tc>
                    <w:tc>
                      <w:tcPr>
                        <w:tcW w:w="2104" w:type="dxa"/>
                      </w:tcPr>
                      <w:p>
                        <w:pPr>
                          <w:pStyle w:val="TableParagraph"/>
                          <w:spacing w:line="240" w:lineRule="auto" w:before="6"/>
                          <w:ind w:left="54"/>
                          <w:rPr>
                            <w:sz w:val="18"/>
                          </w:rPr>
                        </w:pPr>
                        <w:r>
                          <w:rPr>
                            <w:w w:val="95"/>
                            <w:sz w:val="18"/>
                          </w:rPr>
                          <w:t>合同效力的中止</w:t>
                        </w:r>
                      </w:p>
                    </w:tc>
                    <w:tc>
                      <w:tcPr>
                        <w:tcW w:w="3748" w:type="dxa"/>
                        <w:tcBorders>
                          <w:right w:val="dotted" w:sz="6" w:space="0" w:color="000000"/>
                        </w:tcBorders>
                      </w:tcPr>
                      <w:p>
                        <w:pPr>
                          <w:pStyle w:val="TableParagraph"/>
                          <w:spacing w:line="240" w:lineRule="auto" w:before="6"/>
                          <w:ind w:left="439"/>
                          <w:rPr>
                            <w:sz w:val="18"/>
                          </w:rPr>
                        </w:pPr>
                        <w:r>
                          <w:rPr>
                            <w:rFonts w:ascii="Times New Roman" w:eastAsia="Times New Roman"/>
                            <w:sz w:val="18"/>
                          </w:rPr>
                          <w:t>2.14 </w:t>
                        </w:r>
                        <w:r>
                          <w:rPr>
                            <w:sz w:val="18"/>
                          </w:rPr>
                          <w:t>合同解除权的限制</w:t>
                        </w:r>
                      </w:p>
                    </w:tc>
                  </w:tr>
                  <w:tr>
                    <w:trPr>
                      <w:trHeight w:val="311" w:hRule="atLeast"/>
                    </w:trPr>
                    <w:tc>
                      <w:tcPr>
                        <w:tcW w:w="2638" w:type="dxa"/>
                        <w:tcBorders>
                          <w:left w:val="dotted" w:sz="6" w:space="0" w:color="000000"/>
                        </w:tcBorders>
                      </w:tcPr>
                      <w:p>
                        <w:pPr>
                          <w:pStyle w:val="TableParagraph"/>
                          <w:spacing w:line="240" w:lineRule="auto" w:before="6"/>
                          <w:ind w:left="143"/>
                          <w:rPr>
                            <w:sz w:val="18"/>
                          </w:rPr>
                        </w:pPr>
                        <w:r>
                          <w:rPr>
                            <w:rFonts w:ascii="Times New Roman" w:eastAsia="Times New Roman"/>
                            <w:sz w:val="18"/>
                          </w:rPr>
                          <w:t>1.2  </w:t>
                        </w:r>
                        <w:r>
                          <w:rPr>
                            <w:sz w:val="18"/>
                          </w:rPr>
                          <w:t>投保范围</w:t>
                        </w:r>
                      </w:p>
                    </w:tc>
                    <w:tc>
                      <w:tcPr>
                        <w:tcW w:w="557" w:type="dxa"/>
                      </w:tcPr>
                      <w:p>
                        <w:pPr>
                          <w:pStyle w:val="TableParagraph"/>
                          <w:spacing w:line="240" w:lineRule="auto" w:before="48"/>
                          <w:ind w:right="33"/>
                          <w:jc w:val="right"/>
                          <w:rPr>
                            <w:rFonts w:ascii="Times New Roman"/>
                            <w:sz w:val="18"/>
                          </w:rPr>
                        </w:pPr>
                        <w:r>
                          <w:rPr>
                            <w:rFonts w:ascii="Times New Roman"/>
                            <w:sz w:val="18"/>
                          </w:rPr>
                          <w:t>2.4</w:t>
                        </w:r>
                      </w:p>
                    </w:tc>
                    <w:tc>
                      <w:tcPr>
                        <w:tcW w:w="2104" w:type="dxa"/>
                      </w:tcPr>
                      <w:p>
                        <w:pPr>
                          <w:pStyle w:val="TableParagraph"/>
                          <w:spacing w:line="240" w:lineRule="auto" w:before="6"/>
                          <w:ind w:left="54"/>
                          <w:rPr>
                            <w:sz w:val="18"/>
                          </w:rPr>
                        </w:pPr>
                        <w:r>
                          <w:rPr>
                            <w:w w:val="95"/>
                            <w:sz w:val="18"/>
                          </w:rPr>
                          <w:t>合同效力的恢复</w:t>
                        </w:r>
                      </w:p>
                    </w:tc>
                    <w:tc>
                      <w:tcPr>
                        <w:tcW w:w="3748" w:type="dxa"/>
                        <w:tcBorders>
                          <w:right w:val="dotted" w:sz="6" w:space="0" w:color="000000"/>
                        </w:tcBorders>
                      </w:tcPr>
                      <w:p>
                        <w:pPr>
                          <w:pStyle w:val="TableParagraph"/>
                          <w:spacing w:line="240" w:lineRule="auto" w:before="6"/>
                          <w:ind w:left="439"/>
                          <w:rPr>
                            <w:sz w:val="18"/>
                          </w:rPr>
                        </w:pPr>
                        <w:r>
                          <w:rPr>
                            <w:rFonts w:ascii="Times New Roman" w:eastAsia="Times New Roman"/>
                            <w:sz w:val="18"/>
                          </w:rPr>
                          <w:t>2.15 </w:t>
                        </w:r>
                        <w:r>
                          <w:rPr>
                            <w:sz w:val="18"/>
                          </w:rPr>
                          <w:t>年龄及性别的确定与错误处理</w:t>
                        </w:r>
                      </w:p>
                    </w:tc>
                  </w:tr>
                  <w:tr>
                    <w:trPr>
                      <w:trHeight w:val="311" w:hRule="atLeast"/>
                    </w:trPr>
                    <w:tc>
                      <w:tcPr>
                        <w:tcW w:w="2638" w:type="dxa"/>
                        <w:tcBorders>
                          <w:left w:val="dotted" w:sz="6" w:space="0" w:color="000000"/>
                        </w:tcBorders>
                      </w:tcPr>
                      <w:p>
                        <w:pPr>
                          <w:pStyle w:val="TableParagraph"/>
                          <w:spacing w:line="240" w:lineRule="auto" w:before="6"/>
                          <w:ind w:left="143"/>
                          <w:rPr>
                            <w:sz w:val="18"/>
                          </w:rPr>
                        </w:pPr>
                        <w:r>
                          <w:rPr>
                            <w:rFonts w:ascii="Times New Roman" w:eastAsia="Times New Roman"/>
                            <w:sz w:val="18"/>
                          </w:rPr>
                          <w:t>1.3  </w:t>
                        </w:r>
                        <w:r>
                          <w:rPr>
                            <w:sz w:val="18"/>
                          </w:rPr>
                          <w:t>保险期间</w:t>
                        </w:r>
                      </w:p>
                    </w:tc>
                    <w:tc>
                      <w:tcPr>
                        <w:tcW w:w="557" w:type="dxa"/>
                      </w:tcPr>
                      <w:p>
                        <w:pPr>
                          <w:pStyle w:val="TableParagraph"/>
                          <w:spacing w:line="240" w:lineRule="auto" w:before="48"/>
                          <w:ind w:right="33"/>
                          <w:jc w:val="right"/>
                          <w:rPr>
                            <w:rFonts w:ascii="Times New Roman"/>
                            <w:sz w:val="18"/>
                          </w:rPr>
                        </w:pPr>
                        <w:r>
                          <w:rPr>
                            <w:rFonts w:ascii="Times New Roman"/>
                            <w:sz w:val="18"/>
                          </w:rPr>
                          <w:t>2.5</w:t>
                        </w:r>
                      </w:p>
                    </w:tc>
                    <w:tc>
                      <w:tcPr>
                        <w:tcW w:w="2104" w:type="dxa"/>
                      </w:tcPr>
                      <w:p>
                        <w:pPr>
                          <w:pStyle w:val="TableParagraph"/>
                          <w:spacing w:line="240" w:lineRule="auto" w:before="6"/>
                          <w:ind w:left="54"/>
                          <w:rPr>
                            <w:sz w:val="18"/>
                          </w:rPr>
                        </w:pPr>
                        <w:r>
                          <w:rPr>
                            <w:w w:val="95"/>
                            <w:sz w:val="18"/>
                          </w:rPr>
                          <w:t>合同的解除</w:t>
                        </w:r>
                      </w:p>
                    </w:tc>
                    <w:tc>
                      <w:tcPr>
                        <w:tcW w:w="3748" w:type="dxa"/>
                        <w:tcBorders>
                          <w:right w:val="dotted" w:sz="6" w:space="0" w:color="000000"/>
                        </w:tcBorders>
                      </w:tcPr>
                      <w:p>
                        <w:pPr>
                          <w:pStyle w:val="TableParagraph"/>
                          <w:spacing w:line="240" w:lineRule="auto" w:before="6"/>
                          <w:ind w:left="439"/>
                          <w:rPr>
                            <w:sz w:val="18"/>
                          </w:rPr>
                        </w:pPr>
                        <w:r>
                          <w:rPr>
                            <w:rFonts w:ascii="Times New Roman" w:eastAsia="Times New Roman"/>
                            <w:sz w:val="18"/>
                          </w:rPr>
                          <w:t>2.16  </w:t>
                        </w:r>
                        <w:r>
                          <w:rPr>
                            <w:sz w:val="18"/>
                          </w:rPr>
                          <w:t>合同内容的变更</w:t>
                        </w:r>
                      </w:p>
                    </w:tc>
                  </w:tr>
                  <w:tr>
                    <w:trPr>
                      <w:trHeight w:val="311" w:hRule="atLeast"/>
                    </w:trPr>
                    <w:tc>
                      <w:tcPr>
                        <w:tcW w:w="2638" w:type="dxa"/>
                        <w:tcBorders>
                          <w:left w:val="dotted" w:sz="6" w:space="0" w:color="000000"/>
                        </w:tcBorders>
                      </w:tcPr>
                      <w:p>
                        <w:pPr>
                          <w:pStyle w:val="TableParagraph"/>
                          <w:spacing w:line="240" w:lineRule="auto" w:before="6"/>
                          <w:ind w:left="143"/>
                          <w:rPr>
                            <w:sz w:val="18"/>
                          </w:rPr>
                        </w:pPr>
                        <w:r>
                          <w:rPr>
                            <w:rFonts w:ascii="Times New Roman" w:eastAsia="Times New Roman"/>
                            <w:sz w:val="18"/>
                          </w:rPr>
                          <w:t>1.4  </w:t>
                        </w:r>
                        <w:r>
                          <w:rPr>
                            <w:sz w:val="18"/>
                          </w:rPr>
                          <w:t>犹豫期</w:t>
                        </w:r>
                      </w:p>
                    </w:tc>
                    <w:tc>
                      <w:tcPr>
                        <w:tcW w:w="557" w:type="dxa"/>
                      </w:tcPr>
                      <w:p>
                        <w:pPr>
                          <w:pStyle w:val="TableParagraph"/>
                          <w:spacing w:line="240" w:lineRule="auto" w:before="48"/>
                          <w:ind w:right="33"/>
                          <w:jc w:val="right"/>
                          <w:rPr>
                            <w:rFonts w:ascii="Times New Roman"/>
                            <w:sz w:val="18"/>
                          </w:rPr>
                        </w:pPr>
                        <w:r>
                          <w:rPr>
                            <w:rFonts w:ascii="Times New Roman"/>
                            <w:sz w:val="18"/>
                          </w:rPr>
                          <w:t>2.6</w:t>
                        </w:r>
                      </w:p>
                    </w:tc>
                    <w:tc>
                      <w:tcPr>
                        <w:tcW w:w="2104" w:type="dxa"/>
                      </w:tcPr>
                      <w:p>
                        <w:pPr>
                          <w:pStyle w:val="TableParagraph"/>
                          <w:spacing w:line="240" w:lineRule="auto" w:before="6"/>
                          <w:ind w:left="54"/>
                          <w:rPr>
                            <w:sz w:val="18"/>
                          </w:rPr>
                        </w:pPr>
                        <w:r>
                          <w:rPr>
                            <w:w w:val="95"/>
                            <w:sz w:val="18"/>
                          </w:rPr>
                          <w:t>合同效力的终止</w:t>
                        </w:r>
                      </w:p>
                    </w:tc>
                    <w:tc>
                      <w:tcPr>
                        <w:tcW w:w="3748" w:type="dxa"/>
                        <w:tcBorders>
                          <w:right w:val="dotted" w:sz="6" w:space="0" w:color="000000"/>
                        </w:tcBorders>
                      </w:tcPr>
                      <w:p>
                        <w:pPr>
                          <w:pStyle w:val="TableParagraph"/>
                          <w:spacing w:line="240" w:lineRule="auto" w:before="6"/>
                          <w:ind w:left="439"/>
                          <w:rPr>
                            <w:sz w:val="18"/>
                          </w:rPr>
                        </w:pPr>
                        <w:r>
                          <w:rPr>
                            <w:rFonts w:ascii="Times New Roman" w:eastAsia="Times New Roman"/>
                            <w:sz w:val="18"/>
                          </w:rPr>
                          <w:t>2.17  </w:t>
                        </w:r>
                        <w:r>
                          <w:rPr>
                            <w:sz w:val="18"/>
                          </w:rPr>
                          <w:t>联系方式的变更</w:t>
                        </w:r>
                      </w:p>
                    </w:tc>
                  </w:tr>
                  <w:tr>
                    <w:trPr>
                      <w:trHeight w:val="311" w:hRule="atLeast"/>
                    </w:trPr>
                    <w:tc>
                      <w:tcPr>
                        <w:tcW w:w="2638" w:type="dxa"/>
                        <w:tcBorders>
                          <w:left w:val="dotted" w:sz="6" w:space="0" w:color="000000"/>
                        </w:tcBorders>
                      </w:tcPr>
                      <w:p>
                        <w:pPr>
                          <w:pStyle w:val="TableParagraph"/>
                          <w:spacing w:line="240" w:lineRule="auto" w:before="6"/>
                          <w:ind w:left="143"/>
                          <w:rPr>
                            <w:sz w:val="18"/>
                          </w:rPr>
                        </w:pPr>
                        <w:r>
                          <w:rPr>
                            <w:rFonts w:ascii="Times New Roman" w:eastAsia="Times New Roman"/>
                            <w:sz w:val="18"/>
                          </w:rPr>
                          <w:t>1.5  </w:t>
                        </w:r>
                        <w:r>
                          <w:rPr>
                            <w:sz w:val="18"/>
                          </w:rPr>
                          <w:t>基本保险金额</w:t>
                        </w:r>
                      </w:p>
                    </w:tc>
                    <w:tc>
                      <w:tcPr>
                        <w:tcW w:w="557" w:type="dxa"/>
                      </w:tcPr>
                      <w:p>
                        <w:pPr>
                          <w:pStyle w:val="TableParagraph"/>
                          <w:spacing w:line="240" w:lineRule="auto" w:before="48"/>
                          <w:ind w:right="33"/>
                          <w:jc w:val="right"/>
                          <w:rPr>
                            <w:rFonts w:ascii="Times New Roman"/>
                            <w:sz w:val="18"/>
                          </w:rPr>
                        </w:pPr>
                        <w:r>
                          <w:rPr>
                            <w:rFonts w:ascii="Times New Roman"/>
                            <w:sz w:val="18"/>
                          </w:rPr>
                          <w:t>2.7</w:t>
                        </w:r>
                      </w:p>
                    </w:tc>
                    <w:tc>
                      <w:tcPr>
                        <w:tcW w:w="2104" w:type="dxa"/>
                      </w:tcPr>
                      <w:p>
                        <w:pPr>
                          <w:pStyle w:val="TableParagraph"/>
                          <w:spacing w:line="240" w:lineRule="auto" w:before="6"/>
                          <w:ind w:left="54"/>
                          <w:rPr>
                            <w:sz w:val="18"/>
                          </w:rPr>
                        </w:pPr>
                        <w:r>
                          <w:rPr>
                            <w:w w:val="95"/>
                            <w:sz w:val="18"/>
                          </w:rPr>
                          <w:t>受益人的指定和变更</w:t>
                        </w:r>
                      </w:p>
                    </w:tc>
                    <w:tc>
                      <w:tcPr>
                        <w:tcW w:w="3748" w:type="dxa"/>
                        <w:tcBorders>
                          <w:right w:val="dotted" w:sz="6" w:space="0" w:color="000000"/>
                        </w:tcBorders>
                      </w:tcPr>
                      <w:p>
                        <w:pPr>
                          <w:pStyle w:val="TableParagraph"/>
                          <w:spacing w:line="240" w:lineRule="auto" w:before="6"/>
                          <w:ind w:left="439"/>
                          <w:rPr>
                            <w:sz w:val="18"/>
                          </w:rPr>
                        </w:pPr>
                        <w:r>
                          <w:rPr>
                            <w:rFonts w:ascii="Times New Roman" w:eastAsia="Times New Roman"/>
                            <w:sz w:val="18"/>
                          </w:rPr>
                          <w:t>2.18  </w:t>
                        </w:r>
                        <w:r>
                          <w:rPr>
                            <w:sz w:val="18"/>
                          </w:rPr>
                          <w:t>借款</w:t>
                        </w:r>
                      </w:p>
                    </w:tc>
                  </w:tr>
                  <w:tr>
                    <w:trPr>
                      <w:trHeight w:val="311" w:hRule="atLeast"/>
                    </w:trPr>
                    <w:tc>
                      <w:tcPr>
                        <w:tcW w:w="2638" w:type="dxa"/>
                        <w:tcBorders>
                          <w:left w:val="dotted" w:sz="6" w:space="0" w:color="000000"/>
                        </w:tcBorders>
                      </w:tcPr>
                      <w:p>
                        <w:pPr>
                          <w:pStyle w:val="TableParagraph"/>
                          <w:spacing w:line="240" w:lineRule="auto" w:before="6"/>
                          <w:ind w:left="143"/>
                          <w:rPr>
                            <w:sz w:val="18"/>
                          </w:rPr>
                        </w:pPr>
                        <w:r>
                          <w:rPr>
                            <w:rFonts w:ascii="Times New Roman" w:eastAsia="Times New Roman"/>
                            <w:sz w:val="18"/>
                          </w:rPr>
                          <w:t>1.6 </w:t>
                        </w:r>
                        <w:r>
                          <w:rPr>
                            <w:sz w:val="18"/>
                          </w:rPr>
                          <w:t>未成年人身故保险金限制</w:t>
                        </w:r>
                      </w:p>
                    </w:tc>
                    <w:tc>
                      <w:tcPr>
                        <w:tcW w:w="557" w:type="dxa"/>
                      </w:tcPr>
                      <w:p>
                        <w:pPr>
                          <w:pStyle w:val="TableParagraph"/>
                          <w:spacing w:line="240" w:lineRule="auto" w:before="48"/>
                          <w:ind w:right="33"/>
                          <w:jc w:val="right"/>
                          <w:rPr>
                            <w:rFonts w:ascii="Times New Roman"/>
                            <w:sz w:val="18"/>
                          </w:rPr>
                        </w:pPr>
                        <w:r>
                          <w:rPr>
                            <w:rFonts w:ascii="Times New Roman"/>
                            <w:sz w:val="18"/>
                          </w:rPr>
                          <w:t>2.8</w:t>
                        </w:r>
                      </w:p>
                    </w:tc>
                    <w:tc>
                      <w:tcPr>
                        <w:tcW w:w="2104" w:type="dxa"/>
                      </w:tcPr>
                      <w:p>
                        <w:pPr>
                          <w:pStyle w:val="TableParagraph"/>
                          <w:spacing w:line="240" w:lineRule="auto" w:before="6"/>
                          <w:ind w:left="54"/>
                          <w:rPr>
                            <w:sz w:val="18"/>
                          </w:rPr>
                        </w:pPr>
                        <w:r>
                          <w:rPr>
                            <w:w w:val="95"/>
                            <w:sz w:val="18"/>
                          </w:rPr>
                          <w:t>保险事故的通知</w:t>
                        </w:r>
                      </w:p>
                    </w:tc>
                    <w:tc>
                      <w:tcPr>
                        <w:tcW w:w="3748" w:type="dxa"/>
                        <w:tcBorders>
                          <w:right w:val="dotted" w:sz="6" w:space="0" w:color="000000"/>
                        </w:tcBorders>
                      </w:tcPr>
                      <w:p>
                        <w:pPr>
                          <w:pStyle w:val="TableParagraph"/>
                          <w:spacing w:line="240" w:lineRule="auto" w:before="6"/>
                          <w:ind w:left="439"/>
                          <w:rPr>
                            <w:sz w:val="18"/>
                          </w:rPr>
                        </w:pPr>
                        <w:r>
                          <w:rPr>
                            <w:rFonts w:ascii="Times New Roman" w:eastAsia="Times New Roman"/>
                            <w:sz w:val="18"/>
                          </w:rPr>
                          <w:t>2.19  </w:t>
                        </w:r>
                        <w:r>
                          <w:rPr>
                            <w:sz w:val="18"/>
                          </w:rPr>
                          <w:t>争议处理</w:t>
                        </w:r>
                      </w:p>
                    </w:tc>
                  </w:tr>
                  <w:tr>
                    <w:trPr>
                      <w:trHeight w:val="311" w:hRule="atLeast"/>
                    </w:trPr>
                    <w:tc>
                      <w:tcPr>
                        <w:tcW w:w="2638" w:type="dxa"/>
                        <w:tcBorders>
                          <w:left w:val="dotted" w:sz="6" w:space="0" w:color="000000"/>
                        </w:tcBorders>
                      </w:tcPr>
                      <w:p>
                        <w:pPr>
                          <w:pStyle w:val="TableParagraph"/>
                          <w:spacing w:line="240" w:lineRule="auto" w:before="6"/>
                          <w:ind w:left="143"/>
                          <w:rPr>
                            <w:sz w:val="18"/>
                          </w:rPr>
                        </w:pPr>
                        <w:r>
                          <w:rPr>
                            <w:rFonts w:ascii="Times New Roman" w:eastAsia="Times New Roman"/>
                            <w:sz w:val="18"/>
                          </w:rPr>
                          <w:t>1.7  </w:t>
                        </w:r>
                        <w:r>
                          <w:rPr>
                            <w:sz w:val="18"/>
                          </w:rPr>
                          <w:t>保险责任</w:t>
                        </w:r>
                      </w:p>
                    </w:tc>
                    <w:tc>
                      <w:tcPr>
                        <w:tcW w:w="557" w:type="dxa"/>
                      </w:tcPr>
                      <w:p>
                        <w:pPr>
                          <w:pStyle w:val="TableParagraph"/>
                          <w:spacing w:line="240" w:lineRule="auto" w:before="48"/>
                          <w:ind w:right="33"/>
                          <w:jc w:val="right"/>
                          <w:rPr>
                            <w:rFonts w:ascii="Times New Roman"/>
                            <w:sz w:val="18"/>
                          </w:rPr>
                        </w:pPr>
                        <w:r>
                          <w:rPr>
                            <w:rFonts w:ascii="Times New Roman"/>
                            <w:sz w:val="18"/>
                          </w:rPr>
                          <w:t>2.9</w:t>
                        </w:r>
                      </w:p>
                    </w:tc>
                    <w:tc>
                      <w:tcPr>
                        <w:tcW w:w="2104" w:type="dxa"/>
                      </w:tcPr>
                      <w:p>
                        <w:pPr>
                          <w:pStyle w:val="TableParagraph"/>
                          <w:spacing w:line="240" w:lineRule="auto" w:before="6"/>
                          <w:ind w:left="54"/>
                          <w:rPr>
                            <w:sz w:val="18"/>
                          </w:rPr>
                        </w:pPr>
                        <w:r>
                          <w:rPr>
                            <w:w w:val="95"/>
                            <w:sz w:val="18"/>
                          </w:rPr>
                          <w:t>保险金的申请</w:t>
                        </w:r>
                      </w:p>
                    </w:tc>
                    <w:tc>
                      <w:tcPr>
                        <w:tcW w:w="3748" w:type="dxa"/>
                        <w:tcBorders>
                          <w:right w:val="dotted" w:sz="6" w:space="0" w:color="000000"/>
                        </w:tcBorders>
                      </w:tcPr>
                      <w:p>
                        <w:pPr>
                          <w:pStyle w:val="TableParagraph"/>
                          <w:spacing w:line="240" w:lineRule="auto"/>
                          <w:rPr>
                            <w:rFonts w:ascii="Times New Roman"/>
                            <w:sz w:val="18"/>
                          </w:rPr>
                        </w:pPr>
                      </w:p>
                    </w:tc>
                  </w:tr>
                  <w:tr>
                    <w:trPr>
                      <w:trHeight w:val="311" w:hRule="atLeast"/>
                    </w:trPr>
                    <w:tc>
                      <w:tcPr>
                        <w:tcW w:w="2638" w:type="dxa"/>
                        <w:tcBorders>
                          <w:left w:val="dotted" w:sz="6" w:space="0" w:color="000000"/>
                        </w:tcBorders>
                      </w:tcPr>
                      <w:p>
                        <w:pPr>
                          <w:pStyle w:val="TableParagraph"/>
                          <w:spacing w:line="240" w:lineRule="auto" w:before="6"/>
                          <w:ind w:left="143"/>
                          <w:rPr>
                            <w:sz w:val="18"/>
                          </w:rPr>
                        </w:pPr>
                        <w:r>
                          <w:rPr>
                            <w:rFonts w:ascii="Times New Roman" w:eastAsia="Times New Roman"/>
                            <w:sz w:val="18"/>
                          </w:rPr>
                          <w:t>1.8  </w:t>
                        </w:r>
                        <w:r>
                          <w:rPr>
                            <w:sz w:val="18"/>
                          </w:rPr>
                          <w:t>责任免除</w:t>
                        </w:r>
                      </w:p>
                    </w:tc>
                    <w:tc>
                      <w:tcPr>
                        <w:tcW w:w="557" w:type="dxa"/>
                      </w:tcPr>
                      <w:p>
                        <w:pPr>
                          <w:pStyle w:val="TableParagraph"/>
                          <w:spacing w:line="240" w:lineRule="auto" w:before="48"/>
                          <w:ind w:right="35"/>
                          <w:jc w:val="right"/>
                          <w:rPr>
                            <w:rFonts w:ascii="Times New Roman"/>
                            <w:sz w:val="18"/>
                          </w:rPr>
                        </w:pPr>
                        <w:r>
                          <w:rPr>
                            <w:rFonts w:ascii="Times New Roman"/>
                            <w:sz w:val="18"/>
                          </w:rPr>
                          <w:t>2.10</w:t>
                        </w:r>
                      </w:p>
                    </w:tc>
                    <w:tc>
                      <w:tcPr>
                        <w:tcW w:w="2104" w:type="dxa"/>
                      </w:tcPr>
                      <w:p>
                        <w:pPr>
                          <w:pStyle w:val="TableParagraph"/>
                          <w:spacing w:line="240" w:lineRule="auto" w:before="6"/>
                          <w:ind w:left="54"/>
                          <w:rPr>
                            <w:sz w:val="18"/>
                          </w:rPr>
                        </w:pPr>
                        <w:r>
                          <w:rPr>
                            <w:w w:val="95"/>
                            <w:sz w:val="18"/>
                          </w:rPr>
                          <w:t>保险金的给付</w:t>
                        </w:r>
                      </w:p>
                    </w:tc>
                    <w:tc>
                      <w:tcPr>
                        <w:tcW w:w="3748" w:type="dxa"/>
                        <w:tcBorders>
                          <w:right w:val="dotted" w:sz="6" w:space="0" w:color="000000"/>
                        </w:tcBorders>
                      </w:tcPr>
                      <w:p>
                        <w:pPr>
                          <w:pStyle w:val="TableParagraph"/>
                          <w:spacing w:line="240" w:lineRule="auto"/>
                          <w:rPr>
                            <w:rFonts w:ascii="Times New Roman"/>
                            <w:sz w:val="18"/>
                          </w:rPr>
                        </w:pPr>
                      </w:p>
                    </w:tc>
                  </w:tr>
                  <w:tr>
                    <w:trPr>
                      <w:trHeight w:val="312" w:hRule="atLeast"/>
                    </w:trPr>
                    <w:tc>
                      <w:tcPr>
                        <w:tcW w:w="2638" w:type="dxa"/>
                        <w:tcBorders>
                          <w:left w:val="dotted" w:sz="6" w:space="0" w:color="000000"/>
                        </w:tcBorders>
                      </w:tcPr>
                      <w:p>
                        <w:pPr>
                          <w:pStyle w:val="TableParagraph"/>
                          <w:spacing w:line="240" w:lineRule="auto" w:before="7"/>
                          <w:ind w:left="143"/>
                          <w:rPr>
                            <w:sz w:val="18"/>
                          </w:rPr>
                        </w:pPr>
                        <w:r>
                          <w:rPr>
                            <w:rFonts w:ascii="MS UI Gothic" w:eastAsia="MS UI Gothic" w:hint="eastAsia"/>
                            <w:w w:val="160"/>
                            <w:sz w:val="18"/>
                          </w:rPr>
                          <w:t>0</w:t>
                        </w:r>
                        <w:r>
                          <w:rPr>
                            <w:rFonts w:ascii="MS UI Gothic" w:eastAsia="MS UI Gothic" w:hint="eastAsia"/>
                            <w:spacing w:val="-54"/>
                            <w:w w:val="160"/>
                            <w:sz w:val="18"/>
                          </w:rPr>
                          <w:t> </w:t>
                        </w:r>
                        <w:r>
                          <w:rPr>
                            <w:w w:val="110"/>
                            <w:sz w:val="18"/>
                          </w:rPr>
                          <w:t>一般条款</w:t>
                        </w:r>
                      </w:p>
                    </w:tc>
                    <w:tc>
                      <w:tcPr>
                        <w:tcW w:w="557" w:type="dxa"/>
                      </w:tcPr>
                      <w:p>
                        <w:pPr>
                          <w:pStyle w:val="TableParagraph"/>
                          <w:spacing w:line="240" w:lineRule="auto" w:before="49"/>
                          <w:ind w:right="42"/>
                          <w:jc w:val="right"/>
                          <w:rPr>
                            <w:rFonts w:ascii="Times New Roman"/>
                            <w:sz w:val="18"/>
                          </w:rPr>
                        </w:pPr>
                        <w:r>
                          <w:rPr>
                            <w:rFonts w:ascii="Times New Roman"/>
                            <w:sz w:val="18"/>
                          </w:rPr>
                          <w:t>2.11</w:t>
                        </w:r>
                      </w:p>
                    </w:tc>
                    <w:tc>
                      <w:tcPr>
                        <w:tcW w:w="2104" w:type="dxa"/>
                      </w:tcPr>
                      <w:p>
                        <w:pPr>
                          <w:pStyle w:val="TableParagraph"/>
                          <w:spacing w:line="240" w:lineRule="auto" w:before="7"/>
                          <w:ind w:left="47"/>
                          <w:rPr>
                            <w:sz w:val="18"/>
                          </w:rPr>
                        </w:pPr>
                        <w:r>
                          <w:rPr>
                            <w:w w:val="95"/>
                            <w:sz w:val="18"/>
                          </w:rPr>
                          <w:t>诉讼时效</w:t>
                        </w:r>
                      </w:p>
                    </w:tc>
                    <w:tc>
                      <w:tcPr>
                        <w:tcW w:w="3748" w:type="dxa"/>
                        <w:tcBorders>
                          <w:right w:val="dotted" w:sz="6" w:space="0" w:color="000000"/>
                        </w:tcBorders>
                      </w:tcPr>
                      <w:p>
                        <w:pPr>
                          <w:pStyle w:val="TableParagraph"/>
                          <w:spacing w:line="240" w:lineRule="auto"/>
                          <w:rPr>
                            <w:rFonts w:ascii="Times New Roman"/>
                            <w:sz w:val="18"/>
                          </w:rPr>
                        </w:pPr>
                      </w:p>
                    </w:tc>
                  </w:tr>
                  <w:tr>
                    <w:trPr>
                      <w:trHeight w:val="360" w:hRule="atLeast"/>
                    </w:trPr>
                    <w:tc>
                      <w:tcPr>
                        <w:tcW w:w="2638" w:type="dxa"/>
                        <w:tcBorders>
                          <w:left w:val="dotted" w:sz="6" w:space="0" w:color="000000"/>
                          <w:bottom w:val="dotted" w:sz="6" w:space="0" w:color="000000"/>
                        </w:tcBorders>
                      </w:tcPr>
                      <w:p>
                        <w:pPr>
                          <w:pStyle w:val="TableParagraph"/>
                          <w:spacing w:line="240" w:lineRule="auto" w:before="6"/>
                          <w:ind w:left="143"/>
                          <w:rPr>
                            <w:sz w:val="18"/>
                          </w:rPr>
                        </w:pPr>
                        <w:r>
                          <w:rPr>
                            <w:rFonts w:ascii="Times New Roman" w:eastAsia="Times New Roman"/>
                            <w:sz w:val="18"/>
                          </w:rPr>
                          <w:t>2.1 </w:t>
                        </w:r>
                        <w:r>
                          <w:rPr>
                            <w:sz w:val="18"/>
                          </w:rPr>
                          <w:t>保险费的交付及宽限期</w:t>
                        </w:r>
                      </w:p>
                    </w:tc>
                    <w:tc>
                      <w:tcPr>
                        <w:tcW w:w="557" w:type="dxa"/>
                        <w:tcBorders>
                          <w:bottom w:val="dotted" w:sz="6" w:space="0" w:color="000000"/>
                        </w:tcBorders>
                      </w:tcPr>
                      <w:p>
                        <w:pPr>
                          <w:pStyle w:val="TableParagraph"/>
                          <w:spacing w:line="240" w:lineRule="auto" w:before="48"/>
                          <w:ind w:right="35"/>
                          <w:jc w:val="right"/>
                          <w:rPr>
                            <w:rFonts w:ascii="Times New Roman"/>
                            <w:sz w:val="18"/>
                          </w:rPr>
                        </w:pPr>
                        <w:r>
                          <w:rPr>
                            <w:rFonts w:ascii="Times New Roman"/>
                            <w:sz w:val="18"/>
                          </w:rPr>
                          <w:t>2.12</w:t>
                        </w:r>
                      </w:p>
                    </w:tc>
                    <w:tc>
                      <w:tcPr>
                        <w:tcW w:w="2104" w:type="dxa"/>
                        <w:tcBorders>
                          <w:bottom w:val="dotted" w:sz="6" w:space="0" w:color="000000"/>
                        </w:tcBorders>
                      </w:tcPr>
                      <w:p>
                        <w:pPr>
                          <w:pStyle w:val="TableParagraph"/>
                          <w:spacing w:line="240" w:lineRule="auto" w:before="6"/>
                          <w:ind w:left="54"/>
                          <w:rPr>
                            <w:sz w:val="18"/>
                          </w:rPr>
                        </w:pPr>
                        <w:r>
                          <w:rPr>
                            <w:w w:val="95"/>
                            <w:sz w:val="18"/>
                          </w:rPr>
                          <w:t>未还款项的扣除</w:t>
                        </w:r>
                      </w:p>
                    </w:tc>
                    <w:tc>
                      <w:tcPr>
                        <w:tcW w:w="3748" w:type="dxa"/>
                        <w:tcBorders>
                          <w:bottom w:val="dotted" w:sz="6" w:space="0" w:color="000000"/>
                          <w:right w:val="dotted" w:sz="6" w:space="0" w:color="000000"/>
                        </w:tcBorders>
                      </w:tcPr>
                      <w:p>
                        <w:pPr>
                          <w:pStyle w:val="TableParagraph"/>
                          <w:spacing w:line="240" w:lineRule="auto"/>
                          <w:rPr>
                            <w:rFonts w:ascii="Times New Roman"/>
                            <w:sz w:val="18"/>
                          </w:rPr>
                        </w:pPr>
                      </w:p>
                    </w:tc>
                  </w:tr>
                </w:tbl>
                <w:p>
                  <w:pPr>
                    <w:pStyle w:val="BodyText"/>
                    <w:ind w:left="0"/>
                  </w:pPr>
                </w:p>
              </w:txbxContent>
            </v:textbox>
            <w10:wrap type="none"/>
          </v:shape>
        </w:pict>
      </w:r>
      <w:r>
        <w:rPr>
          <w:rFonts w:ascii="Arial" w:hAnsi="Arial" w:eastAsia="Arial"/>
          <w:b/>
          <w:w w:val="150"/>
          <w:position w:val="-11"/>
          <w:sz w:val="44"/>
        </w:rPr>
        <w:t>¤</w:t>
        <w:tab/>
      </w:r>
      <w:r>
        <w:rPr>
          <w:rFonts w:ascii="Microsoft JhengHei" w:hAnsi="Microsoft JhengHei" w:eastAsia="Microsoft JhengHei" w:hint="eastAsia"/>
          <w:b/>
          <w:sz w:val="18"/>
        </w:rPr>
        <w:t>条款目录</w:t>
      </w:r>
    </w:p>
    <w:p>
      <w:pPr>
        <w:spacing w:after="0"/>
        <w:jc w:val="left"/>
        <w:rPr>
          <w:rFonts w:ascii="Microsoft JhengHei" w:hAnsi="Microsoft JhengHei" w:eastAsia="Microsoft JhengHei" w:hint="eastAsia"/>
          <w:sz w:val="18"/>
        </w:rPr>
        <w:sectPr>
          <w:type w:val="continuous"/>
          <w:pgSz w:w="11900" w:h="16840"/>
          <w:pgMar w:top="1040" w:bottom="280" w:left="880" w:right="880"/>
        </w:sectPr>
      </w:pPr>
    </w:p>
    <w:p>
      <w:pPr>
        <w:pStyle w:val="BodyText"/>
        <w:spacing w:before="6"/>
        <w:ind w:left="0"/>
        <w:rPr>
          <w:rFonts w:ascii="Microsoft JhengHei"/>
          <w:b/>
          <w:sz w:val="2"/>
        </w:rPr>
      </w:pPr>
    </w:p>
    <w:p>
      <w:pPr>
        <w:pStyle w:val="BodyText"/>
        <w:spacing w:line="20" w:lineRule="exact"/>
        <w:ind w:left="99"/>
        <w:rPr>
          <w:rFonts w:ascii="Microsoft JhengHei"/>
          <w:sz w:val="2"/>
        </w:rPr>
      </w:pPr>
      <w:r>
        <w:rPr>
          <w:rFonts w:ascii="Times New Roman"/>
          <w:spacing w:val="5"/>
          <w:sz w:val="2"/>
        </w:rPr>
        <w:t> </w:t>
      </w:r>
      <w:r>
        <w:rPr>
          <w:rFonts w:ascii="Microsoft JhengHei"/>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rFonts w:ascii="Microsoft JhengHei"/>
          <w:spacing w:val="5"/>
          <w:sz w:val="2"/>
        </w:rPr>
      </w:r>
    </w:p>
    <w:p>
      <w:pPr>
        <w:spacing w:line="496" w:lineRule="exact" w:before="0"/>
        <w:ind w:left="306" w:right="303" w:firstLine="0"/>
        <w:jc w:val="center"/>
        <w:rPr>
          <w:rFonts w:ascii="Microsoft JhengHei" w:eastAsia="Microsoft JhengHei" w:hint="eastAsia"/>
          <w:b/>
          <w:sz w:val="32"/>
        </w:rPr>
      </w:pPr>
      <w:r>
        <w:rPr>
          <w:rFonts w:ascii="Microsoft JhengHei" w:eastAsia="Microsoft JhengHei" w:hint="eastAsia"/>
          <w:b/>
          <w:sz w:val="32"/>
        </w:rPr>
        <w:t>工银安盛人寿保险有限公司</w:t>
      </w:r>
    </w:p>
    <w:p>
      <w:pPr>
        <w:spacing w:before="67"/>
        <w:ind w:left="306" w:right="305" w:firstLine="0"/>
        <w:jc w:val="center"/>
        <w:rPr>
          <w:rFonts w:ascii="Microsoft JhengHei" w:eastAsia="Microsoft JhengHei" w:hint="eastAsia"/>
          <w:b/>
          <w:sz w:val="32"/>
        </w:rPr>
      </w:pPr>
      <w:r>
        <w:rPr>
          <w:rFonts w:ascii="Microsoft JhengHei" w:eastAsia="Microsoft JhengHei" w:hint="eastAsia"/>
          <w:b/>
          <w:sz w:val="32"/>
        </w:rPr>
        <w:t>工银安盛人寿御享人生重大疾病保险条款</w:t>
      </w:r>
    </w:p>
    <w:p>
      <w:pPr>
        <w:pStyle w:val="BodyText"/>
        <w:ind w:left="0"/>
        <w:rPr>
          <w:rFonts w:ascii="Microsoft JhengHei"/>
          <w:b/>
          <w:sz w:val="20"/>
        </w:rPr>
      </w:pPr>
    </w:p>
    <w:p>
      <w:pPr>
        <w:pStyle w:val="BodyText"/>
        <w:spacing w:before="6"/>
        <w:ind w:left="0"/>
        <w:rPr>
          <w:rFonts w:ascii="Microsoft JhengHei"/>
          <w:b/>
          <w:sz w:val="20"/>
        </w:rPr>
      </w:pPr>
      <w:r>
        <w:rPr/>
        <w:drawing>
          <wp:anchor distT="0" distB="0" distL="0" distR="0" allowOverlap="1" layoutInCell="1" locked="0" behindDoc="0" simplePos="0" relativeHeight="1096">
            <wp:simplePos x="0" y="0"/>
            <wp:positionH relativeFrom="page">
              <wp:posOffset>650741</wp:posOffset>
            </wp:positionH>
            <wp:positionV relativeFrom="paragraph">
              <wp:posOffset>249976</wp:posOffset>
            </wp:positionV>
            <wp:extent cx="6257550" cy="38100"/>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6257550" cy="38100"/>
                    </a:xfrm>
                    <a:prstGeom prst="rect">
                      <a:avLst/>
                    </a:prstGeom>
                  </pic:spPr>
                </pic:pic>
              </a:graphicData>
            </a:graphic>
          </wp:anchor>
        </w:drawing>
      </w:r>
    </w:p>
    <w:p>
      <w:pPr>
        <w:pStyle w:val="BodyText"/>
        <w:spacing w:before="1"/>
        <w:ind w:left="0"/>
        <w:rPr>
          <w:rFonts w:ascii="Microsoft JhengHei"/>
          <w:b/>
          <w:sz w:val="20"/>
        </w:rPr>
      </w:pPr>
    </w:p>
    <w:p>
      <w:pPr>
        <w:tabs>
          <w:tab w:pos="719" w:val="left" w:leader="none"/>
        </w:tabs>
        <w:spacing w:line="459" w:lineRule="exact" w:before="0"/>
        <w:ind w:left="212" w:right="0" w:firstLine="0"/>
        <w:jc w:val="left"/>
        <w:rPr>
          <w:rFonts w:ascii="Microsoft JhengHei" w:eastAsia="Microsoft JhengHei" w:hint="eastAsia"/>
          <w:b/>
          <w:sz w:val="28"/>
        </w:rPr>
      </w:pPr>
      <w:r>
        <w:rPr>
          <w:rFonts w:ascii="MS UI Gothic" w:eastAsia="MS UI Gothic" w:hint="eastAsia"/>
          <w:w w:val="105"/>
          <w:sz w:val="32"/>
        </w:rPr>
        <w:t>O</w:t>
        <w:tab/>
      </w:r>
      <w:r>
        <w:rPr>
          <w:rFonts w:ascii="Microsoft JhengHei" w:eastAsia="Microsoft JhengHei" w:hint="eastAsia"/>
          <w:b/>
          <w:sz w:val="28"/>
        </w:rPr>
        <w:t>保险责任条款</w:t>
      </w:r>
    </w:p>
    <w:p>
      <w:pPr>
        <w:pStyle w:val="BodyText"/>
        <w:spacing w:before="13"/>
        <w:ind w:left="0"/>
        <w:rPr>
          <w:rFonts w:ascii="Microsoft JhengHei"/>
          <w:b/>
          <w:sz w:val="5"/>
        </w:rPr>
      </w:pPr>
      <w:r>
        <w:rPr/>
        <w:pict>
          <v:line style="position:absolute;mso-position-horizontal-relative:page;mso-position-vertical-relative:paragraph;z-index:1120;mso-wrap-distance-left:0;mso-wrap-distance-right:0" from="51.239517pt,7.477882pt" to="543.959506pt,7.477882pt" stroked="true" strokeweight=".959531pt" strokecolor="#000000">
            <v:stroke dashstyle="solid"/>
            <w10:wrap type="topAndBottom"/>
          </v:line>
        </w:pict>
      </w:r>
    </w:p>
    <w:p>
      <w:pPr>
        <w:pStyle w:val="BodyText"/>
        <w:spacing w:before="13"/>
        <w:ind w:left="0"/>
        <w:rPr>
          <w:rFonts w:ascii="Microsoft JhengHei"/>
          <w:b/>
          <w:sz w:val="14"/>
        </w:rPr>
      </w:pPr>
    </w:p>
    <w:p>
      <w:pPr>
        <w:pStyle w:val="Heading1"/>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合同的构成</w:t>
        <w:tab/>
      </w:r>
    </w:p>
    <w:p>
      <w:pPr>
        <w:pStyle w:val="BodyText"/>
        <w:spacing w:line="273" w:lineRule="auto"/>
        <w:ind w:right="204" w:firstLine="419"/>
      </w:pPr>
      <w:r>
        <w:rPr>
          <w:spacing w:val="-3"/>
          <w:w w:val="100"/>
        </w:rPr>
        <w:t>《工银安盛人寿御享人生重大疾病保险合同</w:t>
      </w:r>
      <w:r>
        <w:rPr>
          <w:spacing w:val="-116"/>
          <w:w w:val="100"/>
        </w:rPr>
        <w:t>》</w:t>
      </w:r>
      <w:r>
        <w:rPr>
          <w:w w:val="100"/>
        </w:rPr>
        <w:t>（</w:t>
      </w:r>
      <w:r>
        <w:rPr>
          <w:spacing w:val="-16"/>
          <w:w w:val="100"/>
        </w:rPr>
        <w:t>以下简称“本合同”</w:t>
      </w:r>
      <w:r>
        <w:rPr>
          <w:spacing w:val="-8"/>
          <w:w w:val="100"/>
        </w:rPr>
        <w:t>）</w:t>
      </w:r>
      <w:r>
        <w:rPr>
          <w:spacing w:val="-3"/>
          <w:w w:val="100"/>
        </w:rPr>
        <w:t>由保险单或其他保险凭证及所附</w:t>
      </w:r>
      <w:r>
        <w:rPr>
          <w:spacing w:val="-3"/>
        </w:rPr>
        <w:t>条款、投保单、与本合同有关的投保文件、声明、批注、附贴批单及其他书面协议构成。</w:t>
      </w:r>
    </w:p>
    <w:p>
      <w:pPr>
        <w:pStyle w:val="BodyText"/>
        <w:spacing w:line="273" w:lineRule="auto" w:before="8"/>
        <w:ind w:right="202" w:firstLine="419"/>
      </w:pPr>
      <w:r>
        <w:rPr>
          <w:spacing w:val="-5"/>
        </w:rPr>
        <w:t>若上述构成本合同的文件正本需留我们存档，则其复印件或电子影像印刷件效力与正本相同；若复印</w:t>
      </w:r>
      <w:r>
        <w:rPr>
          <w:spacing w:val="-4"/>
        </w:rPr>
        <w:t>件或电子影像印刷件的内容与正本不同，则以正本为准。</w:t>
      </w:r>
    </w:p>
    <w:p>
      <w:pPr>
        <w:spacing w:before="7"/>
        <w:ind w:left="632" w:right="0" w:firstLine="0"/>
        <w:jc w:val="left"/>
        <w:rPr>
          <w:sz w:val="21"/>
        </w:rPr>
      </w:pPr>
      <w:r>
        <w:rPr>
          <w:sz w:val="21"/>
        </w:rPr>
        <w:t>本合同的英文代码为 </w:t>
      </w:r>
      <w:r>
        <w:rPr>
          <w:rFonts w:ascii="Arial" w:eastAsia="Arial"/>
          <w:sz w:val="20"/>
        </w:rPr>
        <w:t>BRMCCI1</w:t>
      </w:r>
      <w:r>
        <w:rPr>
          <w:sz w:val="21"/>
        </w:rPr>
        <w:t>。</w:t>
      </w:r>
    </w:p>
    <w:p>
      <w:pPr>
        <w:pStyle w:val="BodyText"/>
        <w:ind w:left="0"/>
        <w:rPr>
          <w:sz w:val="20"/>
        </w:rPr>
      </w:pPr>
    </w:p>
    <w:p>
      <w:pPr>
        <w:pStyle w:val="BodyText"/>
        <w:spacing w:before="5"/>
        <w:ind w:left="0"/>
        <w:rPr>
          <w:sz w:val="25"/>
        </w:rPr>
      </w:pPr>
    </w:p>
    <w:p>
      <w:pPr>
        <w:pStyle w:val="Heading1"/>
        <w:numPr>
          <w:ilvl w:val="1"/>
          <w:numId w:val="2"/>
        </w:numPr>
        <w:tabs>
          <w:tab w:pos="937" w:val="left" w:leader="none"/>
          <w:tab w:pos="938" w:val="left" w:leader="none"/>
          <w:tab w:pos="9879" w:val="left" w:leader="none"/>
        </w:tabs>
        <w:spacing w:line="323" w:lineRule="exact" w:before="0" w:after="0"/>
        <w:ind w:left="937" w:right="0" w:hanging="725"/>
        <w:jc w:val="left"/>
      </w:pPr>
      <w:r>
        <w:rPr>
          <w:shd w:fill="E6E6E6" w:color="auto" w:val="clear"/>
        </w:rPr>
        <w:t>投保范围</w:t>
        <w:tab/>
      </w:r>
    </w:p>
    <w:p>
      <w:pPr>
        <w:pStyle w:val="BodyText"/>
        <w:spacing w:line="370" w:lineRule="exact"/>
        <w:ind w:left="632"/>
      </w:pPr>
      <w:r>
        <w:rPr/>
        <w:pict>
          <v:shape style="position:absolute;margin-left:188.159454pt;margin-top:8.360854pt;width:10.6pt;height:10.6pt;mso-position-horizontal-relative:page;mso-position-vertical-relative:paragraph;z-index:-44656" type="#_x0000_t202" filled="false" stroked="false">
            <v:textbox inset="0,0,0,0">
              <w:txbxContent>
                <w:p>
                  <w:pPr>
                    <w:pStyle w:val="BodyText"/>
                    <w:spacing w:line="211" w:lineRule="exact"/>
                    <w:ind w:left="0"/>
                  </w:pPr>
                  <w:r>
                    <w:rPr>
                      <w:w w:val="100"/>
                    </w:rPr>
                    <w:t>．</w:t>
                  </w:r>
                </w:p>
              </w:txbxContent>
            </v:textbox>
            <w10:wrap type="none"/>
          </v:shape>
        </w:pict>
      </w:r>
      <w:r>
        <w:rPr>
          <w:spacing w:val="-11"/>
        </w:rPr>
        <w:t>凡出生满 </w:t>
      </w:r>
      <w:r>
        <w:rPr>
          <w:rFonts w:ascii="Arial" w:eastAsia="Arial"/>
        </w:rPr>
        <w:t>30 </w:t>
      </w:r>
      <w:r>
        <w:rPr>
          <w:spacing w:val="-17"/>
        </w:rPr>
        <w:t>天至 </w:t>
      </w:r>
      <w:r>
        <w:rPr>
          <w:rFonts w:ascii="Arial" w:eastAsia="Arial"/>
        </w:rPr>
        <w:t>60 </w:t>
      </w:r>
      <w:r>
        <w:rPr>
          <w:rFonts w:ascii="Microsoft JhengHei" w:eastAsia="Microsoft JhengHei" w:hint="eastAsia"/>
          <w:b/>
          <w:spacing w:val="-149"/>
        </w:rPr>
        <w:t>周</w:t>
      </w:r>
      <w:r>
        <w:rPr>
          <w:spacing w:val="-63"/>
          <w:position w:val="-7"/>
        </w:rPr>
        <w:t>．</w:t>
      </w:r>
      <w:r>
        <w:rPr>
          <w:rFonts w:ascii="Microsoft JhengHei" w:eastAsia="Microsoft JhengHei" w:hint="eastAsia"/>
          <w:b/>
        </w:rPr>
        <w:t>岁</w:t>
      </w:r>
      <w:r>
        <w:rPr>
          <w:rFonts w:ascii="Times New Roman" w:eastAsia="Times New Roman"/>
          <w:b/>
          <w:vertAlign w:val="superscript"/>
        </w:rPr>
        <w:t>1</w:t>
      </w:r>
      <w:r>
        <w:rPr>
          <w:rFonts w:ascii="Times New Roman" w:eastAsia="Times New Roman"/>
          <w:b/>
          <w:vertAlign w:val="baseline"/>
        </w:rPr>
      </w:r>
      <w:r>
        <w:rPr>
          <w:spacing w:val="-3"/>
          <w:vertAlign w:val="baseline"/>
        </w:rPr>
        <w:t>且身体健康的人，可作为被保险人参加本保险。</w:t>
      </w:r>
    </w:p>
    <w:p>
      <w:pPr>
        <w:pStyle w:val="BodyText"/>
        <w:spacing w:line="273" w:lineRule="exact"/>
        <w:ind w:left="632"/>
        <w:rPr>
          <w:rFonts w:ascii="Arial" w:eastAsia="Arial"/>
        </w:rPr>
      </w:pPr>
      <w:r>
        <w:rPr/>
        <w:t>对于未满 </w:t>
      </w:r>
      <w:r>
        <w:rPr>
          <w:rFonts w:ascii="Arial" w:eastAsia="Arial"/>
        </w:rPr>
        <w:t>18 </w:t>
      </w:r>
      <w:r>
        <w:rPr/>
        <w:t>周岁的被保险人，应由其父母作为投保人向我们投保本保险。对于 </w:t>
      </w:r>
      <w:r>
        <w:rPr>
          <w:rFonts w:ascii="Arial" w:eastAsia="Arial"/>
        </w:rPr>
        <w:t>18 </w:t>
      </w:r>
      <w:r>
        <w:rPr/>
        <w:t>周岁以上（含 </w:t>
      </w:r>
      <w:r>
        <w:rPr>
          <w:rFonts w:ascii="Arial" w:eastAsia="Arial"/>
        </w:rPr>
        <w:t>18</w:t>
      </w:r>
    </w:p>
    <w:p>
      <w:pPr>
        <w:pStyle w:val="BodyText"/>
        <w:spacing w:line="266" w:lineRule="exact"/>
      </w:pPr>
      <w:r>
        <w:rPr/>
        <w:t>周岁）的被保险人，可由其本人或对其有保险利益的人向我们投保。</w:t>
      </w:r>
    </w:p>
    <w:p>
      <w:pPr>
        <w:pStyle w:val="BodyText"/>
        <w:ind w:left="0"/>
        <w:rPr>
          <w:sz w:val="20"/>
        </w:rPr>
      </w:pPr>
    </w:p>
    <w:p>
      <w:pPr>
        <w:pStyle w:val="BodyText"/>
        <w:spacing w:before="1"/>
        <w:ind w:left="0"/>
        <w:rPr>
          <w:sz w:val="25"/>
        </w:rPr>
      </w:pPr>
    </w:p>
    <w:p>
      <w:pPr>
        <w:pStyle w:val="Heading1"/>
        <w:numPr>
          <w:ilvl w:val="1"/>
          <w:numId w:val="2"/>
        </w:numPr>
        <w:tabs>
          <w:tab w:pos="937" w:val="left" w:leader="none"/>
          <w:tab w:pos="938" w:val="left" w:leader="none"/>
          <w:tab w:pos="9879" w:val="left" w:leader="none"/>
        </w:tabs>
        <w:spacing w:line="356" w:lineRule="exact" w:before="0" w:after="0"/>
        <w:ind w:left="937" w:right="0" w:hanging="725"/>
        <w:jc w:val="left"/>
      </w:pPr>
      <w:r>
        <w:rPr>
          <w:shd w:fill="E6E6E6" w:color="auto" w:val="clear"/>
        </w:rPr>
        <w:t>保险期间</w:t>
        <w:tab/>
      </w:r>
    </w:p>
    <w:p>
      <w:pPr>
        <w:pStyle w:val="BodyText"/>
        <w:spacing w:line="237" w:lineRule="auto"/>
        <w:ind w:right="204" w:firstLine="420"/>
      </w:pPr>
      <w:r>
        <w:rPr>
          <w:spacing w:val="-7"/>
        </w:rPr>
        <w:t>您提出保险申请、经我们同意承保，本合同成立。本合同自我们同意承保、收取足额保险费并签发保</w:t>
      </w:r>
      <w:r>
        <w:rPr>
          <w:spacing w:val="-5"/>
        </w:rPr>
        <w:t>险合同开始生效，本合同生效日期在保险单上载明，保单年度、保险费约定支付日均以该日期计算。</w:t>
      </w:r>
    </w:p>
    <w:p>
      <w:pPr>
        <w:pStyle w:val="BodyText"/>
        <w:spacing w:line="289" w:lineRule="exact" w:before="9"/>
        <w:ind w:left="632"/>
      </w:pPr>
      <w:r>
        <w:rPr/>
        <w:t>除非有另外的约定，本合同的保险期间为被保险人终身，自保险单所载生效日当日 </w:t>
      </w:r>
      <w:r>
        <w:rPr>
          <w:rFonts w:ascii="Arial" w:eastAsia="Arial"/>
        </w:rPr>
        <w:t>24 </w:t>
      </w:r>
      <w:r>
        <w:rPr/>
        <w:t>时起计算。</w:t>
      </w:r>
    </w:p>
    <w:p>
      <w:pPr>
        <w:pStyle w:val="BodyText"/>
        <w:ind w:left="0"/>
        <w:rPr>
          <w:sz w:val="20"/>
        </w:rPr>
      </w:pPr>
    </w:p>
    <w:p>
      <w:pPr>
        <w:pStyle w:val="Heading1"/>
        <w:numPr>
          <w:ilvl w:val="1"/>
          <w:numId w:val="2"/>
        </w:numPr>
        <w:tabs>
          <w:tab w:pos="937" w:val="left" w:leader="none"/>
          <w:tab w:pos="938" w:val="left" w:leader="none"/>
          <w:tab w:pos="9879" w:val="left" w:leader="none"/>
        </w:tabs>
        <w:spacing w:line="406" w:lineRule="exact" w:before="122" w:after="0"/>
        <w:ind w:left="937" w:right="0" w:hanging="725"/>
        <w:jc w:val="left"/>
      </w:pPr>
      <w:r>
        <w:rPr>
          <w:shd w:fill="E6E6E6" w:color="auto" w:val="clear"/>
        </w:rPr>
        <w:t>犹豫期</w:t>
        <w:tab/>
      </w:r>
    </w:p>
    <w:p>
      <w:pPr>
        <w:pStyle w:val="BodyText"/>
        <w:spacing w:line="278" w:lineRule="exact"/>
        <w:ind w:left="632"/>
      </w:pPr>
      <w:r>
        <w:rPr/>
        <w:t>我们给予您 </w:t>
      </w:r>
      <w:r>
        <w:rPr>
          <w:rFonts w:ascii="Arial" w:eastAsia="Arial"/>
        </w:rPr>
        <w:t>15 </w:t>
      </w:r>
      <w:r>
        <w:rPr/>
        <w:t>日的犹豫期，自您签收保险合同之日起算。</w:t>
      </w:r>
    </w:p>
    <w:p>
      <w:pPr>
        <w:pStyle w:val="BodyText"/>
        <w:spacing w:line="273" w:lineRule="auto" w:before="3"/>
        <w:ind w:right="202" w:firstLine="419"/>
        <w:jc w:val="both"/>
      </w:pPr>
      <w:r>
        <w:rPr>
          <w:spacing w:val="-5"/>
        </w:rPr>
        <w:t>在此期间如果您确定此保险合同与您的需求不相符，可向我们书面提出解除合同的申请，并将本合同</w:t>
      </w:r>
      <w:r>
        <w:rPr>
          <w:spacing w:val="-8"/>
        </w:rPr>
        <w:t>退还我们。本合同自我们收到书面申请当日正式解除，我们自始不承担保险责任，并无息退还已收本合同</w:t>
      </w:r>
      <w:r>
        <w:rPr>
          <w:spacing w:val="-5"/>
        </w:rPr>
        <w:t>全部保险费。</w:t>
      </w:r>
    </w:p>
    <w:p>
      <w:pPr>
        <w:pStyle w:val="BodyText"/>
        <w:spacing w:line="247" w:lineRule="auto" w:before="7"/>
        <w:ind w:left="632" w:right="1018"/>
        <w:rPr>
          <w:sz w:val="24"/>
        </w:rPr>
      </w:pPr>
      <w:r>
        <w:rPr/>
        <w:t>但如果您或受益人曾向我们提出理赔申请，则不得在上述规定的犹豫期内行使合同解除权。您要求解除本合同时</w:t>
      </w:r>
      <w:r>
        <w:rPr>
          <w:sz w:val="24"/>
        </w:rPr>
        <w:t>，</w:t>
      </w:r>
      <w:r>
        <w:rPr/>
        <w:t>请填写解除合同申请书并向我们提供下列资料</w:t>
      </w:r>
      <w:r>
        <w:rPr>
          <w:sz w:val="24"/>
        </w:rPr>
        <w:t>：</w:t>
      </w:r>
    </w:p>
    <w:p>
      <w:pPr>
        <w:pStyle w:val="BodyText"/>
        <w:spacing w:line="271" w:lineRule="exact"/>
        <w:ind w:left="632"/>
      </w:pPr>
      <w:r>
        <w:rPr/>
        <w:t>一、保险合同原件；</w:t>
      </w:r>
    </w:p>
    <w:p>
      <w:pPr>
        <w:pStyle w:val="BodyText"/>
        <w:spacing w:line="237" w:lineRule="auto" w:before="3"/>
        <w:ind w:left="632" w:right="7111"/>
      </w:pPr>
      <w:r>
        <w:rPr/>
        <w:t>二、您的有效身份证件； 三、首期发票。</w:t>
      </w:r>
    </w:p>
    <w:p>
      <w:pPr>
        <w:pStyle w:val="BodyText"/>
        <w:ind w:left="0"/>
        <w:rPr>
          <w:sz w:val="20"/>
        </w:rPr>
      </w:pPr>
    </w:p>
    <w:p>
      <w:pPr>
        <w:pStyle w:val="BodyText"/>
        <w:spacing w:before="12"/>
        <w:ind w:left="0"/>
        <w:rPr>
          <w:sz w:val="24"/>
        </w:rPr>
      </w:pPr>
    </w:p>
    <w:p>
      <w:pPr>
        <w:pStyle w:val="Heading1"/>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基本保险金额</w:t>
        <w:tab/>
      </w:r>
    </w:p>
    <w:p>
      <w:pPr>
        <w:pStyle w:val="BodyText"/>
        <w:spacing w:line="273" w:lineRule="auto"/>
        <w:ind w:left="224" w:right="202" w:firstLine="400"/>
      </w:pPr>
      <w:r>
        <w:rPr>
          <w:spacing w:val="-5"/>
        </w:rPr>
        <w:t>本合同的基本保险金额由您在投保时与我们约定，并在保险单上载明，若发生变更，则以变更后的基</w:t>
      </w:r>
      <w:r>
        <w:rPr>
          <w:spacing w:val="-4"/>
        </w:rPr>
        <w:t>本保险金额为准。</w:t>
      </w:r>
    </w:p>
    <w:p>
      <w:pPr>
        <w:spacing w:after="0" w:line="273" w:lineRule="auto"/>
        <w:sectPr>
          <w:headerReference w:type="default" r:id="rId7"/>
          <w:footerReference w:type="default" r:id="rId8"/>
          <w:pgSz w:w="11900" w:h="16840"/>
          <w:pgMar w:header="844" w:footer="547" w:top="1040" w:bottom="740" w:left="920" w:right="920"/>
          <w:pgNumType w:start="11"/>
        </w:sectPr>
      </w:pPr>
    </w:p>
    <w:p>
      <w:pPr>
        <w:pStyle w:val="BodyText"/>
        <w:spacing w:before="1"/>
        <w:ind w:left="0"/>
        <w:rPr>
          <w:sz w:val="3"/>
        </w:rPr>
      </w:pPr>
    </w:p>
    <w:p>
      <w:pPr>
        <w:pStyle w:val="BodyText"/>
        <w:spacing w:line="20" w:lineRule="exact"/>
        <w:ind w:left="99"/>
        <w:rPr>
          <w:sz w:val="2"/>
        </w:rPr>
      </w:pPr>
      <w:r>
        <w:rPr>
          <w:rFonts w:ascii="Times New Roman"/>
          <w:spacing w:val="5"/>
          <w:sz w:val="2"/>
        </w:rPr>
        <w:t> </w:t>
      </w:r>
      <w:r>
        <w:rPr>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spacing w:val="5"/>
          <w:sz w:val="2"/>
        </w:rPr>
      </w:r>
    </w:p>
    <w:p>
      <w:pPr>
        <w:pStyle w:val="BodyText"/>
        <w:ind w:left="0"/>
        <w:rPr>
          <w:sz w:val="18"/>
        </w:rPr>
      </w:pPr>
    </w:p>
    <w:p>
      <w:pPr>
        <w:pStyle w:val="Heading1"/>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未成年人身故保险金限制</w:t>
        <w:tab/>
      </w:r>
    </w:p>
    <w:p>
      <w:pPr>
        <w:pStyle w:val="BodyText"/>
        <w:spacing w:line="218" w:lineRule="auto" w:before="24"/>
        <w:ind w:right="202" w:firstLine="419"/>
        <w:rPr>
          <w:rFonts w:ascii="Microsoft JhengHei" w:eastAsia="Microsoft JhengHei" w:hint="eastAsia"/>
          <w:b/>
        </w:rPr>
      </w:pPr>
      <w:r>
        <w:rPr>
          <w:spacing w:val="-5"/>
        </w:rPr>
        <w:t>为未成年子女投保的人身保险，因被保险人身故给付的保险金总和不得超过国务院保险监督管理机构</w:t>
      </w:r>
      <w:r>
        <w:rPr>
          <w:spacing w:val="-4"/>
        </w:rPr>
        <w:t>规定的限额，身故给付的保险金总和约定也不得超过前述限额</w:t>
      </w:r>
      <w:r>
        <w:rPr>
          <w:rFonts w:ascii="Microsoft JhengHei" w:eastAsia="Microsoft JhengHei" w:hint="eastAsia"/>
          <w:b/>
        </w:rPr>
        <w:t>。</w:t>
      </w:r>
    </w:p>
    <w:p>
      <w:pPr>
        <w:pStyle w:val="BodyText"/>
        <w:ind w:left="0"/>
        <w:rPr>
          <w:rFonts w:ascii="Microsoft JhengHei"/>
          <w:b/>
          <w:sz w:val="20"/>
        </w:rPr>
      </w:pPr>
    </w:p>
    <w:p>
      <w:pPr>
        <w:pStyle w:val="BodyText"/>
        <w:spacing w:before="9"/>
        <w:ind w:left="0"/>
        <w:rPr>
          <w:rFonts w:ascii="Microsoft JhengHei"/>
          <w:b/>
          <w:sz w:val="13"/>
        </w:rPr>
      </w:pPr>
    </w:p>
    <w:p>
      <w:pPr>
        <w:pStyle w:val="Heading1"/>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保险责任</w:t>
        <w:tab/>
      </w:r>
    </w:p>
    <w:p>
      <w:pPr>
        <w:pStyle w:val="BodyText"/>
        <w:spacing w:line="355" w:lineRule="auto"/>
        <w:ind w:left="618" w:right="5220" w:firstLine="14"/>
      </w:pPr>
      <w:r>
        <w:rPr/>
        <w:t>在本合同保险期间，我们承担以下保险责任： 一、轻症保险金</w:t>
      </w:r>
    </w:p>
    <w:p>
      <w:pPr>
        <w:spacing w:line="84" w:lineRule="exact" w:before="0"/>
        <w:ind w:left="1052" w:right="0" w:firstLine="0"/>
        <w:jc w:val="left"/>
        <w:rPr>
          <w:sz w:val="21"/>
        </w:rPr>
      </w:pPr>
      <w:r>
        <w:rPr>
          <w:rFonts w:ascii="Times New Roman" w:eastAsia="Times New Roman"/>
          <w:sz w:val="21"/>
        </w:rPr>
        <w:t>1</w:t>
      </w:r>
      <w:r>
        <w:rPr>
          <w:sz w:val="21"/>
        </w:rPr>
        <w:t>、 首次轻症保险金：在本合同有效期内，若被保险人在</w:t>
      </w:r>
      <w:r>
        <w:rPr>
          <w:rFonts w:ascii="Microsoft JhengHei" w:eastAsia="Microsoft JhengHei" w:hint="eastAsia"/>
          <w:b/>
          <w:sz w:val="21"/>
        </w:rPr>
        <w:t>等待期</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后首次</w:t>
      </w:r>
      <w:r>
        <w:rPr>
          <w:rFonts w:ascii="Microsoft JhengHei" w:eastAsia="Microsoft JhengHei" w:hint="eastAsia"/>
          <w:b/>
          <w:sz w:val="21"/>
          <w:vertAlign w:val="baseline"/>
        </w:rPr>
        <w:t>发病</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，并被</w:t>
      </w:r>
      <w:r>
        <w:rPr>
          <w:rFonts w:ascii="Microsoft JhengHei" w:eastAsia="Microsoft JhengHei" w:hint="eastAsia"/>
          <w:b/>
          <w:sz w:val="21"/>
          <w:vertAlign w:val="baseline"/>
        </w:rPr>
        <w:t>专科医生</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首</w:t>
      </w:r>
    </w:p>
    <w:p>
      <w:pPr>
        <w:pStyle w:val="BodyText"/>
        <w:tabs>
          <w:tab w:pos="7676" w:val="left" w:leader="none"/>
          <w:tab w:pos="8787" w:val="left" w:leader="none"/>
        </w:tabs>
        <w:spacing w:line="210" w:lineRule="exact"/>
        <w:ind w:left="6344"/>
      </w:pPr>
      <w:r>
        <w:rPr/>
        <w:t>．．．</w:t>
        <w:tab/>
        <w:t>．．</w:t>
        <w:tab/>
        <w:t>．．．．</w:t>
      </w:r>
    </w:p>
    <w:p>
      <w:pPr>
        <w:pStyle w:val="BodyText"/>
        <w:spacing w:line="380" w:lineRule="exact"/>
        <w:ind w:left="1487"/>
      </w:pPr>
      <w:r>
        <w:rPr/>
        <w:pict>
          <v:shape style="position:absolute;margin-left:283.080536pt;margin-top:8.528463pt;width:10.6pt;height:10.6pt;mso-position-horizontal-relative:page;mso-position-vertical-relative:paragraph;z-index:-44608" type="#_x0000_t202" filled="false" stroked="false">
            <v:textbox inset="0,0,0,0">
              <w:txbxContent>
                <w:p>
                  <w:pPr>
                    <w:pStyle w:val="BodyText"/>
                    <w:spacing w:line="211" w:lineRule="exact"/>
                    <w:ind w:left="0"/>
                  </w:pPr>
                  <w:r>
                    <w:rPr>
                      <w:w w:val="100"/>
                    </w:rPr>
                    <w:t>．</w:t>
                  </w:r>
                </w:p>
              </w:txbxContent>
            </v:textbox>
            <w10:wrap type="none"/>
          </v:shape>
        </w:pict>
      </w:r>
      <w:r>
        <w:rPr/>
        <w:t>次确诊患有本合同定义的三十种</w:t>
      </w:r>
      <w:r>
        <w:rPr>
          <w:rFonts w:ascii="Microsoft JhengHei" w:eastAsia="Microsoft JhengHei" w:hint="eastAsia"/>
          <w:b/>
          <w:spacing w:val="-149"/>
        </w:rPr>
        <w:t>轻</w:t>
      </w:r>
      <w:r>
        <w:rPr>
          <w:spacing w:val="-60"/>
          <w:position w:val="-7"/>
        </w:rPr>
        <w:t>．</w:t>
      </w:r>
      <w:r>
        <w:rPr>
          <w:rFonts w:ascii="Microsoft JhengHei" w:eastAsia="Microsoft JhengHei" w:hint="eastAsia"/>
          <w:b/>
        </w:rPr>
        <w:t>症</w:t>
      </w:r>
      <w:r>
        <w:rPr>
          <w:rFonts w:ascii="Times New Roman" w:eastAsia="Times New Roman"/>
          <w:b/>
          <w:vertAlign w:val="superscript"/>
        </w:rPr>
        <w:t>5</w:t>
      </w:r>
      <w:r>
        <w:rPr>
          <w:rFonts w:ascii="Times New Roman" w:eastAsia="Times New Roman"/>
          <w:b/>
          <w:vertAlign w:val="baseline"/>
        </w:rPr>
      </w:r>
      <w:r>
        <w:rPr>
          <w:vertAlign w:val="baseline"/>
        </w:rPr>
        <w:t>（无论一种或多种），我们将按本合同约定的基本保</w:t>
      </w:r>
    </w:p>
    <w:p>
      <w:pPr>
        <w:pStyle w:val="BodyText"/>
        <w:spacing w:before="22"/>
        <w:ind w:left="1487"/>
      </w:pPr>
      <w:r>
        <w:rPr/>
        <w:t>险金额的 </w:t>
      </w:r>
      <w:r>
        <w:rPr>
          <w:rFonts w:ascii="Arial" w:hAnsi="Arial" w:eastAsia="Arial"/>
        </w:rPr>
        <w:t>20%</w:t>
      </w:r>
      <w:r>
        <w:rPr/>
        <w:t>给付“首次轻症保险金”予被保险人，本项保险责任终止。</w:t>
      </w:r>
    </w:p>
    <w:p>
      <w:pPr>
        <w:pStyle w:val="BodyText"/>
        <w:spacing w:line="273" w:lineRule="auto" w:before="22"/>
        <w:ind w:left="637" w:right="202" w:firstLine="398"/>
      </w:pPr>
      <w:r>
        <w:rPr/>
        <w:t>自首次轻症确诊后的首个保险费到期日起，我们将豁免您剩余交费期本合同的续期保险费，获豁免的本合同的续期保险费视为已交付，本合同继续有效。</w:t>
      </w:r>
    </w:p>
    <w:p>
      <w:pPr>
        <w:pStyle w:val="BodyText"/>
        <w:spacing w:line="211" w:lineRule="auto" w:before="136"/>
        <w:ind w:left="1487" w:right="204" w:hanging="437"/>
      </w:pPr>
      <w:r>
        <w:rPr/>
        <w:pict>
          <v:shape style="position:absolute;margin-left:422.641235pt;margin-top:28.044466pt;width:10.6pt;height:10.6pt;mso-position-horizontal-relative:page;mso-position-vertical-relative:paragraph;z-index:-44584" type="#_x0000_t202" filled="false" stroked="false">
            <v:textbox inset="0,0,0,0">
              <w:txbxContent>
                <w:p>
                  <w:pPr>
                    <w:pStyle w:val="BodyText"/>
                    <w:spacing w:line="211" w:lineRule="exact"/>
                    <w:ind w:left="0"/>
                  </w:pPr>
                  <w:r>
                    <w:rPr>
                      <w:w w:val="100"/>
                    </w:rPr>
                    <w:t>．</w:t>
                  </w:r>
                </w:p>
              </w:txbxContent>
            </v:textbox>
            <w10:wrap type="none"/>
          </v:shape>
        </w:pict>
      </w:r>
      <w:r>
        <w:rPr>
          <w:rFonts w:ascii="Times New Roman" w:eastAsia="Times New Roman"/>
        </w:rPr>
        <w:t>2</w:t>
      </w:r>
      <w:r>
        <w:rPr>
          <w:spacing w:val="-5"/>
        </w:rPr>
        <w:t>、 第二次轻症保险金：在本合同有效期内，若被保险人在等待期后首次发病，且自首次轻症确</w:t>
      </w:r>
      <w:r>
        <w:rPr>
          <w:spacing w:val="-4"/>
        </w:rPr>
        <w:t>诊之日起满 </w:t>
      </w:r>
      <w:r>
        <w:rPr>
          <w:rFonts w:ascii="Arial" w:eastAsia="Arial"/>
        </w:rPr>
        <w:t>180 </w:t>
      </w:r>
      <w:r>
        <w:rPr>
          <w:spacing w:val="-3"/>
        </w:rPr>
        <w:t>天后，被专科医生首次确诊患有首次</w:t>
      </w:r>
      <w:r>
        <w:rPr>
          <w:rFonts w:ascii="Microsoft JhengHei" w:eastAsia="Microsoft JhengHei" w:hint="eastAsia"/>
          <w:b/>
          <w:spacing w:val="-149"/>
        </w:rPr>
        <w:t>轻</w:t>
      </w:r>
      <w:r>
        <w:rPr>
          <w:spacing w:val="-63"/>
          <w:position w:val="-7"/>
        </w:rPr>
        <w:t>．</w:t>
      </w:r>
      <w:r>
        <w:rPr>
          <w:rFonts w:ascii="Microsoft JhengHei" w:eastAsia="Microsoft JhengHei" w:hint="eastAsia"/>
          <w:b/>
          <w:spacing w:val="-149"/>
        </w:rPr>
        <w:t>症</w:t>
      </w:r>
      <w:r>
        <w:rPr>
          <w:spacing w:val="-63"/>
          <w:position w:val="-7"/>
        </w:rPr>
        <w:t>．</w:t>
      </w:r>
      <w:r>
        <w:rPr>
          <w:rFonts w:ascii="Microsoft JhengHei" w:eastAsia="Microsoft JhengHei" w:hint="eastAsia"/>
          <w:b/>
          <w:spacing w:val="-149"/>
        </w:rPr>
        <w:t>所</w:t>
      </w:r>
      <w:r>
        <w:rPr>
          <w:spacing w:val="-63"/>
          <w:position w:val="-7"/>
        </w:rPr>
        <w:t>．</w:t>
      </w:r>
      <w:r>
        <w:rPr>
          <w:rFonts w:ascii="Microsoft JhengHei" w:eastAsia="Microsoft JhengHei" w:hint="eastAsia"/>
          <w:b/>
          <w:spacing w:val="-149"/>
        </w:rPr>
        <w:t>属</w:t>
      </w:r>
      <w:r>
        <w:rPr>
          <w:spacing w:val="-63"/>
          <w:position w:val="-7"/>
        </w:rPr>
        <w:t>．</w:t>
      </w:r>
      <w:r>
        <w:rPr>
          <w:rFonts w:ascii="Microsoft JhengHei" w:eastAsia="Microsoft JhengHei" w:hint="eastAsia"/>
          <w:b/>
          <w:spacing w:val="-149"/>
        </w:rPr>
        <w:t>组</w:t>
      </w:r>
      <w:r>
        <w:rPr>
          <w:spacing w:val="-63"/>
          <w:position w:val="-7"/>
        </w:rPr>
        <w:t>．</w:t>
      </w:r>
      <w:r>
        <w:rPr>
          <w:rFonts w:ascii="Microsoft JhengHei" w:eastAsia="Microsoft JhengHei" w:hint="eastAsia"/>
          <w:b/>
        </w:rPr>
        <w:t>别</w:t>
      </w:r>
      <w:r>
        <w:rPr>
          <w:rFonts w:ascii="Times New Roman" w:eastAsia="Times New Roman"/>
          <w:b/>
          <w:vertAlign w:val="superscript"/>
        </w:rPr>
        <w:t>6</w:t>
      </w:r>
      <w:r>
        <w:rPr>
          <w:rFonts w:ascii="Times New Roman" w:eastAsia="Times New Roman"/>
          <w:b/>
          <w:vertAlign w:val="baseline"/>
        </w:rPr>
      </w:r>
      <w:r>
        <w:rPr>
          <w:spacing w:val="-3"/>
          <w:vertAlign w:val="baseline"/>
        </w:rPr>
        <w:t>以外其他三组中的任何</w:t>
      </w:r>
    </w:p>
    <w:p>
      <w:pPr>
        <w:pStyle w:val="BodyText"/>
        <w:spacing w:line="259" w:lineRule="auto" w:before="28"/>
        <w:ind w:left="1487" w:right="204" w:hanging="1"/>
      </w:pPr>
      <w:r>
        <w:rPr>
          <w:spacing w:val="-12"/>
        </w:rPr>
        <w:t>轻症</w:t>
      </w:r>
      <w:r>
        <w:rPr/>
        <w:t>（</w:t>
      </w:r>
      <w:r>
        <w:rPr>
          <w:spacing w:val="-3"/>
        </w:rPr>
        <w:t>无论一种或多种</w:t>
      </w:r>
      <w:r>
        <w:rPr>
          <w:spacing w:val="-24"/>
        </w:rPr>
        <w:t>），</w:t>
      </w:r>
      <w:r>
        <w:rPr>
          <w:spacing w:val="-5"/>
        </w:rPr>
        <w:t>我们将按本合同约定的基本保险金额的 </w:t>
      </w:r>
      <w:r>
        <w:rPr>
          <w:rFonts w:ascii="Arial" w:hAnsi="Arial" w:eastAsia="Arial"/>
        </w:rPr>
        <w:t>20%</w:t>
      </w:r>
      <w:r>
        <w:rPr>
          <w:spacing w:val="-7"/>
        </w:rPr>
        <w:t>给付“第二次轻症保</w:t>
      </w:r>
      <w:r>
        <w:rPr>
          <w:spacing w:val="-5"/>
        </w:rPr>
        <w:t>险金”予被保险人，本项保险责任终止。</w:t>
      </w:r>
    </w:p>
    <w:p>
      <w:pPr>
        <w:pStyle w:val="BodyText"/>
        <w:spacing w:line="256" w:lineRule="auto" w:before="113"/>
        <w:ind w:left="1487" w:right="202" w:hanging="437"/>
      </w:pPr>
      <w:r>
        <w:rPr>
          <w:rFonts w:ascii="Times New Roman" w:eastAsia="Times New Roman"/>
        </w:rPr>
        <w:t>3</w:t>
      </w:r>
      <w:r>
        <w:rPr>
          <w:spacing w:val="-5"/>
        </w:rPr>
        <w:t>、 第三次轻症保险金：在本合同有效期内，若被保险人在等待期后首次发病，且自第二次轻症</w:t>
      </w:r>
      <w:r>
        <w:rPr>
          <w:spacing w:val="-9"/>
        </w:rPr>
        <w:t>确诊之日起满 </w:t>
      </w:r>
      <w:r>
        <w:rPr>
          <w:rFonts w:ascii="Arial" w:eastAsia="Arial"/>
        </w:rPr>
        <w:t>180 </w:t>
      </w:r>
      <w:r>
        <w:rPr>
          <w:spacing w:val="-10"/>
        </w:rPr>
        <w:t>天后，被专科医生首次确诊患有首次轻症所属组别及第二次轻症所属组别</w:t>
      </w:r>
    </w:p>
    <w:p>
      <w:pPr>
        <w:pStyle w:val="BodyText"/>
        <w:spacing w:before="5"/>
        <w:ind w:left="1487"/>
        <w:rPr>
          <w:rFonts w:ascii="Arial" w:eastAsia="Arial"/>
        </w:rPr>
      </w:pPr>
      <w:r>
        <w:rPr>
          <w:spacing w:val="-12"/>
        </w:rPr>
        <w:t>以外其他两组中的任何轻症</w:t>
      </w:r>
      <w:r>
        <w:rPr/>
        <w:t>（</w:t>
      </w:r>
      <w:r>
        <w:rPr>
          <w:spacing w:val="-3"/>
        </w:rPr>
        <w:t>无论一种或多种</w:t>
      </w:r>
      <w:r>
        <w:rPr>
          <w:spacing w:val="-103"/>
        </w:rPr>
        <w:t>）</w:t>
      </w:r>
      <w:r>
        <w:rPr>
          <w:spacing w:val="-12"/>
        </w:rPr>
        <w:t>，我们将按本合同约定的基本保险金额的 </w:t>
      </w:r>
      <w:r>
        <w:rPr>
          <w:rFonts w:ascii="Arial" w:eastAsia="Arial"/>
        </w:rPr>
        <w:t>20%</w:t>
      </w:r>
    </w:p>
    <w:p>
      <w:pPr>
        <w:pStyle w:val="BodyText"/>
        <w:spacing w:line="297" w:lineRule="auto" w:before="21"/>
        <w:ind w:left="1035" w:right="2894" w:firstLine="451"/>
      </w:pPr>
      <w:r>
        <w:rPr/>
        <w:pict>
          <v:shape style="position:absolute;margin-left:227.159546pt;margin-top:28.718678pt;width:10.6pt;height:10.6pt;mso-position-horizontal-relative:page;mso-position-vertical-relative:paragraph;z-index:-44560" type="#_x0000_t202" filled="false" stroked="false">
            <v:textbox inset="0,0,0,0">
              <w:txbxContent>
                <w:p>
                  <w:pPr>
                    <w:pStyle w:val="BodyText"/>
                    <w:spacing w:line="211" w:lineRule="exact"/>
                    <w:ind w:left="0"/>
                  </w:pPr>
                  <w:r>
                    <w:rPr>
                      <w:w w:val="100"/>
                    </w:rPr>
                    <w:t>．</w:t>
                  </w:r>
                </w:p>
              </w:txbxContent>
            </v:textbox>
            <w10:wrap type="none"/>
          </v:shape>
        </w:pict>
      </w:r>
      <w:r>
        <w:rPr>
          <w:spacing w:val="-3"/>
        </w:rPr>
        <w:t>给付“第三次轻症保险金”予被保险人，本项保险责任终止。被保险人因遭受</w:t>
      </w:r>
      <w:r>
        <w:rPr>
          <w:rFonts w:ascii="Microsoft JhengHei" w:hAnsi="Microsoft JhengHei" w:eastAsia="Microsoft JhengHei" w:hint="eastAsia"/>
          <w:b/>
          <w:spacing w:val="-149"/>
        </w:rPr>
        <w:t>意</w:t>
      </w:r>
      <w:r>
        <w:rPr>
          <w:spacing w:val="-63"/>
          <w:position w:val="-7"/>
        </w:rPr>
        <w:t>．</w:t>
      </w:r>
      <w:r>
        <w:rPr>
          <w:rFonts w:ascii="Microsoft JhengHei" w:hAnsi="Microsoft JhengHei" w:eastAsia="Microsoft JhengHei" w:hint="eastAsia"/>
          <w:b/>
          <w:spacing w:val="-149"/>
        </w:rPr>
        <w:t>外</w:t>
      </w:r>
      <w:r>
        <w:rPr>
          <w:spacing w:val="-63"/>
          <w:position w:val="-7"/>
        </w:rPr>
        <w:t>．</w:t>
      </w:r>
      <w:r>
        <w:rPr>
          <w:rFonts w:ascii="Microsoft JhengHei" w:hAnsi="Microsoft JhengHei" w:eastAsia="Microsoft JhengHei" w:hint="eastAsia"/>
          <w:b/>
          <w:spacing w:val="-149"/>
        </w:rPr>
        <w:t>伤</w:t>
      </w:r>
      <w:r>
        <w:rPr>
          <w:spacing w:val="-63"/>
          <w:position w:val="-7"/>
        </w:rPr>
        <w:t>．</w:t>
      </w:r>
      <w:r>
        <w:rPr>
          <w:rFonts w:ascii="Microsoft JhengHei" w:hAnsi="Microsoft JhengHei" w:eastAsia="Microsoft JhengHei" w:hint="eastAsia"/>
          <w:b/>
          <w:spacing w:val="-152"/>
        </w:rPr>
        <w:t>害</w:t>
      </w:r>
      <w:r>
        <w:rPr>
          <w:spacing w:val="-63"/>
          <w:position w:val="-7"/>
        </w:rPr>
        <w:t>．</w:t>
      </w:r>
      <w:r>
        <w:rPr>
          <w:rFonts w:ascii="Microsoft JhengHei" w:hAnsi="Microsoft JhengHei" w:eastAsia="Microsoft JhengHei" w:hint="eastAsia"/>
          <w:b/>
          <w:spacing w:val="-149"/>
        </w:rPr>
        <w:t>事</w:t>
      </w:r>
      <w:r>
        <w:rPr>
          <w:spacing w:val="-63"/>
          <w:position w:val="-7"/>
        </w:rPr>
        <w:t>．</w:t>
      </w:r>
      <w:r>
        <w:rPr>
          <w:rFonts w:ascii="Microsoft JhengHei" w:hAnsi="Microsoft JhengHei" w:eastAsia="Microsoft JhengHei" w:hint="eastAsia"/>
          <w:b/>
        </w:rPr>
        <w:t>故</w:t>
      </w:r>
      <w:r>
        <w:rPr>
          <w:rFonts w:ascii="Times New Roman" w:hAnsi="Times New Roman" w:eastAsia="Times New Roman"/>
          <w:b/>
          <w:vertAlign w:val="superscript"/>
        </w:rPr>
        <w:t>7</w:t>
      </w:r>
      <w:r>
        <w:rPr>
          <w:rFonts w:ascii="Times New Roman" w:hAnsi="Times New Roman" w:eastAsia="Times New Roman"/>
          <w:b/>
          <w:vertAlign w:val="baseline"/>
        </w:rPr>
      </w:r>
      <w:r>
        <w:rPr>
          <w:spacing w:val="-3"/>
          <w:vertAlign w:val="baseline"/>
        </w:rPr>
        <w:t>导致轻症的，不受等待期限制。</w:t>
      </w:r>
    </w:p>
    <w:p>
      <w:pPr>
        <w:pStyle w:val="BodyText"/>
        <w:spacing w:before="34"/>
        <w:ind w:left="635"/>
      </w:pPr>
      <w:r>
        <w:rPr/>
        <w:t>二、重大疾病保险金</w:t>
      </w:r>
    </w:p>
    <w:p>
      <w:pPr>
        <w:pStyle w:val="BodyText"/>
        <w:spacing w:line="211" w:lineRule="auto" w:before="71"/>
        <w:ind w:left="1487" w:right="204" w:hanging="435"/>
        <w:jc w:val="both"/>
      </w:pPr>
      <w:r>
        <w:rPr/>
        <w:pict>
          <v:shape style="position:absolute;margin-left:282.840607pt;margin-top:24.794477pt;width:42.6pt;height:10.6pt;mso-position-horizontal-relative:page;mso-position-vertical-relative:paragraph;z-index:-44536" type="#_x0000_t202" filled="false" stroked="false">
            <v:textbox inset="0,0,0,0">
              <w:txbxContent>
                <w:p>
                  <w:pPr>
                    <w:pStyle w:val="BodyText"/>
                    <w:spacing w:line="211" w:lineRule="exact"/>
                    <w:ind w:left="0"/>
                  </w:pPr>
                  <w:r>
                    <w:rPr/>
                    <w:t>．．．．</w:t>
                  </w:r>
                </w:p>
              </w:txbxContent>
            </v:textbox>
            <w10:wrap type="none"/>
          </v:shape>
        </w:pict>
      </w:r>
      <w:r>
        <w:rPr>
          <w:rFonts w:ascii="Times New Roman" w:eastAsia="Times New Roman"/>
        </w:rPr>
        <w:t>1</w:t>
      </w:r>
      <w:r>
        <w:rPr>
          <w:spacing w:val="-5"/>
        </w:rPr>
        <w:t>、 首次重大疾病保险金：在本合同有效期内，若被保险人在等待期后首次发病，并被专科医生首次确诊患有本合同定义的八十种</w:t>
      </w:r>
      <w:r>
        <w:rPr>
          <w:rFonts w:ascii="Microsoft JhengHei" w:eastAsia="Microsoft JhengHei" w:hint="eastAsia"/>
          <w:b/>
          <w:spacing w:val="-5"/>
        </w:rPr>
        <w:t>重大疾病</w:t>
      </w:r>
      <w:r>
        <w:rPr>
          <w:rFonts w:ascii="Times New Roman" w:eastAsia="Times New Roman"/>
          <w:b/>
          <w:spacing w:val="-5"/>
          <w:vertAlign w:val="superscript"/>
        </w:rPr>
        <w:t>8</w:t>
      </w:r>
      <w:r>
        <w:rPr>
          <w:rFonts w:ascii="Times New Roman" w:eastAsia="Times New Roman"/>
          <w:b/>
          <w:spacing w:val="-5"/>
          <w:vertAlign w:val="baseline"/>
        </w:rPr>
      </w:r>
      <w:r>
        <w:rPr>
          <w:spacing w:val="-5"/>
          <w:vertAlign w:val="baseline"/>
        </w:rPr>
        <w:t>（无论一种或多种），我们将按本合同约定的</w:t>
      </w:r>
    </w:p>
    <w:p>
      <w:pPr>
        <w:pStyle w:val="BodyText"/>
        <w:spacing w:line="211" w:lineRule="auto" w:before="112"/>
        <w:ind w:left="1487" w:right="98"/>
      </w:pPr>
      <w:r>
        <w:rPr/>
        <w:pict>
          <v:shape style="position:absolute;margin-left:155.039612pt;margin-top:26.850002pt;width:42.15pt;height:10.6pt;mso-position-horizontal-relative:page;mso-position-vertical-relative:paragraph;z-index:-44512" type="#_x0000_t202" filled="false" stroked="false">
            <v:textbox inset="0,0,0,0">
              <w:txbxContent>
                <w:p>
                  <w:pPr>
                    <w:pStyle w:val="BodyText"/>
                    <w:spacing w:line="211" w:lineRule="exact"/>
                    <w:ind w:left="0"/>
                  </w:pPr>
                  <w:r>
                    <w:rPr/>
                    <w:t>．．．．</w:t>
                  </w:r>
                </w:p>
              </w:txbxContent>
            </v:textbox>
            <w10:wrap type="none"/>
          </v:shape>
        </w:pict>
      </w:r>
      <w:r>
        <w:rPr>
          <w:spacing w:val="-6"/>
        </w:rPr>
        <w:t>基本保险金额的 </w:t>
      </w:r>
      <w:r>
        <w:rPr>
          <w:rFonts w:ascii="Arial" w:hAnsi="Arial" w:eastAsia="Arial"/>
        </w:rPr>
        <w:t>100%</w:t>
      </w:r>
      <w:r>
        <w:rPr>
          <w:spacing w:val="-11"/>
        </w:rPr>
        <w:t>给付“首次重大疾病保险金”予被保险人，本项保险责任终止。同时， </w:t>
      </w:r>
      <w:r>
        <w:rPr>
          <w:spacing w:val="-9"/>
        </w:rPr>
        <w:t>本合同</w:t>
      </w:r>
      <w:r>
        <w:rPr>
          <w:rFonts w:ascii="Microsoft JhengHei" w:hAnsi="Microsoft JhengHei" w:eastAsia="Microsoft JhengHei" w:hint="eastAsia"/>
          <w:b/>
          <w:spacing w:val="-1"/>
        </w:rPr>
        <w:t>现金价值</w:t>
      </w:r>
      <w:r>
        <w:rPr>
          <w:rFonts w:ascii="Times New Roman" w:hAnsi="Times New Roman" w:eastAsia="Times New Roman"/>
          <w:b/>
          <w:vertAlign w:val="superscript"/>
        </w:rPr>
        <w:t>9</w:t>
      </w:r>
      <w:r>
        <w:rPr>
          <w:rFonts w:ascii="Times New Roman" w:hAnsi="Times New Roman" w:eastAsia="Times New Roman"/>
          <w:b/>
          <w:vertAlign w:val="baseline"/>
        </w:rPr>
      </w:r>
      <w:r>
        <w:rPr>
          <w:spacing w:val="-2"/>
          <w:vertAlign w:val="baseline"/>
        </w:rPr>
        <w:t>为零。</w:t>
      </w:r>
    </w:p>
    <w:p>
      <w:pPr>
        <w:pStyle w:val="BodyText"/>
        <w:spacing w:line="273" w:lineRule="auto" w:before="78"/>
        <w:ind w:left="632" w:right="182" w:firstLine="420"/>
      </w:pPr>
      <w:r>
        <w:rPr/>
        <w:t>自首次重大疾病确诊后的首个保险费到期日起，我们将豁免您剩余交费期本合同的续期保险费， 获豁免的本合同的续期保险费视为已交付，本合同继续有效。</w:t>
      </w:r>
    </w:p>
    <w:p>
      <w:pPr>
        <w:pStyle w:val="BodyText"/>
        <w:spacing w:line="211" w:lineRule="auto" w:before="136"/>
        <w:ind w:left="1487" w:right="204" w:hanging="435"/>
        <w:jc w:val="both"/>
      </w:pPr>
      <w:r>
        <w:rPr/>
        <w:pict>
          <v:shape style="position:absolute;margin-left:408.360474pt;margin-top:28.044466pt;width:84.4pt;height:10.6pt;mso-position-horizontal-relative:page;mso-position-vertical-relative:paragraph;z-index:-44488" type="#_x0000_t202" filled="false" stroked="false">
            <v:textbox inset="0,0,0,0">
              <w:txbxContent>
                <w:p>
                  <w:pPr>
                    <w:pStyle w:val="BodyText"/>
                    <w:spacing w:line="211" w:lineRule="exact"/>
                    <w:ind w:left="0"/>
                  </w:pPr>
                  <w:r>
                    <w:rPr/>
                    <w:t>．．．．．．．．</w:t>
                  </w:r>
                </w:p>
              </w:txbxContent>
            </v:textbox>
            <w10:wrap type="none"/>
          </v:shape>
        </w:pict>
      </w:r>
      <w:r>
        <w:rPr>
          <w:rFonts w:ascii="Times New Roman" w:eastAsia="Times New Roman"/>
        </w:rPr>
        <w:t>2</w:t>
      </w:r>
      <w:r>
        <w:rPr>
          <w:spacing w:val="-5"/>
        </w:rPr>
        <w:t>、 第二次重大疾病保险金：在本合同有效期内，若被保险人在等待期后首次发病，且自首次重</w:t>
      </w:r>
      <w:r>
        <w:rPr>
          <w:spacing w:val="-8"/>
        </w:rPr>
        <w:t>大疾病确诊之日起满 </w:t>
      </w:r>
      <w:r>
        <w:rPr>
          <w:rFonts w:ascii="Arial" w:eastAsia="Arial"/>
        </w:rPr>
        <w:t>180 </w:t>
      </w:r>
      <w:r>
        <w:rPr>
          <w:spacing w:val="-3"/>
        </w:rPr>
        <w:t>天后，被专科医生首次确诊患有首次</w:t>
      </w:r>
      <w:r>
        <w:rPr>
          <w:rFonts w:ascii="Microsoft JhengHei" w:eastAsia="Microsoft JhengHei" w:hint="eastAsia"/>
          <w:b/>
          <w:spacing w:val="-1"/>
        </w:rPr>
        <w:t>重大疾病所属组别</w:t>
      </w:r>
      <w:r>
        <w:rPr>
          <w:rFonts w:ascii="Times New Roman" w:eastAsia="Times New Roman"/>
          <w:b/>
          <w:vertAlign w:val="superscript"/>
        </w:rPr>
        <w:t>1</w:t>
      </w:r>
      <w:r>
        <w:rPr>
          <w:rFonts w:ascii="Times New Roman" w:eastAsia="Times New Roman"/>
          <w:b/>
          <w:vertAlign w:val="baseline"/>
        </w:rPr>
      </w:r>
      <w:r>
        <w:rPr>
          <w:rFonts w:ascii="Times New Roman" w:eastAsia="Times New Roman"/>
          <w:b/>
          <w:vertAlign w:val="superscript"/>
        </w:rPr>
        <w:t>0</w:t>
      </w:r>
      <w:r>
        <w:rPr>
          <w:rFonts w:ascii="Times New Roman" w:eastAsia="Times New Roman"/>
          <w:b/>
          <w:vertAlign w:val="baseline"/>
        </w:rPr>
      </w:r>
      <w:r>
        <w:rPr>
          <w:spacing w:val="-2"/>
          <w:vertAlign w:val="baseline"/>
        </w:rPr>
        <w:t>以外其他</w:t>
      </w:r>
    </w:p>
    <w:p>
      <w:pPr>
        <w:pStyle w:val="BodyText"/>
        <w:spacing w:before="80"/>
        <w:ind w:left="1487"/>
        <w:rPr>
          <w:rFonts w:ascii="Arial" w:eastAsia="Arial"/>
        </w:rPr>
      </w:pPr>
      <w:r>
        <w:rPr/>
        <w:t>三组中的任何重大疾病（无论一种或多种），我们将按本合同约定的基本保险金额的 </w:t>
      </w:r>
      <w:r>
        <w:rPr>
          <w:rFonts w:ascii="Arial" w:eastAsia="Arial"/>
        </w:rPr>
        <w:t>100%</w:t>
      </w:r>
    </w:p>
    <w:p>
      <w:pPr>
        <w:pStyle w:val="BodyText"/>
        <w:spacing w:before="22"/>
        <w:ind w:left="1487"/>
      </w:pPr>
      <w:r>
        <w:rPr/>
        <w:t>给付“第二次重大疾病保险金”予被保险人，本项保险责任终止。</w:t>
      </w:r>
    </w:p>
    <w:p>
      <w:pPr>
        <w:pStyle w:val="BodyText"/>
        <w:spacing w:line="261" w:lineRule="auto" w:before="130"/>
        <w:ind w:left="1487" w:right="202" w:hanging="435"/>
        <w:jc w:val="both"/>
      </w:pPr>
      <w:r>
        <w:rPr>
          <w:rFonts w:ascii="Times New Roman" w:hAnsi="Times New Roman" w:eastAsia="Times New Roman"/>
        </w:rPr>
        <w:t>3</w:t>
      </w:r>
      <w:r>
        <w:rPr>
          <w:spacing w:val="-5"/>
        </w:rPr>
        <w:t>、 第三次重大疾病保险金：在本合同有效期内，若被保险人在等待期后首次发病，且自第二次</w:t>
      </w:r>
      <w:r>
        <w:rPr>
          <w:spacing w:val="-8"/>
        </w:rPr>
        <w:t>重大疾病确诊之日起满 </w:t>
      </w:r>
      <w:r>
        <w:rPr>
          <w:rFonts w:ascii="Arial" w:hAnsi="Arial" w:eastAsia="Arial"/>
        </w:rPr>
        <w:t>180 </w:t>
      </w:r>
      <w:r>
        <w:rPr>
          <w:spacing w:val="-11"/>
        </w:rPr>
        <w:t>天后，被专科医生首次确诊患有首次重大疾病所属组别及第二次</w:t>
      </w:r>
      <w:r>
        <w:rPr>
          <w:spacing w:val="-7"/>
        </w:rPr>
        <w:t>重大疾病所属组别以外其他两组中的任何重大疾病</w:t>
      </w:r>
      <w:r>
        <w:rPr/>
        <w:t>（</w:t>
      </w:r>
      <w:r>
        <w:rPr>
          <w:spacing w:val="-3"/>
        </w:rPr>
        <w:t>无论一种或多种</w:t>
      </w:r>
      <w:r>
        <w:rPr>
          <w:spacing w:val="-14"/>
        </w:rPr>
        <w:t>）</w:t>
      </w:r>
      <w:r>
        <w:rPr>
          <w:spacing w:val="-5"/>
        </w:rPr>
        <w:t>，我们将按本合同约</w:t>
      </w:r>
      <w:r>
        <w:rPr>
          <w:spacing w:val="-6"/>
        </w:rPr>
        <w:t>定的基本保险金额的 </w:t>
      </w:r>
      <w:r>
        <w:rPr>
          <w:rFonts w:ascii="Arial" w:hAnsi="Arial" w:eastAsia="Arial"/>
        </w:rPr>
        <w:t>100%</w:t>
      </w:r>
      <w:r>
        <w:rPr>
          <w:spacing w:val="-3"/>
        </w:rPr>
        <w:t>给付“第三次重大疾病保险金”予被保险人，同时，本合同效力终止。</w:t>
      </w:r>
    </w:p>
    <w:p>
      <w:pPr>
        <w:pStyle w:val="BodyText"/>
        <w:spacing w:before="111"/>
        <w:ind w:left="1052"/>
      </w:pPr>
      <w:r>
        <w:rPr/>
        <w:t>被保险人因遭受意外伤害事故导致重大疾病的，不受等待期限制。</w:t>
      </w:r>
    </w:p>
    <w:p>
      <w:pPr>
        <w:pStyle w:val="Heading2"/>
        <w:spacing w:line="204" w:lineRule="auto" w:before="118"/>
        <w:ind w:right="204" w:firstLine="422"/>
        <w:rPr>
          <w:rFonts w:ascii="Microsoft JhengHei" w:eastAsia="Microsoft JhengHei" w:hint="eastAsia"/>
        </w:rPr>
      </w:pPr>
      <w:r>
        <w:rPr>
          <w:rFonts w:ascii="Microsoft JhengHei" w:eastAsia="Microsoft JhengHei" w:hint="eastAsia"/>
          <w:spacing w:val="-6"/>
        </w:rPr>
        <w:t>若被保险人确诊时同时符合轻症和重大疾病定义的，我们仅给付重大疾病保险金，而不予给付轻症保险金。</w:t>
      </w:r>
    </w:p>
    <w:p>
      <w:pPr>
        <w:spacing w:line="312" w:lineRule="exact" w:before="0"/>
        <w:ind w:left="635" w:right="0" w:firstLine="0"/>
        <w:jc w:val="left"/>
        <w:rPr>
          <w:rFonts w:ascii="Microsoft JhengHei" w:eastAsia="Microsoft JhengHei" w:hint="eastAsia"/>
          <w:b/>
          <w:sz w:val="21"/>
        </w:rPr>
      </w:pPr>
      <w:r>
        <w:rPr>
          <w:rFonts w:ascii="Microsoft JhengHei" w:eastAsia="Microsoft JhengHei" w:hint="eastAsia"/>
          <w:b/>
          <w:sz w:val="21"/>
        </w:rPr>
        <w:t>若我们已给付首次重大疾病保险金，则不再承担轻症保险金责任。</w:t>
      </w:r>
    </w:p>
    <w:p>
      <w:pPr>
        <w:spacing w:after="0" w:line="312" w:lineRule="exact"/>
        <w:jc w:val="left"/>
        <w:rPr>
          <w:rFonts w:ascii="Microsoft JhengHei" w:eastAsia="Microsoft JhengHei" w:hint="eastAsia"/>
          <w:sz w:val="21"/>
        </w:rPr>
        <w:sectPr>
          <w:pgSz w:w="11900" w:h="16840"/>
          <w:pgMar w:header="844" w:footer="547" w:top="1040" w:bottom="740" w:left="920" w:right="920"/>
        </w:sectPr>
      </w:pPr>
    </w:p>
    <w:p>
      <w:pPr>
        <w:pStyle w:val="BodyText"/>
        <w:spacing w:before="6"/>
        <w:ind w:left="0"/>
        <w:rPr>
          <w:rFonts w:ascii="Microsoft JhengHei"/>
          <w:b/>
          <w:sz w:val="2"/>
        </w:rPr>
      </w:pPr>
    </w:p>
    <w:p>
      <w:pPr>
        <w:pStyle w:val="BodyText"/>
        <w:spacing w:line="20" w:lineRule="exact"/>
        <w:ind w:left="99"/>
        <w:rPr>
          <w:rFonts w:ascii="Microsoft JhengHei"/>
          <w:sz w:val="2"/>
        </w:rPr>
      </w:pPr>
      <w:r>
        <w:rPr>
          <w:rFonts w:ascii="Times New Roman"/>
          <w:spacing w:val="5"/>
          <w:sz w:val="2"/>
        </w:rPr>
        <w:t> </w:t>
      </w:r>
      <w:r>
        <w:rPr>
          <w:rFonts w:ascii="Microsoft JhengHei"/>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rFonts w:ascii="Microsoft JhengHei"/>
          <w:spacing w:val="5"/>
          <w:sz w:val="2"/>
        </w:rPr>
      </w:r>
    </w:p>
    <w:p>
      <w:pPr>
        <w:pStyle w:val="BodyText"/>
        <w:ind w:left="632"/>
      </w:pPr>
      <w:r>
        <w:rPr/>
        <w:t>三、身故保险金</w:t>
      </w:r>
    </w:p>
    <w:p>
      <w:pPr>
        <w:pStyle w:val="BodyText"/>
        <w:spacing w:line="273" w:lineRule="auto" w:before="34"/>
        <w:ind w:right="202" w:firstLine="419"/>
      </w:pPr>
      <w:r>
        <w:rPr>
          <w:spacing w:val="-6"/>
        </w:rPr>
        <w:t>在本合同有效期内，若被保险人身故，我们按以下方式给付身故保险金予身故保险金受益人，本合同</w:t>
      </w:r>
      <w:r>
        <w:rPr>
          <w:spacing w:val="-4"/>
        </w:rPr>
        <w:t>效力终止：</w:t>
      </w:r>
    </w:p>
    <w:p>
      <w:pPr>
        <w:pStyle w:val="BodyText"/>
        <w:spacing w:line="225" w:lineRule="auto" w:before="3"/>
        <w:ind w:left="1412" w:right="204" w:hanging="361"/>
      </w:pPr>
      <w:r>
        <w:rPr>
          <w:rFonts w:ascii="Times New Roman" w:eastAsia="Times New Roman"/>
        </w:rPr>
        <w:t>1</w:t>
      </w:r>
      <w:r>
        <w:rPr>
          <w:spacing w:val="-13"/>
        </w:rPr>
        <w:t>、 若被保险人于年满 </w:t>
      </w:r>
      <w:r>
        <w:rPr>
          <w:rFonts w:ascii="Arial" w:eastAsia="Arial"/>
        </w:rPr>
        <w:t>18 </w:t>
      </w:r>
      <w:r>
        <w:rPr>
          <w:spacing w:val="-10"/>
        </w:rPr>
        <w:t>周岁生日当日 </w:t>
      </w:r>
      <w:r>
        <w:rPr>
          <w:rFonts w:ascii="Arial" w:eastAsia="Arial"/>
        </w:rPr>
        <w:t>24 </w:t>
      </w:r>
      <w:r>
        <w:rPr>
          <w:spacing w:val="-5"/>
        </w:rPr>
        <w:t>时之前身故，则我们按被保险人身故时本合同基本保</w:t>
      </w:r>
      <w:r>
        <w:rPr>
          <w:spacing w:val="-4"/>
        </w:rPr>
        <w:t>险金额所对应的本合同已交保险费给付身故保险金。</w:t>
      </w:r>
    </w:p>
    <w:p>
      <w:pPr>
        <w:pStyle w:val="BodyText"/>
        <w:spacing w:line="225" w:lineRule="auto" w:before="14"/>
        <w:ind w:left="1412" w:right="202" w:hanging="361"/>
      </w:pPr>
      <w:r>
        <w:rPr>
          <w:rFonts w:ascii="Times New Roman" w:eastAsia="Times New Roman"/>
        </w:rPr>
        <w:t>2</w:t>
      </w:r>
      <w:r>
        <w:rPr>
          <w:spacing w:val="-12"/>
        </w:rPr>
        <w:t>、 若被保险人于年满 </w:t>
      </w:r>
      <w:r>
        <w:rPr>
          <w:rFonts w:ascii="Arial" w:eastAsia="Arial"/>
        </w:rPr>
        <w:t>18 </w:t>
      </w:r>
      <w:r>
        <w:rPr>
          <w:spacing w:val="-8"/>
        </w:rPr>
        <w:t>周岁生日当日 </w:t>
      </w:r>
      <w:r>
        <w:rPr>
          <w:rFonts w:ascii="Arial" w:eastAsia="Arial"/>
        </w:rPr>
        <w:t>24 </w:t>
      </w:r>
      <w:r>
        <w:rPr>
          <w:spacing w:val="-2"/>
        </w:rPr>
        <w:t>时之后</w:t>
      </w:r>
      <w:r>
        <w:rPr>
          <w:spacing w:val="-3"/>
        </w:rPr>
        <w:t>（</w:t>
      </w:r>
      <w:r>
        <w:rPr>
          <w:spacing w:val="-18"/>
        </w:rPr>
        <w:t>含 </w:t>
      </w:r>
      <w:r>
        <w:rPr>
          <w:rFonts w:ascii="Arial" w:eastAsia="Arial"/>
        </w:rPr>
        <w:t>24 </w:t>
      </w:r>
      <w:r>
        <w:rPr/>
        <w:t>时</w:t>
      </w:r>
      <w:r>
        <w:rPr>
          <w:spacing w:val="-3"/>
        </w:rPr>
        <w:t>）身故，则我们按被保险人身故时本合同基本保险金额给付身故保险金。</w:t>
      </w:r>
    </w:p>
    <w:p>
      <w:pPr>
        <w:pStyle w:val="Heading2"/>
        <w:spacing w:line="240" w:lineRule="auto" w:before="44"/>
        <w:ind w:left="632"/>
        <w:rPr>
          <w:rFonts w:ascii="Microsoft JhengHei" w:eastAsia="Microsoft JhengHei" w:hint="eastAsia"/>
        </w:rPr>
      </w:pPr>
      <w:r>
        <w:rPr>
          <w:rFonts w:ascii="Microsoft JhengHei" w:eastAsia="Microsoft JhengHei" w:hint="eastAsia"/>
        </w:rPr>
        <w:t>若我们已给付首次重大疾病保险金，则不再承担身故保险金责任。</w:t>
      </w:r>
    </w:p>
    <w:p>
      <w:pPr>
        <w:pStyle w:val="BodyText"/>
        <w:ind w:left="0"/>
        <w:rPr>
          <w:rFonts w:ascii="Microsoft JhengHei"/>
          <w:b/>
          <w:sz w:val="20"/>
        </w:rPr>
      </w:pPr>
    </w:p>
    <w:p>
      <w:pPr>
        <w:pStyle w:val="BodyText"/>
        <w:spacing w:before="4"/>
        <w:ind w:left="0"/>
        <w:rPr>
          <w:rFonts w:ascii="Microsoft JhengHei"/>
          <w:b/>
          <w:sz w:val="11"/>
        </w:rPr>
      </w:pPr>
    </w:p>
    <w:p>
      <w:pPr>
        <w:pStyle w:val="ListParagraph"/>
        <w:numPr>
          <w:ilvl w:val="1"/>
          <w:numId w:val="2"/>
        </w:numPr>
        <w:tabs>
          <w:tab w:pos="937" w:val="left" w:leader="none"/>
          <w:tab w:pos="938" w:val="left" w:leader="none"/>
          <w:tab w:pos="9879" w:val="left" w:leader="none"/>
        </w:tabs>
        <w:spacing w:line="334"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责任免除</w:t>
        <w:tab/>
      </w:r>
    </w:p>
    <w:p>
      <w:pPr>
        <w:spacing w:line="204" w:lineRule="auto" w:before="20"/>
        <w:ind w:left="212" w:right="206" w:firstLine="420"/>
        <w:jc w:val="left"/>
        <w:rPr>
          <w:rFonts w:ascii="Microsoft JhengHei" w:eastAsia="Microsoft JhengHei" w:hint="eastAsia"/>
          <w:b/>
          <w:sz w:val="21"/>
        </w:rPr>
      </w:pPr>
      <w:r>
        <w:rPr>
          <w:rFonts w:ascii="Microsoft JhengHei" w:eastAsia="Microsoft JhengHei" w:hint="eastAsia"/>
          <w:b/>
          <w:spacing w:val="-8"/>
          <w:sz w:val="21"/>
        </w:rPr>
        <w:t>一、因下列情形之一，导致被保险人罹患轻症或重大疾病的，我们不承担给付轻症保险金或重大疾病保险金的责任：</w:t>
      </w:r>
    </w:p>
    <w:p>
      <w:pPr>
        <w:spacing w:line="285" w:lineRule="exact" w:before="0"/>
        <w:ind w:left="752" w:right="0" w:firstLine="0"/>
        <w:jc w:val="left"/>
        <w:rPr>
          <w:rFonts w:ascii="Microsoft JhengHei" w:eastAsia="Microsoft JhengHei" w:hint="eastAsia"/>
          <w:b/>
          <w:sz w:val="21"/>
        </w:rPr>
      </w:pPr>
      <w:r>
        <w:rPr>
          <w:rFonts w:ascii="Microsoft JhengHei" w:eastAsia="Microsoft JhengHei" w:hint="eastAsia"/>
          <w:b/>
          <w:w w:val="95"/>
          <w:sz w:val="21"/>
        </w:rPr>
        <w:t>1、您对被保险人的故意杀害、故意伤害；</w:t>
      </w:r>
    </w:p>
    <w:p>
      <w:pPr>
        <w:spacing w:line="204" w:lineRule="auto" w:before="28"/>
        <w:ind w:left="1062" w:right="204" w:hanging="322"/>
        <w:jc w:val="left"/>
        <w:rPr>
          <w:rFonts w:ascii="Microsoft JhengHei" w:eastAsia="Microsoft JhengHei" w:hint="eastAsia"/>
          <w:b/>
          <w:sz w:val="21"/>
        </w:rPr>
      </w:pPr>
      <w:r>
        <w:rPr>
          <w:rFonts w:ascii="Microsoft JhengHei" w:eastAsia="Microsoft JhengHei" w:hint="eastAsia"/>
          <w:b/>
          <w:sz w:val="21"/>
        </w:rPr>
        <w:t>2</w:t>
      </w:r>
      <w:r>
        <w:rPr>
          <w:rFonts w:ascii="Microsoft JhengHei" w:eastAsia="Microsoft JhengHei" w:hint="eastAsia"/>
          <w:b/>
          <w:spacing w:val="-8"/>
          <w:sz w:val="21"/>
        </w:rPr>
        <w:t>、被保险人故意自伤，但被保险人故意自伤时为无民事行为能力人的除外；故意犯罪或者抗拒依法采取的刑事强制措施；</w:t>
      </w:r>
    </w:p>
    <w:p>
      <w:pPr>
        <w:pStyle w:val="Heading2"/>
        <w:spacing w:line="349" w:lineRule="exact"/>
        <w:ind w:left="752"/>
        <w:rPr>
          <w:rFonts w:ascii="Microsoft JhengHei" w:eastAsia="Microsoft JhengHei" w:hint="eastAsia"/>
        </w:rPr>
      </w:pPr>
      <w:r>
        <w:rPr/>
        <w:pict>
          <v:shape style="position:absolute;margin-left:229.078308pt;margin-top:8.053853pt;width:10.6pt;height:10.6pt;mso-position-horizontal-relative:page;mso-position-vertical-relative:paragraph;z-index:-44416" type="#_x0000_t202" filled="false" stroked="false">
            <v:textbox inset="0,0,0,0">
              <w:txbxContent>
                <w:p>
                  <w:pPr>
                    <w:pStyle w:val="BodyText"/>
                    <w:spacing w:line="211" w:lineRule="exact"/>
                    <w:ind w:left="0"/>
                  </w:pPr>
                  <w:r>
                    <w:rPr>
                      <w:w w:val="100"/>
                    </w:rPr>
                    <w:t>．</w:t>
                  </w:r>
                </w:p>
              </w:txbxContent>
            </v:textbox>
            <w10:wrap type="none"/>
          </v:shape>
        </w:pict>
      </w:r>
      <w:r>
        <w:rPr>
          <w:rFonts w:ascii="Microsoft JhengHei" w:eastAsia="Microsoft JhengHei" w:hint="eastAsia"/>
          <w:w w:val="95"/>
        </w:rPr>
        <w:t>3</w:t>
      </w:r>
      <w:r>
        <w:rPr>
          <w:rFonts w:ascii="Microsoft JhengHei" w:eastAsia="Microsoft JhengHei" w:hint="eastAsia"/>
          <w:spacing w:val="-1"/>
          <w:w w:val="95"/>
        </w:rPr>
        <w:t>、被保险人主动吸食或注射</w:t>
      </w:r>
      <w:r>
        <w:rPr>
          <w:rFonts w:ascii="Microsoft JhengHei" w:eastAsia="Microsoft JhengHei" w:hint="eastAsia"/>
          <w:spacing w:val="-149"/>
          <w:w w:val="95"/>
        </w:rPr>
        <w:t>毒</w:t>
      </w:r>
      <w:r>
        <w:rPr>
          <w:rFonts w:ascii="宋体" w:eastAsia="宋体" w:hint="eastAsia"/>
          <w:b w:val="0"/>
          <w:spacing w:val="-63"/>
          <w:w w:val="95"/>
          <w:position w:val="-7"/>
        </w:rPr>
        <w:t>．</w:t>
      </w:r>
      <w:r>
        <w:rPr>
          <w:rFonts w:ascii="Microsoft JhengHei" w:eastAsia="Microsoft JhengHei" w:hint="eastAsia"/>
          <w:spacing w:val="-3"/>
          <w:w w:val="95"/>
        </w:rPr>
        <w:t>品</w:t>
      </w:r>
      <w:r>
        <w:rPr>
          <w:rFonts w:ascii="Microsoft JhengHei" w:eastAsia="Microsoft JhengHei" w:hint="eastAsia"/>
          <w:w w:val="95"/>
          <w:position w:val="11"/>
          <w:sz w:val="11"/>
        </w:rPr>
        <w:t>11</w:t>
      </w:r>
      <w:r>
        <w:rPr>
          <w:rFonts w:ascii="Microsoft JhengHei" w:eastAsia="Microsoft JhengHei" w:hint="eastAsia"/>
          <w:w w:val="95"/>
        </w:rPr>
        <w:t>；</w:t>
      </w:r>
    </w:p>
    <w:p>
      <w:pPr>
        <w:spacing w:line="191" w:lineRule="exact" w:before="0"/>
        <w:ind w:left="752" w:right="0" w:firstLine="0"/>
        <w:jc w:val="left"/>
        <w:rPr>
          <w:rFonts w:ascii="Microsoft JhengHei" w:eastAsia="Microsoft JhengHei" w:hint="eastAsia"/>
          <w:b/>
          <w:sz w:val="21"/>
        </w:rPr>
      </w:pPr>
      <w:r>
        <w:rPr>
          <w:rFonts w:ascii="Microsoft JhengHei" w:eastAsia="Microsoft JhengHei" w:hint="eastAsia"/>
          <w:b/>
          <w:w w:val="95"/>
          <w:sz w:val="21"/>
        </w:rPr>
        <w:t>4、被保险人酒后驾驶</w:t>
      </w:r>
      <w:r>
        <w:rPr>
          <w:rFonts w:ascii="Microsoft JhengHei" w:eastAsia="Microsoft JhengHei" w:hint="eastAsia"/>
          <w:b/>
          <w:w w:val="95"/>
          <w:position w:val="11"/>
          <w:sz w:val="11"/>
        </w:rPr>
        <w:t>12</w:t>
      </w:r>
      <w:r>
        <w:rPr>
          <w:rFonts w:ascii="Microsoft JhengHei" w:eastAsia="Microsoft JhengHei" w:hint="eastAsia"/>
          <w:b/>
          <w:w w:val="95"/>
          <w:sz w:val="21"/>
        </w:rPr>
        <w:t>，无合法有效驾驶证驾驶</w:t>
      </w:r>
      <w:r>
        <w:rPr>
          <w:rFonts w:ascii="Microsoft JhengHei" w:eastAsia="Microsoft JhengHei" w:hint="eastAsia"/>
          <w:b/>
          <w:w w:val="95"/>
          <w:position w:val="11"/>
          <w:sz w:val="11"/>
        </w:rPr>
        <w:t>13</w:t>
      </w:r>
      <w:r>
        <w:rPr>
          <w:rFonts w:ascii="Microsoft JhengHei" w:eastAsia="Microsoft JhengHei" w:hint="eastAsia"/>
          <w:b/>
          <w:w w:val="95"/>
          <w:sz w:val="21"/>
        </w:rPr>
        <w:t>，或驾驶无有效行驶证</w:t>
      </w:r>
      <w:r>
        <w:rPr>
          <w:rFonts w:ascii="Microsoft JhengHei" w:eastAsia="Microsoft JhengHei" w:hint="eastAsia"/>
          <w:b/>
          <w:w w:val="95"/>
          <w:position w:val="11"/>
          <w:sz w:val="11"/>
        </w:rPr>
        <w:t>14</w:t>
      </w:r>
      <w:r>
        <w:rPr>
          <w:rFonts w:ascii="Microsoft JhengHei" w:eastAsia="Microsoft JhengHei" w:hint="eastAsia"/>
          <w:b/>
          <w:w w:val="95"/>
          <w:sz w:val="21"/>
        </w:rPr>
        <w:t>的机动车；</w:t>
      </w:r>
    </w:p>
    <w:p>
      <w:pPr>
        <w:spacing w:after="0" w:line="191" w:lineRule="exact"/>
        <w:jc w:val="left"/>
        <w:rPr>
          <w:rFonts w:ascii="Microsoft JhengHei" w:eastAsia="Microsoft JhengHei" w:hint="eastAsia"/>
          <w:sz w:val="21"/>
        </w:rPr>
        <w:sectPr>
          <w:pgSz w:w="11900" w:h="16840"/>
          <w:pgMar w:header="844" w:footer="547" w:top="1040" w:bottom="740" w:left="920" w:right="920"/>
        </w:sectPr>
      </w:pPr>
    </w:p>
    <w:p>
      <w:pPr>
        <w:pStyle w:val="BodyText"/>
        <w:spacing w:line="210" w:lineRule="exact"/>
        <w:ind w:left="0"/>
        <w:jc w:val="right"/>
      </w:pPr>
      <w:r>
        <w:rPr/>
        <w:t>．．．．</w:t>
      </w:r>
    </w:p>
    <w:p>
      <w:pPr>
        <w:pStyle w:val="BodyText"/>
        <w:spacing w:line="210" w:lineRule="exact"/>
        <w:ind w:left="286"/>
      </w:pPr>
      <w:r>
        <w:rPr/>
        <w:br w:type="column"/>
      </w:r>
      <w:r>
        <w:rPr/>
        <w:t>．．．．．．．．．．</w:t>
      </w:r>
    </w:p>
    <w:p>
      <w:pPr>
        <w:pStyle w:val="BodyText"/>
        <w:spacing w:line="210" w:lineRule="exact"/>
        <w:ind w:left="920"/>
      </w:pPr>
      <w:r>
        <w:rPr/>
        <w:br w:type="column"/>
      </w:r>
      <w:r>
        <w:rPr/>
        <w:t>．．．．．．</w:t>
      </w:r>
    </w:p>
    <w:p>
      <w:pPr>
        <w:spacing w:after="0" w:line="210" w:lineRule="exact"/>
        <w:sectPr>
          <w:type w:val="continuous"/>
          <w:pgSz w:w="11900" w:h="16840"/>
          <w:pgMar w:top="1040" w:bottom="280" w:left="920" w:right="920"/>
          <w:cols w:num="3" w:equalWidth="0">
            <w:col w:w="2820" w:space="40"/>
            <w:col w:w="2394" w:space="39"/>
            <w:col w:w="4767"/>
          </w:cols>
        </w:sectPr>
      </w:pPr>
    </w:p>
    <w:p>
      <w:pPr>
        <w:spacing w:line="356" w:lineRule="exact" w:before="0"/>
        <w:ind w:left="752" w:right="0" w:firstLine="0"/>
        <w:jc w:val="left"/>
        <w:rPr>
          <w:rFonts w:ascii="Microsoft JhengHei" w:eastAsia="Microsoft JhengHei" w:hint="eastAsia"/>
          <w:b/>
          <w:sz w:val="21"/>
        </w:rPr>
      </w:pPr>
      <w:r>
        <w:rPr/>
        <w:pict>
          <v:shape style="position:absolute;margin-left:260.759918pt;margin-top:8.408439pt;width:10.6pt;height:10.6pt;mso-position-horizontal-relative:page;mso-position-vertical-relative:paragraph;z-index:-44392" type="#_x0000_t202" filled="false" stroked="false">
            <v:textbox inset="0,0,0,0">
              <w:txbxContent>
                <w:p>
                  <w:pPr>
                    <w:pStyle w:val="BodyText"/>
                    <w:spacing w:line="211" w:lineRule="exact"/>
                    <w:ind w:left="0"/>
                  </w:pPr>
                  <w:r>
                    <w:rPr>
                      <w:w w:val="100"/>
                    </w:rPr>
                    <w:t>．</w:t>
                  </w:r>
                </w:p>
              </w:txbxContent>
            </v:textbox>
            <w10:wrap type="none"/>
          </v:shape>
        </w:pict>
      </w:r>
      <w:r>
        <w:rPr>
          <w:rFonts w:ascii="Microsoft JhengHei" w:eastAsia="Microsoft JhengHei" w:hint="eastAsia"/>
          <w:b/>
          <w:w w:val="95"/>
          <w:sz w:val="21"/>
        </w:rPr>
        <w:t>5、被保险人</w:t>
      </w:r>
      <w:r>
        <w:rPr>
          <w:rFonts w:ascii="Microsoft JhengHei" w:eastAsia="Microsoft JhengHei" w:hint="eastAsia"/>
          <w:b/>
          <w:spacing w:val="-149"/>
          <w:w w:val="95"/>
          <w:sz w:val="21"/>
        </w:rPr>
        <w:t>感</w:t>
      </w:r>
      <w:r>
        <w:rPr>
          <w:spacing w:val="-63"/>
          <w:w w:val="95"/>
          <w:position w:val="-7"/>
          <w:sz w:val="21"/>
        </w:rPr>
        <w:t>．</w:t>
      </w:r>
      <w:r>
        <w:rPr>
          <w:rFonts w:ascii="Microsoft JhengHei" w:eastAsia="Microsoft JhengHei" w:hint="eastAsia"/>
          <w:b/>
          <w:spacing w:val="-149"/>
          <w:w w:val="95"/>
          <w:sz w:val="21"/>
        </w:rPr>
        <w:t>染</w:t>
      </w:r>
      <w:r>
        <w:rPr>
          <w:spacing w:val="-63"/>
          <w:w w:val="95"/>
          <w:position w:val="-7"/>
          <w:sz w:val="21"/>
        </w:rPr>
        <w:t>．</w:t>
      </w:r>
      <w:r>
        <w:rPr>
          <w:rFonts w:ascii="Microsoft JhengHei" w:eastAsia="Microsoft JhengHei" w:hint="eastAsia"/>
          <w:b/>
          <w:spacing w:val="-149"/>
          <w:w w:val="95"/>
          <w:sz w:val="21"/>
        </w:rPr>
        <w:t>艾</w:t>
      </w:r>
      <w:r>
        <w:rPr>
          <w:spacing w:val="-63"/>
          <w:w w:val="95"/>
          <w:position w:val="-7"/>
          <w:sz w:val="21"/>
        </w:rPr>
        <w:t>．</w:t>
      </w:r>
      <w:r>
        <w:rPr>
          <w:rFonts w:ascii="Microsoft JhengHei" w:eastAsia="Microsoft JhengHei" w:hint="eastAsia"/>
          <w:b/>
          <w:spacing w:val="-149"/>
          <w:w w:val="95"/>
          <w:sz w:val="21"/>
        </w:rPr>
        <w:t>滋</w:t>
      </w:r>
      <w:r>
        <w:rPr>
          <w:spacing w:val="-63"/>
          <w:w w:val="95"/>
          <w:position w:val="-7"/>
          <w:sz w:val="21"/>
        </w:rPr>
        <w:t>．</w:t>
      </w:r>
      <w:r>
        <w:rPr>
          <w:rFonts w:ascii="Microsoft JhengHei" w:eastAsia="Microsoft JhengHei" w:hint="eastAsia"/>
          <w:b/>
          <w:spacing w:val="-152"/>
          <w:w w:val="95"/>
          <w:sz w:val="21"/>
        </w:rPr>
        <w:t>病</w:t>
      </w:r>
      <w:r>
        <w:rPr>
          <w:spacing w:val="-63"/>
          <w:w w:val="95"/>
          <w:position w:val="-7"/>
          <w:sz w:val="21"/>
        </w:rPr>
        <w:t>．</w:t>
      </w:r>
      <w:r>
        <w:rPr>
          <w:rFonts w:ascii="Microsoft JhengHei" w:eastAsia="Microsoft JhengHei" w:hint="eastAsia"/>
          <w:b/>
          <w:spacing w:val="-149"/>
          <w:w w:val="95"/>
          <w:sz w:val="21"/>
        </w:rPr>
        <w:t>病</w:t>
      </w:r>
      <w:r>
        <w:rPr>
          <w:spacing w:val="-63"/>
          <w:w w:val="95"/>
          <w:position w:val="-7"/>
          <w:sz w:val="21"/>
        </w:rPr>
        <w:t>．</w:t>
      </w:r>
      <w:r>
        <w:rPr>
          <w:rFonts w:ascii="Microsoft JhengHei" w:eastAsia="Microsoft JhengHei" w:hint="eastAsia"/>
          <w:b/>
          <w:spacing w:val="-149"/>
          <w:w w:val="95"/>
          <w:sz w:val="21"/>
        </w:rPr>
        <w:t>毒</w:t>
      </w:r>
      <w:r>
        <w:rPr>
          <w:spacing w:val="-63"/>
          <w:w w:val="95"/>
          <w:position w:val="-7"/>
          <w:sz w:val="21"/>
        </w:rPr>
        <w:t>．</w:t>
      </w:r>
      <w:r>
        <w:rPr>
          <w:rFonts w:ascii="Microsoft JhengHei" w:eastAsia="Microsoft JhengHei" w:hint="eastAsia"/>
          <w:b/>
          <w:spacing w:val="-149"/>
          <w:w w:val="95"/>
          <w:sz w:val="21"/>
        </w:rPr>
        <w:t>或</w:t>
      </w:r>
      <w:r>
        <w:rPr>
          <w:spacing w:val="-63"/>
          <w:w w:val="95"/>
          <w:position w:val="-7"/>
          <w:sz w:val="21"/>
        </w:rPr>
        <w:t>．</w:t>
      </w:r>
      <w:r>
        <w:rPr>
          <w:rFonts w:ascii="Microsoft JhengHei" w:eastAsia="Microsoft JhengHei" w:hint="eastAsia"/>
          <w:b/>
          <w:spacing w:val="-149"/>
          <w:w w:val="95"/>
          <w:sz w:val="21"/>
        </w:rPr>
        <w:t>患</w:t>
      </w:r>
      <w:r>
        <w:rPr>
          <w:spacing w:val="-63"/>
          <w:w w:val="95"/>
          <w:position w:val="-7"/>
          <w:sz w:val="21"/>
        </w:rPr>
        <w:t>．</w:t>
      </w:r>
      <w:r>
        <w:rPr>
          <w:rFonts w:ascii="Microsoft JhengHei" w:eastAsia="Microsoft JhengHei" w:hint="eastAsia"/>
          <w:b/>
          <w:spacing w:val="-149"/>
          <w:w w:val="95"/>
          <w:sz w:val="21"/>
        </w:rPr>
        <w:t>艾</w:t>
      </w:r>
      <w:r>
        <w:rPr>
          <w:spacing w:val="-63"/>
          <w:w w:val="95"/>
          <w:position w:val="-7"/>
          <w:sz w:val="21"/>
        </w:rPr>
        <w:t>．</w:t>
      </w:r>
      <w:r>
        <w:rPr>
          <w:rFonts w:ascii="Microsoft JhengHei" w:eastAsia="Microsoft JhengHei" w:hint="eastAsia"/>
          <w:b/>
          <w:spacing w:val="-149"/>
          <w:w w:val="95"/>
          <w:sz w:val="21"/>
        </w:rPr>
        <w:t>滋</w:t>
      </w:r>
      <w:r>
        <w:rPr>
          <w:spacing w:val="-63"/>
          <w:w w:val="95"/>
          <w:position w:val="-7"/>
          <w:sz w:val="21"/>
        </w:rPr>
        <w:t>．</w:t>
      </w:r>
      <w:r>
        <w:rPr>
          <w:rFonts w:ascii="Microsoft JhengHei" w:eastAsia="Microsoft JhengHei" w:hint="eastAsia"/>
          <w:b/>
          <w:spacing w:val="-3"/>
          <w:w w:val="95"/>
          <w:sz w:val="21"/>
        </w:rPr>
        <w:t>病</w:t>
      </w:r>
      <w:r>
        <w:rPr>
          <w:rFonts w:ascii="Microsoft JhengHei" w:eastAsia="Microsoft JhengHei" w:hint="eastAsia"/>
          <w:b/>
          <w:w w:val="95"/>
          <w:position w:val="11"/>
          <w:sz w:val="11"/>
        </w:rPr>
        <w:t>15</w:t>
      </w:r>
      <w:r>
        <w:rPr>
          <w:rFonts w:ascii="Microsoft JhengHei" w:eastAsia="Microsoft JhengHei" w:hint="eastAsia"/>
          <w:b/>
          <w:w w:val="95"/>
          <w:sz w:val="21"/>
        </w:rPr>
        <w:t>；</w:t>
      </w:r>
    </w:p>
    <w:p>
      <w:pPr>
        <w:pStyle w:val="Heading2"/>
        <w:spacing w:line="318" w:lineRule="exact"/>
        <w:ind w:left="752"/>
        <w:rPr>
          <w:rFonts w:ascii="Microsoft JhengHei" w:eastAsia="Microsoft JhengHei" w:hint="eastAsia"/>
        </w:rPr>
      </w:pPr>
      <w:r>
        <w:rPr>
          <w:rFonts w:ascii="Microsoft JhengHei" w:eastAsia="Microsoft JhengHei" w:hint="eastAsia"/>
          <w:w w:val="95"/>
        </w:rPr>
        <w:t>6、战争、军事冲突、暴乱或武装叛乱；</w:t>
      </w:r>
    </w:p>
    <w:p>
      <w:pPr>
        <w:spacing w:line="313" w:lineRule="exact" w:before="0"/>
        <w:ind w:left="752" w:right="0" w:firstLine="0"/>
        <w:jc w:val="left"/>
        <w:rPr>
          <w:rFonts w:ascii="Microsoft JhengHei" w:eastAsia="Microsoft JhengHei" w:hint="eastAsia"/>
          <w:b/>
          <w:sz w:val="21"/>
        </w:rPr>
      </w:pPr>
      <w:r>
        <w:rPr>
          <w:rFonts w:ascii="Microsoft JhengHei" w:eastAsia="Microsoft JhengHei" w:hint="eastAsia"/>
          <w:b/>
          <w:w w:val="95"/>
          <w:sz w:val="21"/>
        </w:rPr>
        <w:t>7、核爆炸、核辐射或核污染；</w:t>
      </w:r>
    </w:p>
    <w:p>
      <w:pPr>
        <w:spacing w:line="187" w:lineRule="exact" w:before="0"/>
        <w:ind w:left="752" w:right="0" w:firstLine="0"/>
        <w:jc w:val="left"/>
        <w:rPr>
          <w:rFonts w:ascii="Microsoft JhengHei" w:eastAsia="Microsoft JhengHei" w:hint="eastAsia"/>
          <w:b/>
          <w:sz w:val="21"/>
        </w:rPr>
      </w:pPr>
      <w:r>
        <w:rPr>
          <w:rFonts w:ascii="Microsoft JhengHei" w:eastAsia="Microsoft JhengHei" w:hint="eastAsia"/>
          <w:b/>
          <w:w w:val="95"/>
          <w:sz w:val="21"/>
        </w:rPr>
        <w:t>8、遗传性疾病</w:t>
      </w:r>
      <w:r>
        <w:rPr>
          <w:rFonts w:ascii="Microsoft JhengHei" w:eastAsia="Microsoft JhengHei" w:hint="eastAsia"/>
          <w:b/>
          <w:w w:val="95"/>
          <w:position w:val="11"/>
          <w:sz w:val="11"/>
        </w:rPr>
        <w:t>16</w:t>
      </w:r>
      <w:r>
        <w:rPr>
          <w:rFonts w:ascii="Microsoft JhengHei" w:eastAsia="Microsoft JhengHei" w:hint="eastAsia"/>
          <w:b/>
          <w:w w:val="95"/>
          <w:sz w:val="21"/>
        </w:rPr>
        <w:t>、先天性畸形、变形或染色体异常</w:t>
      </w:r>
      <w:r>
        <w:rPr>
          <w:rFonts w:ascii="Microsoft JhengHei" w:eastAsia="Microsoft JhengHei" w:hint="eastAsia"/>
          <w:b/>
          <w:w w:val="95"/>
          <w:position w:val="11"/>
          <w:sz w:val="11"/>
        </w:rPr>
        <w:t>17</w:t>
      </w:r>
      <w:r>
        <w:rPr>
          <w:rFonts w:ascii="Microsoft JhengHei" w:eastAsia="Microsoft JhengHei" w:hint="eastAsia"/>
          <w:b/>
          <w:w w:val="95"/>
          <w:sz w:val="21"/>
        </w:rPr>
        <w:t>。</w:t>
      </w:r>
    </w:p>
    <w:p>
      <w:pPr>
        <w:pStyle w:val="BodyText"/>
        <w:tabs>
          <w:tab w:pos="2511" w:val="left" w:leader="none"/>
        </w:tabs>
        <w:spacing w:line="211" w:lineRule="exact"/>
        <w:ind w:left="1131"/>
      </w:pPr>
      <w:r>
        <w:rPr/>
        <w:t>．．．．．</w:t>
        <w:tab/>
        <w:t>．．．．．．．．．．．．．．</w:t>
      </w:r>
    </w:p>
    <w:p>
      <w:pPr>
        <w:pStyle w:val="Heading2"/>
        <w:spacing w:line="339" w:lineRule="exact" w:before="47"/>
        <w:ind w:left="635"/>
        <w:rPr>
          <w:rFonts w:ascii="Microsoft JhengHei" w:eastAsia="Microsoft JhengHei" w:hint="eastAsia"/>
        </w:rPr>
      </w:pPr>
      <w:r>
        <w:rPr>
          <w:rFonts w:ascii="Microsoft JhengHei" w:eastAsia="Microsoft JhengHei" w:hint="eastAsia"/>
        </w:rPr>
        <w:t>二、因下列情形之一，导致被保险人身故的，我们不承担给付身故保险金的责任：</w:t>
      </w:r>
    </w:p>
    <w:p>
      <w:pPr>
        <w:spacing w:line="312" w:lineRule="exact" w:before="0"/>
        <w:ind w:left="740" w:right="0" w:firstLine="0"/>
        <w:jc w:val="left"/>
        <w:rPr>
          <w:rFonts w:ascii="Microsoft JhengHei" w:eastAsia="Microsoft JhengHei" w:hint="eastAsia"/>
          <w:b/>
          <w:sz w:val="21"/>
        </w:rPr>
      </w:pPr>
      <w:r>
        <w:rPr>
          <w:rFonts w:ascii="Microsoft JhengHei" w:eastAsia="Microsoft JhengHei" w:hint="eastAsia"/>
          <w:b/>
          <w:w w:val="95"/>
          <w:sz w:val="21"/>
        </w:rPr>
        <w:t>1、您对被保险人的故意杀害、故意伤害；</w:t>
      </w:r>
    </w:p>
    <w:p>
      <w:pPr>
        <w:spacing w:line="312" w:lineRule="exact" w:before="0"/>
        <w:ind w:left="740" w:right="0" w:firstLine="0"/>
        <w:jc w:val="left"/>
        <w:rPr>
          <w:rFonts w:ascii="Microsoft JhengHei" w:eastAsia="Microsoft JhengHei" w:hint="eastAsia"/>
          <w:b/>
          <w:sz w:val="21"/>
        </w:rPr>
      </w:pPr>
      <w:r>
        <w:rPr>
          <w:rFonts w:ascii="Microsoft JhengHei" w:eastAsia="Microsoft JhengHei" w:hint="eastAsia"/>
          <w:b/>
          <w:sz w:val="21"/>
        </w:rPr>
        <w:t>2、被保险人故意犯罪或者抗拒依法采取的刑事强制措施；</w:t>
      </w:r>
    </w:p>
    <w:p>
      <w:pPr>
        <w:spacing w:line="204" w:lineRule="auto" w:before="28"/>
        <w:ind w:left="1062" w:right="206" w:hanging="322"/>
        <w:jc w:val="left"/>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6"/>
          <w:sz w:val="21"/>
        </w:rPr>
        <w:t>、被保险人自本合同成立或者合同效力恢复之日起 </w:t>
      </w:r>
      <w:r>
        <w:rPr>
          <w:rFonts w:ascii="Microsoft JhengHei" w:eastAsia="Microsoft JhengHei" w:hint="eastAsia"/>
          <w:b/>
          <w:sz w:val="21"/>
        </w:rPr>
        <w:t>2</w:t>
      </w:r>
      <w:r>
        <w:rPr>
          <w:rFonts w:ascii="Microsoft JhengHei" w:eastAsia="Microsoft JhengHei" w:hint="eastAsia"/>
          <w:b/>
          <w:spacing w:val="-6"/>
          <w:sz w:val="21"/>
        </w:rPr>
        <w:t> 年内自杀，但被保险人自杀时为无民事行为能力人的除外；</w:t>
      </w:r>
    </w:p>
    <w:p>
      <w:pPr>
        <w:spacing w:line="285" w:lineRule="exact" w:before="0"/>
        <w:ind w:left="740" w:right="0" w:firstLine="0"/>
        <w:jc w:val="left"/>
        <w:rPr>
          <w:rFonts w:ascii="Microsoft JhengHei" w:eastAsia="Microsoft JhengHei" w:hint="eastAsia"/>
          <w:b/>
          <w:sz w:val="21"/>
        </w:rPr>
      </w:pPr>
      <w:r>
        <w:rPr>
          <w:rFonts w:ascii="Microsoft JhengHei" w:eastAsia="Microsoft JhengHei" w:hint="eastAsia"/>
          <w:b/>
          <w:w w:val="95"/>
          <w:sz w:val="21"/>
        </w:rPr>
        <w:t>4、被保险人主动吸食或注射毒品；</w:t>
      </w:r>
    </w:p>
    <w:p>
      <w:pPr>
        <w:spacing w:line="312" w:lineRule="exact" w:before="0"/>
        <w:ind w:left="740" w:right="0" w:firstLine="0"/>
        <w:jc w:val="left"/>
        <w:rPr>
          <w:rFonts w:ascii="Microsoft JhengHei" w:eastAsia="Microsoft JhengHei" w:hint="eastAsia"/>
          <w:b/>
          <w:sz w:val="21"/>
        </w:rPr>
      </w:pPr>
      <w:r>
        <w:rPr>
          <w:rFonts w:ascii="Microsoft JhengHei" w:eastAsia="Microsoft JhengHei" w:hint="eastAsia"/>
          <w:b/>
          <w:sz w:val="21"/>
        </w:rPr>
        <w:t>5、被保险人酒后驾驶，无合法有效驾驶证驾驶，或驾驶无有效行驶证的机动车；</w:t>
      </w:r>
    </w:p>
    <w:p>
      <w:pPr>
        <w:spacing w:line="312" w:lineRule="exact" w:before="0"/>
        <w:ind w:left="740" w:right="0" w:firstLine="0"/>
        <w:jc w:val="left"/>
        <w:rPr>
          <w:rFonts w:ascii="Microsoft JhengHei" w:eastAsia="Microsoft JhengHei" w:hint="eastAsia"/>
          <w:b/>
          <w:sz w:val="21"/>
        </w:rPr>
      </w:pPr>
      <w:r>
        <w:rPr>
          <w:rFonts w:ascii="Microsoft JhengHei" w:eastAsia="Microsoft JhengHei" w:hint="eastAsia"/>
          <w:b/>
          <w:w w:val="95"/>
          <w:sz w:val="21"/>
        </w:rPr>
        <w:t>6、战争、军事冲突、暴乱或武装叛乱；</w:t>
      </w:r>
    </w:p>
    <w:p>
      <w:pPr>
        <w:spacing w:line="312" w:lineRule="exact" w:before="0"/>
        <w:ind w:left="740" w:right="0" w:firstLine="0"/>
        <w:jc w:val="left"/>
        <w:rPr>
          <w:rFonts w:ascii="Microsoft JhengHei" w:eastAsia="Microsoft JhengHei" w:hint="eastAsia"/>
          <w:b/>
          <w:sz w:val="21"/>
        </w:rPr>
      </w:pPr>
      <w:r>
        <w:rPr>
          <w:rFonts w:ascii="Microsoft JhengHei" w:eastAsia="Microsoft JhengHei" w:hint="eastAsia"/>
          <w:b/>
          <w:w w:val="95"/>
          <w:sz w:val="21"/>
        </w:rPr>
        <w:t>7、核爆炸、核辐射或核污染。</w:t>
      </w:r>
    </w:p>
    <w:p>
      <w:pPr>
        <w:spacing w:line="204" w:lineRule="auto" w:before="28"/>
        <w:ind w:left="212" w:right="206" w:firstLine="422"/>
        <w:jc w:val="left"/>
        <w:rPr>
          <w:rFonts w:ascii="Microsoft JhengHei" w:eastAsia="Microsoft JhengHei" w:hint="eastAsia"/>
          <w:b/>
          <w:sz w:val="21"/>
        </w:rPr>
      </w:pPr>
      <w:r>
        <w:rPr>
          <w:rFonts w:ascii="Microsoft JhengHei" w:eastAsia="Microsoft JhengHei" w:hint="eastAsia"/>
          <w:b/>
          <w:sz w:val="21"/>
        </w:rPr>
        <w:t>发Th</w:t>
      </w:r>
      <w:r>
        <w:rPr>
          <w:rFonts w:ascii="Microsoft JhengHei" w:eastAsia="Microsoft JhengHei" w:hint="eastAsia"/>
          <w:b/>
          <w:spacing w:val="-6"/>
          <w:sz w:val="21"/>
        </w:rPr>
        <w:t>上述第一项情形导致被保险人身故的，本合同效力终止，您已交足 </w:t>
      </w:r>
      <w:r>
        <w:rPr>
          <w:rFonts w:ascii="Microsoft JhengHei" w:eastAsia="Microsoft JhengHei" w:hint="eastAsia"/>
          <w:b/>
          <w:sz w:val="21"/>
        </w:rPr>
        <w:t>2</w:t>
      </w:r>
      <w:r>
        <w:rPr>
          <w:rFonts w:ascii="Microsoft JhengHei" w:eastAsia="Microsoft JhengHei" w:hint="eastAsia"/>
          <w:b/>
          <w:spacing w:val="-5"/>
          <w:sz w:val="21"/>
        </w:rPr>
        <w:t> 年以上保险费的，我们将向被保险人的继承人退还本合同的现金价值。</w:t>
      </w:r>
    </w:p>
    <w:p>
      <w:pPr>
        <w:spacing w:line="312" w:lineRule="exact" w:before="0"/>
        <w:ind w:left="632" w:right="0" w:firstLine="0"/>
        <w:jc w:val="left"/>
        <w:rPr>
          <w:rFonts w:ascii="Microsoft JhengHei" w:eastAsia="Microsoft JhengHei" w:hint="eastAsia"/>
          <w:b/>
          <w:sz w:val="21"/>
        </w:rPr>
      </w:pPr>
      <w:r>
        <w:rPr>
          <w:rFonts w:ascii="Microsoft JhengHei" w:eastAsia="Microsoft JhengHei" w:hint="eastAsia"/>
          <w:b/>
          <w:sz w:val="21"/>
        </w:rPr>
        <w:t>发Th上述其他情形导致被保险人身故的，本合同效力终止，我们将向您退还本合同的现金价值。</w:t>
      </w: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13"/>
        </w:rPr>
      </w:pPr>
    </w:p>
    <w:p>
      <w:pPr>
        <w:spacing w:before="0"/>
        <w:ind w:left="212" w:right="0" w:firstLine="0"/>
        <w:jc w:val="left"/>
        <w:rPr>
          <w:rFonts w:ascii="Microsoft JhengHei" w:eastAsia="Microsoft JhengHei" w:hint="eastAsia"/>
          <w:b/>
          <w:sz w:val="28"/>
        </w:rPr>
      </w:pPr>
      <w:r>
        <w:rPr>
          <w:rFonts w:ascii="MS UI Gothic" w:eastAsia="MS UI Gothic" w:hint="eastAsia"/>
          <w:w w:val="160"/>
          <w:sz w:val="32"/>
        </w:rPr>
        <w:t>0</w:t>
      </w:r>
      <w:r>
        <w:rPr>
          <w:rFonts w:ascii="MS UI Gothic" w:eastAsia="MS UI Gothic" w:hint="eastAsia"/>
          <w:spacing w:val="-76"/>
          <w:w w:val="160"/>
          <w:sz w:val="32"/>
        </w:rPr>
        <w:t> </w:t>
      </w:r>
      <w:r>
        <w:rPr>
          <w:rFonts w:ascii="Microsoft JhengHei" w:eastAsia="Microsoft JhengHei" w:hint="eastAsia"/>
          <w:b/>
          <w:w w:val="110"/>
          <w:sz w:val="28"/>
        </w:rPr>
        <w:t>一般条款</w:t>
      </w:r>
    </w:p>
    <w:p>
      <w:pPr>
        <w:pStyle w:val="BodyText"/>
        <w:spacing w:before="13"/>
        <w:ind w:left="0"/>
        <w:rPr>
          <w:rFonts w:ascii="Microsoft JhengHei"/>
          <w:b/>
          <w:sz w:val="5"/>
        </w:rPr>
      </w:pPr>
      <w:r>
        <w:rPr/>
        <w:pict>
          <v:line style="position:absolute;mso-position-horizontal-relative:page;mso-position-vertical-relative:paragraph;z-index:1360;mso-wrap-distance-left:0;mso-wrap-distance-right:0" from="51.239517pt,7.475615pt" to="543.959506pt,7.475615pt" stroked="true" strokeweight=".959531pt" strokecolor="#000000">
            <v:stroke dashstyle="solid"/>
            <w10:wrap type="topAndBottom"/>
          </v:line>
        </w:pict>
      </w:r>
    </w:p>
    <w:p>
      <w:pPr>
        <w:pStyle w:val="BodyText"/>
        <w:spacing w:before="13"/>
        <w:ind w:left="0"/>
        <w:rPr>
          <w:rFonts w:ascii="Microsoft JhengHei"/>
          <w:b/>
          <w:sz w:val="14"/>
        </w:rPr>
      </w:pPr>
    </w:p>
    <w:p>
      <w:pPr>
        <w:pStyle w:val="Heading1"/>
        <w:numPr>
          <w:ilvl w:val="1"/>
          <w:numId w:val="3"/>
        </w:numPr>
        <w:tabs>
          <w:tab w:pos="937" w:val="left" w:leader="none"/>
          <w:tab w:pos="938" w:val="left" w:leader="none"/>
          <w:tab w:pos="9879" w:val="left" w:leader="none"/>
        </w:tabs>
        <w:spacing w:line="367" w:lineRule="exact" w:before="0" w:after="0"/>
        <w:ind w:left="937" w:right="0" w:hanging="725"/>
        <w:jc w:val="left"/>
      </w:pPr>
      <w:r>
        <w:rPr>
          <w:shd w:fill="E6E6E6" w:color="auto" w:val="clear"/>
        </w:rPr>
        <w:t>保险费的交付及宽限期</w:t>
        <w:tab/>
      </w:r>
    </w:p>
    <w:p>
      <w:pPr>
        <w:pStyle w:val="BodyText"/>
        <w:spacing w:line="273" w:lineRule="auto"/>
        <w:ind w:right="202" w:firstLine="419"/>
      </w:pPr>
      <w:r>
        <w:rPr>
          <w:spacing w:val="-5"/>
        </w:rPr>
        <w:t>您应当按照本合同约定向我们分期支付保险费。在您支付首期保险费后，应当在约定的保险费到期日</w:t>
      </w:r>
      <w:r>
        <w:rPr>
          <w:spacing w:val="-4"/>
        </w:rPr>
        <w:t>前支付续期保险费。</w:t>
      </w:r>
    </w:p>
    <w:p>
      <w:pPr>
        <w:pStyle w:val="BodyText"/>
        <w:spacing w:line="259" w:lineRule="auto" w:before="8"/>
        <w:ind w:right="204" w:firstLine="419"/>
      </w:pPr>
      <w:r>
        <w:rPr>
          <w:spacing w:val="-7"/>
        </w:rPr>
        <w:t>续期保险费应按本合同约定的方法及日期交付。如到期未交付的，自保险费到期日当日 </w:t>
      </w:r>
      <w:r>
        <w:rPr>
          <w:rFonts w:ascii="Arial" w:eastAsia="Arial"/>
        </w:rPr>
        <w:t>24 </w:t>
      </w:r>
      <w:r>
        <w:rPr>
          <w:spacing w:val="-15"/>
        </w:rPr>
        <w:t>时起 </w:t>
      </w:r>
      <w:r>
        <w:rPr>
          <w:rFonts w:ascii="Arial" w:eastAsia="Arial"/>
        </w:rPr>
        <w:t>60 </w:t>
      </w:r>
      <w:r>
        <w:rPr/>
        <w:t>日</w:t>
      </w:r>
      <w:r>
        <w:rPr>
          <w:spacing w:val="-1"/>
        </w:rPr>
        <w:t>为宽限期。</w:t>
      </w:r>
    </w:p>
    <w:p>
      <w:pPr>
        <w:spacing w:after="0" w:line="259" w:lineRule="auto"/>
        <w:sectPr>
          <w:type w:val="continuous"/>
          <w:pgSz w:w="11900" w:h="16840"/>
          <w:pgMar w:top="1040" w:bottom="280" w:left="920" w:right="920"/>
        </w:sectPr>
      </w:pPr>
    </w:p>
    <w:p>
      <w:pPr>
        <w:pStyle w:val="BodyText"/>
        <w:spacing w:line="395" w:lineRule="exact"/>
        <w:ind w:left="632"/>
      </w:pPr>
      <w:r>
        <w:rPr/>
        <w:pict>
          <v:line style="position:absolute;mso-position-horizontal-relative:page;mso-position-vertical-relative:paragraph;z-index:-44368" from="51.239517pt,2.296211pt" to="543.959506pt,2.296211pt" stroked="true" strokeweight=".479531pt" strokecolor="#000000">
            <v:stroke dashstyle="solid"/>
            <w10:wrap type="none"/>
          </v:line>
        </w:pict>
      </w:r>
      <w:r>
        <w:rPr/>
        <w:pict>
          <v:shape style="position:absolute;margin-left:218.159454pt;margin-top:9.301871pt;width:10.6pt;height:10.6pt;mso-position-horizontal-relative:page;mso-position-vertical-relative:paragraph;z-index:-44344" type="#_x0000_t202" filled="false" stroked="false">
            <v:textbox inset="0,0,0,0">
              <w:txbxContent>
                <w:p>
                  <w:pPr>
                    <w:pStyle w:val="BodyText"/>
                    <w:spacing w:line="211" w:lineRule="exact"/>
                    <w:ind w:left="0"/>
                  </w:pPr>
                  <w:r>
                    <w:rPr>
                      <w:w w:val="100"/>
                    </w:rPr>
                    <w:t>．</w:t>
                  </w:r>
                </w:p>
              </w:txbxContent>
            </v:textbox>
            <w10:wrap type="none"/>
          </v:shape>
        </w:pict>
      </w:r>
      <w:r>
        <w:rPr/>
        <w:t>宽限期内被保险人发生</w:t>
      </w:r>
      <w:r>
        <w:rPr>
          <w:rFonts w:ascii="Microsoft JhengHei" w:eastAsia="Microsoft JhengHei" w:hint="eastAsia"/>
          <w:b/>
          <w:spacing w:val="-149"/>
        </w:rPr>
        <w:t>保</w:t>
      </w:r>
      <w:r>
        <w:rPr>
          <w:spacing w:val="-63"/>
          <w:position w:val="-7"/>
        </w:rPr>
        <w:t>．</w:t>
      </w:r>
      <w:r>
        <w:rPr>
          <w:rFonts w:ascii="Microsoft JhengHei" w:eastAsia="Microsoft JhengHei" w:hint="eastAsia"/>
          <w:b/>
          <w:spacing w:val="-149"/>
        </w:rPr>
        <w:t>险</w:t>
      </w:r>
      <w:r>
        <w:rPr>
          <w:spacing w:val="-60"/>
          <w:position w:val="-7"/>
        </w:rPr>
        <w:t>．</w:t>
      </w:r>
      <w:r>
        <w:rPr>
          <w:rFonts w:ascii="Microsoft JhengHei" w:eastAsia="Microsoft JhengHei" w:hint="eastAsia"/>
          <w:b/>
          <w:spacing w:val="-149"/>
        </w:rPr>
        <w:t>事</w:t>
      </w:r>
      <w:r>
        <w:rPr>
          <w:spacing w:val="-63"/>
          <w:position w:val="-7"/>
        </w:rPr>
        <w:t>．</w:t>
      </w:r>
      <w:r>
        <w:rPr>
          <w:rFonts w:ascii="Microsoft JhengHei" w:eastAsia="Microsoft JhengHei" w:hint="eastAsia"/>
          <w:b/>
        </w:rPr>
        <w:t>故</w:t>
      </w:r>
      <w:r>
        <w:rPr>
          <w:rFonts w:ascii="Times New Roman" w:eastAsia="Times New Roman"/>
          <w:b/>
          <w:vertAlign w:val="superscript"/>
        </w:rPr>
        <w:t>1</w:t>
      </w:r>
      <w:r>
        <w:rPr>
          <w:rFonts w:ascii="Times New Roman" w:eastAsia="Times New Roman"/>
          <w:b/>
          <w:vertAlign w:val="baseline"/>
        </w:rPr>
      </w:r>
      <w:r>
        <w:rPr>
          <w:rFonts w:ascii="Times New Roman" w:eastAsia="Times New Roman"/>
          <w:b/>
          <w:vertAlign w:val="superscript"/>
        </w:rPr>
        <w:t>8</w:t>
      </w:r>
      <w:r>
        <w:rPr>
          <w:rFonts w:ascii="Times New Roman" w:eastAsia="Times New Roman"/>
          <w:b/>
          <w:vertAlign w:val="baseline"/>
        </w:rPr>
      </w:r>
      <w:r>
        <w:rPr>
          <w:spacing w:val="-2"/>
          <w:vertAlign w:val="baseline"/>
        </w:rPr>
        <w:t>的，我们仍会承担保险责任，但在给付保险金时会扣减本合同欠交</w:t>
      </w:r>
    </w:p>
    <w:p>
      <w:pPr>
        <w:pStyle w:val="BodyText"/>
        <w:spacing w:before="24"/>
      </w:pPr>
      <w:r>
        <w:rPr/>
        <w:t>的保险费。</w:t>
      </w:r>
    </w:p>
    <w:p>
      <w:pPr>
        <w:pStyle w:val="BodyText"/>
        <w:ind w:left="0"/>
        <w:rPr>
          <w:sz w:val="20"/>
        </w:rPr>
      </w:pPr>
    </w:p>
    <w:p>
      <w:pPr>
        <w:pStyle w:val="BodyText"/>
        <w:spacing w:before="5"/>
        <w:ind w:left="0"/>
        <w:rPr>
          <w:sz w:val="26"/>
        </w:rPr>
      </w:pPr>
    </w:p>
    <w:p>
      <w:pPr>
        <w:pStyle w:val="Heading1"/>
        <w:numPr>
          <w:ilvl w:val="1"/>
          <w:numId w:val="3"/>
        </w:numPr>
        <w:tabs>
          <w:tab w:pos="937" w:val="left" w:leader="none"/>
          <w:tab w:pos="938" w:val="left" w:leader="none"/>
          <w:tab w:pos="9879" w:val="left" w:leader="none"/>
        </w:tabs>
        <w:spacing w:line="356" w:lineRule="exact" w:before="0" w:after="0"/>
        <w:ind w:left="937" w:right="0" w:hanging="725"/>
        <w:jc w:val="left"/>
      </w:pPr>
      <w:r>
        <w:rPr>
          <w:shd w:fill="E6E6E6" w:color="auto" w:val="clear"/>
        </w:rPr>
        <w:t>垫交保险费</w:t>
        <w:tab/>
      </w:r>
    </w:p>
    <w:p>
      <w:pPr>
        <w:pStyle w:val="BodyText"/>
        <w:spacing w:line="237" w:lineRule="auto"/>
        <w:ind w:right="202" w:firstLine="405"/>
      </w:pPr>
      <w:r>
        <w:rPr>
          <w:spacing w:val="-5"/>
        </w:rPr>
        <w:t>续期保险费逾宽限期仍未交纳的，若您选择垫交保险费的，我们将按以下情况自动垫交其欠交的保险费：</w:t>
      </w:r>
    </w:p>
    <w:p>
      <w:pPr>
        <w:pStyle w:val="BodyText"/>
        <w:spacing w:line="347" w:lineRule="exact" w:before="9"/>
        <w:ind w:left="618"/>
      </w:pPr>
      <w:r>
        <w:rPr/>
        <w:pict>
          <v:shape style="position:absolute;margin-left:439.558899pt;margin-top:7.658432pt;width:10.6pt;height:10.6pt;mso-position-horizontal-relative:page;mso-position-vertical-relative:paragraph;z-index:-44320" type="#_x0000_t202" filled="false" stroked="false">
            <v:textbox inset="0,0,0,0">
              <w:txbxContent>
                <w:p>
                  <w:pPr>
                    <w:pStyle w:val="BodyText"/>
                    <w:spacing w:line="211" w:lineRule="exact"/>
                    <w:ind w:left="0"/>
                  </w:pPr>
                  <w:r>
                    <w:rPr>
                      <w:w w:val="100"/>
                    </w:rPr>
                    <w:t>．</w:t>
                  </w:r>
                </w:p>
              </w:txbxContent>
            </v:textbox>
            <w10:wrap type="none"/>
          </v:shape>
        </w:pict>
      </w:r>
      <w:r>
        <w:rPr/>
        <w:t>若本合同当时所具有的现金价值在扣除借款、已垫交保险费及上述款项应付</w:t>
      </w:r>
      <w:r>
        <w:rPr>
          <w:rFonts w:ascii="Microsoft JhengHei" w:eastAsia="Microsoft JhengHei" w:hint="eastAsia"/>
          <w:b/>
          <w:spacing w:val="-149"/>
        </w:rPr>
        <w:t>利</w:t>
      </w:r>
      <w:r>
        <w:rPr>
          <w:spacing w:val="-60"/>
          <w:position w:val="-7"/>
        </w:rPr>
        <w:t>．</w:t>
      </w:r>
      <w:r>
        <w:rPr>
          <w:rFonts w:ascii="Microsoft JhengHei" w:eastAsia="Microsoft JhengHei" w:hint="eastAsia"/>
          <w:b/>
        </w:rPr>
        <w:t>息</w:t>
      </w:r>
      <w:r>
        <w:rPr>
          <w:rFonts w:ascii="Times New Roman" w:eastAsia="Times New Roman"/>
          <w:b/>
          <w:vertAlign w:val="superscript"/>
        </w:rPr>
        <w:t>1</w:t>
      </w:r>
      <w:r>
        <w:rPr>
          <w:rFonts w:ascii="Times New Roman" w:eastAsia="Times New Roman"/>
          <w:b/>
          <w:vertAlign w:val="baseline"/>
        </w:rPr>
      </w:r>
      <w:r>
        <w:rPr>
          <w:rFonts w:ascii="Times New Roman" w:eastAsia="Times New Roman"/>
          <w:b/>
          <w:vertAlign w:val="superscript"/>
        </w:rPr>
        <w:t>9</w:t>
      </w:r>
      <w:r>
        <w:rPr>
          <w:rFonts w:ascii="Times New Roman" w:eastAsia="Times New Roman"/>
          <w:b/>
          <w:vertAlign w:val="baseline"/>
        </w:rPr>
      </w:r>
      <w:r>
        <w:rPr>
          <w:vertAlign w:val="baseline"/>
        </w:rPr>
        <w:t>后的余额足以垫交</w:t>
      </w:r>
    </w:p>
    <w:p>
      <w:pPr>
        <w:pStyle w:val="BodyText"/>
        <w:spacing w:line="266" w:lineRule="exact"/>
      </w:pPr>
      <w:r>
        <w:rPr/>
        <w:t>当期欠交的保险费时，我们将先行垫交您当期欠交的保险费，使本合同继续有效。</w:t>
      </w:r>
    </w:p>
    <w:p>
      <w:pPr>
        <w:pStyle w:val="BodyText"/>
        <w:spacing w:line="237" w:lineRule="auto"/>
        <w:ind w:right="202" w:firstLine="405"/>
        <w:jc w:val="both"/>
      </w:pPr>
      <w:r>
        <w:rPr>
          <w:spacing w:val="-4"/>
        </w:rPr>
        <w:t>若本合同当时所具有的现金价值在扣除借款、已垫交保险费及上述款项应付利息后的余额不足以垫交</w:t>
      </w:r>
      <w:r>
        <w:rPr>
          <w:spacing w:val="-6"/>
        </w:rPr>
        <w:t>当期欠交的保险费时，我们将以该余额折算成承保天数，先行垫交您相应的保险费，本合同在此期间继续有效。</w:t>
      </w:r>
    </w:p>
    <w:p>
      <w:pPr>
        <w:pStyle w:val="BodyText"/>
        <w:spacing w:line="274" w:lineRule="exact"/>
        <w:ind w:left="618"/>
      </w:pPr>
      <w:r>
        <w:rPr/>
        <w:t>若上述余额等于零时，本合同的效力中止。</w:t>
      </w:r>
    </w:p>
    <w:p>
      <w:pPr>
        <w:pStyle w:val="BodyText"/>
        <w:spacing w:line="273" w:lineRule="auto" w:before="18"/>
        <w:ind w:left="632" w:right="2069"/>
      </w:pPr>
      <w:r>
        <w:rPr/>
        <w:t>本合同若有附加合同，则保险费的自动垫交也包括附加合同当期欠交的保险费。自动垫交的保险费视同借款处理。</w:t>
      </w:r>
    </w:p>
    <w:p>
      <w:pPr>
        <w:pStyle w:val="BodyText"/>
        <w:ind w:left="0"/>
        <w:rPr>
          <w:sz w:val="20"/>
        </w:rPr>
      </w:pPr>
    </w:p>
    <w:p>
      <w:pPr>
        <w:pStyle w:val="BodyText"/>
        <w:spacing w:before="1"/>
        <w:ind w:left="0"/>
        <w:rPr>
          <w:sz w:val="24"/>
        </w:rPr>
      </w:pPr>
    </w:p>
    <w:p>
      <w:pPr>
        <w:pStyle w:val="Heading1"/>
        <w:numPr>
          <w:ilvl w:val="1"/>
          <w:numId w:val="3"/>
        </w:numPr>
        <w:tabs>
          <w:tab w:pos="937" w:val="left" w:leader="none"/>
          <w:tab w:pos="938" w:val="left" w:leader="none"/>
          <w:tab w:pos="9879" w:val="left" w:leader="none"/>
        </w:tabs>
        <w:spacing w:line="323" w:lineRule="exact" w:before="0" w:after="0"/>
        <w:ind w:left="937" w:right="0" w:hanging="725"/>
        <w:jc w:val="left"/>
      </w:pPr>
      <w:r>
        <w:rPr>
          <w:shd w:fill="E6E6E6" w:color="auto" w:val="clear"/>
        </w:rPr>
        <w:t>合同效力的中止</w:t>
        <w:tab/>
      </w:r>
    </w:p>
    <w:p>
      <w:pPr>
        <w:pStyle w:val="Heading2"/>
        <w:spacing w:line="177" w:lineRule="auto" w:before="50"/>
        <w:ind w:right="206" w:firstLine="424"/>
        <w:rPr>
          <w:rFonts w:ascii="Microsoft JhengHei" w:eastAsia="Microsoft JhengHei" w:hint="eastAsia"/>
        </w:rPr>
      </w:pPr>
      <w:r>
        <w:rPr>
          <w:rFonts w:ascii="Microsoft JhengHei" w:eastAsia="Microsoft JhengHei" w:hint="eastAsia"/>
        </w:rPr>
        <w:t>除本合同另有约定外，您逾宽限期仍未交付续期保险费的，则本合同自宽限期期满当日的 24 时起中止效力。在合同效力中止期间，我们不承担保险责任。</w:t>
      </w:r>
    </w:p>
    <w:p>
      <w:pPr>
        <w:pStyle w:val="BodyText"/>
        <w:ind w:left="0"/>
        <w:rPr>
          <w:rFonts w:ascii="Microsoft JhengHei"/>
          <w:b/>
          <w:sz w:val="28"/>
        </w:rPr>
      </w:pPr>
    </w:p>
    <w:p>
      <w:pPr>
        <w:pStyle w:val="ListParagraph"/>
        <w:numPr>
          <w:ilvl w:val="1"/>
          <w:numId w:val="3"/>
        </w:numPr>
        <w:tabs>
          <w:tab w:pos="937" w:val="left" w:leader="none"/>
          <w:tab w:pos="938" w:val="left" w:leader="none"/>
          <w:tab w:pos="9879" w:val="left" w:leader="none"/>
        </w:tabs>
        <w:spacing w:line="356"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合同效力的恢复</w:t>
        <w:tab/>
      </w:r>
    </w:p>
    <w:p>
      <w:pPr>
        <w:pStyle w:val="BodyText"/>
        <w:spacing w:line="225" w:lineRule="auto" w:before="6"/>
        <w:ind w:right="206" w:firstLine="424"/>
      </w:pPr>
      <w:r>
        <w:rPr>
          <w:spacing w:val="-7"/>
        </w:rPr>
        <w:t>本合同效力中止后 </w:t>
      </w:r>
      <w:r>
        <w:rPr>
          <w:rFonts w:ascii="Arial" w:eastAsia="Arial"/>
        </w:rPr>
        <w:t>2 </w:t>
      </w:r>
      <w:r>
        <w:rPr>
          <w:spacing w:val="-7"/>
        </w:rPr>
        <w:t>年内，您可以申请恢复合同效力。经我们与您协商并达成协议，在您补交欠交的</w:t>
      </w:r>
      <w:r>
        <w:rPr>
          <w:spacing w:val="-6"/>
        </w:rPr>
        <w:t>保险费</w:t>
      </w:r>
      <w:r>
        <w:rPr/>
        <w:t>（</w:t>
      </w:r>
      <w:r>
        <w:rPr>
          <w:spacing w:val="-3"/>
        </w:rPr>
        <w:t>包括自动垫交的保险费</w:t>
      </w:r>
      <w:r>
        <w:rPr/>
        <w:t>）</w:t>
      </w:r>
      <w:r>
        <w:rPr>
          <w:spacing w:val="-3"/>
        </w:rPr>
        <w:t>及利息、借款及利息之日，合同效力恢复。</w:t>
      </w:r>
    </w:p>
    <w:p>
      <w:pPr>
        <w:pStyle w:val="BodyText"/>
        <w:spacing w:line="225" w:lineRule="auto" w:before="16"/>
        <w:ind w:right="204" w:firstLine="424"/>
      </w:pPr>
      <w:r>
        <w:rPr>
          <w:spacing w:val="-6"/>
        </w:rPr>
        <w:t>自本合同效力中止之日起满 </w:t>
      </w:r>
      <w:r>
        <w:rPr>
          <w:rFonts w:ascii="Arial" w:eastAsia="Arial"/>
        </w:rPr>
        <w:t>2 </w:t>
      </w:r>
      <w:r>
        <w:rPr>
          <w:spacing w:val="-6"/>
        </w:rPr>
        <w:t>年您和我们未达成协议的，我们有权解除合同。我们解除合同的，向您</w:t>
      </w:r>
      <w:r>
        <w:rPr>
          <w:spacing w:val="-4"/>
        </w:rPr>
        <w:t>退还合同效力中止时本合同的现金价值。</w:t>
      </w:r>
    </w:p>
    <w:p>
      <w:pPr>
        <w:pStyle w:val="Heading2"/>
        <w:spacing w:line="240" w:lineRule="auto" w:before="25"/>
        <w:ind w:left="637"/>
        <w:rPr>
          <w:rFonts w:ascii="Microsoft JhengHei" w:eastAsia="Microsoft JhengHei" w:hint="eastAsia"/>
        </w:rPr>
      </w:pPr>
      <w:r>
        <w:rPr>
          <w:rFonts w:ascii="Microsoft JhengHei" w:eastAsia="Microsoft JhengHei" w:hint="eastAsia"/>
          <w:w w:val="95"/>
        </w:rPr>
        <w:t>我们对合同中止日至复效日期间所发Th的保险事故不承担保险责任。</w:t>
      </w:r>
    </w:p>
    <w:p>
      <w:pPr>
        <w:pStyle w:val="BodyText"/>
        <w:ind w:left="0"/>
        <w:rPr>
          <w:rFonts w:ascii="Microsoft JhengHei"/>
          <w:b/>
          <w:sz w:val="20"/>
        </w:rPr>
      </w:pPr>
    </w:p>
    <w:p>
      <w:pPr>
        <w:pStyle w:val="BodyText"/>
        <w:spacing w:before="7"/>
        <w:ind w:left="0"/>
        <w:rPr>
          <w:rFonts w:ascii="Microsoft JhengHei"/>
          <w:b/>
          <w:sz w:val="12"/>
        </w:rPr>
      </w:pPr>
    </w:p>
    <w:p>
      <w:pPr>
        <w:pStyle w:val="ListParagraph"/>
        <w:numPr>
          <w:ilvl w:val="1"/>
          <w:numId w:val="3"/>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合同的解除</w:t>
        <w:tab/>
      </w:r>
    </w:p>
    <w:p>
      <w:pPr>
        <w:pStyle w:val="BodyText"/>
        <w:spacing w:line="273" w:lineRule="auto"/>
        <w:ind w:left="632" w:right="1858" w:firstLine="2"/>
      </w:pPr>
      <w:r>
        <w:rPr/>
        <w:t>如您在犹豫期后申请解除本合同，请填写解除合同申请书并向我们提供下列资料： 一、保险合同原件；</w:t>
      </w:r>
    </w:p>
    <w:p>
      <w:pPr>
        <w:pStyle w:val="BodyText"/>
        <w:spacing w:before="8"/>
        <w:ind w:left="635"/>
      </w:pPr>
      <w:r>
        <w:rPr/>
        <w:t>二、您的有效身份证件。</w:t>
      </w:r>
    </w:p>
    <w:p>
      <w:pPr>
        <w:pStyle w:val="BodyText"/>
        <w:spacing w:before="36"/>
        <w:ind w:left="632"/>
      </w:pPr>
      <w:r>
        <w:rPr/>
        <w:t>自我们收到完整的解除合同申请材料之日 </w:t>
      </w:r>
      <w:r>
        <w:rPr>
          <w:rFonts w:ascii="Arial" w:eastAsia="Arial"/>
        </w:rPr>
        <w:t>24 </w:t>
      </w:r>
      <w:r>
        <w:rPr/>
        <w:t>时起，本合同效力终止。我们自收到完整的解除合同申</w:t>
      </w:r>
    </w:p>
    <w:p>
      <w:pPr>
        <w:pStyle w:val="BodyText"/>
        <w:spacing w:before="21"/>
      </w:pPr>
      <w:r>
        <w:rPr/>
        <w:t>请材料之日起 </w:t>
      </w:r>
      <w:r>
        <w:rPr>
          <w:rFonts w:ascii="Arial" w:eastAsia="Arial"/>
        </w:rPr>
        <w:t>10 </w:t>
      </w:r>
      <w:r>
        <w:rPr/>
        <w:t>日内向您退还本合同的现金价值。</w:t>
      </w:r>
    </w:p>
    <w:p>
      <w:pPr>
        <w:pStyle w:val="Heading2"/>
        <w:spacing w:line="240" w:lineRule="auto" w:before="27"/>
        <w:ind w:left="632"/>
        <w:rPr>
          <w:rFonts w:ascii="Microsoft JhengHei" w:eastAsia="Microsoft JhengHei" w:hint="eastAsia"/>
        </w:rPr>
      </w:pPr>
      <w:r>
        <w:rPr>
          <w:rFonts w:ascii="Microsoft JhengHei" w:eastAsia="Microsoft JhengHei" w:hint="eastAsia"/>
        </w:rPr>
        <w:t>您在犹豫期后解除合同会受到一定损失。</w:t>
      </w:r>
    </w:p>
    <w:p>
      <w:pPr>
        <w:pStyle w:val="BodyText"/>
        <w:ind w:left="0"/>
        <w:rPr>
          <w:rFonts w:ascii="Microsoft JhengHei"/>
          <w:b/>
          <w:sz w:val="20"/>
        </w:rPr>
      </w:pPr>
    </w:p>
    <w:p>
      <w:pPr>
        <w:pStyle w:val="BodyText"/>
        <w:spacing w:before="7"/>
        <w:ind w:left="0"/>
        <w:rPr>
          <w:rFonts w:ascii="Microsoft JhengHei"/>
          <w:b/>
          <w:sz w:val="12"/>
        </w:rPr>
      </w:pPr>
    </w:p>
    <w:p>
      <w:pPr>
        <w:pStyle w:val="ListParagraph"/>
        <w:numPr>
          <w:ilvl w:val="1"/>
          <w:numId w:val="3"/>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合同效力的终止</w:t>
        <w:tab/>
      </w:r>
    </w:p>
    <w:p>
      <w:pPr>
        <w:pStyle w:val="BodyText"/>
        <w:spacing w:line="274" w:lineRule="exact"/>
        <w:ind w:left="635"/>
      </w:pPr>
      <w:r>
        <w:rPr/>
        <w:t>发生下列情况之一时，本合同效力终止：</w:t>
      </w:r>
    </w:p>
    <w:p>
      <w:pPr>
        <w:pStyle w:val="BodyText"/>
        <w:spacing w:before="15"/>
        <w:ind w:left="632" w:right="4800"/>
      </w:pPr>
      <w:r>
        <w:rPr/>
        <w:t>一、您于合同有效期内向我们申请解除本合同的； 二、被保险人身故时；</w:t>
      </w:r>
    </w:p>
    <w:p>
      <w:pPr>
        <w:pStyle w:val="BodyText"/>
        <w:spacing w:line="271" w:lineRule="exact"/>
        <w:ind w:left="632"/>
      </w:pPr>
      <w:r>
        <w:rPr/>
        <w:t>三、本合同已给付第三次重大疾病保险金；</w:t>
      </w:r>
    </w:p>
    <w:p>
      <w:pPr>
        <w:pStyle w:val="BodyText"/>
        <w:spacing w:line="225" w:lineRule="auto" w:before="17"/>
        <w:ind w:left="632" w:right="3917"/>
      </w:pPr>
      <w:r>
        <w:rPr/>
        <w:t>四、本合同效力中止且未能按本合同第 </w:t>
      </w:r>
      <w:r>
        <w:rPr>
          <w:rFonts w:ascii="Arial" w:eastAsia="Arial"/>
        </w:rPr>
        <w:t>2.4 </w:t>
      </w:r>
      <w:r>
        <w:rPr/>
        <w:t>条办理复效的； 五、本合同约定的其他效力终止的情况。</w:t>
      </w:r>
    </w:p>
    <w:p>
      <w:pPr>
        <w:spacing w:after="0" w:line="225" w:lineRule="auto"/>
        <w:sectPr>
          <w:pgSz w:w="11900" w:h="16840"/>
          <w:pgMar w:header="844" w:footer="547" w:top="1040" w:bottom="740" w:left="920" w:right="920"/>
        </w:sectPr>
      </w:pPr>
    </w:p>
    <w:p>
      <w:pPr>
        <w:pStyle w:val="Heading1"/>
        <w:numPr>
          <w:ilvl w:val="1"/>
          <w:numId w:val="3"/>
        </w:numPr>
        <w:tabs>
          <w:tab w:pos="937" w:val="left" w:leader="none"/>
          <w:tab w:pos="938" w:val="left" w:leader="none"/>
          <w:tab w:pos="9879" w:val="left" w:leader="none"/>
        </w:tabs>
        <w:spacing w:line="351" w:lineRule="exact" w:before="0" w:after="0"/>
        <w:ind w:left="937" w:right="0" w:hanging="725"/>
        <w:jc w:val="left"/>
      </w:pPr>
      <w:r>
        <w:rPr/>
        <w:pict>
          <v:line style="position:absolute;mso-position-horizontal-relative:page;mso-position-vertical-relative:paragraph;z-index:-44296" from="51.239517pt,2.296211pt" to="543.959506pt,2.296211pt" stroked="true" strokeweight=".479531pt" strokecolor="#000000">
            <v:stroke dashstyle="solid"/>
            <w10:wrap type="none"/>
          </v:line>
        </w:pict>
      </w:r>
      <w:r>
        <w:rPr>
          <w:shd w:fill="E6E6E6" w:color="auto" w:val="clear"/>
        </w:rPr>
        <w:t>受益人的指定和变更</w:t>
        <w:tab/>
      </w:r>
    </w:p>
    <w:p>
      <w:pPr>
        <w:pStyle w:val="BodyText"/>
        <w:spacing w:line="274" w:lineRule="exact"/>
        <w:ind w:left="632"/>
      </w:pPr>
      <w:r>
        <w:rPr/>
        <w:t>一、您或者被保险人可以指定一人或多人为身故保险金受益人。</w:t>
      </w:r>
    </w:p>
    <w:p>
      <w:pPr>
        <w:pStyle w:val="BodyText"/>
        <w:spacing w:line="273" w:lineRule="auto" w:before="130"/>
        <w:ind w:right="206" w:firstLine="420"/>
      </w:pPr>
      <w:r>
        <w:rPr>
          <w:spacing w:val="-5"/>
        </w:rPr>
        <w:t>二、身故保险金受益人为多人时，可以确定受益顺序和受益份额；如果没有确定份额，各受益人按照</w:t>
      </w:r>
      <w:r>
        <w:rPr>
          <w:spacing w:val="-4"/>
        </w:rPr>
        <w:t>相等份额享有受益权。</w:t>
      </w:r>
    </w:p>
    <w:p>
      <w:pPr>
        <w:pStyle w:val="BodyText"/>
        <w:spacing w:before="100"/>
        <w:ind w:left="632"/>
      </w:pPr>
      <w:r>
        <w:rPr/>
        <w:t>三、被保险人为无民事行为能力人或限制民事行为能力人的，可以由其监护人指定受益人。</w:t>
      </w:r>
    </w:p>
    <w:p>
      <w:pPr>
        <w:pStyle w:val="BodyText"/>
        <w:spacing w:line="273" w:lineRule="auto" w:before="130"/>
        <w:ind w:right="98" w:firstLine="419"/>
      </w:pPr>
      <w:r>
        <w:rPr>
          <w:spacing w:val="-12"/>
        </w:rPr>
        <w:t>四、您或者被保险人可以变更身故保险金受益人并书面通知我们。我们收到变更受益人的书面通知后， </w:t>
      </w:r>
      <w:r>
        <w:rPr>
          <w:spacing w:val="-6"/>
        </w:rPr>
        <w:t>在保险单或其他保险凭证上批注或附贴批单。</w:t>
      </w:r>
    </w:p>
    <w:p>
      <w:pPr>
        <w:pStyle w:val="BodyText"/>
        <w:spacing w:before="7"/>
        <w:ind w:left="632"/>
      </w:pPr>
      <w:r>
        <w:rPr/>
        <w:t>您在指定和变更保险金受益人时，必须经过被保险人同意。</w:t>
      </w:r>
    </w:p>
    <w:p>
      <w:pPr>
        <w:pStyle w:val="BodyText"/>
        <w:spacing w:before="130"/>
        <w:ind w:left="632"/>
      </w:pPr>
      <w:r>
        <w:rPr/>
        <w:t>五、除有特殊约定，本合同轻症保险金、重大疾病保险金的受益人为被保险人本人。</w:t>
      </w:r>
    </w:p>
    <w:p>
      <w:pPr>
        <w:pStyle w:val="BodyText"/>
        <w:spacing w:line="273" w:lineRule="auto" w:before="128"/>
        <w:ind w:right="202" w:firstLine="420"/>
      </w:pPr>
      <w:r>
        <w:rPr>
          <w:spacing w:val="-5"/>
        </w:rPr>
        <w:t>六、被保险人身故后，有下列情形之一的，保险金作为被保险人的遗产，由我们依照《中华人民共和</w:t>
      </w:r>
      <w:r>
        <w:rPr>
          <w:spacing w:val="-4"/>
        </w:rPr>
        <w:t>国继承法》的规定履行给付保险金的义务：</w:t>
      </w:r>
    </w:p>
    <w:p>
      <w:pPr>
        <w:pStyle w:val="BodyText"/>
        <w:spacing w:before="7"/>
        <w:ind w:left="949"/>
      </w:pPr>
      <w:r>
        <w:rPr>
          <w:rFonts w:ascii="Times New Roman" w:eastAsia="Times New Roman"/>
        </w:rPr>
        <w:t>1</w:t>
      </w:r>
      <w:r>
        <w:rPr/>
        <w:t>、没有指定受益人，或者受益人指定不明无法确定的；</w:t>
      </w:r>
    </w:p>
    <w:p>
      <w:pPr>
        <w:pStyle w:val="BodyText"/>
        <w:spacing w:before="20"/>
        <w:ind w:left="949"/>
      </w:pPr>
      <w:r>
        <w:rPr>
          <w:rFonts w:ascii="Times New Roman" w:eastAsia="Times New Roman"/>
        </w:rPr>
        <w:t>2</w:t>
      </w:r>
      <w:r>
        <w:rPr/>
        <w:t>、受益人先于被保险人身故，没有其他受益人的；</w:t>
      </w:r>
    </w:p>
    <w:p>
      <w:pPr>
        <w:pStyle w:val="BodyText"/>
        <w:spacing w:before="20"/>
        <w:ind w:left="949"/>
      </w:pPr>
      <w:r>
        <w:rPr>
          <w:rFonts w:ascii="Times New Roman" w:eastAsia="Times New Roman"/>
        </w:rPr>
        <w:t>3</w:t>
      </w:r>
      <w:r>
        <w:rPr/>
        <w:t>、受益人依法丧失受益权或者放弃受益权，没有其他受益人的。</w:t>
      </w:r>
    </w:p>
    <w:p>
      <w:pPr>
        <w:pStyle w:val="BodyText"/>
        <w:spacing w:before="114"/>
        <w:ind w:left="632"/>
      </w:pPr>
      <w:r>
        <w:rPr/>
        <w:t>七、受益人与被保险人在同一事件中身故，且不能确定身故先后顺序的，推定受益人身故在先。</w:t>
      </w:r>
    </w:p>
    <w:p>
      <w:pPr>
        <w:pStyle w:val="BodyText"/>
        <w:spacing w:line="237" w:lineRule="auto" w:before="111"/>
        <w:ind w:right="202" w:firstLine="420"/>
      </w:pPr>
      <w:r>
        <w:rPr>
          <w:spacing w:val="-5"/>
        </w:rPr>
        <w:t>八、受益人故意造成被保险人身故、伤残、疾病的，或者故意杀害被保险人未遂的，该受益人丧失受益权。</w:t>
      </w:r>
    </w:p>
    <w:p>
      <w:pPr>
        <w:pStyle w:val="BodyText"/>
        <w:ind w:left="0"/>
        <w:rPr>
          <w:sz w:val="20"/>
        </w:rPr>
      </w:pPr>
    </w:p>
    <w:p>
      <w:pPr>
        <w:pStyle w:val="BodyText"/>
        <w:spacing w:before="1"/>
        <w:ind w:left="0"/>
        <w:rPr>
          <w:sz w:val="25"/>
        </w:rPr>
      </w:pPr>
    </w:p>
    <w:p>
      <w:pPr>
        <w:pStyle w:val="Heading1"/>
        <w:numPr>
          <w:ilvl w:val="1"/>
          <w:numId w:val="3"/>
        </w:numPr>
        <w:tabs>
          <w:tab w:pos="937" w:val="left" w:leader="none"/>
          <w:tab w:pos="938" w:val="left" w:leader="none"/>
          <w:tab w:pos="9879" w:val="left" w:leader="none"/>
        </w:tabs>
        <w:spacing w:line="333" w:lineRule="exact" w:before="0" w:after="0"/>
        <w:ind w:left="937" w:right="0" w:hanging="725"/>
        <w:jc w:val="left"/>
      </w:pPr>
      <w:r>
        <w:rPr>
          <w:shd w:fill="E6E6E6" w:color="auto" w:val="clear"/>
        </w:rPr>
        <w:t>保险事故的通知</w:t>
        <w:tab/>
      </w:r>
    </w:p>
    <w:p>
      <w:pPr>
        <w:pStyle w:val="Heading2"/>
        <w:spacing w:line="204" w:lineRule="auto" w:before="20"/>
        <w:ind w:right="206" w:firstLine="422"/>
        <w:jc w:val="both"/>
        <w:rPr>
          <w:rFonts w:ascii="Microsoft JhengHei" w:eastAsia="Microsoft JhengHei" w:hint="eastAsia"/>
        </w:rPr>
      </w:pPr>
      <w:r>
        <w:rPr>
          <w:rFonts w:ascii="Microsoft JhengHei" w:eastAsia="Microsoft JhengHei" w:hint="eastAsia"/>
          <w:spacing w:val="-2"/>
        </w:rPr>
        <w:t>您、被保险人或受益人应于知道保险事故发</w:t>
      </w:r>
      <w:r>
        <w:rPr>
          <w:rFonts w:ascii="Microsoft JhengHei" w:eastAsia="Microsoft JhengHei" w:hint="eastAsia"/>
        </w:rPr>
        <w:t>Th</w:t>
      </w:r>
      <w:r>
        <w:rPr>
          <w:rFonts w:ascii="Microsoft JhengHei" w:eastAsia="Microsoft JhengHei" w:hint="eastAsia"/>
          <w:spacing w:val="-1"/>
        </w:rPr>
        <w:t>之日起 </w:t>
      </w:r>
      <w:r>
        <w:rPr>
          <w:rFonts w:ascii="Microsoft JhengHei" w:eastAsia="Microsoft JhengHei" w:hint="eastAsia"/>
        </w:rPr>
        <w:t>10</w:t>
      </w:r>
      <w:r>
        <w:rPr>
          <w:rFonts w:ascii="Microsoft JhengHei" w:eastAsia="Microsoft JhengHei" w:hint="eastAsia"/>
          <w:spacing w:val="-3"/>
        </w:rPr>
        <w:t> 日内通知我们。如果您、被保险人或受益人</w:t>
      </w:r>
      <w:r>
        <w:rPr>
          <w:rFonts w:ascii="Microsoft JhengHei" w:eastAsia="Microsoft JhengHei" w:hint="eastAsia"/>
          <w:spacing w:val="-7"/>
        </w:rPr>
        <w:t>故意或者因重大过失未及时通知，致使保险事故的性质、原因、损失程度等难以确定的，我们对无法确定</w:t>
      </w:r>
      <w:r>
        <w:rPr>
          <w:rFonts w:ascii="Microsoft JhengHei" w:eastAsia="Microsoft JhengHei" w:hint="eastAsia"/>
          <w:spacing w:val="-10"/>
        </w:rPr>
        <w:t>的部分，不承担给付保险金的责任，但我们通过其他途径已经及时知道或者应当及时知道保险事故发</w:t>
      </w:r>
      <w:r>
        <w:rPr>
          <w:rFonts w:ascii="Microsoft JhengHei" w:eastAsia="Microsoft JhengHei" w:hint="eastAsia"/>
        </w:rPr>
        <w:t>Th或</w:t>
      </w:r>
      <w:r>
        <w:rPr>
          <w:rFonts w:ascii="Microsoft JhengHei" w:eastAsia="Microsoft JhengHei" w:hint="eastAsia"/>
          <w:spacing w:val="-3"/>
        </w:rPr>
        <w:t>者虽未及时通知但不影响我们确定保险事故的性质、原因、损失程度的除外。</w:t>
      </w:r>
    </w:p>
    <w:p>
      <w:pPr>
        <w:pStyle w:val="BodyText"/>
        <w:ind w:left="0"/>
        <w:rPr>
          <w:rFonts w:ascii="Microsoft JhengHei"/>
          <w:b/>
          <w:sz w:val="20"/>
        </w:rPr>
      </w:pPr>
    </w:p>
    <w:p>
      <w:pPr>
        <w:pStyle w:val="BodyText"/>
        <w:spacing w:before="8"/>
        <w:ind w:left="0"/>
        <w:rPr>
          <w:rFonts w:ascii="Microsoft JhengHei"/>
          <w:b/>
          <w:sz w:val="13"/>
        </w:rPr>
      </w:pPr>
    </w:p>
    <w:p>
      <w:pPr>
        <w:pStyle w:val="ListParagraph"/>
        <w:numPr>
          <w:ilvl w:val="1"/>
          <w:numId w:val="3"/>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保险金的申请</w:t>
        <w:tab/>
      </w:r>
    </w:p>
    <w:p>
      <w:pPr>
        <w:pStyle w:val="BodyText"/>
        <w:spacing w:line="273" w:lineRule="auto"/>
        <w:ind w:right="202" w:firstLine="422"/>
      </w:pPr>
      <w:r>
        <w:rPr>
          <w:spacing w:val="-6"/>
        </w:rPr>
        <w:t>一、在本合同有效期内，被保险人被确诊患有轻症或重大疾病的，由被保险人作为申请人填写保险金</w:t>
      </w:r>
      <w:r>
        <w:rPr>
          <w:spacing w:val="-4"/>
        </w:rPr>
        <w:t>给付申请书，并向我们提供下列证明文件、资料原件：</w:t>
      </w:r>
    </w:p>
    <w:p>
      <w:pPr>
        <w:pStyle w:val="BodyText"/>
        <w:spacing w:line="267" w:lineRule="exact"/>
        <w:ind w:left="932"/>
      </w:pPr>
      <w:r>
        <w:rPr>
          <w:rFonts w:ascii="Times New Roman" w:eastAsia="Times New Roman"/>
        </w:rPr>
        <w:t>1</w:t>
      </w:r>
      <w:r>
        <w:rPr/>
        <w:t>、保险合同；</w:t>
      </w:r>
    </w:p>
    <w:p>
      <w:pPr>
        <w:pStyle w:val="BodyText"/>
        <w:spacing w:line="239" w:lineRule="exact"/>
        <w:ind w:left="932"/>
      </w:pPr>
      <w:r>
        <w:rPr>
          <w:rFonts w:ascii="Times New Roman" w:eastAsia="Times New Roman"/>
        </w:rPr>
        <w:t>2</w:t>
      </w:r>
      <w:r>
        <w:rPr/>
        <w:t>、被保险人的有效身份证件；</w:t>
      </w:r>
    </w:p>
    <w:p>
      <w:pPr>
        <w:pStyle w:val="BodyText"/>
        <w:spacing w:line="324" w:lineRule="exact"/>
        <w:ind w:left="932"/>
      </w:pPr>
      <w:r>
        <w:rPr/>
        <w:pict>
          <v:shape style="position:absolute;margin-left:111.479721pt;margin-top:8.511601pt;width:21.15pt;height:10.6pt;mso-position-horizontal-relative:page;mso-position-vertical-relative:paragraph;z-index:-44272" type="#_x0000_t202" filled="false" stroked="false">
            <v:textbox inset="0,0,0,0">
              <w:txbxContent>
                <w:p>
                  <w:pPr>
                    <w:pStyle w:val="BodyText"/>
                    <w:spacing w:line="211" w:lineRule="exact"/>
                    <w:ind w:left="0"/>
                  </w:pPr>
                  <w:r>
                    <w:rPr/>
                    <w:t>．．</w:t>
                  </w:r>
                </w:p>
              </w:txbxContent>
            </v:textbox>
            <w10:wrap type="none"/>
          </v:shape>
        </w:pict>
      </w:r>
      <w:r>
        <w:rPr>
          <w:rFonts w:ascii="Times New Roman" w:eastAsia="Times New Roman"/>
        </w:rPr>
        <w:t>3</w:t>
      </w:r>
      <w:r>
        <w:rPr/>
        <w:t>、</w:t>
      </w:r>
      <w:r>
        <w:rPr>
          <w:rFonts w:ascii="Microsoft JhengHei" w:eastAsia="Microsoft JhengHei" w:hint="eastAsia"/>
          <w:b/>
        </w:rPr>
        <w:t>医院</w:t>
      </w:r>
      <w:r>
        <w:rPr>
          <w:rFonts w:ascii="Times New Roman" w:eastAsia="Times New Roman"/>
          <w:b/>
          <w:vertAlign w:val="superscript"/>
        </w:rPr>
        <w:t>2</w:t>
      </w:r>
      <w:r>
        <w:rPr>
          <w:rFonts w:ascii="Times New Roman" w:eastAsia="Times New Roman"/>
          <w:b/>
          <w:vertAlign w:val="baseline"/>
        </w:rPr>
      </w:r>
      <w:r>
        <w:rPr>
          <w:rFonts w:ascii="Times New Roman" w:eastAsia="Times New Roman"/>
          <w:b/>
          <w:vertAlign w:val="superscript"/>
        </w:rPr>
        <w:t>0</w:t>
      </w:r>
      <w:r>
        <w:rPr>
          <w:rFonts w:ascii="Times New Roman" w:eastAsia="Times New Roman"/>
          <w:b/>
          <w:vertAlign w:val="baseline"/>
        </w:rPr>
      </w:r>
      <w:r>
        <w:rPr>
          <w:vertAlign w:val="baseline"/>
        </w:rPr>
        <w:t>出具的病历、必要病理检验、血液检验及其他科学诊断报告、诊断书；</w:t>
      </w:r>
    </w:p>
    <w:p>
      <w:pPr>
        <w:pStyle w:val="BodyText"/>
        <w:spacing w:before="39"/>
        <w:ind w:left="964"/>
      </w:pPr>
      <w:r>
        <w:rPr>
          <w:rFonts w:ascii="Times New Roman" w:eastAsia="Times New Roman"/>
        </w:rPr>
        <w:t>4</w:t>
      </w:r>
      <w:r>
        <w:rPr/>
        <w:t>、被保险人所能提供的与确认保险事故的性质、原因、伤害程度等有关的其他证明和资料。</w:t>
      </w:r>
    </w:p>
    <w:p>
      <w:pPr>
        <w:pStyle w:val="BodyText"/>
        <w:spacing w:line="237" w:lineRule="auto" w:before="79"/>
        <w:ind w:left="210" w:right="202" w:firstLine="420"/>
      </w:pPr>
      <w:r>
        <w:rPr>
          <w:spacing w:val="-5"/>
        </w:rPr>
        <w:t>二、本合同有效期内被保险人身故的，由身故保险金受益人作为申请人填写保险金给付申请书，并向</w:t>
      </w:r>
      <w:r>
        <w:rPr>
          <w:spacing w:val="-4"/>
        </w:rPr>
        <w:t>我们提供下列证明文件、资料原件：</w:t>
      </w:r>
    </w:p>
    <w:p>
      <w:pPr>
        <w:pStyle w:val="BodyText"/>
        <w:spacing w:line="280" w:lineRule="exact"/>
        <w:ind w:left="932"/>
      </w:pPr>
      <w:r>
        <w:rPr>
          <w:rFonts w:ascii="Times New Roman" w:eastAsia="Times New Roman"/>
        </w:rPr>
        <w:t>1</w:t>
      </w:r>
      <w:r>
        <w:rPr/>
        <w:t>、保险合同；</w:t>
      </w:r>
    </w:p>
    <w:p>
      <w:pPr>
        <w:pStyle w:val="BodyText"/>
        <w:spacing w:line="272" w:lineRule="exact"/>
        <w:ind w:left="932"/>
      </w:pPr>
      <w:r>
        <w:rPr>
          <w:rFonts w:ascii="Times New Roman" w:eastAsia="Times New Roman"/>
        </w:rPr>
        <w:t>2</w:t>
      </w:r>
      <w:r>
        <w:rPr/>
        <w:t>、身故保险金受益人的有效身份证件；</w:t>
      </w:r>
    </w:p>
    <w:p>
      <w:pPr>
        <w:pStyle w:val="BodyText"/>
        <w:spacing w:line="272" w:lineRule="exact"/>
        <w:ind w:left="949"/>
      </w:pPr>
      <w:r>
        <w:rPr>
          <w:rFonts w:ascii="Times New Roman" w:eastAsia="Times New Roman"/>
        </w:rPr>
        <w:t>3</w:t>
      </w:r>
      <w:r>
        <w:rPr/>
        <w:t>、公安部门及国务院卫生行政部门规定的医疗机构或其他有权机构出具的被保险人死亡证明书</w:t>
      </w:r>
    </w:p>
    <w:p>
      <w:pPr>
        <w:pStyle w:val="BodyText"/>
        <w:spacing w:line="264" w:lineRule="exact"/>
        <w:ind w:left="1271"/>
      </w:pPr>
      <w:r>
        <w:rPr>
          <w:w w:val="100"/>
        </w:rPr>
        <w:t>（</w:t>
      </w:r>
      <w:r>
        <w:rPr>
          <w:spacing w:val="-3"/>
          <w:w w:val="100"/>
        </w:rPr>
        <w:t>如被保险人为宣告死亡，受益人须提供人民法院出具的宣告死亡证明文件</w:t>
      </w:r>
      <w:r>
        <w:rPr>
          <w:spacing w:val="-108"/>
          <w:w w:val="100"/>
        </w:rPr>
        <w:t>）</w:t>
      </w:r>
      <w:r>
        <w:rPr>
          <w:w w:val="100"/>
        </w:rPr>
        <w:t>；</w:t>
      </w:r>
    </w:p>
    <w:p>
      <w:pPr>
        <w:pStyle w:val="BodyText"/>
        <w:spacing w:line="223" w:lineRule="auto" w:before="19"/>
        <w:ind w:left="1271" w:right="202" w:hanging="322"/>
      </w:pPr>
      <w:r>
        <w:rPr>
          <w:rFonts w:ascii="Times New Roman" w:eastAsia="Times New Roman"/>
          <w:spacing w:val="-3"/>
        </w:rPr>
        <w:t>4</w:t>
      </w:r>
      <w:r>
        <w:rPr>
          <w:spacing w:val="-5"/>
        </w:rPr>
        <w:t>、身故保险金受益人所能提供的与确认保险事故的性质、原因、伤害程度等有关的其他证明和资料。</w:t>
      </w:r>
    </w:p>
    <w:p>
      <w:pPr>
        <w:pStyle w:val="BodyText"/>
        <w:spacing w:before="111"/>
        <w:ind w:left="632"/>
      </w:pPr>
      <w:r>
        <w:rPr/>
        <w:t>保险金作为被保险人遗产时，必须提供可证明合法继承权的相关权利文件。</w:t>
      </w:r>
    </w:p>
    <w:p>
      <w:pPr>
        <w:pStyle w:val="BodyText"/>
        <w:spacing w:before="109"/>
        <w:ind w:left="632"/>
      </w:pPr>
      <w:r>
        <w:rPr/>
        <w:t>以上证明和资料不完整的，我们将及时一次性通知申请人补充提供有关证明和资料。</w:t>
      </w:r>
    </w:p>
    <w:p>
      <w:pPr>
        <w:pStyle w:val="BodyText"/>
        <w:spacing w:before="90"/>
        <w:ind w:right="172" w:firstLine="419"/>
      </w:pPr>
      <w:r>
        <w:rPr/>
        <w:t>受益人为无民事行为能力人或限制民事行为能力人的，由其父母或监护人作为申请人向我们申请给付保险金。</w:t>
      </w:r>
    </w:p>
    <w:p>
      <w:pPr>
        <w:spacing w:after="0"/>
        <w:sectPr>
          <w:pgSz w:w="11900" w:h="16840"/>
          <w:pgMar w:header="844" w:footer="547" w:top="1040" w:bottom="740" w:left="920" w:right="920"/>
        </w:sectPr>
      </w:pPr>
    </w:p>
    <w:p>
      <w:pPr>
        <w:pStyle w:val="BodyText"/>
        <w:spacing w:before="1"/>
        <w:ind w:left="0"/>
        <w:rPr>
          <w:sz w:val="3"/>
        </w:rPr>
      </w:pPr>
    </w:p>
    <w:p>
      <w:pPr>
        <w:pStyle w:val="BodyText"/>
        <w:spacing w:line="20" w:lineRule="exact"/>
        <w:ind w:left="99"/>
        <w:rPr>
          <w:sz w:val="2"/>
        </w:rPr>
      </w:pPr>
      <w:r>
        <w:rPr>
          <w:rFonts w:ascii="Times New Roman"/>
          <w:spacing w:val="5"/>
          <w:sz w:val="2"/>
        </w:rPr>
        <w:t> </w:t>
      </w:r>
      <w:r>
        <w:rPr>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spacing w:val="5"/>
          <w:sz w:val="2"/>
        </w:rPr>
      </w:r>
    </w:p>
    <w:p>
      <w:pPr>
        <w:pStyle w:val="BodyText"/>
        <w:spacing w:before="1"/>
        <w:ind w:left="0"/>
        <w:rPr>
          <w:sz w:val="15"/>
        </w:rPr>
      </w:pPr>
    </w:p>
    <w:p>
      <w:pPr>
        <w:pStyle w:val="Heading1"/>
        <w:numPr>
          <w:ilvl w:val="1"/>
          <w:numId w:val="3"/>
        </w:numPr>
        <w:tabs>
          <w:tab w:pos="1059" w:val="left" w:leader="none"/>
          <w:tab w:pos="1060" w:val="left" w:leader="none"/>
          <w:tab w:pos="9879" w:val="left" w:leader="none"/>
        </w:tabs>
        <w:spacing w:line="356" w:lineRule="exact" w:before="0" w:after="0"/>
        <w:ind w:left="1059" w:right="0" w:hanging="847"/>
        <w:jc w:val="left"/>
      </w:pPr>
      <w:r>
        <w:rPr>
          <w:shd w:fill="E6E6E6" w:color="auto" w:val="clear"/>
        </w:rPr>
        <w:t>保险金的给付</w:t>
        <w:tab/>
      </w:r>
    </w:p>
    <w:p>
      <w:pPr>
        <w:pStyle w:val="BodyText"/>
        <w:spacing w:line="269" w:lineRule="exact"/>
        <w:ind w:left="632"/>
      </w:pPr>
      <w:r>
        <w:rPr/>
        <w:t>一、我们在收到保险金给付申请书及合同约定的证明和资料后，将在 </w:t>
      </w:r>
      <w:r>
        <w:rPr>
          <w:rFonts w:ascii="Arial" w:eastAsia="Arial"/>
        </w:rPr>
        <w:t>5 </w:t>
      </w:r>
      <w:r>
        <w:rPr/>
        <w:t>日内作出核定；情形复杂的，</w:t>
      </w:r>
    </w:p>
    <w:p>
      <w:pPr>
        <w:pStyle w:val="BodyText"/>
        <w:spacing w:line="272" w:lineRule="exact"/>
        <w:ind w:left="200"/>
      </w:pPr>
      <w:r>
        <w:rPr/>
        <w:t>在 </w:t>
      </w:r>
      <w:r>
        <w:rPr>
          <w:rFonts w:ascii="Arial" w:eastAsia="Arial"/>
        </w:rPr>
        <w:t>30 </w:t>
      </w:r>
      <w:r>
        <w:rPr/>
        <w:t>日内作出核定（若需补充资料，计算期间将扣除您、被保险人或者受益人补充提供有关证明和资料</w:t>
      </w:r>
    </w:p>
    <w:p>
      <w:pPr>
        <w:pStyle w:val="BodyText"/>
        <w:spacing w:line="225" w:lineRule="auto" w:before="9"/>
        <w:ind w:left="635" w:right="190" w:hanging="435"/>
      </w:pPr>
      <w:r>
        <w:rPr>
          <w:spacing w:val="-1"/>
        </w:rPr>
        <w:t>的期间</w:t>
      </w:r>
      <w:r>
        <w:rPr>
          <w:spacing w:val="-106"/>
        </w:rPr>
        <w:t>）</w:t>
      </w:r>
      <w:r>
        <w:rPr>
          <w:spacing w:val="-5"/>
        </w:rPr>
        <w:t>。对属于保险责任的，我们在与受益人达成给付保险金的协议后 </w:t>
      </w:r>
      <w:r>
        <w:rPr>
          <w:rFonts w:ascii="Arial" w:eastAsia="Arial"/>
        </w:rPr>
        <w:t>10 </w:t>
      </w:r>
      <w:r>
        <w:rPr>
          <w:spacing w:val="-3"/>
        </w:rPr>
        <w:t>日内，履行给付保险金义务。我们未及时履行前款规定义务的，除支付保险金外，应当赔偿受益人因此受到的损失。</w:t>
      </w:r>
    </w:p>
    <w:p>
      <w:pPr>
        <w:pStyle w:val="BodyText"/>
        <w:spacing w:line="289" w:lineRule="exact"/>
        <w:ind w:left="659"/>
      </w:pPr>
      <w:r>
        <w:rPr/>
        <w:t>对不属于保险责任的，我们自作出核定之日起 </w:t>
      </w:r>
      <w:r>
        <w:rPr>
          <w:rFonts w:ascii="Arial" w:eastAsia="Arial"/>
        </w:rPr>
        <w:t>3 </w:t>
      </w:r>
      <w:r>
        <w:rPr/>
        <w:t>日内向受益人发出拒绝给付保险金通知书并说明理</w:t>
      </w:r>
    </w:p>
    <w:p>
      <w:pPr>
        <w:pStyle w:val="BodyText"/>
        <w:spacing w:line="256" w:lineRule="exact"/>
      </w:pPr>
      <w:r>
        <w:rPr/>
        <w:t>由。</w:t>
      </w:r>
    </w:p>
    <w:p>
      <w:pPr>
        <w:pStyle w:val="BodyText"/>
        <w:spacing w:line="289" w:lineRule="exact"/>
        <w:ind w:left="635"/>
      </w:pPr>
      <w:r>
        <w:rPr/>
        <w:t>我们在收到保险金给付申请书及有关证明和资料之日起 </w:t>
      </w:r>
      <w:r>
        <w:rPr>
          <w:rFonts w:ascii="Arial" w:eastAsia="Arial"/>
        </w:rPr>
        <w:t>60 </w:t>
      </w:r>
      <w:r>
        <w:rPr/>
        <w:t>日内，对给付保险金的数额不能确定的，</w:t>
      </w:r>
    </w:p>
    <w:p>
      <w:pPr>
        <w:pStyle w:val="BodyText"/>
        <w:spacing w:line="256" w:lineRule="exact"/>
      </w:pPr>
      <w:r>
        <w:rPr/>
        <w:t>根据已有证明和资料可以确定的数额先予支付；我们最终确定给付保险金的数额后，将支付相应的差额。</w:t>
      </w:r>
    </w:p>
    <w:p>
      <w:pPr>
        <w:pStyle w:val="BodyText"/>
        <w:spacing w:line="225" w:lineRule="auto" w:before="109"/>
        <w:ind w:left="200" w:right="215" w:firstLine="432"/>
      </w:pPr>
      <w:r>
        <w:rPr/>
        <w:t>二、如被保险人在宣告死亡后重新出现或确知其没有死亡，保险金领取人应于知道后 </w:t>
      </w:r>
      <w:r>
        <w:rPr>
          <w:rFonts w:ascii="Arial" w:eastAsia="Arial"/>
        </w:rPr>
        <w:t>30 </w:t>
      </w:r>
      <w:r>
        <w:rPr/>
        <w:t>日内退还我们已支付的保险金，本合同的效力由我们双方依法协商处理。</w:t>
      </w:r>
    </w:p>
    <w:p>
      <w:pPr>
        <w:pStyle w:val="BodyText"/>
        <w:ind w:left="0"/>
        <w:rPr>
          <w:sz w:val="20"/>
        </w:rPr>
      </w:pPr>
    </w:p>
    <w:p>
      <w:pPr>
        <w:pStyle w:val="BodyText"/>
        <w:spacing w:before="10"/>
        <w:ind w:left="0"/>
        <w:rPr>
          <w:sz w:val="18"/>
        </w:rPr>
      </w:pPr>
    </w:p>
    <w:p>
      <w:pPr>
        <w:pStyle w:val="Heading1"/>
        <w:numPr>
          <w:ilvl w:val="1"/>
          <w:numId w:val="3"/>
        </w:numPr>
        <w:tabs>
          <w:tab w:pos="1059" w:val="left" w:leader="none"/>
          <w:tab w:pos="1060" w:val="left" w:leader="none"/>
          <w:tab w:pos="9879" w:val="left" w:leader="none"/>
        </w:tabs>
        <w:spacing w:line="357" w:lineRule="exact" w:before="0" w:after="0"/>
        <w:ind w:left="1059" w:right="0" w:hanging="847"/>
        <w:jc w:val="left"/>
      </w:pPr>
      <w:r>
        <w:rPr>
          <w:shd w:fill="E6E6E6" w:color="auto" w:val="clear"/>
        </w:rPr>
        <w:t>诉讼时效</w:t>
        <w:tab/>
      </w:r>
    </w:p>
    <w:p>
      <w:pPr>
        <w:pStyle w:val="BodyText"/>
        <w:spacing w:line="278" w:lineRule="exact"/>
        <w:ind w:left="632"/>
      </w:pPr>
      <w:r>
        <w:rPr/>
        <w:t>受益人向我们请求给付保险金的诉讼时效期间为 </w:t>
      </w:r>
      <w:r>
        <w:rPr>
          <w:rFonts w:ascii="Arial" w:eastAsia="Arial"/>
        </w:rPr>
        <w:t>2 </w:t>
      </w:r>
      <w:r>
        <w:rPr/>
        <w:t>年，自其知道或者应当知道保险事故发生之日起计</w:t>
      </w:r>
    </w:p>
    <w:p>
      <w:pPr>
        <w:pStyle w:val="BodyText"/>
        <w:spacing w:line="259" w:lineRule="exact"/>
        <w:ind w:left="200"/>
      </w:pPr>
      <w:r>
        <w:rPr/>
        <w:t>算。</w:t>
      </w:r>
    </w:p>
    <w:p>
      <w:pPr>
        <w:pStyle w:val="BodyText"/>
        <w:ind w:left="0"/>
        <w:rPr>
          <w:sz w:val="20"/>
        </w:rPr>
      </w:pPr>
    </w:p>
    <w:p>
      <w:pPr>
        <w:pStyle w:val="BodyText"/>
        <w:spacing w:before="12"/>
        <w:ind w:left="0"/>
        <w:rPr>
          <w:sz w:val="24"/>
        </w:rPr>
      </w:pPr>
    </w:p>
    <w:p>
      <w:pPr>
        <w:pStyle w:val="Heading1"/>
        <w:numPr>
          <w:ilvl w:val="1"/>
          <w:numId w:val="3"/>
        </w:numPr>
        <w:tabs>
          <w:tab w:pos="1059" w:val="left" w:leader="none"/>
          <w:tab w:pos="1060" w:val="left" w:leader="none"/>
          <w:tab w:pos="9879" w:val="left" w:leader="none"/>
        </w:tabs>
        <w:spacing w:line="367" w:lineRule="exact" w:before="0" w:after="0"/>
        <w:ind w:left="1059" w:right="0" w:hanging="847"/>
        <w:jc w:val="left"/>
      </w:pPr>
      <w:r>
        <w:rPr>
          <w:shd w:fill="E6E6E6" w:color="auto" w:val="clear"/>
        </w:rPr>
        <w:t>未还款项的扣除</w:t>
        <w:tab/>
      </w:r>
    </w:p>
    <w:p>
      <w:pPr>
        <w:pStyle w:val="BodyText"/>
        <w:spacing w:line="273" w:lineRule="auto"/>
        <w:ind w:right="222" w:firstLine="420"/>
      </w:pPr>
      <w:r>
        <w:rPr>
          <w:spacing w:val="-6"/>
        </w:rPr>
        <w:t>我们给付各项保险金、保险合同现金价值或溢交保险费时，如您有欠交保险费</w:t>
      </w:r>
      <w:r>
        <w:rPr>
          <w:spacing w:val="-3"/>
        </w:rPr>
        <w:t>（包括自动垫交的保险费）或保险合同借款未还清的情形，我们将先扣除上述欠款及其应付利息后给付。</w:t>
      </w:r>
    </w:p>
    <w:p>
      <w:pPr>
        <w:pStyle w:val="BodyText"/>
        <w:ind w:left="0"/>
        <w:rPr>
          <w:sz w:val="20"/>
        </w:rPr>
      </w:pPr>
    </w:p>
    <w:p>
      <w:pPr>
        <w:pStyle w:val="BodyText"/>
        <w:spacing w:before="3"/>
        <w:ind w:left="0"/>
        <w:rPr>
          <w:sz w:val="24"/>
        </w:rPr>
      </w:pPr>
    </w:p>
    <w:p>
      <w:pPr>
        <w:pStyle w:val="Heading1"/>
        <w:numPr>
          <w:ilvl w:val="1"/>
          <w:numId w:val="3"/>
        </w:numPr>
        <w:tabs>
          <w:tab w:pos="1059" w:val="left" w:leader="none"/>
          <w:tab w:pos="1060" w:val="left" w:leader="none"/>
          <w:tab w:pos="9879" w:val="left" w:leader="none"/>
        </w:tabs>
        <w:spacing w:line="333" w:lineRule="exact" w:before="0" w:after="0"/>
        <w:ind w:left="1059" w:right="0" w:hanging="847"/>
        <w:jc w:val="left"/>
      </w:pPr>
      <w:r>
        <w:rPr>
          <w:shd w:fill="E6E6E6" w:color="auto" w:val="clear"/>
        </w:rPr>
        <w:t>如实告知</w:t>
        <w:tab/>
      </w:r>
    </w:p>
    <w:p>
      <w:pPr>
        <w:pStyle w:val="Heading2"/>
        <w:spacing w:line="305" w:lineRule="exact"/>
        <w:ind w:left="635"/>
        <w:rPr>
          <w:rFonts w:ascii="Microsoft JhengHei" w:eastAsia="Microsoft JhengHei" w:hint="eastAsia"/>
        </w:rPr>
      </w:pPr>
      <w:r>
        <w:rPr>
          <w:rFonts w:ascii="Microsoft JhengHei" w:eastAsia="Microsoft JhengHei" w:hint="eastAsia"/>
        </w:rPr>
        <w:t>订立本合同时，我们应向您说明本合同的内容。</w:t>
      </w:r>
    </w:p>
    <w:p>
      <w:pPr>
        <w:spacing w:line="204" w:lineRule="auto" w:before="28"/>
        <w:ind w:left="212" w:right="224" w:firstLine="422"/>
        <w:jc w:val="both"/>
        <w:rPr>
          <w:rFonts w:ascii="Microsoft JhengHei" w:eastAsia="Microsoft JhengHei" w:hint="eastAsia"/>
          <w:b/>
          <w:sz w:val="21"/>
        </w:rPr>
      </w:pPr>
      <w:r>
        <w:rPr>
          <w:rFonts w:ascii="Microsoft JhengHei" w:eastAsia="Microsoft JhengHei" w:hint="eastAsia"/>
          <w:b/>
          <w:spacing w:val="-5"/>
          <w:sz w:val="21"/>
        </w:rPr>
        <w:t>对保险条款中免除我们责任的条款，我们在订立合同时应当在投保单、保险单或者其他保险凭证上作</w:t>
      </w:r>
      <w:r>
        <w:rPr>
          <w:rFonts w:ascii="Microsoft JhengHei" w:eastAsia="Microsoft JhengHei" w:hint="eastAsia"/>
          <w:b/>
          <w:spacing w:val="-8"/>
          <w:sz w:val="21"/>
        </w:rPr>
        <w:t>出足以引起您注意的提示，并对该条款的内容以书面或者口头形式向您作出明确说明，未作提示或者明确</w:t>
      </w:r>
      <w:r>
        <w:rPr>
          <w:rFonts w:ascii="Microsoft JhengHei" w:eastAsia="Microsoft JhengHei" w:hint="eastAsia"/>
          <w:b/>
          <w:spacing w:val="-8"/>
          <w:w w:val="95"/>
          <w:sz w:val="21"/>
        </w:rPr>
        <w:t>说明的，该条款不产</w:t>
      </w:r>
      <w:r>
        <w:rPr>
          <w:rFonts w:ascii="Microsoft JhengHei" w:eastAsia="Microsoft JhengHei" w:hint="eastAsia"/>
          <w:b/>
          <w:w w:val="95"/>
          <w:sz w:val="21"/>
        </w:rPr>
        <w:t>Th</w:t>
      </w:r>
      <w:r>
        <w:rPr>
          <w:rFonts w:ascii="Microsoft JhengHei" w:eastAsia="Microsoft JhengHei" w:hint="eastAsia"/>
          <w:b/>
          <w:spacing w:val="-2"/>
          <w:w w:val="95"/>
          <w:sz w:val="21"/>
        </w:rPr>
        <w:t>效力。</w:t>
      </w:r>
    </w:p>
    <w:p>
      <w:pPr>
        <w:spacing w:line="285" w:lineRule="exact" w:before="0"/>
        <w:ind w:left="635" w:right="0" w:firstLine="0"/>
        <w:jc w:val="left"/>
        <w:rPr>
          <w:rFonts w:ascii="Microsoft JhengHei" w:eastAsia="Microsoft JhengHei" w:hint="eastAsia"/>
          <w:b/>
          <w:sz w:val="21"/>
        </w:rPr>
      </w:pPr>
      <w:r>
        <w:rPr>
          <w:rFonts w:ascii="Microsoft JhengHei" w:eastAsia="Microsoft JhengHei" w:hint="eastAsia"/>
          <w:b/>
          <w:sz w:val="21"/>
        </w:rPr>
        <w:t>我们就您和被保险人的有关情况提出询问，您应当如实告知。</w:t>
      </w:r>
    </w:p>
    <w:p>
      <w:pPr>
        <w:spacing w:line="312" w:lineRule="exact" w:before="0"/>
        <w:ind w:left="635" w:right="0" w:firstLine="0"/>
        <w:jc w:val="left"/>
        <w:rPr>
          <w:rFonts w:ascii="Microsoft JhengHei" w:eastAsia="Microsoft JhengHei" w:hint="eastAsia"/>
          <w:b/>
          <w:sz w:val="21"/>
        </w:rPr>
      </w:pPr>
      <w:r>
        <w:rPr>
          <w:rFonts w:ascii="Microsoft JhengHei" w:eastAsia="Microsoft JhengHei" w:hint="eastAsia"/>
          <w:b/>
          <w:sz w:val="21"/>
        </w:rPr>
        <w:t>复效及申请变更时，您也应当如实告知您和被保险人的有关情况。</w:t>
      </w:r>
    </w:p>
    <w:p>
      <w:pPr>
        <w:spacing w:line="204" w:lineRule="auto" w:before="28"/>
        <w:ind w:left="212" w:right="226" w:firstLine="422"/>
        <w:jc w:val="left"/>
        <w:rPr>
          <w:rFonts w:ascii="Microsoft JhengHei" w:eastAsia="Microsoft JhengHei" w:hint="eastAsia"/>
          <w:b/>
          <w:sz w:val="21"/>
        </w:rPr>
      </w:pPr>
      <w:r>
        <w:rPr>
          <w:rFonts w:ascii="Microsoft JhengHei" w:eastAsia="Microsoft JhengHei" w:hint="eastAsia"/>
          <w:b/>
          <w:spacing w:val="-6"/>
          <w:sz w:val="21"/>
        </w:rPr>
        <w:t>如果您故意或者因重大过失未履行前款规定的如实告知义务，足以影响我们决定是否同意承保或者提高保险费率的，我们有权解除本合同。</w:t>
      </w:r>
    </w:p>
    <w:p>
      <w:pPr>
        <w:spacing w:line="204" w:lineRule="auto" w:before="1"/>
        <w:ind w:left="212" w:right="116" w:firstLine="422"/>
        <w:jc w:val="left"/>
        <w:rPr>
          <w:rFonts w:ascii="Microsoft JhengHei" w:eastAsia="Microsoft JhengHei" w:hint="eastAsia"/>
          <w:b/>
          <w:sz w:val="21"/>
        </w:rPr>
      </w:pPr>
      <w:r>
        <w:rPr>
          <w:rFonts w:ascii="Microsoft JhengHei" w:eastAsia="Microsoft JhengHei" w:hint="eastAsia"/>
          <w:b/>
          <w:spacing w:val="-8"/>
          <w:sz w:val="21"/>
        </w:rPr>
        <w:t>如果您故意不履行如实告知义务，对于本合同解除前发</w:t>
      </w:r>
      <w:r>
        <w:rPr>
          <w:rFonts w:ascii="Microsoft JhengHei" w:eastAsia="Microsoft JhengHei" w:hint="eastAsia"/>
          <w:b/>
          <w:sz w:val="21"/>
        </w:rPr>
        <w:t>Th</w:t>
      </w:r>
      <w:r>
        <w:rPr>
          <w:rFonts w:ascii="Microsoft JhengHei" w:eastAsia="Microsoft JhengHei" w:hint="eastAsia"/>
          <w:b/>
          <w:spacing w:val="-10"/>
          <w:sz w:val="21"/>
        </w:rPr>
        <w:t>的保险事故，我们不承担给付保险金的责任， 并不退还保险费。</w:t>
      </w:r>
    </w:p>
    <w:p>
      <w:pPr>
        <w:spacing w:line="204" w:lineRule="auto" w:before="1"/>
        <w:ind w:left="212" w:right="224" w:firstLine="422"/>
        <w:jc w:val="left"/>
        <w:rPr>
          <w:rFonts w:ascii="Microsoft JhengHei" w:eastAsia="Microsoft JhengHei" w:hint="eastAsia"/>
          <w:b/>
          <w:sz w:val="21"/>
        </w:rPr>
      </w:pPr>
      <w:r>
        <w:rPr>
          <w:rFonts w:ascii="Microsoft JhengHei" w:eastAsia="Microsoft JhengHei" w:hint="eastAsia"/>
          <w:b/>
          <w:spacing w:val="-4"/>
          <w:w w:val="95"/>
          <w:sz w:val="21"/>
        </w:rPr>
        <w:t>如果您因重大过失未履行如实告知义务，对保险事故的发</w:t>
      </w:r>
      <w:r>
        <w:rPr>
          <w:rFonts w:ascii="Microsoft JhengHei" w:eastAsia="Microsoft JhengHei" w:hint="eastAsia"/>
          <w:b/>
          <w:w w:val="95"/>
          <w:sz w:val="21"/>
        </w:rPr>
        <w:t>Th</w:t>
      </w:r>
      <w:r>
        <w:rPr>
          <w:rFonts w:ascii="Microsoft JhengHei" w:eastAsia="Microsoft JhengHei" w:hint="eastAsia"/>
          <w:b/>
          <w:spacing w:val="-6"/>
          <w:w w:val="95"/>
          <w:sz w:val="21"/>
        </w:rPr>
        <w:t>有严重影响的，对于本合同解除前发</w:t>
      </w:r>
      <w:r>
        <w:rPr>
          <w:rFonts w:ascii="Microsoft JhengHei" w:eastAsia="Microsoft JhengHei" w:hint="eastAsia"/>
          <w:b/>
          <w:w w:val="95"/>
          <w:sz w:val="21"/>
        </w:rPr>
        <w:t>Th的     </w:t>
      </w:r>
      <w:r>
        <w:rPr>
          <w:rFonts w:ascii="Microsoft JhengHei" w:eastAsia="Microsoft JhengHei" w:hint="eastAsia"/>
          <w:b/>
          <w:spacing w:val="-3"/>
          <w:sz w:val="21"/>
        </w:rPr>
        <w:t>保险事故，我们不承担给付保险金的责任，但应当退还保险费。</w:t>
      </w:r>
    </w:p>
    <w:p>
      <w:pPr>
        <w:spacing w:line="204" w:lineRule="auto" w:before="1"/>
        <w:ind w:left="212" w:right="159" w:firstLine="422"/>
        <w:jc w:val="left"/>
        <w:rPr>
          <w:rFonts w:ascii="Microsoft JhengHei" w:eastAsia="Microsoft JhengHei" w:hint="eastAsia"/>
          <w:b/>
          <w:sz w:val="21"/>
        </w:rPr>
      </w:pPr>
      <w:r>
        <w:rPr>
          <w:rFonts w:ascii="Microsoft JhengHei" w:eastAsia="Microsoft JhengHei" w:hint="eastAsia"/>
          <w:b/>
          <w:sz w:val="21"/>
        </w:rPr>
        <w:t>我们在合同订立时已经知道您未如实告知的情况的，我们不得解除合同；发Th保险事故的，我们承担给付保险金的责任。</w:t>
      </w:r>
    </w:p>
    <w:p>
      <w:pPr>
        <w:pStyle w:val="BodyText"/>
        <w:ind w:left="0"/>
        <w:rPr>
          <w:rFonts w:ascii="Microsoft JhengHei"/>
          <w:b/>
          <w:sz w:val="20"/>
        </w:rPr>
      </w:pPr>
    </w:p>
    <w:p>
      <w:pPr>
        <w:pStyle w:val="BodyText"/>
        <w:spacing w:before="8"/>
        <w:ind w:left="0"/>
        <w:rPr>
          <w:rFonts w:ascii="Microsoft JhengHei"/>
          <w:b/>
          <w:sz w:val="13"/>
        </w:rPr>
      </w:pPr>
    </w:p>
    <w:p>
      <w:pPr>
        <w:pStyle w:val="ListParagraph"/>
        <w:numPr>
          <w:ilvl w:val="1"/>
          <w:numId w:val="3"/>
        </w:numPr>
        <w:tabs>
          <w:tab w:pos="1059" w:val="left" w:leader="none"/>
          <w:tab w:pos="1060" w:val="left" w:leader="none"/>
          <w:tab w:pos="9879" w:val="left" w:leader="none"/>
        </w:tabs>
        <w:spacing w:line="367" w:lineRule="exact" w:before="0" w:after="0"/>
        <w:ind w:left="1059" w:right="0" w:hanging="847"/>
        <w:jc w:val="left"/>
        <w:rPr>
          <w:rFonts w:ascii="Microsoft JhengHei" w:eastAsia="Microsoft JhengHei" w:hint="eastAsia"/>
          <w:b/>
          <w:sz w:val="24"/>
        </w:rPr>
      </w:pPr>
      <w:r>
        <w:rPr>
          <w:rFonts w:ascii="Microsoft JhengHei" w:eastAsia="Microsoft JhengHei" w:hint="eastAsia"/>
          <w:b/>
          <w:sz w:val="24"/>
          <w:shd w:fill="E6E6E6" w:color="auto" w:val="clear"/>
        </w:rPr>
        <w:t>合同解除权的限制</w:t>
        <w:tab/>
      </w:r>
    </w:p>
    <w:p>
      <w:pPr>
        <w:pStyle w:val="BodyText"/>
        <w:spacing w:line="289" w:lineRule="exact"/>
        <w:ind w:left="632"/>
      </w:pPr>
      <w:r>
        <w:rPr/>
        <w:t>前条规定的合同解除权，自我们知道有解除事由之日起，超过 </w:t>
      </w:r>
      <w:r>
        <w:rPr>
          <w:rFonts w:ascii="Arial" w:eastAsia="Arial"/>
        </w:rPr>
        <w:t>30 </w:t>
      </w:r>
      <w:r>
        <w:rPr/>
        <w:t>日不行使而消灭。自本合同成立之</w:t>
      </w:r>
    </w:p>
    <w:p>
      <w:pPr>
        <w:pStyle w:val="BodyText"/>
        <w:spacing w:before="22"/>
      </w:pPr>
      <w:r>
        <w:rPr/>
        <w:t>日起超过 </w:t>
      </w:r>
      <w:r>
        <w:rPr>
          <w:rFonts w:ascii="Arial" w:eastAsia="Arial"/>
        </w:rPr>
        <w:t>2 </w:t>
      </w:r>
      <w:r>
        <w:rPr/>
        <w:t>年的，我们不得解除合同；发生保险事故的，我们承担给付保险金的责任。</w:t>
      </w:r>
    </w:p>
    <w:p>
      <w:pPr>
        <w:pStyle w:val="BodyText"/>
        <w:ind w:left="0"/>
        <w:rPr>
          <w:sz w:val="20"/>
        </w:rPr>
      </w:pPr>
    </w:p>
    <w:p>
      <w:pPr>
        <w:pStyle w:val="BodyText"/>
        <w:spacing w:before="3"/>
        <w:ind w:left="0"/>
        <w:rPr>
          <w:sz w:val="25"/>
        </w:rPr>
      </w:pPr>
    </w:p>
    <w:p>
      <w:pPr>
        <w:pStyle w:val="Heading1"/>
        <w:numPr>
          <w:ilvl w:val="1"/>
          <w:numId w:val="3"/>
        </w:numPr>
        <w:tabs>
          <w:tab w:pos="1059" w:val="left" w:leader="none"/>
          <w:tab w:pos="1060" w:val="left" w:leader="none"/>
          <w:tab w:pos="9879" w:val="left" w:leader="none"/>
        </w:tabs>
        <w:spacing w:line="367" w:lineRule="exact" w:before="0" w:after="0"/>
        <w:ind w:left="1059" w:right="0" w:hanging="847"/>
        <w:jc w:val="left"/>
      </w:pPr>
      <w:r>
        <w:rPr>
          <w:shd w:fill="E6E6E6" w:color="auto" w:val="clear"/>
        </w:rPr>
        <w:t>年龄及性别的确定与错误处理</w:t>
        <w:tab/>
      </w:r>
    </w:p>
    <w:p>
      <w:pPr>
        <w:pStyle w:val="BodyText"/>
        <w:spacing w:line="274" w:lineRule="exact"/>
        <w:ind w:left="635"/>
      </w:pPr>
      <w:r>
        <w:rPr/>
        <w:t>一、被保险人的年龄以周岁计算。</w:t>
      </w:r>
    </w:p>
    <w:p>
      <w:pPr>
        <w:pStyle w:val="BodyText"/>
        <w:spacing w:before="130"/>
        <w:ind w:left="627"/>
      </w:pPr>
      <w:r>
        <w:rPr/>
        <w:t>二、您在申请投保时，应将与有效身份证件相符的被保险人的年龄及性别在投保单上写明。</w:t>
      </w:r>
    </w:p>
    <w:p>
      <w:pPr>
        <w:spacing w:after="0"/>
        <w:sectPr>
          <w:pgSz w:w="11900" w:h="16840"/>
          <w:pgMar w:header="844" w:footer="547" w:top="1040" w:bottom="740" w:left="920" w:right="900"/>
        </w:sectPr>
      </w:pPr>
    </w:p>
    <w:p>
      <w:pPr>
        <w:pStyle w:val="BodyText"/>
        <w:spacing w:before="1"/>
        <w:ind w:left="0"/>
        <w:rPr>
          <w:sz w:val="3"/>
        </w:rPr>
      </w:pPr>
    </w:p>
    <w:p>
      <w:pPr>
        <w:pStyle w:val="BodyText"/>
        <w:spacing w:line="20" w:lineRule="exact"/>
        <w:ind w:left="99"/>
        <w:rPr>
          <w:sz w:val="2"/>
        </w:rPr>
      </w:pPr>
      <w:r>
        <w:rPr>
          <w:rFonts w:ascii="Times New Roman"/>
          <w:spacing w:val="5"/>
          <w:sz w:val="2"/>
        </w:rPr>
        <w:t> </w:t>
      </w:r>
      <w:r>
        <w:rPr>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spacing w:val="5"/>
          <w:sz w:val="2"/>
        </w:rPr>
      </w:r>
    </w:p>
    <w:p>
      <w:pPr>
        <w:pStyle w:val="BodyText"/>
        <w:spacing w:line="271" w:lineRule="auto"/>
        <w:ind w:left="217" w:right="202" w:firstLine="400"/>
      </w:pPr>
      <w:r>
        <w:rPr>
          <w:spacing w:val="-5"/>
        </w:rPr>
        <w:t>三、如果您申报的被保险人年龄不真实，并且其真实年龄不符合我们规定的投保年龄限制的，我们可以解除合同，并退还现金价值。我们行使合同解除权时，适用于本合同第 </w:t>
      </w:r>
      <w:r>
        <w:rPr>
          <w:rFonts w:ascii="Arial" w:eastAsia="Arial"/>
        </w:rPr>
        <w:t>2.14 </w:t>
      </w:r>
      <w:r>
        <w:rPr>
          <w:spacing w:val="-3"/>
        </w:rPr>
        <w:t>条的规定。</w:t>
      </w:r>
    </w:p>
    <w:p>
      <w:pPr>
        <w:pStyle w:val="Heading2"/>
        <w:spacing w:line="339" w:lineRule="exact" w:before="18"/>
        <w:ind w:left="627"/>
        <w:rPr>
          <w:rFonts w:ascii="Microsoft JhengHei" w:eastAsia="Microsoft JhengHei" w:hint="eastAsia"/>
        </w:rPr>
      </w:pPr>
      <w:r>
        <w:rPr>
          <w:rFonts w:ascii="Microsoft JhengHei" w:eastAsia="Microsoft JhengHei" w:hint="eastAsia"/>
        </w:rPr>
        <w:t>四、如果您申报的被保险人年龄或性别不真实，我们可以根据其真实年龄或性别进行如下调整：</w:t>
      </w:r>
    </w:p>
    <w:p>
      <w:pPr>
        <w:spacing w:line="204" w:lineRule="auto" w:before="27"/>
        <w:ind w:left="1273" w:right="202" w:hanging="322"/>
        <w:jc w:val="both"/>
        <w:rPr>
          <w:rFonts w:ascii="Microsoft JhengHei" w:eastAsia="Microsoft JhengHei" w:hint="eastAsia"/>
          <w:b/>
          <w:sz w:val="21"/>
        </w:rPr>
      </w:pPr>
      <w:r>
        <w:rPr>
          <w:rFonts w:ascii="Microsoft JhengHei" w:eastAsia="Microsoft JhengHei" w:hint="eastAsia"/>
          <w:b/>
          <w:sz w:val="21"/>
        </w:rPr>
        <w:t>1</w:t>
      </w:r>
      <w:r>
        <w:rPr>
          <w:rFonts w:ascii="Microsoft JhengHei" w:eastAsia="Microsoft JhengHei" w:hint="eastAsia"/>
          <w:b/>
          <w:spacing w:val="-7"/>
          <w:sz w:val="21"/>
        </w:rPr>
        <w:t>、您申报的被保险人年龄或性别不真实，致使实交保险费少于应交保险费的，我们有权更正并要</w:t>
      </w:r>
      <w:r>
        <w:rPr>
          <w:rFonts w:ascii="Microsoft JhengHei" w:eastAsia="Microsoft JhengHei" w:hint="eastAsia"/>
          <w:b/>
          <w:spacing w:val="-9"/>
          <w:sz w:val="21"/>
        </w:rPr>
        <w:t>求您补交保险费。若已发</w:t>
      </w:r>
      <w:r>
        <w:rPr>
          <w:rFonts w:ascii="Microsoft JhengHei" w:eastAsia="Microsoft JhengHei" w:hint="eastAsia"/>
          <w:b/>
          <w:sz w:val="21"/>
        </w:rPr>
        <w:t>Th</w:t>
      </w:r>
      <w:r>
        <w:rPr>
          <w:rFonts w:ascii="Microsoft JhengHei" w:eastAsia="Microsoft JhengHei" w:hint="eastAsia"/>
          <w:b/>
          <w:spacing w:val="-6"/>
          <w:sz w:val="21"/>
        </w:rPr>
        <w:t>保险事故，我们有权在给付保险金时按实交保险费和应交保险费的比例给付。</w:t>
      </w:r>
    </w:p>
    <w:p>
      <w:pPr>
        <w:spacing w:line="204" w:lineRule="auto" w:before="0"/>
        <w:ind w:left="1273" w:right="204" w:hanging="322"/>
        <w:jc w:val="both"/>
        <w:rPr>
          <w:rFonts w:ascii="Microsoft JhengHei" w:eastAsia="Microsoft JhengHei" w:hint="eastAsia"/>
          <w:b/>
          <w:sz w:val="21"/>
        </w:rPr>
      </w:pPr>
      <w:r>
        <w:rPr>
          <w:rFonts w:ascii="Microsoft JhengHei" w:eastAsia="Microsoft JhengHei" w:hint="eastAsia"/>
          <w:b/>
          <w:w w:val="84"/>
          <w:sz w:val="21"/>
        </w:rPr>
        <w:t>2</w:t>
      </w:r>
      <w:r>
        <w:rPr>
          <w:rFonts w:ascii="Microsoft JhengHei" w:eastAsia="Microsoft JhengHei" w:hint="eastAsia"/>
          <w:b/>
          <w:w w:val="197"/>
          <w:sz w:val="21"/>
        </w:rPr>
        <w:t>.</w:t>
      </w:r>
      <w:r>
        <w:rPr>
          <w:rFonts w:ascii="Microsoft JhengHei" w:eastAsia="Microsoft JhengHei" w:hint="eastAsia"/>
          <w:b/>
          <w:sz w:val="21"/>
        </w:rPr>
        <w:t>  </w:t>
      </w:r>
      <w:r>
        <w:rPr>
          <w:rFonts w:ascii="Microsoft JhengHei" w:eastAsia="Microsoft JhengHei" w:hint="eastAsia"/>
          <w:b/>
          <w:spacing w:val="-5"/>
          <w:w w:val="100"/>
          <w:sz w:val="21"/>
        </w:rPr>
        <w:t>您申报的被保险人年龄或性别不真实，致使实交保险费多于应交保险费的，我们将多收的保险</w:t>
      </w:r>
      <w:r>
        <w:rPr>
          <w:rFonts w:ascii="Microsoft JhengHei" w:eastAsia="Microsoft JhengHei" w:hint="eastAsia"/>
          <w:b/>
          <w:spacing w:val="-5"/>
          <w:sz w:val="21"/>
        </w:rPr>
        <w:t>费无息退还给您。</w:t>
      </w:r>
    </w:p>
    <w:p>
      <w:pPr>
        <w:pStyle w:val="BodyText"/>
        <w:ind w:left="0"/>
        <w:rPr>
          <w:rFonts w:ascii="Microsoft JhengHei"/>
          <w:b/>
          <w:sz w:val="20"/>
        </w:rPr>
      </w:pPr>
    </w:p>
    <w:p>
      <w:pPr>
        <w:pStyle w:val="BodyText"/>
        <w:spacing w:before="8"/>
        <w:ind w:left="0"/>
        <w:rPr>
          <w:rFonts w:ascii="Microsoft JhengHei"/>
          <w:b/>
          <w:sz w:val="13"/>
        </w:rPr>
      </w:pPr>
    </w:p>
    <w:p>
      <w:pPr>
        <w:pStyle w:val="ListParagraph"/>
        <w:numPr>
          <w:ilvl w:val="1"/>
          <w:numId w:val="3"/>
        </w:numPr>
        <w:tabs>
          <w:tab w:pos="1059" w:val="left" w:leader="none"/>
          <w:tab w:pos="1060" w:val="left" w:leader="none"/>
          <w:tab w:pos="9879" w:val="left" w:leader="none"/>
        </w:tabs>
        <w:spacing w:line="367" w:lineRule="exact" w:before="0" w:after="0"/>
        <w:ind w:left="1059" w:right="0" w:hanging="847"/>
        <w:jc w:val="left"/>
        <w:rPr>
          <w:rFonts w:ascii="Microsoft JhengHei" w:eastAsia="Microsoft JhengHei" w:hint="eastAsia"/>
          <w:b/>
          <w:sz w:val="24"/>
        </w:rPr>
      </w:pPr>
      <w:r>
        <w:rPr>
          <w:rFonts w:ascii="Microsoft JhengHei" w:eastAsia="Microsoft JhengHei" w:hint="eastAsia"/>
          <w:b/>
          <w:sz w:val="24"/>
          <w:shd w:fill="E6E6E6" w:color="auto" w:val="clear"/>
        </w:rPr>
        <w:t>合同内容的变更</w:t>
        <w:tab/>
      </w:r>
    </w:p>
    <w:p>
      <w:pPr>
        <w:pStyle w:val="BodyText"/>
        <w:spacing w:line="273" w:lineRule="auto"/>
        <w:ind w:right="202" w:firstLine="420"/>
      </w:pPr>
      <w:r>
        <w:rPr>
          <w:spacing w:val="-6"/>
        </w:rPr>
        <w:t>在本合同有效期内，您申请变更本合同的有关内容，经我们审核同意后，应当由我们在保险单或者其</w:t>
      </w:r>
      <w:r>
        <w:rPr>
          <w:spacing w:val="-4"/>
        </w:rPr>
        <w:t>他保险凭证上批注或者附贴批单，或者由您和我们订立变更合同内容的书面协议。</w:t>
      </w:r>
    </w:p>
    <w:p>
      <w:pPr>
        <w:pStyle w:val="BodyText"/>
        <w:spacing w:line="274" w:lineRule="exact" w:before="13"/>
        <w:ind w:right="202" w:firstLine="405"/>
      </w:pPr>
      <w:r>
        <w:rPr>
          <w:spacing w:val="-5"/>
        </w:rPr>
        <w:t>您申请减少基本保险金额的，减额后的基本保险金额不得低于减额时我们规定的最低承保金额，其减</w:t>
      </w:r>
      <w:r>
        <w:rPr>
          <w:spacing w:val="-4"/>
        </w:rPr>
        <w:t>少部分视为退保。</w:t>
      </w:r>
    </w:p>
    <w:p>
      <w:pPr>
        <w:pStyle w:val="BodyText"/>
        <w:ind w:left="0"/>
        <w:rPr>
          <w:sz w:val="20"/>
        </w:rPr>
      </w:pPr>
    </w:p>
    <w:p>
      <w:pPr>
        <w:pStyle w:val="BodyText"/>
        <w:ind w:left="0"/>
        <w:rPr>
          <w:sz w:val="23"/>
        </w:rPr>
      </w:pPr>
    </w:p>
    <w:p>
      <w:pPr>
        <w:pStyle w:val="Heading1"/>
        <w:numPr>
          <w:ilvl w:val="1"/>
          <w:numId w:val="3"/>
        </w:numPr>
        <w:tabs>
          <w:tab w:pos="1059" w:val="left" w:leader="none"/>
          <w:tab w:pos="1060" w:val="left" w:leader="none"/>
          <w:tab w:pos="9879" w:val="left" w:leader="none"/>
        </w:tabs>
        <w:spacing w:line="367" w:lineRule="exact" w:before="0" w:after="0"/>
        <w:ind w:left="1059" w:right="0" w:hanging="847"/>
        <w:jc w:val="left"/>
      </w:pPr>
      <w:r>
        <w:rPr>
          <w:shd w:fill="E6E6E6" w:color="auto" w:val="clear"/>
        </w:rPr>
        <w:t>联系方式的变更</w:t>
        <w:tab/>
      </w:r>
    </w:p>
    <w:p>
      <w:pPr>
        <w:pStyle w:val="BodyText"/>
        <w:spacing w:line="273" w:lineRule="auto"/>
        <w:ind w:right="98" w:firstLine="420"/>
      </w:pPr>
      <w:r>
        <w:rPr>
          <w:spacing w:val="-6"/>
        </w:rPr>
        <w:t>您的住所、通讯地址或电话等联系方式变更时，应及时以书面或双方认可的其他形式通知我们。您未以书面或双方认可的其他形式通知的，我们按保险单</w:t>
      </w:r>
      <w:r>
        <w:rPr/>
        <w:t>/</w:t>
      </w:r>
      <w:r>
        <w:rPr>
          <w:spacing w:val="-3"/>
        </w:rPr>
        <w:t>附贴批单所载最后住所或通讯地址发送的有关通知， 均视为已送达您。</w:t>
      </w:r>
    </w:p>
    <w:p>
      <w:pPr>
        <w:pStyle w:val="BodyText"/>
        <w:ind w:left="0"/>
        <w:rPr>
          <w:sz w:val="20"/>
        </w:rPr>
      </w:pPr>
    </w:p>
    <w:p>
      <w:pPr>
        <w:pStyle w:val="BodyText"/>
        <w:spacing w:before="3"/>
        <w:ind w:left="0"/>
        <w:rPr>
          <w:sz w:val="24"/>
        </w:rPr>
      </w:pPr>
    </w:p>
    <w:p>
      <w:pPr>
        <w:pStyle w:val="Heading1"/>
        <w:numPr>
          <w:ilvl w:val="1"/>
          <w:numId w:val="3"/>
        </w:numPr>
        <w:tabs>
          <w:tab w:pos="1059" w:val="left" w:leader="none"/>
          <w:tab w:pos="1060" w:val="left" w:leader="none"/>
          <w:tab w:pos="9879" w:val="left" w:leader="none"/>
        </w:tabs>
        <w:spacing w:line="367" w:lineRule="exact" w:before="0" w:after="0"/>
        <w:ind w:left="1059" w:right="0" w:hanging="847"/>
        <w:jc w:val="left"/>
      </w:pPr>
      <w:r>
        <w:rPr>
          <w:w w:val="95"/>
          <w:shd w:fill="E6E6E6" w:color="auto" w:val="clear"/>
        </w:rPr>
        <w:t>借款</w:t>
      </w:r>
      <w:r>
        <w:rPr>
          <w:shd w:fill="E6E6E6" w:color="auto" w:val="clear"/>
        </w:rPr>
        <w:tab/>
      </w:r>
    </w:p>
    <w:p>
      <w:pPr>
        <w:pStyle w:val="BodyText"/>
        <w:spacing w:line="271" w:lineRule="auto"/>
        <w:ind w:right="202" w:firstLine="420"/>
        <w:jc w:val="both"/>
      </w:pPr>
      <w:r>
        <w:rPr>
          <w:spacing w:val="-6"/>
        </w:rPr>
        <w:t>在本合同有效期内，若本合同当时具有的现金价值在扣除借款、已垫交保险费及前述款项应付利息后的余额大于零时，您可在前述余额的范围内，经我们同意，向我们申请保险合同借款。您申请借款应事先经被保险人书面同意，借款金额最高不得超过本合同当时现金价值的 </w:t>
      </w:r>
      <w:r>
        <w:rPr>
          <w:rFonts w:ascii="Arial" w:eastAsia="Arial"/>
        </w:rPr>
        <w:t>80%</w:t>
      </w:r>
      <w:r>
        <w:rPr>
          <w:spacing w:val="-6"/>
        </w:rPr>
        <w:t>，每次借款期限不超过 </w:t>
      </w:r>
      <w:r>
        <w:rPr>
          <w:rFonts w:ascii="Arial" w:eastAsia="Arial"/>
        </w:rPr>
        <w:t>6 </w:t>
      </w:r>
      <w:r>
        <w:rPr>
          <w:spacing w:val="-2"/>
        </w:rPr>
        <w:t>个月, </w:t>
      </w:r>
      <w:r>
        <w:rPr>
          <w:spacing w:val="-6"/>
        </w:rPr>
        <w:t>借款期满前，您应依约定将本息偿还我们。逾期未偿还的，则所有利息将被并入原借款金额中，并按我们</w:t>
      </w:r>
      <w:r>
        <w:rPr>
          <w:spacing w:val="-5"/>
        </w:rPr>
        <w:t>最近一次公布的利率计息。在偿还借款时，您应先偿付全部借款利息，然后偿还借款本金。借款及借款利</w:t>
      </w:r>
      <w:r>
        <w:rPr>
          <w:spacing w:val="-6"/>
        </w:rPr>
        <w:t>息全部清偿后才能申请下一笔借款。累计未偿还之借款及已垫交保险费本息达到本合同现金价值时，本合</w:t>
      </w:r>
      <w:r>
        <w:rPr>
          <w:spacing w:val="-4"/>
        </w:rPr>
        <w:t>同效力中止。</w:t>
      </w:r>
    </w:p>
    <w:p>
      <w:pPr>
        <w:pStyle w:val="BodyText"/>
        <w:ind w:left="0"/>
        <w:rPr>
          <w:sz w:val="20"/>
        </w:rPr>
      </w:pPr>
    </w:p>
    <w:p>
      <w:pPr>
        <w:pStyle w:val="BodyText"/>
        <w:spacing w:before="5"/>
        <w:ind w:left="0"/>
        <w:rPr>
          <w:sz w:val="24"/>
        </w:rPr>
      </w:pPr>
    </w:p>
    <w:p>
      <w:pPr>
        <w:pStyle w:val="Heading1"/>
        <w:numPr>
          <w:ilvl w:val="1"/>
          <w:numId w:val="3"/>
        </w:numPr>
        <w:tabs>
          <w:tab w:pos="1059" w:val="left" w:leader="none"/>
          <w:tab w:pos="1060" w:val="left" w:leader="none"/>
          <w:tab w:pos="9879" w:val="left" w:leader="none"/>
        </w:tabs>
        <w:spacing w:line="367" w:lineRule="exact" w:before="0" w:after="0"/>
        <w:ind w:left="1059" w:right="0" w:hanging="847"/>
        <w:jc w:val="left"/>
      </w:pPr>
      <w:r>
        <w:rPr>
          <w:shd w:fill="E6E6E6" w:color="auto" w:val="clear"/>
        </w:rPr>
        <w:t>争议处理</w:t>
        <w:tab/>
      </w:r>
    </w:p>
    <w:p>
      <w:pPr>
        <w:pStyle w:val="BodyText"/>
        <w:spacing w:line="273" w:lineRule="auto"/>
        <w:ind w:right="172" w:firstLine="419"/>
      </w:pPr>
      <w:r>
        <w:rPr/>
        <w:t>在本合同或其附加合同履行过程中发生任何争议，其解决方式由当事人根据合同约定从下列两种方式中选择一种：</w:t>
      </w:r>
    </w:p>
    <w:p>
      <w:pPr>
        <w:pStyle w:val="BodyText"/>
        <w:spacing w:line="237" w:lineRule="auto" w:before="83"/>
        <w:ind w:right="206" w:firstLine="422"/>
      </w:pPr>
      <w:r>
        <w:rPr>
          <w:spacing w:val="-6"/>
        </w:rPr>
        <w:t>一、因履行本合同或其附加合同发生的争议，由当事人协商解决，协商不成的，提交双方共同选择的</w:t>
      </w:r>
      <w:r>
        <w:rPr>
          <w:spacing w:val="-4"/>
        </w:rPr>
        <w:t>仲裁委员会仲裁；</w:t>
      </w:r>
    </w:p>
    <w:p>
      <w:pPr>
        <w:pStyle w:val="BodyText"/>
        <w:spacing w:before="92"/>
        <w:ind w:left="644"/>
      </w:pPr>
      <w:r>
        <w:rPr>
          <w:spacing w:val="-11"/>
        </w:rPr>
        <w:t>二、因履行本合同或其附加合同发生的争议，由当事人协商解决，协商不成的，依法向人民法院起诉。</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14"/>
        </w:rPr>
      </w:pPr>
      <w:r>
        <w:rPr/>
        <w:drawing>
          <wp:anchor distT="0" distB="0" distL="0" distR="0" allowOverlap="1" layoutInCell="1" locked="0" behindDoc="0" simplePos="0" relativeHeight="1600">
            <wp:simplePos x="0" y="0"/>
            <wp:positionH relativeFrom="page">
              <wp:posOffset>650741</wp:posOffset>
            </wp:positionH>
            <wp:positionV relativeFrom="paragraph">
              <wp:posOffset>147016</wp:posOffset>
            </wp:positionV>
            <wp:extent cx="6257550" cy="38100"/>
            <wp:effectExtent l="0" t="0" r="0" b="0"/>
            <wp:wrapTopAndBottom/>
            <wp:docPr id="7" name="image3.png" descr=""/>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6257550" cy="38100"/>
                    </a:xfrm>
                    <a:prstGeom prst="rect">
                      <a:avLst/>
                    </a:prstGeom>
                  </pic:spPr>
                </pic:pic>
              </a:graphicData>
            </a:graphic>
          </wp:anchor>
        </w:drawing>
      </w:r>
    </w:p>
    <w:p>
      <w:pPr>
        <w:pStyle w:val="BodyText"/>
        <w:ind w:left="0"/>
        <w:rPr>
          <w:sz w:val="20"/>
        </w:rPr>
      </w:pPr>
    </w:p>
    <w:p>
      <w:pPr>
        <w:pStyle w:val="BodyText"/>
        <w:ind w:left="0"/>
        <w:rPr>
          <w:sz w:val="20"/>
        </w:rPr>
      </w:pPr>
    </w:p>
    <w:p>
      <w:pPr>
        <w:pStyle w:val="BodyText"/>
        <w:spacing w:before="11"/>
        <w:ind w:left="0"/>
        <w:rPr>
          <w:sz w:val="15"/>
        </w:rPr>
      </w:pPr>
      <w:r>
        <w:rPr/>
        <w:pict>
          <v:line style="position:absolute;mso-position-horizontal-relative:page;mso-position-vertical-relative:paragraph;z-index:1624;mso-wrap-distance-left:0;mso-wrap-distance-right:0" from="56.639519pt,12.577401pt" to="200.639516pt,12.577401pt" stroked="true" strokeweight=".479531pt" strokecolor="#000000">
            <v:stroke dashstyle="solid"/>
            <w10:wrap type="topAndBottom"/>
          </v:line>
        </w:pict>
      </w:r>
    </w:p>
    <w:p>
      <w:pPr>
        <w:pStyle w:val="BodyText"/>
        <w:spacing w:line="355" w:lineRule="exact"/>
      </w:pPr>
      <w:r>
        <w:rPr>
          <w:rFonts w:ascii="Times New Roman" w:eastAsia="Times New Roman"/>
          <w:position w:val="10"/>
          <w:sz w:val="14"/>
        </w:rPr>
        <w:t>1    </w:t>
      </w:r>
      <w:r>
        <w:rPr>
          <w:rFonts w:ascii="微软雅黑" w:eastAsia="微软雅黑" w:hint="eastAsia"/>
          <w:b/>
        </w:rPr>
        <w:t>周岁</w:t>
      </w:r>
      <w:r>
        <w:rPr/>
        <w:t>：以有效身份证件中记载的出生日期为计算基础，满一年为一周岁，不足一年的不计。</w:t>
      </w:r>
    </w:p>
    <w:p>
      <w:pPr>
        <w:spacing w:after="0" w:line="355" w:lineRule="exact"/>
        <w:sectPr>
          <w:pgSz w:w="11900" w:h="16840"/>
          <w:pgMar w:header="844" w:footer="547" w:top="1040" w:bottom="740" w:left="920" w:right="920"/>
        </w:sectPr>
      </w:pPr>
    </w:p>
    <w:p>
      <w:pPr>
        <w:pStyle w:val="BodyText"/>
        <w:spacing w:before="3"/>
        <w:ind w:left="0"/>
        <w:rPr>
          <w:sz w:val="10"/>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line="337" w:lineRule="exact" w:before="13"/>
      </w:pPr>
      <w:r>
        <w:rPr>
          <w:rFonts w:ascii="Times New Roman" w:eastAsia="Times New Roman"/>
          <w:position w:val="10"/>
          <w:sz w:val="14"/>
        </w:rPr>
        <w:t>2   </w:t>
      </w:r>
      <w:r>
        <w:rPr>
          <w:rFonts w:ascii="微软雅黑" w:eastAsia="微软雅黑" w:hint="eastAsia"/>
          <w:b/>
        </w:rPr>
        <w:t>等待期</w:t>
      </w:r>
      <w:r>
        <w:rPr/>
        <w:t>：本合同生效日或复效日（以较迟者为准）起 90 天内（含第 90 天）为等待期。</w:t>
      </w:r>
    </w:p>
    <w:p>
      <w:pPr>
        <w:pStyle w:val="BodyText"/>
        <w:spacing w:line="312" w:lineRule="exact" w:before="32"/>
        <w:ind w:right="214"/>
      </w:pPr>
      <w:r>
        <w:rPr>
          <w:rFonts w:ascii="Times New Roman" w:eastAsia="Times New Roman"/>
          <w:position w:val="10"/>
          <w:sz w:val="14"/>
        </w:rPr>
        <w:t>3 </w:t>
      </w:r>
      <w:r>
        <w:rPr>
          <w:rFonts w:ascii="微软雅黑" w:eastAsia="微软雅黑" w:hint="eastAsia"/>
          <w:b/>
        </w:rPr>
        <w:t>发病</w:t>
      </w:r>
      <w:r>
        <w:rPr/>
        <w:t>：指被保险人出现重大疾病或轻症的前兆或异常的身体状况，或已经显现促使一般人引起关注并寻求诊断、治疗或护理的病症。</w:t>
      </w:r>
    </w:p>
    <w:p>
      <w:pPr>
        <w:spacing w:line="305" w:lineRule="exact" w:before="0"/>
        <w:ind w:left="212" w:right="0" w:firstLine="0"/>
        <w:jc w:val="left"/>
        <w:rPr>
          <w:sz w:val="21"/>
        </w:rPr>
      </w:pPr>
      <w:r>
        <w:rPr>
          <w:rFonts w:ascii="Times New Roman" w:eastAsia="Times New Roman"/>
          <w:position w:val="10"/>
          <w:sz w:val="14"/>
        </w:rPr>
        <w:t>4   </w:t>
      </w:r>
      <w:r>
        <w:rPr>
          <w:rFonts w:ascii="微软雅黑" w:eastAsia="微软雅黑" w:hint="eastAsia"/>
          <w:b/>
          <w:sz w:val="21"/>
        </w:rPr>
        <w:t>专科医生</w:t>
      </w:r>
      <w:r>
        <w:rPr>
          <w:sz w:val="21"/>
        </w:rPr>
        <w:t>：专科医生应当同时满足以下四项资格条件：</w:t>
      </w:r>
    </w:p>
    <w:p>
      <w:pPr>
        <w:pStyle w:val="BodyText"/>
        <w:spacing w:before="12"/>
        <w:ind w:left="318"/>
      </w:pPr>
      <w:r>
        <w:rPr/>
        <w:t>（1）具有有效的中华人民共和国《医师资格证书》；</w:t>
      </w:r>
    </w:p>
    <w:p>
      <w:pPr>
        <w:pStyle w:val="BodyText"/>
        <w:spacing w:before="37"/>
        <w:ind w:left="318"/>
      </w:pPr>
      <w:r>
        <w:rPr/>
        <w:t>（2）具有有效的中华人民共和国《医师执业证书》，并按期到相关部门登记注册；</w:t>
      </w:r>
    </w:p>
    <w:p>
      <w:pPr>
        <w:pStyle w:val="BodyText"/>
        <w:spacing w:before="37"/>
        <w:ind w:left="318"/>
      </w:pPr>
      <w:r>
        <w:rPr/>
        <w:t>（3）具有有效的中华人民共和国主治医师或主治医师以上职称的《医师职称证书》；</w:t>
      </w:r>
    </w:p>
    <w:p>
      <w:pPr>
        <w:pStyle w:val="BodyText"/>
        <w:spacing w:line="251" w:lineRule="exact" w:before="37"/>
        <w:ind w:left="318"/>
      </w:pPr>
      <w:r>
        <w:rPr/>
        <w:t>（4）在二级或二级以上医院的相应科室从事临床工作三年以上。</w:t>
      </w:r>
    </w:p>
    <w:p>
      <w:pPr>
        <w:spacing w:line="306" w:lineRule="exact" w:before="0"/>
        <w:ind w:left="212" w:right="0" w:firstLine="0"/>
        <w:jc w:val="left"/>
        <w:rPr>
          <w:rFonts w:ascii="微软雅黑" w:eastAsia="微软雅黑" w:hint="eastAsia"/>
          <w:b/>
          <w:sz w:val="21"/>
        </w:rPr>
      </w:pPr>
      <w:r>
        <w:rPr>
          <w:rFonts w:ascii="Times New Roman" w:eastAsia="Times New Roman"/>
          <w:position w:val="10"/>
          <w:sz w:val="14"/>
        </w:rPr>
        <w:t>5   </w:t>
      </w:r>
      <w:r>
        <w:rPr>
          <w:rFonts w:ascii="微软雅黑" w:eastAsia="微软雅黑" w:hint="eastAsia"/>
          <w:b/>
          <w:sz w:val="21"/>
        </w:rPr>
        <w:t>轻症：</w:t>
      </w:r>
    </w:p>
    <w:p>
      <w:pPr>
        <w:pStyle w:val="Heading2"/>
        <w:spacing w:line="329" w:lineRule="exact"/>
        <w:ind w:left="318"/>
      </w:pPr>
      <w:r>
        <w:rPr>
          <w:rFonts w:ascii="宋体" w:eastAsia="宋体" w:hint="eastAsia"/>
          <w:b w:val="0"/>
        </w:rPr>
        <w:t>（1）</w:t>
      </w:r>
      <w:r>
        <w:rPr>
          <w:u w:val="single"/>
        </w:rPr>
        <w:t>极早期恶性肿瘤或恶性病变</w:t>
      </w:r>
    </w:p>
    <w:p>
      <w:pPr>
        <w:pStyle w:val="BodyText"/>
        <w:spacing w:line="263" w:lineRule="exact" w:before="12"/>
      </w:pPr>
      <w:r>
        <w:rPr/>
        <w:t>指经组织病理学检查被明确诊断为下列恶性病变，并且接受了相应的治疗。</w:t>
      </w:r>
    </w:p>
    <w:p>
      <w:pPr>
        <w:spacing w:line="406" w:lineRule="exact" w:before="0"/>
        <w:ind w:left="423" w:right="0" w:firstLine="0"/>
        <w:jc w:val="left"/>
        <w:rPr>
          <w:sz w:val="21"/>
        </w:rPr>
      </w:pPr>
      <w:r>
        <w:rPr/>
        <w:pict>
          <v:shape style="position:absolute;margin-left:107.159088pt;margin-top:9.820031pt;width:10.6pt;height:10.6pt;mso-position-horizontal-relative:page;mso-position-vertical-relative:paragraph;z-index:-44128" type="#_x0000_t202" filled="false" stroked="false">
            <v:textbox inset="0,0,0,0">
              <w:txbxContent>
                <w:p>
                  <w:pPr>
                    <w:pStyle w:val="BodyText"/>
                    <w:spacing w:line="211" w:lineRule="exact"/>
                    <w:ind w:left="0"/>
                  </w:pPr>
                  <w:r>
                    <w:rPr>
                      <w:w w:val="100"/>
                    </w:rPr>
                    <w:t>．</w:t>
                  </w:r>
                </w:p>
              </w:txbxContent>
            </v:textbox>
            <w10:wrap type="none"/>
          </v:shape>
        </w:pict>
      </w:r>
      <w:r>
        <w:rPr>
          <w:spacing w:val="-7"/>
          <w:sz w:val="21"/>
        </w:rPr>
        <w:t>Ⅰ </w:t>
      </w:r>
      <w:r>
        <w:rPr>
          <w:rFonts w:ascii="微软雅黑" w:hAnsi="微软雅黑" w:eastAsia="微软雅黑" w:hint="eastAsia"/>
          <w:b/>
          <w:spacing w:val="-149"/>
          <w:sz w:val="21"/>
        </w:rPr>
        <w:t>原</w:t>
      </w:r>
      <w:r>
        <w:rPr>
          <w:spacing w:val="-63"/>
          <w:position w:val="-7"/>
          <w:sz w:val="21"/>
        </w:rPr>
        <w:t>．</w:t>
      </w:r>
      <w:r>
        <w:rPr>
          <w:rFonts w:ascii="微软雅黑" w:hAnsi="微软雅黑" w:eastAsia="微软雅黑" w:hint="eastAsia"/>
          <w:b/>
          <w:spacing w:val="-149"/>
          <w:sz w:val="21"/>
        </w:rPr>
        <w:t>位</w:t>
      </w:r>
      <w:r>
        <w:rPr>
          <w:spacing w:val="-63"/>
          <w:position w:val="-7"/>
          <w:sz w:val="21"/>
        </w:rPr>
        <w:t>．</w:t>
      </w:r>
      <w:r>
        <w:rPr>
          <w:rFonts w:ascii="微软雅黑" w:hAnsi="微软雅黑" w:eastAsia="微软雅黑" w:hint="eastAsia"/>
          <w:b/>
          <w:spacing w:val="-8"/>
          <w:sz w:val="21"/>
        </w:rPr>
        <w:t>癌 </w:t>
      </w:r>
      <w:r>
        <w:rPr>
          <w:rFonts w:ascii="微软雅黑" w:hAnsi="微软雅黑" w:eastAsia="微软雅黑" w:hint="eastAsia"/>
          <w:b/>
          <w:position w:val="11"/>
          <w:sz w:val="11"/>
        </w:rPr>
        <w:t>22</w:t>
      </w:r>
      <w:r>
        <w:rPr>
          <w:sz w:val="21"/>
        </w:rPr>
        <w:t>；</w:t>
      </w:r>
    </w:p>
    <w:p>
      <w:pPr>
        <w:pStyle w:val="BodyText"/>
        <w:spacing w:before="22"/>
        <w:ind w:left="424"/>
      </w:pPr>
      <w:r>
        <w:rPr>
          <w:spacing w:val="-70"/>
          <w:w w:val="175"/>
        </w:rPr>
        <w:t>" </w:t>
      </w:r>
      <w:r>
        <w:rPr>
          <w:spacing w:val="-24"/>
          <w:w w:val="105"/>
        </w:rPr>
        <w:t>相当于 </w:t>
      </w:r>
      <w:r>
        <w:rPr>
          <w:w w:val="105"/>
        </w:rPr>
        <w:t>Binet</w:t>
      </w:r>
      <w:r>
        <w:rPr>
          <w:spacing w:val="-32"/>
          <w:w w:val="105"/>
        </w:rPr>
        <w:t> 分期方案 </w:t>
      </w:r>
      <w:r>
        <w:rPr>
          <w:w w:val="105"/>
        </w:rPr>
        <w:t>A</w:t>
      </w:r>
      <w:r>
        <w:rPr>
          <w:spacing w:val="-10"/>
          <w:w w:val="105"/>
        </w:rPr>
        <w:t> 期程度的慢性淋巴细胞白血病；</w:t>
      </w:r>
    </w:p>
    <w:p>
      <w:pPr>
        <w:pStyle w:val="BodyText"/>
        <w:spacing w:before="37"/>
        <w:ind w:left="424"/>
      </w:pPr>
      <w:r>
        <w:rPr/>
        <w:t>Ⅲ 相当于 Ann Arbor 分期方案 I 期程度的何杰金氏病；</w:t>
      </w:r>
    </w:p>
    <w:p>
      <w:pPr>
        <w:pStyle w:val="BodyText"/>
        <w:spacing w:line="271" w:lineRule="auto" w:before="37"/>
        <w:ind w:left="424" w:right="4066" w:hanging="1"/>
      </w:pPr>
      <w:r>
        <w:rPr/>
        <w:t>Ⅳ 皮肤癌（不包括恶性黑色素瘤及已发生转移的皮肤癌）； </w:t>
      </w:r>
      <w:r>
        <w:rPr>
          <w:position w:val="1"/>
        </w:rPr>
        <w:t>Ⅴ 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line="311" w:lineRule="exact" w:before="0"/>
        <w:ind w:left="318" w:right="0" w:firstLine="0"/>
        <w:jc w:val="left"/>
        <w:rPr>
          <w:rFonts w:ascii="微软雅黑" w:eastAsia="微软雅黑" w:hint="eastAsia"/>
          <w:b/>
          <w:sz w:val="21"/>
        </w:rPr>
      </w:pPr>
      <w:r>
        <w:rPr>
          <w:sz w:val="21"/>
        </w:rPr>
        <w:t>（2）</w:t>
      </w:r>
      <w:r>
        <w:rPr>
          <w:rFonts w:ascii="微软雅黑" w:eastAsia="微软雅黑" w:hint="eastAsia"/>
          <w:b/>
          <w:sz w:val="21"/>
          <w:u w:val="single"/>
        </w:rPr>
        <w:t>不典型心肌梗塞</w:t>
      </w:r>
    </w:p>
    <w:p>
      <w:pPr>
        <w:pStyle w:val="BodyText"/>
        <w:spacing w:line="273" w:lineRule="auto" w:before="11"/>
        <w:ind w:right="202" w:hanging="1"/>
      </w:pPr>
      <w:r>
        <w:rPr>
          <w:spacing w:val="-5"/>
        </w:rPr>
        <w:t>指被临床诊断为急性心肌梗塞并接受了急性心肌梗塞治疗虽然未达到重大疾病“急性心肌梗塞”的给付标</w:t>
      </w:r>
      <w:r>
        <w:rPr>
          <w:spacing w:val="-4"/>
        </w:rPr>
        <w:t>准，但满足下列全部条件：</w:t>
      </w:r>
    </w:p>
    <w:p>
      <w:pPr>
        <w:pStyle w:val="BodyText"/>
        <w:spacing w:before="7"/>
        <w:ind w:left="424"/>
      </w:pPr>
      <w:r>
        <w:rPr/>
        <w:t>Ⅰ 肌钙蛋白有诊断意义的升高；</w:t>
      </w:r>
    </w:p>
    <w:p>
      <w:pPr>
        <w:pStyle w:val="BodyText"/>
        <w:spacing w:line="262" w:lineRule="exact" w:before="37"/>
        <w:ind w:left="424"/>
      </w:pPr>
      <w:r>
        <w:rPr>
          <w:spacing w:val="-73"/>
          <w:w w:val="180"/>
        </w:rPr>
        <w:t>" </w:t>
      </w:r>
      <w:r>
        <w:rPr>
          <w:spacing w:val="-13"/>
          <w:w w:val="105"/>
        </w:rPr>
        <w:t>心电图有损伤性的 </w:t>
      </w:r>
      <w:r>
        <w:rPr>
          <w:w w:val="105"/>
        </w:rPr>
        <w:t>ST</w:t>
      </w:r>
      <w:r>
        <w:rPr>
          <w:spacing w:val="-19"/>
          <w:w w:val="105"/>
        </w:rPr>
        <w:t> 段改变但未出现病理 </w:t>
      </w:r>
      <w:r>
        <w:rPr>
          <w:w w:val="105"/>
        </w:rPr>
        <w:t>Q</w:t>
      </w:r>
      <w:r>
        <w:rPr>
          <w:spacing w:val="-30"/>
          <w:w w:val="105"/>
        </w:rPr>
        <w:t> 波。</w:t>
      </w:r>
    </w:p>
    <w:p>
      <w:pPr>
        <w:spacing w:line="350" w:lineRule="exact" w:before="0"/>
        <w:ind w:left="318" w:right="0" w:firstLine="0"/>
        <w:jc w:val="left"/>
        <w:rPr>
          <w:rFonts w:ascii="微软雅黑" w:eastAsia="微软雅黑" w:hint="eastAsia"/>
          <w:b/>
          <w:sz w:val="21"/>
        </w:rPr>
      </w:pPr>
      <w:r>
        <w:rPr>
          <w:sz w:val="21"/>
        </w:rPr>
        <w:t>（3）</w:t>
      </w:r>
      <w:r>
        <w:rPr>
          <w:rFonts w:ascii="微软雅黑" w:eastAsia="微软雅黑" w:hint="eastAsia"/>
          <w:b/>
          <w:sz w:val="21"/>
          <w:u w:val="single"/>
        </w:rPr>
        <w:t>轻微脑中风</w:t>
      </w:r>
    </w:p>
    <w:p>
      <w:pPr>
        <w:pStyle w:val="BodyText"/>
        <w:spacing w:line="273" w:lineRule="auto" w:before="11"/>
        <w:ind w:right="202"/>
      </w:pPr>
      <w:r>
        <w:rPr>
          <w:spacing w:val="-6"/>
        </w:rPr>
        <w:t>实际发生了脑血管的突发病变出现神经系统功能障碍表现，并接受住院治疗，头颅断层扫描</w:t>
      </w:r>
      <w:r>
        <w:rPr/>
        <w:t>（CT）</w:t>
      </w:r>
      <w:r>
        <w:rPr>
          <w:spacing w:val="-3"/>
        </w:rPr>
        <w:t>、核磁共振（MRI）</w:t>
      </w:r>
      <w:r>
        <w:rPr>
          <w:spacing w:val="-5"/>
        </w:rPr>
        <w:t>等影像学检查证实存在对应病灶，确诊为脑出血、脑栓塞或脑梗塞，在确诊 </w:t>
      </w:r>
      <w:r>
        <w:rPr/>
        <w:t>180</w:t>
      </w:r>
      <w:r>
        <w:rPr>
          <w:spacing w:val="-10"/>
        </w:rPr>
        <w:t> 天后仍然遗</w:t>
      </w:r>
      <w:r>
        <w:rPr>
          <w:spacing w:val="-5"/>
        </w:rPr>
        <w:t>留一肢或一肢以上肢体肌力Ⅲ级或Ⅲ级以下的运动功能障碍。</w:t>
      </w:r>
    </w:p>
    <w:p>
      <w:pPr>
        <w:pStyle w:val="Heading2"/>
        <w:spacing w:line="308" w:lineRule="exact"/>
        <w:ind w:left="318"/>
      </w:pPr>
      <w:r>
        <w:rPr>
          <w:rFonts w:ascii="宋体" w:eastAsia="宋体" w:hint="eastAsia"/>
          <w:b w:val="0"/>
        </w:rPr>
        <w:t>（4）</w:t>
      </w:r>
      <w:r>
        <w:rPr>
          <w:u w:val="single"/>
        </w:rPr>
        <w:t>冠状动脉介入手术（非开胸手术）</w:t>
      </w:r>
    </w:p>
    <w:p>
      <w:pPr>
        <w:pStyle w:val="BodyText"/>
        <w:spacing w:line="273" w:lineRule="auto" w:before="12"/>
        <w:ind w:right="180"/>
      </w:pPr>
      <w:r>
        <w:rPr/>
        <w:t>为了治疗明显的冠状动脉狭窄性疾病，首次实际实施了冠状动脉球囊扩张成形术、冠状动脉支架植入术、冠状动脉粥样斑块切除术或激光冠状动脉成形术。</w:t>
      </w:r>
    </w:p>
    <w:p>
      <w:pPr>
        <w:spacing w:line="308" w:lineRule="exact" w:before="0"/>
        <w:ind w:left="318" w:right="0" w:firstLine="0"/>
        <w:jc w:val="left"/>
        <w:rPr>
          <w:rFonts w:ascii="微软雅黑" w:hAnsi="微软雅黑" w:eastAsia="微软雅黑" w:hint="eastAsia"/>
          <w:b/>
          <w:sz w:val="21"/>
        </w:rPr>
      </w:pPr>
      <w:r>
        <w:rPr>
          <w:sz w:val="21"/>
        </w:rPr>
        <w:t>（5）</w:t>
      </w:r>
      <w:r>
        <w:rPr>
          <w:rFonts w:ascii="微软雅黑" w:hAnsi="微软雅黑" w:eastAsia="微软雅黑" w:hint="eastAsia"/>
          <w:b/>
          <w:sz w:val="21"/>
          <w:u w:val="single"/>
        </w:rPr>
        <w:t>较小面积Ⅲ度烧伤</w:t>
      </w:r>
    </w:p>
    <w:p>
      <w:pPr>
        <w:pStyle w:val="BodyText"/>
        <w:spacing w:line="273" w:lineRule="auto" w:before="12"/>
        <w:ind w:right="202"/>
      </w:pPr>
      <w:r>
        <w:rPr/>
        <w:t>指烧</w:t>
      </w:r>
      <w:r>
        <w:rPr>
          <w:spacing w:val="-3"/>
        </w:rPr>
        <w:t>伤</w:t>
      </w:r>
      <w:r>
        <w:rPr/>
        <w:t>程</w:t>
      </w:r>
      <w:r>
        <w:rPr>
          <w:spacing w:val="-3"/>
        </w:rPr>
        <w:t>度</w:t>
      </w:r>
      <w:r>
        <w:rPr/>
        <w:t>为</w:t>
      </w:r>
      <w:r>
        <w:rPr>
          <w:spacing w:val="-3"/>
        </w:rPr>
        <w:t>Ⅲ</w:t>
      </w:r>
      <w:r>
        <w:rPr/>
        <w:t>度</w:t>
      </w:r>
      <w:r>
        <w:rPr>
          <w:spacing w:val="-10"/>
        </w:rPr>
        <w:t>，</w:t>
      </w:r>
      <w:r>
        <w:rPr/>
        <w:t>且</w:t>
      </w:r>
      <w:r>
        <w:rPr>
          <w:spacing w:val="-3"/>
        </w:rPr>
        <w:t>Ⅲ</w:t>
      </w:r>
      <w:r>
        <w:rPr/>
        <w:t>度烧</w:t>
      </w:r>
      <w:r>
        <w:rPr>
          <w:spacing w:val="-3"/>
        </w:rPr>
        <w:t>伤</w:t>
      </w:r>
      <w:r>
        <w:rPr/>
        <w:t>的</w:t>
      </w:r>
      <w:r>
        <w:rPr>
          <w:spacing w:val="-3"/>
        </w:rPr>
        <w:t>面</w:t>
      </w:r>
      <w:r>
        <w:rPr/>
        <w:t>积</w:t>
      </w:r>
      <w:r>
        <w:rPr>
          <w:spacing w:val="-3"/>
        </w:rPr>
        <w:t>达</w:t>
      </w:r>
      <w:r>
        <w:rPr/>
        <w:t>到</w:t>
      </w:r>
      <w:r>
        <w:rPr>
          <w:spacing w:val="-3"/>
        </w:rPr>
        <w:t>全</w:t>
      </w:r>
      <w:r>
        <w:rPr/>
        <w:t>身</w:t>
      </w:r>
      <w:r>
        <w:rPr>
          <w:spacing w:val="-3"/>
        </w:rPr>
        <w:t>体</w:t>
      </w:r>
      <w:r>
        <w:rPr/>
        <w:t>表面</w:t>
      </w:r>
      <w:r>
        <w:rPr>
          <w:spacing w:val="-3"/>
        </w:rPr>
        <w:t>积</w:t>
      </w:r>
      <w:r>
        <w:rPr/>
        <w:t>的</w:t>
      </w:r>
      <w:r>
        <w:rPr>
          <w:spacing w:val="-28"/>
        </w:rPr>
        <w:t> </w:t>
      </w:r>
      <w:r>
        <w:rPr/>
        <w:t>15％或</w:t>
      </w:r>
      <w:r>
        <w:rPr>
          <w:spacing w:val="-53"/>
        </w:rPr>
        <w:t> </w:t>
      </w:r>
      <w:r>
        <w:rPr>
          <w:w w:val="100"/>
        </w:rPr>
        <w:drawing>
          <wp:inline distT="0" distB="0" distL="0" distR="0">
            <wp:extent cx="63499" cy="9525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t>以</w:t>
      </w:r>
      <w:r>
        <w:rPr>
          <w:spacing w:val="-3"/>
        </w:rPr>
        <w:t>上</w:t>
      </w:r>
      <w:r>
        <w:rPr>
          <w:spacing w:val="-8"/>
        </w:rPr>
        <w:t>。</w:t>
      </w:r>
      <w:r>
        <w:rPr>
          <w:spacing w:val="-3"/>
        </w:rPr>
        <w:t>体</w:t>
      </w:r>
      <w:r>
        <w:rPr/>
        <w:t>表</w:t>
      </w:r>
      <w:r>
        <w:rPr>
          <w:spacing w:val="-3"/>
        </w:rPr>
        <w:t>面</w:t>
      </w:r>
      <w:r>
        <w:rPr/>
        <w:t>积</w:t>
      </w:r>
      <w:r>
        <w:rPr>
          <w:spacing w:val="-3"/>
        </w:rPr>
        <w:t>根</w:t>
      </w:r>
      <w:r>
        <w:rPr>
          <w:spacing w:val="-8"/>
        </w:rPr>
        <w:t>据</w:t>
      </w:r>
      <w:r>
        <w:rPr>
          <w:spacing w:val="-3"/>
        </w:rPr>
        <w:t>《</w:t>
      </w:r>
      <w:r>
        <w:rPr/>
        <w:t>中</w:t>
      </w:r>
      <w:r>
        <w:rPr>
          <w:spacing w:val="-3"/>
        </w:rPr>
        <w:t>国新</w:t>
      </w:r>
      <w:r>
        <w:rPr/>
        <w:t>九分 </w:t>
      </w:r>
      <w:r>
        <w:rPr>
          <w:spacing w:val="-1"/>
        </w:rPr>
        <w:t>法》计算。</w:t>
      </w:r>
    </w:p>
    <w:p>
      <w:pPr>
        <w:pStyle w:val="Heading2"/>
        <w:spacing w:line="308" w:lineRule="exact"/>
        <w:ind w:left="318"/>
      </w:pPr>
      <w:r>
        <w:rPr>
          <w:rFonts w:ascii="宋体" w:eastAsia="宋体" w:hint="eastAsia"/>
          <w:b w:val="0"/>
        </w:rPr>
        <w:t>（6）</w:t>
      </w:r>
      <w:r>
        <w:rPr>
          <w:u w:val="single"/>
        </w:rPr>
        <w:t>脑垂体瘤、脑囊肿、脑动脉瘤及脑血管瘤</w:t>
      </w:r>
    </w:p>
    <w:p>
      <w:pPr>
        <w:pStyle w:val="BodyText"/>
        <w:spacing w:line="273" w:lineRule="auto" w:before="12"/>
        <w:ind w:right="286" w:hanging="1"/>
      </w:pPr>
      <w:r>
        <w:rPr/>
        <w:t>指经头颅断层扫描（CT）、核磁共振（MRI）或其他影像学检查被确诊为下列病变，并实际接受了手术或放射治疗。</w:t>
      </w:r>
    </w:p>
    <w:p>
      <w:pPr>
        <w:pStyle w:val="BodyText"/>
        <w:spacing w:before="7"/>
        <w:ind w:left="424"/>
      </w:pPr>
      <w:r>
        <w:rPr/>
        <w:t>Ⅰ 脑垂体瘤；</w:t>
      </w:r>
    </w:p>
    <w:p>
      <w:pPr>
        <w:pStyle w:val="BodyText"/>
        <w:spacing w:before="36"/>
        <w:ind w:left="424"/>
      </w:pPr>
      <w:r>
        <w:rPr>
          <w:spacing w:val="-78"/>
          <w:w w:val="185"/>
        </w:rPr>
        <w:t>" </w:t>
      </w:r>
      <w:r>
        <w:rPr>
          <w:spacing w:val="-2"/>
          <w:w w:val="110"/>
        </w:rPr>
        <w:t>脑囊肿；</w:t>
      </w:r>
    </w:p>
    <w:p>
      <w:pPr>
        <w:pStyle w:val="BodyText"/>
        <w:spacing w:line="262" w:lineRule="exact" w:before="36"/>
        <w:ind w:left="424"/>
      </w:pPr>
      <w:r>
        <w:rPr/>
        <w:t>Ⅲ 脑动脉瘤、脑血管瘤。</w:t>
      </w:r>
    </w:p>
    <w:p>
      <w:pPr>
        <w:spacing w:line="326" w:lineRule="exact" w:before="0"/>
        <w:ind w:left="318" w:right="0" w:firstLine="0"/>
        <w:jc w:val="left"/>
        <w:rPr>
          <w:rFonts w:ascii="微软雅黑" w:eastAsia="微软雅黑" w:hint="eastAsia"/>
          <w:b/>
          <w:sz w:val="21"/>
        </w:rPr>
      </w:pPr>
      <w:r>
        <w:rPr>
          <w:sz w:val="21"/>
        </w:rPr>
        <w:t>（7）</w:t>
      </w:r>
      <w:r>
        <w:rPr>
          <w:rFonts w:ascii="微软雅黑" w:eastAsia="微软雅黑" w:hint="eastAsia"/>
          <w:b/>
          <w:sz w:val="21"/>
          <w:u w:val="single"/>
        </w:rPr>
        <w:t>视力严重受损</w:t>
      </w:r>
    </w:p>
    <w:p>
      <w:pPr>
        <w:pStyle w:val="BodyText"/>
        <w:spacing w:line="393" w:lineRule="exact"/>
      </w:pPr>
      <w:r>
        <w:rPr/>
        <w:pict>
          <v:shape style="position:absolute;margin-left:259.559265pt;margin-top:9.184298pt;width:10.6pt;height:10.6pt;mso-position-horizontal-relative:page;mso-position-vertical-relative:paragraph;z-index:-44104" type="#_x0000_t202" filled="false" stroked="false">
            <v:textbox inset="0,0,0,0">
              <w:txbxContent>
                <w:p>
                  <w:pPr>
                    <w:pStyle w:val="BodyText"/>
                    <w:spacing w:line="211" w:lineRule="exact"/>
                    <w:ind w:left="0"/>
                  </w:pPr>
                  <w:r>
                    <w:rPr>
                      <w:w w:val="100"/>
                    </w:rPr>
                    <w:t>．</w:t>
                  </w:r>
                </w:p>
              </w:txbxContent>
            </v:textbox>
            <w10:wrap type="none"/>
          </v:shape>
        </w:pict>
      </w:r>
      <w:r>
        <w:rPr>
          <w:spacing w:val="-3"/>
        </w:rPr>
        <w:t>指因疾病或意外伤害导致双目视力</w:t>
      </w:r>
      <w:r>
        <w:rPr>
          <w:rFonts w:ascii="微软雅黑" w:hAnsi="微软雅黑" w:eastAsia="微软雅黑" w:hint="eastAsia"/>
          <w:b/>
          <w:spacing w:val="-149"/>
        </w:rPr>
        <w:t>永</w:t>
      </w:r>
      <w:r>
        <w:rPr>
          <w:spacing w:val="-63"/>
          <w:position w:val="-7"/>
        </w:rPr>
        <w:t>．</w:t>
      </w:r>
      <w:r>
        <w:rPr>
          <w:rFonts w:ascii="微软雅黑" w:hAnsi="微软雅黑" w:eastAsia="微软雅黑" w:hint="eastAsia"/>
          <w:b/>
          <w:spacing w:val="-149"/>
        </w:rPr>
        <w:t>久</w:t>
      </w:r>
      <w:r>
        <w:rPr>
          <w:spacing w:val="-63"/>
          <w:position w:val="-7"/>
        </w:rPr>
        <w:t>．</w:t>
      </w:r>
      <w:r>
        <w:rPr>
          <w:rFonts w:ascii="微软雅黑" w:hAnsi="微软雅黑" w:eastAsia="微软雅黑" w:hint="eastAsia"/>
          <w:b/>
          <w:spacing w:val="-149"/>
        </w:rPr>
        <w:t>不</w:t>
      </w:r>
      <w:r>
        <w:rPr>
          <w:spacing w:val="-63"/>
          <w:position w:val="-7"/>
        </w:rPr>
        <w:t>．</w:t>
      </w:r>
      <w:r>
        <w:rPr>
          <w:rFonts w:ascii="微软雅黑" w:hAnsi="微软雅黑" w:eastAsia="微软雅黑" w:hint="eastAsia"/>
          <w:b/>
          <w:spacing w:val="-149"/>
        </w:rPr>
        <w:t>可</w:t>
      </w:r>
      <w:r>
        <w:rPr>
          <w:spacing w:val="-63"/>
          <w:position w:val="-7"/>
        </w:rPr>
        <w:t>．</w:t>
      </w:r>
      <w:r>
        <w:rPr>
          <w:rFonts w:ascii="微软雅黑" w:hAnsi="微软雅黑" w:eastAsia="微软雅黑" w:hint="eastAsia"/>
          <w:b/>
          <w:spacing w:val="2"/>
        </w:rPr>
        <w:t>逆 </w:t>
      </w:r>
      <w:r>
        <w:rPr>
          <w:rFonts w:ascii="微软雅黑" w:hAnsi="微软雅黑" w:eastAsia="微软雅黑" w:hint="eastAsia"/>
          <w:b/>
          <w:position w:val="11"/>
          <w:sz w:val="11"/>
        </w:rPr>
        <w:t>23 </w:t>
      </w:r>
      <w:r>
        <w:rPr>
          <w:spacing w:val="-3"/>
        </w:rPr>
        <w:t>性丧失，虽然未达到重大疾病“双目失明”的给付标准，</w:t>
      </w:r>
    </w:p>
    <w:p>
      <w:pPr>
        <w:pStyle w:val="BodyText"/>
        <w:spacing w:before="21"/>
      </w:pPr>
      <w:r>
        <w:rPr/>
        <w:t>但满足下列全部条件：</w:t>
      </w:r>
    </w:p>
    <w:p>
      <w:pPr>
        <w:pStyle w:val="BodyText"/>
        <w:spacing w:before="37"/>
        <w:ind w:left="424"/>
      </w:pPr>
      <w:r>
        <w:rPr/>
        <w:t>Ⅰ 双眼中较好眼矫正视力低于 0.1（采用国际标准视力表，如果使用其他视力表应进行换算）；</w:t>
      </w:r>
    </w:p>
    <w:p>
      <w:pPr>
        <w:pStyle w:val="BodyText"/>
        <w:spacing w:line="262" w:lineRule="exact" w:before="37"/>
        <w:ind w:left="424"/>
      </w:pPr>
      <w:r>
        <w:rPr>
          <w:spacing w:val="-73"/>
          <w:w w:val="180"/>
        </w:rPr>
        <w:t>" </w:t>
      </w:r>
      <w:r>
        <w:rPr>
          <w:spacing w:val="-10"/>
          <w:w w:val="105"/>
        </w:rPr>
        <w:t>双眼中较好眼视野半径小于 </w:t>
      </w:r>
      <w:r>
        <w:rPr>
          <w:w w:val="105"/>
        </w:rPr>
        <w:t>20</w:t>
      </w:r>
      <w:r>
        <w:rPr>
          <w:spacing w:val="-30"/>
          <w:w w:val="105"/>
        </w:rPr>
        <w:t> 度。</w:t>
      </w:r>
    </w:p>
    <w:p>
      <w:pPr>
        <w:pStyle w:val="Heading2"/>
        <w:spacing w:line="206" w:lineRule="auto" w:before="38"/>
        <w:ind w:right="204"/>
      </w:pPr>
      <w:r>
        <w:rPr>
          <w:spacing w:val="-7"/>
        </w:rPr>
        <w:t>申请理赔时，被保险人年龄必须在 </w:t>
      </w:r>
      <w:r>
        <w:rPr/>
        <w:t>3</w:t>
      </w:r>
      <w:r>
        <w:rPr>
          <w:spacing w:val="-8"/>
        </w:rPr>
        <w:t> 周岁以上，并需提供被保险人 </w:t>
      </w:r>
      <w:r>
        <w:rPr/>
        <w:t>3</w:t>
      </w:r>
      <w:r>
        <w:rPr>
          <w:spacing w:val="-4"/>
        </w:rPr>
        <w:t> 周岁以后的视力丧失诊断及相关检查报告，双侧眼球摘除不受此时间限制。</w:t>
      </w:r>
    </w:p>
    <w:p>
      <w:pPr>
        <w:spacing w:line="312" w:lineRule="exact" w:before="0"/>
        <w:ind w:left="306" w:right="6038" w:firstLine="0"/>
        <w:jc w:val="center"/>
        <w:rPr>
          <w:rFonts w:ascii="微软雅黑" w:eastAsia="微软雅黑" w:hint="eastAsia"/>
          <w:b/>
          <w:sz w:val="21"/>
        </w:rPr>
      </w:pPr>
      <w:r>
        <w:rPr>
          <w:sz w:val="21"/>
        </w:rPr>
        <w:t>（8）</w:t>
      </w:r>
      <w:r>
        <w:rPr>
          <w:rFonts w:ascii="微软雅黑" w:eastAsia="微软雅黑" w:hint="eastAsia"/>
          <w:b/>
          <w:sz w:val="21"/>
          <w:u w:val="single"/>
        </w:rPr>
        <w:t>心脏瓣膜介入手术（非开胸手术）</w:t>
      </w:r>
    </w:p>
    <w:p>
      <w:pPr>
        <w:spacing w:after="0" w:line="312" w:lineRule="exact"/>
        <w:jc w:val="center"/>
        <w:rPr>
          <w:rFonts w:ascii="微软雅黑" w:eastAsia="微软雅黑" w:hint="eastAsia"/>
          <w:sz w:val="21"/>
        </w:rPr>
        <w:sectPr>
          <w:headerReference w:type="default" r:id="rId10"/>
          <w:pgSz w:w="11900" w:h="16840"/>
          <w:pgMar w:header="892" w:footer="547" w:top="1080" w:bottom="740" w:left="920" w:right="920"/>
        </w:sectPr>
      </w:pPr>
    </w:p>
    <w:p>
      <w:pPr>
        <w:pStyle w:val="BodyText"/>
        <w:spacing w:before="13"/>
        <w:ind w:left="0"/>
        <w:rPr>
          <w:rFonts w:ascii="微软雅黑"/>
          <w:b/>
          <w:sz w:val="7"/>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line="273" w:lineRule="auto" w:before="75"/>
        <w:ind w:right="222"/>
      </w:pPr>
      <w:r>
        <w:rPr>
          <w:spacing w:val="-5"/>
        </w:rPr>
        <w:t>为了治疗心脏瓣膜疾病，实际实施了非开胸的经胸壁打孔内镜手术或经皮经导管介入手术进行的心脏瓣膜</w:t>
      </w:r>
      <w:r>
        <w:rPr>
          <w:spacing w:val="-4"/>
        </w:rPr>
        <w:t>置换或修复手术。</w:t>
      </w:r>
    </w:p>
    <w:p>
      <w:pPr>
        <w:spacing w:line="308" w:lineRule="exact" w:before="0"/>
        <w:ind w:left="318" w:right="0" w:firstLine="0"/>
        <w:jc w:val="left"/>
        <w:rPr>
          <w:rFonts w:ascii="微软雅黑" w:eastAsia="微软雅黑" w:hint="eastAsia"/>
          <w:b/>
          <w:sz w:val="21"/>
        </w:rPr>
      </w:pPr>
      <w:r>
        <w:rPr>
          <w:sz w:val="21"/>
        </w:rPr>
        <w:t>（9）</w:t>
      </w:r>
      <w:r>
        <w:rPr>
          <w:rFonts w:ascii="微软雅黑" w:eastAsia="微软雅黑" w:hint="eastAsia"/>
          <w:b/>
          <w:sz w:val="21"/>
          <w:u w:val="single"/>
        </w:rPr>
        <w:t>重度头部外伤</w:t>
      </w:r>
    </w:p>
    <w:p>
      <w:pPr>
        <w:pStyle w:val="BodyText"/>
        <w:spacing w:before="12"/>
      </w:pPr>
      <w:r>
        <w:rPr/>
        <w:t>指因头部遭受机械性外力，引起脑重要部位损伤，导致神经系统永久性的功能障碍。须由头颅断层扫描</w:t>
      </w:r>
    </w:p>
    <w:p>
      <w:pPr>
        <w:pStyle w:val="BodyText"/>
        <w:spacing w:line="223" w:lineRule="auto" w:before="56"/>
        <w:ind w:right="224"/>
      </w:pPr>
      <w:r>
        <w:rPr/>
        <w:pict>
          <v:shape style="position:absolute;margin-left:469.198853pt;margin-top:24.826859pt;width:10.6pt;height:10.6pt;mso-position-horizontal-relative:page;mso-position-vertical-relative:paragraph;z-index:-44056" type="#_x0000_t202" filled="false" stroked="false">
            <v:textbox inset="0,0,0,0">
              <w:txbxContent>
                <w:p>
                  <w:pPr>
                    <w:pStyle w:val="BodyText"/>
                    <w:spacing w:line="211" w:lineRule="exact"/>
                    <w:ind w:left="0"/>
                  </w:pPr>
                  <w:r>
                    <w:rPr>
                      <w:w w:val="100"/>
                    </w:rPr>
                    <w:t>．</w:t>
                  </w:r>
                </w:p>
              </w:txbxContent>
            </v:textbox>
            <w10:wrap type="none"/>
          </v:shape>
        </w:pict>
      </w:r>
      <w:r>
        <w:rPr/>
        <w:t>（CT）</w:t>
      </w:r>
      <w:r>
        <w:rPr>
          <w:spacing w:val="-3"/>
        </w:rPr>
        <w:t>、核磁共振检查（MRI）或正电子发射断层扫描</w:t>
      </w:r>
      <w:r>
        <w:rPr/>
        <w:t>（PET）</w:t>
      </w:r>
      <w:r>
        <w:rPr>
          <w:spacing w:val="-4"/>
        </w:rPr>
        <w:t>等影像学检查证实。神经系统永久性的功能</w:t>
      </w:r>
      <w:r>
        <w:rPr>
          <w:spacing w:val="-10"/>
        </w:rPr>
        <w:t>障碍，指脑损伤 </w:t>
      </w:r>
      <w:r>
        <w:rPr/>
        <w:t>180</w:t>
      </w:r>
      <w:r>
        <w:rPr>
          <w:spacing w:val="-9"/>
        </w:rPr>
        <w:t> 天后，仍完全丧失自主生活能力，无法独立完成</w:t>
      </w:r>
      <w:r>
        <w:rPr>
          <w:rFonts w:ascii="微软雅黑" w:eastAsia="微软雅黑" w:hint="eastAsia"/>
          <w:b/>
          <w:spacing w:val="-149"/>
        </w:rPr>
        <w:t>六</w:t>
      </w:r>
      <w:r>
        <w:rPr>
          <w:spacing w:val="-63"/>
          <w:position w:val="-7"/>
        </w:rPr>
        <w:t>．</w:t>
      </w:r>
      <w:r>
        <w:rPr>
          <w:rFonts w:ascii="微软雅黑" w:eastAsia="微软雅黑" w:hint="eastAsia"/>
          <w:b/>
          <w:spacing w:val="-149"/>
        </w:rPr>
        <w:t>项</w:t>
      </w:r>
      <w:r>
        <w:rPr>
          <w:spacing w:val="-63"/>
          <w:position w:val="-7"/>
        </w:rPr>
        <w:t>．</w:t>
      </w:r>
      <w:r>
        <w:rPr>
          <w:rFonts w:ascii="微软雅黑" w:eastAsia="微软雅黑" w:hint="eastAsia"/>
          <w:b/>
          <w:spacing w:val="-149"/>
        </w:rPr>
        <w:t>基</w:t>
      </w:r>
      <w:r>
        <w:rPr>
          <w:spacing w:val="-63"/>
          <w:position w:val="-7"/>
        </w:rPr>
        <w:t>．</w:t>
      </w:r>
      <w:r>
        <w:rPr>
          <w:rFonts w:ascii="微软雅黑" w:eastAsia="微软雅黑" w:hint="eastAsia"/>
          <w:b/>
          <w:spacing w:val="-149"/>
        </w:rPr>
        <w:t>本</w:t>
      </w:r>
      <w:r>
        <w:rPr>
          <w:spacing w:val="-63"/>
          <w:position w:val="-7"/>
        </w:rPr>
        <w:t>．</w:t>
      </w:r>
      <w:r>
        <w:rPr>
          <w:rFonts w:ascii="微软雅黑" w:eastAsia="微软雅黑" w:hint="eastAsia"/>
          <w:b/>
          <w:spacing w:val="-149"/>
        </w:rPr>
        <w:t>日</w:t>
      </w:r>
      <w:r>
        <w:rPr>
          <w:spacing w:val="-63"/>
          <w:position w:val="-7"/>
        </w:rPr>
        <w:t>．</w:t>
      </w:r>
      <w:r>
        <w:rPr>
          <w:rFonts w:ascii="微软雅黑" w:eastAsia="微软雅黑" w:hint="eastAsia"/>
          <w:b/>
          <w:spacing w:val="-149"/>
        </w:rPr>
        <w:t>常</w:t>
      </w:r>
      <w:r>
        <w:rPr>
          <w:spacing w:val="-63"/>
          <w:position w:val="-7"/>
        </w:rPr>
        <w:t>．</w:t>
      </w:r>
      <w:r>
        <w:rPr>
          <w:rFonts w:ascii="微软雅黑" w:eastAsia="微软雅黑" w:hint="eastAsia"/>
          <w:b/>
          <w:spacing w:val="-149"/>
        </w:rPr>
        <w:t>生</w:t>
      </w:r>
      <w:r>
        <w:rPr>
          <w:spacing w:val="-63"/>
          <w:position w:val="-7"/>
        </w:rPr>
        <w:t>．</w:t>
      </w:r>
      <w:r>
        <w:rPr>
          <w:rFonts w:ascii="微软雅黑" w:eastAsia="微软雅黑" w:hint="eastAsia"/>
          <w:b/>
          <w:spacing w:val="-149"/>
        </w:rPr>
        <w:t>活</w:t>
      </w:r>
      <w:r>
        <w:rPr>
          <w:spacing w:val="-63"/>
          <w:position w:val="-7"/>
        </w:rPr>
        <w:t>．</w:t>
      </w:r>
      <w:r>
        <w:rPr>
          <w:rFonts w:ascii="微软雅黑" w:eastAsia="微软雅黑" w:hint="eastAsia"/>
          <w:b/>
          <w:spacing w:val="-149"/>
        </w:rPr>
        <w:t>活</w:t>
      </w:r>
      <w:r>
        <w:rPr>
          <w:spacing w:val="-63"/>
          <w:position w:val="-7"/>
        </w:rPr>
        <w:t>．</w:t>
      </w:r>
      <w:r>
        <w:rPr>
          <w:rFonts w:ascii="微软雅黑" w:eastAsia="微软雅黑" w:hint="eastAsia"/>
          <w:b/>
          <w:spacing w:val="-1"/>
        </w:rPr>
        <w:t>动 </w:t>
      </w:r>
      <w:r>
        <w:rPr>
          <w:rFonts w:ascii="微软雅黑" w:eastAsia="微软雅黑" w:hint="eastAsia"/>
          <w:b/>
          <w:position w:val="11"/>
          <w:sz w:val="11"/>
        </w:rPr>
        <w:t>24 </w:t>
      </w:r>
      <w:r>
        <w:rPr>
          <w:spacing w:val="-3"/>
        </w:rPr>
        <w:t>中的两项或</w:t>
      </w:r>
    </w:p>
    <w:p>
      <w:pPr>
        <w:pStyle w:val="BodyText"/>
        <w:spacing w:line="262" w:lineRule="exact" w:before="26"/>
      </w:pPr>
      <w:r>
        <w:rPr/>
        <w:t>以上。</w:t>
      </w:r>
    </w:p>
    <w:p>
      <w:pPr>
        <w:spacing w:line="350" w:lineRule="exact" w:before="0"/>
        <w:ind w:left="318" w:right="0" w:firstLine="0"/>
        <w:jc w:val="left"/>
        <w:rPr>
          <w:rFonts w:ascii="微软雅黑" w:eastAsia="微软雅黑" w:hint="eastAsia"/>
          <w:b/>
          <w:sz w:val="21"/>
        </w:rPr>
      </w:pPr>
      <w:r>
        <w:rPr>
          <w:sz w:val="21"/>
        </w:rPr>
        <w:t>（10）</w:t>
      </w:r>
      <w:r>
        <w:rPr>
          <w:rFonts w:ascii="微软雅黑" w:eastAsia="微软雅黑" w:hint="eastAsia"/>
          <w:b/>
          <w:sz w:val="21"/>
          <w:u w:val="single"/>
        </w:rPr>
        <w:t>主动脉内手术（非开胸手术）</w:t>
      </w:r>
    </w:p>
    <w:p>
      <w:pPr>
        <w:pStyle w:val="BodyText"/>
        <w:spacing w:line="273" w:lineRule="auto" w:before="11"/>
        <w:ind w:right="222" w:hanging="1"/>
      </w:pPr>
      <w:r>
        <w:rPr>
          <w:spacing w:val="-5"/>
        </w:rPr>
        <w:t>为了治疗主动脉疾病实际实施了经皮经导管进行的动脉内手术。主动脉指胸主动脉和腹主动脉，不包括胸</w:t>
      </w:r>
      <w:r>
        <w:rPr>
          <w:spacing w:val="-4"/>
        </w:rPr>
        <w:t>主动脉和腹主动脉的分支血管。</w:t>
      </w:r>
    </w:p>
    <w:p>
      <w:pPr>
        <w:spacing w:line="308" w:lineRule="exact" w:before="0"/>
        <w:ind w:left="318" w:right="0" w:firstLine="0"/>
        <w:jc w:val="left"/>
        <w:rPr>
          <w:rFonts w:ascii="微软雅黑" w:eastAsia="微软雅黑" w:hint="eastAsia"/>
          <w:b/>
          <w:sz w:val="21"/>
        </w:rPr>
      </w:pPr>
      <w:r>
        <w:rPr>
          <w:sz w:val="21"/>
        </w:rPr>
        <w:t>（11）</w:t>
      </w:r>
      <w:r>
        <w:rPr>
          <w:rFonts w:ascii="微软雅黑" w:eastAsia="微软雅黑" w:hint="eastAsia"/>
          <w:b/>
          <w:sz w:val="21"/>
          <w:u w:val="single"/>
        </w:rPr>
        <w:t>中度瘫痪</w:t>
      </w:r>
    </w:p>
    <w:p>
      <w:pPr>
        <w:pStyle w:val="BodyText"/>
        <w:spacing w:before="12"/>
      </w:pPr>
      <w:r>
        <w:rPr/>
        <w:t>指因疾病或意外伤害导致一肢肢体机能永久完全丧失，肢体机能永久完全丧失，指疾病确诊 180 天后或意</w:t>
      </w:r>
    </w:p>
    <w:p>
      <w:pPr>
        <w:pStyle w:val="BodyText"/>
        <w:spacing w:line="262" w:lineRule="exact" w:before="36"/>
      </w:pPr>
      <w:r>
        <w:rPr/>
        <w:t>外伤害发生 180 天后，该肢三大关节中的两大关节仍然完全僵硬，或不能随意识活动。</w:t>
      </w:r>
    </w:p>
    <w:p>
      <w:pPr>
        <w:spacing w:line="325" w:lineRule="exact" w:before="0"/>
        <w:ind w:left="318" w:right="0" w:firstLine="0"/>
        <w:jc w:val="left"/>
        <w:rPr>
          <w:rFonts w:ascii="微软雅黑" w:eastAsia="微软雅黑" w:hint="eastAsia"/>
          <w:b/>
          <w:sz w:val="21"/>
        </w:rPr>
      </w:pPr>
      <w:r>
        <w:rPr>
          <w:sz w:val="21"/>
        </w:rPr>
        <w:t>（12）</w:t>
      </w:r>
      <w:r>
        <w:rPr>
          <w:rFonts w:ascii="微软雅黑" w:eastAsia="微软雅黑" w:hint="eastAsia"/>
          <w:b/>
          <w:sz w:val="21"/>
          <w:u w:val="single"/>
        </w:rPr>
        <w:t>单侧肺脏切除</w:t>
      </w:r>
    </w:p>
    <w:p>
      <w:pPr>
        <w:spacing w:line="312" w:lineRule="exact" w:before="0"/>
        <w:ind w:left="212" w:right="0" w:firstLine="0"/>
        <w:jc w:val="left"/>
        <w:rPr>
          <w:rFonts w:ascii="微软雅黑" w:eastAsia="微软雅黑" w:hint="eastAsia"/>
          <w:b/>
          <w:sz w:val="21"/>
        </w:rPr>
      </w:pPr>
      <w:r>
        <w:rPr>
          <w:sz w:val="21"/>
        </w:rPr>
        <w:t>因疾病或意外伤害实际实施的一侧肺脏切除术，</w:t>
      </w:r>
      <w:r>
        <w:rPr>
          <w:rFonts w:ascii="微软雅黑" w:eastAsia="微软雅黑" w:hint="eastAsia"/>
          <w:b/>
          <w:sz w:val="21"/>
        </w:rPr>
        <w:t>部分切除手术和肺脏捐献引起的手术不在保障范围内。</w:t>
      </w:r>
    </w:p>
    <w:p>
      <w:pPr>
        <w:spacing w:line="337" w:lineRule="exact" w:before="0"/>
        <w:ind w:left="318" w:right="0" w:firstLine="0"/>
        <w:jc w:val="left"/>
        <w:rPr>
          <w:rFonts w:ascii="微软雅黑" w:eastAsia="微软雅黑" w:hint="eastAsia"/>
          <w:b/>
          <w:sz w:val="21"/>
        </w:rPr>
      </w:pPr>
      <w:r>
        <w:rPr>
          <w:sz w:val="21"/>
        </w:rPr>
        <w:t>（13）</w:t>
      </w:r>
      <w:r>
        <w:rPr>
          <w:rFonts w:ascii="微软雅黑" w:eastAsia="微软雅黑" w:hint="eastAsia"/>
          <w:b/>
          <w:sz w:val="21"/>
          <w:u w:val="single"/>
        </w:rPr>
        <w:t>一肢缺失</w:t>
      </w:r>
    </w:p>
    <w:p>
      <w:pPr>
        <w:pStyle w:val="BodyText"/>
        <w:spacing w:line="262" w:lineRule="exact" w:before="12"/>
      </w:pPr>
      <w:r>
        <w:rPr/>
        <w:t>指因疾病或意外伤害导致一个肢体自腕关节或踝关节近端（靠近躯干端）以上完全断离。</w:t>
      </w:r>
    </w:p>
    <w:p>
      <w:pPr>
        <w:spacing w:line="350" w:lineRule="exact" w:before="0"/>
        <w:ind w:left="318" w:right="0" w:firstLine="0"/>
        <w:jc w:val="left"/>
        <w:rPr>
          <w:rFonts w:ascii="微软雅黑" w:eastAsia="微软雅黑" w:hint="eastAsia"/>
          <w:b/>
          <w:sz w:val="21"/>
        </w:rPr>
      </w:pPr>
      <w:r>
        <w:rPr>
          <w:sz w:val="21"/>
        </w:rPr>
        <w:t>（14）</w:t>
      </w:r>
      <w:r>
        <w:rPr>
          <w:rFonts w:ascii="微软雅黑" w:eastAsia="微软雅黑" w:hint="eastAsia"/>
          <w:b/>
          <w:sz w:val="21"/>
          <w:u w:val="single"/>
        </w:rPr>
        <w:t>肝脏手术</w:t>
      </w:r>
    </w:p>
    <w:p>
      <w:pPr>
        <w:pStyle w:val="BodyText"/>
        <w:spacing w:line="262" w:lineRule="exact" w:before="12"/>
      </w:pPr>
      <w:r>
        <w:rPr/>
        <w:t>指因疾病或意外伤害实际实施的肝脏部分切除术，手术须有至少一个完整的肝叶切除。</w:t>
      </w:r>
    </w:p>
    <w:p>
      <w:pPr>
        <w:spacing w:line="350" w:lineRule="exact" w:before="0"/>
        <w:ind w:left="318" w:right="0" w:firstLine="0"/>
        <w:jc w:val="left"/>
        <w:rPr>
          <w:rFonts w:ascii="微软雅黑" w:eastAsia="微软雅黑" w:hint="eastAsia"/>
          <w:b/>
          <w:sz w:val="21"/>
        </w:rPr>
      </w:pPr>
      <w:r>
        <w:rPr>
          <w:sz w:val="21"/>
        </w:rPr>
        <w:t>（15）</w:t>
      </w:r>
      <w:r>
        <w:rPr>
          <w:rFonts w:ascii="微软雅黑" w:eastAsia="微软雅黑" w:hint="eastAsia"/>
          <w:b/>
          <w:sz w:val="21"/>
          <w:u w:val="single"/>
        </w:rPr>
        <w:t>中度听力受损</w:t>
      </w:r>
    </w:p>
    <w:p>
      <w:pPr>
        <w:pStyle w:val="BodyText"/>
        <w:spacing w:before="12"/>
      </w:pPr>
      <w:r>
        <w:rPr>
          <w:spacing w:val="-5"/>
        </w:rPr>
        <w:t>指因疾病或意外伤害导致单耳或双耳听力永久不可逆性丧失，在 </w:t>
      </w:r>
      <w:r>
        <w:rPr/>
        <w:t>500</w:t>
      </w:r>
      <w:r>
        <w:rPr>
          <w:spacing w:val="-17"/>
        </w:rPr>
        <w:t> 赫兹</w:t>
      </w:r>
      <w:r>
        <w:rPr/>
        <w:t>，1000</w:t>
      </w:r>
      <w:r>
        <w:rPr>
          <w:spacing w:val="-20"/>
        </w:rPr>
        <w:t> 赫兹和 </w:t>
      </w:r>
      <w:r>
        <w:rPr/>
        <w:t>2000</w:t>
      </w:r>
      <w:r>
        <w:rPr>
          <w:spacing w:val="-10"/>
        </w:rPr>
        <w:t> 赫兹语音频</w:t>
      </w:r>
    </w:p>
    <w:p>
      <w:pPr>
        <w:pStyle w:val="BodyText"/>
        <w:spacing w:line="262" w:lineRule="exact" w:before="37"/>
      </w:pPr>
      <w:r>
        <w:rPr/>
        <w:t>率下，平均听阈大于 80 分贝。需有纯音听力测试、声导抗检测或听觉诱发电位检测等证实。</w:t>
      </w:r>
    </w:p>
    <w:p>
      <w:pPr>
        <w:pStyle w:val="Heading2"/>
        <w:spacing w:line="206" w:lineRule="auto" w:before="38"/>
        <w:ind w:right="226"/>
      </w:pPr>
      <w:r>
        <w:rPr>
          <w:spacing w:val="-3"/>
        </w:rPr>
        <w:t>申请理赔时被保险人的年龄必须在 </w:t>
      </w:r>
      <w:r>
        <w:rPr/>
        <w:t>3</w:t>
      </w:r>
      <w:r>
        <w:rPr>
          <w:spacing w:val="-10"/>
        </w:rPr>
        <w:t> 周岁以上，并需提供被保险人 </w:t>
      </w:r>
      <w:r>
        <w:rPr/>
        <w:t>3</w:t>
      </w:r>
      <w:r>
        <w:rPr>
          <w:spacing w:val="-4"/>
        </w:rPr>
        <w:t> 周岁以后的听力受损诊断及相关检查报告。</w:t>
      </w:r>
    </w:p>
    <w:p>
      <w:pPr>
        <w:spacing w:line="312" w:lineRule="exact" w:before="0"/>
        <w:ind w:left="318" w:right="0" w:firstLine="0"/>
        <w:jc w:val="left"/>
        <w:rPr>
          <w:rFonts w:ascii="微软雅黑" w:eastAsia="微软雅黑" w:hint="eastAsia"/>
          <w:b/>
          <w:sz w:val="21"/>
        </w:rPr>
      </w:pPr>
      <w:r>
        <w:rPr>
          <w:sz w:val="21"/>
        </w:rPr>
        <w:t>（16）</w:t>
      </w:r>
      <w:r>
        <w:rPr>
          <w:rFonts w:ascii="微软雅黑" w:eastAsia="微软雅黑" w:hint="eastAsia"/>
          <w:b/>
          <w:sz w:val="21"/>
          <w:u w:val="single"/>
        </w:rPr>
        <w:t>继发性肺动脉高压</w:t>
      </w:r>
    </w:p>
    <w:p>
      <w:pPr>
        <w:pStyle w:val="BodyText"/>
        <w:spacing w:line="273" w:lineRule="auto" w:before="11"/>
        <w:ind w:right="222" w:hanging="1"/>
      </w:pPr>
      <w:r>
        <w:rPr>
          <w:spacing w:val="-6"/>
        </w:rPr>
        <w:t>继发性肺动脉压力持续增高，导致右心室肥厚，已经造成永久不可逆性的体力活动能力受限，达到美国纽</w:t>
      </w:r>
      <w:r>
        <w:rPr>
          <w:spacing w:val="-7"/>
        </w:rPr>
        <w:t>约心脏病学会心功能状态分级 </w:t>
      </w:r>
      <w:r>
        <w:rPr/>
        <w:t>IV</w:t>
      </w:r>
      <w:r>
        <w:rPr>
          <w:spacing w:val="-9"/>
        </w:rPr>
        <w:t> 级。诊断需要有心脏科专家确诊，并且心导管检查报告显示静息状态下</w:t>
      </w:r>
      <w:r>
        <w:rPr>
          <w:spacing w:val="-10"/>
        </w:rPr>
        <w:t>肺动脉平均压超过 </w:t>
      </w:r>
      <w:r>
        <w:rPr/>
        <w:t>30mmHg。</w:t>
      </w:r>
    </w:p>
    <w:p>
      <w:pPr>
        <w:spacing w:line="308" w:lineRule="exact" w:before="0"/>
        <w:ind w:left="318" w:right="0" w:firstLine="0"/>
        <w:jc w:val="left"/>
        <w:rPr>
          <w:rFonts w:ascii="微软雅黑" w:eastAsia="微软雅黑" w:hint="eastAsia"/>
          <w:b/>
          <w:sz w:val="21"/>
        </w:rPr>
      </w:pPr>
      <w:r>
        <w:rPr>
          <w:sz w:val="21"/>
        </w:rPr>
        <w:t>（17）</w:t>
      </w:r>
      <w:r>
        <w:rPr>
          <w:rFonts w:ascii="微软雅黑" w:eastAsia="微软雅黑" w:hint="eastAsia"/>
          <w:b/>
          <w:sz w:val="21"/>
          <w:u w:val="single"/>
        </w:rPr>
        <w:t>早期运动神经性疾病</w:t>
      </w:r>
    </w:p>
    <w:p>
      <w:pPr>
        <w:pStyle w:val="BodyText"/>
        <w:spacing w:line="273" w:lineRule="auto" w:before="12"/>
        <w:ind w:right="222" w:hanging="1"/>
        <w:jc w:val="both"/>
      </w:pPr>
      <w:r>
        <w:rPr>
          <w:spacing w:val="-6"/>
        </w:rPr>
        <w:t>是一组中枢神经系统运动神经元的进行性变性疾病，进行性脊肌萎缩症、进行性延髓麻痹症、原发性侧索</w:t>
      </w:r>
      <w:r>
        <w:rPr>
          <w:spacing w:val="-8"/>
        </w:rPr>
        <w:t>硬化症、肌萎缩性侧索硬化症。须满足自主生活能力完全丧失，无法独立完成六项基本日常生活活动中的两项。</w:t>
      </w:r>
    </w:p>
    <w:p>
      <w:pPr>
        <w:spacing w:line="308" w:lineRule="exact" w:before="0"/>
        <w:ind w:left="318" w:right="0" w:firstLine="0"/>
        <w:jc w:val="left"/>
        <w:rPr>
          <w:rFonts w:ascii="微软雅黑" w:eastAsia="微软雅黑" w:hint="eastAsia"/>
          <w:b/>
          <w:sz w:val="21"/>
        </w:rPr>
      </w:pPr>
      <w:r>
        <w:rPr>
          <w:sz w:val="21"/>
        </w:rPr>
        <w:t>（18）</w:t>
      </w:r>
      <w:r>
        <w:rPr>
          <w:rFonts w:ascii="微软雅黑" w:eastAsia="微软雅黑" w:hint="eastAsia"/>
          <w:b/>
          <w:sz w:val="21"/>
          <w:u w:val="single"/>
        </w:rPr>
        <w:t>慢性肾功能障碍</w:t>
      </w:r>
    </w:p>
    <w:p>
      <w:pPr>
        <w:pStyle w:val="BodyText"/>
        <w:spacing w:before="12"/>
      </w:pPr>
      <w:r>
        <w:rPr/>
        <w:t>慢性肾功能障碍是指慢性肾功能不全的晚期。必须满足下列全部条件：</w:t>
      </w:r>
    </w:p>
    <w:p>
      <w:pPr>
        <w:pStyle w:val="BodyText"/>
        <w:spacing w:line="273" w:lineRule="auto" w:before="37"/>
        <w:ind w:right="310" w:firstLine="211"/>
      </w:pPr>
      <w:r>
        <w:rPr>
          <w:spacing w:val="-3"/>
        </w:rPr>
        <w:t>Ⅰ 肾小球滤过率</w:t>
      </w:r>
      <w:r>
        <w:rPr/>
        <w:t>（</w:t>
      </w:r>
      <w:r>
        <w:rPr>
          <w:spacing w:val="-19"/>
        </w:rPr>
        <w:t>使用 </w:t>
      </w:r>
      <w:r>
        <w:rPr/>
        <w:t>MDRD</w:t>
      </w:r>
      <w:r>
        <w:rPr>
          <w:spacing w:val="-22"/>
        </w:rPr>
        <w:t> 公式或 </w:t>
      </w:r>
      <w:r>
        <w:rPr/>
        <w:t>Cockcroft-Gault</w:t>
      </w:r>
      <w:r>
        <w:rPr>
          <w:spacing w:val="-10"/>
        </w:rPr>
        <w:t> 公式计算的结果</w:t>
      </w:r>
      <w:r>
        <w:rPr/>
        <w:t>）</w:t>
      </w:r>
      <w:r>
        <w:rPr>
          <w:spacing w:val="-15"/>
        </w:rPr>
        <w:t>，低于 </w:t>
      </w:r>
      <w:r>
        <w:rPr/>
        <w:t>30ml./min/1.73</w:t>
      </w:r>
      <w:r>
        <w:rPr>
          <w:spacing w:val="-19"/>
        </w:rPr>
        <w:t> 平方</w:t>
      </w:r>
      <w:r>
        <w:rPr>
          <w:spacing w:val="-12"/>
        </w:rPr>
        <w:t>米，且此状态须持续至少 </w:t>
      </w:r>
      <w:r>
        <w:rPr/>
        <w:t>180</w:t>
      </w:r>
      <w:r>
        <w:rPr>
          <w:spacing w:val="-24"/>
        </w:rPr>
        <w:t> 天</w:t>
      </w:r>
      <w:r>
        <w:rPr/>
        <w:t>）；</w:t>
      </w:r>
    </w:p>
    <w:p>
      <w:pPr>
        <w:pStyle w:val="BodyText"/>
        <w:spacing w:line="262" w:lineRule="exact" w:before="8"/>
        <w:ind w:left="424"/>
      </w:pPr>
      <w:r>
        <w:rPr/>
        <w:t>"  慢性肾功能障碍的诊断必须由专科医生确诊。</w:t>
      </w:r>
    </w:p>
    <w:p>
      <w:pPr>
        <w:spacing w:line="350" w:lineRule="exact" w:before="0"/>
        <w:ind w:left="318" w:right="0" w:firstLine="0"/>
        <w:jc w:val="left"/>
        <w:rPr>
          <w:rFonts w:ascii="微软雅黑" w:eastAsia="微软雅黑" w:hint="eastAsia"/>
          <w:b/>
          <w:sz w:val="21"/>
        </w:rPr>
      </w:pPr>
      <w:r>
        <w:rPr>
          <w:sz w:val="21"/>
        </w:rPr>
        <w:t>（19）</w:t>
      </w:r>
      <w:r>
        <w:rPr>
          <w:rFonts w:ascii="微软雅黑" w:eastAsia="微软雅黑" w:hint="eastAsia"/>
          <w:b/>
          <w:sz w:val="21"/>
          <w:u w:val="single"/>
        </w:rPr>
        <w:t>早期肝硬化</w:t>
      </w:r>
    </w:p>
    <w:p>
      <w:pPr>
        <w:pStyle w:val="BodyText"/>
        <w:spacing w:line="273" w:lineRule="auto" w:before="11"/>
        <w:ind w:right="222"/>
      </w:pPr>
      <w:r>
        <w:rPr>
          <w:spacing w:val="-5"/>
        </w:rPr>
        <w:t>肝硬化须由专科医生明确诊断。必须由活检证实有再生的肝细胞结节和典型的肝组织纤维化。下列条件必</w:t>
      </w:r>
      <w:r>
        <w:rPr>
          <w:spacing w:val="-4"/>
        </w:rPr>
        <w:t>须全部满足并至少持续一年：</w:t>
      </w:r>
    </w:p>
    <w:p>
      <w:pPr>
        <w:pStyle w:val="BodyText"/>
        <w:spacing w:before="7"/>
        <w:ind w:left="423"/>
      </w:pPr>
      <w:r>
        <w:rPr/>
        <w:t>Ⅰ 持续性黄疸，胆红素水平升高超过 50mol/L;</w:t>
      </w:r>
    </w:p>
    <w:p>
      <w:pPr>
        <w:pStyle w:val="BodyText"/>
        <w:spacing w:before="37"/>
        <w:ind w:left="423"/>
      </w:pPr>
      <w:r>
        <w:rPr>
          <w:spacing w:val="-51"/>
          <w:w w:val="130"/>
        </w:rPr>
        <w:t>" </w:t>
      </w:r>
      <w:r>
        <w:rPr>
          <w:spacing w:val="-9"/>
          <w:w w:val="105"/>
        </w:rPr>
        <w:t>蛋白质合成异常，白蛋白水平低于 </w:t>
      </w:r>
      <w:r>
        <w:rPr>
          <w:w w:val="105"/>
        </w:rPr>
        <w:t>27g/L;</w:t>
      </w:r>
    </w:p>
    <w:p>
      <w:pPr>
        <w:pStyle w:val="BodyText"/>
        <w:spacing w:line="262" w:lineRule="exact" w:before="37"/>
        <w:ind w:left="423"/>
      </w:pPr>
      <w:r>
        <w:rPr>
          <w:spacing w:val="-8"/>
        </w:rPr>
        <w:t>Ⅲ 异常凝血功能，凝血酶原时间超过正常上限的 </w:t>
      </w:r>
      <w:r>
        <w:rPr/>
        <w:t>2</w:t>
      </w:r>
      <w:r>
        <w:rPr>
          <w:spacing w:val="-12"/>
        </w:rPr>
        <w:t> 倍或以上，或者国际正常化比率</w:t>
      </w:r>
      <w:r>
        <w:rPr>
          <w:spacing w:val="-8"/>
        </w:rPr>
        <w:t>（INR）</w:t>
      </w:r>
      <w:r>
        <w:rPr>
          <w:spacing w:val="-24"/>
        </w:rPr>
        <w:t>在 </w:t>
      </w:r>
      <w:r>
        <w:rPr/>
        <w:t>2.0</w:t>
      </w:r>
      <w:r>
        <w:rPr>
          <w:spacing w:val="-13"/>
        </w:rPr>
        <w:t> 以上。</w:t>
      </w:r>
    </w:p>
    <w:p>
      <w:pPr>
        <w:spacing w:line="350" w:lineRule="exact" w:before="0"/>
        <w:ind w:left="318" w:right="0" w:firstLine="0"/>
        <w:jc w:val="left"/>
        <w:rPr>
          <w:rFonts w:ascii="微软雅黑" w:eastAsia="微软雅黑" w:hint="eastAsia"/>
          <w:b/>
          <w:sz w:val="21"/>
        </w:rPr>
      </w:pPr>
      <w:r>
        <w:rPr>
          <w:sz w:val="21"/>
        </w:rPr>
        <w:t>（20）</w:t>
      </w:r>
      <w:r>
        <w:rPr>
          <w:rFonts w:ascii="微软雅黑" w:eastAsia="微软雅黑" w:hint="eastAsia"/>
          <w:b/>
          <w:sz w:val="21"/>
          <w:u w:val="single"/>
        </w:rPr>
        <w:t>轻度脑炎或脑膜炎后遗症</w:t>
      </w:r>
    </w:p>
    <w:p>
      <w:pPr>
        <w:pStyle w:val="BodyText"/>
        <w:spacing w:line="273" w:lineRule="auto" w:before="12"/>
        <w:ind w:right="116"/>
      </w:pPr>
      <w:r>
        <w:rPr>
          <w:spacing w:val="-9"/>
        </w:rPr>
        <w:t>指因患脑炎或脑膜炎导致的神经系统的永久功能障碍。神经系统永久性的功能障碍，指疾病确诊 </w:t>
      </w:r>
      <w:r>
        <w:rPr/>
        <w:t>180</w:t>
      </w:r>
      <w:r>
        <w:rPr>
          <w:spacing w:val="-9"/>
        </w:rPr>
        <w:t> 天后， </w:t>
      </w:r>
      <w:r>
        <w:rPr>
          <w:spacing w:val="-5"/>
        </w:rPr>
        <w:t>仍存在自主活动能力完全丧失，无法独立完成六项基本日常生活活动中的两项。</w:t>
      </w:r>
    </w:p>
    <w:p>
      <w:pPr>
        <w:spacing w:after="0" w:line="273" w:lineRule="auto"/>
        <w:sectPr>
          <w:pgSz w:w="11900" w:h="16840"/>
          <w:pgMar w:header="892" w:footer="547" w:top="1080" w:bottom="740" w:left="920" w:right="900"/>
        </w:sectPr>
      </w:pPr>
    </w:p>
    <w:p>
      <w:pPr>
        <w:pStyle w:val="BodyText"/>
        <w:spacing w:before="3"/>
        <w:ind w:left="0"/>
        <w:rPr>
          <w:sz w:val="10"/>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spacing w:before="13"/>
        <w:ind w:left="318" w:right="0" w:firstLine="0"/>
        <w:jc w:val="left"/>
        <w:rPr>
          <w:rFonts w:ascii="微软雅黑" w:eastAsia="微软雅黑" w:hint="eastAsia"/>
          <w:b/>
          <w:sz w:val="21"/>
        </w:rPr>
      </w:pPr>
      <w:r>
        <w:rPr>
          <w:sz w:val="21"/>
        </w:rPr>
        <w:t>（21）</w:t>
      </w:r>
      <w:r>
        <w:rPr>
          <w:rFonts w:ascii="微软雅黑" w:eastAsia="微软雅黑" w:hint="eastAsia"/>
          <w:b/>
          <w:sz w:val="21"/>
          <w:u w:val="single"/>
        </w:rPr>
        <w:t>深度昏迷 72 小时</w:t>
      </w:r>
    </w:p>
    <w:p>
      <w:pPr>
        <w:pStyle w:val="BodyText"/>
        <w:spacing w:before="11"/>
      </w:pPr>
      <w:r>
        <w:rPr/>
        <w:t>指因疾病或意外伤害导致意识丧失，对外界刺激和体内需求均无反应，昏迷程度按照格拉斯哥昏迷分级</w:t>
      </w:r>
    </w:p>
    <w:p>
      <w:pPr>
        <w:pStyle w:val="BodyText"/>
        <w:spacing w:line="262" w:lineRule="exact" w:before="36"/>
      </w:pPr>
      <w:r>
        <w:rPr/>
        <w:t>（Glasgow</w:t>
      </w:r>
      <w:r>
        <w:rPr>
          <w:spacing w:val="-51"/>
        </w:rPr>
        <w:t> </w:t>
      </w:r>
      <w:r>
        <w:rPr/>
        <w:t>coma</w:t>
      </w:r>
      <w:r>
        <w:rPr>
          <w:spacing w:val="-51"/>
        </w:rPr>
        <w:t> </w:t>
      </w:r>
      <w:r>
        <w:rPr/>
        <w:t>scale)</w:t>
      </w:r>
      <w:r>
        <w:rPr>
          <w:spacing w:val="-14"/>
        </w:rPr>
        <w:t>结果为 </w:t>
      </w:r>
      <w:r>
        <w:rPr/>
        <w:t>5</w:t>
      </w:r>
      <w:r>
        <w:rPr>
          <w:spacing w:val="-26"/>
        </w:rPr>
        <w:t> 分或 </w:t>
      </w:r>
      <w:r>
        <w:rPr/>
        <w:t>5</w:t>
      </w:r>
      <w:r>
        <w:rPr>
          <w:spacing w:val="-13"/>
        </w:rPr>
        <w:t> 分以下，且已经持续使用呼吸机及其他生命维持系统达到 </w:t>
      </w:r>
      <w:r>
        <w:rPr/>
        <w:t>72</w:t>
      </w:r>
      <w:r>
        <w:rPr>
          <w:spacing w:val="-15"/>
        </w:rPr>
        <w:t> 小时。</w:t>
      </w:r>
    </w:p>
    <w:p>
      <w:pPr>
        <w:spacing w:line="350" w:lineRule="exact" w:before="0"/>
        <w:ind w:left="318" w:right="0" w:firstLine="0"/>
        <w:jc w:val="left"/>
        <w:rPr>
          <w:rFonts w:ascii="微软雅黑" w:eastAsia="微软雅黑" w:hint="eastAsia"/>
          <w:b/>
          <w:sz w:val="21"/>
        </w:rPr>
      </w:pPr>
      <w:r>
        <w:rPr>
          <w:sz w:val="21"/>
        </w:rPr>
        <w:t>（22）</w:t>
      </w:r>
      <w:r>
        <w:rPr>
          <w:rFonts w:ascii="微软雅黑" w:eastAsia="微软雅黑" w:hint="eastAsia"/>
          <w:b/>
          <w:sz w:val="21"/>
          <w:u w:val="single"/>
        </w:rPr>
        <w:t>中度阿尔茨海默病</w:t>
      </w:r>
    </w:p>
    <w:p>
      <w:pPr>
        <w:pStyle w:val="BodyText"/>
        <w:spacing w:line="273" w:lineRule="auto" w:before="12"/>
        <w:ind w:right="222"/>
      </w:pPr>
      <w:r>
        <w:rPr>
          <w:spacing w:val="-6"/>
        </w:rPr>
        <w:t>指因大脑进行性、不可逆性改变导致智能严重衰退或丧失，临床表现为明显的认知能力障碍、行为异常和</w:t>
      </w:r>
      <w:r>
        <w:rPr>
          <w:spacing w:val="-4"/>
        </w:rPr>
        <w:t>社交能力减退，其日常生活必须持续受到他人监护。须由头颅断层扫描</w:t>
      </w:r>
      <w:r>
        <w:rPr/>
        <w:t>（CT）</w:t>
      </w:r>
      <w:r>
        <w:rPr>
          <w:spacing w:val="-3"/>
        </w:rPr>
        <w:t>、核磁共振检查</w:t>
      </w:r>
      <w:r>
        <w:rPr/>
        <w:t>（MRI）或</w:t>
      </w:r>
      <w:r>
        <w:rPr>
          <w:spacing w:val="-3"/>
        </w:rPr>
        <w:t>正电子发射断层扫描</w:t>
      </w:r>
      <w:r>
        <w:rPr/>
        <w:t>（PET）</w:t>
      </w:r>
      <w:r>
        <w:rPr>
          <w:spacing w:val="-3"/>
        </w:rPr>
        <w:t>等影像学检查证实，且自主生活能力完全丧失，无法独立完成六项基本日常生活活动中的两项。</w:t>
      </w:r>
    </w:p>
    <w:p>
      <w:pPr>
        <w:spacing w:line="308" w:lineRule="exact" w:before="0"/>
        <w:ind w:left="318" w:right="0" w:firstLine="0"/>
        <w:jc w:val="left"/>
        <w:rPr>
          <w:rFonts w:ascii="微软雅黑" w:eastAsia="微软雅黑" w:hint="eastAsia"/>
          <w:b/>
          <w:sz w:val="21"/>
        </w:rPr>
      </w:pPr>
      <w:r>
        <w:rPr>
          <w:sz w:val="21"/>
        </w:rPr>
        <w:t>（23）</w:t>
      </w:r>
      <w:r>
        <w:rPr>
          <w:rFonts w:ascii="微软雅黑" w:eastAsia="微软雅黑" w:hint="eastAsia"/>
          <w:b/>
          <w:sz w:val="21"/>
          <w:u w:val="single"/>
        </w:rPr>
        <w:t>中度帕金森氏病</w:t>
      </w:r>
    </w:p>
    <w:p>
      <w:pPr>
        <w:pStyle w:val="BodyText"/>
        <w:spacing w:before="12"/>
      </w:pPr>
      <w:r>
        <w:rPr/>
        <w:t>是一种中枢神经系统的退行性疾病，临床表现为震颤麻痹、共济失调等。必须满足下列全部条件：</w:t>
      </w:r>
    </w:p>
    <w:p>
      <w:pPr>
        <w:pStyle w:val="BodyText"/>
        <w:spacing w:before="37"/>
        <w:ind w:left="423"/>
      </w:pPr>
      <w:r>
        <w:rPr/>
        <w:t>Ⅰ 药物治疗无法控制病情；</w:t>
      </w:r>
    </w:p>
    <w:p>
      <w:pPr>
        <w:spacing w:line="223" w:lineRule="auto" w:before="56"/>
        <w:ind w:left="212" w:right="2542" w:firstLine="211"/>
        <w:jc w:val="left"/>
        <w:rPr>
          <w:rFonts w:ascii="微软雅黑" w:eastAsia="微软雅黑" w:hint="eastAsia"/>
          <w:b/>
          <w:sz w:val="21"/>
        </w:rPr>
      </w:pPr>
      <w:r>
        <w:rPr>
          <w:w w:val="185"/>
          <w:sz w:val="21"/>
        </w:rPr>
        <w:t>" </w:t>
      </w:r>
      <w:r>
        <w:rPr>
          <w:sz w:val="21"/>
        </w:rPr>
        <w:t>自主生活能力完全丧失，无法独立完成六项基本日常生活活动中的两项。</w:t>
      </w:r>
      <w:r>
        <w:rPr>
          <w:rFonts w:ascii="微软雅黑" w:eastAsia="微软雅黑" w:hint="eastAsia"/>
          <w:b/>
          <w:sz w:val="21"/>
        </w:rPr>
        <w:t>继发性帕金森综合症不在保障范围内。</w:t>
      </w:r>
    </w:p>
    <w:p>
      <w:pPr>
        <w:spacing w:line="312" w:lineRule="exact" w:before="0"/>
        <w:ind w:left="318" w:right="0" w:firstLine="0"/>
        <w:jc w:val="left"/>
        <w:rPr>
          <w:rFonts w:ascii="微软雅黑" w:eastAsia="微软雅黑" w:hint="eastAsia"/>
          <w:b/>
          <w:sz w:val="21"/>
        </w:rPr>
      </w:pPr>
      <w:r>
        <w:rPr>
          <w:sz w:val="21"/>
        </w:rPr>
        <w:t>（24）</w:t>
      </w:r>
      <w:r>
        <w:rPr>
          <w:rFonts w:ascii="微软雅黑" w:eastAsia="微软雅黑" w:hint="eastAsia"/>
          <w:b/>
          <w:sz w:val="21"/>
          <w:u w:val="single"/>
        </w:rPr>
        <w:t>人工耳蜗植入术</w:t>
      </w:r>
    </w:p>
    <w:p>
      <w:pPr>
        <w:pStyle w:val="BodyText"/>
        <w:spacing w:line="273" w:lineRule="auto" w:before="12"/>
        <w:ind w:right="222"/>
      </w:pPr>
      <w:r>
        <w:rPr>
          <w:spacing w:val="-5"/>
        </w:rPr>
        <w:t>指由于耳蜗的永久损害而实际实施了人工耳蜗植入手术。诊断须经专科医生确认在医学上是必要的，且在</w:t>
      </w:r>
      <w:r>
        <w:rPr>
          <w:spacing w:val="-4"/>
        </w:rPr>
        <w:t>植入手术之前已经符合下列全部条件：</w:t>
      </w:r>
    </w:p>
    <w:p>
      <w:pPr>
        <w:pStyle w:val="BodyText"/>
        <w:spacing w:before="7"/>
        <w:ind w:left="423"/>
      </w:pPr>
      <w:r>
        <w:rPr/>
        <w:t>Ⅰ 双耳持续 12 个月以上重度感音神经性耳聋；</w:t>
      </w:r>
    </w:p>
    <w:p>
      <w:pPr>
        <w:pStyle w:val="BodyText"/>
        <w:spacing w:line="262" w:lineRule="exact" w:before="36"/>
        <w:ind w:left="423"/>
      </w:pPr>
      <w:r>
        <w:rPr>
          <w:w w:val="120"/>
        </w:rPr>
        <w:t>" </w:t>
      </w:r>
      <w:r>
        <w:rPr>
          <w:w w:val="105"/>
        </w:rPr>
        <w:t>使用相应的听力辅助设备效果不佳。</w:t>
      </w:r>
    </w:p>
    <w:p>
      <w:pPr>
        <w:pStyle w:val="Heading2"/>
        <w:spacing w:line="206" w:lineRule="auto" w:before="37"/>
        <w:ind w:right="226"/>
      </w:pPr>
      <w:r>
        <w:rPr>
          <w:spacing w:val="-3"/>
        </w:rPr>
        <w:t>申请理赔时被保险人的年龄必须在 </w:t>
      </w:r>
      <w:r>
        <w:rPr/>
        <w:t>3</w:t>
      </w:r>
      <w:r>
        <w:rPr>
          <w:spacing w:val="-10"/>
        </w:rPr>
        <w:t> 周岁以上，并需提供被保险人 </w:t>
      </w:r>
      <w:r>
        <w:rPr/>
        <w:t>3</w:t>
      </w:r>
      <w:r>
        <w:rPr>
          <w:spacing w:val="-4"/>
        </w:rPr>
        <w:t> 周岁以后的耳蜗受损诊断及相关检查报告。</w:t>
      </w:r>
    </w:p>
    <w:p>
      <w:pPr>
        <w:spacing w:line="312" w:lineRule="exact" w:before="0"/>
        <w:ind w:left="318" w:right="0" w:firstLine="0"/>
        <w:jc w:val="left"/>
        <w:rPr>
          <w:rFonts w:ascii="微软雅黑" w:eastAsia="微软雅黑" w:hint="eastAsia"/>
          <w:b/>
          <w:sz w:val="21"/>
        </w:rPr>
      </w:pPr>
      <w:r>
        <w:rPr>
          <w:sz w:val="21"/>
        </w:rPr>
        <w:t>（25）</w:t>
      </w:r>
      <w:r>
        <w:rPr>
          <w:rFonts w:ascii="微软雅黑" w:eastAsia="微软雅黑" w:hint="eastAsia"/>
          <w:b/>
          <w:sz w:val="21"/>
          <w:u w:val="single"/>
        </w:rPr>
        <w:t>可逆性再生障碍性贫血</w:t>
      </w:r>
    </w:p>
    <w:p>
      <w:pPr>
        <w:pStyle w:val="BodyText"/>
        <w:spacing w:line="273" w:lineRule="auto" w:before="12"/>
        <w:ind w:right="116"/>
      </w:pPr>
      <w:r>
        <w:rPr>
          <w:spacing w:val="-8"/>
        </w:rPr>
        <w:t>指因急性可逆性的骨髓造血功能衰竭而导致贫血、中性粒细胞减少和血小板减少，必须由专科医生的诊断， </w:t>
      </w:r>
      <w:r>
        <w:rPr>
          <w:spacing w:val="-5"/>
        </w:rPr>
        <w:t>且病历资料显示接受了下列任一治疗：</w:t>
      </w:r>
    </w:p>
    <w:p>
      <w:pPr>
        <w:pStyle w:val="BodyText"/>
        <w:spacing w:before="7"/>
        <w:ind w:left="423"/>
      </w:pPr>
      <w:r>
        <w:rPr/>
        <w:t>Ⅰ 骨髓刺激疗法至少一个月；</w:t>
      </w:r>
    </w:p>
    <w:p>
      <w:pPr>
        <w:pStyle w:val="BodyText"/>
        <w:spacing w:before="36"/>
        <w:ind w:left="423"/>
      </w:pPr>
      <w:r>
        <w:rPr>
          <w:spacing w:val="-57"/>
          <w:w w:val="145"/>
        </w:rPr>
        <w:t>" </w:t>
      </w:r>
      <w:r>
        <w:rPr>
          <w:spacing w:val="-3"/>
          <w:w w:val="105"/>
        </w:rPr>
        <w:t>免疫抑制剂治疗至少一个月；</w:t>
      </w:r>
    </w:p>
    <w:p>
      <w:pPr>
        <w:pStyle w:val="BodyText"/>
        <w:spacing w:line="262" w:lineRule="exact" w:before="36"/>
        <w:ind w:left="423"/>
      </w:pPr>
      <w:r>
        <w:rPr/>
        <w:t>Ⅲ 接受了骨髓移植。</w:t>
      </w:r>
    </w:p>
    <w:p>
      <w:pPr>
        <w:spacing w:line="350" w:lineRule="exact" w:before="0"/>
        <w:ind w:left="318" w:right="0" w:firstLine="0"/>
        <w:jc w:val="left"/>
        <w:rPr>
          <w:rFonts w:ascii="微软雅黑" w:eastAsia="微软雅黑" w:hint="eastAsia"/>
          <w:b/>
          <w:sz w:val="21"/>
        </w:rPr>
      </w:pPr>
      <w:r>
        <w:rPr>
          <w:sz w:val="21"/>
        </w:rPr>
        <w:t>（26）</w:t>
      </w:r>
      <w:r>
        <w:rPr>
          <w:rFonts w:ascii="微软雅黑" w:eastAsia="微软雅黑" w:hint="eastAsia"/>
          <w:b/>
          <w:sz w:val="21"/>
          <w:u w:val="single"/>
        </w:rPr>
        <w:t>单眼失明</w:t>
      </w:r>
    </w:p>
    <w:p>
      <w:pPr>
        <w:pStyle w:val="BodyText"/>
        <w:spacing w:before="12"/>
      </w:pPr>
      <w:r>
        <w:rPr/>
        <w:t>指因疾病或意外伤害导致单眼视力永久不可逆性丧失，须满足下列至少一项条件：</w:t>
      </w:r>
    </w:p>
    <w:p>
      <w:pPr>
        <w:pStyle w:val="BodyText"/>
        <w:spacing w:line="313" w:lineRule="exact" w:before="9"/>
        <w:ind w:left="452"/>
      </w:pPr>
      <w:r>
        <w:rPr>
          <w:sz w:val="24"/>
        </w:rPr>
        <w:t>Ⅰ </w:t>
      </w:r>
      <w:r>
        <w:rPr/>
        <w:t>眼球缺失或摘除；</w:t>
      </w:r>
    </w:p>
    <w:p>
      <w:pPr>
        <w:pStyle w:val="BodyText"/>
        <w:spacing w:line="312" w:lineRule="exact"/>
        <w:ind w:left="452"/>
      </w:pPr>
      <w:r>
        <w:rPr>
          <w:w w:val="199"/>
          <w:sz w:val="24"/>
        </w:rPr>
        <w:t>"</w:t>
      </w:r>
      <w:r>
        <w:rPr>
          <w:sz w:val="24"/>
        </w:rPr>
        <w:t> </w:t>
      </w:r>
      <w:r>
        <w:rPr>
          <w:spacing w:val="-2"/>
          <w:w w:val="100"/>
        </w:rPr>
        <w:t>矫正视力低于</w:t>
      </w:r>
      <w:r>
        <w:rPr>
          <w:w w:val="100"/>
        </w:rPr>
        <w:t>0</w:t>
      </w:r>
      <w:r>
        <w:rPr>
          <w:spacing w:val="-3"/>
          <w:w w:val="100"/>
        </w:rPr>
        <w:t>.</w:t>
      </w:r>
      <w:r>
        <w:rPr>
          <w:w w:val="100"/>
        </w:rPr>
        <w:t>02</w:t>
      </w:r>
      <w:r>
        <w:rPr>
          <w:spacing w:val="-3"/>
          <w:w w:val="100"/>
        </w:rPr>
        <w:t>（采用国际标准视力表，如果使用其它视力表应进行换算</w:t>
      </w:r>
      <w:r>
        <w:rPr>
          <w:spacing w:val="-108"/>
          <w:w w:val="100"/>
        </w:rPr>
        <w:t>）</w:t>
      </w:r>
      <w:r>
        <w:rPr>
          <w:w w:val="100"/>
        </w:rPr>
        <w:t>；</w:t>
      </w:r>
    </w:p>
    <w:p>
      <w:pPr>
        <w:pStyle w:val="BodyText"/>
        <w:spacing w:line="295" w:lineRule="exact"/>
        <w:ind w:left="452"/>
      </w:pPr>
      <w:r>
        <w:rPr>
          <w:sz w:val="24"/>
        </w:rPr>
        <w:t>Ⅲ </w:t>
      </w:r>
      <w:r>
        <w:rPr/>
        <w:t>视野半径小于 5 度。</w:t>
      </w:r>
    </w:p>
    <w:p>
      <w:pPr>
        <w:spacing w:line="319" w:lineRule="exact" w:before="0"/>
        <w:ind w:left="318" w:right="0" w:firstLine="0"/>
        <w:jc w:val="left"/>
        <w:rPr>
          <w:rFonts w:ascii="微软雅黑" w:eastAsia="微软雅黑" w:hint="eastAsia"/>
          <w:b/>
          <w:sz w:val="21"/>
        </w:rPr>
      </w:pPr>
      <w:r>
        <w:rPr>
          <w:sz w:val="21"/>
        </w:rPr>
        <w:t>（27）</w:t>
      </w:r>
      <w:r>
        <w:rPr>
          <w:rFonts w:ascii="微软雅黑" w:eastAsia="微软雅黑" w:hint="eastAsia"/>
          <w:b/>
          <w:sz w:val="21"/>
          <w:u w:val="single"/>
        </w:rPr>
        <w:t>双侧卵巢或双侧睾丸切除术</w:t>
      </w:r>
    </w:p>
    <w:p>
      <w:pPr>
        <w:spacing w:line="312" w:lineRule="exact" w:before="0"/>
        <w:ind w:left="212" w:right="0" w:firstLine="0"/>
        <w:jc w:val="left"/>
        <w:rPr>
          <w:rFonts w:ascii="微软雅黑" w:eastAsia="微软雅黑" w:hint="eastAsia"/>
          <w:b/>
          <w:sz w:val="21"/>
        </w:rPr>
      </w:pPr>
      <w:r>
        <w:rPr>
          <w:sz w:val="21"/>
        </w:rPr>
        <w:t>指为治疗疾病实际接受了双侧卵巢或双侧睾丸完全切除手术。</w:t>
      </w:r>
      <w:r>
        <w:rPr>
          <w:rFonts w:ascii="微软雅黑" w:eastAsia="微软雅黑" w:hint="eastAsia"/>
          <w:b/>
          <w:sz w:val="21"/>
        </w:rPr>
        <w:t>部分卵巢或睾丸切除不在保障范围。</w:t>
      </w:r>
    </w:p>
    <w:p>
      <w:pPr>
        <w:spacing w:line="337" w:lineRule="exact" w:before="0"/>
        <w:ind w:left="318" w:right="0" w:firstLine="0"/>
        <w:jc w:val="left"/>
        <w:rPr>
          <w:rFonts w:ascii="微软雅黑" w:eastAsia="微软雅黑" w:hint="eastAsia"/>
          <w:b/>
          <w:sz w:val="21"/>
        </w:rPr>
      </w:pPr>
      <w:r>
        <w:rPr>
          <w:sz w:val="21"/>
        </w:rPr>
        <w:t>（28）</w:t>
      </w:r>
      <w:r>
        <w:rPr>
          <w:rFonts w:ascii="微软雅黑" w:eastAsia="微软雅黑" w:hint="eastAsia"/>
          <w:b/>
          <w:sz w:val="21"/>
          <w:u w:val="single"/>
        </w:rPr>
        <w:t>特定周围动脉疾病的血管介入治疗</w:t>
      </w:r>
    </w:p>
    <w:p>
      <w:pPr>
        <w:pStyle w:val="BodyText"/>
        <w:spacing w:line="287" w:lineRule="exact" w:before="12"/>
      </w:pPr>
      <w:r>
        <w:rPr>
          <w:spacing w:val="-3"/>
          <w:w w:val="100"/>
        </w:rPr>
        <w:t>指为治疗一条或者一条以上的下</w:t>
      </w:r>
      <w:r>
        <w:rPr>
          <w:rFonts w:ascii="Times New Roman" w:cs="Times New Roman" w:eastAsia="Times New Roman"/>
          <w:w w:val="100"/>
          <w:rtl/>
        </w:rPr>
        <w:t>ٝ</w:t>
      </w:r>
      <w:r>
        <w:rPr>
          <w:spacing w:val="-3"/>
          <w:w w:val="100"/>
        </w:rPr>
        <w:t>动脉狭窄而实施的血管介入治疗</w:t>
      </w:r>
      <w:r>
        <w:rPr>
          <w:spacing w:val="-3"/>
          <w:w w:val="100"/>
        </w:rPr>
        <w:t>：</w:t>
      </w:r>
    </w:p>
    <w:p>
      <w:pPr>
        <w:pStyle w:val="BodyText"/>
        <w:spacing w:line="259" w:lineRule="auto"/>
        <w:ind w:right="229" w:firstLine="240"/>
      </w:pPr>
      <w:r>
        <w:rPr>
          <w:sz w:val="24"/>
        </w:rPr>
        <w:t>Ⅰ </w:t>
      </w:r>
      <w:r>
        <w:rPr/>
        <w:t>为下肢或者上肢供血的动脉。上肢动脉指：肱动脉及其下行分支血管；下肢血管指：股动脉及其下行分支血管；</w:t>
      </w:r>
    </w:p>
    <w:p>
      <w:pPr>
        <w:pStyle w:val="ListParagraph"/>
        <w:numPr>
          <w:ilvl w:val="0"/>
          <w:numId w:val="4"/>
        </w:numPr>
        <w:tabs>
          <w:tab w:pos="813" w:val="left" w:leader="none"/>
        </w:tabs>
        <w:spacing w:line="306" w:lineRule="exact" w:before="3" w:after="0"/>
        <w:ind w:left="212" w:right="0" w:firstLine="240"/>
        <w:jc w:val="left"/>
        <w:rPr>
          <w:sz w:val="24"/>
        </w:rPr>
      </w:pPr>
      <w:r>
        <w:rPr>
          <w:spacing w:val="-1"/>
          <w:sz w:val="21"/>
        </w:rPr>
        <w:t>肾动脉；</w:t>
      </w:r>
    </w:p>
    <w:p>
      <w:pPr>
        <w:pStyle w:val="BodyText"/>
        <w:spacing w:line="259" w:lineRule="auto"/>
        <w:ind w:right="7762" w:firstLine="240"/>
      </w:pPr>
      <w:r>
        <w:rPr>
          <w:sz w:val="24"/>
        </w:rPr>
        <w:t>Ⅲ </w:t>
      </w:r>
      <w:r>
        <w:rPr/>
        <w:t>肠系膜动脉。须满足下列全部条件：</w:t>
      </w:r>
    </w:p>
    <w:p>
      <w:pPr>
        <w:pStyle w:val="BodyText"/>
        <w:spacing w:line="306" w:lineRule="exact" w:before="1"/>
        <w:ind w:left="452"/>
      </w:pPr>
      <w:r>
        <w:rPr/>
        <w:drawing>
          <wp:anchor distT="0" distB="0" distL="0" distR="0" allowOverlap="1" layoutInCell="1" locked="0" behindDoc="1" simplePos="0" relativeHeight="268391447">
            <wp:simplePos x="0" y="0"/>
            <wp:positionH relativeFrom="page">
              <wp:posOffset>4570461</wp:posOffset>
            </wp:positionH>
            <wp:positionV relativeFrom="paragraph">
              <wp:posOffset>78656</wp:posOffset>
            </wp:positionV>
            <wp:extent cx="63499" cy="95250"/>
            <wp:effectExtent l="0" t="0" r="0" b="0"/>
            <wp:wrapNone/>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1" cstate="print"/>
                    <a:stretch>
                      <a:fillRect/>
                    </a:stretch>
                  </pic:blipFill>
                  <pic:spPr>
                    <a:xfrm>
                      <a:off x="0" y="0"/>
                      <a:ext cx="63499" cy="95250"/>
                    </a:xfrm>
                    <a:prstGeom prst="rect">
                      <a:avLst/>
                    </a:prstGeom>
                  </pic:spPr>
                </pic:pic>
              </a:graphicData>
            </a:graphic>
          </wp:anchor>
        </w:drawing>
      </w:r>
      <w:r>
        <w:rPr>
          <w:sz w:val="24"/>
        </w:rPr>
        <w:t>Ⅰ </w:t>
      </w:r>
      <w:r>
        <w:rPr/>
        <w:t>经血管造影术证实一条或者一条以上的上述动脉狭窄达到50 或者以上；</w:t>
      </w:r>
    </w:p>
    <w:p>
      <w:pPr>
        <w:pStyle w:val="ListParagraph"/>
        <w:numPr>
          <w:ilvl w:val="0"/>
          <w:numId w:val="4"/>
        </w:numPr>
        <w:tabs>
          <w:tab w:pos="813" w:val="left" w:leader="none"/>
        </w:tabs>
        <w:spacing w:line="259" w:lineRule="auto" w:before="0" w:after="0"/>
        <w:ind w:left="212" w:right="224" w:firstLine="240"/>
        <w:jc w:val="left"/>
        <w:rPr>
          <w:sz w:val="24"/>
        </w:rPr>
      </w:pPr>
      <w:r>
        <w:rPr>
          <w:spacing w:val="-7"/>
          <w:sz w:val="21"/>
        </w:rPr>
        <w:t>对一条或者一条以上的上述动脉施行了血管介入治疗，如血管成形术及</w:t>
      </w:r>
      <w:r>
        <w:rPr>
          <w:spacing w:val="-3"/>
          <w:sz w:val="21"/>
        </w:rPr>
        <w:t>/或者进行植入支架或者动脉粥样瘤清除手术。</w:t>
      </w:r>
    </w:p>
    <w:p>
      <w:pPr>
        <w:pStyle w:val="Heading2"/>
        <w:spacing w:line="295" w:lineRule="exact" w:before="1"/>
      </w:pPr>
      <w:r>
        <w:rPr/>
        <w:t>上述动脉疾病的诊断以及相关治疗的必要性必须由血管疾病的专科医生确定。</w:t>
      </w:r>
    </w:p>
    <w:p>
      <w:pPr>
        <w:spacing w:line="312" w:lineRule="exact" w:before="0"/>
        <w:ind w:left="318" w:right="0" w:firstLine="0"/>
        <w:jc w:val="left"/>
        <w:rPr>
          <w:rFonts w:ascii="微软雅黑" w:eastAsia="微软雅黑" w:hint="eastAsia"/>
          <w:b/>
          <w:sz w:val="21"/>
        </w:rPr>
      </w:pPr>
      <w:r>
        <w:rPr>
          <w:sz w:val="21"/>
        </w:rPr>
        <w:t>（29）</w:t>
      </w:r>
      <w:r>
        <w:rPr>
          <w:rFonts w:ascii="微软雅黑" w:eastAsia="微软雅黑" w:hint="eastAsia"/>
          <w:b/>
          <w:sz w:val="21"/>
          <w:u w:val="single"/>
        </w:rPr>
        <w:t>心包膜切除术</w:t>
      </w:r>
    </w:p>
    <w:p>
      <w:pPr>
        <w:spacing w:line="206" w:lineRule="auto" w:before="25"/>
        <w:ind w:left="212" w:right="180" w:firstLine="0"/>
        <w:jc w:val="left"/>
        <w:rPr>
          <w:rFonts w:ascii="微软雅黑" w:eastAsia="微软雅黑" w:hint="eastAsia"/>
          <w:b/>
          <w:sz w:val="21"/>
        </w:rPr>
      </w:pPr>
      <w:r>
        <w:rPr>
          <w:sz w:val="21"/>
        </w:rPr>
        <w:t>因心包膜疾病导致已接受心包膜切除术或已进行任何需要心脏小切口技术的手术。</w:t>
      </w:r>
      <w:r>
        <w:rPr>
          <w:rFonts w:ascii="微软雅黑" w:eastAsia="微软雅黑" w:hint="eastAsia"/>
          <w:b/>
          <w:sz w:val="21"/>
        </w:rPr>
        <w:t>手术必须在心脏科医生认为是医学上必需的情况下进行。</w:t>
      </w:r>
    </w:p>
    <w:p>
      <w:pPr>
        <w:spacing w:after="0" w:line="206" w:lineRule="auto"/>
        <w:jc w:val="left"/>
        <w:rPr>
          <w:rFonts w:ascii="微软雅黑" w:eastAsia="微软雅黑" w:hint="eastAsia"/>
          <w:sz w:val="21"/>
        </w:rPr>
        <w:sectPr>
          <w:footerReference w:type="default" r:id="rId12"/>
          <w:pgSz w:w="11900" w:h="16840"/>
          <w:pgMar w:footer="547" w:header="892" w:top="1080" w:bottom="740" w:left="920" w:right="900"/>
        </w:sectPr>
      </w:pPr>
    </w:p>
    <w:p>
      <w:pPr>
        <w:pStyle w:val="BodyText"/>
        <w:spacing w:before="13"/>
        <w:ind w:left="0"/>
        <w:rPr>
          <w:rFonts w:ascii="微软雅黑"/>
          <w:b/>
          <w:sz w:val="7"/>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line="262" w:lineRule="exact" w:before="75"/>
        <w:ind w:left="318"/>
      </w:pPr>
      <w:r>
        <w:rPr/>
        <w:t>（30）胆道重建手术</w:t>
      </w:r>
    </w:p>
    <w:p>
      <w:pPr>
        <w:spacing w:line="208" w:lineRule="auto" w:before="33"/>
        <w:ind w:left="212" w:right="204" w:hanging="1"/>
        <w:jc w:val="left"/>
        <w:rPr>
          <w:rFonts w:ascii="微软雅黑" w:hAnsi="微软雅黑" w:eastAsia="微软雅黑" w:hint="eastAsia"/>
          <w:b/>
          <w:sz w:val="21"/>
        </w:rPr>
      </w:pPr>
      <w:r>
        <w:rPr>
          <w:spacing w:val="-5"/>
          <w:sz w:val="21"/>
        </w:rPr>
        <w:t>指因疾病或胆道创伤导致接受涉及胆总管小肠吻合术的胆道重建手术。</w:t>
      </w:r>
      <w:r>
        <w:rPr>
          <w:rFonts w:ascii="微软雅黑" w:hAnsi="微软雅黑" w:eastAsia="微软雅黑" w:hint="eastAsia"/>
          <w:b/>
          <w:spacing w:val="-2"/>
          <w:sz w:val="21"/>
        </w:rPr>
        <w:t>手术必须在专科医生认为是医疗所</w:t>
      </w:r>
      <w:r>
        <w:rPr>
          <w:rFonts w:ascii="微软雅黑" w:hAnsi="微软雅黑" w:eastAsia="微软雅黑" w:hint="eastAsia"/>
          <w:b/>
          <w:spacing w:val="-3"/>
          <w:w w:val="100"/>
          <w:sz w:val="21"/>
        </w:rPr>
        <w:t>需的情况下进行。胆道闭锁并</w:t>
      </w:r>
      <w:r>
        <w:rPr>
          <w:rFonts w:ascii="Times New Roman" w:hAnsi="Times New Roman" w:eastAsia="Times New Roman"/>
          <w:spacing w:val="-212"/>
          <w:w w:val="301"/>
          <w:sz w:val="21"/>
        </w:rPr>
        <w:t>˺</w:t>
      </w:r>
      <w:r>
        <w:rPr>
          <w:rFonts w:ascii="Times New Roman" w:hAnsi="Times New Roman" w:eastAsia="Times New Roman"/>
          <w:spacing w:val="-207"/>
          <w:w w:val="301"/>
          <w:sz w:val="21"/>
        </w:rPr>
        <w:t>˺</w:t>
      </w:r>
      <w:r>
        <w:rPr>
          <w:rFonts w:ascii="Times New Roman" w:hAnsi="Times New Roman" w:eastAsia="Times New Roman"/>
          <w:spacing w:val="-212"/>
          <w:w w:val="301"/>
          <w:sz w:val="21"/>
        </w:rPr>
        <w:t>˺</w:t>
      </w:r>
      <w:r>
        <w:rPr>
          <w:rFonts w:ascii="Times New Roman" w:hAnsi="Times New Roman" w:eastAsia="Times New Roman"/>
          <w:spacing w:val="-10"/>
          <w:w w:val="301"/>
          <w:sz w:val="21"/>
        </w:rPr>
        <w:t>˺</w:t>
      </w:r>
      <w:r>
        <w:rPr>
          <w:rFonts w:ascii="微软雅黑" w:hAnsi="微软雅黑" w:eastAsia="微软雅黑" w:hint="eastAsia"/>
          <w:b/>
          <w:w w:val="100"/>
          <w:sz w:val="21"/>
        </w:rPr>
        <w:t>在保障范围内。</w:t>
      </w:r>
    </w:p>
    <w:p>
      <w:pPr>
        <w:spacing w:before="164" w:after="4"/>
        <w:ind w:left="212" w:right="0" w:firstLine="0"/>
        <w:jc w:val="left"/>
        <w:rPr>
          <w:rFonts w:ascii="微软雅黑" w:eastAsia="微软雅黑" w:hint="eastAsia"/>
          <w:b/>
          <w:sz w:val="21"/>
        </w:rPr>
      </w:pPr>
      <w:r>
        <w:rPr>
          <w:rFonts w:ascii="Times New Roman" w:eastAsia="Times New Roman"/>
          <w:position w:val="10"/>
          <w:sz w:val="14"/>
        </w:rPr>
        <w:t>6   </w:t>
      </w:r>
      <w:r>
        <w:rPr>
          <w:rFonts w:ascii="微软雅黑" w:eastAsia="微软雅黑" w:hint="eastAsia"/>
          <w:b/>
          <w:sz w:val="21"/>
        </w:rPr>
        <w:t>轻症所属组别：</w:t>
      </w:r>
    </w:p>
    <w:tbl>
      <w:tblPr>
        <w:tblW w:w="0" w:type="auto"/>
        <w:jc w:val="left"/>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8"/>
        <w:gridCol w:w="2396"/>
        <w:gridCol w:w="2396"/>
        <w:gridCol w:w="2398"/>
      </w:tblGrid>
      <w:tr>
        <w:trPr>
          <w:trHeight w:val="311" w:hRule="atLeast"/>
        </w:trPr>
        <w:tc>
          <w:tcPr>
            <w:tcW w:w="2398" w:type="dxa"/>
          </w:tcPr>
          <w:p>
            <w:pPr>
              <w:pStyle w:val="TableParagraph"/>
              <w:spacing w:line="262" w:lineRule="exact"/>
              <w:ind w:left="864" w:right="853"/>
              <w:jc w:val="center"/>
              <w:rPr>
                <w:sz w:val="21"/>
              </w:rPr>
            </w:pPr>
            <w:r>
              <w:rPr>
                <w:sz w:val="21"/>
              </w:rPr>
              <w:t>第一组</w:t>
            </w:r>
          </w:p>
        </w:tc>
        <w:tc>
          <w:tcPr>
            <w:tcW w:w="2396" w:type="dxa"/>
          </w:tcPr>
          <w:p>
            <w:pPr>
              <w:pStyle w:val="TableParagraph"/>
              <w:spacing w:line="262" w:lineRule="exact"/>
              <w:ind w:left="859" w:right="852"/>
              <w:jc w:val="center"/>
              <w:rPr>
                <w:sz w:val="21"/>
              </w:rPr>
            </w:pPr>
            <w:r>
              <w:rPr>
                <w:sz w:val="21"/>
              </w:rPr>
              <w:t>第二组</w:t>
            </w:r>
          </w:p>
        </w:tc>
        <w:tc>
          <w:tcPr>
            <w:tcW w:w="2396" w:type="dxa"/>
          </w:tcPr>
          <w:p>
            <w:pPr>
              <w:pStyle w:val="TableParagraph"/>
              <w:spacing w:line="262" w:lineRule="exact"/>
              <w:ind w:left="861" w:right="850"/>
              <w:jc w:val="center"/>
              <w:rPr>
                <w:sz w:val="21"/>
              </w:rPr>
            </w:pPr>
            <w:r>
              <w:rPr>
                <w:sz w:val="21"/>
              </w:rPr>
              <w:t>第三组</w:t>
            </w:r>
          </w:p>
        </w:tc>
        <w:tc>
          <w:tcPr>
            <w:tcW w:w="2398" w:type="dxa"/>
          </w:tcPr>
          <w:p>
            <w:pPr>
              <w:pStyle w:val="TableParagraph"/>
              <w:spacing w:line="262" w:lineRule="exact"/>
              <w:ind w:left="864" w:right="852"/>
              <w:jc w:val="center"/>
              <w:rPr>
                <w:sz w:val="21"/>
              </w:rPr>
            </w:pPr>
            <w:r>
              <w:rPr>
                <w:sz w:val="21"/>
              </w:rPr>
              <w:t>第四组</w:t>
            </w:r>
          </w:p>
        </w:tc>
      </w:tr>
      <w:tr>
        <w:trPr>
          <w:trHeight w:val="315" w:hRule="atLeast"/>
        </w:trPr>
        <w:tc>
          <w:tcPr>
            <w:tcW w:w="2398" w:type="dxa"/>
            <w:tcBorders>
              <w:bottom w:val="nil"/>
            </w:tcBorders>
          </w:tcPr>
          <w:p>
            <w:pPr>
              <w:pStyle w:val="TableParagraph"/>
              <w:spacing w:line="265" w:lineRule="exact"/>
              <w:ind w:left="110"/>
              <w:rPr>
                <w:sz w:val="21"/>
              </w:rPr>
            </w:pPr>
            <w:r>
              <w:rPr>
                <w:sz w:val="21"/>
              </w:rPr>
              <w:t>⒈ 极早期恶性肿瘤或</w:t>
            </w:r>
          </w:p>
        </w:tc>
        <w:tc>
          <w:tcPr>
            <w:tcW w:w="2396" w:type="dxa"/>
            <w:tcBorders>
              <w:bottom w:val="nil"/>
            </w:tcBorders>
          </w:tcPr>
          <w:p>
            <w:pPr>
              <w:pStyle w:val="TableParagraph"/>
              <w:spacing w:line="265" w:lineRule="exact"/>
              <w:ind w:left="107"/>
              <w:rPr>
                <w:sz w:val="21"/>
              </w:rPr>
            </w:pPr>
            <w:r>
              <w:rPr>
                <w:sz w:val="21"/>
              </w:rPr>
              <w:t>⒈ 轻微脑中风</w:t>
            </w:r>
          </w:p>
        </w:tc>
        <w:tc>
          <w:tcPr>
            <w:tcW w:w="2396" w:type="dxa"/>
            <w:tcBorders>
              <w:bottom w:val="nil"/>
            </w:tcBorders>
          </w:tcPr>
          <w:p>
            <w:pPr>
              <w:pStyle w:val="TableParagraph"/>
              <w:spacing w:line="265" w:lineRule="exact"/>
              <w:ind w:left="108"/>
              <w:rPr>
                <w:sz w:val="21"/>
              </w:rPr>
            </w:pPr>
            <w:r>
              <w:rPr>
                <w:sz w:val="21"/>
              </w:rPr>
              <w:t>⒈ 不典型心肌梗塞</w:t>
            </w:r>
          </w:p>
        </w:tc>
        <w:tc>
          <w:tcPr>
            <w:tcW w:w="2398" w:type="dxa"/>
            <w:tcBorders>
              <w:bottom w:val="nil"/>
            </w:tcBorders>
          </w:tcPr>
          <w:p>
            <w:pPr>
              <w:pStyle w:val="TableParagraph"/>
              <w:spacing w:line="265" w:lineRule="exact"/>
              <w:ind w:left="108"/>
              <w:rPr>
                <w:sz w:val="21"/>
              </w:rPr>
            </w:pPr>
            <w:r>
              <w:rPr>
                <w:sz w:val="21"/>
              </w:rPr>
              <w:t>⒈ 可逆性再生障碍性</w:t>
            </w:r>
          </w:p>
        </w:tc>
      </w:tr>
      <w:tr>
        <w:trPr>
          <w:trHeight w:val="311" w:hRule="atLeast"/>
        </w:trPr>
        <w:tc>
          <w:tcPr>
            <w:tcW w:w="2398" w:type="dxa"/>
            <w:tcBorders>
              <w:top w:val="nil"/>
              <w:bottom w:val="nil"/>
            </w:tcBorders>
          </w:tcPr>
          <w:p>
            <w:pPr>
              <w:pStyle w:val="TableParagraph"/>
              <w:ind w:left="110"/>
              <w:rPr>
                <w:sz w:val="21"/>
              </w:rPr>
            </w:pPr>
            <w:r>
              <w:rPr>
                <w:sz w:val="21"/>
              </w:rPr>
              <w:t>恶性病变</w:t>
            </w:r>
          </w:p>
        </w:tc>
        <w:tc>
          <w:tcPr>
            <w:tcW w:w="2396" w:type="dxa"/>
            <w:tcBorders>
              <w:top w:val="nil"/>
              <w:bottom w:val="nil"/>
            </w:tcBorders>
          </w:tcPr>
          <w:p>
            <w:pPr>
              <w:pStyle w:val="TableParagraph"/>
              <w:ind w:left="107"/>
              <w:rPr>
                <w:sz w:val="21"/>
              </w:rPr>
            </w:pPr>
            <w:r>
              <w:rPr>
                <w:sz w:val="21"/>
              </w:rPr>
              <w:t>⒉ 脑垂体瘤、脑囊肿、</w:t>
            </w:r>
          </w:p>
        </w:tc>
        <w:tc>
          <w:tcPr>
            <w:tcW w:w="2396" w:type="dxa"/>
            <w:tcBorders>
              <w:top w:val="nil"/>
              <w:bottom w:val="nil"/>
            </w:tcBorders>
          </w:tcPr>
          <w:p>
            <w:pPr>
              <w:pStyle w:val="TableParagraph"/>
              <w:ind w:left="108"/>
              <w:rPr>
                <w:sz w:val="21"/>
              </w:rPr>
            </w:pPr>
            <w:r>
              <w:rPr>
                <w:sz w:val="21"/>
              </w:rPr>
              <w:t>⒉ 冠状动脉介入手术</w:t>
            </w:r>
          </w:p>
        </w:tc>
        <w:tc>
          <w:tcPr>
            <w:tcW w:w="2398" w:type="dxa"/>
            <w:tcBorders>
              <w:top w:val="nil"/>
              <w:bottom w:val="nil"/>
            </w:tcBorders>
          </w:tcPr>
          <w:p>
            <w:pPr>
              <w:pStyle w:val="TableParagraph"/>
              <w:ind w:left="108"/>
              <w:rPr>
                <w:sz w:val="21"/>
              </w:rPr>
            </w:pPr>
            <w:r>
              <w:rPr>
                <w:sz w:val="21"/>
              </w:rPr>
              <w:t>贫血</w:t>
            </w:r>
          </w:p>
        </w:tc>
      </w:tr>
      <w:tr>
        <w:trPr>
          <w:trHeight w:val="311" w:hRule="atLeast"/>
        </w:trPr>
        <w:tc>
          <w:tcPr>
            <w:tcW w:w="2398" w:type="dxa"/>
            <w:tcBorders>
              <w:top w:val="nil"/>
              <w:bottom w:val="nil"/>
            </w:tcBorders>
          </w:tcPr>
          <w:p>
            <w:pPr>
              <w:pStyle w:val="TableParagraph"/>
              <w:ind w:left="110"/>
              <w:rPr>
                <w:sz w:val="21"/>
              </w:rPr>
            </w:pPr>
            <w:r>
              <w:rPr>
                <w:sz w:val="21"/>
              </w:rPr>
              <w:t>⒉ 单侧肺脏切除</w:t>
            </w:r>
          </w:p>
        </w:tc>
        <w:tc>
          <w:tcPr>
            <w:tcW w:w="2396" w:type="dxa"/>
            <w:tcBorders>
              <w:top w:val="nil"/>
              <w:bottom w:val="nil"/>
            </w:tcBorders>
          </w:tcPr>
          <w:p>
            <w:pPr>
              <w:pStyle w:val="TableParagraph"/>
              <w:ind w:left="107"/>
              <w:rPr>
                <w:sz w:val="21"/>
              </w:rPr>
            </w:pPr>
            <w:r>
              <w:rPr>
                <w:sz w:val="21"/>
              </w:rPr>
              <w:t>脑动脉瘤及脑血管瘤</w:t>
            </w:r>
          </w:p>
        </w:tc>
        <w:tc>
          <w:tcPr>
            <w:tcW w:w="2396" w:type="dxa"/>
            <w:tcBorders>
              <w:top w:val="nil"/>
              <w:bottom w:val="nil"/>
            </w:tcBorders>
          </w:tcPr>
          <w:p>
            <w:pPr>
              <w:pStyle w:val="TableParagraph"/>
              <w:ind w:left="108"/>
              <w:rPr>
                <w:sz w:val="21"/>
              </w:rPr>
            </w:pPr>
            <w:r>
              <w:rPr>
                <w:sz w:val="21"/>
              </w:rPr>
              <w:t>（非开胸手术）</w:t>
            </w:r>
          </w:p>
        </w:tc>
        <w:tc>
          <w:tcPr>
            <w:tcW w:w="2398" w:type="dxa"/>
            <w:tcBorders>
              <w:top w:val="nil"/>
              <w:bottom w:val="nil"/>
            </w:tcBorders>
          </w:tcPr>
          <w:p>
            <w:pPr>
              <w:pStyle w:val="TableParagraph"/>
              <w:ind w:left="108"/>
              <w:rPr>
                <w:sz w:val="21"/>
              </w:rPr>
            </w:pPr>
            <w:r>
              <w:rPr>
                <w:sz w:val="21"/>
              </w:rPr>
              <w:t>⒉ 较小面积Ⅲ度烧伤</w:t>
            </w:r>
          </w:p>
        </w:tc>
      </w:tr>
      <w:tr>
        <w:trPr>
          <w:trHeight w:val="311" w:hRule="atLeast"/>
        </w:trPr>
        <w:tc>
          <w:tcPr>
            <w:tcW w:w="2398" w:type="dxa"/>
            <w:tcBorders>
              <w:top w:val="nil"/>
              <w:bottom w:val="nil"/>
            </w:tcBorders>
          </w:tcPr>
          <w:p>
            <w:pPr>
              <w:pStyle w:val="TableParagraph"/>
              <w:ind w:left="110"/>
              <w:rPr>
                <w:sz w:val="21"/>
              </w:rPr>
            </w:pPr>
            <w:r>
              <w:rPr>
                <w:sz w:val="21"/>
              </w:rPr>
              <w:t>⒊ 慢性肾功能障碍</w:t>
            </w:r>
          </w:p>
        </w:tc>
        <w:tc>
          <w:tcPr>
            <w:tcW w:w="2396" w:type="dxa"/>
            <w:tcBorders>
              <w:top w:val="nil"/>
              <w:bottom w:val="nil"/>
            </w:tcBorders>
          </w:tcPr>
          <w:p>
            <w:pPr>
              <w:pStyle w:val="TableParagraph"/>
              <w:ind w:left="107"/>
              <w:rPr>
                <w:sz w:val="21"/>
              </w:rPr>
            </w:pPr>
            <w:r>
              <w:rPr>
                <w:sz w:val="21"/>
              </w:rPr>
              <w:t>⒊ 轻度脑炎或脑膜炎</w:t>
            </w:r>
          </w:p>
        </w:tc>
        <w:tc>
          <w:tcPr>
            <w:tcW w:w="2396" w:type="dxa"/>
            <w:tcBorders>
              <w:top w:val="nil"/>
              <w:bottom w:val="nil"/>
            </w:tcBorders>
          </w:tcPr>
          <w:p>
            <w:pPr>
              <w:pStyle w:val="TableParagraph"/>
              <w:ind w:left="108"/>
              <w:rPr>
                <w:sz w:val="21"/>
              </w:rPr>
            </w:pPr>
            <w:r>
              <w:rPr>
                <w:sz w:val="21"/>
              </w:rPr>
              <w:t>⒊ 心脏瓣膜介入手术</w:t>
            </w:r>
          </w:p>
        </w:tc>
        <w:tc>
          <w:tcPr>
            <w:tcW w:w="2398" w:type="dxa"/>
            <w:tcBorders>
              <w:top w:val="nil"/>
              <w:bottom w:val="nil"/>
            </w:tcBorders>
          </w:tcPr>
          <w:p>
            <w:pPr>
              <w:pStyle w:val="TableParagraph"/>
              <w:ind w:left="108"/>
              <w:rPr>
                <w:sz w:val="21"/>
              </w:rPr>
            </w:pPr>
            <w:r>
              <w:rPr>
                <w:sz w:val="21"/>
              </w:rPr>
              <w:t>⒊ 中度听力受损</w:t>
            </w:r>
          </w:p>
        </w:tc>
      </w:tr>
      <w:tr>
        <w:trPr>
          <w:trHeight w:val="311" w:hRule="atLeast"/>
        </w:trPr>
        <w:tc>
          <w:tcPr>
            <w:tcW w:w="2398" w:type="dxa"/>
            <w:tcBorders>
              <w:top w:val="nil"/>
              <w:bottom w:val="nil"/>
            </w:tcBorders>
          </w:tcPr>
          <w:p>
            <w:pPr>
              <w:pStyle w:val="TableParagraph"/>
              <w:ind w:left="110"/>
              <w:rPr>
                <w:sz w:val="21"/>
              </w:rPr>
            </w:pPr>
            <w:r>
              <w:rPr>
                <w:sz w:val="21"/>
              </w:rPr>
              <w:t>⒋ 早期肝硬化</w:t>
            </w:r>
          </w:p>
        </w:tc>
        <w:tc>
          <w:tcPr>
            <w:tcW w:w="2396" w:type="dxa"/>
            <w:tcBorders>
              <w:top w:val="nil"/>
              <w:bottom w:val="nil"/>
            </w:tcBorders>
          </w:tcPr>
          <w:p>
            <w:pPr>
              <w:pStyle w:val="TableParagraph"/>
              <w:ind w:left="107"/>
              <w:rPr>
                <w:sz w:val="21"/>
              </w:rPr>
            </w:pPr>
            <w:r>
              <w:rPr>
                <w:sz w:val="21"/>
              </w:rPr>
              <w:t>后遗症</w:t>
            </w:r>
          </w:p>
        </w:tc>
        <w:tc>
          <w:tcPr>
            <w:tcW w:w="2396" w:type="dxa"/>
            <w:tcBorders>
              <w:top w:val="nil"/>
              <w:bottom w:val="nil"/>
            </w:tcBorders>
          </w:tcPr>
          <w:p>
            <w:pPr>
              <w:pStyle w:val="TableParagraph"/>
              <w:ind w:left="108"/>
              <w:rPr>
                <w:sz w:val="21"/>
              </w:rPr>
            </w:pPr>
            <w:r>
              <w:rPr>
                <w:sz w:val="21"/>
              </w:rPr>
              <w:t>（非开胸手术）</w:t>
            </w:r>
          </w:p>
        </w:tc>
        <w:tc>
          <w:tcPr>
            <w:tcW w:w="2398" w:type="dxa"/>
            <w:tcBorders>
              <w:top w:val="nil"/>
              <w:bottom w:val="nil"/>
            </w:tcBorders>
          </w:tcPr>
          <w:p>
            <w:pPr>
              <w:pStyle w:val="TableParagraph"/>
              <w:ind w:left="108"/>
              <w:rPr>
                <w:sz w:val="21"/>
              </w:rPr>
            </w:pPr>
            <w:r>
              <w:rPr>
                <w:sz w:val="21"/>
              </w:rPr>
              <w:t>⒋ 视力严重受损</w:t>
            </w:r>
          </w:p>
        </w:tc>
      </w:tr>
      <w:tr>
        <w:trPr>
          <w:trHeight w:val="311" w:hRule="atLeast"/>
        </w:trPr>
        <w:tc>
          <w:tcPr>
            <w:tcW w:w="2398" w:type="dxa"/>
            <w:tcBorders>
              <w:top w:val="nil"/>
              <w:bottom w:val="nil"/>
            </w:tcBorders>
          </w:tcPr>
          <w:p>
            <w:pPr>
              <w:pStyle w:val="TableParagraph"/>
              <w:ind w:left="110"/>
              <w:rPr>
                <w:sz w:val="21"/>
              </w:rPr>
            </w:pPr>
            <w:r>
              <w:rPr>
                <w:sz w:val="21"/>
              </w:rPr>
              <w:t>⒌ 肝脏手术</w:t>
            </w:r>
          </w:p>
        </w:tc>
        <w:tc>
          <w:tcPr>
            <w:tcW w:w="2396" w:type="dxa"/>
            <w:tcBorders>
              <w:top w:val="nil"/>
              <w:bottom w:val="nil"/>
            </w:tcBorders>
          </w:tcPr>
          <w:p>
            <w:pPr>
              <w:pStyle w:val="TableParagraph"/>
              <w:ind w:left="107"/>
              <w:rPr>
                <w:sz w:val="21"/>
              </w:rPr>
            </w:pPr>
            <w:r>
              <w:rPr>
                <w:sz w:val="21"/>
              </w:rPr>
              <w:t>⒋ 深度昏迷 72 小时</w:t>
            </w:r>
          </w:p>
        </w:tc>
        <w:tc>
          <w:tcPr>
            <w:tcW w:w="2396" w:type="dxa"/>
            <w:tcBorders>
              <w:top w:val="nil"/>
              <w:bottom w:val="nil"/>
            </w:tcBorders>
          </w:tcPr>
          <w:p>
            <w:pPr>
              <w:pStyle w:val="TableParagraph"/>
              <w:ind w:left="108"/>
              <w:rPr>
                <w:sz w:val="21"/>
              </w:rPr>
            </w:pPr>
            <w:r>
              <w:rPr>
                <w:sz w:val="21"/>
              </w:rPr>
              <w:t>⒋ 主动脉内手术（非开</w:t>
            </w:r>
          </w:p>
        </w:tc>
        <w:tc>
          <w:tcPr>
            <w:tcW w:w="2398" w:type="dxa"/>
            <w:tcBorders>
              <w:top w:val="nil"/>
              <w:bottom w:val="nil"/>
            </w:tcBorders>
          </w:tcPr>
          <w:p>
            <w:pPr>
              <w:pStyle w:val="TableParagraph"/>
              <w:ind w:left="108"/>
              <w:rPr>
                <w:sz w:val="21"/>
              </w:rPr>
            </w:pPr>
            <w:r>
              <w:rPr>
                <w:sz w:val="21"/>
              </w:rPr>
              <w:t>⒌ 一肢缺失</w:t>
            </w:r>
          </w:p>
        </w:tc>
      </w:tr>
      <w:tr>
        <w:trPr>
          <w:trHeight w:val="311" w:hRule="atLeast"/>
        </w:trPr>
        <w:tc>
          <w:tcPr>
            <w:tcW w:w="2398" w:type="dxa"/>
            <w:tcBorders>
              <w:top w:val="nil"/>
              <w:bottom w:val="nil"/>
            </w:tcBorders>
          </w:tcPr>
          <w:p>
            <w:pPr>
              <w:pStyle w:val="TableParagraph"/>
              <w:ind w:left="110"/>
              <w:rPr>
                <w:sz w:val="21"/>
              </w:rPr>
            </w:pPr>
            <w:r>
              <w:rPr>
                <w:sz w:val="21"/>
              </w:rPr>
              <w:t>⒍ 双侧卵巢或双侧睾</w:t>
            </w:r>
          </w:p>
        </w:tc>
        <w:tc>
          <w:tcPr>
            <w:tcW w:w="2396" w:type="dxa"/>
            <w:tcBorders>
              <w:top w:val="nil"/>
              <w:bottom w:val="nil"/>
            </w:tcBorders>
          </w:tcPr>
          <w:p>
            <w:pPr>
              <w:pStyle w:val="TableParagraph"/>
              <w:ind w:left="107"/>
              <w:rPr>
                <w:sz w:val="21"/>
              </w:rPr>
            </w:pPr>
            <w:r>
              <w:rPr>
                <w:sz w:val="21"/>
              </w:rPr>
              <w:t>⒌ 中度瘫痪</w:t>
            </w:r>
          </w:p>
        </w:tc>
        <w:tc>
          <w:tcPr>
            <w:tcW w:w="2396" w:type="dxa"/>
            <w:tcBorders>
              <w:top w:val="nil"/>
              <w:bottom w:val="nil"/>
            </w:tcBorders>
          </w:tcPr>
          <w:p>
            <w:pPr>
              <w:pStyle w:val="TableParagraph"/>
              <w:ind w:left="108"/>
              <w:rPr>
                <w:sz w:val="21"/>
              </w:rPr>
            </w:pPr>
            <w:r>
              <w:rPr>
                <w:sz w:val="21"/>
              </w:rPr>
              <w:t>胸手术）</w:t>
            </w:r>
          </w:p>
        </w:tc>
        <w:tc>
          <w:tcPr>
            <w:tcW w:w="2398" w:type="dxa"/>
            <w:tcBorders>
              <w:top w:val="nil"/>
              <w:bottom w:val="nil"/>
            </w:tcBorders>
          </w:tcPr>
          <w:p>
            <w:pPr>
              <w:pStyle w:val="TableParagraph"/>
              <w:ind w:left="108"/>
              <w:rPr>
                <w:sz w:val="21"/>
              </w:rPr>
            </w:pPr>
            <w:r>
              <w:rPr>
                <w:sz w:val="21"/>
              </w:rPr>
              <w:t>⒍ 中度阿尔茨海默病</w:t>
            </w:r>
          </w:p>
        </w:tc>
      </w:tr>
      <w:tr>
        <w:trPr>
          <w:trHeight w:val="310" w:hRule="atLeast"/>
        </w:trPr>
        <w:tc>
          <w:tcPr>
            <w:tcW w:w="2398" w:type="dxa"/>
            <w:tcBorders>
              <w:top w:val="nil"/>
              <w:bottom w:val="nil"/>
            </w:tcBorders>
          </w:tcPr>
          <w:p>
            <w:pPr>
              <w:pStyle w:val="TableParagraph"/>
              <w:ind w:left="110"/>
              <w:rPr>
                <w:sz w:val="21"/>
              </w:rPr>
            </w:pPr>
            <w:r>
              <w:rPr>
                <w:sz w:val="21"/>
              </w:rPr>
              <w:t>丸切除术</w:t>
            </w:r>
          </w:p>
        </w:tc>
        <w:tc>
          <w:tcPr>
            <w:tcW w:w="2396" w:type="dxa"/>
            <w:tcBorders>
              <w:top w:val="nil"/>
              <w:bottom w:val="nil"/>
            </w:tcBorders>
          </w:tcPr>
          <w:p>
            <w:pPr>
              <w:pStyle w:val="TableParagraph"/>
              <w:ind w:left="107"/>
              <w:rPr>
                <w:sz w:val="21"/>
              </w:rPr>
            </w:pPr>
            <w:r>
              <w:rPr>
                <w:sz w:val="21"/>
              </w:rPr>
              <w:t>⒍ 中度帕金森氏病</w:t>
            </w:r>
          </w:p>
        </w:tc>
        <w:tc>
          <w:tcPr>
            <w:tcW w:w="2396" w:type="dxa"/>
            <w:tcBorders>
              <w:top w:val="nil"/>
              <w:bottom w:val="nil"/>
            </w:tcBorders>
          </w:tcPr>
          <w:p>
            <w:pPr>
              <w:pStyle w:val="TableParagraph"/>
              <w:ind w:left="108"/>
              <w:rPr>
                <w:sz w:val="21"/>
              </w:rPr>
            </w:pPr>
            <w:r>
              <w:rPr>
                <w:sz w:val="21"/>
              </w:rPr>
              <w:t>⒌ 继发性肺动脉高压</w:t>
            </w:r>
          </w:p>
        </w:tc>
        <w:tc>
          <w:tcPr>
            <w:tcW w:w="2398" w:type="dxa"/>
            <w:tcBorders>
              <w:top w:val="nil"/>
              <w:bottom w:val="nil"/>
            </w:tcBorders>
          </w:tcPr>
          <w:p>
            <w:pPr>
              <w:pStyle w:val="TableParagraph"/>
              <w:ind w:left="108"/>
              <w:rPr>
                <w:sz w:val="21"/>
              </w:rPr>
            </w:pPr>
            <w:r>
              <w:rPr>
                <w:sz w:val="21"/>
              </w:rPr>
              <w:t>⒎ 人工耳蜗植入术</w:t>
            </w:r>
          </w:p>
        </w:tc>
      </w:tr>
      <w:tr>
        <w:trPr>
          <w:trHeight w:val="310" w:hRule="atLeast"/>
        </w:trPr>
        <w:tc>
          <w:tcPr>
            <w:tcW w:w="2398" w:type="dxa"/>
            <w:tcBorders>
              <w:top w:val="nil"/>
              <w:bottom w:val="nil"/>
            </w:tcBorders>
          </w:tcPr>
          <w:p>
            <w:pPr>
              <w:pStyle w:val="TableParagraph"/>
              <w:spacing w:line="260" w:lineRule="exact"/>
              <w:ind w:left="110"/>
              <w:rPr>
                <w:sz w:val="21"/>
              </w:rPr>
            </w:pPr>
            <w:r>
              <w:rPr>
                <w:sz w:val="21"/>
              </w:rPr>
              <w:t>⒎ 胆道重建手术</w:t>
            </w:r>
          </w:p>
        </w:tc>
        <w:tc>
          <w:tcPr>
            <w:tcW w:w="2396" w:type="dxa"/>
            <w:tcBorders>
              <w:top w:val="nil"/>
              <w:bottom w:val="nil"/>
            </w:tcBorders>
          </w:tcPr>
          <w:p>
            <w:pPr>
              <w:pStyle w:val="TableParagraph"/>
              <w:spacing w:line="260" w:lineRule="exact"/>
              <w:ind w:left="107"/>
              <w:rPr>
                <w:sz w:val="21"/>
              </w:rPr>
            </w:pPr>
            <w:r>
              <w:rPr>
                <w:sz w:val="21"/>
              </w:rPr>
              <w:t>⒎ 早期运动神经性疾</w:t>
            </w:r>
          </w:p>
        </w:tc>
        <w:tc>
          <w:tcPr>
            <w:tcW w:w="2396" w:type="dxa"/>
            <w:tcBorders>
              <w:top w:val="nil"/>
              <w:bottom w:val="nil"/>
            </w:tcBorders>
          </w:tcPr>
          <w:p>
            <w:pPr>
              <w:pStyle w:val="TableParagraph"/>
              <w:spacing w:line="260" w:lineRule="exact"/>
              <w:ind w:left="108"/>
              <w:rPr>
                <w:sz w:val="21"/>
              </w:rPr>
            </w:pPr>
            <w:r>
              <w:rPr>
                <w:sz w:val="21"/>
              </w:rPr>
              <w:t>⒍ 特定周围动脉疾病</w:t>
            </w:r>
          </w:p>
        </w:tc>
        <w:tc>
          <w:tcPr>
            <w:tcW w:w="2398" w:type="dxa"/>
            <w:tcBorders>
              <w:top w:val="nil"/>
              <w:bottom w:val="nil"/>
            </w:tcBorders>
          </w:tcPr>
          <w:p>
            <w:pPr>
              <w:pStyle w:val="TableParagraph"/>
              <w:spacing w:line="260" w:lineRule="exact"/>
              <w:ind w:left="108"/>
              <w:rPr>
                <w:sz w:val="21"/>
              </w:rPr>
            </w:pPr>
            <w:r>
              <w:rPr>
                <w:sz w:val="21"/>
              </w:rPr>
              <w:t>⒏ 单眼失明</w:t>
            </w:r>
          </w:p>
        </w:tc>
      </w:tr>
      <w:tr>
        <w:trPr>
          <w:trHeight w:val="311" w:hRule="atLeast"/>
        </w:trPr>
        <w:tc>
          <w:tcPr>
            <w:tcW w:w="2398" w:type="dxa"/>
            <w:tcBorders>
              <w:top w:val="nil"/>
              <w:bottom w:val="nil"/>
            </w:tcBorders>
          </w:tcPr>
          <w:p>
            <w:pPr>
              <w:pStyle w:val="TableParagraph"/>
              <w:spacing w:line="240" w:lineRule="auto"/>
              <w:rPr>
                <w:rFonts w:ascii="Times New Roman"/>
                <w:sz w:val="20"/>
              </w:rPr>
            </w:pPr>
          </w:p>
        </w:tc>
        <w:tc>
          <w:tcPr>
            <w:tcW w:w="2396" w:type="dxa"/>
            <w:tcBorders>
              <w:top w:val="nil"/>
              <w:bottom w:val="nil"/>
            </w:tcBorders>
          </w:tcPr>
          <w:p>
            <w:pPr>
              <w:pStyle w:val="TableParagraph"/>
              <w:ind w:left="107"/>
              <w:rPr>
                <w:sz w:val="21"/>
              </w:rPr>
            </w:pPr>
            <w:r>
              <w:rPr>
                <w:w w:val="100"/>
                <w:sz w:val="21"/>
              </w:rPr>
              <w:t>病</w:t>
            </w:r>
          </w:p>
        </w:tc>
        <w:tc>
          <w:tcPr>
            <w:tcW w:w="2396" w:type="dxa"/>
            <w:tcBorders>
              <w:top w:val="nil"/>
              <w:bottom w:val="nil"/>
            </w:tcBorders>
          </w:tcPr>
          <w:p>
            <w:pPr>
              <w:pStyle w:val="TableParagraph"/>
              <w:ind w:left="108"/>
              <w:rPr>
                <w:sz w:val="21"/>
              </w:rPr>
            </w:pPr>
            <w:r>
              <w:rPr>
                <w:sz w:val="21"/>
              </w:rPr>
              <w:t>的血管介入治疗</w:t>
            </w:r>
          </w:p>
        </w:tc>
        <w:tc>
          <w:tcPr>
            <w:tcW w:w="2398" w:type="dxa"/>
            <w:tcBorders>
              <w:top w:val="nil"/>
              <w:bottom w:val="nil"/>
            </w:tcBorders>
          </w:tcPr>
          <w:p>
            <w:pPr>
              <w:pStyle w:val="TableParagraph"/>
              <w:spacing w:line="240" w:lineRule="auto"/>
              <w:rPr>
                <w:rFonts w:ascii="Times New Roman"/>
                <w:sz w:val="20"/>
              </w:rPr>
            </w:pPr>
          </w:p>
        </w:tc>
      </w:tr>
      <w:tr>
        <w:trPr>
          <w:trHeight w:val="313" w:hRule="atLeast"/>
        </w:trPr>
        <w:tc>
          <w:tcPr>
            <w:tcW w:w="2398" w:type="dxa"/>
            <w:tcBorders>
              <w:top w:val="nil"/>
            </w:tcBorders>
          </w:tcPr>
          <w:p>
            <w:pPr>
              <w:pStyle w:val="TableParagraph"/>
              <w:spacing w:line="240" w:lineRule="auto"/>
              <w:rPr>
                <w:rFonts w:ascii="Times New Roman"/>
                <w:sz w:val="20"/>
              </w:rPr>
            </w:pPr>
          </w:p>
        </w:tc>
        <w:tc>
          <w:tcPr>
            <w:tcW w:w="2396" w:type="dxa"/>
            <w:tcBorders>
              <w:top w:val="nil"/>
            </w:tcBorders>
          </w:tcPr>
          <w:p>
            <w:pPr>
              <w:pStyle w:val="TableParagraph"/>
              <w:ind w:left="107"/>
              <w:rPr>
                <w:sz w:val="21"/>
              </w:rPr>
            </w:pPr>
            <w:r>
              <w:rPr>
                <w:sz w:val="21"/>
              </w:rPr>
              <w:t>⒏ 重度头部外伤</w:t>
            </w:r>
          </w:p>
        </w:tc>
        <w:tc>
          <w:tcPr>
            <w:tcW w:w="2396" w:type="dxa"/>
            <w:tcBorders>
              <w:top w:val="nil"/>
            </w:tcBorders>
          </w:tcPr>
          <w:p>
            <w:pPr>
              <w:pStyle w:val="TableParagraph"/>
              <w:ind w:left="108"/>
              <w:rPr>
                <w:sz w:val="21"/>
              </w:rPr>
            </w:pPr>
            <w:r>
              <w:rPr>
                <w:sz w:val="21"/>
              </w:rPr>
              <w:t>⒎ 心包膜切除术</w:t>
            </w:r>
          </w:p>
        </w:tc>
        <w:tc>
          <w:tcPr>
            <w:tcW w:w="2398" w:type="dxa"/>
            <w:tcBorders>
              <w:top w:val="nil"/>
            </w:tcBorders>
          </w:tcPr>
          <w:p>
            <w:pPr>
              <w:pStyle w:val="TableParagraph"/>
              <w:spacing w:line="240" w:lineRule="auto"/>
              <w:rPr>
                <w:rFonts w:ascii="Times New Roman"/>
                <w:sz w:val="20"/>
              </w:rPr>
            </w:pPr>
          </w:p>
        </w:tc>
      </w:tr>
    </w:tbl>
    <w:p>
      <w:pPr>
        <w:pStyle w:val="BodyText"/>
        <w:spacing w:line="218" w:lineRule="auto" w:before="176"/>
        <w:ind w:right="209"/>
      </w:pPr>
      <w:r>
        <w:rPr>
          <w:rFonts w:ascii="Times New Roman" w:eastAsia="Times New Roman"/>
          <w:position w:val="10"/>
          <w:sz w:val="14"/>
        </w:rPr>
        <w:t>7 </w:t>
      </w:r>
      <w:r>
        <w:rPr>
          <w:rFonts w:ascii="微软雅黑" w:eastAsia="微软雅黑" w:hint="eastAsia"/>
          <w:b/>
        </w:rPr>
        <w:t>意外伤害事故</w:t>
      </w:r>
      <w:r>
        <w:rPr/>
        <w:t>：指遭受外来的、突发的、非本意的、非疾病的使身体受到伤害且作为直接且单独原因导致被保险人伤害或死亡的客观事件。</w:t>
      </w:r>
    </w:p>
    <w:p>
      <w:pPr>
        <w:spacing w:line="293" w:lineRule="exact" w:before="0"/>
        <w:ind w:left="212" w:right="0" w:firstLine="0"/>
        <w:jc w:val="left"/>
        <w:rPr>
          <w:rFonts w:ascii="微软雅黑" w:eastAsia="微软雅黑" w:hint="eastAsia"/>
          <w:b/>
          <w:sz w:val="21"/>
        </w:rPr>
      </w:pPr>
      <w:r>
        <w:rPr>
          <w:rFonts w:ascii="Times New Roman" w:eastAsia="Times New Roman"/>
          <w:position w:val="10"/>
          <w:sz w:val="14"/>
        </w:rPr>
        <w:t>8   </w:t>
      </w:r>
      <w:r>
        <w:rPr>
          <w:rFonts w:ascii="微软雅黑" w:eastAsia="微软雅黑" w:hint="eastAsia"/>
          <w:b/>
          <w:sz w:val="21"/>
        </w:rPr>
        <w:t>重大疾病：</w:t>
      </w:r>
    </w:p>
    <w:p>
      <w:pPr>
        <w:spacing w:line="337" w:lineRule="exact" w:before="0"/>
        <w:ind w:left="212" w:right="0" w:firstLine="0"/>
        <w:jc w:val="left"/>
        <w:rPr>
          <w:rFonts w:ascii="微软雅黑" w:eastAsia="微软雅黑" w:hint="eastAsia"/>
          <w:b/>
          <w:sz w:val="21"/>
        </w:rPr>
      </w:pPr>
      <w:r>
        <w:rPr>
          <w:sz w:val="21"/>
        </w:rPr>
        <w:t>（1）</w:t>
      </w:r>
      <w:r>
        <w:rPr>
          <w:rFonts w:ascii="微软雅黑" w:eastAsia="微软雅黑" w:hint="eastAsia"/>
          <w:b/>
          <w:sz w:val="21"/>
          <w:u w:val="single"/>
        </w:rPr>
        <w:t>恶性肿瘤</w:t>
      </w:r>
    </w:p>
    <w:p>
      <w:pPr>
        <w:pStyle w:val="BodyText"/>
        <w:spacing w:line="273" w:lineRule="auto" w:before="11"/>
        <w:ind w:right="202" w:hanging="1"/>
        <w:jc w:val="both"/>
      </w:pPr>
      <w:r>
        <w:rPr>
          <w:spacing w:val="-6"/>
        </w:rPr>
        <w:t>指恶性细胞不受控制的进行性增长和扩散，浸润和破坏周围正常组织，可以经血管、淋巴管和体腔扩散转</w:t>
      </w:r>
      <w:r>
        <w:rPr>
          <w:spacing w:val="-7"/>
        </w:rPr>
        <w:t>移到身体其它部位的疾病。经病理学检查结果明确诊断，临床诊断属于世界卫生组织《疾病和有关健康问</w:t>
      </w:r>
      <w:r>
        <w:rPr>
          <w:spacing w:val="-3"/>
        </w:rPr>
        <w:t>题的国际统计分类》</w:t>
      </w:r>
      <w:r>
        <w:rPr>
          <w:spacing w:val="-1"/>
        </w:rPr>
        <w:t>（ICD-10）</w:t>
      </w:r>
      <w:r>
        <w:rPr>
          <w:spacing w:val="-3"/>
        </w:rPr>
        <w:t>的恶性肿瘤范畴。</w:t>
      </w:r>
    </w:p>
    <w:p>
      <w:pPr>
        <w:pStyle w:val="BodyText"/>
        <w:spacing w:before="7"/>
      </w:pPr>
      <w:r>
        <w:rPr/>
        <w:t>下列疾病不在保障范围内：</w:t>
      </w:r>
    </w:p>
    <w:p>
      <w:pPr>
        <w:pStyle w:val="BodyText"/>
        <w:spacing w:before="37"/>
        <w:ind w:left="424"/>
      </w:pPr>
      <w:r>
        <w:rPr/>
        <w:t>Ⅰ 原位癌；</w:t>
      </w:r>
    </w:p>
    <w:p>
      <w:pPr>
        <w:pStyle w:val="ListParagraph"/>
        <w:numPr>
          <w:ilvl w:val="0"/>
          <w:numId w:val="4"/>
        </w:numPr>
        <w:tabs>
          <w:tab w:pos="739" w:val="left" w:leader="none"/>
        </w:tabs>
        <w:spacing w:line="240" w:lineRule="auto" w:before="37" w:after="0"/>
        <w:ind w:left="738" w:right="0" w:hanging="314"/>
        <w:jc w:val="left"/>
        <w:rPr>
          <w:sz w:val="21"/>
        </w:rPr>
      </w:pPr>
      <w:r>
        <w:rPr>
          <w:spacing w:val="-14"/>
          <w:sz w:val="21"/>
        </w:rPr>
        <w:t>相当于 </w:t>
      </w:r>
      <w:r>
        <w:rPr>
          <w:sz w:val="21"/>
        </w:rPr>
        <w:t>Binet</w:t>
      </w:r>
      <w:r>
        <w:rPr>
          <w:spacing w:val="-18"/>
          <w:sz w:val="21"/>
        </w:rPr>
        <w:t> 分期方案 </w:t>
      </w:r>
      <w:r>
        <w:rPr>
          <w:sz w:val="21"/>
        </w:rPr>
        <w:t>A</w:t>
      </w:r>
      <w:r>
        <w:rPr>
          <w:spacing w:val="-9"/>
          <w:sz w:val="21"/>
        </w:rPr>
        <w:t> 期程度的慢性淋巴细胞白血病；</w:t>
      </w:r>
    </w:p>
    <w:p>
      <w:pPr>
        <w:pStyle w:val="BodyText"/>
        <w:spacing w:before="37"/>
        <w:ind w:left="424"/>
      </w:pPr>
      <w:r>
        <w:rPr/>
        <w:t>Ⅲ 相当于 Ann Arbor 分期方案 I 期程度的何杰金氏病；</w:t>
      </w:r>
    </w:p>
    <w:p>
      <w:pPr>
        <w:pStyle w:val="BodyText"/>
        <w:spacing w:line="271" w:lineRule="auto" w:before="37"/>
        <w:ind w:left="424" w:right="4052" w:hanging="1"/>
      </w:pPr>
      <w:r>
        <w:rPr/>
        <w:t>Ⅳ 皮肤癌（不包括恶性黑色素瘤及已发生转移的皮肤癌）； </w:t>
      </w:r>
      <w:r>
        <w:rPr>
          <w:position w:val="1"/>
        </w:rPr>
        <w:t>Ⅴ 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62" w:lineRule="exact" w:before="10"/>
        <w:ind w:left="424"/>
      </w:pPr>
      <w:r>
        <w:rPr/>
        <w:t>Ⅵ 感染艾滋病病毒或患艾滋病期间所患恶性肿瘤。</w:t>
      </w:r>
    </w:p>
    <w:p>
      <w:pPr>
        <w:spacing w:line="350" w:lineRule="exact" w:before="0"/>
        <w:ind w:left="318" w:right="0" w:firstLine="0"/>
        <w:jc w:val="left"/>
        <w:rPr>
          <w:rFonts w:ascii="微软雅黑" w:eastAsia="微软雅黑" w:hint="eastAsia"/>
          <w:b/>
          <w:sz w:val="21"/>
        </w:rPr>
      </w:pPr>
      <w:r>
        <w:rPr>
          <w:sz w:val="21"/>
        </w:rPr>
        <w:t>（2）</w:t>
      </w:r>
      <w:r>
        <w:rPr>
          <w:rFonts w:ascii="微软雅黑" w:eastAsia="微软雅黑" w:hint="eastAsia"/>
          <w:b/>
          <w:sz w:val="21"/>
          <w:u w:val="single"/>
        </w:rPr>
        <w:t>急性心肌梗塞</w:t>
      </w:r>
    </w:p>
    <w:p>
      <w:pPr>
        <w:pStyle w:val="BodyText"/>
        <w:spacing w:before="12"/>
      </w:pPr>
      <w:r>
        <w:rPr/>
        <w:t>指因冠状动脉阻塞导致的相应区域供血不足造成部分心肌坏死。须满足下列至少三项条件：</w:t>
      </w:r>
    </w:p>
    <w:p>
      <w:pPr>
        <w:pStyle w:val="BodyText"/>
        <w:spacing w:before="37"/>
        <w:ind w:left="424"/>
      </w:pPr>
      <w:r>
        <w:rPr/>
        <w:t>Ⅰ 典型临床表现，例如急性胸痛等；</w:t>
      </w:r>
    </w:p>
    <w:p>
      <w:pPr>
        <w:pStyle w:val="ListParagraph"/>
        <w:numPr>
          <w:ilvl w:val="0"/>
          <w:numId w:val="4"/>
        </w:numPr>
        <w:tabs>
          <w:tab w:pos="739" w:val="left" w:leader="none"/>
        </w:tabs>
        <w:spacing w:line="240" w:lineRule="auto" w:before="37" w:after="0"/>
        <w:ind w:left="738" w:right="0" w:hanging="314"/>
        <w:jc w:val="left"/>
        <w:rPr>
          <w:sz w:val="21"/>
        </w:rPr>
      </w:pPr>
      <w:r>
        <w:rPr>
          <w:spacing w:val="-3"/>
          <w:sz w:val="21"/>
        </w:rPr>
        <w:t>新近的心电图改变提示急性心肌梗塞；</w:t>
      </w:r>
    </w:p>
    <w:p>
      <w:pPr>
        <w:pStyle w:val="BodyText"/>
        <w:spacing w:before="37"/>
        <w:ind w:left="424"/>
      </w:pPr>
      <w:r>
        <w:rPr/>
        <w:t>Ⅲ 心肌酶或肌钙蛋白有诊断意义的升高，或呈符合急性心肌梗塞的动态性变化；</w:t>
      </w:r>
    </w:p>
    <w:p>
      <w:pPr>
        <w:pStyle w:val="BodyText"/>
        <w:spacing w:line="262" w:lineRule="exact" w:before="37"/>
        <w:ind w:left="424"/>
      </w:pPr>
      <w:r>
        <w:rPr/>
        <w:t>Ⅳ</w:t>
      </w:r>
      <w:r>
        <w:rPr>
          <w:spacing w:val="13"/>
        </w:rPr>
        <w:t> </w:t>
      </w:r>
      <w:r>
        <w:rPr/>
        <w:t>发病</w:t>
      </w:r>
      <w:r>
        <w:rPr>
          <w:spacing w:val="-48"/>
        </w:rPr>
        <w:t> </w:t>
      </w:r>
      <w:r>
        <w:rPr/>
        <w:t>90</w:t>
      </w:r>
      <w:r>
        <w:rPr>
          <w:spacing w:val="-45"/>
        </w:rPr>
        <w:t> </w:t>
      </w:r>
      <w:r>
        <w:rPr>
          <w:spacing w:val="-3"/>
        </w:rPr>
        <w:t>天</w:t>
      </w:r>
      <w:r>
        <w:rPr/>
        <w:t>后</w:t>
      </w:r>
      <w:r>
        <w:rPr>
          <w:spacing w:val="-3"/>
        </w:rPr>
        <w:t>，</w:t>
      </w:r>
      <w:r>
        <w:rPr/>
        <w:t>经</w:t>
      </w:r>
      <w:r>
        <w:rPr>
          <w:spacing w:val="-3"/>
        </w:rPr>
        <w:t>检</w:t>
      </w:r>
      <w:r>
        <w:rPr/>
        <w:t>查证</w:t>
      </w:r>
      <w:r>
        <w:rPr>
          <w:spacing w:val="-3"/>
        </w:rPr>
        <w:t>实</w:t>
      </w:r>
      <w:r>
        <w:rPr/>
        <w:t>左</w:t>
      </w:r>
      <w:r>
        <w:rPr>
          <w:spacing w:val="-3"/>
        </w:rPr>
        <w:t>心</w:t>
      </w:r>
      <w:r>
        <w:rPr/>
        <w:t>室</w:t>
      </w:r>
      <w:r>
        <w:rPr>
          <w:spacing w:val="-3"/>
        </w:rPr>
        <w:t>功</w:t>
      </w:r>
      <w:r>
        <w:rPr/>
        <w:t>能</w:t>
      </w:r>
      <w:r>
        <w:rPr>
          <w:spacing w:val="-3"/>
        </w:rPr>
        <w:t>降</w:t>
      </w:r>
      <w:r>
        <w:rPr/>
        <w:t>低</w:t>
      </w:r>
      <w:r>
        <w:rPr>
          <w:spacing w:val="-3"/>
        </w:rPr>
        <w:t>，</w:t>
      </w:r>
      <w:r>
        <w:rPr/>
        <w:t>如左</w:t>
      </w:r>
      <w:r>
        <w:rPr>
          <w:spacing w:val="-3"/>
        </w:rPr>
        <w:t>心</w:t>
      </w:r>
      <w:r>
        <w:rPr/>
        <w:t>室</w:t>
      </w:r>
      <w:r>
        <w:rPr>
          <w:spacing w:val="-3"/>
        </w:rPr>
        <w:t>射</w:t>
      </w:r>
      <w:r>
        <w:rPr/>
        <w:t>血</w:t>
      </w:r>
      <w:r>
        <w:rPr>
          <w:spacing w:val="-3"/>
        </w:rPr>
        <w:t>分</w:t>
      </w:r>
      <w:r>
        <w:rPr/>
        <w:t>数</w:t>
      </w:r>
      <w:r>
        <w:rPr>
          <w:spacing w:val="-3"/>
        </w:rPr>
        <w:t>低</w:t>
      </w:r>
      <w:r>
        <w:rPr/>
        <w:t>于</w:t>
      </w:r>
      <w:r>
        <w:rPr>
          <w:spacing w:val="-53"/>
        </w:rPr>
        <w:t> </w:t>
      </w:r>
      <w:r>
        <w:rPr>
          <w:spacing w:val="-3"/>
          <w:w w:val="100"/>
        </w:rPr>
        <w:drawing>
          <wp:inline distT="0" distB="0" distL="0" distR="0">
            <wp:extent cx="63499" cy="95250"/>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1" cstate="print"/>
                    <a:stretch>
                      <a:fillRect/>
                    </a:stretch>
                  </pic:blipFill>
                  <pic:spPr>
                    <a:xfrm>
                      <a:off x="0" y="0"/>
                      <a:ext cx="63499" cy="95250"/>
                    </a:xfrm>
                    <a:prstGeom prst="rect">
                      <a:avLst/>
                    </a:prstGeom>
                  </pic:spPr>
                </pic:pic>
              </a:graphicData>
            </a:graphic>
          </wp:inline>
        </w:drawing>
      </w:r>
      <w:r>
        <w:rPr>
          <w:spacing w:val="-3"/>
          <w:w w:val="100"/>
        </w:rPr>
      </w:r>
      <w:r>
        <w:rPr/>
        <w:t>。</w:t>
      </w:r>
    </w:p>
    <w:p>
      <w:pPr>
        <w:spacing w:line="350" w:lineRule="exact" w:before="0"/>
        <w:ind w:left="318" w:right="0" w:firstLine="0"/>
        <w:jc w:val="left"/>
        <w:rPr>
          <w:rFonts w:ascii="微软雅黑" w:eastAsia="微软雅黑" w:hint="eastAsia"/>
          <w:b/>
          <w:sz w:val="21"/>
        </w:rPr>
      </w:pPr>
      <w:r>
        <w:rPr>
          <w:sz w:val="21"/>
        </w:rPr>
        <w:t>（3）</w:t>
      </w:r>
      <w:r>
        <w:rPr>
          <w:rFonts w:ascii="微软雅黑" w:eastAsia="微软雅黑" w:hint="eastAsia"/>
          <w:b/>
          <w:sz w:val="21"/>
          <w:u w:val="single"/>
        </w:rPr>
        <w:t>脑中风后遗症</w:t>
      </w:r>
    </w:p>
    <w:p>
      <w:pPr>
        <w:pStyle w:val="BodyText"/>
        <w:spacing w:line="273" w:lineRule="auto" w:before="11"/>
        <w:ind w:right="202" w:hanging="1"/>
      </w:pPr>
      <w:r>
        <w:rPr>
          <w:spacing w:val="-6"/>
        </w:rPr>
        <w:t>指因脑血管的突发病变引起脑血管出血、栓塞或梗塞，并导致神经系统永久性的功能障碍。神经系统永久</w:t>
      </w:r>
      <w:r>
        <w:rPr>
          <w:spacing w:val="-7"/>
        </w:rPr>
        <w:t>性的功能障碍，指疾病确诊 </w:t>
      </w:r>
      <w:r>
        <w:rPr/>
        <w:t>180</w:t>
      </w:r>
      <w:r>
        <w:rPr>
          <w:spacing w:val="-3"/>
        </w:rPr>
        <w:t> 天后，仍遗留下列一种或一种以上障碍：</w:t>
      </w:r>
    </w:p>
    <w:p>
      <w:pPr>
        <w:spacing w:line="310" w:lineRule="exact" w:before="0"/>
        <w:ind w:left="424" w:right="0" w:firstLine="0"/>
        <w:jc w:val="left"/>
        <w:rPr>
          <w:sz w:val="21"/>
        </w:rPr>
      </w:pPr>
      <w:r>
        <w:rPr/>
        <w:pict>
          <v:shape style="position:absolute;margin-left:159.479904pt;margin-top:7.778433pt;width:84.5pt;height:10.6pt;mso-position-horizontal-relative:page;mso-position-vertical-relative:paragraph;z-index:-43960" type="#_x0000_t202" filled="false" stroked="false">
            <v:textbox inset="0,0,0,0">
              <w:txbxContent>
                <w:p>
                  <w:pPr>
                    <w:pStyle w:val="BodyText"/>
                    <w:spacing w:line="211" w:lineRule="exact"/>
                    <w:ind w:left="0"/>
                  </w:pPr>
                  <w:r>
                    <w:rPr/>
                    <w:t>．．．．．．．．</w:t>
                  </w:r>
                </w:p>
              </w:txbxContent>
            </v:textbox>
            <w10:wrap type="none"/>
          </v:shape>
        </w:pict>
      </w:r>
      <w:r>
        <w:rPr>
          <w:sz w:val="21"/>
        </w:rPr>
        <w:t>Ⅰ 一肢或一肢以上</w:t>
      </w:r>
      <w:r>
        <w:rPr>
          <w:rFonts w:ascii="微软雅黑" w:hAnsi="微软雅黑" w:eastAsia="微软雅黑" w:hint="eastAsia"/>
          <w:b/>
          <w:sz w:val="21"/>
        </w:rPr>
        <w:t>肢体机能完全丧失 </w:t>
      </w:r>
      <w:r>
        <w:rPr>
          <w:rFonts w:ascii="微软雅黑" w:hAnsi="微软雅黑" w:eastAsia="微软雅黑" w:hint="eastAsia"/>
          <w:b/>
          <w:position w:val="11"/>
          <w:sz w:val="11"/>
        </w:rPr>
        <w:t>25</w:t>
      </w:r>
      <w:r>
        <w:rPr>
          <w:sz w:val="21"/>
        </w:rPr>
        <w:t>；</w:t>
      </w:r>
    </w:p>
    <w:p>
      <w:pPr>
        <w:pStyle w:val="Heading2"/>
        <w:numPr>
          <w:ilvl w:val="0"/>
          <w:numId w:val="4"/>
        </w:numPr>
        <w:tabs>
          <w:tab w:pos="739" w:val="left" w:leader="none"/>
        </w:tabs>
        <w:spacing w:line="240" w:lineRule="auto" w:before="19" w:after="0"/>
        <w:ind w:left="738" w:right="0" w:hanging="314"/>
        <w:jc w:val="left"/>
        <w:rPr>
          <w:rFonts w:ascii="宋体" w:eastAsia="宋体" w:hint="eastAsia"/>
          <w:b w:val="0"/>
        </w:rPr>
      </w:pPr>
      <w:r>
        <w:rPr/>
        <w:pict>
          <v:shape style="position:absolute;margin-left:86.039551pt;margin-top:11.341647pt;width:158.2pt;height:10.6pt;mso-position-horizontal-relative:page;mso-position-vertical-relative:paragraph;z-index:-43936" type="#_x0000_t202" filled="false" stroked="false">
            <v:textbox inset="0,0,0,0">
              <w:txbxContent>
                <w:p>
                  <w:pPr>
                    <w:pStyle w:val="BodyText"/>
                    <w:spacing w:line="211" w:lineRule="exact"/>
                    <w:ind w:left="0"/>
                  </w:pPr>
                  <w:r>
                    <w:rPr/>
                    <w:t>．．．．．．．．．．．．．．．</w:t>
                  </w:r>
                </w:p>
              </w:txbxContent>
            </v:textbox>
            <w10:wrap type="none"/>
          </v:shape>
        </w:pict>
      </w:r>
      <w:r>
        <w:rPr>
          <w:spacing w:val="-4"/>
        </w:rPr>
        <w:t>语言能力或咀嚼吞咽能力完全丧失 </w:t>
      </w:r>
      <w:r>
        <w:rPr>
          <w:position w:val="11"/>
          <w:sz w:val="11"/>
        </w:rPr>
        <w:t>26</w:t>
      </w:r>
      <w:r>
        <w:rPr>
          <w:rFonts w:ascii="宋体" w:eastAsia="宋体" w:hint="eastAsia"/>
          <w:b w:val="0"/>
        </w:rPr>
        <w:t>；</w:t>
      </w:r>
    </w:p>
    <w:p>
      <w:pPr>
        <w:pStyle w:val="BodyText"/>
        <w:spacing w:line="262" w:lineRule="exact" w:before="76"/>
        <w:ind w:left="424"/>
      </w:pPr>
      <w:r>
        <w:rPr/>
        <w:t>Ⅲ 自主生活能力完全丧失，无法独立完成六项基本日常生活活动中的三项或三项以上。</w:t>
      </w:r>
    </w:p>
    <w:p>
      <w:pPr>
        <w:pStyle w:val="Heading2"/>
        <w:spacing w:line="350" w:lineRule="exact"/>
        <w:ind w:left="318"/>
      </w:pPr>
      <w:r>
        <w:rPr>
          <w:rFonts w:ascii="宋体" w:eastAsia="宋体" w:hint="eastAsia"/>
          <w:b w:val="0"/>
        </w:rPr>
        <w:t>（4）</w:t>
      </w:r>
      <w:r>
        <w:rPr>
          <w:u w:val="single"/>
        </w:rPr>
        <w:t>重大器官移植术或造血干细胞移植术</w:t>
      </w:r>
    </w:p>
    <w:p>
      <w:pPr>
        <w:pStyle w:val="BodyText"/>
        <w:spacing w:before="11"/>
        <w:ind w:left="203"/>
      </w:pPr>
      <w:r>
        <w:rPr/>
        <w:t>重大器官移植术，指因相应器官功能衰竭，已经实施了肾脏、肝脏、心脏或肺脏的异体移植手术。</w:t>
      </w:r>
    </w:p>
    <w:p>
      <w:pPr>
        <w:spacing w:after="0"/>
        <w:sectPr>
          <w:footerReference w:type="default" r:id="rId13"/>
          <w:pgSz w:w="11900" w:h="16840"/>
          <w:pgMar w:footer="547" w:header="892" w:top="1080" w:bottom="740" w:left="920" w:right="920"/>
          <w:pgNumType w:start="111"/>
        </w:sectPr>
      </w:pPr>
    </w:p>
    <w:p>
      <w:pPr>
        <w:pStyle w:val="BodyText"/>
        <w:spacing w:before="3"/>
        <w:ind w:left="0"/>
        <w:rPr>
          <w:sz w:val="10"/>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line="273" w:lineRule="auto" w:before="75"/>
        <w:ind w:right="222" w:hanging="10"/>
      </w:pPr>
      <w:r>
        <w:rPr>
          <w:spacing w:val="-5"/>
        </w:rPr>
        <w:t>造血干细胞移植术，指因造血功能损害或造血系统恶性肿瘤，已经实施了造血干细胞</w:t>
      </w:r>
      <w:r>
        <w:rPr>
          <w:spacing w:val="-3"/>
        </w:rPr>
        <w:t>（包括骨髓造血干细胞、外周血造血干细胞和脐血造血干细胞</w:t>
      </w:r>
      <w:r>
        <w:rPr/>
        <w:t>）</w:t>
      </w:r>
      <w:r>
        <w:rPr>
          <w:spacing w:val="-3"/>
        </w:rPr>
        <w:t>的异体移植手术。</w:t>
      </w:r>
    </w:p>
    <w:p>
      <w:pPr>
        <w:pStyle w:val="Heading2"/>
        <w:spacing w:line="283" w:lineRule="exact"/>
        <w:ind w:left="318"/>
      </w:pPr>
      <w:r>
        <w:rPr>
          <w:rFonts w:ascii="宋体" w:eastAsia="宋体" w:hint="eastAsia"/>
          <w:b w:val="0"/>
        </w:rPr>
        <w:t>（5）</w:t>
      </w:r>
      <w:r>
        <w:rPr>
          <w:u w:val="single"/>
        </w:rPr>
        <w:t>冠状动脉搭桥术（或称冠状动脉旁路移植术）</w:t>
      </w:r>
    </w:p>
    <w:p>
      <w:pPr>
        <w:spacing w:line="206" w:lineRule="auto" w:before="26"/>
        <w:ind w:left="212" w:right="212" w:hanging="10"/>
        <w:jc w:val="left"/>
        <w:rPr>
          <w:rFonts w:ascii="微软雅黑" w:eastAsia="微软雅黑" w:hint="eastAsia"/>
          <w:b/>
          <w:sz w:val="21"/>
        </w:rPr>
      </w:pPr>
      <w:r>
        <w:rPr>
          <w:sz w:val="21"/>
        </w:rPr>
        <w:t>指为治疗严重的冠心病，实际实施了开胸进行的冠状动脉血管旁路移植的手术。</w:t>
      </w:r>
      <w:r>
        <w:rPr>
          <w:rFonts w:ascii="微软雅黑" w:eastAsia="微软雅黑" w:hint="eastAsia"/>
          <w:b/>
          <w:sz w:val="21"/>
        </w:rPr>
        <w:t>冠状动脉支架植入术、心导管球囊扩张术、激光射频技术及其它非开胸的介入手术、腔镜手术不在保障范围内。</w:t>
      </w:r>
    </w:p>
    <w:p>
      <w:pPr>
        <w:pStyle w:val="Heading2"/>
        <w:ind w:left="318"/>
      </w:pPr>
      <w:r>
        <w:rPr>
          <w:rFonts w:ascii="宋体" w:eastAsia="宋体" w:hint="eastAsia"/>
          <w:b w:val="0"/>
        </w:rPr>
        <w:t>（6）</w:t>
      </w:r>
      <w:r>
        <w:rPr>
          <w:u w:val="single"/>
        </w:rPr>
        <w:t>终末期肾病（或称慢性肾功能衰竭尿毒症期）</w:t>
      </w:r>
    </w:p>
    <w:p>
      <w:pPr>
        <w:pStyle w:val="BodyText"/>
        <w:spacing w:line="273" w:lineRule="auto" w:before="12"/>
        <w:ind w:right="182" w:hanging="10"/>
      </w:pPr>
      <w:r>
        <w:rPr/>
        <w:t>指双肾功能慢性不可逆性衰竭，达到尿毒症期，经诊断后已经进行了至少 90 天的规律性透析治疗或实施了肾脏移植手术。</w:t>
      </w:r>
    </w:p>
    <w:p>
      <w:pPr>
        <w:spacing w:line="308" w:lineRule="exact" w:before="0"/>
        <w:ind w:left="318" w:right="0" w:firstLine="0"/>
        <w:jc w:val="left"/>
        <w:rPr>
          <w:rFonts w:ascii="微软雅黑" w:eastAsia="微软雅黑" w:hint="eastAsia"/>
          <w:b/>
          <w:sz w:val="21"/>
        </w:rPr>
      </w:pPr>
      <w:r>
        <w:rPr>
          <w:sz w:val="21"/>
        </w:rPr>
        <w:t>（7）</w:t>
      </w:r>
      <w:r>
        <w:rPr>
          <w:rFonts w:ascii="微软雅黑" w:eastAsia="微软雅黑" w:hint="eastAsia"/>
          <w:b/>
          <w:sz w:val="21"/>
          <w:u w:val="single"/>
        </w:rPr>
        <w:t>多个肢体缺失</w:t>
      </w:r>
    </w:p>
    <w:p>
      <w:pPr>
        <w:pStyle w:val="BodyText"/>
        <w:spacing w:line="262" w:lineRule="exact" w:before="11"/>
        <w:ind w:left="203"/>
      </w:pPr>
      <w:r>
        <w:rPr/>
        <w:t>指因疾病或意外伤害导致两个或两个以上肢体自腕关节或踝关节近端（靠近躯干端）以上完全性断离。</w:t>
      </w:r>
    </w:p>
    <w:p>
      <w:pPr>
        <w:spacing w:line="350" w:lineRule="exact" w:before="0"/>
        <w:ind w:left="318" w:right="0" w:firstLine="0"/>
        <w:jc w:val="left"/>
        <w:rPr>
          <w:rFonts w:ascii="微软雅黑" w:eastAsia="微软雅黑" w:hint="eastAsia"/>
          <w:b/>
          <w:sz w:val="21"/>
        </w:rPr>
      </w:pPr>
      <w:r>
        <w:rPr>
          <w:sz w:val="21"/>
        </w:rPr>
        <w:t>（8）</w:t>
      </w:r>
      <w:r>
        <w:rPr>
          <w:rFonts w:ascii="微软雅黑" w:eastAsia="微软雅黑" w:hint="eastAsia"/>
          <w:b/>
          <w:sz w:val="21"/>
          <w:u w:val="single"/>
        </w:rPr>
        <w:t>急性或亚急性重症肝炎</w:t>
      </w:r>
    </w:p>
    <w:p>
      <w:pPr>
        <w:pStyle w:val="BodyText"/>
        <w:spacing w:line="273" w:lineRule="auto" w:before="12"/>
        <w:ind w:right="222" w:hanging="10"/>
      </w:pPr>
      <w:r>
        <w:rPr>
          <w:spacing w:val="-6"/>
        </w:rPr>
        <w:t>指因肝炎病毒感染引起肝脏组织弥漫性坏死，导致急性肝功能衰竭，且经血清学或病毒学检查证实，并须</w:t>
      </w:r>
      <w:r>
        <w:rPr>
          <w:spacing w:val="-4"/>
        </w:rPr>
        <w:t>满足下列全部条件：</w:t>
      </w:r>
    </w:p>
    <w:p>
      <w:pPr>
        <w:pStyle w:val="BodyText"/>
        <w:spacing w:before="7"/>
        <w:ind w:left="414"/>
      </w:pPr>
      <w:r>
        <w:rPr/>
        <w:t>Ⅰ 重度黄疸或黄疸迅速加重；</w:t>
      </w:r>
    </w:p>
    <w:p>
      <w:pPr>
        <w:pStyle w:val="ListParagraph"/>
        <w:numPr>
          <w:ilvl w:val="0"/>
          <w:numId w:val="4"/>
        </w:numPr>
        <w:tabs>
          <w:tab w:pos="729" w:val="left" w:leader="none"/>
        </w:tabs>
        <w:spacing w:line="240" w:lineRule="auto" w:before="37" w:after="0"/>
        <w:ind w:left="728" w:right="0" w:hanging="314"/>
        <w:jc w:val="left"/>
        <w:rPr>
          <w:sz w:val="21"/>
        </w:rPr>
      </w:pPr>
      <w:r>
        <w:rPr>
          <w:spacing w:val="-3"/>
          <w:sz w:val="21"/>
        </w:rPr>
        <w:t>肝性脑病；</w:t>
      </w:r>
    </w:p>
    <w:p>
      <w:pPr>
        <w:pStyle w:val="BodyText"/>
        <w:spacing w:before="37"/>
        <w:ind w:left="414"/>
      </w:pPr>
      <w:r>
        <w:rPr/>
        <w:t>Ⅲ B 超或其它影像学检查显示肝脏体积急速萎缩；</w:t>
      </w:r>
    </w:p>
    <w:p>
      <w:pPr>
        <w:pStyle w:val="BodyText"/>
        <w:spacing w:line="262" w:lineRule="exact" w:before="37"/>
        <w:ind w:left="414"/>
      </w:pPr>
      <w:r>
        <w:rPr/>
        <w:t>Ⅳ 肝功能指标进行性恶化。</w:t>
      </w:r>
    </w:p>
    <w:p>
      <w:pPr>
        <w:spacing w:line="350" w:lineRule="exact" w:before="0"/>
        <w:ind w:left="318" w:right="0" w:firstLine="0"/>
        <w:jc w:val="left"/>
        <w:rPr>
          <w:rFonts w:ascii="微软雅黑" w:eastAsia="微软雅黑" w:hint="eastAsia"/>
          <w:b/>
          <w:sz w:val="21"/>
        </w:rPr>
      </w:pPr>
      <w:r>
        <w:rPr>
          <w:sz w:val="21"/>
        </w:rPr>
        <w:t>（9）</w:t>
      </w:r>
      <w:r>
        <w:rPr>
          <w:rFonts w:ascii="微软雅黑" w:eastAsia="微软雅黑" w:hint="eastAsia"/>
          <w:b/>
          <w:sz w:val="21"/>
          <w:u w:val="single"/>
        </w:rPr>
        <w:t>良性脑肿瘤</w:t>
      </w:r>
    </w:p>
    <w:p>
      <w:pPr>
        <w:pStyle w:val="BodyText"/>
        <w:spacing w:line="273" w:lineRule="auto" w:before="11"/>
        <w:ind w:right="121" w:hanging="10"/>
      </w:pPr>
      <w:r>
        <w:rPr>
          <w:spacing w:val="-11"/>
        </w:rPr>
        <w:t>指脑的良性肿瘤，已经引起颅内压增高，临床表现为视神经乳头水肿、精神症状、癫痫及运动感觉障碍等， </w:t>
      </w:r>
      <w:r>
        <w:rPr>
          <w:spacing w:val="-6"/>
        </w:rPr>
        <w:t>并危及生命。须由头颅断层扫描</w:t>
      </w:r>
      <w:r>
        <w:rPr/>
        <w:t>（CT）</w:t>
      </w:r>
      <w:r>
        <w:rPr>
          <w:spacing w:val="-4"/>
        </w:rPr>
        <w:t>、核磁共振检查</w:t>
      </w:r>
      <w:r>
        <w:rPr/>
        <w:t>（MRI）</w:t>
      </w:r>
      <w:r>
        <w:rPr>
          <w:spacing w:val="-4"/>
        </w:rPr>
        <w:t>或正电子发射断层扫描</w:t>
      </w:r>
      <w:r>
        <w:rPr/>
        <w:t>（PET）</w:t>
      </w:r>
      <w:r>
        <w:rPr>
          <w:spacing w:val="-3"/>
        </w:rPr>
        <w:t>等影像学检查证实，并须满足下列至少一项条件：</w:t>
      </w:r>
    </w:p>
    <w:p>
      <w:pPr>
        <w:pStyle w:val="BodyText"/>
        <w:spacing w:before="7"/>
        <w:ind w:left="414"/>
      </w:pPr>
      <w:r>
        <w:rPr/>
        <w:t>Ⅰ 实际实施了开颅进行的脑肿瘤完全切除或部分切除的手术；</w:t>
      </w:r>
    </w:p>
    <w:p>
      <w:pPr>
        <w:pStyle w:val="ListParagraph"/>
        <w:numPr>
          <w:ilvl w:val="0"/>
          <w:numId w:val="4"/>
        </w:numPr>
        <w:tabs>
          <w:tab w:pos="729" w:val="left" w:leader="none"/>
        </w:tabs>
        <w:spacing w:line="262" w:lineRule="exact" w:before="37" w:after="0"/>
        <w:ind w:left="728" w:right="0" w:hanging="314"/>
        <w:jc w:val="left"/>
        <w:rPr>
          <w:sz w:val="21"/>
        </w:rPr>
      </w:pPr>
      <w:r>
        <w:rPr>
          <w:spacing w:val="-3"/>
          <w:sz w:val="21"/>
        </w:rPr>
        <w:t>实际实施了对脑肿瘤进行的放射治疗。</w:t>
      </w:r>
    </w:p>
    <w:p>
      <w:pPr>
        <w:pStyle w:val="Heading2"/>
        <w:spacing w:line="325" w:lineRule="exact"/>
      </w:pPr>
      <w:r>
        <w:rPr/>
        <w:t>脑垂体瘤、脑囊肿、脑血管性疾病不在保障范围内。</w:t>
      </w:r>
    </w:p>
    <w:p>
      <w:pPr>
        <w:spacing w:line="337" w:lineRule="exact" w:before="0"/>
        <w:ind w:left="318" w:right="0" w:firstLine="0"/>
        <w:jc w:val="left"/>
        <w:rPr>
          <w:rFonts w:ascii="微软雅黑" w:eastAsia="微软雅黑" w:hint="eastAsia"/>
          <w:b/>
          <w:sz w:val="21"/>
        </w:rPr>
      </w:pPr>
      <w:r>
        <w:rPr>
          <w:sz w:val="21"/>
        </w:rPr>
        <w:t>（10）</w:t>
      </w:r>
      <w:r>
        <w:rPr>
          <w:rFonts w:ascii="微软雅黑" w:eastAsia="微软雅黑" w:hint="eastAsia"/>
          <w:b/>
          <w:sz w:val="21"/>
          <w:u w:val="single"/>
        </w:rPr>
        <w:t>慢性肝功能衰竭失代偿期</w:t>
      </w:r>
    </w:p>
    <w:p>
      <w:pPr>
        <w:pStyle w:val="BodyText"/>
        <w:spacing w:before="11"/>
        <w:ind w:left="203"/>
      </w:pPr>
      <w:r>
        <w:rPr/>
        <w:t>指因慢性肝脏疾病导致肝功能衰竭。须满足下列全部条件：</w:t>
      </w:r>
    </w:p>
    <w:p>
      <w:pPr>
        <w:pStyle w:val="BodyText"/>
        <w:spacing w:before="36"/>
        <w:ind w:left="414"/>
      </w:pPr>
      <w:r>
        <w:rPr/>
        <w:t>Ⅰ 持续性黄疸；</w:t>
      </w:r>
    </w:p>
    <w:p>
      <w:pPr>
        <w:pStyle w:val="ListParagraph"/>
        <w:numPr>
          <w:ilvl w:val="0"/>
          <w:numId w:val="4"/>
        </w:numPr>
        <w:tabs>
          <w:tab w:pos="729" w:val="left" w:leader="none"/>
        </w:tabs>
        <w:spacing w:line="240" w:lineRule="auto" w:before="36" w:after="0"/>
        <w:ind w:left="728" w:right="0" w:hanging="314"/>
        <w:jc w:val="left"/>
        <w:rPr>
          <w:sz w:val="21"/>
        </w:rPr>
      </w:pPr>
      <w:r>
        <w:rPr>
          <w:spacing w:val="-2"/>
          <w:sz w:val="21"/>
        </w:rPr>
        <w:t>腹水；</w:t>
      </w:r>
    </w:p>
    <w:p>
      <w:pPr>
        <w:pStyle w:val="BodyText"/>
        <w:spacing w:before="36"/>
        <w:ind w:left="414"/>
      </w:pPr>
      <w:r>
        <w:rPr/>
        <w:t>Ⅲ 肝性脑病；</w:t>
      </w:r>
    </w:p>
    <w:p>
      <w:pPr>
        <w:spacing w:line="223" w:lineRule="auto" w:before="56"/>
        <w:ind w:left="203" w:right="4726" w:firstLine="211"/>
        <w:jc w:val="left"/>
        <w:rPr>
          <w:rFonts w:ascii="微软雅黑" w:hAnsi="微软雅黑" w:eastAsia="微软雅黑" w:hint="eastAsia"/>
          <w:b/>
          <w:sz w:val="21"/>
        </w:rPr>
      </w:pPr>
      <w:r>
        <w:rPr>
          <w:sz w:val="21"/>
        </w:rPr>
        <w:t>Ⅳ 充血性脾肿大伴脾功能亢进或食管胃底静脉曲张。</w:t>
      </w:r>
      <w:r>
        <w:rPr>
          <w:rFonts w:ascii="微软雅黑" w:hAnsi="微软雅黑" w:eastAsia="微软雅黑" w:hint="eastAsia"/>
          <w:b/>
          <w:sz w:val="21"/>
        </w:rPr>
        <w:t>因酗酒或药物滥用导致的肝功能衰竭不在保障范围内。</w:t>
      </w:r>
    </w:p>
    <w:p>
      <w:pPr>
        <w:spacing w:line="312" w:lineRule="exact" w:before="0"/>
        <w:ind w:left="318" w:right="0" w:firstLine="0"/>
        <w:jc w:val="left"/>
        <w:rPr>
          <w:rFonts w:ascii="微软雅黑" w:eastAsia="微软雅黑" w:hint="eastAsia"/>
          <w:b/>
          <w:sz w:val="21"/>
        </w:rPr>
      </w:pPr>
      <w:r>
        <w:rPr>
          <w:sz w:val="21"/>
        </w:rPr>
        <w:t>（11）</w:t>
      </w:r>
      <w:r>
        <w:rPr>
          <w:rFonts w:ascii="微软雅黑" w:eastAsia="微软雅黑" w:hint="eastAsia"/>
          <w:b/>
          <w:sz w:val="21"/>
          <w:u w:val="single"/>
        </w:rPr>
        <w:t>脑炎后遗症或脑膜炎后遗症</w:t>
      </w:r>
    </w:p>
    <w:p>
      <w:pPr>
        <w:pStyle w:val="BodyText"/>
        <w:spacing w:line="273" w:lineRule="auto" w:before="11"/>
        <w:ind w:right="222" w:hanging="10"/>
      </w:pPr>
      <w:r>
        <w:rPr>
          <w:spacing w:val="-7"/>
        </w:rPr>
        <w:t>指因患脑炎或脑膜炎导致的神经系统永久性的功能障碍。神经系统永久性的功能障碍，指疾病确诊 </w:t>
      </w:r>
      <w:r>
        <w:rPr/>
        <w:t>180</w:t>
      </w:r>
      <w:r>
        <w:rPr>
          <w:spacing w:val="12"/>
        </w:rPr>
        <w:t> 天</w:t>
      </w:r>
      <w:r>
        <w:rPr>
          <w:spacing w:val="-3"/>
        </w:rPr>
        <w:t>后，仍遗留下列一种或一种以上障碍：</w:t>
      </w:r>
    </w:p>
    <w:p>
      <w:pPr>
        <w:pStyle w:val="BodyText"/>
        <w:spacing w:before="7"/>
        <w:ind w:left="414"/>
      </w:pPr>
      <w:r>
        <w:rPr/>
        <w:t>Ⅰ 一肢或一肢以上肢体机能完全丧失；</w:t>
      </w:r>
    </w:p>
    <w:p>
      <w:pPr>
        <w:pStyle w:val="ListParagraph"/>
        <w:numPr>
          <w:ilvl w:val="0"/>
          <w:numId w:val="4"/>
        </w:numPr>
        <w:tabs>
          <w:tab w:pos="729" w:val="left" w:leader="none"/>
        </w:tabs>
        <w:spacing w:line="240" w:lineRule="auto" w:before="37" w:after="0"/>
        <w:ind w:left="728" w:right="0" w:hanging="314"/>
        <w:jc w:val="left"/>
        <w:rPr>
          <w:sz w:val="21"/>
        </w:rPr>
      </w:pPr>
      <w:r>
        <w:rPr>
          <w:spacing w:val="-3"/>
          <w:sz w:val="21"/>
        </w:rPr>
        <w:t>语言能力或咀嚼吞咽能力完全丧失；</w:t>
      </w:r>
    </w:p>
    <w:p>
      <w:pPr>
        <w:pStyle w:val="BodyText"/>
        <w:spacing w:line="262" w:lineRule="exact" w:before="37"/>
        <w:ind w:left="414"/>
      </w:pPr>
      <w:r>
        <w:rPr/>
        <w:t>Ⅲ 自主生活能力完全丧失，无法独立完成六项基本日常生活活动中的三项或三项以上。</w:t>
      </w:r>
    </w:p>
    <w:p>
      <w:pPr>
        <w:spacing w:line="350" w:lineRule="exact" w:before="0"/>
        <w:ind w:left="318" w:right="0" w:firstLine="0"/>
        <w:jc w:val="left"/>
        <w:rPr>
          <w:rFonts w:ascii="微软雅黑" w:eastAsia="微软雅黑" w:hint="eastAsia"/>
          <w:b/>
          <w:sz w:val="21"/>
        </w:rPr>
      </w:pPr>
      <w:r>
        <w:rPr>
          <w:sz w:val="21"/>
        </w:rPr>
        <w:t>（12）</w:t>
      </w:r>
      <w:r>
        <w:rPr>
          <w:rFonts w:ascii="微软雅黑" w:eastAsia="微软雅黑" w:hint="eastAsia"/>
          <w:b/>
          <w:sz w:val="21"/>
          <w:u w:val="single"/>
        </w:rPr>
        <w:t>深度昏迷</w:t>
      </w:r>
    </w:p>
    <w:p>
      <w:pPr>
        <w:pStyle w:val="BodyText"/>
        <w:spacing w:before="12"/>
        <w:ind w:left="203"/>
      </w:pPr>
      <w:r>
        <w:rPr/>
        <w:t>指因疾病或意外伤害导致意识丧失,对外界刺激和体内需求均无反应,昏迷程度按照格拉斯哥昏迷分级</w:t>
      </w:r>
    </w:p>
    <w:p>
      <w:pPr>
        <w:spacing w:line="223" w:lineRule="auto" w:before="56"/>
        <w:ind w:left="212" w:right="224" w:hanging="1"/>
        <w:jc w:val="left"/>
        <w:rPr>
          <w:rFonts w:ascii="微软雅黑" w:eastAsia="微软雅黑" w:hint="eastAsia"/>
          <w:b/>
          <w:sz w:val="21"/>
        </w:rPr>
      </w:pPr>
      <w:r>
        <w:rPr>
          <w:sz w:val="21"/>
        </w:rPr>
        <w:t>（Glasgow coma scale）</w:t>
      </w:r>
      <w:r>
        <w:rPr>
          <w:spacing w:val="-15"/>
          <w:sz w:val="21"/>
        </w:rPr>
        <w:t>结果为 </w:t>
      </w:r>
      <w:r>
        <w:rPr>
          <w:sz w:val="21"/>
        </w:rPr>
        <w:t>5</w:t>
      </w:r>
      <w:r>
        <w:rPr>
          <w:spacing w:val="-13"/>
          <w:sz w:val="21"/>
        </w:rPr>
        <w:t> 分或 </w:t>
      </w:r>
      <w:r>
        <w:rPr>
          <w:sz w:val="21"/>
        </w:rPr>
        <w:t>5</w:t>
      </w:r>
      <w:r>
        <w:rPr>
          <w:spacing w:val="-5"/>
          <w:sz w:val="21"/>
        </w:rPr>
        <w:t> 分以下，且已经持续使用呼吸机及其它生命维持系统 </w:t>
      </w:r>
      <w:r>
        <w:rPr>
          <w:sz w:val="21"/>
        </w:rPr>
        <w:t>96</w:t>
      </w:r>
      <w:r>
        <w:rPr>
          <w:spacing w:val="-1"/>
          <w:sz w:val="21"/>
        </w:rPr>
        <w:t> 小时以</w:t>
      </w:r>
      <w:r>
        <w:rPr>
          <w:spacing w:val="-2"/>
          <w:sz w:val="21"/>
        </w:rPr>
        <w:t>上。</w:t>
      </w:r>
      <w:r>
        <w:rPr>
          <w:rFonts w:ascii="微软雅黑" w:eastAsia="微软雅黑" w:hint="eastAsia"/>
          <w:b/>
          <w:spacing w:val="-3"/>
          <w:sz w:val="21"/>
        </w:rPr>
        <w:t>因酗酒或药物滥用导致的深度昏迷不在保障范围内。</w:t>
      </w:r>
    </w:p>
    <w:p>
      <w:pPr>
        <w:spacing w:line="312" w:lineRule="exact" w:before="0"/>
        <w:ind w:left="318" w:right="0" w:firstLine="0"/>
        <w:jc w:val="left"/>
        <w:rPr>
          <w:rFonts w:ascii="微软雅黑" w:eastAsia="微软雅黑" w:hint="eastAsia"/>
          <w:b/>
          <w:sz w:val="21"/>
        </w:rPr>
      </w:pPr>
      <w:r>
        <w:rPr>
          <w:sz w:val="21"/>
        </w:rPr>
        <w:t>（13）</w:t>
      </w:r>
      <w:r>
        <w:rPr>
          <w:rFonts w:ascii="微软雅黑" w:eastAsia="微软雅黑" w:hint="eastAsia"/>
          <w:b/>
          <w:sz w:val="21"/>
          <w:u w:val="single"/>
        </w:rPr>
        <w:t>双耳失聪</w:t>
      </w:r>
    </w:p>
    <w:p>
      <w:pPr>
        <w:pStyle w:val="BodyText"/>
        <w:spacing w:before="12"/>
        <w:ind w:left="203"/>
      </w:pPr>
      <w:r>
        <w:rPr/>
        <w:t>指因疾病或意外伤害导致双耳听力永久不可逆性丧失，在 500 赫兹、1000 赫兹和 2000 赫兹语音频率下，</w:t>
      </w:r>
    </w:p>
    <w:p>
      <w:pPr>
        <w:pStyle w:val="BodyText"/>
        <w:spacing w:line="262" w:lineRule="exact" w:before="37"/>
      </w:pPr>
      <w:r>
        <w:rPr/>
        <w:t>平均听阈大于 90 分贝，且经纯音听力测试、声导抗检测或听觉诱发电位检测等证实。</w:t>
      </w:r>
    </w:p>
    <w:p>
      <w:pPr>
        <w:pStyle w:val="Heading2"/>
        <w:spacing w:line="206" w:lineRule="auto" w:before="38"/>
        <w:ind w:right="226" w:hanging="10"/>
      </w:pPr>
      <w:r>
        <w:rPr>
          <w:spacing w:val="-3"/>
        </w:rPr>
        <w:t>申请理赔时被保险人的年龄必须在 </w:t>
      </w:r>
      <w:r>
        <w:rPr/>
        <w:t>3</w:t>
      </w:r>
      <w:r>
        <w:rPr>
          <w:spacing w:val="-10"/>
        </w:rPr>
        <w:t> 周岁以上，并需提供被保险人 </w:t>
      </w:r>
      <w:r>
        <w:rPr/>
        <w:t>3</w:t>
      </w:r>
      <w:r>
        <w:rPr>
          <w:spacing w:val="-4"/>
        </w:rPr>
        <w:t> 周岁以后的听力丧失诊断及相关检查报告。</w:t>
      </w:r>
    </w:p>
    <w:p>
      <w:pPr>
        <w:spacing w:line="312" w:lineRule="exact" w:before="0"/>
        <w:ind w:left="318" w:right="0" w:firstLine="0"/>
        <w:jc w:val="left"/>
        <w:rPr>
          <w:rFonts w:ascii="微软雅黑" w:eastAsia="微软雅黑" w:hint="eastAsia"/>
          <w:b/>
          <w:sz w:val="21"/>
        </w:rPr>
      </w:pPr>
      <w:r>
        <w:rPr>
          <w:sz w:val="21"/>
        </w:rPr>
        <w:t>（14）</w:t>
      </w:r>
      <w:r>
        <w:rPr>
          <w:rFonts w:ascii="微软雅黑" w:eastAsia="微软雅黑" w:hint="eastAsia"/>
          <w:b/>
          <w:sz w:val="21"/>
          <w:u w:val="single"/>
        </w:rPr>
        <w:t>双目失明</w:t>
      </w:r>
    </w:p>
    <w:p>
      <w:pPr>
        <w:spacing w:after="0" w:line="312" w:lineRule="exact"/>
        <w:jc w:val="left"/>
        <w:rPr>
          <w:rFonts w:ascii="微软雅黑" w:eastAsia="微软雅黑" w:hint="eastAsia"/>
          <w:sz w:val="21"/>
        </w:rPr>
        <w:sectPr>
          <w:pgSz w:w="11900" w:h="16840"/>
          <w:pgMar w:header="892" w:footer="547" w:top="1080" w:bottom="740" w:left="920" w:right="900"/>
        </w:sectPr>
      </w:pPr>
    </w:p>
    <w:p>
      <w:pPr>
        <w:pStyle w:val="BodyText"/>
        <w:spacing w:before="13"/>
        <w:ind w:left="0"/>
        <w:rPr>
          <w:rFonts w:ascii="微软雅黑"/>
          <w:b/>
          <w:sz w:val="7"/>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before="75"/>
        <w:ind w:left="203"/>
        <w:jc w:val="both"/>
      </w:pPr>
      <w:r>
        <w:rPr/>
        <w:t>指因疾病或意外伤害导致双眼视力永久不可逆性丧失，双眼中较好眼须满足下列至少一项条件：</w:t>
      </w:r>
    </w:p>
    <w:p>
      <w:pPr>
        <w:pStyle w:val="BodyText"/>
        <w:spacing w:before="36"/>
        <w:ind w:left="414"/>
      </w:pPr>
      <w:r>
        <w:rPr/>
        <w:t>Ⅰ 眼球缺失或摘除；</w:t>
      </w:r>
    </w:p>
    <w:p>
      <w:pPr>
        <w:pStyle w:val="ListParagraph"/>
        <w:numPr>
          <w:ilvl w:val="0"/>
          <w:numId w:val="4"/>
        </w:numPr>
        <w:tabs>
          <w:tab w:pos="729" w:val="left" w:leader="none"/>
        </w:tabs>
        <w:spacing w:line="240" w:lineRule="auto" w:before="36" w:after="0"/>
        <w:ind w:left="728" w:right="0" w:hanging="314"/>
        <w:jc w:val="left"/>
        <w:rPr>
          <w:sz w:val="21"/>
        </w:rPr>
      </w:pPr>
      <w:r>
        <w:rPr>
          <w:spacing w:val="-6"/>
          <w:sz w:val="21"/>
        </w:rPr>
        <w:t>矫正视力低于 </w:t>
      </w:r>
      <w:r>
        <w:rPr>
          <w:sz w:val="21"/>
        </w:rPr>
        <w:t>0.02（</w:t>
      </w:r>
      <w:r>
        <w:rPr>
          <w:spacing w:val="-3"/>
          <w:sz w:val="21"/>
        </w:rPr>
        <w:t>采用国际标准视力表，如果使用其它视力表应进行换算</w:t>
      </w:r>
      <w:r>
        <w:rPr>
          <w:sz w:val="21"/>
        </w:rPr>
        <w:t>）；</w:t>
      </w:r>
    </w:p>
    <w:p>
      <w:pPr>
        <w:pStyle w:val="BodyText"/>
        <w:spacing w:line="262" w:lineRule="exact" w:before="36"/>
        <w:ind w:left="414"/>
      </w:pPr>
      <w:r>
        <w:rPr/>
        <w:t>Ⅲ 视野半径小于 5 度。</w:t>
      </w:r>
    </w:p>
    <w:p>
      <w:pPr>
        <w:pStyle w:val="Heading2"/>
        <w:spacing w:line="206" w:lineRule="auto" w:before="37"/>
        <w:ind w:right="206" w:hanging="10"/>
      </w:pPr>
      <w:r>
        <w:rPr>
          <w:spacing w:val="-3"/>
        </w:rPr>
        <w:t>申请理赔时被保险人的年龄必须在 </w:t>
      </w:r>
      <w:r>
        <w:rPr/>
        <w:t>3</w:t>
      </w:r>
      <w:r>
        <w:rPr>
          <w:spacing w:val="-10"/>
        </w:rPr>
        <w:t> 周岁以上，并需提供被保险人 </w:t>
      </w:r>
      <w:r>
        <w:rPr/>
        <w:t>3</w:t>
      </w:r>
      <w:r>
        <w:rPr>
          <w:spacing w:val="-4"/>
        </w:rPr>
        <w:t> 周岁以后的视力丧失诊断及相关检查报告，双侧眼球摘除不受此时间限制。</w:t>
      </w:r>
    </w:p>
    <w:p>
      <w:pPr>
        <w:spacing w:line="312" w:lineRule="exact" w:before="0"/>
        <w:ind w:left="318" w:right="0" w:firstLine="0"/>
        <w:jc w:val="left"/>
        <w:rPr>
          <w:rFonts w:ascii="微软雅黑" w:eastAsia="微软雅黑" w:hint="eastAsia"/>
          <w:b/>
          <w:sz w:val="21"/>
        </w:rPr>
      </w:pPr>
      <w:r>
        <w:rPr>
          <w:sz w:val="21"/>
        </w:rPr>
        <w:t>（15）</w:t>
      </w:r>
      <w:r>
        <w:rPr>
          <w:rFonts w:ascii="微软雅黑" w:eastAsia="微软雅黑" w:hint="eastAsia"/>
          <w:b/>
          <w:sz w:val="21"/>
          <w:u w:val="single"/>
        </w:rPr>
        <w:t>瘫痪</w:t>
      </w:r>
    </w:p>
    <w:p>
      <w:pPr>
        <w:pStyle w:val="BodyText"/>
        <w:spacing w:before="12"/>
        <w:ind w:left="203"/>
        <w:jc w:val="both"/>
      </w:pPr>
      <w:r>
        <w:rPr>
          <w:spacing w:val="-9"/>
        </w:rPr>
        <w:t>指因疾病或意外伤害导致两肢或两肢以上肢体机能永久完全丧失。肢体机能永久完全丧失，指疾病确诊 </w:t>
      </w:r>
      <w:r>
        <w:rPr/>
        <w:t>180</w:t>
      </w:r>
    </w:p>
    <w:p>
      <w:pPr>
        <w:pStyle w:val="BodyText"/>
        <w:spacing w:line="262" w:lineRule="exact" w:before="36"/>
        <w:jc w:val="both"/>
      </w:pPr>
      <w:r>
        <w:rPr/>
        <w:t>天后或意外伤害发生 180 天后，每肢三大关节中的两大关节仍然完全僵硬，或不能随意识活动。</w:t>
      </w:r>
    </w:p>
    <w:p>
      <w:pPr>
        <w:spacing w:line="350" w:lineRule="exact" w:before="0"/>
        <w:ind w:left="318" w:right="0" w:firstLine="0"/>
        <w:jc w:val="left"/>
        <w:rPr>
          <w:rFonts w:ascii="微软雅黑" w:eastAsia="微软雅黑" w:hint="eastAsia"/>
          <w:b/>
          <w:sz w:val="21"/>
        </w:rPr>
      </w:pPr>
      <w:r>
        <w:rPr>
          <w:sz w:val="21"/>
        </w:rPr>
        <w:t>（16）</w:t>
      </w:r>
      <w:r>
        <w:rPr>
          <w:rFonts w:ascii="微软雅黑" w:eastAsia="微软雅黑" w:hint="eastAsia"/>
          <w:b/>
          <w:sz w:val="21"/>
          <w:u w:val="single"/>
        </w:rPr>
        <w:t>心脏瓣膜手术</w:t>
      </w:r>
    </w:p>
    <w:p>
      <w:pPr>
        <w:pStyle w:val="BodyText"/>
        <w:spacing w:line="262" w:lineRule="exact" w:before="12"/>
        <w:ind w:left="203"/>
        <w:jc w:val="both"/>
      </w:pPr>
      <w:r>
        <w:rPr/>
        <w:t>指为治疗心脏瓣膜疾病，实际实施了开胸进行的心脏瓣膜置换或修复的手术。</w:t>
      </w:r>
    </w:p>
    <w:p>
      <w:pPr>
        <w:spacing w:line="350" w:lineRule="exact" w:before="0"/>
        <w:ind w:left="318" w:right="0" w:firstLine="0"/>
        <w:jc w:val="left"/>
        <w:rPr>
          <w:rFonts w:ascii="微软雅黑" w:eastAsia="微软雅黑" w:hint="eastAsia"/>
          <w:b/>
          <w:sz w:val="21"/>
        </w:rPr>
      </w:pPr>
      <w:r>
        <w:rPr>
          <w:sz w:val="21"/>
        </w:rPr>
        <w:t>（17）</w:t>
      </w:r>
      <w:r>
        <w:rPr>
          <w:rFonts w:ascii="微软雅黑" w:eastAsia="微软雅黑" w:hint="eastAsia"/>
          <w:b/>
          <w:sz w:val="21"/>
          <w:u w:val="single"/>
        </w:rPr>
        <w:t>严重阿尔茨海默症</w:t>
      </w:r>
    </w:p>
    <w:p>
      <w:pPr>
        <w:pStyle w:val="BodyText"/>
        <w:spacing w:line="273" w:lineRule="auto" w:before="12"/>
        <w:ind w:right="202" w:hanging="10"/>
        <w:jc w:val="both"/>
      </w:pPr>
      <w:r>
        <w:rPr>
          <w:spacing w:val="-5"/>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w:t>
      </w:r>
      <w:r>
        <w:rPr>
          <w:spacing w:val="-4"/>
        </w:rPr>
        <w:t>生活活动中的三项或三项以上。</w:t>
      </w:r>
    </w:p>
    <w:p>
      <w:pPr>
        <w:pStyle w:val="Heading2"/>
        <w:spacing w:line="283" w:lineRule="exact"/>
        <w:ind w:left="203"/>
        <w:jc w:val="both"/>
      </w:pPr>
      <w:r>
        <w:rPr/>
        <w:t>神经官能症和精神疾病不在保障范围内。</w:t>
      </w:r>
    </w:p>
    <w:p>
      <w:pPr>
        <w:spacing w:line="312" w:lineRule="exact" w:before="0"/>
        <w:ind w:left="203" w:right="0" w:firstLine="0"/>
        <w:jc w:val="both"/>
        <w:rPr>
          <w:rFonts w:ascii="微软雅黑" w:eastAsia="微软雅黑" w:hint="eastAsia"/>
          <w:b/>
          <w:sz w:val="21"/>
        </w:rPr>
      </w:pPr>
      <w:r>
        <w:rPr>
          <w:rFonts w:ascii="微软雅黑" w:eastAsia="微软雅黑" w:hint="eastAsia"/>
          <w:b/>
          <w:sz w:val="21"/>
        </w:rPr>
        <w:t>我们只对被保险人在 70 周岁前被确诊患有本病承担保险责任。</w:t>
      </w:r>
    </w:p>
    <w:p>
      <w:pPr>
        <w:spacing w:line="337" w:lineRule="exact" w:before="0"/>
        <w:ind w:left="318" w:right="0" w:firstLine="0"/>
        <w:jc w:val="left"/>
        <w:rPr>
          <w:rFonts w:ascii="微软雅黑" w:eastAsia="微软雅黑" w:hint="eastAsia"/>
          <w:b/>
          <w:sz w:val="21"/>
        </w:rPr>
      </w:pPr>
      <w:r>
        <w:rPr>
          <w:sz w:val="21"/>
        </w:rPr>
        <w:t>（18）</w:t>
      </w:r>
      <w:r>
        <w:rPr>
          <w:rFonts w:ascii="微软雅黑" w:eastAsia="微软雅黑" w:hint="eastAsia"/>
          <w:b/>
          <w:sz w:val="21"/>
          <w:u w:val="single"/>
        </w:rPr>
        <w:t>严重脑损伤</w:t>
      </w:r>
    </w:p>
    <w:p>
      <w:pPr>
        <w:pStyle w:val="BodyText"/>
        <w:spacing w:before="12"/>
        <w:ind w:left="203"/>
        <w:jc w:val="both"/>
      </w:pPr>
      <w:r>
        <w:rPr/>
        <w:t>指因头部遭受机械性外力，引起脑重要部位损伤，导致神经系统永久性的功能障碍。须由头颅断层扫描</w:t>
      </w:r>
    </w:p>
    <w:p>
      <w:pPr>
        <w:pStyle w:val="BodyText"/>
        <w:spacing w:line="273" w:lineRule="auto" w:before="37"/>
        <w:ind w:right="157"/>
      </w:pPr>
      <w:r>
        <w:rPr/>
        <w:t>（CT）、核磁共振检查（MRI）或正电子发射断层扫描（PET）等影像学检查证实。神经系统永久性的功能障碍，指脑损伤 180 天后，仍遗留下列一种或一种以上障碍：</w:t>
      </w:r>
    </w:p>
    <w:p>
      <w:pPr>
        <w:pStyle w:val="BodyText"/>
        <w:spacing w:before="7"/>
        <w:ind w:left="414"/>
      </w:pPr>
      <w:r>
        <w:rPr/>
        <w:t>Ⅰ 一肢或一肢以上肢体机能完全丧失；</w:t>
      </w:r>
    </w:p>
    <w:p>
      <w:pPr>
        <w:pStyle w:val="ListParagraph"/>
        <w:numPr>
          <w:ilvl w:val="0"/>
          <w:numId w:val="4"/>
        </w:numPr>
        <w:tabs>
          <w:tab w:pos="729" w:val="left" w:leader="none"/>
        </w:tabs>
        <w:spacing w:line="240" w:lineRule="auto" w:before="36" w:after="0"/>
        <w:ind w:left="728" w:right="0" w:hanging="314"/>
        <w:jc w:val="left"/>
        <w:rPr>
          <w:sz w:val="21"/>
        </w:rPr>
      </w:pPr>
      <w:r>
        <w:rPr>
          <w:spacing w:val="-3"/>
          <w:sz w:val="21"/>
        </w:rPr>
        <w:t>语言能力或咀嚼吞咽能力完全丧失；</w:t>
      </w:r>
    </w:p>
    <w:p>
      <w:pPr>
        <w:pStyle w:val="BodyText"/>
        <w:spacing w:line="262" w:lineRule="exact" w:before="36"/>
        <w:ind w:left="414"/>
      </w:pPr>
      <w:r>
        <w:rPr/>
        <w:t>Ⅲ 自主生活能力完全丧失，无法独立完成六项基本日常生活活动中的三项或三项以上。</w:t>
      </w:r>
    </w:p>
    <w:p>
      <w:pPr>
        <w:spacing w:line="350" w:lineRule="exact" w:before="0"/>
        <w:ind w:left="318" w:right="0" w:firstLine="0"/>
        <w:jc w:val="left"/>
        <w:rPr>
          <w:rFonts w:ascii="微软雅黑" w:eastAsia="微软雅黑" w:hint="eastAsia"/>
          <w:b/>
          <w:sz w:val="21"/>
        </w:rPr>
      </w:pPr>
      <w:r>
        <w:rPr>
          <w:sz w:val="21"/>
        </w:rPr>
        <w:t>（19）</w:t>
      </w:r>
      <w:r>
        <w:rPr>
          <w:rFonts w:ascii="微软雅黑" w:eastAsia="微软雅黑" w:hint="eastAsia"/>
          <w:b/>
          <w:sz w:val="21"/>
          <w:u w:val="single"/>
        </w:rPr>
        <w:t>严重帕金森病</w:t>
      </w:r>
    </w:p>
    <w:p>
      <w:pPr>
        <w:pStyle w:val="BodyText"/>
        <w:spacing w:before="12"/>
        <w:ind w:left="203"/>
        <w:jc w:val="both"/>
      </w:pPr>
      <w:r>
        <w:rPr/>
        <w:t>是一种中枢神经系统的退行性疾病，临床表现为震颤麻痹、共济失调等。须满足下列全部条件：</w:t>
      </w:r>
    </w:p>
    <w:p>
      <w:pPr>
        <w:pStyle w:val="BodyText"/>
        <w:spacing w:before="36"/>
        <w:ind w:left="414"/>
      </w:pPr>
      <w:r>
        <w:rPr/>
        <w:t>Ⅰ 药物治疗无法控制病情；</w:t>
      </w:r>
    </w:p>
    <w:p>
      <w:pPr>
        <w:pStyle w:val="ListParagraph"/>
        <w:numPr>
          <w:ilvl w:val="0"/>
          <w:numId w:val="4"/>
        </w:numPr>
        <w:tabs>
          <w:tab w:pos="729" w:val="left" w:leader="none"/>
        </w:tabs>
        <w:spacing w:line="223" w:lineRule="auto" w:before="55" w:after="0"/>
        <w:ind w:left="203" w:right="1555" w:firstLine="211"/>
        <w:jc w:val="left"/>
        <w:rPr>
          <w:b/>
          <w:sz w:val="21"/>
        </w:rPr>
      </w:pPr>
      <w:r>
        <w:rPr>
          <w:spacing w:val="-3"/>
          <w:sz w:val="21"/>
        </w:rPr>
        <w:t>自主生活能力完全丧失，无法独立完成六项基本日常生活活动中的三项或三项以上。</w:t>
      </w:r>
      <w:r>
        <w:rPr>
          <w:rFonts w:ascii="微软雅黑" w:eastAsia="微软雅黑" w:hint="eastAsia"/>
          <w:b/>
          <w:spacing w:val="-3"/>
          <w:sz w:val="21"/>
        </w:rPr>
        <w:t>继发性帕金森综合征不在保障范围内。</w:t>
      </w:r>
    </w:p>
    <w:p>
      <w:pPr>
        <w:pStyle w:val="Heading2"/>
        <w:spacing w:line="287" w:lineRule="exact"/>
        <w:ind w:left="203"/>
      </w:pPr>
      <w:r>
        <w:rPr/>
        <w:t>我们只对被保险人在 70 周岁前被确诊患有本病承担保险责任。</w:t>
      </w:r>
    </w:p>
    <w:p>
      <w:pPr>
        <w:spacing w:line="337" w:lineRule="exact" w:before="0"/>
        <w:ind w:left="318" w:right="0" w:firstLine="0"/>
        <w:jc w:val="left"/>
        <w:rPr>
          <w:rFonts w:ascii="微软雅黑" w:hAnsi="微软雅黑" w:eastAsia="微软雅黑" w:hint="eastAsia"/>
          <w:b/>
          <w:sz w:val="21"/>
        </w:rPr>
      </w:pPr>
      <w:r>
        <w:rPr>
          <w:sz w:val="21"/>
        </w:rPr>
        <w:t>（20）</w:t>
      </w:r>
      <w:r>
        <w:rPr>
          <w:rFonts w:ascii="微软雅黑" w:hAnsi="微软雅黑" w:eastAsia="微软雅黑" w:hint="eastAsia"/>
          <w:b/>
          <w:sz w:val="21"/>
          <w:u w:val="single"/>
        </w:rPr>
        <w:t>严重Ⅲ度烧伤</w:t>
      </w:r>
    </w:p>
    <w:p>
      <w:pPr>
        <w:pStyle w:val="BodyText"/>
        <w:spacing w:line="273" w:lineRule="auto" w:before="11"/>
        <w:ind w:right="158" w:hanging="10"/>
      </w:pPr>
      <w:r>
        <w:rPr/>
        <w:t>指烧伤程度为Ⅲ度，且Ⅲ度烧伤的面积达到全身体表面积的 20％或 20％以上。体表面积根据《中国新九分法》计算。</w:t>
      </w:r>
    </w:p>
    <w:p>
      <w:pPr>
        <w:spacing w:line="308" w:lineRule="exact" w:before="0"/>
        <w:ind w:left="318" w:right="0" w:firstLine="0"/>
        <w:jc w:val="left"/>
        <w:rPr>
          <w:rFonts w:ascii="微软雅黑" w:eastAsia="微软雅黑" w:hint="eastAsia"/>
          <w:b/>
          <w:sz w:val="21"/>
        </w:rPr>
      </w:pPr>
      <w:r>
        <w:rPr>
          <w:sz w:val="21"/>
        </w:rPr>
        <w:t>（21）</w:t>
      </w:r>
      <w:r>
        <w:rPr>
          <w:rFonts w:ascii="微软雅黑" w:eastAsia="微软雅黑" w:hint="eastAsia"/>
          <w:b/>
          <w:sz w:val="21"/>
          <w:u w:val="single"/>
        </w:rPr>
        <w:t>严重原发性肺动脉高压</w:t>
      </w:r>
    </w:p>
    <w:p>
      <w:pPr>
        <w:pStyle w:val="BodyText"/>
        <w:spacing w:line="273" w:lineRule="auto" w:before="12"/>
        <w:ind w:right="202" w:hanging="10"/>
      </w:pPr>
      <w:r>
        <w:rPr>
          <w:spacing w:val="-5"/>
        </w:rPr>
        <w:t>指不明原因的肺动脉压力持续性增高，进行性发展而导致的慢性疾病，已经造成永久不可逆性的体力活动</w:t>
      </w:r>
      <w:r>
        <w:rPr>
          <w:spacing w:val="-6"/>
        </w:rPr>
        <w:t>能力受限，达到美国纽约心脏病学会心功能状态分级 </w:t>
      </w:r>
      <w:r>
        <w:rPr/>
        <w:t>IV</w:t>
      </w:r>
      <w:r>
        <w:rPr>
          <w:spacing w:val="-6"/>
        </w:rPr>
        <w:t> 级，且静息状态下肺动脉平均压超过 </w:t>
      </w:r>
      <w:r>
        <w:rPr/>
        <w:t>30mmHg。</w:t>
      </w:r>
    </w:p>
    <w:p>
      <w:pPr>
        <w:spacing w:line="308" w:lineRule="exact" w:before="0"/>
        <w:ind w:left="318" w:right="0" w:firstLine="0"/>
        <w:jc w:val="left"/>
        <w:rPr>
          <w:rFonts w:ascii="微软雅黑" w:eastAsia="微软雅黑" w:hint="eastAsia"/>
          <w:b/>
          <w:sz w:val="21"/>
        </w:rPr>
      </w:pPr>
      <w:r>
        <w:rPr>
          <w:sz w:val="21"/>
        </w:rPr>
        <w:t>（22）</w:t>
      </w:r>
      <w:r>
        <w:rPr>
          <w:rFonts w:ascii="微软雅黑" w:eastAsia="微软雅黑" w:hint="eastAsia"/>
          <w:b/>
          <w:sz w:val="21"/>
          <w:u w:val="single"/>
        </w:rPr>
        <w:t>严重运动神经元病</w:t>
      </w:r>
    </w:p>
    <w:p>
      <w:pPr>
        <w:pStyle w:val="BodyText"/>
        <w:spacing w:line="273" w:lineRule="auto" w:before="11"/>
        <w:ind w:right="202" w:hanging="10"/>
        <w:jc w:val="both"/>
      </w:pPr>
      <w:r>
        <w:rPr>
          <w:spacing w:val="-6"/>
        </w:rPr>
        <w:t>是一组中枢神经系统运动神经元的进行性变性疾病，包括进行性脊肌萎缩症、进行性延髓麻痹症、原发性</w:t>
      </w:r>
      <w:r>
        <w:rPr>
          <w:spacing w:val="-7"/>
        </w:rPr>
        <w:t>侧索硬化症、肌萎缩性侧索硬化症。须满足自主生活能力完全丧失，无法独立完成六项基本日常生活活动</w:t>
      </w:r>
      <w:r>
        <w:rPr>
          <w:spacing w:val="-5"/>
        </w:rPr>
        <w:t>中的三项或三项以上的条件。</w:t>
      </w:r>
    </w:p>
    <w:p>
      <w:pPr>
        <w:spacing w:line="308" w:lineRule="exact" w:before="0"/>
        <w:ind w:left="318" w:right="0" w:firstLine="0"/>
        <w:jc w:val="left"/>
        <w:rPr>
          <w:rFonts w:ascii="微软雅黑" w:eastAsia="微软雅黑" w:hint="eastAsia"/>
          <w:b/>
          <w:sz w:val="21"/>
        </w:rPr>
      </w:pPr>
      <w:r>
        <w:rPr>
          <w:sz w:val="21"/>
        </w:rPr>
        <w:t>（23）</w:t>
      </w:r>
      <w:r>
        <w:rPr>
          <w:rFonts w:ascii="微软雅黑" w:eastAsia="微软雅黑" w:hint="eastAsia"/>
          <w:b/>
          <w:sz w:val="21"/>
          <w:u w:val="single"/>
        </w:rPr>
        <w:t>语言能力丧失</w:t>
      </w:r>
    </w:p>
    <w:p>
      <w:pPr>
        <w:pStyle w:val="BodyText"/>
        <w:spacing w:line="273" w:lineRule="auto" w:before="12"/>
        <w:ind w:right="98" w:hanging="10"/>
      </w:pPr>
      <w:r>
        <w:rPr>
          <w:spacing w:val="-8"/>
          <w:w w:val="100"/>
        </w:rPr>
        <w:t>指因疾病或意外伤害导致完全丧失语言能力，经过积极治疗至少</w:t>
      </w:r>
      <w:r>
        <w:rPr>
          <w:spacing w:val="-8"/>
        </w:rPr>
        <w:t> </w:t>
      </w:r>
      <w:r>
        <w:rPr>
          <w:w w:val="100"/>
        </w:rPr>
        <w:t>12</w:t>
      </w:r>
      <w:r>
        <w:rPr/>
        <w:t> </w:t>
      </w:r>
      <w:r>
        <w:rPr>
          <w:spacing w:val="-47"/>
          <w:w w:val="100"/>
        </w:rPr>
        <w:t>个月</w:t>
      </w:r>
      <w:r>
        <w:rPr>
          <w:w w:val="100"/>
        </w:rPr>
        <w:t>（</w:t>
      </w:r>
      <w:r>
        <w:rPr>
          <w:spacing w:val="-3"/>
          <w:w w:val="100"/>
        </w:rPr>
        <w:t>声带完全切除不受此时间限制</w:t>
      </w:r>
      <w:r>
        <w:rPr>
          <w:spacing w:val="-94"/>
          <w:w w:val="100"/>
        </w:rPr>
        <w:t>）</w:t>
      </w:r>
      <w:r>
        <w:rPr>
          <w:w w:val="100"/>
        </w:rPr>
        <w:t>，</w:t>
      </w:r>
      <w:r>
        <w:rPr>
          <w:spacing w:val="-3"/>
        </w:rPr>
        <w:t>仍无法通过现有医疗手段恢复。</w:t>
      </w:r>
    </w:p>
    <w:p>
      <w:pPr>
        <w:pStyle w:val="Heading2"/>
        <w:spacing w:line="206" w:lineRule="auto"/>
        <w:ind w:right="206"/>
      </w:pPr>
      <w:r>
        <w:rPr>
          <w:spacing w:val="-3"/>
        </w:rPr>
        <w:t>申请理赔时被保险人的年龄必须在 </w:t>
      </w:r>
      <w:r>
        <w:rPr/>
        <w:t>3</w:t>
      </w:r>
      <w:r>
        <w:rPr>
          <w:spacing w:val="-10"/>
        </w:rPr>
        <w:t> 周岁以上，并需提供被保险人 </w:t>
      </w:r>
      <w:r>
        <w:rPr/>
        <w:t>3</w:t>
      </w:r>
      <w:r>
        <w:rPr>
          <w:spacing w:val="-4"/>
        </w:rPr>
        <w:t> 周岁以后的语言能力丧失诊断及相关检查报告。</w:t>
      </w:r>
    </w:p>
    <w:p>
      <w:pPr>
        <w:spacing w:line="312" w:lineRule="exact" w:before="4"/>
        <w:ind w:left="203" w:right="0" w:firstLine="0"/>
        <w:jc w:val="both"/>
        <w:rPr>
          <w:rFonts w:ascii="微软雅黑" w:eastAsia="微软雅黑" w:hint="eastAsia"/>
          <w:b/>
          <w:sz w:val="21"/>
        </w:rPr>
      </w:pPr>
      <w:r>
        <w:rPr>
          <w:rFonts w:ascii="微软雅黑" w:eastAsia="微软雅黑" w:hint="eastAsia"/>
          <w:b/>
          <w:sz w:val="21"/>
        </w:rPr>
        <w:t>精神心理因素所致的语言能力丧失不在保障范围内。</w:t>
      </w:r>
    </w:p>
    <w:p>
      <w:pPr>
        <w:spacing w:after="0" w:line="312" w:lineRule="exact"/>
        <w:jc w:val="both"/>
        <w:rPr>
          <w:rFonts w:ascii="微软雅黑" w:eastAsia="微软雅黑" w:hint="eastAsia"/>
          <w:sz w:val="21"/>
        </w:rPr>
        <w:sectPr>
          <w:pgSz w:w="11900" w:h="16840"/>
          <w:pgMar w:header="892" w:footer="547" w:top="1080" w:bottom="740" w:left="920" w:right="920"/>
        </w:sectPr>
      </w:pPr>
    </w:p>
    <w:p>
      <w:pPr>
        <w:pStyle w:val="BodyText"/>
        <w:spacing w:before="13"/>
        <w:ind w:left="0"/>
        <w:rPr>
          <w:rFonts w:ascii="微软雅黑"/>
          <w:b/>
          <w:sz w:val="7"/>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spacing w:before="13"/>
        <w:ind w:left="318" w:right="0" w:firstLine="0"/>
        <w:jc w:val="left"/>
        <w:rPr>
          <w:rFonts w:ascii="微软雅黑" w:eastAsia="微软雅黑" w:hint="eastAsia"/>
          <w:b/>
          <w:sz w:val="21"/>
        </w:rPr>
      </w:pPr>
      <w:r>
        <w:rPr>
          <w:sz w:val="21"/>
        </w:rPr>
        <w:t>（24）</w:t>
      </w:r>
      <w:r>
        <w:rPr>
          <w:rFonts w:ascii="微软雅黑" w:eastAsia="微软雅黑" w:hint="eastAsia"/>
          <w:b/>
          <w:sz w:val="21"/>
          <w:u w:val="single"/>
        </w:rPr>
        <w:t>重型再生障碍性贫血</w:t>
      </w:r>
    </w:p>
    <w:p>
      <w:pPr>
        <w:pStyle w:val="BodyText"/>
        <w:spacing w:before="11"/>
        <w:ind w:left="203"/>
        <w:jc w:val="both"/>
      </w:pPr>
      <w:r>
        <w:rPr/>
        <w:t>指因骨髓造血功能慢性持续性衰竭导致的贫血、中性粒细胞减少及血小板减少。须满足下列全部条件：</w:t>
      </w:r>
    </w:p>
    <w:p>
      <w:pPr>
        <w:pStyle w:val="BodyText"/>
        <w:spacing w:before="36"/>
        <w:ind w:left="414"/>
      </w:pPr>
      <w:r>
        <w:rPr/>
        <w:t>Ⅰ 骨髓穿刺检查或骨髓活检结果支持诊断；</w:t>
      </w:r>
    </w:p>
    <w:p>
      <w:pPr>
        <w:pStyle w:val="ListParagraph"/>
        <w:numPr>
          <w:ilvl w:val="0"/>
          <w:numId w:val="4"/>
        </w:numPr>
        <w:tabs>
          <w:tab w:pos="729" w:val="left" w:leader="none"/>
        </w:tabs>
        <w:spacing w:line="240" w:lineRule="auto" w:before="36" w:after="0"/>
        <w:ind w:left="728" w:right="0" w:hanging="314"/>
        <w:jc w:val="left"/>
        <w:rPr>
          <w:sz w:val="21"/>
        </w:rPr>
      </w:pPr>
      <w:r>
        <w:rPr>
          <w:spacing w:val="-3"/>
          <w:sz w:val="21"/>
        </w:rPr>
        <w:t>外周血象须具备以下三项条件：</w:t>
      </w:r>
    </w:p>
    <w:p>
      <w:pPr>
        <w:pStyle w:val="BodyText"/>
        <w:spacing w:before="36"/>
        <w:ind w:left="728"/>
      </w:pPr>
      <w:r>
        <w:rPr/>
        <w:t>①中性粒细胞绝对值 ≤0.5×10</w:t>
      </w:r>
      <w:r>
        <w:rPr>
          <w:position w:val="11"/>
          <w:sz w:val="11"/>
        </w:rPr>
        <w:t>9</w:t>
      </w:r>
      <w:r>
        <w:rPr/>
        <w:t>/L ；</w:t>
      </w:r>
    </w:p>
    <w:p>
      <w:pPr>
        <w:pStyle w:val="BodyText"/>
        <w:spacing w:before="36"/>
        <w:ind w:left="728"/>
      </w:pPr>
      <w:r>
        <w:rPr/>
        <w:t>②</w:t>
      </w:r>
      <w:r>
        <w:rPr>
          <w:spacing w:val="-3"/>
        </w:rPr>
        <w:t>网</w:t>
      </w:r>
      <w:r>
        <w:rPr/>
        <w:t>织</w:t>
      </w:r>
      <w:r>
        <w:rPr>
          <w:spacing w:val="-3"/>
        </w:rPr>
        <w:t>红</w:t>
      </w:r>
      <w:r>
        <w:rPr/>
        <w:t>细</w:t>
      </w:r>
      <w:r>
        <w:rPr>
          <w:spacing w:val="-3"/>
        </w:rPr>
        <w:t>胞</w:t>
      </w:r>
      <w:r>
        <w:rPr>
          <w:spacing w:val="-99"/>
        </w:rPr>
        <w:t> </w:t>
      </w:r>
      <w:r>
        <w:rPr>
          <w:w w:val="100"/>
        </w:rPr>
        <w:drawing>
          <wp:inline distT="0" distB="0" distL="0" distR="0">
            <wp:extent cx="63499" cy="95250"/>
            <wp:effectExtent l="0" t="0" r="0" b="0"/>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t>；</w:t>
      </w:r>
    </w:p>
    <w:p>
      <w:pPr>
        <w:pStyle w:val="BodyText"/>
        <w:spacing w:line="262" w:lineRule="exact" w:before="36"/>
        <w:ind w:left="728"/>
      </w:pPr>
      <w:r>
        <w:rPr/>
        <w:t>③血小板绝对值 ≤20×10</w:t>
      </w:r>
      <w:r>
        <w:rPr>
          <w:position w:val="11"/>
          <w:sz w:val="11"/>
        </w:rPr>
        <w:t>9</w:t>
      </w:r>
      <w:r>
        <w:rPr/>
        <w:t>/L。</w:t>
      </w:r>
    </w:p>
    <w:p>
      <w:pPr>
        <w:spacing w:line="350" w:lineRule="exact" w:before="0"/>
        <w:ind w:left="318" w:right="0" w:firstLine="0"/>
        <w:jc w:val="left"/>
        <w:rPr>
          <w:rFonts w:ascii="微软雅黑" w:eastAsia="微软雅黑" w:hint="eastAsia"/>
          <w:b/>
          <w:sz w:val="21"/>
        </w:rPr>
      </w:pPr>
      <w:r>
        <w:rPr>
          <w:sz w:val="21"/>
        </w:rPr>
        <w:t>（25）</w:t>
      </w:r>
      <w:r>
        <w:rPr>
          <w:rFonts w:ascii="微软雅黑" w:eastAsia="微软雅黑" w:hint="eastAsia"/>
          <w:b/>
          <w:sz w:val="21"/>
          <w:u w:val="single"/>
        </w:rPr>
        <w:t>主动脉手术</w:t>
      </w:r>
    </w:p>
    <w:p>
      <w:pPr>
        <w:pStyle w:val="BodyText"/>
        <w:spacing w:line="273" w:lineRule="auto" w:before="12"/>
        <w:ind w:right="204" w:hanging="10"/>
      </w:pPr>
      <w:r>
        <w:rPr>
          <w:spacing w:val="-5"/>
        </w:rPr>
        <w:t>指为治疗主动脉疾病，实际实施了开胸或开腹进行的切除、置换、修补病损主动脉血管的手术。主动脉指</w:t>
      </w:r>
      <w:r>
        <w:rPr>
          <w:spacing w:val="-4"/>
        </w:rPr>
        <w:t>胸主动脉和腹主动脉，不包括胸主动脉和腹主动脉的分支血管。</w:t>
      </w:r>
    </w:p>
    <w:p>
      <w:pPr>
        <w:pStyle w:val="Heading2"/>
        <w:spacing w:line="283" w:lineRule="exact"/>
        <w:ind w:left="203"/>
      </w:pPr>
      <w:r>
        <w:rPr/>
        <w:t>动脉内血管成形术不在保障范围内。</w:t>
      </w:r>
    </w:p>
    <w:p>
      <w:pPr>
        <w:spacing w:line="337" w:lineRule="exact" w:before="0"/>
        <w:ind w:left="318" w:right="0" w:firstLine="0"/>
        <w:jc w:val="left"/>
        <w:rPr>
          <w:rFonts w:ascii="微软雅黑" w:eastAsia="微软雅黑" w:hint="eastAsia"/>
          <w:b/>
          <w:sz w:val="21"/>
        </w:rPr>
      </w:pPr>
      <w:r>
        <w:rPr>
          <w:sz w:val="21"/>
        </w:rPr>
        <w:t>（26）</w:t>
      </w:r>
      <w:r>
        <w:rPr>
          <w:rFonts w:ascii="微软雅黑" w:eastAsia="微软雅黑" w:hint="eastAsia"/>
          <w:b/>
          <w:sz w:val="21"/>
          <w:u w:val="single"/>
        </w:rPr>
        <w:t>慢性呼吸功能衰竭</w:t>
      </w:r>
    </w:p>
    <w:p>
      <w:pPr>
        <w:pStyle w:val="BodyText"/>
        <w:spacing w:line="273" w:lineRule="auto" w:before="11"/>
        <w:ind w:right="186" w:hanging="10"/>
      </w:pPr>
      <w:r>
        <w:rPr/>
        <w:t>慢性肺部疾病导致永久不可逆性的慢性呼吸功能衰竭。慢性呼吸功能衰竭必须明确诊断并满足下列全部条件：</w:t>
      </w:r>
    </w:p>
    <w:p>
      <w:pPr>
        <w:pStyle w:val="BodyText"/>
        <w:spacing w:before="7"/>
        <w:ind w:left="414"/>
      </w:pPr>
      <w:r>
        <w:rPr>
          <w:position w:val="1"/>
        </w:rPr>
        <w:t>Ⅰ 动脉血氧分压（PaO</w:t>
      </w:r>
      <w:r>
        <w:rPr>
          <w:sz w:val="11"/>
        </w:rPr>
        <w:t>2</w:t>
      </w:r>
      <w:r>
        <w:rPr>
          <w:position w:val="1"/>
        </w:rPr>
        <w:t>）&lt;50mmHg；</w:t>
      </w:r>
    </w:p>
    <w:p>
      <w:pPr>
        <w:pStyle w:val="ListParagraph"/>
        <w:numPr>
          <w:ilvl w:val="0"/>
          <w:numId w:val="4"/>
        </w:numPr>
        <w:tabs>
          <w:tab w:pos="729" w:val="left" w:leader="none"/>
        </w:tabs>
        <w:spacing w:line="240" w:lineRule="auto" w:before="37" w:after="0"/>
        <w:ind w:left="728" w:right="0" w:hanging="314"/>
        <w:jc w:val="left"/>
        <w:rPr>
          <w:sz w:val="21"/>
        </w:rPr>
      </w:pPr>
      <w:r>
        <w:rPr>
          <w:spacing w:val="-3"/>
          <w:position w:val="1"/>
          <w:sz w:val="21"/>
        </w:rPr>
        <w:t>动脉血氧饱和度</w:t>
      </w:r>
      <w:r>
        <w:rPr>
          <w:spacing w:val="-1"/>
          <w:position w:val="1"/>
          <w:sz w:val="21"/>
        </w:rPr>
        <w:t>（SaO</w:t>
      </w:r>
      <w:r>
        <w:rPr>
          <w:spacing w:val="-1"/>
          <w:sz w:val="11"/>
        </w:rPr>
        <w:t>2</w:t>
      </w:r>
      <w:r>
        <w:rPr>
          <w:spacing w:val="-1"/>
          <w:position w:val="1"/>
          <w:sz w:val="21"/>
        </w:rPr>
        <w:t>）&lt;80％；</w:t>
      </w:r>
    </w:p>
    <w:p>
      <w:pPr>
        <w:pStyle w:val="BodyText"/>
        <w:spacing w:line="262" w:lineRule="exact" w:before="37"/>
        <w:ind w:left="414"/>
      </w:pPr>
      <w:r>
        <w:rPr/>
        <w:t>Ⅲ 因缺氧必须接受持续的输氧治疗。</w:t>
      </w:r>
    </w:p>
    <w:p>
      <w:pPr>
        <w:pStyle w:val="Heading2"/>
        <w:spacing w:line="325" w:lineRule="exact"/>
        <w:ind w:left="203"/>
        <w:jc w:val="both"/>
      </w:pPr>
      <w:r>
        <w:rPr/>
        <w:t>理赔时必须提供以上三项相应的证明文件或检查报告。</w:t>
      </w:r>
    </w:p>
    <w:p>
      <w:pPr>
        <w:spacing w:line="337" w:lineRule="exact" w:before="0"/>
        <w:ind w:left="318" w:right="0" w:firstLine="0"/>
        <w:jc w:val="left"/>
        <w:rPr>
          <w:rFonts w:ascii="微软雅黑" w:eastAsia="微软雅黑" w:hint="eastAsia"/>
          <w:b/>
          <w:sz w:val="21"/>
        </w:rPr>
      </w:pPr>
      <w:r>
        <w:rPr>
          <w:w w:val="100"/>
          <w:sz w:val="21"/>
        </w:rPr>
        <w:t>（2</w:t>
      </w:r>
      <w:r>
        <w:rPr>
          <w:spacing w:val="-3"/>
          <w:w w:val="100"/>
          <w:sz w:val="21"/>
        </w:rPr>
        <w:t>7）</w:t>
      </w:r>
      <w:r>
        <w:rPr>
          <w:rFonts w:ascii="微软雅黑" w:eastAsia="微软雅黑" w:hint="eastAsia"/>
          <w:b/>
          <w:spacing w:val="-1"/>
          <w:w w:val="100"/>
          <w:sz w:val="21"/>
          <w:u w:val="single"/>
        </w:rPr>
        <w:t>经输血导致的人类免疫缺陷病毒</w:t>
      </w:r>
      <w:r>
        <w:rPr>
          <w:rFonts w:ascii="微软雅黑" w:eastAsia="微软雅黑" w:hint="eastAsia"/>
          <w:b/>
          <w:w w:val="100"/>
          <w:sz w:val="21"/>
          <w:u w:val="single"/>
        </w:rPr>
        <w:t>（</w:t>
      </w:r>
      <w:r>
        <w:rPr>
          <w:rFonts w:ascii="微软雅黑" w:eastAsia="微软雅黑" w:hint="eastAsia"/>
          <w:b/>
          <w:w w:val="61"/>
          <w:sz w:val="21"/>
          <w:u w:val="single"/>
        </w:rPr>
        <w:t>H</w:t>
      </w:r>
      <w:r>
        <w:rPr>
          <w:rFonts w:ascii="微软雅黑" w:eastAsia="微软雅黑" w:hint="eastAsia"/>
          <w:b/>
          <w:w w:val="149"/>
          <w:sz w:val="21"/>
          <w:u w:val="single"/>
        </w:rPr>
        <w:t>I</w:t>
      </w:r>
      <w:r>
        <w:rPr>
          <w:rFonts w:ascii="微软雅黑" w:eastAsia="微软雅黑" w:hint="eastAsia"/>
          <w:b/>
          <w:w w:val="70"/>
          <w:sz w:val="21"/>
          <w:u w:val="single"/>
        </w:rPr>
        <w:t>V</w:t>
      </w:r>
      <w:r>
        <w:rPr>
          <w:rFonts w:ascii="微软雅黑" w:eastAsia="微软雅黑" w:hint="eastAsia"/>
          <w:b/>
          <w:w w:val="100"/>
          <w:sz w:val="21"/>
          <w:u w:val="single"/>
        </w:rPr>
        <w:t>）感染</w:t>
      </w:r>
    </w:p>
    <w:p>
      <w:pPr>
        <w:pStyle w:val="BodyText"/>
        <w:spacing w:before="11"/>
        <w:ind w:left="203"/>
        <w:jc w:val="both"/>
      </w:pPr>
      <w:r>
        <w:rPr/>
        <w:t>被保险人因输血而感染上人类免疫缺陷病毒（HIV）必须满足以下的条件：</w:t>
      </w:r>
    </w:p>
    <w:p>
      <w:pPr>
        <w:pStyle w:val="BodyText"/>
        <w:spacing w:before="37"/>
        <w:ind w:left="414"/>
      </w:pPr>
      <w:r>
        <w:rPr/>
        <w:t>Ⅰ 在保障起始日或复效日之后，被保险人因输血而感染 HIV；</w:t>
      </w:r>
    </w:p>
    <w:p>
      <w:pPr>
        <w:pStyle w:val="ListParagraph"/>
        <w:numPr>
          <w:ilvl w:val="0"/>
          <w:numId w:val="4"/>
        </w:numPr>
        <w:tabs>
          <w:tab w:pos="729" w:val="left" w:leader="none"/>
        </w:tabs>
        <w:spacing w:line="262" w:lineRule="exact" w:before="37" w:after="0"/>
        <w:ind w:left="728" w:right="0" w:hanging="314"/>
        <w:jc w:val="left"/>
        <w:rPr>
          <w:sz w:val="21"/>
        </w:rPr>
      </w:pPr>
      <w:r>
        <w:rPr>
          <w:spacing w:val="-8"/>
          <w:sz w:val="21"/>
        </w:rPr>
        <w:t>提供输血前一个月内 </w:t>
      </w:r>
      <w:r>
        <w:rPr>
          <w:sz w:val="21"/>
        </w:rPr>
        <w:t>HIV</w:t>
      </w:r>
      <w:r>
        <w:rPr>
          <w:spacing w:val="-11"/>
          <w:sz w:val="21"/>
        </w:rPr>
        <w:t> 检查阴性的报告以及输血后 </w:t>
      </w:r>
      <w:r>
        <w:rPr>
          <w:sz w:val="21"/>
        </w:rPr>
        <w:t>HIV</w:t>
      </w:r>
      <w:r>
        <w:rPr>
          <w:spacing w:val="-8"/>
          <w:sz w:val="21"/>
        </w:rPr>
        <w:t> 检查阳性的报告。</w:t>
      </w:r>
    </w:p>
    <w:p>
      <w:pPr>
        <w:pStyle w:val="Heading2"/>
        <w:spacing w:line="206" w:lineRule="auto" w:before="38"/>
        <w:ind w:left="203" w:right="944" w:hanging="1"/>
      </w:pPr>
      <w:r>
        <w:rPr>
          <w:w w:val="100"/>
        </w:rPr>
        <w:t>任何因其他传播方式（包括：性传播或静脉注射毒品）导致的</w:t>
      </w:r>
      <w:r>
        <w:rPr/>
        <w:t> </w:t>
      </w:r>
      <w:r>
        <w:rPr>
          <w:w w:val="61"/>
        </w:rPr>
        <w:t>H</w:t>
      </w:r>
      <w:r>
        <w:rPr>
          <w:w w:val="149"/>
        </w:rPr>
        <w:t>I</w:t>
      </w:r>
      <w:r>
        <w:rPr>
          <w:w w:val="70"/>
        </w:rPr>
        <w:t>V</w:t>
      </w:r>
      <w:r>
        <w:rPr/>
        <w:t> </w:t>
      </w:r>
      <w:r>
        <w:rPr>
          <w:w w:val="100"/>
        </w:rPr>
        <w:t>感染不在本合同保障范围内。</w:t>
      </w:r>
      <w:r>
        <w:rPr/>
        <w:t>我们拥有获得使用被保险人的所有血液样本的权利和能够对这些样本进行独立检验的权利。</w:t>
      </w:r>
    </w:p>
    <w:p>
      <w:pPr>
        <w:spacing w:line="287" w:lineRule="exact" w:before="0"/>
        <w:ind w:left="203" w:right="0" w:firstLine="0"/>
        <w:jc w:val="left"/>
        <w:rPr>
          <w:rFonts w:ascii="微软雅黑" w:eastAsia="微软雅黑" w:hint="eastAsia"/>
          <w:b/>
          <w:sz w:val="21"/>
        </w:rPr>
      </w:pPr>
      <w:r>
        <w:rPr>
          <w:rFonts w:ascii="微软雅黑" w:eastAsia="微软雅黑" w:hint="eastAsia"/>
          <w:b/>
          <w:sz w:val="21"/>
        </w:rPr>
        <w:t>（本合同责任免除条款第一节第五项不适用于此病种。）</w:t>
      </w:r>
    </w:p>
    <w:p>
      <w:pPr>
        <w:spacing w:line="337" w:lineRule="exact" w:before="0"/>
        <w:ind w:left="318" w:right="0" w:firstLine="0"/>
        <w:jc w:val="left"/>
        <w:rPr>
          <w:rFonts w:ascii="微软雅黑" w:eastAsia="微软雅黑" w:hint="eastAsia"/>
          <w:b/>
          <w:sz w:val="21"/>
        </w:rPr>
      </w:pPr>
      <w:r>
        <w:rPr>
          <w:sz w:val="21"/>
        </w:rPr>
        <w:t>（28）</w:t>
      </w:r>
      <w:r>
        <w:rPr>
          <w:rFonts w:ascii="微软雅黑" w:eastAsia="微软雅黑" w:hint="eastAsia"/>
          <w:b/>
          <w:sz w:val="21"/>
          <w:u w:val="single"/>
        </w:rPr>
        <w:t>系统性硬皮病</w:t>
      </w:r>
    </w:p>
    <w:p>
      <w:pPr>
        <w:pStyle w:val="BodyText"/>
        <w:spacing w:line="273" w:lineRule="auto" w:before="12"/>
        <w:ind w:right="178" w:hanging="10"/>
      </w:pPr>
      <w:r>
        <w:rPr/>
        <w:t>系统性硬皮病（须累及内脏器官），指一种以局限性或弥漫性皮肤增厚和皮肤、血管、内脏器官异常纤维化为特征的结缔组织病。本病须经专科医生明确诊断，并须满足下列至少一项条件：</w:t>
      </w:r>
    </w:p>
    <w:p>
      <w:pPr>
        <w:pStyle w:val="BodyText"/>
        <w:spacing w:before="8"/>
        <w:ind w:left="414"/>
      </w:pPr>
      <w:r>
        <w:rPr/>
        <w:t>Ⅰ 肺脏：肺部病变进而发展为肺间质纤维化和肺动脉高压；</w:t>
      </w:r>
    </w:p>
    <w:p>
      <w:pPr>
        <w:pStyle w:val="ListParagraph"/>
        <w:numPr>
          <w:ilvl w:val="0"/>
          <w:numId w:val="4"/>
        </w:numPr>
        <w:tabs>
          <w:tab w:pos="729" w:val="left" w:leader="none"/>
        </w:tabs>
        <w:spacing w:line="240" w:lineRule="auto" w:before="37" w:after="0"/>
        <w:ind w:left="728" w:right="0" w:hanging="314"/>
        <w:jc w:val="left"/>
        <w:rPr>
          <w:sz w:val="21"/>
        </w:rPr>
      </w:pPr>
      <w:r>
        <w:rPr>
          <w:spacing w:val="-5"/>
          <w:sz w:val="21"/>
        </w:rPr>
        <w:t>心脏：心功能受损达到美国纽约心脏病学会心功能状态分级 </w:t>
      </w:r>
      <w:r>
        <w:rPr>
          <w:sz w:val="21"/>
        </w:rPr>
        <w:t>IV</w:t>
      </w:r>
      <w:r>
        <w:rPr>
          <w:spacing w:val="3"/>
          <w:sz w:val="21"/>
        </w:rPr>
        <w:t> 级；</w:t>
      </w:r>
    </w:p>
    <w:p>
      <w:pPr>
        <w:pStyle w:val="BodyText"/>
        <w:spacing w:line="262" w:lineRule="exact" w:before="37"/>
        <w:ind w:left="414"/>
      </w:pPr>
      <w:r>
        <w:rPr/>
        <w:t>Ⅲ 肾脏：肾脏受损导致双肾功能慢性不可逆衰竭，达到尿毒症期。</w:t>
      </w:r>
    </w:p>
    <w:p>
      <w:pPr>
        <w:spacing w:line="350" w:lineRule="exact" w:before="0"/>
        <w:ind w:left="318" w:right="0" w:firstLine="0"/>
        <w:jc w:val="left"/>
        <w:rPr>
          <w:rFonts w:ascii="微软雅黑" w:eastAsia="微软雅黑" w:hint="eastAsia"/>
          <w:b/>
          <w:sz w:val="21"/>
        </w:rPr>
      </w:pPr>
      <w:r>
        <w:rPr>
          <w:sz w:val="21"/>
        </w:rPr>
        <w:t>（29）</w:t>
      </w:r>
      <w:r>
        <w:rPr>
          <w:rFonts w:ascii="微软雅黑" w:eastAsia="微软雅黑" w:hint="eastAsia"/>
          <w:b/>
          <w:sz w:val="21"/>
          <w:u w:val="single"/>
        </w:rPr>
        <w:t>严重克隆病</w:t>
      </w:r>
    </w:p>
    <w:p>
      <w:pPr>
        <w:pStyle w:val="BodyText"/>
        <w:spacing w:line="273" w:lineRule="auto" w:before="11"/>
        <w:ind w:right="190" w:hanging="10"/>
      </w:pPr>
      <w:r>
        <w:rPr/>
        <w:t>克隆病是一种慢性肉芽肿性肠炎，具有特征性的克隆病病理组织学变化。诊断必须由病理检查结果证实。被保险人所患的克隆病必须已经造成瘘管形成并伴有肠梗阻或肠穿孔。</w:t>
      </w:r>
    </w:p>
    <w:p>
      <w:pPr>
        <w:spacing w:line="308" w:lineRule="exact" w:before="0"/>
        <w:ind w:left="318" w:right="0" w:firstLine="0"/>
        <w:jc w:val="left"/>
        <w:rPr>
          <w:rFonts w:ascii="微软雅黑" w:eastAsia="微软雅黑" w:hint="eastAsia"/>
          <w:b/>
          <w:sz w:val="21"/>
        </w:rPr>
      </w:pPr>
      <w:r>
        <w:rPr>
          <w:sz w:val="21"/>
        </w:rPr>
        <w:t>（30）</w:t>
      </w:r>
      <w:r>
        <w:rPr>
          <w:rFonts w:ascii="微软雅黑" w:eastAsia="微软雅黑" w:hint="eastAsia"/>
          <w:b/>
          <w:sz w:val="21"/>
          <w:u w:val="single"/>
        </w:rPr>
        <w:t>多发性硬化</w:t>
      </w:r>
    </w:p>
    <w:p>
      <w:pPr>
        <w:pStyle w:val="BodyText"/>
        <w:spacing w:line="273" w:lineRule="auto" w:before="12"/>
        <w:ind w:right="202" w:hanging="10"/>
        <w:jc w:val="both"/>
      </w:pPr>
      <w:r>
        <w:rPr>
          <w:spacing w:val="-3"/>
        </w:rPr>
        <w:t>被保险人因脑及脊髓内的脱髓鞘病变而出现神经系统多灶性（</w:t>
      </w:r>
      <w:r>
        <w:rPr>
          <w:spacing w:val="-2"/>
        </w:rPr>
        <w:t>多发性</w:t>
      </w:r>
      <w:r>
        <w:rPr>
          <w:spacing w:val="-3"/>
        </w:rPr>
        <w:t>）</w:t>
      </w:r>
      <w:r>
        <w:rPr>
          <w:spacing w:val="-2"/>
        </w:rPr>
        <w:t>多时相[至少 </w:t>
      </w:r>
      <w:r>
        <w:rPr/>
        <w:t>6</w:t>
      </w:r>
      <w:r>
        <w:rPr>
          <w:spacing w:val="-2"/>
        </w:rPr>
        <w:t> 个月以内有一次以</w:t>
      </w:r>
      <w:r>
        <w:rPr>
          <w:spacing w:val="-3"/>
        </w:rPr>
        <w:t>上（不包含一次</w:t>
      </w:r>
      <w:r>
        <w:rPr>
          <w:spacing w:val="-5"/>
        </w:rPr>
        <w:t>）的发作]的病变，须由计算机断层扫描</w:t>
      </w:r>
      <w:r>
        <w:rPr/>
        <w:t>（CT）</w:t>
      </w:r>
      <w:r>
        <w:rPr>
          <w:spacing w:val="-3"/>
        </w:rPr>
        <w:t>、核磁共振检查</w:t>
      </w:r>
      <w:r>
        <w:rPr/>
        <w:t>（MRI）</w:t>
      </w:r>
      <w:r>
        <w:rPr>
          <w:spacing w:val="-3"/>
        </w:rPr>
        <w:t>或正电子发射断层扫描（PET）等影像学检查证实，且已经造成自主生活能力完全丧失，无法独立完成六项基本日常生活活</w:t>
      </w:r>
      <w:r>
        <w:rPr>
          <w:spacing w:val="-6"/>
        </w:rPr>
        <w:t>动中的三项或三项以上，持续至少 </w:t>
      </w:r>
      <w:r>
        <w:rPr/>
        <w:t>180</w:t>
      </w:r>
      <w:r>
        <w:rPr>
          <w:spacing w:val="1"/>
        </w:rPr>
        <w:t> 天。</w:t>
      </w:r>
    </w:p>
    <w:p>
      <w:pPr>
        <w:spacing w:line="308" w:lineRule="exact" w:before="0"/>
        <w:ind w:left="318" w:right="0" w:firstLine="0"/>
        <w:jc w:val="left"/>
        <w:rPr>
          <w:rFonts w:ascii="微软雅黑" w:eastAsia="微软雅黑" w:hint="eastAsia"/>
          <w:b/>
          <w:sz w:val="21"/>
        </w:rPr>
      </w:pPr>
      <w:r>
        <w:rPr>
          <w:sz w:val="21"/>
        </w:rPr>
        <w:t>（31）</w:t>
      </w:r>
      <w:r>
        <w:rPr>
          <w:rFonts w:ascii="微软雅黑" w:eastAsia="微软雅黑" w:hint="eastAsia"/>
          <w:b/>
          <w:sz w:val="21"/>
          <w:u w:val="single"/>
        </w:rPr>
        <w:t>颅脑手术</w:t>
      </w:r>
    </w:p>
    <w:p>
      <w:pPr>
        <w:spacing w:line="223" w:lineRule="auto" w:before="31"/>
        <w:ind w:left="203" w:right="2078" w:firstLine="0"/>
        <w:jc w:val="left"/>
        <w:rPr>
          <w:rFonts w:ascii="微软雅黑" w:eastAsia="微软雅黑" w:hint="eastAsia"/>
          <w:b/>
          <w:sz w:val="21"/>
        </w:rPr>
      </w:pPr>
      <w:r>
        <w:rPr>
          <w:sz w:val="21"/>
        </w:rPr>
        <w:t>被保险人确已实施全麻下的开颅手术（不包括颅骨钻孔手术和经鼻蝶窦入颅手术）。</w:t>
      </w:r>
      <w:r>
        <w:rPr>
          <w:rFonts w:ascii="微软雅黑" w:eastAsia="微软雅黑" w:hint="eastAsia"/>
          <w:b/>
          <w:sz w:val="21"/>
        </w:rPr>
        <w:t>因外伤而实施的脑外科手术不在保障范围之内。</w:t>
      </w:r>
    </w:p>
    <w:p>
      <w:pPr>
        <w:pStyle w:val="Heading2"/>
        <w:spacing w:line="287" w:lineRule="exact"/>
        <w:ind w:left="203"/>
      </w:pPr>
      <w:r>
        <w:rPr/>
        <w:t>理赔时必须提供由专科医生出具的诊断书及手术报告。</w:t>
      </w:r>
    </w:p>
    <w:p>
      <w:pPr>
        <w:spacing w:line="337" w:lineRule="exact" w:before="0"/>
        <w:ind w:left="318" w:right="0" w:firstLine="0"/>
        <w:jc w:val="left"/>
        <w:rPr>
          <w:rFonts w:ascii="微软雅黑" w:eastAsia="微软雅黑" w:hint="eastAsia"/>
          <w:b/>
          <w:sz w:val="21"/>
        </w:rPr>
      </w:pPr>
      <w:r>
        <w:rPr>
          <w:sz w:val="21"/>
        </w:rPr>
        <w:t>（32）</w:t>
      </w:r>
      <w:r>
        <w:rPr>
          <w:rFonts w:ascii="微软雅黑" w:eastAsia="微软雅黑" w:hint="eastAsia"/>
          <w:b/>
          <w:sz w:val="21"/>
          <w:u w:val="single"/>
        </w:rPr>
        <w:t>重症肌无力</w:t>
      </w:r>
    </w:p>
    <w:p>
      <w:pPr>
        <w:pStyle w:val="BodyText"/>
        <w:spacing w:line="273" w:lineRule="auto" w:before="11"/>
        <w:ind w:right="202" w:hanging="10"/>
        <w:jc w:val="both"/>
      </w:pPr>
      <w:r>
        <w:rPr>
          <w:spacing w:val="-4"/>
        </w:rPr>
        <w:t>是指一种神经与肌肉接头部位传递障碍的自身免疫性疾病，临床特征是局部或全身横纹肌于活动时易于疲</w:t>
      </w:r>
      <w:r>
        <w:rPr>
          <w:spacing w:val="-6"/>
        </w:rPr>
        <w:t>劳无力，颅神经眼外肌最易累及，也可涉及呼吸肌、下肢近端肌群以至全身肌肉，须经专科医生确诊。其</w:t>
      </w:r>
      <w:r>
        <w:rPr>
          <w:spacing w:val="-4"/>
        </w:rPr>
        <w:t>诊断必须同时具有下列情况：</w:t>
      </w:r>
    </w:p>
    <w:p>
      <w:pPr>
        <w:spacing w:after="0" w:line="273" w:lineRule="auto"/>
        <w:jc w:val="both"/>
        <w:sectPr>
          <w:pgSz w:w="11900" w:h="16840"/>
          <w:pgMar w:header="892" w:footer="547" w:top="1080" w:bottom="740" w:left="920" w:right="920"/>
        </w:sectPr>
      </w:pPr>
    </w:p>
    <w:p>
      <w:pPr>
        <w:pStyle w:val="BodyText"/>
        <w:spacing w:before="3"/>
        <w:ind w:left="0"/>
        <w:rPr>
          <w:sz w:val="10"/>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before="75"/>
        <w:ind w:left="414"/>
      </w:pPr>
      <w:r>
        <w:rPr/>
        <w:t>Ⅰ 经药物、胸腺手术治疗一年以上无法控制病情，丧失正常工作能力；</w:t>
      </w:r>
    </w:p>
    <w:p>
      <w:pPr>
        <w:pStyle w:val="ListParagraph"/>
        <w:numPr>
          <w:ilvl w:val="0"/>
          <w:numId w:val="4"/>
        </w:numPr>
        <w:tabs>
          <w:tab w:pos="729" w:val="left" w:leader="none"/>
        </w:tabs>
        <w:spacing w:line="273" w:lineRule="auto" w:before="36" w:after="0"/>
        <w:ind w:left="212" w:right="204" w:firstLine="202"/>
        <w:jc w:val="left"/>
        <w:rPr>
          <w:sz w:val="21"/>
        </w:rPr>
      </w:pPr>
      <w:r>
        <w:rPr>
          <w:spacing w:val="-5"/>
          <w:sz w:val="21"/>
        </w:rPr>
        <w:t>出现眼睑下垂，或延髓肌受累引起的构音困难、进食呛咳,或由于肌无力累及延髓肌、呼吸肌而致机</w:t>
      </w:r>
      <w:r>
        <w:rPr>
          <w:spacing w:val="-4"/>
          <w:sz w:val="21"/>
        </w:rPr>
        <w:t>体呼吸功能不正常的危急状态即肌无力危象；</w:t>
      </w:r>
    </w:p>
    <w:p>
      <w:pPr>
        <w:pStyle w:val="BodyText"/>
        <w:spacing w:line="262" w:lineRule="exact" w:before="7"/>
        <w:ind w:left="414"/>
      </w:pPr>
      <w:r>
        <w:rPr/>
        <w:t>Ⅲ 症状缓解、复发及恶化交替出现，临床接受新斯的明等抗胆碱酯酶药物治疗的病史。</w:t>
      </w:r>
    </w:p>
    <w:p>
      <w:pPr>
        <w:spacing w:line="350" w:lineRule="exact" w:before="0"/>
        <w:ind w:left="318" w:right="0" w:firstLine="0"/>
        <w:jc w:val="left"/>
        <w:rPr>
          <w:rFonts w:ascii="微软雅黑" w:eastAsia="微软雅黑" w:hint="eastAsia"/>
          <w:b/>
          <w:sz w:val="21"/>
        </w:rPr>
      </w:pPr>
      <w:r>
        <w:rPr>
          <w:sz w:val="21"/>
        </w:rPr>
        <w:t>（33）</w:t>
      </w:r>
      <w:r>
        <w:rPr>
          <w:rFonts w:ascii="微软雅黑" w:eastAsia="微软雅黑" w:hint="eastAsia"/>
          <w:b/>
          <w:sz w:val="21"/>
          <w:u w:val="single"/>
        </w:rPr>
        <w:t>严重心肌病</w:t>
      </w:r>
    </w:p>
    <w:p>
      <w:pPr>
        <w:pStyle w:val="BodyText"/>
        <w:spacing w:line="273" w:lineRule="auto" w:before="12"/>
        <w:ind w:right="202" w:hanging="10"/>
        <w:jc w:val="both"/>
      </w:pPr>
      <w:r>
        <w:rPr>
          <w:spacing w:val="-5"/>
        </w:rPr>
        <w:t>由任何病因引起的心室功能损伤，导致被保险人身体永久及不可逆地受损，达到美国纽约心脏病协会心功</w:t>
      </w:r>
      <w:r>
        <w:rPr>
          <w:spacing w:val="-7"/>
        </w:rPr>
        <w:t>能状态分级Ⅳ级</w:t>
      </w:r>
      <w:r>
        <w:rPr>
          <w:spacing w:val="-3"/>
        </w:rPr>
        <w:t>（美国纽约心脏病协会分类标准心功能Ⅳ级是指有医院的医疗记录显示病人不能进行任何</w:t>
      </w:r>
      <w:r>
        <w:rPr>
          <w:spacing w:val="-5"/>
        </w:rPr>
        <w:t>活动，休息时仍有心悸、呼吸困难等心力衰竭表现。），</w:t>
      </w:r>
      <w:r>
        <w:rPr>
          <w:spacing w:val="-4"/>
        </w:rPr>
        <w:t>必须由专科医生确认，并有包括超声心动图在内</w:t>
      </w:r>
      <w:r>
        <w:rPr>
          <w:spacing w:val="-3"/>
        </w:rPr>
        <w:t>的相关检查证实。</w:t>
      </w:r>
    </w:p>
    <w:p>
      <w:pPr>
        <w:pStyle w:val="Heading2"/>
        <w:spacing w:line="283" w:lineRule="exact"/>
        <w:ind w:left="203"/>
      </w:pPr>
      <w:r>
        <w:rPr/>
        <w:t>酗酒或滥用药物引起的心肌病不在保险责任范围内。</w:t>
      </w:r>
    </w:p>
    <w:p>
      <w:pPr>
        <w:spacing w:line="337" w:lineRule="exact" w:before="0"/>
        <w:ind w:left="318" w:right="0" w:firstLine="0"/>
        <w:jc w:val="left"/>
        <w:rPr>
          <w:rFonts w:ascii="微软雅黑" w:eastAsia="微软雅黑" w:hint="eastAsia"/>
          <w:b/>
          <w:sz w:val="21"/>
        </w:rPr>
      </w:pPr>
      <w:r>
        <w:rPr>
          <w:sz w:val="21"/>
        </w:rPr>
        <w:t>（34）</w:t>
      </w:r>
      <w:r>
        <w:rPr>
          <w:rFonts w:ascii="微软雅黑" w:eastAsia="微软雅黑" w:hint="eastAsia"/>
          <w:b/>
          <w:sz w:val="21"/>
          <w:u w:val="single"/>
        </w:rPr>
        <w:t>象皮病</w:t>
      </w:r>
    </w:p>
    <w:p>
      <w:pPr>
        <w:pStyle w:val="BodyText"/>
        <w:spacing w:line="273" w:lineRule="auto" w:before="11"/>
        <w:ind w:right="202" w:hanging="10"/>
        <w:jc w:val="both"/>
      </w:pPr>
      <w:r>
        <w:rPr>
          <w:spacing w:val="-5"/>
        </w:rPr>
        <w:t>指末期丝虫病，按国际淋巴学会分级为三度淋巴液肿，其临床表现为肢体非凹陷性水肿伴畸形增大、硬皮</w:t>
      </w:r>
      <w:r>
        <w:rPr>
          <w:spacing w:val="-4"/>
        </w:rPr>
        <w:t>症和疣状增生。此病症须经专科医生根据临床表现和微丝蚴的化验结果确诊。</w:t>
      </w:r>
    </w:p>
    <w:p>
      <w:pPr>
        <w:pStyle w:val="Heading2"/>
        <w:spacing w:line="308" w:lineRule="exact"/>
        <w:ind w:left="318"/>
      </w:pPr>
      <w:r>
        <w:rPr>
          <w:rFonts w:ascii="宋体" w:hAnsi="宋体" w:eastAsia="宋体" w:hint="eastAsia"/>
          <w:b w:val="0"/>
        </w:rPr>
        <w:t>（35）</w:t>
      </w:r>
      <w:r>
        <w:rPr>
          <w:u w:val="single"/>
        </w:rPr>
        <w:t>系统性红斑狼疮-Ⅲ型或以上狼疮性肾炎</w:t>
      </w:r>
    </w:p>
    <w:p>
      <w:pPr>
        <w:pStyle w:val="BodyText"/>
        <w:spacing w:line="273" w:lineRule="auto" w:before="12"/>
        <w:ind w:right="202" w:hanging="10"/>
        <w:jc w:val="both"/>
      </w:pPr>
      <w:r>
        <w:rPr>
          <w:spacing w:val="-5"/>
        </w:rPr>
        <w:t>系统性红斑狼疮是由多种因素引起，累及多系统的自身免疫性疾病。其特点是生成自身抗体对抗多种自身</w:t>
      </w:r>
      <w:r>
        <w:rPr>
          <w:spacing w:val="-4"/>
        </w:rPr>
        <w:t>抗原。多见于育龄妇女。</w:t>
      </w:r>
    </w:p>
    <w:p>
      <w:pPr>
        <w:spacing w:line="208" w:lineRule="auto" w:before="45"/>
        <w:ind w:left="212" w:right="204" w:hanging="10"/>
        <w:jc w:val="both"/>
        <w:rPr>
          <w:rFonts w:ascii="微软雅黑" w:eastAsia="微软雅黑" w:hint="eastAsia"/>
          <w:b/>
          <w:sz w:val="21"/>
        </w:rPr>
      </w:pPr>
      <w:r>
        <w:rPr>
          <w:spacing w:val="-4"/>
          <w:sz w:val="21"/>
        </w:rPr>
        <w:t>本保单所指的系统性红斑狼疮仅限于累及肾脏</w:t>
      </w:r>
      <w:r>
        <w:rPr>
          <w:spacing w:val="-3"/>
          <w:sz w:val="21"/>
        </w:rPr>
        <w:t>（</w:t>
      </w:r>
      <w:r>
        <w:rPr>
          <w:spacing w:val="-8"/>
          <w:sz w:val="21"/>
        </w:rPr>
        <w:t>经肾脏活检确认的，符合 </w:t>
      </w:r>
      <w:r>
        <w:rPr>
          <w:sz w:val="21"/>
        </w:rPr>
        <w:t>WHO</w:t>
      </w:r>
      <w:r>
        <w:rPr>
          <w:spacing w:val="-7"/>
          <w:sz w:val="21"/>
        </w:rPr>
        <w:t> 诊断标准定义 </w:t>
      </w:r>
      <w:r>
        <w:rPr>
          <w:rFonts w:ascii="Times New Roman" w:eastAsia="Times New Roman"/>
          <w:sz w:val="21"/>
        </w:rPr>
        <w:t>III </w:t>
      </w:r>
      <w:r>
        <w:rPr>
          <w:spacing w:val="-16"/>
          <w:sz w:val="21"/>
        </w:rPr>
        <w:t>型至 </w:t>
      </w:r>
      <w:r>
        <w:rPr>
          <w:sz w:val="21"/>
        </w:rPr>
        <w:t>V</w:t>
      </w:r>
      <w:r>
        <w:rPr>
          <w:spacing w:val="2"/>
          <w:sz w:val="21"/>
        </w:rPr>
        <w:t> 型</w:t>
      </w:r>
      <w:r>
        <w:rPr>
          <w:spacing w:val="-1"/>
          <w:sz w:val="21"/>
        </w:rPr>
        <w:t>狼疮性肾炎</w:t>
      </w:r>
      <w:r>
        <w:rPr>
          <w:spacing w:val="-12"/>
          <w:sz w:val="21"/>
        </w:rPr>
        <w:t>）</w:t>
      </w:r>
      <w:r>
        <w:rPr>
          <w:spacing w:val="-5"/>
          <w:sz w:val="21"/>
        </w:rPr>
        <w:t>的系统性红斑狼疮。</w:t>
      </w:r>
      <w:r>
        <w:rPr>
          <w:rFonts w:ascii="微软雅黑" w:eastAsia="微软雅黑" w:hint="eastAsia"/>
          <w:b/>
          <w:spacing w:val="-4"/>
          <w:sz w:val="21"/>
        </w:rPr>
        <w:t>其他类型的红斑性狼疮，如盘状狼疮、仅累及血液及关节的狼疮不在本保单保障范围內。</w:t>
      </w:r>
    </w:p>
    <w:p>
      <w:pPr>
        <w:pStyle w:val="BodyText"/>
        <w:spacing w:line="273" w:lineRule="auto" w:before="11"/>
        <w:ind w:left="203" w:right="6070"/>
      </w:pPr>
      <w:r>
        <w:rPr/>
        <w:t>本病必须由免疫和风湿科专家医师确诊。世界卫生组织（WHO）狼疮性肾炎分型：</w:t>
      </w:r>
    </w:p>
    <w:p>
      <w:pPr>
        <w:pStyle w:val="BodyText"/>
        <w:tabs>
          <w:tab w:pos="3143" w:val="left" w:leader="none"/>
        </w:tabs>
        <w:spacing w:before="7"/>
        <w:ind w:left="414"/>
      </w:pPr>
      <w:r>
        <w:rPr/>
        <w:t>Ⅰ</w:t>
      </w:r>
      <w:r>
        <w:rPr>
          <w:spacing w:val="-3"/>
        </w:rPr>
        <w:t>型</w:t>
      </w:r>
      <w:r>
        <w:rPr/>
        <w:t>（</w:t>
      </w:r>
      <w:r>
        <w:rPr>
          <w:spacing w:val="-3"/>
        </w:rPr>
        <w:t>微</w:t>
      </w:r>
      <w:r>
        <w:rPr/>
        <w:t>小</w:t>
      </w:r>
      <w:r>
        <w:rPr>
          <w:spacing w:val="-3"/>
        </w:rPr>
        <w:t>病</w:t>
      </w:r>
      <w:r>
        <w:rPr/>
        <w:t>变</w:t>
      </w:r>
      <w:r>
        <w:rPr>
          <w:spacing w:val="-3"/>
        </w:rPr>
        <w:t>型</w:t>
      </w:r>
      <w:r>
        <w:rPr/>
        <w:t>）</w:t>
        <w:tab/>
        <w:t>镜</w:t>
      </w:r>
      <w:r>
        <w:rPr>
          <w:spacing w:val="-3"/>
        </w:rPr>
        <w:t>下</w:t>
      </w:r>
      <w:r>
        <w:rPr/>
        <w:t>阴</w:t>
      </w:r>
      <w:r>
        <w:rPr>
          <w:spacing w:val="-3"/>
        </w:rPr>
        <w:t>性</w:t>
      </w:r>
      <w:r>
        <w:rPr/>
        <w:t>，</w:t>
      </w:r>
      <w:r>
        <w:rPr>
          <w:spacing w:val="-3"/>
        </w:rPr>
        <w:t>尿</w:t>
      </w:r>
      <w:r>
        <w:rPr/>
        <w:t>液</w:t>
      </w:r>
      <w:r>
        <w:rPr>
          <w:spacing w:val="-3"/>
        </w:rPr>
        <w:t>正</w:t>
      </w:r>
      <w:r>
        <w:rPr/>
        <w:t>常</w:t>
      </w:r>
    </w:p>
    <w:p>
      <w:pPr>
        <w:pStyle w:val="BodyText"/>
        <w:tabs>
          <w:tab w:pos="3143" w:val="left" w:leader="none"/>
        </w:tabs>
        <w:spacing w:before="37"/>
        <w:ind w:left="414"/>
      </w:pPr>
      <w:r>
        <w:rPr>
          <w:w w:val="185"/>
        </w:rPr>
        <w:t>Ⅱ</w:t>
      </w:r>
      <w:r>
        <w:rPr>
          <w:spacing w:val="-3"/>
          <w:w w:val="105"/>
        </w:rPr>
        <w:t>型</w:t>
      </w:r>
      <w:r>
        <w:rPr>
          <w:w w:val="105"/>
        </w:rPr>
        <w:t>（</w:t>
      </w:r>
      <w:r>
        <w:rPr>
          <w:spacing w:val="-3"/>
          <w:w w:val="105"/>
        </w:rPr>
        <w:t>系</w:t>
      </w:r>
      <w:r>
        <w:rPr>
          <w:w w:val="105"/>
        </w:rPr>
        <w:t>膜</w:t>
      </w:r>
      <w:r>
        <w:rPr>
          <w:spacing w:val="-3"/>
          <w:w w:val="105"/>
        </w:rPr>
        <w:t>病</w:t>
      </w:r>
      <w:r>
        <w:rPr>
          <w:w w:val="105"/>
        </w:rPr>
        <w:t>变</w:t>
      </w:r>
      <w:r>
        <w:rPr>
          <w:spacing w:val="-3"/>
          <w:w w:val="105"/>
        </w:rPr>
        <w:t>型</w:t>
      </w:r>
      <w:r>
        <w:rPr>
          <w:w w:val="105"/>
        </w:rPr>
        <w:t>）</w:t>
        <w:tab/>
      </w:r>
      <w:r>
        <w:rPr/>
        <w:t>中</w:t>
      </w:r>
      <w:r>
        <w:rPr>
          <w:spacing w:val="-3"/>
        </w:rPr>
        <w:t>度</w:t>
      </w:r>
      <w:r>
        <w:rPr/>
        <w:t>蛋</w:t>
      </w:r>
      <w:r>
        <w:rPr>
          <w:spacing w:val="-3"/>
        </w:rPr>
        <w:t>白</w:t>
      </w:r>
      <w:r>
        <w:rPr/>
        <w:t>尿</w:t>
      </w:r>
      <w:r>
        <w:rPr>
          <w:spacing w:val="-3"/>
        </w:rPr>
        <w:t>，</w:t>
      </w:r>
      <w:r>
        <w:rPr/>
        <w:t>偶</w:t>
      </w:r>
      <w:r>
        <w:rPr>
          <w:spacing w:val="-3"/>
        </w:rPr>
        <w:t>有尿</w:t>
      </w:r>
      <w:r>
        <w:rPr/>
        <w:t>沉渣</w:t>
      </w:r>
      <w:r>
        <w:rPr>
          <w:spacing w:val="-3"/>
        </w:rPr>
        <w:t>改</w:t>
      </w:r>
      <w:r>
        <w:rPr/>
        <w:t>变</w:t>
      </w:r>
    </w:p>
    <w:p>
      <w:pPr>
        <w:pStyle w:val="BodyText"/>
        <w:tabs>
          <w:tab w:pos="3145" w:val="left" w:leader="none"/>
        </w:tabs>
        <w:spacing w:before="37"/>
        <w:ind w:left="414"/>
      </w:pPr>
      <w:r>
        <w:rPr/>
        <w:t>Ⅲ</w:t>
      </w:r>
      <w:r>
        <w:rPr>
          <w:spacing w:val="-3"/>
        </w:rPr>
        <w:t>型</w:t>
      </w:r>
      <w:r>
        <w:rPr/>
        <w:t>（</w:t>
      </w:r>
      <w:r>
        <w:rPr>
          <w:spacing w:val="-3"/>
        </w:rPr>
        <w:t>局</w:t>
      </w:r>
      <w:r>
        <w:rPr/>
        <w:t>灶</w:t>
      </w:r>
      <w:r>
        <w:rPr>
          <w:spacing w:val="-3"/>
        </w:rPr>
        <w:t>及</w:t>
      </w:r>
      <w:r>
        <w:rPr/>
        <w:t>节</w:t>
      </w:r>
      <w:r>
        <w:rPr>
          <w:spacing w:val="-3"/>
        </w:rPr>
        <w:t>段</w:t>
      </w:r>
      <w:r>
        <w:rPr/>
        <w:t>增</w:t>
      </w:r>
      <w:r>
        <w:rPr>
          <w:spacing w:val="-3"/>
        </w:rPr>
        <w:t>生</w:t>
      </w:r>
      <w:r>
        <w:rPr/>
        <w:t>型）</w:t>
        <w:tab/>
        <w:t>蛋</w:t>
      </w:r>
      <w:r>
        <w:rPr>
          <w:spacing w:val="-3"/>
        </w:rPr>
        <w:t>白</w:t>
      </w:r>
      <w:r>
        <w:rPr/>
        <w:t>尿</w:t>
      </w:r>
      <w:r>
        <w:rPr>
          <w:spacing w:val="-3"/>
        </w:rPr>
        <w:t>，</w:t>
      </w:r>
      <w:r>
        <w:rPr/>
        <w:t>尿</w:t>
      </w:r>
      <w:r>
        <w:rPr>
          <w:spacing w:val="-3"/>
        </w:rPr>
        <w:t>沉</w:t>
      </w:r>
      <w:r>
        <w:rPr/>
        <w:t>渣</w:t>
      </w:r>
      <w:r>
        <w:rPr>
          <w:spacing w:val="-3"/>
        </w:rPr>
        <w:t>改</w:t>
      </w:r>
      <w:r>
        <w:rPr/>
        <w:t>变</w:t>
      </w:r>
    </w:p>
    <w:p>
      <w:pPr>
        <w:pStyle w:val="BodyText"/>
        <w:tabs>
          <w:tab w:pos="3143" w:val="left" w:leader="none"/>
        </w:tabs>
        <w:spacing w:before="37"/>
        <w:ind w:left="414"/>
      </w:pPr>
      <w:r>
        <w:rPr/>
        <w:t>Ⅳ</w:t>
      </w:r>
      <w:r>
        <w:rPr>
          <w:spacing w:val="-3"/>
        </w:rPr>
        <w:t>型</w:t>
      </w:r>
      <w:r>
        <w:rPr/>
        <w:t>（</w:t>
      </w:r>
      <w:r>
        <w:rPr>
          <w:spacing w:val="-3"/>
        </w:rPr>
        <w:t>弥</w:t>
      </w:r>
      <w:r>
        <w:rPr/>
        <w:t>漫</w:t>
      </w:r>
      <w:r>
        <w:rPr>
          <w:spacing w:val="-3"/>
        </w:rPr>
        <w:t>增</w:t>
      </w:r>
      <w:r>
        <w:rPr/>
        <w:t>生</w:t>
      </w:r>
      <w:r>
        <w:rPr>
          <w:spacing w:val="-3"/>
        </w:rPr>
        <w:t>型</w:t>
      </w:r>
      <w:r>
        <w:rPr/>
        <w:t>）</w:t>
        <w:tab/>
        <w:t>急</w:t>
      </w:r>
      <w:r>
        <w:rPr>
          <w:spacing w:val="-3"/>
        </w:rPr>
        <w:t>性</w:t>
      </w:r>
      <w:r>
        <w:rPr/>
        <w:t>肾</w:t>
      </w:r>
      <w:r>
        <w:rPr>
          <w:spacing w:val="-3"/>
        </w:rPr>
        <w:t>炎</w:t>
      </w:r>
      <w:r>
        <w:rPr/>
        <w:t>伴</w:t>
      </w:r>
      <w:r>
        <w:rPr>
          <w:spacing w:val="-3"/>
        </w:rPr>
        <w:t>有</w:t>
      </w:r>
      <w:r>
        <w:rPr/>
        <w:t>尿</w:t>
      </w:r>
      <w:r>
        <w:rPr>
          <w:spacing w:val="-3"/>
        </w:rPr>
        <w:t>沉渣</w:t>
      </w:r>
      <w:r>
        <w:rPr/>
        <w:t>改变</w:t>
      </w:r>
      <w:r>
        <w:rPr>
          <w:spacing w:val="-3"/>
        </w:rPr>
        <w:t>及</w:t>
      </w:r>
      <w:r>
        <w:rPr/>
        <w:t>／</w:t>
      </w:r>
      <w:r>
        <w:rPr>
          <w:spacing w:val="-3"/>
        </w:rPr>
        <w:t>或</w:t>
      </w:r>
      <w:r>
        <w:rPr/>
        <w:t>肾</w:t>
      </w:r>
      <w:r>
        <w:rPr>
          <w:spacing w:val="-3"/>
        </w:rPr>
        <w:t>病</w:t>
      </w:r>
      <w:r>
        <w:rPr/>
        <w:t>综</w:t>
      </w:r>
      <w:r>
        <w:rPr>
          <w:spacing w:val="-3"/>
        </w:rPr>
        <w:t>合</w:t>
      </w:r>
      <w:r>
        <w:rPr/>
        <w:t>征</w:t>
      </w:r>
    </w:p>
    <w:p>
      <w:pPr>
        <w:pStyle w:val="BodyText"/>
        <w:tabs>
          <w:tab w:pos="3143" w:val="left" w:leader="none"/>
        </w:tabs>
        <w:spacing w:line="262" w:lineRule="exact" w:before="37"/>
        <w:ind w:left="414"/>
      </w:pPr>
      <w:r>
        <w:rPr/>
        <w:t>Ⅴ</w:t>
      </w:r>
      <w:r>
        <w:rPr>
          <w:spacing w:val="-3"/>
        </w:rPr>
        <w:t>型</w:t>
      </w:r>
      <w:r>
        <w:rPr/>
        <w:t>（</w:t>
      </w:r>
      <w:r>
        <w:rPr>
          <w:spacing w:val="-3"/>
        </w:rPr>
        <w:t>膜</w:t>
      </w:r>
      <w:r>
        <w:rPr/>
        <w:t>型）</w:t>
        <w:tab/>
        <w:t>肾</w:t>
      </w:r>
      <w:r>
        <w:rPr>
          <w:spacing w:val="-3"/>
        </w:rPr>
        <w:t>病</w:t>
      </w:r>
      <w:r>
        <w:rPr/>
        <w:t>综</w:t>
      </w:r>
      <w:r>
        <w:rPr>
          <w:spacing w:val="-3"/>
        </w:rPr>
        <w:t>合</w:t>
      </w:r>
      <w:r>
        <w:rPr/>
        <w:t>征</w:t>
      </w:r>
      <w:r>
        <w:rPr>
          <w:spacing w:val="-3"/>
        </w:rPr>
        <w:t>或</w:t>
      </w:r>
      <w:r>
        <w:rPr/>
        <w:t>重</w:t>
      </w:r>
      <w:r>
        <w:rPr>
          <w:spacing w:val="-3"/>
        </w:rPr>
        <w:t>度蛋</w:t>
      </w:r>
      <w:r>
        <w:rPr/>
        <w:t>白尿</w:t>
      </w:r>
    </w:p>
    <w:p>
      <w:pPr>
        <w:spacing w:line="350" w:lineRule="exact" w:before="0"/>
        <w:ind w:left="318" w:right="0" w:firstLine="0"/>
        <w:jc w:val="left"/>
        <w:rPr>
          <w:rFonts w:ascii="微软雅黑" w:eastAsia="微软雅黑" w:hint="eastAsia"/>
          <w:b/>
          <w:sz w:val="21"/>
        </w:rPr>
      </w:pPr>
      <w:r>
        <w:rPr>
          <w:sz w:val="21"/>
        </w:rPr>
        <w:t>（36）</w:t>
      </w:r>
      <w:r>
        <w:rPr>
          <w:rFonts w:ascii="微软雅黑" w:eastAsia="微软雅黑" w:hint="eastAsia"/>
          <w:b/>
          <w:sz w:val="21"/>
          <w:u w:val="single"/>
        </w:rPr>
        <w:t>严重类风湿性关节炎</w:t>
      </w:r>
    </w:p>
    <w:p>
      <w:pPr>
        <w:pStyle w:val="BodyText"/>
        <w:spacing w:line="273" w:lineRule="auto" w:before="12"/>
        <w:ind w:right="202" w:hanging="10"/>
        <w:jc w:val="both"/>
      </w:pPr>
      <w:r>
        <w:rPr>
          <w:spacing w:val="-10"/>
        </w:rPr>
        <w:t>严重类风湿性关节炎为广泛分布的慢性进行性多关节病变，伴有关节严重变形，侵犯至少三个主要关节</w:t>
      </w:r>
      <w:r>
        <w:rPr>
          <w:spacing w:val="-3"/>
        </w:rPr>
        <w:t>（</w:t>
      </w:r>
      <w:r>
        <w:rPr/>
        <w:t>腕</w:t>
      </w:r>
      <w:r>
        <w:rPr>
          <w:spacing w:val="-5"/>
        </w:rPr>
        <w:t>关节、肘关节、肩关节、踝关节、膝关节、髋关节</w:t>
      </w:r>
      <w:r>
        <w:rPr>
          <w:spacing w:val="-3"/>
        </w:rPr>
        <w:t>）或关节组</w:t>
      </w:r>
      <w:r>
        <w:rPr/>
        <w:t>（</w:t>
      </w:r>
      <w:r>
        <w:rPr>
          <w:spacing w:val="-4"/>
        </w:rPr>
        <w:t>如手的多个指间、掌指关节，足的多个足</w:t>
      </w:r>
      <w:r>
        <w:rPr>
          <w:spacing w:val="-3"/>
        </w:rPr>
        <w:t>趾、跖趾关节</w:t>
      </w:r>
      <w:r>
        <w:rPr/>
        <w:t>），X</w:t>
      </w:r>
      <w:r>
        <w:rPr>
          <w:spacing w:val="-1"/>
        </w:rPr>
        <w:t> 线显示严重的关节</w:t>
      </w:r>
      <w:r>
        <w:rPr>
          <w:spacing w:val="-3"/>
        </w:rPr>
        <w:t>（软骨和骨</w:t>
      </w:r>
      <w:r>
        <w:rPr/>
        <w:t>）</w:t>
      </w:r>
      <w:r>
        <w:rPr>
          <w:spacing w:val="-3"/>
        </w:rPr>
        <w:t>破坏和关节畸形，并已达到类风湿性关节炎功能分级</w:t>
      </w:r>
    </w:p>
    <w:p>
      <w:pPr>
        <w:pStyle w:val="BodyText"/>
        <w:spacing w:line="273" w:lineRule="auto" w:before="8"/>
        <w:ind w:right="206" w:hanging="1"/>
        <w:jc w:val="both"/>
      </w:pPr>
      <w:r>
        <w:rPr/>
        <w:t>IV</w:t>
      </w:r>
      <w:r>
        <w:rPr>
          <w:spacing w:val="-10"/>
        </w:rPr>
        <w:t> 级的永久不可逆性关节功能障碍，致使被保险人完全丧失工作能力，生活不能自理，无法独立完成六项</w:t>
      </w:r>
      <w:r>
        <w:rPr>
          <w:spacing w:val="-5"/>
        </w:rPr>
        <w:t>基本日常生活活动中的三项或三项以上。</w:t>
      </w:r>
    </w:p>
    <w:p>
      <w:pPr>
        <w:spacing w:line="308" w:lineRule="exact" w:before="0"/>
        <w:ind w:left="318" w:right="0" w:firstLine="0"/>
        <w:jc w:val="left"/>
        <w:rPr>
          <w:rFonts w:ascii="微软雅黑" w:eastAsia="微软雅黑" w:hint="eastAsia"/>
          <w:b/>
          <w:sz w:val="21"/>
        </w:rPr>
      </w:pPr>
      <w:r>
        <w:rPr>
          <w:sz w:val="21"/>
        </w:rPr>
        <w:t>（37）</w:t>
      </w:r>
      <w:r>
        <w:rPr>
          <w:rFonts w:ascii="微软雅黑" w:eastAsia="微软雅黑" w:hint="eastAsia"/>
          <w:b/>
          <w:sz w:val="21"/>
          <w:u w:val="single"/>
        </w:rPr>
        <w:t>严重冠心病</w:t>
      </w:r>
    </w:p>
    <w:p>
      <w:pPr>
        <w:pStyle w:val="BodyText"/>
        <w:spacing w:before="11"/>
        <w:ind w:left="203"/>
      </w:pPr>
      <w:r>
        <w:rPr/>
        <w:t>指根据冠状动脉造影检查结果确诊的主要血管严重狭窄性病变，须满足下列至少一项条件：</w:t>
      </w:r>
    </w:p>
    <w:p>
      <w:pPr>
        <w:pStyle w:val="BodyText"/>
        <w:spacing w:line="273" w:lineRule="auto" w:before="36"/>
        <w:ind w:right="204" w:firstLine="201"/>
      </w:pPr>
      <w:r>
        <w:rPr/>
        <w:t>Ⅰ</w:t>
      </w:r>
      <w:r>
        <w:rPr>
          <w:spacing w:val="46"/>
        </w:rPr>
        <w:t> </w:t>
      </w:r>
      <w:r>
        <w:rPr/>
        <w:t>左冠状动脉主干和右冠状动脉有一支血管管腔直径减少</w:t>
      </w:r>
      <w:r>
        <w:rPr>
          <w:spacing w:val="1"/>
        </w:rPr>
        <w:t> </w:t>
      </w:r>
      <w:r>
        <w:rPr>
          <w:w w:val="100"/>
        </w:rPr>
        <w:drawing>
          <wp:inline distT="0" distB="0" distL="0" distR="0">
            <wp:extent cx="63499" cy="95250"/>
            <wp:effectExtent l="0" t="0" r="0" b="0"/>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t>以上且另一支血管管腔直径减少</w:t>
      </w:r>
      <w:r>
        <w:rPr>
          <w:spacing w:val="26"/>
        </w:rPr>
        <w:t> </w:t>
      </w:r>
      <w:r>
        <w:rPr>
          <w:w w:val="100"/>
        </w:rPr>
        <w:drawing>
          <wp:inline distT="0" distB="0" distL="0" distR="0">
            <wp:extent cx="63499" cy="95250"/>
            <wp:effectExtent l="0" t="0" r="0" b="0"/>
            <wp:docPr id="19" name="image4.png" descr=""/>
            <wp:cNvGraphicFramePr>
              <a:graphicFrameLocks noChangeAspect="1"/>
            </wp:cNvGraphicFramePr>
            <a:graphic>
              <a:graphicData uri="http://schemas.openxmlformats.org/drawingml/2006/picture">
                <pic:pic>
                  <pic:nvPicPr>
                    <pic:cNvPr id="20"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t>以   上。</w:t>
      </w:r>
    </w:p>
    <w:p>
      <w:pPr>
        <w:pStyle w:val="BodyText"/>
        <w:spacing w:line="273" w:lineRule="auto" w:before="7"/>
        <w:ind w:right="210" w:firstLine="201"/>
      </w:pPr>
      <w:r>
        <w:rPr>
          <w:w w:val="185"/>
        </w:rPr>
        <w:t>"</w:t>
      </w:r>
      <w:r>
        <w:rPr>
          <w:spacing w:val="-48"/>
          <w:w w:val="185"/>
        </w:rPr>
        <w:t> </w:t>
      </w:r>
      <w:r>
        <w:rPr/>
        <w:t>前</w:t>
      </w:r>
      <w:r>
        <w:rPr>
          <w:spacing w:val="-3"/>
        </w:rPr>
        <w:t>降</w:t>
      </w:r>
      <w:r>
        <w:rPr/>
        <w:t>支</w:t>
      </w:r>
      <w:r>
        <w:rPr>
          <w:spacing w:val="-15"/>
        </w:rPr>
        <w:t>、</w:t>
      </w:r>
      <w:r>
        <w:rPr/>
        <w:t>左</w:t>
      </w:r>
      <w:r>
        <w:rPr>
          <w:spacing w:val="-3"/>
        </w:rPr>
        <w:t>旋</w:t>
      </w:r>
      <w:r>
        <w:rPr/>
        <w:t>支</w:t>
      </w:r>
      <w:r>
        <w:rPr>
          <w:spacing w:val="-3"/>
        </w:rPr>
        <w:t>和右</w:t>
      </w:r>
      <w:r>
        <w:rPr/>
        <w:t>冠状</w:t>
      </w:r>
      <w:r>
        <w:rPr>
          <w:spacing w:val="-3"/>
        </w:rPr>
        <w:t>动</w:t>
      </w:r>
      <w:r>
        <w:rPr/>
        <w:t>脉</w:t>
      </w:r>
      <w:r>
        <w:rPr>
          <w:spacing w:val="-3"/>
        </w:rPr>
        <w:t>至</w:t>
      </w:r>
      <w:r>
        <w:rPr/>
        <w:t>少</w:t>
      </w:r>
      <w:r>
        <w:rPr>
          <w:spacing w:val="-3"/>
        </w:rPr>
        <w:t>一</w:t>
      </w:r>
      <w:r>
        <w:rPr/>
        <w:t>支</w:t>
      </w:r>
      <w:r>
        <w:rPr>
          <w:spacing w:val="-3"/>
        </w:rPr>
        <w:t>血</w:t>
      </w:r>
      <w:r>
        <w:rPr/>
        <w:t>管</w:t>
      </w:r>
      <w:r>
        <w:rPr>
          <w:spacing w:val="-3"/>
        </w:rPr>
        <w:t>管</w:t>
      </w:r>
      <w:r>
        <w:rPr/>
        <w:t>腔直</w:t>
      </w:r>
      <w:r>
        <w:rPr>
          <w:spacing w:val="-3"/>
        </w:rPr>
        <w:t>径减</w:t>
      </w:r>
      <w:r>
        <w:rPr/>
        <w:t>少</w:t>
      </w:r>
      <w:r>
        <w:rPr>
          <w:spacing w:val="-53"/>
        </w:rPr>
        <w:t> </w:t>
      </w:r>
      <w:r>
        <w:rPr>
          <w:w w:val="100"/>
        </w:rPr>
        <w:drawing>
          <wp:inline distT="0" distB="0" distL="0" distR="0">
            <wp:extent cx="63499" cy="95250"/>
            <wp:effectExtent l="0" t="0" r="0" b="0"/>
            <wp:docPr id="21" name="image4.png" descr=""/>
            <wp:cNvGraphicFramePr>
              <a:graphicFrameLocks noChangeAspect="1"/>
            </wp:cNvGraphicFramePr>
            <a:graphic>
              <a:graphicData uri="http://schemas.openxmlformats.org/drawingml/2006/picture">
                <pic:pic>
                  <pic:nvPicPr>
                    <pic:cNvPr id="22"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t>以</w:t>
      </w:r>
      <w:r>
        <w:rPr>
          <w:spacing w:val="-3"/>
        </w:rPr>
        <w:t>上</w:t>
      </w:r>
      <w:r>
        <w:rPr/>
        <w:t>且</w:t>
      </w:r>
      <w:r>
        <w:rPr>
          <w:spacing w:val="-3"/>
        </w:rPr>
        <w:t>其</w:t>
      </w:r>
      <w:r>
        <w:rPr/>
        <w:t>他两</w:t>
      </w:r>
      <w:r>
        <w:rPr>
          <w:spacing w:val="-3"/>
        </w:rPr>
        <w:t>支</w:t>
      </w:r>
      <w:r>
        <w:rPr/>
        <w:t>血</w:t>
      </w:r>
      <w:r>
        <w:rPr>
          <w:spacing w:val="-3"/>
        </w:rPr>
        <w:t>管</w:t>
      </w:r>
      <w:r>
        <w:rPr/>
        <w:t>管</w:t>
      </w:r>
      <w:r>
        <w:rPr>
          <w:spacing w:val="-3"/>
        </w:rPr>
        <w:t>腔</w:t>
      </w:r>
      <w:r>
        <w:rPr/>
        <w:t>直</w:t>
      </w:r>
      <w:r>
        <w:rPr>
          <w:spacing w:val="-3"/>
        </w:rPr>
        <w:t>径减</w:t>
      </w:r>
      <w:r>
        <w:rPr/>
        <w:t>少 </w:t>
      </w:r>
      <w:r>
        <w:rPr>
          <w:w w:val="100"/>
        </w:rPr>
        <w:drawing>
          <wp:inline distT="0" distB="0" distL="0" distR="0">
            <wp:extent cx="63499" cy="95250"/>
            <wp:effectExtent l="0" t="0" r="0" b="0"/>
            <wp:docPr id="23" name="image4.png" descr=""/>
            <wp:cNvGraphicFramePr>
              <a:graphicFrameLocks noChangeAspect="1"/>
            </wp:cNvGraphicFramePr>
            <a:graphic>
              <a:graphicData uri="http://schemas.openxmlformats.org/drawingml/2006/picture">
                <pic:pic>
                  <pic:nvPicPr>
                    <pic:cNvPr id="24"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w w:val="100"/>
        </w:rPr>
        <w:t>     </w:t>
      </w:r>
      <w:r>
        <w:rPr/>
        <w:t>以上。</w:t>
      </w:r>
    </w:p>
    <w:p>
      <w:pPr>
        <w:pStyle w:val="Heading2"/>
        <w:spacing w:line="283" w:lineRule="exact"/>
        <w:ind w:left="203"/>
      </w:pPr>
      <w:r>
        <w:rPr/>
        <w:t>前降支、左旋支及右冠状动脉的分支血管的狭窄不作为本保障的衡量指标。</w:t>
      </w:r>
    </w:p>
    <w:p>
      <w:pPr>
        <w:spacing w:line="337" w:lineRule="exact" w:before="0"/>
        <w:ind w:left="318" w:right="0" w:firstLine="0"/>
        <w:jc w:val="left"/>
        <w:rPr>
          <w:rFonts w:ascii="微软雅黑" w:eastAsia="微软雅黑" w:hint="eastAsia"/>
          <w:b/>
          <w:sz w:val="21"/>
        </w:rPr>
      </w:pPr>
      <w:r>
        <w:rPr>
          <w:sz w:val="21"/>
        </w:rPr>
        <w:t>（38）</w:t>
      </w:r>
      <w:r>
        <w:rPr>
          <w:rFonts w:ascii="微软雅黑" w:eastAsia="微软雅黑" w:hint="eastAsia"/>
          <w:b/>
          <w:sz w:val="21"/>
          <w:u w:val="single"/>
        </w:rPr>
        <w:t>急性出血坏死性胰腺炎</w:t>
      </w:r>
    </w:p>
    <w:p>
      <w:pPr>
        <w:pStyle w:val="BodyText"/>
        <w:spacing w:line="273" w:lineRule="auto" w:before="11"/>
        <w:ind w:right="202" w:hanging="10"/>
        <w:jc w:val="both"/>
      </w:pPr>
      <w:r>
        <w:rPr>
          <w:spacing w:val="-5"/>
        </w:rPr>
        <w:t>指被保险人因为急性出血坏死性胰腺炎已经接受了外科开腹手术治疗，以进行坏死组织清除、坏死病灶切</w:t>
      </w:r>
      <w:r>
        <w:rPr>
          <w:spacing w:val="-4"/>
        </w:rPr>
        <w:t>除或胰腺切除。</w:t>
      </w:r>
    </w:p>
    <w:p>
      <w:pPr>
        <w:pStyle w:val="Heading2"/>
        <w:spacing w:line="283" w:lineRule="exact"/>
        <w:ind w:left="203"/>
      </w:pPr>
      <w:r>
        <w:rPr/>
        <w:t>因饮酒所致的急性出血坏死性胰腺炎或经腹腔镜手术进行的治疗不在保障范围内。</w:t>
      </w:r>
    </w:p>
    <w:p>
      <w:pPr>
        <w:spacing w:line="337" w:lineRule="exact" w:before="0"/>
        <w:ind w:left="318" w:right="0" w:firstLine="0"/>
        <w:jc w:val="left"/>
        <w:rPr>
          <w:rFonts w:ascii="微软雅黑" w:eastAsia="微软雅黑" w:hint="eastAsia"/>
          <w:b/>
          <w:sz w:val="21"/>
        </w:rPr>
      </w:pPr>
      <w:r>
        <w:rPr>
          <w:sz w:val="21"/>
        </w:rPr>
        <w:t>（39）</w:t>
      </w:r>
      <w:r>
        <w:rPr>
          <w:rFonts w:ascii="微软雅黑" w:eastAsia="微软雅黑" w:hint="eastAsia"/>
          <w:b/>
          <w:sz w:val="21"/>
          <w:u w:val="single"/>
        </w:rPr>
        <w:t>溶血性链球菌引起的坏疽</w:t>
      </w:r>
    </w:p>
    <w:p>
      <w:pPr>
        <w:pStyle w:val="BodyText"/>
        <w:spacing w:line="273" w:lineRule="auto" w:before="11"/>
        <w:ind w:right="286"/>
        <w:jc w:val="both"/>
      </w:pPr>
      <w:r>
        <w:rPr/>
        <w:t>包围肢体或躯干的浅筋膜和/或深筋膜受到溶血性链球菌的感染，病情在短时间内急剧恶化，已经立刻进行了手术及清创术。最后的诊断必须由微生物或病理学专家进行相关检查后证实。</w:t>
      </w:r>
    </w:p>
    <w:p>
      <w:pPr>
        <w:spacing w:line="308" w:lineRule="exact" w:before="0"/>
        <w:ind w:left="318" w:right="0" w:firstLine="0"/>
        <w:jc w:val="left"/>
        <w:rPr>
          <w:rFonts w:ascii="微软雅黑" w:eastAsia="微软雅黑" w:hint="eastAsia"/>
          <w:b/>
          <w:sz w:val="21"/>
        </w:rPr>
      </w:pPr>
      <w:r>
        <w:rPr>
          <w:sz w:val="21"/>
        </w:rPr>
        <w:t>（40）</w:t>
      </w:r>
      <w:r>
        <w:rPr>
          <w:rFonts w:ascii="微软雅黑" w:eastAsia="微软雅黑" w:hint="eastAsia"/>
          <w:b/>
          <w:sz w:val="21"/>
          <w:u w:val="single"/>
        </w:rPr>
        <w:t>坏死性筋膜炎</w:t>
      </w:r>
    </w:p>
    <w:p>
      <w:pPr>
        <w:spacing w:after="0" w:line="308" w:lineRule="exact"/>
        <w:jc w:val="left"/>
        <w:rPr>
          <w:rFonts w:ascii="微软雅黑" w:eastAsia="微软雅黑" w:hint="eastAsia"/>
          <w:sz w:val="21"/>
        </w:rPr>
        <w:sectPr>
          <w:pgSz w:w="11900" w:h="16840"/>
          <w:pgMar w:header="892" w:footer="547" w:top="1080" w:bottom="740" w:left="920" w:right="920"/>
        </w:sectPr>
      </w:pPr>
    </w:p>
    <w:p>
      <w:pPr>
        <w:pStyle w:val="BodyText"/>
        <w:spacing w:before="13"/>
        <w:ind w:left="0"/>
        <w:rPr>
          <w:rFonts w:ascii="微软雅黑"/>
          <w:b/>
          <w:sz w:val="7"/>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before="75"/>
      </w:pPr>
      <w:r>
        <w:rPr/>
        <w:t>坏死性筋膜炎的诊断须同时符合下列要求：</w:t>
      </w:r>
    </w:p>
    <w:p>
      <w:pPr>
        <w:pStyle w:val="BodyText"/>
        <w:spacing w:before="36"/>
        <w:ind w:left="424"/>
      </w:pPr>
      <w:r>
        <w:rPr/>
        <w:t>Ⅰ 符合坏死性筋膜炎的一般临床表现；</w:t>
      </w:r>
    </w:p>
    <w:p>
      <w:pPr>
        <w:pStyle w:val="BodyText"/>
        <w:spacing w:before="36"/>
        <w:ind w:left="424"/>
      </w:pPr>
      <w:r>
        <w:rPr>
          <w:w w:val="105"/>
        </w:rPr>
        <w:t>" 细菌培养检出致病菌；</w:t>
      </w:r>
    </w:p>
    <w:p>
      <w:pPr>
        <w:pStyle w:val="BodyText"/>
        <w:spacing w:line="273" w:lineRule="auto" w:before="36"/>
        <w:ind w:right="2406" w:firstLine="211"/>
      </w:pPr>
      <w:r>
        <w:rPr/>
        <w:t>Ⅲ 出现广泛性肌肉及软组织坏死，并导致身体受影响部位永久完全失去功能。所谓永久完全失去功能是指受影响部位的全部功能完全丧失超过 180 天者。</w:t>
      </w:r>
    </w:p>
    <w:p>
      <w:pPr>
        <w:spacing w:line="308" w:lineRule="exact" w:before="0"/>
        <w:ind w:left="318" w:right="0" w:firstLine="0"/>
        <w:jc w:val="left"/>
        <w:rPr>
          <w:rFonts w:ascii="微软雅黑" w:eastAsia="微软雅黑" w:hint="eastAsia"/>
          <w:b/>
          <w:sz w:val="21"/>
        </w:rPr>
      </w:pPr>
      <w:r>
        <w:rPr>
          <w:sz w:val="21"/>
        </w:rPr>
        <w:t>（41）</w:t>
      </w:r>
      <w:r>
        <w:rPr>
          <w:rFonts w:ascii="微软雅黑" w:eastAsia="微软雅黑" w:hint="eastAsia"/>
          <w:b/>
          <w:sz w:val="21"/>
          <w:u w:val="single"/>
        </w:rPr>
        <w:t>非阿尔茨海默病所致严重痴呆</w:t>
      </w:r>
    </w:p>
    <w:p>
      <w:pPr>
        <w:pStyle w:val="BodyText"/>
        <w:spacing w:line="273" w:lineRule="auto" w:before="12"/>
        <w:ind w:right="222"/>
        <w:jc w:val="both"/>
      </w:pPr>
      <w:r>
        <w:rPr>
          <w:spacing w:val="-4"/>
        </w:rPr>
        <w:t>指因阿尔茨海默病以外的脑的器质性疾病造成脑功能衰竭导致永久不可逆性的严重痴呆，临床表现为明显</w:t>
      </w:r>
      <w:r>
        <w:rPr>
          <w:spacing w:val="-6"/>
        </w:rPr>
        <w:t>的认知能力障碍、行为异常和社交能力减退。被保险人自主生活能力完全丧失，无法独立完成六项基本日</w:t>
      </w:r>
      <w:r>
        <w:rPr>
          <w:spacing w:val="-7"/>
        </w:rPr>
        <w:t>常生活活动中的三项或三项以上，日常生活必须持续受到他人监护。导致痴呆的疾病必须明确诊断，并且</w:t>
      </w:r>
      <w:r>
        <w:rPr>
          <w:spacing w:val="-5"/>
        </w:rPr>
        <w:t>由完整的临床、实验室和影像学检查结果证实。</w:t>
      </w:r>
    </w:p>
    <w:p>
      <w:pPr>
        <w:pStyle w:val="Heading2"/>
        <w:spacing w:line="283" w:lineRule="exact"/>
      </w:pPr>
      <w:r>
        <w:rPr/>
        <w:t>神经官能症和精神疾病不在保障范围内。</w:t>
      </w:r>
    </w:p>
    <w:p>
      <w:pPr>
        <w:spacing w:line="337" w:lineRule="exact" w:before="0"/>
        <w:ind w:left="318" w:right="0" w:firstLine="0"/>
        <w:jc w:val="left"/>
        <w:rPr>
          <w:rFonts w:ascii="微软雅黑" w:eastAsia="微软雅黑" w:hint="eastAsia"/>
          <w:b/>
          <w:sz w:val="21"/>
        </w:rPr>
      </w:pPr>
      <w:r>
        <w:rPr>
          <w:sz w:val="21"/>
        </w:rPr>
        <w:t>（42）</w:t>
      </w:r>
      <w:r>
        <w:rPr>
          <w:rFonts w:ascii="微软雅黑" w:eastAsia="微软雅黑" w:hint="eastAsia"/>
          <w:b/>
          <w:sz w:val="21"/>
          <w:u w:val="single"/>
        </w:rPr>
        <w:t>脊髓灰质炎</w:t>
      </w:r>
    </w:p>
    <w:p>
      <w:pPr>
        <w:pStyle w:val="BodyText"/>
        <w:spacing w:line="273" w:lineRule="auto" w:before="11"/>
        <w:ind w:right="222"/>
        <w:jc w:val="both"/>
      </w:pPr>
      <w:r>
        <w:rPr>
          <w:spacing w:val="-5"/>
        </w:rPr>
        <w:t>是由于脊髓灰质炎病毒感染所致的瘫痪性疾病，临床表现为运动功能损害或呼吸无力。脊髓灰质炎必须明</w:t>
      </w:r>
      <w:r>
        <w:rPr>
          <w:spacing w:val="-7"/>
        </w:rPr>
        <w:t>确诊断。本保单仅对脊髓灰质炎造成的神经系统功能损害导致被保险人一肢或一肢以上肢体机能永久完全</w:t>
      </w:r>
      <w:r>
        <w:rPr>
          <w:spacing w:val="-11"/>
        </w:rPr>
        <w:t>丧失的情况予以理赔。肢体机能永久完全丧失，指疾病确诊 </w:t>
      </w:r>
      <w:r>
        <w:rPr/>
        <w:t>180</w:t>
      </w:r>
      <w:r>
        <w:rPr>
          <w:spacing w:val="-3"/>
        </w:rPr>
        <w:t> 天后，每肢三大关节中的两大关节仍然完全僵硬，或不能随意识活动。</w:t>
      </w:r>
    </w:p>
    <w:p>
      <w:pPr>
        <w:spacing w:line="308" w:lineRule="exact" w:before="0"/>
        <w:ind w:left="318" w:right="0" w:firstLine="0"/>
        <w:jc w:val="left"/>
        <w:rPr>
          <w:rFonts w:ascii="微软雅黑" w:eastAsia="微软雅黑" w:hint="eastAsia"/>
          <w:b/>
          <w:sz w:val="21"/>
        </w:rPr>
      </w:pPr>
      <w:r>
        <w:rPr>
          <w:sz w:val="21"/>
        </w:rPr>
        <w:t>（43）</w:t>
      </w:r>
      <w:r>
        <w:rPr>
          <w:rFonts w:ascii="微软雅黑" w:eastAsia="微软雅黑" w:hint="eastAsia"/>
          <w:b/>
          <w:sz w:val="21"/>
          <w:u w:val="single"/>
        </w:rPr>
        <w:t>慢性肾上腺皮质功能衰竭</w:t>
      </w:r>
    </w:p>
    <w:p>
      <w:pPr>
        <w:pStyle w:val="BodyText"/>
        <w:spacing w:line="273" w:lineRule="auto" w:before="12"/>
        <w:ind w:right="116"/>
      </w:pPr>
      <w:r>
        <w:rPr>
          <w:spacing w:val="-12"/>
        </w:rPr>
        <w:t>因为自身免疫功能紊乱，使肾上腺组织逐渐受损，而需要长期接受糖皮质激素及肾上腺皮质激素替代疗法。</w:t>
      </w:r>
      <w:r>
        <w:rPr>
          <w:spacing w:val="-6"/>
        </w:rPr>
        <w:t>该病必须经专科医生确诊，并有以下报告作为证据：</w:t>
      </w:r>
    </w:p>
    <w:p>
      <w:pPr>
        <w:pStyle w:val="BodyText"/>
        <w:spacing w:before="7"/>
        <w:ind w:left="423"/>
      </w:pPr>
      <w:r>
        <w:rPr/>
        <w:t>Ⅰ 促肾上腺皮质激素(ACTH)刺激试验；</w:t>
      </w:r>
    </w:p>
    <w:p>
      <w:pPr>
        <w:pStyle w:val="BodyText"/>
        <w:spacing w:before="36"/>
        <w:ind w:left="423"/>
      </w:pPr>
      <w:r>
        <w:rPr>
          <w:w w:val="105"/>
        </w:rPr>
        <w:t>" 胰岛素血糖减少测试；</w:t>
      </w:r>
    </w:p>
    <w:p>
      <w:pPr>
        <w:pStyle w:val="BodyText"/>
        <w:spacing w:before="36"/>
        <w:ind w:left="423"/>
      </w:pPr>
      <w:r>
        <w:rPr/>
        <w:t>Ⅲ 血浆促肾上腺皮质激素(ACTH)水平测定；</w:t>
      </w:r>
    </w:p>
    <w:p>
      <w:pPr>
        <w:pStyle w:val="BodyText"/>
        <w:spacing w:line="262" w:lineRule="exact" w:before="36"/>
        <w:ind w:left="423"/>
      </w:pPr>
      <w:r>
        <w:rPr/>
        <w:t>Ⅳ 血浆肾素活性(PRA)测定</w:t>
      </w:r>
    </w:p>
    <w:p>
      <w:pPr>
        <w:pStyle w:val="Heading2"/>
        <w:spacing w:line="325" w:lineRule="exact"/>
        <w:jc w:val="both"/>
      </w:pPr>
      <w:r>
        <w:rPr/>
        <w:t>慢性肾上腺皮质功能衰竭只对由自身免疫功能紊乱引起的承担保险责任，其他原因引起的除外。</w:t>
      </w:r>
    </w:p>
    <w:p>
      <w:pPr>
        <w:spacing w:line="337" w:lineRule="exact" w:before="0"/>
        <w:ind w:left="318" w:right="0" w:firstLine="0"/>
        <w:jc w:val="left"/>
        <w:rPr>
          <w:rFonts w:ascii="微软雅黑" w:hAnsi="微软雅黑" w:eastAsia="微软雅黑" w:hint="eastAsia"/>
          <w:b/>
          <w:sz w:val="21"/>
        </w:rPr>
      </w:pPr>
      <w:r>
        <w:rPr>
          <w:sz w:val="21"/>
        </w:rPr>
        <w:t>（44）</w:t>
      </w:r>
      <w:r>
        <w:rPr>
          <w:rFonts w:ascii="微软雅黑" w:hAnsi="微软雅黑" w:eastAsia="微软雅黑" w:hint="eastAsia"/>
          <w:b/>
          <w:sz w:val="21"/>
          <w:u w:val="single"/>
        </w:rPr>
        <w:t>严重的胰岛素依赖型糖尿病（Ⅰ型糖尿病）</w:t>
      </w:r>
    </w:p>
    <w:p>
      <w:pPr>
        <w:pStyle w:val="BodyText"/>
        <w:spacing w:line="273" w:lineRule="auto" w:before="11"/>
        <w:ind w:right="224" w:hanging="1"/>
      </w:pPr>
      <w:r>
        <w:rPr>
          <w:spacing w:val="-7"/>
        </w:rPr>
        <w:t>指由于胰岛素分泌绝对不足引起的慢性糖、脂肪、蛋白质代谢异常，须由专科医生作出诊断，并持续性地</w:t>
      </w:r>
      <w:r>
        <w:rPr>
          <w:spacing w:val="-10"/>
        </w:rPr>
        <w:t>依赖胰岛素注射治疗 </w:t>
      </w:r>
      <w:r>
        <w:rPr/>
        <w:t>180 天以上。</w:t>
      </w:r>
    </w:p>
    <w:p>
      <w:pPr>
        <w:spacing w:line="308" w:lineRule="exact" w:before="0"/>
        <w:ind w:left="318" w:right="0" w:firstLine="0"/>
        <w:jc w:val="left"/>
        <w:rPr>
          <w:rFonts w:ascii="微软雅黑" w:eastAsia="微软雅黑" w:hint="eastAsia"/>
          <w:b/>
          <w:sz w:val="21"/>
        </w:rPr>
      </w:pPr>
      <w:r>
        <w:rPr>
          <w:sz w:val="21"/>
        </w:rPr>
        <w:t>（45）</w:t>
      </w:r>
      <w:r>
        <w:rPr>
          <w:rFonts w:ascii="微软雅黑" w:eastAsia="微软雅黑" w:hint="eastAsia"/>
          <w:b/>
          <w:sz w:val="21"/>
          <w:u w:val="single"/>
        </w:rPr>
        <w:t>严重肌营养不良症</w:t>
      </w:r>
    </w:p>
    <w:p>
      <w:pPr>
        <w:pStyle w:val="BodyText"/>
        <w:spacing w:line="273" w:lineRule="auto" w:before="12"/>
        <w:ind w:right="222" w:hanging="1"/>
      </w:pPr>
      <w:r>
        <w:rPr>
          <w:spacing w:val="-5"/>
        </w:rPr>
        <w:t>是一组原发于肌肉的遗传性的肌肉病变。主要临床特征为受累骨骼肌肉的无力和肌肉萎缩。经专科医生确</w:t>
      </w:r>
      <w:r>
        <w:rPr>
          <w:spacing w:val="-4"/>
        </w:rPr>
        <w:t>认符合以下四项诊断指标中的三项：</w:t>
      </w:r>
    </w:p>
    <w:p>
      <w:pPr>
        <w:pStyle w:val="BodyText"/>
        <w:spacing w:before="8"/>
        <w:ind w:left="424"/>
      </w:pPr>
      <w:r>
        <w:rPr/>
        <w:t>Ⅰ 家族史中有其他成员患相同疾病；</w:t>
      </w:r>
    </w:p>
    <w:p>
      <w:pPr>
        <w:pStyle w:val="BodyText"/>
        <w:spacing w:before="37"/>
        <w:ind w:left="424"/>
      </w:pPr>
      <w:r>
        <w:rPr/>
        <w:t>"  临床表现包括：无感觉神经紊乱，正常脑脊液及轻微腱反射的减退；</w:t>
      </w:r>
    </w:p>
    <w:p>
      <w:pPr>
        <w:pStyle w:val="BodyText"/>
        <w:spacing w:before="37"/>
        <w:ind w:left="424"/>
      </w:pPr>
      <w:r>
        <w:rPr/>
        <w:t>Ⅲ 典型的肌电图；</w:t>
      </w:r>
    </w:p>
    <w:p>
      <w:pPr>
        <w:pStyle w:val="BodyText"/>
        <w:spacing w:line="262" w:lineRule="exact" w:before="37"/>
        <w:ind w:left="424"/>
      </w:pPr>
      <w:r>
        <w:rPr/>
        <w:t>Ⅳ 临床推测必须有肌肉或组织检查加以证实。</w:t>
      </w:r>
    </w:p>
    <w:p>
      <w:pPr>
        <w:spacing w:line="350" w:lineRule="exact" w:before="0"/>
        <w:ind w:left="318" w:right="0" w:firstLine="0"/>
        <w:jc w:val="left"/>
        <w:rPr>
          <w:rFonts w:ascii="微软雅黑" w:eastAsia="微软雅黑" w:hint="eastAsia"/>
          <w:b/>
          <w:sz w:val="21"/>
        </w:rPr>
      </w:pPr>
      <w:r>
        <w:rPr>
          <w:sz w:val="21"/>
        </w:rPr>
        <w:t>（46）</w:t>
      </w:r>
      <w:r>
        <w:rPr>
          <w:rFonts w:ascii="微软雅黑" w:eastAsia="微软雅黑" w:hint="eastAsia"/>
          <w:b/>
          <w:sz w:val="21"/>
          <w:u w:val="single"/>
        </w:rPr>
        <w:t>严重溃疡性结肠炎</w:t>
      </w:r>
    </w:p>
    <w:p>
      <w:pPr>
        <w:pStyle w:val="BodyText"/>
        <w:spacing w:line="273" w:lineRule="auto" w:before="12"/>
        <w:ind w:right="222"/>
      </w:pPr>
      <w:r>
        <w:rPr>
          <w:spacing w:val="-5"/>
        </w:rPr>
        <w:t>指伴有致命性电解质紊乱的急性暴发性溃疡性结肠炎，病变累及全结肠，表现为严重的血便和系统性症状</w:t>
      </w:r>
      <w:r>
        <w:rPr>
          <w:spacing w:val="-4"/>
        </w:rPr>
        <w:t>体征，溃疡性结肠炎必须根据组织病理学特点诊断，并且被保险人已经接受了结肠切除和回肠造瘘术。</w:t>
      </w:r>
    </w:p>
    <w:p>
      <w:pPr>
        <w:spacing w:line="308" w:lineRule="exact" w:before="0"/>
        <w:ind w:left="318" w:right="0" w:firstLine="0"/>
        <w:jc w:val="left"/>
        <w:rPr>
          <w:rFonts w:ascii="微软雅黑" w:eastAsia="微软雅黑" w:hint="eastAsia"/>
          <w:b/>
          <w:sz w:val="21"/>
        </w:rPr>
      </w:pPr>
      <w:r>
        <w:rPr>
          <w:sz w:val="21"/>
        </w:rPr>
        <w:t>（47）</w:t>
      </w:r>
      <w:r>
        <w:rPr>
          <w:rFonts w:ascii="微软雅黑" w:eastAsia="微软雅黑" w:hint="eastAsia"/>
          <w:b/>
          <w:sz w:val="21"/>
          <w:u w:val="single"/>
        </w:rPr>
        <w:t>严重哮喘</w:t>
      </w:r>
    </w:p>
    <w:p>
      <w:pPr>
        <w:pStyle w:val="BodyText"/>
        <w:spacing w:before="11"/>
        <w:jc w:val="both"/>
      </w:pPr>
      <w:r>
        <w:rPr/>
        <w:t>指一种反复发作的严重支气管阻塞性疾病，须符合下列全部标准：</w:t>
      </w:r>
    </w:p>
    <w:p>
      <w:pPr>
        <w:pStyle w:val="BodyText"/>
        <w:spacing w:before="36"/>
        <w:ind w:left="423"/>
      </w:pPr>
      <w:r>
        <w:rPr/>
        <w:t>Ⅰ 过去两年中曾因哮喘持续状态住院治疗，并提供完整住院记录；</w:t>
      </w:r>
    </w:p>
    <w:p>
      <w:pPr>
        <w:pStyle w:val="BodyText"/>
        <w:spacing w:before="36"/>
        <w:ind w:left="423"/>
      </w:pPr>
      <w:r>
        <w:rPr>
          <w:w w:val="120"/>
        </w:rPr>
        <w:t>" </w:t>
      </w:r>
      <w:r>
        <w:rPr>
          <w:w w:val="105"/>
        </w:rPr>
        <w:t>身体活动耐受能力显著且持续下降；</w:t>
      </w:r>
    </w:p>
    <w:p>
      <w:pPr>
        <w:pStyle w:val="BodyText"/>
        <w:spacing w:before="36"/>
        <w:ind w:left="423"/>
      </w:pPr>
      <w:r>
        <w:rPr/>
        <w:t>Ⅲ 因慢性过度换气导致胸廓畸形；</w:t>
      </w:r>
    </w:p>
    <w:p>
      <w:pPr>
        <w:pStyle w:val="BodyText"/>
        <w:spacing w:before="36"/>
        <w:ind w:left="423"/>
      </w:pPr>
      <w:r>
        <w:rPr/>
        <w:t>Ⅳ 在家中需要医生处方的氧气治疗法；</w:t>
      </w:r>
    </w:p>
    <w:p>
      <w:pPr>
        <w:pStyle w:val="BodyText"/>
        <w:spacing w:line="262" w:lineRule="exact" w:before="36"/>
        <w:ind w:left="423"/>
      </w:pPr>
      <w:r>
        <w:rPr>
          <w:w w:val="120"/>
        </w:rPr>
        <w:t>*</w:t>
      </w:r>
      <w:r>
        <w:rPr>
          <w:spacing w:val="-90"/>
          <w:w w:val="120"/>
        </w:rPr>
        <w:t> </w:t>
      </w:r>
      <w:r>
        <w:rPr>
          <w:spacing w:val="-8"/>
          <w:w w:val="105"/>
        </w:rPr>
        <w:t>持续日常服用口服类固醇激素治疗持续至少 </w:t>
      </w:r>
      <w:r>
        <w:rPr>
          <w:w w:val="105"/>
        </w:rPr>
        <w:t>180</w:t>
      </w:r>
      <w:r>
        <w:rPr>
          <w:spacing w:val="-31"/>
          <w:w w:val="105"/>
        </w:rPr>
        <w:t> 天。</w:t>
      </w:r>
    </w:p>
    <w:p>
      <w:pPr>
        <w:spacing w:line="350" w:lineRule="exact" w:before="0"/>
        <w:ind w:left="318" w:right="0" w:firstLine="0"/>
        <w:jc w:val="left"/>
        <w:rPr>
          <w:rFonts w:ascii="微软雅黑" w:eastAsia="微软雅黑" w:hint="eastAsia"/>
          <w:b/>
          <w:sz w:val="21"/>
        </w:rPr>
      </w:pPr>
      <w:r>
        <w:rPr>
          <w:sz w:val="21"/>
        </w:rPr>
        <w:t>（48）</w:t>
      </w:r>
      <w:r>
        <w:rPr>
          <w:rFonts w:ascii="微软雅黑" w:eastAsia="微软雅黑" w:hint="eastAsia"/>
          <w:b/>
          <w:sz w:val="21"/>
          <w:u w:val="single"/>
        </w:rPr>
        <w:t>原发性硬化性胆管炎</w:t>
      </w:r>
    </w:p>
    <w:p>
      <w:pPr>
        <w:pStyle w:val="BodyText"/>
        <w:spacing w:line="273" w:lineRule="auto" w:before="12"/>
        <w:ind w:right="222"/>
      </w:pPr>
      <w:r>
        <w:rPr>
          <w:spacing w:val="-6"/>
        </w:rPr>
        <w:t>指一种胆汁淤积综合征，其特征是肝内、肝外胆道因纤维化性炎症逐渐狭窄，并最终导致完全阻塞而发展</w:t>
      </w:r>
      <w:r>
        <w:rPr>
          <w:spacing w:val="-4"/>
        </w:rPr>
        <w:t>为肝硬化。本病须经内镜逆行胰胆管造影等影像学检查证实，并须满足下列全部条件：</w:t>
      </w:r>
    </w:p>
    <w:p>
      <w:pPr>
        <w:spacing w:after="0" w:line="273" w:lineRule="auto"/>
        <w:sectPr>
          <w:pgSz w:w="11900" w:h="16840"/>
          <w:pgMar w:header="892" w:footer="547" w:top="1080" w:bottom="740" w:left="920" w:right="900"/>
        </w:sectPr>
      </w:pPr>
    </w:p>
    <w:p>
      <w:pPr>
        <w:pStyle w:val="BodyText"/>
        <w:spacing w:before="3"/>
        <w:ind w:left="0"/>
        <w:rPr>
          <w:sz w:val="10"/>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before="75"/>
        <w:ind w:left="424"/>
      </w:pPr>
      <w:r>
        <w:rPr/>
        <w:t>Ⅰ 总胆红素和直接胆红素同时升高，血清 ALP&gt;200U/L；</w:t>
      </w:r>
    </w:p>
    <w:p>
      <w:pPr>
        <w:pStyle w:val="BodyText"/>
        <w:spacing w:before="36"/>
        <w:ind w:left="424"/>
      </w:pPr>
      <w:r>
        <w:rPr>
          <w:w w:val="110"/>
        </w:rPr>
        <w:t>" 持续性黄疸病史；</w:t>
      </w:r>
    </w:p>
    <w:p>
      <w:pPr>
        <w:pStyle w:val="BodyText"/>
        <w:spacing w:line="262" w:lineRule="exact" w:before="36"/>
        <w:ind w:left="424"/>
      </w:pPr>
      <w:r>
        <w:rPr/>
        <w:t>Ⅲ 出现胆汁性肝硬化或门脉高压。</w:t>
      </w:r>
    </w:p>
    <w:p>
      <w:pPr>
        <w:pStyle w:val="Heading2"/>
        <w:spacing w:line="325" w:lineRule="exact"/>
        <w:jc w:val="both"/>
      </w:pPr>
      <w:r>
        <w:rPr/>
        <w:t>因肿瘤或胆管损伤等继发性的硬化性胆管炎不在保障范围内。</w:t>
      </w:r>
    </w:p>
    <w:p>
      <w:pPr>
        <w:spacing w:line="337" w:lineRule="exact" w:before="0"/>
        <w:ind w:left="318" w:right="0" w:firstLine="0"/>
        <w:jc w:val="left"/>
        <w:rPr>
          <w:rFonts w:ascii="微软雅黑" w:eastAsia="微软雅黑" w:hint="eastAsia"/>
          <w:b/>
          <w:sz w:val="21"/>
        </w:rPr>
      </w:pPr>
      <w:r>
        <w:rPr>
          <w:sz w:val="21"/>
        </w:rPr>
        <w:t>（49）</w:t>
      </w:r>
      <w:r>
        <w:rPr>
          <w:rFonts w:ascii="微软雅黑" w:eastAsia="微软雅黑" w:hint="eastAsia"/>
          <w:b/>
          <w:sz w:val="21"/>
          <w:u w:val="single"/>
        </w:rPr>
        <w:t>植物人</w:t>
      </w:r>
    </w:p>
    <w:p>
      <w:pPr>
        <w:pStyle w:val="BodyText"/>
        <w:spacing w:line="273" w:lineRule="auto" w:before="11"/>
        <w:ind w:right="286" w:hanging="1"/>
        <w:jc w:val="both"/>
      </w:pPr>
      <w:r>
        <w:rPr/>
        <w:t>指脑皮质广泛性坏死而导致对自身及周边的认知能力完全丧失,但脑干功能依然存在。必须由专科医生明确诊断,并有头颅断层扫描（CT），核磁共振检查（MRI）或正电子发射断层扫描（PET）等影像学检查证实。</w:t>
      </w:r>
    </w:p>
    <w:p>
      <w:pPr>
        <w:pStyle w:val="Heading2"/>
        <w:spacing w:line="206" w:lineRule="auto"/>
        <w:ind w:right="360"/>
      </w:pPr>
      <w:r>
        <w:rPr/>
        <w:t>上述情况必须有至少一个月的病历记录加以证实。由于酗酒或滥用药物所致的植物人状态不在保障范围内。</w:t>
      </w:r>
    </w:p>
    <w:p>
      <w:pPr>
        <w:spacing w:line="312" w:lineRule="exact" w:before="4"/>
        <w:ind w:left="318" w:right="0" w:firstLine="0"/>
        <w:jc w:val="left"/>
        <w:rPr>
          <w:rFonts w:ascii="微软雅黑" w:eastAsia="微软雅黑" w:hint="eastAsia"/>
          <w:b/>
          <w:sz w:val="21"/>
        </w:rPr>
      </w:pPr>
      <w:r>
        <w:rPr>
          <w:sz w:val="21"/>
        </w:rPr>
        <w:t>（50）</w:t>
      </w:r>
      <w:r>
        <w:rPr>
          <w:rFonts w:ascii="微软雅黑" w:eastAsia="微软雅黑" w:hint="eastAsia"/>
          <w:b/>
          <w:sz w:val="21"/>
          <w:u w:val="single"/>
        </w:rPr>
        <w:t>主动脉夹层血肿</w:t>
      </w:r>
    </w:p>
    <w:p>
      <w:pPr>
        <w:pStyle w:val="BodyText"/>
        <w:spacing w:line="273" w:lineRule="auto" w:before="12"/>
        <w:ind w:right="202"/>
        <w:jc w:val="both"/>
      </w:pPr>
      <w:r>
        <w:rPr>
          <w:spacing w:val="-6"/>
        </w:rPr>
        <w:t>是指主动脉壁在受到某些病理因素的破坏后，高速、高压的主动脉血流将其内膜撕裂，以致主动脉腔内的血流通过主动脉内膜的破裂口进入主动脉内壁而形成血肿。被保险人需通过 </w:t>
      </w:r>
      <w:r>
        <w:rPr/>
        <w:t>X</w:t>
      </w:r>
      <w:r>
        <w:rPr>
          <w:spacing w:val="-9"/>
        </w:rPr>
        <w:t> 线断层扫描</w:t>
      </w:r>
      <w:r>
        <w:rPr>
          <w:spacing w:val="-3"/>
        </w:rPr>
        <w:t>（CT）、磁共振</w:t>
      </w:r>
      <w:r>
        <w:rPr>
          <w:spacing w:val="-1"/>
        </w:rPr>
        <w:t>扫描（MRI）</w:t>
      </w:r>
      <w:r>
        <w:rPr>
          <w:spacing w:val="-3"/>
        </w:rPr>
        <w:t>、磁共振血管检验法</w:t>
      </w:r>
      <w:r>
        <w:rPr>
          <w:spacing w:val="-1"/>
        </w:rPr>
        <w:t>（MRA）</w:t>
      </w:r>
      <w:r>
        <w:rPr>
          <w:spacing w:val="-3"/>
        </w:rPr>
        <w:t>或血管扫描等检查，并且实施了胸腹切开的直视主动脉手术。</w:t>
      </w:r>
    </w:p>
    <w:p>
      <w:pPr>
        <w:spacing w:line="308" w:lineRule="exact" w:before="0"/>
        <w:ind w:left="318" w:right="0" w:firstLine="0"/>
        <w:jc w:val="left"/>
        <w:rPr>
          <w:rFonts w:ascii="微软雅黑" w:eastAsia="微软雅黑" w:hint="eastAsia"/>
          <w:b/>
          <w:sz w:val="21"/>
        </w:rPr>
      </w:pPr>
      <w:r>
        <w:rPr>
          <w:sz w:val="21"/>
        </w:rPr>
        <w:t>（51）</w:t>
      </w:r>
      <w:r>
        <w:rPr>
          <w:rFonts w:ascii="微软雅黑" w:eastAsia="微软雅黑" w:hint="eastAsia"/>
          <w:b/>
          <w:sz w:val="21"/>
          <w:u w:val="single"/>
        </w:rPr>
        <w:t>慢性复发性胰腺炎</w:t>
      </w:r>
    </w:p>
    <w:p>
      <w:pPr>
        <w:pStyle w:val="BodyText"/>
        <w:spacing w:line="273" w:lineRule="auto" w:before="11"/>
        <w:ind w:right="202"/>
      </w:pPr>
      <w:r>
        <w:rPr>
          <w:spacing w:val="-5"/>
        </w:rPr>
        <w:t>胰腺炎反复发作超过三次以上并导致胰腺功能紊乱和营养不良，已接受酶替代治疗。诊断必须有专科医生</w:t>
      </w:r>
      <w:r>
        <w:rPr>
          <w:spacing w:val="-4"/>
        </w:rPr>
        <w:t>确认并且有内窥镜逆行胰胆管造影所证实。</w:t>
      </w:r>
    </w:p>
    <w:p>
      <w:pPr>
        <w:pStyle w:val="Heading2"/>
        <w:spacing w:line="283" w:lineRule="exact"/>
      </w:pPr>
      <w:r>
        <w:rPr/>
        <w:t>因酒精所致的慢性复发性胰腺炎除外。</w:t>
      </w:r>
    </w:p>
    <w:p>
      <w:pPr>
        <w:spacing w:line="337" w:lineRule="exact" w:before="0"/>
        <w:ind w:left="318" w:right="0" w:firstLine="0"/>
        <w:jc w:val="left"/>
        <w:rPr>
          <w:rFonts w:ascii="微软雅黑" w:eastAsia="微软雅黑" w:hint="eastAsia"/>
          <w:b/>
          <w:sz w:val="21"/>
        </w:rPr>
      </w:pPr>
      <w:r>
        <w:rPr>
          <w:sz w:val="21"/>
        </w:rPr>
        <w:t>（52）</w:t>
      </w:r>
      <w:r>
        <w:rPr>
          <w:rFonts w:ascii="微软雅黑" w:eastAsia="微软雅黑" w:hint="eastAsia"/>
          <w:b/>
          <w:sz w:val="21"/>
          <w:u w:val="single"/>
        </w:rPr>
        <w:t>胰腺移植</w:t>
      </w:r>
    </w:p>
    <w:p>
      <w:pPr>
        <w:spacing w:line="223" w:lineRule="auto" w:before="30"/>
        <w:ind w:left="212" w:right="2489" w:hanging="1"/>
        <w:jc w:val="left"/>
        <w:rPr>
          <w:rFonts w:ascii="微软雅黑" w:eastAsia="微软雅黑" w:hint="eastAsia"/>
          <w:b/>
          <w:sz w:val="21"/>
        </w:rPr>
      </w:pPr>
      <w:r>
        <w:rPr>
          <w:sz w:val="21"/>
        </w:rPr>
        <w:t>指因胰腺功能衰竭，已经实施了在全身麻醉下进行的胰腺的异体器官移植手术。</w:t>
      </w:r>
      <w:r>
        <w:rPr>
          <w:rFonts w:ascii="微软雅黑" w:eastAsia="微软雅黑" w:hint="eastAsia"/>
          <w:b/>
          <w:sz w:val="21"/>
        </w:rPr>
        <w:t>单纯胰岛移植、部分胰腺组织或细胞的移植不在本保障范围内。</w:t>
      </w:r>
    </w:p>
    <w:p>
      <w:pPr>
        <w:pStyle w:val="Heading2"/>
        <w:ind w:left="318"/>
      </w:pPr>
      <w:r>
        <w:rPr>
          <w:rFonts w:ascii="宋体" w:eastAsia="宋体" w:hint="eastAsia"/>
          <w:b w:val="0"/>
          <w:w w:val="100"/>
        </w:rPr>
        <w:t>（5</w:t>
      </w:r>
      <w:r>
        <w:rPr>
          <w:rFonts w:ascii="宋体" w:eastAsia="宋体" w:hint="eastAsia"/>
          <w:b w:val="0"/>
          <w:spacing w:val="-3"/>
          <w:w w:val="100"/>
        </w:rPr>
        <w:t>3）</w:t>
      </w:r>
      <w:r>
        <w:rPr>
          <w:spacing w:val="-1"/>
          <w:w w:val="100"/>
          <w:u w:val="single"/>
        </w:rPr>
        <w:t>因职业关系导致的人类免疫缺陷病毒</w:t>
      </w:r>
      <w:r>
        <w:rPr>
          <w:w w:val="100"/>
          <w:u w:val="single"/>
        </w:rPr>
        <w:t>（</w:t>
      </w:r>
      <w:r>
        <w:rPr>
          <w:w w:val="61"/>
          <w:u w:val="single"/>
        </w:rPr>
        <w:t>H</w:t>
      </w:r>
      <w:r>
        <w:rPr>
          <w:w w:val="149"/>
          <w:u w:val="single"/>
        </w:rPr>
        <w:t>I</w:t>
      </w:r>
      <w:r>
        <w:rPr>
          <w:w w:val="70"/>
          <w:u w:val="single"/>
        </w:rPr>
        <w:t>V</w:t>
      </w:r>
      <w:r>
        <w:rPr>
          <w:spacing w:val="-3"/>
          <w:w w:val="100"/>
          <w:u w:val="single"/>
        </w:rPr>
        <w:t>）</w:t>
      </w:r>
      <w:r>
        <w:rPr>
          <w:w w:val="100"/>
          <w:u w:val="single"/>
        </w:rPr>
        <w:t>感染</w:t>
      </w:r>
    </w:p>
    <w:p>
      <w:pPr>
        <w:pStyle w:val="BodyText"/>
        <w:spacing w:before="12"/>
        <w:jc w:val="both"/>
      </w:pPr>
      <w:r>
        <w:rPr/>
        <w:t>被保险人在其常规职业工作过程中遭遇外伤，或职业需要处理血液或其它体液时感染上人类免疫缺陷病毒</w:t>
      </w:r>
    </w:p>
    <w:p>
      <w:pPr>
        <w:pStyle w:val="BodyText"/>
        <w:spacing w:before="37"/>
        <w:jc w:val="both"/>
      </w:pPr>
      <w:r>
        <w:rPr/>
        <w:t>（HIV）。必须满足下列全部条件：</w:t>
      </w:r>
    </w:p>
    <w:p>
      <w:pPr>
        <w:pStyle w:val="BodyText"/>
        <w:spacing w:before="37"/>
        <w:ind w:left="424"/>
      </w:pPr>
      <w:r>
        <w:rPr/>
        <w:t>Ⅰ 感染必须是在被保险人正在从事其职业工作中发生，该职业必须属于下列限定职业范围内的职业；</w:t>
      </w:r>
    </w:p>
    <w:p>
      <w:pPr>
        <w:pStyle w:val="BodyText"/>
        <w:spacing w:before="37"/>
        <w:ind w:left="424"/>
      </w:pPr>
      <w:r>
        <w:rPr>
          <w:spacing w:val="-59"/>
          <w:w w:val="145"/>
        </w:rPr>
        <w:t>" </w:t>
      </w:r>
      <w:r>
        <w:rPr>
          <w:spacing w:val="-9"/>
          <w:w w:val="105"/>
        </w:rPr>
        <w:t>血清转化必须出现在事故发生后的 </w:t>
      </w:r>
      <w:r>
        <w:rPr>
          <w:w w:val="105"/>
        </w:rPr>
        <w:t>6</w:t>
      </w:r>
      <w:r>
        <w:rPr>
          <w:spacing w:val="-18"/>
          <w:w w:val="105"/>
        </w:rPr>
        <w:t> 个月以内；</w:t>
      </w:r>
    </w:p>
    <w:p>
      <w:pPr>
        <w:pStyle w:val="BodyText"/>
        <w:spacing w:line="273" w:lineRule="auto" w:before="37"/>
        <w:ind w:right="286" w:firstLine="211"/>
      </w:pPr>
      <w:r>
        <w:rPr>
          <w:spacing w:val="-5"/>
        </w:rPr>
        <w:t>Ⅲ 必须提供被保险人在所报事故后发生的 </w:t>
      </w:r>
      <w:r>
        <w:rPr/>
        <w:t>5</w:t>
      </w:r>
      <w:r>
        <w:rPr>
          <w:spacing w:val="-8"/>
        </w:rPr>
        <w:t> 天以内进行的检查报告，该报告必须显示被保险人血液人</w:t>
      </w:r>
      <w:r>
        <w:rPr>
          <w:spacing w:val="-3"/>
        </w:rPr>
        <w:t>类免疫缺陷病毒</w:t>
      </w:r>
      <w:r>
        <w:rPr>
          <w:spacing w:val="-1"/>
        </w:rPr>
        <w:t>（HIV）</w:t>
      </w:r>
      <w:r>
        <w:rPr>
          <w:spacing w:val="-2"/>
        </w:rPr>
        <w:t>阴性和</w:t>
      </w:r>
      <w:r>
        <w:rPr>
          <w:spacing w:val="-3"/>
        </w:rPr>
        <w:t>/或人类免疫缺陷病毒</w:t>
      </w:r>
      <w:r>
        <w:rPr/>
        <w:t>（HIV）</w:t>
      </w:r>
      <w:r>
        <w:rPr>
          <w:spacing w:val="-3"/>
        </w:rPr>
        <w:t>抗体阴性；</w:t>
      </w:r>
    </w:p>
    <w:p>
      <w:pPr>
        <w:pStyle w:val="BodyText"/>
        <w:spacing w:line="273" w:lineRule="auto" w:before="7"/>
        <w:ind w:right="288" w:firstLine="211"/>
      </w:pPr>
      <w:r>
        <w:rPr>
          <w:spacing w:val="-6"/>
        </w:rPr>
        <w:t>Ⅳ 必须在事故发生后的 </w:t>
      </w:r>
      <w:r>
        <w:rPr/>
        <w:t>12</w:t>
      </w:r>
      <w:r>
        <w:rPr>
          <w:spacing w:val="-8"/>
        </w:rPr>
        <w:t> 个月内证实被保险人体内存在人类免疫缺陷病毒</w:t>
      </w:r>
      <w:r>
        <w:rPr/>
        <w:t>（HIV）</w:t>
      </w:r>
      <w:r>
        <w:rPr>
          <w:spacing w:val="-3"/>
        </w:rPr>
        <w:t>或人类免疫缺陷病</w:t>
      </w:r>
      <w:r>
        <w:rPr>
          <w:spacing w:val="-1"/>
        </w:rPr>
        <w:t>毒（HIV）</w:t>
      </w:r>
      <w:r>
        <w:rPr>
          <w:spacing w:val="-2"/>
        </w:rPr>
        <w:t>抗体。</w:t>
      </w:r>
    </w:p>
    <w:p>
      <w:pPr>
        <w:pStyle w:val="BodyText"/>
        <w:spacing w:before="7"/>
      </w:pPr>
      <w:r>
        <w:rPr/>
        <w:t>限定职业：</w:t>
      </w:r>
    </w:p>
    <w:p>
      <w:pPr>
        <w:pStyle w:val="BodyText"/>
        <w:spacing w:line="273" w:lineRule="auto" w:before="37"/>
        <w:ind w:right="202" w:hanging="1"/>
      </w:pPr>
      <w:r>
        <w:rPr>
          <w:spacing w:val="-7"/>
        </w:rPr>
        <w:t>医生和牙科医生、护士、医院化验室工作人员、医院护工、医生助理和牙医助理、救护车工作人员、助产</w:t>
      </w:r>
      <w:r>
        <w:rPr>
          <w:spacing w:val="-5"/>
        </w:rPr>
        <w:t>士、消防队员、警察、狱警。</w:t>
      </w:r>
    </w:p>
    <w:p>
      <w:pPr>
        <w:pStyle w:val="Heading2"/>
        <w:spacing w:line="283" w:lineRule="exact"/>
        <w:jc w:val="both"/>
      </w:pPr>
      <w:r>
        <w:rPr/>
        <w:t>（本合同责任免除条款第一节第五项不适用于此病种。）</w:t>
      </w:r>
    </w:p>
    <w:p>
      <w:pPr>
        <w:spacing w:line="337" w:lineRule="exact" w:before="0"/>
        <w:ind w:left="318" w:right="0" w:firstLine="0"/>
        <w:jc w:val="left"/>
        <w:rPr>
          <w:rFonts w:ascii="微软雅黑" w:eastAsia="微软雅黑" w:hint="eastAsia"/>
          <w:b/>
          <w:sz w:val="21"/>
        </w:rPr>
      </w:pPr>
      <w:r>
        <w:rPr>
          <w:sz w:val="21"/>
        </w:rPr>
        <w:t>（54）</w:t>
      </w:r>
      <w:r>
        <w:rPr>
          <w:rFonts w:ascii="微软雅黑" w:eastAsia="微软雅黑" w:hint="eastAsia"/>
          <w:b/>
          <w:sz w:val="21"/>
          <w:u w:val="single"/>
        </w:rPr>
        <w:t>疯牛病</w:t>
      </w:r>
    </w:p>
    <w:p>
      <w:pPr>
        <w:pStyle w:val="BodyText"/>
        <w:spacing w:before="11"/>
        <w:jc w:val="both"/>
      </w:pPr>
      <w:r>
        <w:rPr/>
        <w:t>神经系统疾病及致命的成胶质状脑病，并有以下症状：</w:t>
      </w:r>
    </w:p>
    <w:p>
      <w:pPr>
        <w:pStyle w:val="BodyText"/>
        <w:spacing w:before="36"/>
        <w:ind w:left="423"/>
      </w:pPr>
      <w:r>
        <w:rPr/>
        <w:t>Ⅰ 不能控制的肌肉痉挛及震颤；</w:t>
      </w:r>
    </w:p>
    <w:p>
      <w:pPr>
        <w:pStyle w:val="BodyText"/>
        <w:spacing w:before="36"/>
        <w:ind w:left="423"/>
      </w:pPr>
      <w:r>
        <w:rPr>
          <w:spacing w:val="-72"/>
          <w:w w:val="170"/>
        </w:rPr>
        <w:t>" </w:t>
      </w:r>
      <w:r>
        <w:rPr>
          <w:spacing w:val="-3"/>
          <w:w w:val="110"/>
        </w:rPr>
        <w:t>逐渐痴呆；</w:t>
      </w:r>
    </w:p>
    <w:p>
      <w:pPr>
        <w:pStyle w:val="BodyText"/>
        <w:spacing w:before="36"/>
        <w:ind w:left="423"/>
      </w:pPr>
      <w:r>
        <w:rPr/>
        <w:t>Ⅲ 小脑功能不良，共济失调；</w:t>
      </w:r>
    </w:p>
    <w:p>
      <w:pPr>
        <w:pStyle w:val="BodyText"/>
        <w:spacing w:before="36"/>
        <w:ind w:left="423"/>
      </w:pPr>
      <w:r>
        <w:rPr/>
        <w:t>Ⅳ 手足徐动症；</w:t>
      </w:r>
    </w:p>
    <w:p>
      <w:pPr>
        <w:pStyle w:val="BodyText"/>
        <w:spacing w:line="262" w:lineRule="exact" w:before="36"/>
        <w:jc w:val="both"/>
      </w:pPr>
      <w:r>
        <w:rPr/>
        <w:t>诊断必须由专科医生基于以下检查报告作出：脑电图、脑脊液报告、电脑断层扫描(CT)及核磁共振(MRI)。</w:t>
      </w:r>
    </w:p>
    <w:p>
      <w:pPr>
        <w:spacing w:line="350" w:lineRule="exact" w:before="0"/>
        <w:ind w:left="318" w:right="0" w:firstLine="0"/>
        <w:jc w:val="left"/>
        <w:rPr>
          <w:rFonts w:ascii="微软雅黑" w:eastAsia="微软雅黑" w:hint="eastAsia"/>
          <w:b/>
          <w:sz w:val="21"/>
        </w:rPr>
      </w:pPr>
      <w:r>
        <w:rPr>
          <w:sz w:val="21"/>
        </w:rPr>
        <w:t>（55）</w:t>
      </w:r>
      <w:r>
        <w:rPr>
          <w:rFonts w:ascii="微软雅黑" w:eastAsia="微软雅黑" w:hint="eastAsia"/>
          <w:b/>
          <w:sz w:val="21"/>
          <w:u w:val="single"/>
        </w:rPr>
        <w:t>破裂脑动脉瘤夹闭手术</w:t>
      </w:r>
    </w:p>
    <w:p>
      <w:pPr>
        <w:pStyle w:val="BodyText"/>
        <w:spacing w:line="262" w:lineRule="exact" w:before="12"/>
        <w:jc w:val="both"/>
      </w:pPr>
      <w:r>
        <w:rPr/>
        <w:t>指因脑动脉瘤破裂造成蛛网膜下腔出血，被保险人实际接受了在全麻下进行的开颅动脉夹闭手术。</w:t>
      </w:r>
    </w:p>
    <w:p>
      <w:pPr>
        <w:pStyle w:val="Heading2"/>
        <w:spacing w:line="206" w:lineRule="auto" w:before="38"/>
        <w:ind w:right="209"/>
      </w:pPr>
      <w:r>
        <w:rPr>
          <w:spacing w:val="-3"/>
        </w:rPr>
        <w:t>脑动脉瘤</w:t>
      </w:r>
      <w:r>
        <w:rPr/>
        <w:t>（未破裂</w:t>
      </w:r>
      <w:r>
        <w:rPr>
          <w:spacing w:val="-12"/>
        </w:rPr>
        <w:t>）</w:t>
      </w:r>
      <w:r>
        <w:rPr>
          <w:spacing w:val="-6"/>
        </w:rPr>
        <w:t>预防性手术、颅骨打孔手术、动脉瘤栓塞手术、血管内手术及其他颅脑手术不在本保障范围内。</w:t>
      </w:r>
    </w:p>
    <w:p>
      <w:pPr>
        <w:spacing w:line="312" w:lineRule="exact" w:before="0"/>
        <w:ind w:left="318" w:right="0" w:firstLine="0"/>
        <w:jc w:val="left"/>
        <w:rPr>
          <w:rFonts w:ascii="微软雅黑" w:eastAsia="微软雅黑" w:hint="eastAsia"/>
          <w:b/>
          <w:sz w:val="21"/>
        </w:rPr>
      </w:pPr>
      <w:r>
        <w:rPr>
          <w:sz w:val="21"/>
        </w:rPr>
        <w:t>（56）</w:t>
      </w:r>
      <w:r>
        <w:rPr>
          <w:rFonts w:ascii="微软雅黑" w:eastAsia="微软雅黑" w:hint="eastAsia"/>
          <w:b/>
          <w:sz w:val="21"/>
          <w:u w:val="single"/>
        </w:rPr>
        <w:t>侵蚀性葡萄胎（或称恶性葡萄胎）</w:t>
      </w:r>
    </w:p>
    <w:p>
      <w:pPr>
        <w:spacing w:after="0" w:line="312" w:lineRule="exact"/>
        <w:jc w:val="left"/>
        <w:rPr>
          <w:rFonts w:ascii="微软雅黑" w:eastAsia="微软雅黑" w:hint="eastAsia"/>
          <w:sz w:val="21"/>
        </w:rPr>
        <w:sectPr>
          <w:pgSz w:w="11900" w:h="16840"/>
          <w:pgMar w:header="892" w:footer="547" w:top="1080" w:bottom="740" w:left="920" w:right="920"/>
        </w:sectPr>
      </w:pPr>
    </w:p>
    <w:p>
      <w:pPr>
        <w:pStyle w:val="BodyText"/>
        <w:spacing w:before="13"/>
        <w:ind w:left="0"/>
        <w:rPr>
          <w:rFonts w:ascii="微软雅黑"/>
          <w:b/>
          <w:sz w:val="7"/>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line="273" w:lineRule="auto" w:before="75"/>
        <w:ind w:right="175"/>
      </w:pPr>
      <w:r>
        <w:rPr/>
        <w:t>该类疾病是指异常增生的绒毛组织浸润性生长浸入子宫肌层或转移至其他器官或组织的葡萄胎，并已经进行化疗或手术治疗的。</w:t>
      </w:r>
    </w:p>
    <w:p>
      <w:pPr>
        <w:spacing w:line="308" w:lineRule="exact" w:before="0"/>
        <w:ind w:left="318" w:right="0" w:firstLine="0"/>
        <w:jc w:val="left"/>
        <w:rPr>
          <w:rFonts w:ascii="微软雅黑" w:hAnsi="微软雅黑" w:eastAsia="微软雅黑" w:hint="eastAsia"/>
          <w:b/>
          <w:sz w:val="21"/>
        </w:rPr>
      </w:pPr>
      <w:r>
        <w:rPr>
          <w:sz w:val="21"/>
        </w:rPr>
        <w:t>（57）</w:t>
      </w:r>
      <w:r>
        <w:rPr>
          <w:rFonts w:ascii="微软雅黑" w:hAnsi="微软雅黑" w:eastAsia="微软雅黑" w:hint="eastAsia"/>
          <w:b/>
          <w:sz w:val="21"/>
          <w:u w:val="single"/>
        </w:rPr>
        <w:t>Ⅲ度房室传导阻滞</w:t>
      </w:r>
    </w:p>
    <w:p>
      <w:pPr>
        <w:pStyle w:val="BodyText"/>
        <w:spacing w:line="273" w:lineRule="auto" w:before="12"/>
        <w:ind w:right="202"/>
      </w:pPr>
      <w:r>
        <w:rPr>
          <w:spacing w:val="-6"/>
        </w:rPr>
        <w:t>指心房激动在房室交界区、房室束及其分支内发生阻滞，不能正常地传到心室的心脏传导性疾病，须满足</w:t>
      </w:r>
      <w:r>
        <w:rPr>
          <w:spacing w:val="-4"/>
        </w:rPr>
        <w:t>下列所有条件：</w:t>
      </w:r>
    </w:p>
    <w:p>
      <w:pPr>
        <w:pStyle w:val="BodyText"/>
        <w:spacing w:before="7"/>
        <w:ind w:left="424"/>
      </w:pPr>
      <w:r>
        <w:rPr/>
        <w:t>Ⅰ 心电图显示房室搏动彼此独立，心室率&lt;50 次/分钟；</w:t>
      </w:r>
    </w:p>
    <w:p>
      <w:pPr>
        <w:pStyle w:val="BodyText"/>
        <w:spacing w:line="273" w:lineRule="auto" w:before="37"/>
        <w:ind w:left="423" w:right="2597"/>
      </w:pPr>
      <w:r>
        <w:rPr>
          <w:spacing w:val="20"/>
          <w:w w:val="185"/>
        </w:rPr>
        <w:t>"       </w:t>
      </w:r>
      <w:r>
        <w:rPr>
          <w:spacing w:val="-3"/>
        </w:rPr>
        <w:t>出 现 阿 - 斯 综 合 征 或 心 力 衰 竭 的 表 现 ； Ⅲ 必须持续性依赖心脏起搏器维持心脏正常功能，且已经放置心脏起搏器。</w:t>
      </w:r>
    </w:p>
    <w:p>
      <w:pPr>
        <w:spacing w:line="308" w:lineRule="exact" w:before="0"/>
        <w:ind w:left="318" w:right="0" w:firstLine="0"/>
        <w:jc w:val="left"/>
        <w:rPr>
          <w:rFonts w:ascii="微软雅黑" w:eastAsia="微软雅黑" w:hint="eastAsia"/>
          <w:b/>
          <w:sz w:val="21"/>
        </w:rPr>
      </w:pPr>
      <w:r>
        <w:rPr>
          <w:sz w:val="21"/>
        </w:rPr>
        <w:t>（58）</w:t>
      </w:r>
      <w:r>
        <w:rPr>
          <w:rFonts w:ascii="微软雅黑" w:eastAsia="微软雅黑" w:hint="eastAsia"/>
          <w:b/>
          <w:sz w:val="21"/>
          <w:u w:val="single"/>
        </w:rPr>
        <w:t>严重传染性心内膜炎</w:t>
      </w:r>
    </w:p>
    <w:p>
      <w:pPr>
        <w:pStyle w:val="BodyText"/>
        <w:spacing w:before="11"/>
      </w:pPr>
      <w:r>
        <w:rPr>
          <w:spacing w:val="-3"/>
          <w:w w:val="100"/>
        </w:rPr>
        <w:t>是指由感染性微生物引致的心脏内膜炎症，并须符合下</w:t>
      </w:r>
      <w:r>
        <w:rPr>
          <w:rFonts w:ascii="Times New Roman" w:cs="Times New Roman" w:eastAsia="Times New Roman"/>
          <w:spacing w:val="-3"/>
          <w:w w:val="100"/>
          <w:rtl/>
        </w:rPr>
        <w:t>ٝ</w:t>
      </w:r>
      <w:r>
        <w:rPr>
          <w:spacing w:val="-3"/>
          <w:w w:val="100"/>
        </w:rPr>
        <w:t>所有准则</w:t>
      </w:r>
      <w:r>
        <w:rPr>
          <w:spacing w:val="-3"/>
          <w:w w:val="100"/>
        </w:rPr>
        <w:t>：</w:t>
      </w:r>
    </w:p>
    <w:p>
      <w:pPr>
        <w:pStyle w:val="BodyText"/>
        <w:spacing w:before="20"/>
        <w:ind w:left="424"/>
      </w:pPr>
      <w:r>
        <w:rPr/>
        <w:t>Ⅰ 血液培植结果呈阳性反应，证明感染性微生物的存在；</w:t>
      </w:r>
    </w:p>
    <w:p>
      <w:pPr>
        <w:pStyle w:val="BodyText"/>
        <w:spacing w:line="256" w:lineRule="auto" w:before="36"/>
        <w:ind w:right="213" w:firstLine="211"/>
      </w:pPr>
      <w:r>
        <w:rPr/>
        <w:t>"  出现最少中度之心脏瓣膜功能</w:t>
      </w:r>
      <w:r>
        <w:rPr>
          <w:rFonts w:ascii="Times New Roman" w:hAnsi="Times New Roman" w:eastAsia="Times New Roman"/>
        </w:rPr>
        <w:t>˺</w:t>
      </w:r>
      <w:r>
        <w:rPr/>
        <w:t>全（即返流部份达百分之二十或以上）或中度之心脏瓣膜狭窄（即心脏瓣面积为正常值的百分之三十或以下），导致传染性心内膜炎；及</w:t>
      </w:r>
    </w:p>
    <w:p>
      <w:pPr>
        <w:pStyle w:val="BodyText"/>
        <w:spacing w:line="262" w:lineRule="exact" w:before="22"/>
        <w:ind w:left="423"/>
      </w:pPr>
      <w:r>
        <w:rPr/>
        <w:t>Ⅲ 传染性心内膜炎的诊断及瓣膜受损的严重程度必须由专科医生确定。</w:t>
      </w:r>
    </w:p>
    <w:p>
      <w:pPr>
        <w:spacing w:line="350" w:lineRule="exact" w:before="0"/>
        <w:ind w:left="318" w:right="0" w:firstLine="0"/>
        <w:jc w:val="left"/>
        <w:rPr>
          <w:rFonts w:ascii="微软雅黑" w:eastAsia="微软雅黑" w:hint="eastAsia"/>
          <w:b/>
          <w:sz w:val="21"/>
        </w:rPr>
      </w:pPr>
      <w:r>
        <w:rPr>
          <w:sz w:val="21"/>
        </w:rPr>
        <w:t>（59）</w:t>
      </w:r>
      <w:r>
        <w:rPr>
          <w:rFonts w:ascii="微软雅黑" w:eastAsia="微软雅黑" w:hint="eastAsia"/>
          <w:b/>
          <w:sz w:val="21"/>
          <w:u w:val="single"/>
        </w:rPr>
        <w:t>严重心肌炎</w:t>
      </w:r>
    </w:p>
    <w:p>
      <w:pPr>
        <w:pStyle w:val="BodyText"/>
        <w:spacing w:before="11"/>
        <w:jc w:val="both"/>
      </w:pPr>
      <w:r>
        <w:rPr/>
        <w:t>心肌的严重感染而导致至少持续 6 个月的心功能损害。严重心功能损害还必须具备如下条件：</w:t>
      </w:r>
    </w:p>
    <w:p>
      <w:pPr>
        <w:pStyle w:val="BodyText"/>
        <w:spacing w:before="36"/>
        <w:ind w:left="423"/>
      </w:pPr>
      <w:r>
        <w:rPr/>
        <w:t>Ⅰ</w:t>
      </w:r>
      <w:r>
        <w:rPr>
          <w:spacing w:val="15"/>
        </w:rPr>
        <w:t> </w:t>
      </w:r>
      <w:r>
        <w:rPr/>
        <w:t>左</w:t>
      </w:r>
      <w:r>
        <w:rPr>
          <w:spacing w:val="-3"/>
        </w:rPr>
        <w:t>室</w:t>
      </w:r>
      <w:r>
        <w:rPr/>
        <w:t>腔</w:t>
      </w:r>
      <w:r>
        <w:rPr>
          <w:spacing w:val="-3"/>
        </w:rPr>
        <w:t>扩</w:t>
      </w:r>
      <w:r>
        <w:rPr/>
        <w:t>大</w:t>
      </w:r>
      <w:r>
        <w:rPr>
          <w:spacing w:val="-3"/>
        </w:rPr>
        <w:t>至</w:t>
      </w:r>
      <w:r>
        <w:rPr/>
        <w:t>少</w:t>
      </w:r>
      <w:r>
        <w:rPr>
          <w:spacing w:val="-3"/>
        </w:rPr>
        <w:t>达到</w:t>
      </w:r>
      <w:r>
        <w:rPr/>
        <w:t>正常</w:t>
      </w:r>
      <w:r>
        <w:rPr>
          <w:spacing w:val="-3"/>
        </w:rPr>
        <w:t>值</w:t>
      </w:r>
      <w:r>
        <w:rPr/>
        <w:t>上</w:t>
      </w:r>
      <w:r>
        <w:rPr>
          <w:spacing w:val="-3"/>
        </w:rPr>
        <w:t>限</w:t>
      </w:r>
      <w:r>
        <w:rPr/>
        <w:t>的</w:t>
      </w:r>
      <w:r>
        <w:rPr>
          <w:spacing w:val="-53"/>
        </w:rPr>
        <w:t> </w:t>
      </w:r>
      <w:r>
        <w:rPr>
          <w:w w:val="100"/>
        </w:rPr>
        <w:drawing>
          <wp:inline distT="0" distB="0" distL="0" distR="0">
            <wp:extent cx="63499" cy="95250"/>
            <wp:effectExtent l="0" t="0" r="0" b="0"/>
            <wp:docPr id="25" name="image4.png" descr=""/>
            <wp:cNvGraphicFramePr>
              <a:graphicFrameLocks noChangeAspect="1"/>
            </wp:cNvGraphicFramePr>
            <a:graphic>
              <a:graphicData uri="http://schemas.openxmlformats.org/drawingml/2006/picture">
                <pic:pic>
                  <pic:nvPicPr>
                    <pic:cNvPr id="26"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t>；</w:t>
      </w:r>
    </w:p>
    <w:p>
      <w:pPr>
        <w:pStyle w:val="BodyText"/>
        <w:spacing w:line="262" w:lineRule="exact" w:before="36"/>
        <w:ind w:left="423"/>
      </w:pPr>
      <w:r>
        <w:rPr>
          <w:w w:val="105"/>
        </w:rPr>
        <w:t>"</w:t>
      </w:r>
      <w:r>
        <w:rPr>
          <w:spacing w:val="-11"/>
          <w:w w:val="105"/>
        </w:rPr>
        <w:t> </w:t>
      </w:r>
      <w:r>
        <w:rPr>
          <w:w w:val="105"/>
        </w:rPr>
        <w:t>左</w:t>
      </w:r>
      <w:r>
        <w:rPr>
          <w:spacing w:val="-3"/>
          <w:w w:val="105"/>
        </w:rPr>
        <w:t>室</w:t>
      </w:r>
      <w:r>
        <w:rPr>
          <w:w w:val="105"/>
        </w:rPr>
        <w:t>射</w:t>
      </w:r>
      <w:r>
        <w:rPr>
          <w:spacing w:val="-3"/>
          <w:w w:val="105"/>
        </w:rPr>
        <w:t>血</w:t>
      </w:r>
      <w:r>
        <w:rPr>
          <w:w w:val="105"/>
        </w:rPr>
        <w:t>分</w:t>
      </w:r>
      <w:r>
        <w:rPr>
          <w:spacing w:val="-3"/>
          <w:w w:val="105"/>
        </w:rPr>
        <w:t>数</w:t>
      </w:r>
      <w:r>
        <w:rPr>
          <w:w w:val="105"/>
        </w:rPr>
        <w:t>持</w:t>
      </w:r>
      <w:r>
        <w:rPr>
          <w:spacing w:val="-3"/>
          <w:w w:val="105"/>
        </w:rPr>
        <w:t>续性</w:t>
      </w:r>
      <w:r>
        <w:rPr>
          <w:w w:val="105"/>
        </w:rPr>
        <w:t>低于</w:t>
      </w:r>
      <w:r>
        <w:rPr>
          <w:spacing w:val="-59"/>
          <w:w w:val="105"/>
        </w:rPr>
        <w:t> </w:t>
      </w:r>
      <w:r>
        <w:rPr>
          <w:w w:val="100"/>
        </w:rPr>
        <w:drawing>
          <wp:inline distT="0" distB="0" distL="0" distR="0">
            <wp:extent cx="63499" cy="95250"/>
            <wp:effectExtent l="0" t="0" r="0" b="0"/>
            <wp:docPr id="27" name="image4.png" descr=""/>
            <wp:cNvGraphicFramePr>
              <a:graphicFrameLocks noChangeAspect="1"/>
            </wp:cNvGraphicFramePr>
            <a:graphic>
              <a:graphicData uri="http://schemas.openxmlformats.org/drawingml/2006/picture">
                <pic:pic>
                  <pic:nvPicPr>
                    <pic:cNvPr id="28"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w w:val="110"/>
        </w:rPr>
        <w:t>。</w:t>
      </w:r>
    </w:p>
    <w:p>
      <w:pPr>
        <w:spacing w:line="350" w:lineRule="exact" w:before="0"/>
        <w:ind w:left="318" w:right="0" w:firstLine="0"/>
        <w:jc w:val="left"/>
        <w:rPr>
          <w:rFonts w:ascii="微软雅黑" w:eastAsia="微软雅黑" w:hint="eastAsia"/>
          <w:b/>
          <w:sz w:val="21"/>
        </w:rPr>
      </w:pPr>
      <w:r>
        <w:rPr>
          <w:sz w:val="21"/>
        </w:rPr>
        <w:t>（60）</w:t>
      </w:r>
      <w:r>
        <w:rPr>
          <w:rFonts w:ascii="微软雅黑" w:eastAsia="微软雅黑" w:hint="eastAsia"/>
          <w:b/>
          <w:sz w:val="21"/>
          <w:u w:val="single"/>
        </w:rPr>
        <w:t>埃博拉病毒感染</w:t>
      </w:r>
    </w:p>
    <w:p>
      <w:pPr>
        <w:pStyle w:val="BodyText"/>
        <w:spacing w:before="12"/>
        <w:jc w:val="both"/>
      </w:pPr>
      <w:r>
        <w:rPr/>
        <w:t>指埃博拉病毒感染导致的烈性传染病，并须满足下列全部条件：</w:t>
      </w:r>
    </w:p>
    <w:p>
      <w:pPr>
        <w:pStyle w:val="BodyText"/>
        <w:spacing w:before="36"/>
        <w:ind w:left="423"/>
      </w:pPr>
      <w:r>
        <w:rPr/>
        <w:t>Ⅰ 实验室检查证实埃博拉病毒的存在；</w:t>
      </w:r>
    </w:p>
    <w:p>
      <w:pPr>
        <w:pStyle w:val="BodyText"/>
        <w:spacing w:line="262" w:lineRule="exact" w:before="36"/>
        <w:ind w:left="423"/>
      </w:pPr>
      <w:r>
        <w:rPr>
          <w:spacing w:val="-64"/>
          <w:w w:val="155"/>
        </w:rPr>
        <w:t>" </w:t>
      </w:r>
      <w:r>
        <w:rPr>
          <w:spacing w:val="-13"/>
          <w:w w:val="105"/>
        </w:rPr>
        <w:t>从发病开始有超过 </w:t>
      </w:r>
      <w:r>
        <w:rPr>
          <w:w w:val="105"/>
        </w:rPr>
        <w:t>30</w:t>
      </w:r>
      <w:r>
        <w:rPr>
          <w:spacing w:val="-11"/>
          <w:w w:val="105"/>
        </w:rPr>
        <w:t> 天的进行性感染症状。</w:t>
      </w:r>
    </w:p>
    <w:p>
      <w:pPr>
        <w:spacing w:line="350" w:lineRule="exact" w:before="0"/>
        <w:ind w:left="318" w:right="0" w:firstLine="0"/>
        <w:jc w:val="left"/>
        <w:rPr>
          <w:rFonts w:ascii="微软雅黑" w:eastAsia="微软雅黑" w:hint="eastAsia"/>
          <w:b/>
          <w:sz w:val="21"/>
        </w:rPr>
      </w:pPr>
      <w:r>
        <w:rPr>
          <w:sz w:val="21"/>
        </w:rPr>
        <w:t>（61）</w:t>
      </w:r>
      <w:r>
        <w:rPr>
          <w:rFonts w:ascii="微软雅黑" w:eastAsia="微软雅黑" w:hint="eastAsia"/>
          <w:b/>
          <w:sz w:val="21"/>
          <w:u w:val="single"/>
        </w:rPr>
        <w:t>肾髓质囊性病</w:t>
      </w:r>
    </w:p>
    <w:p>
      <w:pPr>
        <w:pStyle w:val="BodyText"/>
        <w:spacing w:before="12"/>
        <w:jc w:val="both"/>
      </w:pPr>
      <w:r>
        <w:rPr/>
        <w:t>肾髓质囊性病的诊断必须同时符合下列要求：</w:t>
      </w:r>
    </w:p>
    <w:p>
      <w:pPr>
        <w:pStyle w:val="BodyText"/>
        <w:spacing w:before="37"/>
        <w:ind w:left="423"/>
      </w:pPr>
      <w:r>
        <w:rPr/>
        <w:t>Ⅰ 肾髓质有囊肿、肾小管萎缩及间质纤维化等病理改变；</w:t>
      </w:r>
    </w:p>
    <w:p>
      <w:pPr>
        <w:pStyle w:val="BodyText"/>
        <w:spacing w:before="37"/>
        <w:ind w:left="424"/>
      </w:pPr>
      <w:r>
        <w:rPr>
          <w:w w:val="110"/>
        </w:rPr>
        <w:t>" </w:t>
      </w:r>
      <w:r>
        <w:rPr>
          <w:w w:val="105"/>
        </w:rPr>
        <w:t>贫血、多尿及肾功能衰竭等临床表现；</w:t>
      </w:r>
    </w:p>
    <w:p>
      <w:pPr>
        <w:pStyle w:val="BodyText"/>
        <w:spacing w:line="262" w:lineRule="exact" w:before="37"/>
        <w:ind w:left="424"/>
      </w:pPr>
      <w:r>
        <w:rPr/>
        <w:t>Ⅲ 诊断须由肾组织活检确定。</w:t>
      </w:r>
    </w:p>
    <w:p>
      <w:pPr>
        <w:pStyle w:val="Heading2"/>
        <w:spacing w:line="325" w:lineRule="exact"/>
        <w:ind w:left="203"/>
        <w:jc w:val="both"/>
      </w:pPr>
      <w:r>
        <w:rPr/>
        <w:t>（本合同责任免除条款第一节第八项不适用于此病种。）</w:t>
      </w:r>
    </w:p>
    <w:p>
      <w:pPr>
        <w:spacing w:line="337" w:lineRule="exact" w:before="0"/>
        <w:ind w:left="318" w:right="0" w:firstLine="0"/>
        <w:jc w:val="left"/>
        <w:rPr>
          <w:rFonts w:ascii="微软雅黑" w:eastAsia="微软雅黑" w:hint="eastAsia"/>
          <w:b/>
          <w:sz w:val="21"/>
        </w:rPr>
      </w:pPr>
      <w:r>
        <w:rPr>
          <w:sz w:val="21"/>
        </w:rPr>
        <w:t>（62）</w:t>
      </w:r>
      <w:r>
        <w:rPr>
          <w:rFonts w:ascii="微软雅黑" w:eastAsia="微软雅黑" w:hint="eastAsia"/>
          <w:b/>
          <w:sz w:val="21"/>
          <w:u w:val="single"/>
        </w:rPr>
        <w:t>全身型幼年类风湿性关节炎（斯蒂尔氏病）</w:t>
      </w:r>
    </w:p>
    <w:p>
      <w:pPr>
        <w:pStyle w:val="BodyText"/>
        <w:spacing w:line="273" w:lineRule="auto" w:before="11"/>
        <w:ind w:right="202" w:hanging="1"/>
      </w:pPr>
      <w:r>
        <w:rPr>
          <w:spacing w:val="-7"/>
        </w:rPr>
        <w:t>指小儿及青少年时期的一种全身结缔组织病。可表现为驰张热、皮疹、关节炎、脾肿大、淋巴结肿大、浆</w:t>
      </w:r>
      <w:r>
        <w:rPr>
          <w:spacing w:val="-5"/>
        </w:rPr>
        <w:t>膜炎、体重减轻、中性粒细胞增多等，全身症状可以先于关节炎出现。须满足下列全部条件：</w:t>
      </w:r>
    </w:p>
    <w:p>
      <w:pPr>
        <w:pStyle w:val="BodyText"/>
        <w:spacing w:before="7"/>
        <w:ind w:left="423"/>
      </w:pPr>
      <w:r>
        <w:rPr/>
        <w:t>Ⅰ 确诊且症状持续 180 天以上；</w:t>
      </w:r>
    </w:p>
    <w:p>
      <w:pPr>
        <w:pStyle w:val="BodyText"/>
        <w:spacing w:line="262" w:lineRule="exact" w:before="37"/>
        <w:ind w:left="424"/>
      </w:pPr>
      <w:r>
        <w:rPr/>
        <w:t>"  已接受至少一侧膝关节或髋关节的置换手术。</w:t>
      </w:r>
    </w:p>
    <w:p>
      <w:pPr>
        <w:spacing w:line="350" w:lineRule="exact" w:before="0"/>
        <w:ind w:left="318" w:right="0" w:firstLine="0"/>
        <w:jc w:val="left"/>
        <w:rPr>
          <w:rFonts w:ascii="微软雅黑" w:eastAsia="微软雅黑" w:hint="eastAsia"/>
          <w:b/>
          <w:sz w:val="21"/>
        </w:rPr>
      </w:pPr>
      <w:r>
        <w:rPr>
          <w:sz w:val="21"/>
        </w:rPr>
        <w:t>（63）</w:t>
      </w:r>
      <w:r>
        <w:rPr>
          <w:rFonts w:ascii="微软雅黑" w:eastAsia="微软雅黑" w:hint="eastAsia"/>
          <w:b/>
          <w:sz w:val="21"/>
          <w:u w:val="single"/>
        </w:rPr>
        <w:t>重症手足口病</w:t>
      </w:r>
    </w:p>
    <w:p>
      <w:pPr>
        <w:pStyle w:val="BodyText"/>
        <w:spacing w:line="273" w:lineRule="auto" w:before="12"/>
        <w:ind w:right="202"/>
      </w:pPr>
      <w:r>
        <w:rPr>
          <w:spacing w:val="-7"/>
        </w:rPr>
        <w:t>由肠道病毒引起的急性传染病，主要症状表现为手、足、口腔等部位的班丘疹、疱疹。经专科医生确诊为</w:t>
      </w:r>
      <w:r>
        <w:rPr>
          <w:spacing w:val="-5"/>
        </w:rPr>
        <w:t>患有手足口病，并伴有下列三项中任意一项并发症：</w:t>
      </w:r>
    </w:p>
    <w:p>
      <w:pPr>
        <w:pStyle w:val="BodyText"/>
        <w:spacing w:before="8"/>
        <w:ind w:left="423"/>
      </w:pPr>
      <w:r>
        <w:rPr/>
        <w:t>Ⅰ 有脑膜炎或脑炎并发症，且导致意识障碍或瘫痪的临床表现及实验室检查证据；</w:t>
      </w:r>
    </w:p>
    <w:p>
      <w:pPr>
        <w:pStyle w:val="BodyText"/>
        <w:spacing w:before="37"/>
        <w:ind w:left="423"/>
      </w:pPr>
      <w:r>
        <w:rPr/>
        <w:t>"  有肺炎或肺水肿并发症，且导致呼吸衰竭的临床表现及实验室检查证据；</w:t>
      </w:r>
    </w:p>
    <w:p>
      <w:pPr>
        <w:pStyle w:val="BodyText"/>
        <w:spacing w:line="262" w:lineRule="exact" w:before="37"/>
        <w:ind w:left="423"/>
      </w:pPr>
      <w:r>
        <w:rPr/>
        <w:t>Ⅲ 有心肌炎并发症，且导致心脏扩大或心力衰竭的临床表现及实验室检查证据。</w:t>
      </w:r>
    </w:p>
    <w:p>
      <w:pPr>
        <w:spacing w:line="350" w:lineRule="exact" w:before="0"/>
        <w:ind w:left="318" w:right="0" w:firstLine="0"/>
        <w:jc w:val="left"/>
        <w:rPr>
          <w:rFonts w:ascii="微软雅黑" w:eastAsia="微软雅黑" w:hint="eastAsia"/>
          <w:b/>
          <w:sz w:val="21"/>
        </w:rPr>
      </w:pPr>
      <w:r>
        <w:rPr>
          <w:sz w:val="21"/>
        </w:rPr>
        <w:t>（64）</w:t>
      </w:r>
      <w:r>
        <w:rPr>
          <w:rFonts w:ascii="微软雅黑" w:eastAsia="微软雅黑" w:hint="eastAsia"/>
          <w:b/>
          <w:sz w:val="21"/>
          <w:u w:val="single"/>
        </w:rPr>
        <w:t>严重川崎病</w:t>
      </w:r>
    </w:p>
    <w:p>
      <w:pPr>
        <w:pStyle w:val="BodyText"/>
        <w:spacing w:line="273" w:lineRule="auto" w:before="11"/>
        <w:ind w:right="202"/>
      </w:pPr>
      <w:r>
        <w:rPr>
          <w:spacing w:val="-6"/>
        </w:rPr>
        <w:t>是指一种以损伤冠状动脉血管为主的系统性血管炎。其特点是贫血、白细胞计数及红细胞沉降率升高、或</w:t>
      </w:r>
      <w:r>
        <w:rPr>
          <w:spacing w:val="-4"/>
        </w:rPr>
        <w:t>出现血小板增多症。</w:t>
      </w:r>
    </w:p>
    <w:p>
      <w:pPr>
        <w:pStyle w:val="Heading2"/>
        <w:spacing w:line="283" w:lineRule="exact"/>
      </w:pPr>
      <w:r>
        <w:rPr/>
        <w:t>须满足以下条件：自确诊后 180 天经过血管造影或超声心动图检查证实，仍存明显的冠状动脉瘤。</w:t>
      </w:r>
    </w:p>
    <w:p>
      <w:pPr>
        <w:spacing w:line="337" w:lineRule="exact" w:before="0"/>
        <w:ind w:left="318" w:right="0" w:firstLine="0"/>
        <w:jc w:val="left"/>
        <w:rPr>
          <w:rFonts w:ascii="微软雅黑" w:eastAsia="微软雅黑" w:hint="eastAsia"/>
          <w:b/>
          <w:sz w:val="21"/>
        </w:rPr>
      </w:pPr>
      <w:r>
        <w:rPr>
          <w:sz w:val="21"/>
        </w:rPr>
        <w:t>（65）</w:t>
      </w:r>
      <w:r>
        <w:rPr>
          <w:rFonts w:ascii="微软雅黑" w:eastAsia="微软雅黑" w:hint="eastAsia"/>
          <w:b/>
          <w:sz w:val="21"/>
          <w:u w:val="single"/>
        </w:rPr>
        <w:t>肺源性心脏病</w:t>
      </w:r>
    </w:p>
    <w:p>
      <w:pPr>
        <w:pStyle w:val="BodyText"/>
        <w:spacing w:line="273" w:lineRule="auto" w:before="11"/>
        <w:ind w:right="202" w:hanging="1"/>
        <w:jc w:val="both"/>
      </w:pPr>
      <w:r>
        <w:rPr>
          <w:spacing w:val="-4"/>
        </w:rPr>
        <w:t>指被保险人因慢性肺部疾病导致慢性心功能损害造成永久不可逆性的心功能衰竭。心功能衰竭程度达到美</w:t>
      </w:r>
      <w:r>
        <w:rPr>
          <w:spacing w:val="-3"/>
        </w:rPr>
        <w:t>国纽约心脏病学会心功能状态分级 </w:t>
      </w:r>
      <w:r>
        <w:rPr/>
        <w:t>IV</w:t>
      </w:r>
      <w:r>
        <w:rPr>
          <w:spacing w:val="-3"/>
        </w:rPr>
        <w:t> 级。被保险人永久不可逆性的体力活动能力受限，不能从事任何体力活动。</w:t>
      </w:r>
    </w:p>
    <w:p>
      <w:pPr>
        <w:spacing w:after="0" w:line="273" w:lineRule="auto"/>
        <w:jc w:val="both"/>
        <w:sectPr>
          <w:pgSz w:w="11900" w:h="16840"/>
          <w:pgMar w:header="892" w:footer="547" w:top="1080" w:bottom="740" w:left="920" w:right="920"/>
        </w:sectPr>
      </w:pPr>
    </w:p>
    <w:p>
      <w:pPr>
        <w:pStyle w:val="BodyText"/>
        <w:spacing w:before="3"/>
        <w:ind w:left="0"/>
        <w:rPr>
          <w:sz w:val="10"/>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spacing w:before="13"/>
        <w:ind w:left="318" w:right="0" w:firstLine="0"/>
        <w:jc w:val="left"/>
        <w:rPr>
          <w:rFonts w:ascii="微软雅黑" w:eastAsia="微软雅黑" w:hint="eastAsia"/>
          <w:b/>
          <w:sz w:val="21"/>
        </w:rPr>
      </w:pPr>
      <w:r>
        <w:rPr>
          <w:sz w:val="21"/>
        </w:rPr>
        <w:t>（66）</w:t>
      </w:r>
      <w:r>
        <w:rPr>
          <w:rFonts w:ascii="微软雅黑" w:eastAsia="微软雅黑" w:hint="eastAsia"/>
          <w:b/>
          <w:sz w:val="21"/>
          <w:u w:val="single"/>
        </w:rPr>
        <w:t>肺淋巴管肌瘤病</w:t>
      </w:r>
    </w:p>
    <w:p>
      <w:pPr>
        <w:pStyle w:val="BodyText"/>
        <w:spacing w:line="273" w:lineRule="auto" w:before="11"/>
        <w:ind w:right="202" w:hanging="1"/>
        <w:jc w:val="both"/>
      </w:pPr>
      <w:r>
        <w:rPr>
          <w:spacing w:val="-6"/>
        </w:rPr>
        <w:t>肺淋巴管肌瘤病是一种弥漫性肺部疾病，主要病理改变为肺间质、支气管、血管和淋巴管内出现未成熟的</w:t>
      </w:r>
      <w:r>
        <w:rPr>
          <w:spacing w:val="-4"/>
        </w:rPr>
        <w:t>平滑肌异常增生，同时需满足下列条件：</w:t>
      </w:r>
    </w:p>
    <w:p>
      <w:pPr>
        <w:pStyle w:val="BodyText"/>
        <w:spacing w:before="7"/>
        <w:ind w:left="424"/>
      </w:pPr>
      <w:r>
        <w:rPr/>
        <w:t>Ⅰ 经组织病理学诊断；</w:t>
      </w:r>
    </w:p>
    <w:p>
      <w:pPr>
        <w:pStyle w:val="BodyText"/>
        <w:spacing w:before="37"/>
        <w:ind w:left="424"/>
      </w:pPr>
      <w:r>
        <w:rPr>
          <w:spacing w:val="-77"/>
          <w:w w:val="180"/>
        </w:rPr>
        <w:t>" </w:t>
      </w:r>
      <w:r>
        <w:rPr>
          <w:w w:val="105"/>
        </w:rPr>
        <w:t>CT</w:t>
      </w:r>
      <w:r>
        <w:rPr>
          <w:spacing w:val="-12"/>
          <w:w w:val="105"/>
        </w:rPr>
        <w:t> 显示双肺弥漫性囊性改变；</w:t>
      </w:r>
    </w:p>
    <w:p>
      <w:pPr>
        <w:pStyle w:val="BodyText"/>
        <w:spacing w:line="262" w:lineRule="exact" w:before="37"/>
        <w:ind w:left="424"/>
      </w:pPr>
      <w:r>
        <w:rPr/>
        <w:t>Ⅲ 血气提示低氧血症。</w:t>
      </w:r>
    </w:p>
    <w:p>
      <w:pPr>
        <w:spacing w:line="350" w:lineRule="exact" w:before="0"/>
        <w:ind w:left="318" w:right="0" w:firstLine="0"/>
        <w:jc w:val="left"/>
        <w:rPr>
          <w:rFonts w:ascii="微软雅黑" w:eastAsia="微软雅黑" w:hint="eastAsia"/>
          <w:b/>
          <w:sz w:val="21"/>
        </w:rPr>
      </w:pPr>
      <w:r>
        <w:rPr>
          <w:sz w:val="21"/>
        </w:rPr>
        <w:t>（67）</w:t>
      </w:r>
      <w:r>
        <w:rPr>
          <w:rFonts w:ascii="微软雅黑" w:eastAsia="微软雅黑" w:hint="eastAsia"/>
          <w:b/>
          <w:sz w:val="21"/>
          <w:u w:val="single"/>
        </w:rPr>
        <w:t>原发性骨髓纤维化</w:t>
      </w:r>
    </w:p>
    <w:p>
      <w:pPr>
        <w:pStyle w:val="BodyText"/>
        <w:spacing w:line="273" w:lineRule="auto" w:before="12"/>
        <w:ind w:right="202"/>
        <w:jc w:val="both"/>
      </w:pPr>
      <w:r>
        <w:rPr>
          <w:spacing w:val="-6"/>
        </w:rPr>
        <w:t>原发性骨髓纤维化为原因不明的骨髓中成纤维细胞增殖，伴有髓外造血，表现为进行性贫血、脾肿大等症状。本病必须根据骨髓的活组织检查和周围血象检查由血液科专科医生明确诊断，并至少符合下列条件中的三项，且符合条件的状态持续 </w:t>
      </w:r>
      <w:r>
        <w:rPr/>
        <w:t>180</w:t>
      </w:r>
      <w:r>
        <w:rPr>
          <w:spacing w:val="-7"/>
        </w:rPr>
        <w:t> 天及以上，并已经实际接受了针对此症的治疗：</w:t>
      </w:r>
    </w:p>
    <w:p>
      <w:pPr>
        <w:pStyle w:val="BodyText"/>
        <w:spacing w:before="7"/>
        <w:ind w:left="423"/>
      </w:pPr>
      <w:r>
        <w:rPr/>
        <w:t>Ⅰ 血红蛋白&lt;100g/L；</w:t>
      </w:r>
    </w:p>
    <w:p>
      <w:pPr>
        <w:pStyle w:val="BodyText"/>
        <w:spacing w:before="36"/>
        <w:ind w:left="423"/>
      </w:pPr>
      <w:r>
        <w:rPr>
          <w:w w:val="105"/>
        </w:rPr>
        <w:t>" 白细胞计数&gt;25×10^9/L；</w:t>
      </w:r>
    </w:p>
    <w:p>
      <w:pPr>
        <w:pStyle w:val="BodyText"/>
        <w:spacing w:before="36"/>
        <w:ind w:left="423"/>
      </w:pPr>
      <w:r>
        <w:rPr/>
        <w:t>Ⅲ</w:t>
      </w:r>
      <w:r>
        <w:rPr>
          <w:spacing w:val="7"/>
        </w:rPr>
        <w:t> </w:t>
      </w:r>
      <w:r>
        <w:rPr>
          <w:spacing w:val="-3"/>
        </w:rPr>
        <w:t>外</w:t>
      </w:r>
      <w:r>
        <w:rPr/>
        <w:t>周</w:t>
      </w:r>
      <w:r>
        <w:rPr>
          <w:spacing w:val="-3"/>
        </w:rPr>
        <w:t>血</w:t>
      </w:r>
      <w:r>
        <w:rPr/>
        <w:t>原</w:t>
      </w:r>
      <w:r>
        <w:rPr>
          <w:spacing w:val="-3"/>
        </w:rPr>
        <w:t>始</w:t>
      </w:r>
      <w:r>
        <w:rPr/>
        <w:t>细</w:t>
      </w:r>
      <w:r>
        <w:rPr>
          <w:spacing w:val="-3"/>
        </w:rPr>
        <w:t>胞</w:t>
      </w:r>
      <w:r>
        <w:rPr>
          <w:w w:val="100"/>
        </w:rPr>
        <w:drawing>
          <wp:inline distT="0" distB="0" distL="0" distR="0">
            <wp:extent cx="63499" cy="95250"/>
            <wp:effectExtent l="0" t="0" r="0" b="0"/>
            <wp:docPr id="29" name="image4.png" descr=""/>
            <wp:cNvGraphicFramePr>
              <a:graphicFrameLocks noChangeAspect="1"/>
            </wp:cNvGraphicFramePr>
            <a:graphic>
              <a:graphicData uri="http://schemas.openxmlformats.org/drawingml/2006/picture">
                <pic:pic>
                  <pic:nvPicPr>
                    <pic:cNvPr id="30"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t>；</w:t>
      </w:r>
    </w:p>
    <w:p>
      <w:pPr>
        <w:pStyle w:val="BodyText"/>
        <w:spacing w:line="262" w:lineRule="exact" w:before="36"/>
        <w:ind w:left="423"/>
      </w:pPr>
      <w:r>
        <w:rPr/>
        <w:t>Ⅳ 血小板计数&lt;100×10^9/L。</w:t>
      </w:r>
    </w:p>
    <w:p>
      <w:pPr>
        <w:pStyle w:val="Heading2"/>
        <w:spacing w:line="325" w:lineRule="exact"/>
        <w:jc w:val="both"/>
      </w:pPr>
      <w:r>
        <w:rPr/>
        <w:t>任何其它病因导致的继发性骨髓纤维化不在保障范围内。</w:t>
      </w:r>
    </w:p>
    <w:p>
      <w:pPr>
        <w:spacing w:line="337" w:lineRule="exact" w:before="0"/>
        <w:ind w:left="318" w:right="0" w:firstLine="0"/>
        <w:jc w:val="left"/>
        <w:rPr>
          <w:rFonts w:ascii="微软雅黑" w:eastAsia="微软雅黑" w:hint="eastAsia"/>
          <w:b/>
          <w:sz w:val="21"/>
        </w:rPr>
      </w:pPr>
      <w:r>
        <w:rPr>
          <w:w w:val="100"/>
          <w:sz w:val="21"/>
        </w:rPr>
        <w:t>（68</w:t>
      </w:r>
      <w:r>
        <w:rPr>
          <w:spacing w:val="-3"/>
          <w:w w:val="100"/>
          <w:sz w:val="21"/>
        </w:rPr>
        <w:t>）</w:t>
      </w:r>
      <w:r>
        <w:rPr>
          <w:rFonts w:ascii="微软雅黑" w:eastAsia="微软雅黑" w:hint="eastAsia"/>
          <w:b/>
          <w:spacing w:val="-2"/>
          <w:w w:val="100"/>
          <w:sz w:val="21"/>
          <w:u w:val="single"/>
        </w:rPr>
        <w:t>严重骨髓增生异常综合征</w:t>
      </w:r>
      <w:r>
        <w:rPr>
          <w:rFonts w:ascii="微软雅黑" w:eastAsia="微软雅黑" w:hint="eastAsia"/>
          <w:b/>
          <w:w w:val="100"/>
          <w:sz w:val="21"/>
          <w:u w:val="single"/>
        </w:rPr>
        <w:t>（</w:t>
      </w:r>
      <w:r>
        <w:rPr>
          <w:rFonts w:ascii="微软雅黑" w:eastAsia="微软雅黑" w:hint="eastAsia"/>
          <w:b/>
          <w:w w:val="51"/>
          <w:sz w:val="21"/>
          <w:u w:val="single"/>
        </w:rPr>
        <w:t>m</w:t>
      </w:r>
      <w:r>
        <w:rPr>
          <w:rFonts w:ascii="微软雅黑" w:eastAsia="微软雅黑" w:hint="eastAsia"/>
          <w:b/>
          <w:w w:val="87"/>
          <w:sz w:val="21"/>
          <w:u w:val="single"/>
        </w:rPr>
        <w:t>y</w:t>
      </w:r>
      <w:r>
        <w:rPr>
          <w:rFonts w:ascii="微软雅黑" w:eastAsia="微软雅黑" w:hint="eastAsia"/>
          <w:b/>
          <w:w w:val="86"/>
          <w:sz w:val="21"/>
          <w:u w:val="single"/>
        </w:rPr>
        <w:t>e</w:t>
      </w:r>
      <w:r>
        <w:rPr>
          <w:rFonts w:ascii="微软雅黑" w:eastAsia="微软雅黑" w:hint="eastAsia"/>
          <w:b/>
          <w:w w:val="169"/>
          <w:sz w:val="21"/>
          <w:u w:val="single"/>
        </w:rPr>
        <w:t>l</w:t>
      </w:r>
      <w:r>
        <w:rPr>
          <w:rFonts w:ascii="微软雅黑" w:eastAsia="微软雅黑" w:hint="eastAsia"/>
          <w:b/>
          <w:w w:val="76"/>
          <w:sz w:val="21"/>
          <w:u w:val="single"/>
        </w:rPr>
        <w:t>o</w:t>
      </w:r>
      <w:r>
        <w:rPr>
          <w:rFonts w:ascii="微软雅黑" w:eastAsia="微软雅黑" w:hint="eastAsia"/>
          <w:b/>
          <w:w w:val="75"/>
          <w:sz w:val="21"/>
          <w:u w:val="single"/>
        </w:rPr>
        <w:t>d</w:t>
      </w:r>
      <w:r>
        <w:rPr>
          <w:rFonts w:ascii="微软雅黑" w:eastAsia="微软雅黑" w:hint="eastAsia"/>
          <w:b/>
          <w:w w:val="87"/>
          <w:sz w:val="21"/>
          <w:u w:val="single"/>
        </w:rPr>
        <w:t>y</w:t>
      </w:r>
      <w:r>
        <w:rPr>
          <w:rFonts w:ascii="微软雅黑" w:eastAsia="微软雅黑" w:hint="eastAsia"/>
          <w:b/>
          <w:w w:val="101"/>
          <w:sz w:val="21"/>
          <w:u w:val="single"/>
        </w:rPr>
        <w:t>s</w:t>
      </w:r>
      <w:r>
        <w:rPr>
          <w:rFonts w:ascii="微软雅黑" w:eastAsia="微软雅黑" w:hint="eastAsia"/>
          <w:b/>
          <w:w w:val="75"/>
          <w:sz w:val="21"/>
          <w:u w:val="single"/>
        </w:rPr>
        <w:t>p</w:t>
      </w:r>
      <w:r>
        <w:rPr>
          <w:rFonts w:ascii="微软雅黑" w:eastAsia="微软雅黑" w:hint="eastAsia"/>
          <w:b/>
          <w:w w:val="169"/>
          <w:sz w:val="21"/>
          <w:u w:val="single"/>
        </w:rPr>
        <w:t>l</w:t>
      </w:r>
      <w:r>
        <w:rPr>
          <w:rFonts w:ascii="微软雅黑" w:eastAsia="微软雅黑" w:hint="eastAsia"/>
          <w:b/>
          <w:spacing w:val="1"/>
          <w:w w:val="87"/>
          <w:sz w:val="21"/>
          <w:u w:val="single"/>
        </w:rPr>
        <w:t>a</w:t>
      </w:r>
      <w:r>
        <w:rPr>
          <w:rFonts w:ascii="微软雅黑" w:eastAsia="微软雅黑" w:hint="eastAsia"/>
          <w:b/>
          <w:w w:val="101"/>
          <w:sz w:val="21"/>
          <w:u w:val="single"/>
        </w:rPr>
        <w:t>s</w:t>
      </w:r>
      <w:r>
        <w:rPr>
          <w:rFonts w:ascii="微软雅黑" w:eastAsia="微软雅黑" w:hint="eastAsia"/>
          <w:b/>
          <w:w w:val="121"/>
          <w:sz w:val="21"/>
          <w:u w:val="single"/>
        </w:rPr>
        <w:t>t</w:t>
      </w:r>
      <w:r>
        <w:rPr>
          <w:rFonts w:ascii="微软雅黑" w:eastAsia="微软雅黑" w:hint="eastAsia"/>
          <w:b/>
          <w:w w:val="169"/>
          <w:sz w:val="21"/>
          <w:u w:val="single"/>
        </w:rPr>
        <w:t>i</w:t>
      </w:r>
      <w:r>
        <w:rPr>
          <w:rFonts w:ascii="微软雅黑" w:eastAsia="微软雅黑" w:hint="eastAsia"/>
          <w:b/>
          <w:w w:val="97"/>
          <w:sz w:val="21"/>
          <w:u w:val="single"/>
        </w:rPr>
        <w:t>c</w:t>
      </w:r>
      <w:r>
        <w:rPr>
          <w:rFonts w:ascii="微软雅黑" w:eastAsia="微软雅黑" w:hint="eastAsia"/>
          <w:b/>
          <w:spacing w:val="-10"/>
          <w:sz w:val="21"/>
          <w:u w:val="single"/>
        </w:rPr>
        <w:t>  </w:t>
      </w:r>
      <w:r>
        <w:rPr>
          <w:rFonts w:ascii="微软雅黑" w:eastAsia="微软雅黑" w:hint="eastAsia"/>
          <w:b/>
          <w:w w:val="101"/>
          <w:sz w:val="21"/>
          <w:u w:val="single"/>
        </w:rPr>
        <w:t>s</w:t>
      </w:r>
      <w:r>
        <w:rPr>
          <w:rFonts w:ascii="微软雅黑" w:eastAsia="微软雅黑" w:hint="eastAsia"/>
          <w:b/>
          <w:w w:val="87"/>
          <w:sz w:val="21"/>
          <w:u w:val="single"/>
        </w:rPr>
        <w:t>y</w:t>
      </w:r>
      <w:r>
        <w:rPr>
          <w:rFonts w:ascii="微软雅黑" w:eastAsia="微软雅黑" w:hint="eastAsia"/>
          <w:b/>
          <w:w w:val="77"/>
          <w:sz w:val="21"/>
          <w:u w:val="single"/>
        </w:rPr>
        <w:t>n</w:t>
      </w:r>
      <w:r>
        <w:rPr>
          <w:rFonts w:ascii="微软雅黑" w:eastAsia="微软雅黑" w:hint="eastAsia"/>
          <w:b/>
          <w:spacing w:val="1"/>
          <w:w w:val="75"/>
          <w:sz w:val="21"/>
          <w:u w:val="single"/>
        </w:rPr>
        <w:t>d</w:t>
      </w:r>
      <w:r>
        <w:rPr>
          <w:rFonts w:ascii="微软雅黑" w:eastAsia="微软雅黑" w:hint="eastAsia"/>
          <w:b/>
          <w:w w:val="118"/>
          <w:sz w:val="21"/>
          <w:u w:val="single"/>
        </w:rPr>
        <w:t>r</w:t>
      </w:r>
      <w:r>
        <w:rPr>
          <w:rFonts w:ascii="微软雅黑" w:eastAsia="微软雅黑" w:hint="eastAsia"/>
          <w:b/>
          <w:w w:val="76"/>
          <w:sz w:val="21"/>
          <w:u w:val="single"/>
        </w:rPr>
        <w:t>o</w:t>
      </w:r>
      <w:r>
        <w:rPr>
          <w:rFonts w:ascii="微软雅黑" w:eastAsia="微软雅黑" w:hint="eastAsia"/>
          <w:b/>
          <w:w w:val="51"/>
          <w:sz w:val="21"/>
          <w:u w:val="single"/>
        </w:rPr>
        <w:t>m</w:t>
      </w:r>
      <w:r>
        <w:rPr>
          <w:rFonts w:ascii="微软雅黑" w:eastAsia="微软雅黑" w:hint="eastAsia"/>
          <w:b/>
          <w:w w:val="86"/>
          <w:sz w:val="21"/>
          <w:u w:val="single"/>
        </w:rPr>
        <w:t>e</w:t>
      </w:r>
      <w:r>
        <w:rPr>
          <w:rFonts w:ascii="微软雅黑" w:eastAsia="微软雅黑" w:hint="eastAsia"/>
          <w:b/>
          <w:w w:val="101"/>
          <w:sz w:val="21"/>
          <w:u w:val="single"/>
        </w:rPr>
        <w:t>s</w:t>
      </w:r>
      <w:r>
        <w:rPr>
          <w:rFonts w:ascii="微软雅黑" w:eastAsia="微软雅黑" w:hint="eastAsia"/>
          <w:b/>
          <w:w w:val="100"/>
          <w:sz w:val="21"/>
          <w:u w:val="single"/>
        </w:rPr>
        <w:t>，</w:t>
      </w:r>
      <w:r>
        <w:rPr>
          <w:rFonts w:ascii="微软雅黑" w:eastAsia="微软雅黑" w:hint="eastAsia"/>
          <w:b/>
          <w:w w:val="48"/>
          <w:sz w:val="21"/>
          <w:u w:val="single"/>
        </w:rPr>
        <w:t>M</w:t>
      </w:r>
      <w:r>
        <w:rPr>
          <w:rFonts w:ascii="微软雅黑" w:eastAsia="微软雅黑" w:hint="eastAsia"/>
          <w:b/>
          <w:w w:val="63"/>
          <w:sz w:val="21"/>
          <w:u w:val="single"/>
        </w:rPr>
        <w:t>D</w:t>
      </w:r>
      <w:r>
        <w:rPr>
          <w:rFonts w:ascii="微软雅黑" w:eastAsia="微软雅黑" w:hint="eastAsia"/>
          <w:b/>
          <w:w w:val="83"/>
          <w:sz w:val="21"/>
          <w:u w:val="single"/>
        </w:rPr>
        <w:t>S</w:t>
      </w:r>
      <w:r>
        <w:rPr>
          <w:rFonts w:ascii="微软雅黑" w:eastAsia="微软雅黑" w:hint="eastAsia"/>
          <w:b/>
          <w:w w:val="100"/>
          <w:sz w:val="21"/>
          <w:u w:val="single"/>
        </w:rPr>
        <w:t>）</w:t>
      </w:r>
    </w:p>
    <w:p>
      <w:pPr>
        <w:pStyle w:val="BodyText"/>
        <w:spacing w:line="273" w:lineRule="auto" w:before="11"/>
        <w:ind w:right="202" w:hanging="1"/>
        <w:jc w:val="both"/>
      </w:pPr>
      <w:r>
        <w:rPr>
          <w:spacing w:val="-6"/>
        </w:rPr>
        <w:t>是起源于造血干细胞的一组异质性髓系克隆性疾病，特点是髓系细胞发育异常，表现为无效造血、难治性</w:t>
      </w:r>
      <w:r>
        <w:rPr>
          <w:spacing w:val="-4"/>
        </w:rPr>
        <w:t>血细胞减少，本合同所指的严重的骨髓增生异常综合征需满足下列所有条件：</w:t>
      </w:r>
    </w:p>
    <w:p>
      <w:pPr>
        <w:pStyle w:val="BodyText"/>
        <w:spacing w:before="7"/>
        <w:ind w:left="424"/>
      </w:pPr>
      <w:r>
        <w:rPr/>
        <w:t>Ⅰ 由设有专门血液病专科的医院血液病专科的主治级别以上的医师确诊；</w:t>
      </w:r>
    </w:p>
    <w:p>
      <w:pPr>
        <w:pStyle w:val="BodyText"/>
        <w:spacing w:before="36"/>
        <w:ind w:left="424"/>
      </w:pPr>
      <w:r>
        <w:rPr>
          <w:w w:val="105"/>
        </w:rPr>
        <w:t>"</w:t>
      </w:r>
      <w:r>
        <w:rPr>
          <w:spacing w:val="-74"/>
          <w:w w:val="105"/>
        </w:rPr>
        <w:t> </w:t>
      </w:r>
      <w:r>
        <w:rPr>
          <w:spacing w:val="-3"/>
          <w:w w:val="105"/>
        </w:rPr>
        <w:t>骨</w:t>
      </w:r>
      <w:r>
        <w:rPr>
          <w:w w:val="105"/>
        </w:rPr>
        <w:t>髓</w:t>
      </w:r>
      <w:r>
        <w:rPr>
          <w:spacing w:val="-3"/>
          <w:w w:val="105"/>
        </w:rPr>
        <w:t>涂</w:t>
      </w:r>
      <w:r>
        <w:rPr>
          <w:w w:val="105"/>
        </w:rPr>
        <w:t>片</w:t>
      </w:r>
      <w:r>
        <w:rPr>
          <w:spacing w:val="-3"/>
          <w:w w:val="105"/>
        </w:rPr>
        <w:t>检</w:t>
      </w:r>
      <w:r>
        <w:rPr>
          <w:w w:val="105"/>
        </w:rPr>
        <w:t>查</w:t>
      </w:r>
      <w:r>
        <w:rPr>
          <w:spacing w:val="-3"/>
          <w:w w:val="105"/>
        </w:rPr>
        <w:t>同</w:t>
      </w:r>
      <w:r>
        <w:rPr>
          <w:w w:val="105"/>
        </w:rPr>
        <w:t>时</w:t>
      </w:r>
      <w:r>
        <w:rPr>
          <w:spacing w:val="-3"/>
          <w:w w:val="105"/>
        </w:rPr>
        <w:t>符合</w:t>
      </w:r>
      <w:r>
        <w:rPr>
          <w:w w:val="105"/>
        </w:rPr>
        <w:t>发育</w:t>
      </w:r>
      <w:r>
        <w:rPr>
          <w:spacing w:val="-3"/>
          <w:w w:val="105"/>
        </w:rPr>
        <w:t>异</w:t>
      </w:r>
      <w:r>
        <w:rPr>
          <w:w w:val="105"/>
        </w:rPr>
        <w:t>常</w:t>
      </w:r>
      <w:r>
        <w:rPr>
          <w:spacing w:val="-3"/>
          <w:w w:val="105"/>
        </w:rPr>
        <w:t>细</w:t>
      </w:r>
      <w:r>
        <w:rPr>
          <w:w w:val="105"/>
        </w:rPr>
        <w:t>胞</w:t>
      </w:r>
      <w:r>
        <w:rPr>
          <w:spacing w:val="-3"/>
          <w:w w:val="105"/>
        </w:rPr>
        <w:t>比</w:t>
      </w:r>
      <w:r>
        <w:rPr>
          <w:w w:val="105"/>
        </w:rPr>
        <w:t>例</w:t>
      </w:r>
      <w:r>
        <w:rPr>
          <w:w w:val="100"/>
        </w:rPr>
        <w:drawing>
          <wp:inline distT="0" distB="0" distL="0" distR="0">
            <wp:extent cx="63499" cy="95250"/>
            <wp:effectExtent l="0" t="0" r="0" b="0"/>
            <wp:docPr id="31" name="image4.png" descr=""/>
            <wp:cNvGraphicFramePr>
              <a:graphicFrameLocks noChangeAspect="1"/>
            </wp:cNvGraphicFramePr>
            <a:graphic>
              <a:graphicData uri="http://schemas.openxmlformats.org/drawingml/2006/picture">
                <pic:pic>
                  <pic:nvPicPr>
                    <pic:cNvPr id="32"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spacing w:val="-3"/>
        </w:rPr>
        <w:t>、</w:t>
      </w:r>
      <w:r>
        <w:rPr/>
        <w:t>原始</w:t>
      </w:r>
      <w:r>
        <w:rPr>
          <w:spacing w:val="-3"/>
        </w:rPr>
        <w:t>细</w:t>
      </w:r>
      <w:r>
        <w:rPr/>
        <w:t>胞</w:t>
      </w:r>
      <w:r>
        <w:rPr>
          <w:spacing w:val="-3"/>
        </w:rPr>
        <w:t>比</w:t>
      </w:r>
      <w:r>
        <w:rPr/>
        <w:t>例</w:t>
      </w:r>
      <w:r>
        <w:rPr>
          <w:spacing w:val="-98"/>
        </w:rPr>
        <w:t> </w:t>
      </w:r>
      <w:r>
        <w:rPr>
          <w:w w:val="100"/>
        </w:rPr>
        <w:drawing>
          <wp:inline distT="0" distB="0" distL="0" distR="0">
            <wp:extent cx="63499" cy="95250"/>
            <wp:effectExtent l="0" t="0" r="0" b="0"/>
            <wp:docPr id="33" name="image4.png" descr=""/>
            <wp:cNvGraphicFramePr>
              <a:graphicFrameLocks noChangeAspect="1"/>
            </wp:cNvGraphicFramePr>
            <a:graphic>
              <a:graphicData uri="http://schemas.openxmlformats.org/drawingml/2006/picture">
                <pic:pic>
                  <pic:nvPicPr>
                    <pic:cNvPr id="34"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w w:val="105"/>
        </w:rPr>
        <w:t>；</w:t>
      </w:r>
    </w:p>
    <w:p>
      <w:pPr>
        <w:pStyle w:val="BodyText"/>
        <w:spacing w:line="262" w:lineRule="exact" w:before="36"/>
        <w:ind w:left="424"/>
      </w:pPr>
      <w:r>
        <w:rPr/>
        <w:t>Ⅲ 已接受至少累计三十日的化疗或已接受骨髓移植治疗。</w:t>
      </w:r>
    </w:p>
    <w:p>
      <w:pPr>
        <w:pStyle w:val="Heading2"/>
        <w:spacing w:line="206" w:lineRule="auto" w:before="37"/>
        <w:ind w:right="3730" w:hanging="1"/>
      </w:pPr>
      <w:r>
        <w:rPr/>
        <w:t>化疗日数的计算以被保险人实际服用、注射化疗药物的天数为准。疑似病例不在保障范围之内。</w:t>
      </w:r>
    </w:p>
    <w:p>
      <w:pPr>
        <w:spacing w:line="312" w:lineRule="exact" w:before="0"/>
        <w:ind w:left="318" w:right="0" w:firstLine="0"/>
        <w:jc w:val="left"/>
        <w:rPr>
          <w:rFonts w:ascii="微软雅黑" w:eastAsia="微软雅黑" w:hint="eastAsia"/>
          <w:b/>
          <w:sz w:val="21"/>
        </w:rPr>
      </w:pPr>
      <w:r>
        <w:rPr>
          <w:sz w:val="21"/>
        </w:rPr>
        <w:t>（69）</w:t>
      </w:r>
      <w:r>
        <w:rPr>
          <w:rFonts w:ascii="微软雅黑" w:eastAsia="微软雅黑" w:hint="eastAsia"/>
          <w:b/>
          <w:sz w:val="21"/>
          <w:u w:val="single"/>
        </w:rPr>
        <w:t>肺泡蛋白质沉积症</w:t>
      </w:r>
    </w:p>
    <w:p>
      <w:pPr>
        <w:pStyle w:val="BodyText"/>
        <w:spacing w:line="273" w:lineRule="auto" w:before="12"/>
        <w:ind w:right="202" w:hanging="1"/>
        <w:jc w:val="both"/>
      </w:pPr>
      <w:r>
        <w:rPr>
          <w:spacing w:val="-6"/>
        </w:rPr>
        <w:t>指肺泡和细支气管腔内充满不可溶性富磷脂蛋白的疾病，胸部 </w:t>
      </w:r>
      <w:r>
        <w:rPr/>
        <w:t>X</w:t>
      </w:r>
      <w:r>
        <w:rPr>
          <w:spacing w:val="-8"/>
        </w:rPr>
        <w:t> 线呈双肺弥漫性肺部磨玻璃影，病理学检</w:t>
      </w:r>
      <w:r>
        <w:rPr>
          <w:spacing w:val="-3"/>
        </w:rPr>
        <w:t>查肺泡内充满有过碘酸雪夫</w:t>
      </w:r>
      <w:r>
        <w:rPr/>
        <w:t>（PAS）</w:t>
      </w:r>
      <w:r>
        <w:rPr>
          <w:spacing w:val="-3"/>
        </w:rPr>
        <w:t>染色阳性的蛋白样物质，并且接受了肺灌洗治疗。</w:t>
      </w:r>
    </w:p>
    <w:p>
      <w:pPr>
        <w:spacing w:line="308" w:lineRule="exact" w:before="0"/>
        <w:ind w:left="318" w:right="0" w:firstLine="0"/>
        <w:jc w:val="left"/>
        <w:rPr>
          <w:rFonts w:ascii="微软雅黑" w:eastAsia="微软雅黑" w:hint="eastAsia"/>
          <w:b/>
          <w:sz w:val="21"/>
        </w:rPr>
      </w:pPr>
      <w:r>
        <w:rPr>
          <w:sz w:val="21"/>
        </w:rPr>
        <w:t>（70）</w:t>
      </w:r>
      <w:r>
        <w:rPr>
          <w:rFonts w:ascii="微软雅黑" w:eastAsia="微软雅黑" w:hint="eastAsia"/>
          <w:b/>
          <w:sz w:val="21"/>
          <w:u w:val="single"/>
        </w:rPr>
        <w:t>严重肠道疾病并发症</w:t>
      </w:r>
    </w:p>
    <w:p>
      <w:pPr>
        <w:pStyle w:val="BodyText"/>
        <w:spacing w:before="12"/>
        <w:jc w:val="both"/>
      </w:pPr>
      <w:r>
        <w:rPr/>
        <w:t>严重肠道疾病或外伤导致小肠损害并发症，满足以下所有条件：</w:t>
      </w:r>
    </w:p>
    <w:p>
      <w:pPr>
        <w:pStyle w:val="BodyText"/>
        <w:spacing w:before="37"/>
        <w:ind w:left="424"/>
      </w:pPr>
      <w:r>
        <w:rPr/>
        <w:t>Ⅰ 至少切除了三分之二小肠；</w:t>
      </w:r>
    </w:p>
    <w:p>
      <w:pPr>
        <w:pStyle w:val="BodyText"/>
        <w:spacing w:line="262" w:lineRule="exact" w:before="37"/>
        <w:ind w:left="424"/>
      </w:pPr>
      <w:r>
        <w:rPr>
          <w:spacing w:val="-55"/>
          <w:w w:val="140"/>
        </w:rPr>
        <w:t>" </w:t>
      </w:r>
      <w:r>
        <w:rPr>
          <w:spacing w:val="-3"/>
          <w:w w:val="105"/>
        </w:rPr>
        <w:t>完全肠外营养支持三个月以上。</w:t>
      </w:r>
    </w:p>
    <w:p>
      <w:pPr>
        <w:spacing w:line="350" w:lineRule="exact" w:before="0"/>
        <w:ind w:left="318" w:right="0" w:firstLine="0"/>
        <w:jc w:val="left"/>
        <w:rPr>
          <w:rFonts w:ascii="微软雅黑" w:eastAsia="微软雅黑" w:hint="eastAsia"/>
          <w:b/>
          <w:sz w:val="21"/>
        </w:rPr>
      </w:pPr>
      <w:r>
        <w:rPr>
          <w:sz w:val="21"/>
        </w:rPr>
        <w:t>（71）</w:t>
      </w:r>
      <w:r>
        <w:rPr>
          <w:rFonts w:ascii="微软雅黑" w:eastAsia="微软雅黑" w:hint="eastAsia"/>
          <w:b/>
          <w:sz w:val="21"/>
          <w:u w:val="single"/>
        </w:rPr>
        <w:t>严重细菌性脑脊髓膜炎</w:t>
      </w:r>
    </w:p>
    <w:p>
      <w:pPr>
        <w:pStyle w:val="BodyText"/>
        <w:spacing w:line="273" w:lineRule="auto" w:before="12"/>
        <w:ind w:right="204" w:hanging="1"/>
        <w:jc w:val="both"/>
      </w:pPr>
      <w:r>
        <w:rPr>
          <w:spacing w:val="-5"/>
          <w:w w:val="100"/>
        </w:rPr>
        <w:t>指因脑膜炎双球菌感染引起脑脊髓膜化脓性病变，且导致永久性神经损害</w:t>
      </w:r>
      <w:r>
        <w:rPr>
          <w:spacing w:val="-3"/>
          <w:w w:val="100"/>
        </w:rPr>
        <w:t>（</w:t>
      </w:r>
      <w:r>
        <w:rPr>
          <w:w w:val="100"/>
        </w:rPr>
        <w:t>注</w:t>
      </w:r>
      <w:r>
        <w:rPr>
          <w:spacing w:val="-108"/>
          <w:w w:val="100"/>
        </w:rPr>
        <w:t>）</w:t>
      </w:r>
      <w:r>
        <w:rPr>
          <w:spacing w:val="-3"/>
          <w:w w:val="100"/>
        </w:rPr>
        <w:t>，持续</w:t>
      </w:r>
      <w:r>
        <w:rPr>
          <w:spacing w:val="-3"/>
        </w:rPr>
        <w:t> </w:t>
      </w:r>
      <w:r>
        <w:rPr>
          <w:w w:val="100"/>
        </w:rPr>
        <w:t>90</w:t>
      </w:r>
      <w:r>
        <w:rPr>
          <w:spacing w:val="-55"/>
        </w:rPr>
        <w:t> </w:t>
      </w:r>
      <w:r>
        <w:rPr>
          <w:spacing w:val="-4"/>
          <w:w w:val="100"/>
        </w:rPr>
        <w:t>天以上，并且脑</w:t>
      </w:r>
      <w:r>
        <w:rPr>
          <w:spacing w:val="-3"/>
        </w:rPr>
        <w:t>脊液检查显示脑膜炎双球菌阳性。</w:t>
      </w:r>
    </w:p>
    <w:p>
      <w:pPr>
        <w:pStyle w:val="Heading2"/>
        <w:spacing w:line="206" w:lineRule="auto"/>
        <w:ind w:right="206"/>
        <w:jc w:val="both"/>
      </w:pPr>
      <w:r>
        <w:rPr>
          <w:spacing w:val="-8"/>
        </w:rPr>
        <w:t>注：永久性神经损害是指由细菌性脑脊髓膜炎引起的耳聋、失明、动眼神经麻痹、瘫痪、脑积水、智力或</w:t>
      </w:r>
      <w:r>
        <w:rPr>
          <w:spacing w:val="-9"/>
        </w:rPr>
        <w:t>性情中度以上的损害，且上述症状持续 </w:t>
      </w:r>
      <w:r>
        <w:rPr/>
        <w:t>90</w:t>
      </w:r>
      <w:r>
        <w:rPr>
          <w:spacing w:val="-5"/>
        </w:rPr>
        <w:t> 天以上仍无改善迹象。</w:t>
      </w:r>
    </w:p>
    <w:p>
      <w:pPr>
        <w:spacing w:line="312" w:lineRule="exact" w:before="4"/>
        <w:ind w:left="318" w:right="0" w:firstLine="0"/>
        <w:jc w:val="left"/>
        <w:rPr>
          <w:rFonts w:ascii="微软雅黑" w:eastAsia="微软雅黑" w:hint="eastAsia"/>
          <w:b/>
          <w:sz w:val="21"/>
        </w:rPr>
      </w:pPr>
      <w:r>
        <w:rPr>
          <w:sz w:val="21"/>
        </w:rPr>
        <w:t>（72）</w:t>
      </w:r>
      <w:r>
        <w:rPr>
          <w:rFonts w:ascii="微软雅黑" w:eastAsia="微软雅黑" w:hint="eastAsia"/>
          <w:b/>
          <w:sz w:val="21"/>
          <w:u w:val="single"/>
        </w:rPr>
        <w:t>成骨不全症</w:t>
      </w:r>
    </w:p>
    <w:p>
      <w:pPr>
        <w:pStyle w:val="BodyText"/>
        <w:spacing w:line="273" w:lineRule="auto" w:before="12"/>
        <w:ind w:right="202" w:hanging="1"/>
        <w:jc w:val="both"/>
      </w:pPr>
      <w:r>
        <w:rPr>
          <w:spacing w:val="-4"/>
        </w:rPr>
        <w:t>一种胶原病，特征为骨易碎，骨质疏松和易骨折。该病有 </w:t>
      </w:r>
      <w:r>
        <w:rPr/>
        <w:t>4</w:t>
      </w:r>
      <w:r>
        <w:rPr>
          <w:spacing w:val="-5"/>
        </w:rPr>
        <w:t> 种类型：</w:t>
      </w:r>
      <w:r>
        <w:rPr/>
        <w:t>I</w:t>
      </w:r>
      <w:r>
        <w:rPr>
          <w:spacing w:val="-7"/>
        </w:rPr>
        <w:t> 型、</w:t>
      </w:r>
      <w:r>
        <w:rPr>
          <w:w w:val="180"/>
        </w:rPr>
        <w:t>Ⅱ</w:t>
      </w:r>
      <w:r>
        <w:rPr>
          <w:spacing w:val="-3"/>
        </w:rPr>
        <w:t>型、Ⅲ型、Ⅳ型。只保障</w:t>
      </w:r>
      <w:r>
        <w:rPr>
          <w:spacing w:val="-200"/>
        </w:rPr>
        <w:t>Ⅲ</w:t>
      </w:r>
      <w:r>
        <w:rPr>
          <w:spacing w:val="-103"/>
        </w:rPr>
        <w:t> </w:t>
      </w:r>
      <w:r>
        <w:rPr>
          <w:spacing w:val="-6"/>
        </w:rPr>
        <w:t>型成骨不全的情形。其主要临床特点有：发展迟缓、多发性骨折、进行性脊柱后侧凸及听力损害。Ⅲ型成</w:t>
      </w:r>
      <w:r>
        <w:rPr>
          <w:spacing w:val="-4"/>
        </w:rPr>
        <w:t>骨不全的诊断必须根据身体检查，家族史</w:t>
      </w:r>
      <w:r>
        <w:rPr/>
        <w:t>，X</w:t>
      </w:r>
      <w:r>
        <w:rPr>
          <w:spacing w:val="-5"/>
        </w:rPr>
        <w:t> 线检查和皮肤活检报告资料确诊。</w:t>
      </w:r>
    </w:p>
    <w:p>
      <w:pPr>
        <w:pStyle w:val="Heading2"/>
        <w:spacing w:line="283" w:lineRule="exact"/>
      </w:pPr>
      <w:r>
        <w:rPr/>
        <w:t>（本合同责任免除条款第一节第八项不适用于此病种。）</w:t>
      </w:r>
    </w:p>
    <w:p>
      <w:pPr>
        <w:spacing w:line="337" w:lineRule="exact" w:before="0"/>
        <w:ind w:left="318" w:right="0" w:firstLine="0"/>
        <w:jc w:val="left"/>
        <w:rPr>
          <w:rFonts w:ascii="微软雅黑" w:eastAsia="微软雅黑" w:hint="eastAsia"/>
          <w:b/>
          <w:sz w:val="21"/>
        </w:rPr>
      </w:pPr>
      <w:r>
        <w:rPr>
          <w:sz w:val="21"/>
        </w:rPr>
        <w:t>（73）</w:t>
      </w:r>
      <w:r>
        <w:rPr>
          <w:rFonts w:ascii="微软雅黑" w:eastAsia="微软雅黑" w:hint="eastAsia"/>
          <w:b/>
          <w:sz w:val="21"/>
          <w:u w:val="single"/>
        </w:rPr>
        <w:t>进行性核上性麻痹</w:t>
      </w:r>
    </w:p>
    <w:p>
      <w:pPr>
        <w:pStyle w:val="BodyText"/>
        <w:spacing w:line="273" w:lineRule="auto" w:before="12"/>
        <w:ind w:right="202" w:hanging="1"/>
        <w:jc w:val="both"/>
      </w:pPr>
      <w:r>
        <w:rPr>
          <w:spacing w:val="-4"/>
        </w:rPr>
        <w:t>进行性核上性麻痹</w:t>
      </w:r>
      <w:r>
        <w:rPr>
          <w:spacing w:val="-3"/>
        </w:rPr>
        <w:t>（PSP）</w:t>
      </w:r>
      <w:r>
        <w:rPr>
          <w:spacing w:val="-14"/>
        </w:rPr>
        <w:t>又称 </w:t>
      </w:r>
      <w:r>
        <w:rPr/>
        <w:t>Steele-Rchardson-OIszewski</w:t>
      </w:r>
      <w:r>
        <w:rPr>
          <w:spacing w:val="-8"/>
        </w:rPr>
        <w:t> 综合症，是一种神经系统变性疾病，以假球</w:t>
      </w:r>
      <w:r>
        <w:rPr>
          <w:spacing w:val="-5"/>
        </w:rPr>
        <w:t>麻痹、垂直性核上性眼肌麻痹、锥体外系肌僵直、步态共济失调和轻度痴呆为主要临床特征。</w:t>
      </w:r>
      <w:r>
        <w:rPr/>
        <w:t>PSP</w:t>
      </w:r>
      <w:r>
        <w:rPr>
          <w:spacing w:val="0"/>
        </w:rPr>
        <w:t> 必须由</w:t>
      </w:r>
      <w:r>
        <w:rPr>
          <w:spacing w:val="-5"/>
        </w:rPr>
        <w:t>医院的神经内科专科医生确诊，并且被保险人自主生活能力完全丧失，无法独立完成六项基本日常生活活</w:t>
      </w:r>
      <w:r>
        <w:rPr>
          <w:spacing w:val="-4"/>
        </w:rPr>
        <w:t>动中的三项或三项以上。</w:t>
      </w:r>
    </w:p>
    <w:p>
      <w:pPr>
        <w:spacing w:line="308" w:lineRule="exact" w:before="0"/>
        <w:ind w:left="318" w:right="0" w:firstLine="0"/>
        <w:jc w:val="left"/>
        <w:rPr>
          <w:rFonts w:ascii="微软雅黑" w:eastAsia="微软雅黑" w:hint="eastAsia"/>
          <w:b/>
          <w:sz w:val="21"/>
        </w:rPr>
      </w:pPr>
      <w:r>
        <w:rPr>
          <w:sz w:val="21"/>
        </w:rPr>
        <w:t>（74）</w:t>
      </w:r>
      <w:r>
        <w:rPr>
          <w:rFonts w:ascii="微软雅黑" w:eastAsia="微软雅黑" w:hint="eastAsia"/>
          <w:b/>
          <w:sz w:val="21"/>
          <w:u w:val="single"/>
        </w:rPr>
        <w:t>嗜铬细胞瘤</w:t>
      </w:r>
    </w:p>
    <w:p>
      <w:pPr>
        <w:pStyle w:val="BodyText"/>
        <w:spacing w:before="11"/>
        <w:jc w:val="both"/>
      </w:pPr>
      <w:r>
        <w:rPr/>
        <w:t>指发生在肾上腺或肾上腺外嗜铬组织的以分泌过多的儿茶酚胺为表现的神经内分泌肿瘤。嗜铬细胞瘤必须</w:t>
      </w:r>
    </w:p>
    <w:p>
      <w:pPr>
        <w:spacing w:after="0"/>
        <w:jc w:val="both"/>
        <w:sectPr>
          <w:pgSz w:w="11900" w:h="16840"/>
          <w:pgMar w:header="892" w:footer="547" w:top="1080" w:bottom="740" w:left="920" w:right="920"/>
        </w:sectPr>
      </w:pPr>
    </w:p>
    <w:p>
      <w:pPr>
        <w:pStyle w:val="BodyText"/>
        <w:spacing w:before="3"/>
        <w:ind w:left="0"/>
        <w:rPr>
          <w:sz w:val="10"/>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before="75"/>
        <w:jc w:val="both"/>
      </w:pPr>
      <w:r>
        <w:rPr/>
        <w:t>由内分泌专科医生诊断，并且满足以下所有条件：</w:t>
      </w:r>
    </w:p>
    <w:p>
      <w:pPr>
        <w:pStyle w:val="BodyText"/>
        <w:spacing w:before="36"/>
        <w:ind w:left="424"/>
      </w:pPr>
      <w:r>
        <w:rPr/>
        <w:t>Ⅰ 临床有高血压症候群表现；</w:t>
      </w:r>
    </w:p>
    <w:p>
      <w:pPr>
        <w:pStyle w:val="BodyText"/>
        <w:spacing w:line="262" w:lineRule="exact" w:before="36"/>
        <w:ind w:left="424"/>
      </w:pPr>
      <w:r>
        <w:rPr>
          <w:w w:val="130"/>
        </w:rPr>
        <w:t>" </w:t>
      </w:r>
      <w:r>
        <w:rPr>
          <w:w w:val="105"/>
        </w:rPr>
        <w:t>已经实施了嗜铬细胞瘤切除手术。</w:t>
      </w:r>
    </w:p>
    <w:p>
      <w:pPr>
        <w:spacing w:line="350" w:lineRule="exact" w:before="0"/>
        <w:ind w:left="318" w:right="0" w:firstLine="0"/>
        <w:jc w:val="left"/>
        <w:rPr>
          <w:rFonts w:ascii="微软雅黑" w:eastAsia="微软雅黑" w:hint="eastAsia"/>
          <w:b/>
          <w:sz w:val="21"/>
        </w:rPr>
      </w:pPr>
      <w:r>
        <w:rPr>
          <w:sz w:val="21"/>
        </w:rPr>
        <w:t>（75）</w:t>
      </w:r>
      <w:r>
        <w:rPr>
          <w:rFonts w:ascii="微软雅黑" w:eastAsia="微软雅黑" w:hint="eastAsia"/>
          <w:b/>
          <w:sz w:val="21"/>
          <w:u w:val="single"/>
        </w:rPr>
        <w:t>严重瑞氏综合征</w:t>
      </w:r>
    </w:p>
    <w:p>
      <w:pPr>
        <w:pStyle w:val="BodyText"/>
        <w:spacing w:line="273" w:lineRule="auto" w:before="12"/>
        <w:ind w:right="202"/>
        <w:jc w:val="both"/>
      </w:pPr>
      <w:r>
        <w:rPr>
          <w:spacing w:val="-5"/>
        </w:rPr>
        <w:t>瑞氏综合征是线粒体功能障碍性疾病。导致脂肪代谢障碍，引起短链脂肪酸、血氨升高，造成脑水肿。主</w:t>
      </w:r>
      <w:r>
        <w:rPr>
          <w:spacing w:val="-7"/>
        </w:rPr>
        <w:t>要临床表现为急性发热、反复呕吐、惊厥及意识障碍等等。肝脏活检是确诊的重要手段。瑞氏综合征需由</w:t>
      </w:r>
      <w:r>
        <w:rPr>
          <w:spacing w:val="-5"/>
        </w:rPr>
        <w:t>医院的儿科专科医生确诊，并符合下列所有条件：</w:t>
      </w:r>
    </w:p>
    <w:p>
      <w:pPr>
        <w:pStyle w:val="BodyText"/>
        <w:spacing w:before="7"/>
        <w:ind w:left="423"/>
      </w:pPr>
      <w:r>
        <w:rPr/>
        <w:t>Ⅰ 有脑水肿和颅内压升高的脑脊液检查和影像学检查证据；</w:t>
      </w:r>
    </w:p>
    <w:p>
      <w:pPr>
        <w:pStyle w:val="BodyText"/>
        <w:spacing w:before="37"/>
        <w:ind w:left="423"/>
      </w:pPr>
      <w:r>
        <w:rPr>
          <w:w w:val="130"/>
        </w:rPr>
        <w:t>" </w:t>
      </w:r>
      <w:r>
        <w:rPr>
          <w:w w:val="110"/>
        </w:rPr>
        <w:t>血氨超过正常值的 3 倍；</w:t>
      </w:r>
    </w:p>
    <w:p>
      <w:pPr>
        <w:pStyle w:val="BodyText"/>
        <w:spacing w:line="262" w:lineRule="exact" w:before="37"/>
        <w:ind w:left="423"/>
      </w:pPr>
      <w:r>
        <w:rPr/>
        <w:t>Ⅲ 临床出现昏迷，病程至少达到疾病分期第 3 期。</w:t>
      </w:r>
    </w:p>
    <w:p>
      <w:pPr>
        <w:spacing w:line="350" w:lineRule="exact" w:before="0"/>
        <w:ind w:left="318" w:right="0" w:firstLine="0"/>
        <w:jc w:val="left"/>
        <w:rPr>
          <w:rFonts w:ascii="微软雅黑" w:eastAsia="微软雅黑" w:hint="eastAsia"/>
          <w:b/>
          <w:sz w:val="21"/>
        </w:rPr>
      </w:pPr>
      <w:r>
        <w:rPr>
          <w:sz w:val="21"/>
        </w:rPr>
        <w:t>（76）</w:t>
      </w:r>
      <w:r>
        <w:rPr>
          <w:rFonts w:ascii="微软雅黑" w:eastAsia="微软雅黑" w:hint="eastAsia"/>
          <w:b/>
          <w:sz w:val="21"/>
          <w:u w:val="single"/>
        </w:rPr>
        <w:t>严重自身免疫性肝炎</w:t>
      </w:r>
    </w:p>
    <w:p>
      <w:pPr>
        <w:pStyle w:val="BodyText"/>
        <w:spacing w:line="273" w:lineRule="auto" w:before="12"/>
        <w:ind w:right="202" w:hanging="1"/>
        <w:jc w:val="both"/>
      </w:pPr>
      <w:r>
        <w:rPr>
          <w:spacing w:val="-5"/>
        </w:rPr>
        <w:t>是一种原因不明的慢性肝脏的坏死性炎性疾病，机体免疫机制被破坏，产生针对肝脏自身抗原的抗体导致</w:t>
      </w:r>
      <w:r>
        <w:rPr>
          <w:spacing w:val="-4"/>
        </w:rPr>
        <w:t>自身免疫反应，从而破坏肝细胞造成肝脏炎症坏死，进而发展为肝硬化。必须满足所有以下条件：</w:t>
      </w:r>
    </w:p>
    <w:p>
      <w:pPr>
        <w:pStyle w:val="BodyText"/>
        <w:spacing w:before="7"/>
        <w:ind w:left="424"/>
      </w:pPr>
      <w:r>
        <w:rPr/>
        <w:t>Ⅰ 高γ球蛋白血症；</w:t>
      </w:r>
    </w:p>
    <w:p>
      <w:pPr>
        <w:pStyle w:val="BodyText"/>
        <w:spacing w:before="36"/>
        <w:ind w:left="424"/>
      </w:pPr>
      <w:r>
        <w:rPr>
          <w:spacing w:val="-32"/>
          <w:w w:val="175"/>
        </w:rPr>
        <w:t>" </w:t>
      </w:r>
      <w:r>
        <w:rPr>
          <w:spacing w:val="-3"/>
        </w:rPr>
        <w:t>血液中存在高水平的自身免疫抗体，如 </w:t>
      </w:r>
      <w:r>
        <w:rPr/>
        <w:t>ANA（</w:t>
      </w:r>
      <w:r>
        <w:rPr>
          <w:spacing w:val="-3"/>
        </w:rPr>
        <w:t>抗核抗体</w:t>
      </w:r>
      <w:r>
        <w:rPr>
          <w:spacing w:val="-106"/>
        </w:rPr>
        <w:t>）</w:t>
      </w:r>
      <w:r>
        <w:rPr/>
        <w:t>、SMA（</w:t>
      </w:r>
      <w:r>
        <w:rPr>
          <w:spacing w:val="-3"/>
        </w:rPr>
        <w:t>抗平滑肌抗体</w:t>
      </w:r>
      <w:r>
        <w:rPr>
          <w:spacing w:val="-108"/>
        </w:rPr>
        <w:t>）</w:t>
      </w:r>
      <w:r>
        <w:rPr>
          <w:spacing w:val="0"/>
        </w:rPr>
        <w:t>、抗 </w:t>
      </w:r>
      <w:r>
        <w:rPr/>
        <w:t>LKM1 抗体或抗</w:t>
      </w:r>
    </w:p>
    <w:p>
      <w:pPr>
        <w:pStyle w:val="BodyText"/>
        <w:spacing w:before="36"/>
        <w:jc w:val="both"/>
      </w:pPr>
      <w:r>
        <w:rPr/>
        <w:t>SLA/LP 抗体；</w:t>
      </w:r>
    </w:p>
    <w:p>
      <w:pPr>
        <w:pStyle w:val="BodyText"/>
        <w:spacing w:before="36"/>
        <w:ind w:left="424"/>
      </w:pPr>
      <w:r>
        <w:rPr/>
        <w:t>Ⅲ 肝脏活检证实免疫性肝炎；</w:t>
      </w:r>
    </w:p>
    <w:p>
      <w:pPr>
        <w:pStyle w:val="BodyText"/>
        <w:spacing w:line="262" w:lineRule="exact" w:before="36"/>
        <w:ind w:left="424"/>
      </w:pPr>
      <w:r>
        <w:rPr/>
        <w:t>Ⅳ 临床已经出现腹水、食道静脉曲张和脾肿大等肝硬化表现。</w:t>
      </w:r>
    </w:p>
    <w:p>
      <w:pPr>
        <w:spacing w:line="350" w:lineRule="exact" w:before="0"/>
        <w:ind w:left="318" w:right="0" w:firstLine="0"/>
        <w:jc w:val="left"/>
        <w:rPr>
          <w:rFonts w:ascii="微软雅黑" w:eastAsia="微软雅黑" w:hint="eastAsia"/>
          <w:b/>
          <w:sz w:val="21"/>
        </w:rPr>
      </w:pPr>
      <w:r>
        <w:rPr>
          <w:sz w:val="21"/>
        </w:rPr>
        <w:t>（77）</w:t>
      </w:r>
      <w:r>
        <w:rPr>
          <w:rFonts w:ascii="微软雅黑" w:eastAsia="微软雅黑" w:hint="eastAsia"/>
          <w:b/>
          <w:sz w:val="21"/>
          <w:u w:val="single"/>
        </w:rPr>
        <w:t>肾上腺脑白质营养不良</w:t>
      </w:r>
    </w:p>
    <w:p>
      <w:pPr>
        <w:pStyle w:val="BodyText"/>
        <w:spacing w:line="273" w:lineRule="auto" w:before="12"/>
        <w:ind w:right="202"/>
        <w:jc w:val="both"/>
      </w:pPr>
      <w:r>
        <w:rPr>
          <w:spacing w:val="-6"/>
        </w:rPr>
        <w:t>指一种最常见的过氧化物酶体病，主要累及肾上腺和脑白质，主要表现为进行性的精神运动障碍，视力及</w:t>
      </w:r>
      <w:r>
        <w:rPr>
          <w:spacing w:val="-5"/>
        </w:rPr>
        <w:t>听力下降和</w:t>
      </w:r>
      <w:r>
        <w:rPr/>
        <w:t>（</w:t>
      </w:r>
      <w:r>
        <w:rPr>
          <w:spacing w:val="-3"/>
        </w:rPr>
        <w:t>或</w:t>
      </w:r>
      <w:r>
        <w:rPr>
          <w:spacing w:val="-5"/>
        </w:rPr>
        <w:t>）</w:t>
      </w:r>
      <w:r>
        <w:rPr>
          <w:spacing w:val="-6"/>
        </w:rPr>
        <w:t>肾上腺皮质功能低下等。须经专科医生诊断，且已经造成自主生活能力完全丧失，无法独立完成六项基本日常生活活动中的三项或三项以上，持续至少 </w:t>
      </w:r>
      <w:r>
        <w:rPr/>
        <w:t>180</w:t>
      </w:r>
      <w:r>
        <w:rPr>
          <w:spacing w:val="-14"/>
        </w:rPr>
        <w:t> 天。</w:t>
      </w:r>
    </w:p>
    <w:p>
      <w:pPr>
        <w:pStyle w:val="Heading2"/>
        <w:spacing w:line="283" w:lineRule="exact"/>
      </w:pPr>
      <w:r>
        <w:rPr/>
        <w:t>本合同仅对三周岁以上的被保险人予以理赔。</w:t>
      </w:r>
    </w:p>
    <w:p>
      <w:pPr>
        <w:spacing w:line="312" w:lineRule="exact" w:before="0"/>
        <w:ind w:left="212" w:right="0" w:firstLine="0"/>
        <w:jc w:val="left"/>
        <w:rPr>
          <w:rFonts w:ascii="微软雅黑" w:eastAsia="微软雅黑" w:hint="eastAsia"/>
          <w:b/>
          <w:sz w:val="21"/>
        </w:rPr>
      </w:pPr>
      <w:r>
        <w:rPr>
          <w:rFonts w:ascii="微软雅黑" w:eastAsia="微软雅黑" w:hint="eastAsia"/>
          <w:b/>
          <w:sz w:val="21"/>
        </w:rPr>
        <w:t>（本合同责任免除条款第一节第八项不适用于此病种。）</w:t>
      </w:r>
    </w:p>
    <w:p>
      <w:pPr>
        <w:spacing w:line="337" w:lineRule="exact" w:before="0"/>
        <w:ind w:left="318" w:right="0" w:firstLine="0"/>
        <w:jc w:val="left"/>
        <w:rPr>
          <w:rFonts w:ascii="微软雅黑" w:eastAsia="微软雅黑" w:hint="eastAsia"/>
          <w:b/>
          <w:sz w:val="21"/>
        </w:rPr>
      </w:pPr>
      <w:r>
        <w:rPr>
          <w:sz w:val="21"/>
        </w:rPr>
        <w:t>（78）</w:t>
      </w:r>
      <w:r>
        <w:rPr>
          <w:rFonts w:ascii="微软雅黑" w:eastAsia="微软雅黑" w:hint="eastAsia"/>
          <w:b/>
          <w:sz w:val="21"/>
          <w:u w:val="single"/>
        </w:rPr>
        <w:t>肝豆状核变性</w:t>
      </w:r>
    </w:p>
    <w:p>
      <w:pPr>
        <w:pStyle w:val="BodyText"/>
        <w:spacing w:line="273" w:lineRule="auto" w:before="12"/>
        <w:ind w:right="202" w:hanging="1"/>
        <w:jc w:val="both"/>
      </w:pPr>
      <w:r>
        <w:rPr>
          <w:spacing w:val="-5"/>
        </w:rPr>
        <w:t>指一种常染色体隐性遗传的铜代谢缺陷病，以不同程度的肝细胞损害、脑退行性病变和角膜边缘有铜盐沉</w:t>
      </w:r>
      <w:r>
        <w:rPr>
          <w:spacing w:val="-4"/>
        </w:rPr>
        <w:t>着环为其临床特征，并须满足下列全部条件：</w:t>
      </w:r>
    </w:p>
    <w:p>
      <w:pPr>
        <w:pStyle w:val="BodyText"/>
        <w:spacing w:before="7"/>
        <w:ind w:left="424"/>
      </w:pPr>
      <w:r>
        <w:rPr/>
        <w:t>Ⅰ 典型症状；</w:t>
      </w:r>
    </w:p>
    <w:p>
      <w:pPr>
        <w:pStyle w:val="BodyText"/>
        <w:spacing w:before="36"/>
        <w:ind w:left="424"/>
      </w:pPr>
      <w:r>
        <w:rPr>
          <w:w w:val="201"/>
        </w:rPr>
        <w:t>"</w:t>
      </w:r>
      <w:r>
        <w:rPr/>
        <w:t> </w:t>
      </w:r>
      <w:r>
        <w:rPr>
          <w:spacing w:val="-3"/>
          <w:w w:val="100"/>
        </w:rPr>
        <w:t>角膜色素环</w:t>
      </w:r>
      <w:r>
        <w:rPr>
          <w:w w:val="100"/>
        </w:rPr>
        <w:t>（K</w:t>
      </w:r>
      <w:r>
        <w:rPr>
          <w:spacing w:val="-3"/>
          <w:w w:val="100"/>
        </w:rPr>
        <w:t>-</w:t>
      </w:r>
      <w:r>
        <w:rPr>
          <w:w w:val="100"/>
        </w:rPr>
        <w:t>F</w:t>
      </w:r>
      <w:r>
        <w:rPr>
          <w:spacing w:val="-53"/>
        </w:rPr>
        <w:t> </w:t>
      </w:r>
      <w:r>
        <w:rPr>
          <w:w w:val="100"/>
        </w:rPr>
        <w:t>环</w:t>
      </w:r>
      <w:r>
        <w:rPr>
          <w:spacing w:val="-108"/>
          <w:w w:val="100"/>
        </w:rPr>
        <w:t>）</w:t>
      </w:r>
      <w:r>
        <w:rPr>
          <w:w w:val="100"/>
        </w:rPr>
        <w:t>；</w:t>
      </w:r>
    </w:p>
    <w:p>
      <w:pPr>
        <w:pStyle w:val="BodyText"/>
        <w:spacing w:before="36"/>
        <w:ind w:left="423"/>
      </w:pPr>
      <w:r>
        <w:rPr/>
        <w:t>Ⅲ 血清铜和血清铜蓝蛋白降低，尿铜增加；</w:t>
      </w:r>
    </w:p>
    <w:p>
      <w:pPr>
        <w:pStyle w:val="BodyText"/>
        <w:spacing w:line="262" w:lineRule="exact" w:before="36"/>
        <w:ind w:left="423"/>
      </w:pPr>
      <w:r>
        <w:rPr/>
        <w:t>Ⅳ 经皮做肝脏活检来定量分析肝脏铜的含量。</w:t>
      </w:r>
    </w:p>
    <w:p>
      <w:pPr>
        <w:pStyle w:val="Heading2"/>
        <w:spacing w:line="325" w:lineRule="exact"/>
        <w:jc w:val="both"/>
      </w:pPr>
      <w:r>
        <w:rPr/>
        <w:t>（本合同责任免除条款第一节第八项不适用于此病种。）</w:t>
      </w:r>
    </w:p>
    <w:p>
      <w:pPr>
        <w:spacing w:line="337" w:lineRule="exact" w:before="0"/>
        <w:ind w:left="318" w:right="0" w:firstLine="0"/>
        <w:jc w:val="left"/>
        <w:rPr>
          <w:rFonts w:ascii="微软雅黑" w:eastAsia="微软雅黑" w:hint="eastAsia"/>
          <w:b/>
          <w:sz w:val="21"/>
        </w:rPr>
      </w:pPr>
      <w:r>
        <w:rPr>
          <w:sz w:val="21"/>
        </w:rPr>
        <w:t>（79）</w:t>
      </w:r>
      <w:r>
        <w:rPr>
          <w:rFonts w:ascii="微软雅黑" w:eastAsia="微软雅黑" w:hint="eastAsia"/>
          <w:b/>
          <w:sz w:val="21"/>
          <w:u w:val="single"/>
        </w:rPr>
        <w:t>严重癫痫</w:t>
      </w:r>
    </w:p>
    <w:p>
      <w:pPr>
        <w:spacing w:line="213" w:lineRule="auto" w:before="41"/>
        <w:ind w:left="212" w:right="204" w:hanging="1"/>
        <w:jc w:val="both"/>
        <w:rPr>
          <w:rFonts w:ascii="微软雅黑" w:eastAsia="微软雅黑" w:hint="eastAsia"/>
          <w:b/>
          <w:sz w:val="21"/>
        </w:rPr>
      </w:pPr>
      <w:r>
        <w:rPr>
          <w:spacing w:val="-3"/>
          <w:sz w:val="21"/>
        </w:rPr>
        <w:t>本病的诊断须由神经科或儿科专科医生根据典型临床症状和脑电图及 </w:t>
      </w:r>
      <w:r>
        <w:rPr>
          <w:sz w:val="21"/>
        </w:rPr>
        <w:t>MRI、PET、CT</w:t>
      </w:r>
      <w:r>
        <w:rPr>
          <w:spacing w:val="-3"/>
          <w:sz w:val="21"/>
        </w:rPr>
        <w:t> 等影相学检查做出。</w:t>
      </w:r>
      <w:r>
        <w:rPr>
          <w:rFonts w:ascii="微软雅黑" w:eastAsia="微软雅黑" w:hint="eastAsia"/>
          <w:b/>
          <w:spacing w:val="-3"/>
          <w:sz w:val="21"/>
        </w:rPr>
        <w:t>理赔时必须提供 6</w:t>
      </w:r>
      <w:r>
        <w:rPr>
          <w:rFonts w:ascii="微软雅黑" w:eastAsia="微软雅黑" w:hint="eastAsia"/>
          <w:b/>
          <w:sz w:val="21"/>
        </w:rPr>
        <w:t> 个月以上的相关病历记录证明被保险人存在经抗癫痫药物治疗无效而反复发作的强直</w:t>
      </w:r>
      <w:r>
        <w:rPr>
          <w:rFonts w:ascii="微软雅黑" w:eastAsia="微软雅黑" w:hint="eastAsia"/>
          <w:b/>
          <w:spacing w:val="-3"/>
          <w:sz w:val="21"/>
        </w:rPr>
        <w:t>阵挛性发作或癫痫大发作，或者已进行神经外科手术以治疗反复发作的癫痫。</w:t>
      </w:r>
    </w:p>
    <w:p>
      <w:pPr>
        <w:pStyle w:val="Heading2"/>
        <w:spacing w:line="287" w:lineRule="exact"/>
      </w:pPr>
      <w:r>
        <w:rPr/>
        <w:t>热性惊厥以及没有全身性发作的失神发作（癫痫小发作）不在本保障范围内。</w:t>
      </w:r>
    </w:p>
    <w:p>
      <w:pPr>
        <w:spacing w:line="312" w:lineRule="exact" w:before="0"/>
        <w:ind w:left="318" w:right="0" w:firstLine="0"/>
        <w:jc w:val="left"/>
        <w:rPr>
          <w:rFonts w:ascii="微软雅黑" w:eastAsia="微软雅黑" w:hint="eastAsia"/>
          <w:b/>
          <w:sz w:val="21"/>
        </w:rPr>
      </w:pPr>
      <w:r>
        <w:rPr>
          <w:sz w:val="21"/>
        </w:rPr>
        <w:t>（80）</w:t>
      </w:r>
      <w:r>
        <w:rPr>
          <w:rFonts w:ascii="微软雅黑" w:eastAsia="微软雅黑" w:hint="eastAsia"/>
          <w:b/>
          <w:sz w:val="21"/>
          <w:u w:val="single"/>
        </w:rPr>
        <w:t>小肠移植</w:t>
      </w:r>
    </w:p>
    <w:p>
      <w:pPr>
        <w:spacing w:line="206" w:lineRule="auto" w:before="25"/>
        <w:ind w:left="212" w:right="204" w:firstLine="0"/>
        <w:jc w:val="both"/>
        <w:rPr>
          <w:rFonts w:ascii="微软雅黑" w:eastAsia="微软雅黑" w:hint="eastAsia"/>
          <w:b/>
          <w:sz w:val="21"/>
        </w:rPr>
      </w:pPr>
      <w:r>
        <w:rPr>
          <w:spacing w:val="-6"/>
          <w:sz w:val="21"/>
        </w:rPr>
        <w:t>指因肠道疾病或外伤，已经实施了在全身麻醉下进行的小肠的异体器官移植术。</w:t>
      </w:r>
      <w:r>
        <w:rPr>
          <w:rFonts w:ascii="微软雅黑" w:eastAsia="微软雅黑" w:hint="eastAsia"/>
          <w:b/>
          <w:spacing w:val="-2"/>
          <w:sz w:val="21"/>
        </w:rPr>
        <w:t>此手术必须由专科医生认</w:t>
      </w:r>
      <w:r>
        <w:rPr>
          <w:rFonts w:ascii="微软雅黑" w:eastAsia="微软雅黑" w:hint="eastAsia"/>
          <w:b/>
          <w:spacing w:val="-3"/>
          <w:sz w:val="21"/>
        </w:rPr>
        <w:t>为是医学上必须的情况下进行。</w:t>
      </w:r>
    </w:p>
    <w:p>
      <w:pPr>
        <w:pStyle w:val="BodyText"/>
        <w:spacing w:line="312" w:lineRule="exact" w:before="7"/>
        <w:ind w:right="211" w:hanging="1"/>
        <w:jc w:val="both"/>
      </w:pPr>
      <w:r>
        <w:rPr>
          <w:rFonts w:ascii="Times New Roman" w:eastAsia="Times New Roman"/>
          <w:position w:val="10"/>
          <w:sz w:val="14"/>
        </w:rPr>
        <w:t>9 </w:t>
      </w:r>
      <w:r>
        <w:rPr>
          <w:rFonts w:ascii="微软雅黑" w:eastAsia="微软雅黑" w:hint="eastAsia"/>
          <w:b/>
        </w:rPr>
        <w:t>现金价值</w:t>
      </w:r>
      <w:r>
        <w:rPr/>
        <w:t>：指保险单所具有的价值，通常体现为解除合同时，根据精算原理计算的，由我们退还的那部分金额。</w:t>
      </w:r>
    </w:p>
    <w:p>
      <w:pPr>
        <w:spacing w:after="0" w:line="312" w:lineRule="exact"/>
        <w:jc w:val="both"/>
        <w:sectPr>
          <w:footerReference w:type="default" r:id="rId14"/>
          <w:pgSz w:w="11900" w:h="16840"/>
          <w:pgMar w:footer="547" w:header="892" w:top="1080" w:bottom="740" w:left="920" w:right="920"/>
          <w:pgNumType w:start="120"/>
        </w:sectPr>
      </w:pPr>
    </w:p>
    <w:p>
      <w:pPr>
        <w:pStyle w:val="BodyText"/>
        <w:spacing w:before="3"/>
        <w:ind w:left="0"/>
        <w:rPr>
          <w:sz w:val="10"/>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spacing w:before="13" w:after="24"/>
        <w:ind w:left="212" w:right="0" w:firstLine="0"/>
        <w:jc w:val="left"/>
        <w:rPr>
          <w:sz w:val="21"/>
        </w:rPr>
      </w:pPr>
      <w:r>
        <w:rPr>
          <w:rFonts w:ascii="Times New Roman" w:eastAsia="Times New Roman"/>
          <w:position w:val="10"/>
          <w:sz w:val="14"/>
        </w:rPr>
        <w:t>10   </w:t>
      </w:r>
      <w:r>
        <w:rPr>
          <w:rFonts w:ascii="微软雅黑" w:eastAsia="微软雅黑" w:hint="eastAsia"/>
          <w:b/>
          <w:sz w:val="21"/>
        </w:rPr>
        <w:t>重大疾病所属组别</w:t>
      </w:r>
      <w:r>
        <w:rPr>
          <w:sz w:val="21"/>
        </w:rPr>
        <w:t>：</w:t>
      </w:r>
    </w:p>
    <w:tbl>
      <w:tblPr>
        <w:tblW w:w="0" w:type="auto"/>
        <w:jc w:val="left"/>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8"/>
        <w:gridCol w:w="2396"/>
        <w:gridCol w:w="2396"/>
        <w:gridCol w:w="2398"/>
      </w:tblGrid>
      <w:tr>
        <w:trPr>
          <w:trHeight w:val="311" w:hRule="atLeast"/>
        </w:trPr>
        <w:tc>
          <w:tcPr>
            <w:tcW w:w="2398" w:type="dxa"/>
          </w:tcPr>
          <w:p>
            <w:pPr>
              <w:pStyle w:val="TableParagraph"/>
              <w:spacing w:line="262" w:lineRule="exact"/>
              <w:ind w:left="864" w:right="853"/>
              <w:jc w:val="center"/>
              <w:rPr>
                <w:sz w:val="21"/>
              </w:rPr>
            </w:pPr>
            <w:r>
              <w:rPr>
                <w:sz w:val="21"/>
              </w:rPr>
              <w:t>第一组</w:t>
            </w:r>
          </w:p>
        </w:tc>
        <w:tc>
          <w:tcPr>
            <w:tcW w:w="2396" w:type="dxa"/>
          </w:tcPr>
          <w:p>
            <w:pPr>
              <w:pStyle w:val="TableParagraph"/>
              <w:spacing w:line="262" w:lineRule="exact"/>
              <w:ind w:left="859" w:right="852"/>
              <w:jc w:val="center"/>
              <w:rPr>
                <w:sz w:val="21"/>
              </w:rPr>
            </w:pPr>
            <w:r>
              <w:rPr>
                <w:sz w:val="21"/>
              </w:rPr>
              <w:t>第二组</w:t>
            </w:r>
          </w:p>
        </w:tc>
        <w:tc>
          <w:tcPr>
            <w:tcW w:w="2396" w:type="dxa"/>
          </w:tcPr>
          <w:p>
            <w:pPr>
              <w:pStyle w:val="TableParagraph"/>
              <w:spacing w:line="262" w:lineRule="exact"/>
              <w:ind w:left="861" w:right="850"/>
              <w:jc w:val="center"/>
              <w:rPr>
                <w:sz w:val="21"/>
              </w:rPr>
            </w:pPr>
            <w:r>
              <w:rPr>
                <w:sz w:val="21"/>
              </w:rPr>
              <w:t>第三组</w:t>
            </w:r>
          </w:p>
        </w:tc>
        <w:tc>
          <w:tcPr>
            <w:tcW w:w="2398" w:type="dxa"/>
          </w:tcPr>
          <w:p>
            <w:pPr>
              <w:pStyle w:val="TableParagraph"/>
              <w:spacing w:line="262" w:lineRule="exact"/>
              <w:ind w:left="864" w:right="852"/>
              <w:jc w:val="center"/>
              <w:rPr>
                <w:sz w:val="21"/>
              </w:rPr>
            </w:pPr>
            <w:r>
              <w:rPr>
                <w:sz w:val="21"/>
              </w:rPr>
              <w:t>第四组</w:t>
            </w:r>
          </w:p>
        </w:tc>
      </w:tr>
      <w:tr>
        <w:trPr>
          <w:trHeight w:val="312" w:hRule="atLeast"/>
        </w:trPr>
        <w:tc>
          <w:tcPr>
            <w:tcW w:w="2398" w:type="dxa"/>
            <w:tcBorders>
              <w:bottom w:val="nil"/>
            </w:tcBorders>
          </w:tcPr>
          <w:p>
            <w:pPr>
              <w:pStyle w:val="TableParagraph"/>
              <w:spacing w:line="262" w:lineRule="exact"/>
              <w:ind w:left="110"/>
              <w:rPr>
                <w:sz w:val="21"/>
              </w:rPr>
            </w:pPr>
            <w:r>
              <w:rPr>
                <w:sz w:val="21"/>
              </w:rPr>
              <w:t>⒈ 恶性肿瘤</w:t>
            </w:r>
          </w:p>
        </w:tc>
        <w:tc>
          <w:tcPr>
            <w:tcW w:w="2396" w:type="dxa"/>
            <w:tcBorders>
              <w:bottom w:val="nil"/>
            </w:tcBorders>
          </w:tcPr>
          <w:p>
            <w:pPr>
              <w:pStyle w:val="TableParagraph"/>
              <w:spacing w:line="262" w:lineRule="exact"/>
              <w:ind w:left="107"/>
              <w:rPr>
                <w:sz w:val="21"/>
              </w:rPr>
            </w:pPr>
            <w:r>
              <w:rPr>
                <w:sz w:val="21"/>
              </w:rPr>
              <w:t>⒈ 脑中风后遗症</w:t>
            </w:r>
          </w:p>
        </w:tc>
        <w:tc>
          <w:tcPr>
            <w:tcW w:w="2396" w:type="dxa"/>
            <w:tcBorders>
              <w:bottom w:val="nil"/>
            </w:tcBorders>
          </w:tcPr>
          <w:p>
            <w:pPr>
              <w:pStyle w:val="TableParagraph"/>
              <w:spacing w:line="262" w:lineRule="exact"/>
              <w:ind w:left="109"/>
              <w:rPr>
                <w:sz w:val="21"/>
              </w:rPr>
            </w:pPr>
            <w:r>
              <w:rPr>
                <w:sz w:val="21"/>
              </w:rPr>
              <w:t>⒈ 急性心肌梗塞</w:t>
            </w:r>
          </w:p>
        </w:tc>
        <w:tc>
          <w:tcPr>
            <w:tcW w:w="2398" w:type="dxa"/>
            <w:tcBorders>
              <w:bottom w:val="nil"/>
            </w:tcBorders>
          </w:tcPr>
          <w:p>
            <w:pPr>
              <w:pStyle w:val="TableParagraph"/>
              <w:spacing w:line="262" w:lineRule="exact"/>
              <w:ind w:left="108"/>
              <w:rPr>
                <w:sz w:val="21"/>
              </w:rPr>
            </w:pPr>
            <w:r>
              <w:rPr>
                <w:sz w:val="21"/>
              </w:rPr>
              <w:t>⒈ 重型再生障碍性贫</w:t>
            </w:r>
          </w:p>
        </w:tc>
      </w:tr>
      <w:tr>
        <w:trPr>
          <w:trHeight w:val="311" w:hRule="atLeast"/>
        </w:trPr>
        <w:tc>
          <w:tcPr>
            <w:tcW w:w="2398" w:type="dxa"/>
            <w:tcBorders>
              <w:top w:val="nil"/>
              <w:bottom w:val="nil"/>
            </w:tcBorders>
          </w:tcPr>
          <w:p>
            <w:pPr>
              <w:pStyle w:val="TableParagraph"/>
              <w:ind w:left="110"/>
              <w:rPr>
                <w:sz w:val="21"/>
              </w:rPr>
            </w:pPr>
            <w:r>
              <w:rPr>
                <w:sz w:val="21"/>
              </w:rPr>
              <w:t>⒉ 重大器官移植术或</w:t>
            </w:r>
          </w:p>
        </w:tc>
        <w:tc>
          <w:tcPr>
            <w:tcW w:w="2396" w:type="dxa"/>
            <w:tcBorders>
              <w:top w:val="nil"/>
              <w:bottom w:val="nil"/>
            </w:tcBorders>
          </w:tcPr>
          <w:p>
            <w:pPr>
              <w:pStyle w:val="TableParagraph"/>
              <w:ind w:left="107"/>
              <w:rPr>
                <w:sz w:val="21"/>
              </w:rPr>
            </w:pPr>
            <w:r>
              <w:rPr>
                <w:sz w:val="21"/>
              </w:rPr>
              <w:t>⒉ 良性脑肿瘤</w:t>
            </w:r>
          </w:p>
        </w:tc>
        <w:tc>
          <w:tcPr>
            <w:tcW w:w="2396" w:type="dxa"/>
            <w:tcBorders>
              <w:top w:val="nil"/>
              <w:bottom w:val="nil"/>
            </w:tcBorders>
          </w:tcPr>
          <w:p>
            <w:pPr>
              <w:pStyle w:val="TableParagraph"/>
              <w:ind w:left="109"/>
              <w:rPr>
                <w:sz w:val="21"/>
              </w:rPr>
            </w:pPr>
            <w:r>
              <w:rPr>
                <w:sz w:val="21"/>
              </w:rPr>
              <w:t>⒉ 冠状动脉搭桥术（或</w:t>
            </w:r>
          </w:p>
        </w:tc>
        <w:tc>
          <w:tcPr>
            <w:tcW w:w="2398" w:type="dxa"/>
            <w:tcBorders>
              <w:top w:val="nil"/>
              <w:bottom w:val="nil"/>
            </w:tcBorders>
          </w:tcPr>
          <w:p>
            <w:pPr>
              <w:pStyle w:val="TableParagraph"/>
              <w:ind w:left="108"/>
              <w:rPr>
                <w:sz w:val="21"/>
              </w:rPr>
            </w:pPr>
            <w:r>
              <w:rPr>
                <w:w w:val="100"/>
                <w:sz w:val="21"/>
              </w:rPr>
              <w:t>血</w:t>
            </w:r>
          </w:p>
        </w:tc>
      </w:tr>
      <w:tr>
        <w:trPr>
          <w:trHeight w:val="311" w:hRule="atLeast"/>
        </w:trPr>
        <w:tc>
          <w:tcPr>
            <w:tcW w:w="2398" w:type="dxa"/>
            <w:tcBorders>
              <w:top w:val="nil"/>
              <w:bottom w:val="nil"/>
            </w:tcBorders>
          </w:tcPr>
          <w:p>
            <w:pPr>
              <w:pStyle w:val="TableParagraph"/>
              <w:ind w:left="110"/>
              <w:rPr>
                <w:sz w:val="21"/>
              </w:rPr>
            </w:pPr>
            <w:r>
              <w:rPr>
                <w:sz w:val="21"/>
              </w:rPr>
              <w:t>造血干细胞移植术</w:t>
            </w:r>
          </w:p>
        </w:tc>
        <w:tc>
          <w:tcPr>
            <w:tcW w:w="2396" w:type="dxa"/>
            <w:tcBorders>
              <w:top w:val="nil"/>
              <w:bottom w:val="nil"/>
            </w:tcBorders>
          </w:tcPr>
          <w:p>
            <w:pPr>
              <w:pStyle w:val="TableParagraph"/>
              <w:ind w:left="107"/>
              <w:rPr>
                <w:sz w:val="21"/>
              </w:rPr>
            </w:pPr>
            <w:r>
              <w:rPr>
                <w:sz w:val="21"/>
              </w:rPr>
              <w:t>⒊ 脑炎后遗症或脑膜</w:t>
            </w:r>
          </w:p>
        </w:tc>
        <w:tc>
          <w:tcPr>
            <w:tcW w:w="2396" w:type="dxa"/>
            <w:tcBorders>
              <w:top w:val="nil"/>
              <w:bottom w:val="nil"/>
            </w:tcBorders>
          </w:tcPr>
          <w:p>
            <w:pPr>
              <w:pStyle w:val="TableParagraph"/>
              <w:ind w:left="109"/>
              <w:rPr>
                <w:sz w:val="21"/>
              </w:rPr>
            </w:pPr>
            <w:r>
              <w:rPr>
                <w:sz w:val="21"/>
              </w:rPr>
              <w:t>称冠状动脉旁路移植</w:t>
            </w:r>
          </w:p>
        </w:tc>
        <w:tc>
          <w:tcPr>
            <w:tcW w:w="2398" w:type="dxa"/>
            <w:tcBorders>
              <w:top w:val="nil"/>
              <w:bottom w:val="nil"/>
            </w:tcBorders>
          </w:tcPr>
          <w:p>
            <w:pPr>
              <w:pStyle w:val="TableParagraph"/>
              <w:ind w:left="108"/>
              <w:rPr>
                <w:sz w:val="21"/>
              </w:rPr>
            </w:pPr>
            <w:r>
              <w:rPr>
                <w:sz w:val="21"/>
              </w:rPr>
              <w:t>⒉ 严重Ⅲ度烧伤</w:t>
            </w:r>
          </w:p>
        </w:tc>
      </w:tr>
      <w:tr>
        <w:trPr>
          <w:trHeight w:val="311" w:hRule="atLeast"/>
        </w:trPr>
        <w:tc>
          <w:tcPr>
            <w:tcW w:w="2398" w:type="dxa"/>
            <w:tcBorders>
              <w:top w:val="nil"/>
              <w:bottom w:val="nil"/>
            </w:tcBorders>
          </w:tcPr>
          <w:p>
            <w:pPr>
              <w:pStyle w:val="TableParagraph"/>
              <w:ind w:left="110"/>
              <w:rPr>
                <w:sz w:val="21"/>
              </w:rPr>
            </w:pPr>
            <w:r>
              <w:rPr>
                <w:sz w:val="21"/>
              </w:rPr>
              <w:t>⒊ 终末期肾病（或称慢</w:t>
            </w:r>
          </w:p>
        </w:tc>
        <w:tc>
          <w:tcPr>
            <w:tcW w:w="2396" w:type="dxa"/>
            <w:tcBorders>
              <w:top w:val="nil"/>
              <w:bottom w:val="nil"/>
            </w:tcBorders>
          </w:tcPr>
          <w:p>
            <w:pPr>
              <w:pStyle w:val="TableParagraph"/>
              <w:ind w:left="107"/>
              <w:rPr>
                <w:sz w:val="21"/>
              </w:rPr>
            </w:pPr>
            <w:r>
              <w:rPr>
                <w:sz w:val="21"/>
              </w:rPr>
              <w:t>炎后遗症</w:t>
            </w:r>
          </w:p>
        </w:tc>
        <w:tc>
          <w:tcPr>
            <w:tcW w:w="2396" w:type="dxa"/>
            <w:tcBorders>
              <w:top w:val="nil"/>
              <w:bottom w:val="nil"/>
            </w:tcBorders>
          </w:tcPr>
          <w:p>
            <w:pPr>
              <w:pStyle w:val="TableParagraph"/>
              <w:ind w:left="109"/>
              <w:rPr>
                <w:sz w:val="21"/>
              </w:rPr>
            </w:pPr>
            <w:r>
              <w:rPr>
                <w:sz w:val="21"/>
              </w:rPr>
              <w:t>术）</w:t>
            </w:r>
          </w:p>
        </w:tc>
        <w:tc>
          <w:tcPr>
            <w:tcW w:w="2398" w:type="dxa"/>
            <w:tcBorders>
              <w:top w:val="nil"/>
              <w:bottom w:val="nil"/>
            </w:tcBorders>
          </w:tcPr>
          <w:p>
            <w:pPr>
              <w:pStyle w:val="TableParagraph"/>
              <w:ind w:left="108"/>
              <w:rPr>
                <w:sz w:val="21"/>
              </w:rPr>
            </w:pPr>
            <w:r>
              <w:rPr>
                <w:sz w:val="21"/>
              </w:rPr>
              <w:t>⒊ 双耳失聪</w:t>
            </w:r>
          </w:p>
        </w:tc>
      </w:tr>
      <w:tr>
        <w:trPr>
          <w:trHeight w:val="311" w:hRule="atLeast"/>
        </w:trPr>
        <w:tc>
          <w:tcPr>
            <w:tcW w:w="2398" w:type="dxa"/>
            <w:tcBorders>
              <w:top w:val="nil"/>
              <w:bottom w:val="nil"/>
            </w:tcBorders>
          </w:tcPr>
          <w:p>
            <w:pPr>
              <w:pStyle w:val="TableParagraph"/>
              <w:ind w:left="110"/>
              <w:rPr>
                <w:sz w:val="21"/>
              </w:rPr>
            </w:pPr>
            <w:r>
              <w:rPr>
                <w:sz w:val="21"/>
              </w:rPr>
              <w:t>性肾功能衰竭尿毒症</w:t>
            </w:r>
          </w:p>
        </w:tc>
        <w:tc>
          <w:tcPr>
            <w:tcW w:w="2396" w:type="dxa"/>
            <w:tcBorders>
              <w:top w:val="nil"/>
              <w:bottom w:val="nil"/>
            </w:tcBorders>
          </w:tcPr>
          <w:p>
            <w:pPr>
              <w:pStyle w:val="TableParagraph"/>
              <w:ind w:left="107"/>
              <w:rPr>
                <w:sz w:val="21"/>
              </w:rPr>
            </w:pPr>
            <w:r>
              <w:rPr>
                <w:sz w:val="21"/>
              </w:rPr>
              <w:t>⒋ 深度昏迷</w:t>
            </w:r>
          </w:p>
        </w:tc>
        <w:tc>
          <w:tcPr>
            <w:tcW w:w="2396" w:type="dxa"/>
            <w:tcBorders>
              <w:top w:val="nil"/>
              <w:bottom w:val="nil"/>
            </w:tcBorders>
          </w:tcPr>
          <w:p>
            <w:pPr>
              <w:pStyle w:val="TableParagraph"/>
              <w:ind w:left="109"/>
              <w:rPr>
                <w:sz w:val="21"/>
              </w:rPr>
            </w:pPr>
            <w:r>
              <w:rPr>
                <w:sz w:val="21"/>
              </w:rPr>
              <w:t>⒊ 心脏瓣膜手术</w:t>
            </w:r>
          </w:p>
        </w:tc>
        <w:tc>
          <w:tcPr>
            <w:tcW w:w="2398" w:type="dxa"/>
            <w:tcBorders>
              <w:top w:val="nil"/>
              <w:bottom w:val="nil"/>
            </w:tcBorders>
          </w:tcPr>
          <w:p>
            <w:pPr>
              <w:pStyle w:val="TableParagraph"/>
              <w:ind w:left="108"/>
              <w:rPr>
                <w:sz w:val="21"/>
              </w:rPr>
            </w:pPr>
            <w:r>
              <w:rPr>
                <w:sz w:val="21"/>
              </w:rPr>
              <w:t>⒋ 双目失明</w:t>
            </w:r>
          </w:p>
        </w:tc>
      </w:tr>
      <w:tr>
        <w:trPr>
          <w:trHeight w:val="311" w:hRule="atLeast"/>
        </w:trPr>
        <w:tc>
          <w:tcPr>
            <w:tcW w:w="2398" w:type="dxa"/>
            <w:tcBorders>
              <w:top w:val="nil"/>
              <w:bottom w:val="nil"/>
            </w:tcBorders>
          </w:tcPr>
          <w:p>
            <w:pPr>
              <w:pStyle w:val="TableParagraph"/>
              <w:ind w:left="110"/>
              <w:rPr>
                <w:sz w:val="21"/>
              </w:rPr>
            </w:pPr>
            <w:r>
              <w:rPr>
                <w:sz w:val="21"/>
              </w:rPr>
              <w:t>期）</w:t>
            </w:r>
          </w:p>
        </w:tc>
        <w:tc>
          <w:tcPr>
            <w:tcW w:w="2396" w:type="dxa"/>
            <w:tcBorders>
              <w:top w:val="nil"/>
              <w:bottom w:val="nil"/>
            </w:tcBorders>
          </w:tcPr>
          <w:p>
            <w:pPr>
              <w:pStyle w:val="TableParagraph"/>
              <w:ind w:left="107"/>
              <w:rPr>
                <w:sz w:val="21"/>
              </w:rPr>
            </w:pPr>
            <w:r>
              <w:rPr>
                <w:sz w:val="21"/>
              </w:rPr>
              <w:t>⒌ 瘫痪</w:t>
            </w:r>
          </w:p>
        </w:tc>
        <w:tc>
          <w:tcPr>
            <w:tcW w:w="2396" w:type="dxa"/>
            <w:tcBorders>
              <w:top w:val="nil"/>
              <w:bottom w:val="nil"/>
            </w:tcBorders>
          </w:tcPr>
          <w:p>
            <w:pPr>
              <w:pStyle w:val="TableParagraph"/>
              <w:ind w:left="109"/>
              <w:rPr>
                <w:sz w:val="21"/>
              </w:rPr>
            </w:pPr>
            <w:r>
              <w:rPr>
                <w:sz w:val="21"/>
              </w:rPr>
              <w:t>⒋ 主动脉手术</w:t>
            </w:r>
          </w:p>
        </w:tc>
        <w:tc>
          <w:tcPr>
            <w:tcW w:w="2398" w:type="dxa"/>
            <w:tcBorders>
              <w:top w:val="nil"/>
              <w:bottom w:val="nil"/>
            </w:tcBorders>
          </w:tcPr>
          <w:p>
            <w:pPr>
              <w:pStyle w:val="TableParagraph"/>
              <w:ind w:left="108"/>
              <w:rPr>
                <w:sz w:val="21"/>
              </w:rPr>
            </w:pPr>
            <w:r>
              <w:rPr>
                <w:sz w:val="21"/>
              </w:rPr>
              <w:t>⒌ 多个肢体缺失</w:t>
            </w:r>
          </w:p>
        </w:tc>
      </w:tr>
      <w:tr>
        <w:trPr>
          <w:trHeight w:val="311" w:hRule="atLeast"/>
        </w:trPr>
        <w:tc>
          <w:tcPr>
            <w:tcW w:w="2398" w:type="dxa"/>
            <w:tcBorders>
              <w:top w:val="nil"/>
              <w:bottom w:val="nil"/>
            </w:tcBorders>
          </w:tcPr>
          <w:p>
            <w:pPr>
              <w:pStyle w:val="TableParagraph"/>
              <w:ind w:left="110"/>
              <w:rPr>
                <w:sz w:val="21"/>
              </w:rPr>
            </w:pPr>
            <w:r>
              <w:rPr>
                <w:sz w:val="21"/>
              </w:rPr>
              <w:t>⒋ 慢性肝功能衰竭失</w:t>
            </w:r>
          </w:p>
        </w:tc>
        <w:tc>
          <w:tcPr>
            <w:tcW w:w="2396" w:type="dxa"/>
            <w:tcBorders>
              <w:top w:val="nil"/>
              <w:bottom w:val="nil"/>
            </w:tcBorders>
          </w:tcPr>
          <w:p>
            <w:pPr>
              <w:pStyle w:val="TableParagraph"/>
              <w:ind w:left="107"/>
              <w:rPr>
                <w:sz w:val="21"/>
              </w:rPr>
            </w:pPr>
            <w:r>
              <w:rPr>
                <w:sz w:val="21"/>
              </w:rPr>
              <w:t>⒍ 严重帕金森病</w:t>
            </w:r>
          </w:p>
        </w:tc>
        <w:tc>
          <w:tcPr>
            <w:tcW w:w="2396" w:type="dxa"/>
            <w:tcBorders>
              <w:top w:val="nil"/>
              <w:bottom w:val="nil"/>
            </w:tcBorders>
          </w:tcPr>
          <w:p>
            <w:pPr>
              <w:pStyle w:val="TableParagraph"/>
              <w:ind w:left="109"/>
              <w:rPr>
                <w:sz w:val="21"/>
              </w:rPr>
            </w:pPr>
            <w:r>
              <w:rPr>
                <w:sz w:val="21"/>
              </w:rPr>
              <w:t>⒌ 严重原发性肺动脉</w:t>
            </w:r>
          </w:p>
        </w:tc>
        <w:tc>
          <w:tcPr>
            <w:tcW w:w="2398" w:type="dxa"/>
            <w:tcBorders>
              <w:top w:val="nil"/>
              <w:bottom w:val="nil"/>
            </w:tcBorders>
          </w:tcPr>
          <w:p>
            <w:pPr>
              <w:pStyle w:val="TableParagraph"/>
              <w:ind w:left="108"/>
              <w:rPr>
                <w:sz w:val="21"/>
              </w:rPr>
            </w:pPr>
            <w:r>
              <w:rPr>
                <w:sz w:val="21"/>
              </w:rPr>
              <w:t>⒍ 严重阿尔茨海默症</w:t>
            </w:r>
          </w:p>
        </w:tc>
      </w:tr>
      <w:tr>
        <w:trPr>
          <w:trHeight w:val="311" w:hRule="atLeast"/>
        </w:trPr>
        <w:tc>
          <w:tcPr>
            <w:tcW w:w="2398" w:type="dxa"/>
            <w:tcBorders>
              <w:top w:val="nil"/>
              <w:bottom w:val="nil"/>
            </w:tcBorders>
          </w:tcPr>
          <w:p>
            <w:pPr>
              <w:pStyle w:val="TableParagraph"/>
              <w:ind w:left="110"/>
              <w:rPr>
                <w:sz w:val="21"/>
              </w:rPr>
            </w:pPr>
            <w:r>
              <w:rPr>
                <w:sz w:val="21"/>
              </w:rPr>
              <w:t>代偿期</w:t>
            </w:r>
          </w:p>
        </w:tc>
        <w:tc>
          <w:tcPr>
            <w:tcW w:w="2396" w:type="dxa"/>
            <w:tcBorders>
              <w:top w:val="nil"/>
              <w:bottom w:val="nil"/>
            </w:tcBorders>
          </w:tcPr>
          <w:p>
            <w:pPr>
              <w:pStyle w:val="TableParagraph"/>
              <w:ind w:left="107"/>
              <w:rPr>
                <w:sz w:val="21"/>
              </w:rPr>
            </w:pPr>
            <w:r>
              <w:rPr>
                <w:sz w:val="21"/>
              </w:rPr>
              <w:t>⒎ 严重运动神经元病</w:t>
            </w:r>
          </w:p>
        </w:tc>
        <w:tc>
          <w:tcPr>
            <w:tcW w:w="2396" w:type="dxa"/>
            <w:tcBorders>
              <w:top w:val="nil"/>
              <w:bottom w:val="nil"/>
            </w:tcBorders>
          </w:tcPr>
          <w:p>
            <w:pPr>
              <w:pStyle w:val="TableParagraph"/>
              <w:ind w:left="109"/>
              <w:rPr>
                <w:sz w:val="21"/>
              </w:rPr>
            </w:pPr>
            <w:r>
              <w:rPr>
                <w:sz w:val="21"/>
              </w:rPr>
              <w:t>高压</w:t>
            </w:r>
          </w:p>
        </w:tc>
        <w:tc>
          <w:tcPr>
            <w:tcW w:w="2398" w:type="dxa"/>
            <w:tcBorders>
              <w:top w:val="nil"/>
              <w:bottom w:val="nil"/>
            </w:tcBorders>
          </w:tcPr>
          <w:p>
            <w:pPr>
              <w:pStyle w:val="TableParagraph"/>
              <w:ind w:left="108"/>
              <w:rPr>
                <w:sz w:val="21"/>
              </w:rPr>
            </w:pPr>
            <w:r>
              <w:rPr>
                <w:sz w:val="21"/>
              </w:rPr>
              <w:t>⒎ 溶血性链球菌引起</w:t>
            </w:r>
          </w:p>
        </w:tc>
      </w:tr>
      <w:tr>
        <w:trPr>
          <w:trHeight w:val="311" w:hRule="atLeast"/>
        </w:trPr>
        <w:tc>
          <w:tcPr>
            <w:tcW w:w="2398" w:type="dxa"/>
            <w:tcBorders>
              <w:top w:val="nil"/>
              <w:bottom w:val="nil"/>
            </w:tcBorders>
          </w:tcPr>
          <w:p>
            <w:pPr>
              <w:pStyle w:val="TableParagraph"/>
              <w:ind w:left="110"/>
              <w:rPr>
                <w:sz w:val="21"/>
              </w:rPr>
            </w:pPr>
            <w:r>
              <w:rPr>
                <w:sz w:val="21"/>
              </w:rPr>
              <w:t>⒌ 慢性呼吸功能衰竭</w:t>
            </w:r>
          </w:p>
        </w:tc>
        <w:tc>
          <w:tcPr>
            <w:tcW w:w="2396" w:type="dxa"/>
            <w:tcBorders>
              <w:top w:val="nil"/>
              <w:bottom w:val="nil"/>
            </w:tcBorders>
          </w:tcPr>
          <w:p>
            <w:pPr>
              <w:pStyle w:val="TableParagraph"/>
              <w:ind w:left="107"/>
              <w:rPr>
                <w:sz w:val="21"/>
              </w:rPr>
            </w:pPr>
            <w:r>
              <w:rPr>
                <w:sz w:val="21"/>
              </w:rPr>
              <w:t>⒏ 语言能力丧失</w:t>
            </w:r>
          </w:p>
        </w:tc>
        <w:tc>
          <w:tcPr>
            <w:tcW w:w="2396" w:type="dxa"/>
            <w:tcBorders>
              <w:top w:val="nil"/>
              <w:bottom w:val="nil"/>
            </w:tcBorders>
          </w:tcPr>
          <w:p>
            <w:pPr>
              <w:pStyle w:val="TableParagraph"/>
              <w:ind w:left="109"/>
              <w:rPr>
                <w:sz w:val="21"/>
              </w:rPr>
            </w:pPr>
            <w:r>
              <w:rPr>
                <w:sz w:val="21"/>
              </w:rPr>
              <w:t>⒍ 严重心肌病</w:t>
            </w:r>
          </w:p>
        </w:tc>
        <w:tc>
          <w:tcPr>
            <w:tcW w:w="2398" w:type="dxa"/>
            <w:tcBorders>
              <w:top w:val="nil"/>
              <w:bottom w:val="nil"/>
            </w:tcBorders>
          </w:tcPr>
          <w:p>
            <w:pPr>
              <w:pStyle w:val="TableParagraph"/>
              <w:ind w:left="108"/>
              <w:rPr>
                <w:sz w:val="21"/>
              </w:rPr>
            </w:pPr>
            <w:r>
              <w:rPr>
                <w:sz w:val="21"/>
              </w:rPr>
              <w:t>的坏疽</w:t>
            </w:r>
          </w:p>
        </w:tc>
      </w:tr>
      <w:tr>
        <w:trPr>
          <w:trHeight w:val="311" w:hRule="atLeast"/>
        </w:trPr>
        <w:tc>
          <w:tcPr>
            <w:tcW w:w="2398" w:type="dxa"/>
            <w:tcBorders>
              <w:top w:val="nil"/>
              <w:bottom w:val="nil"/>
            </w:tcBorders>
          </w:tcPr>
          <w:p>
            <w:pPr>
              <w:pStyle w:val="TableParagraph"/>
              <w:ind w:left="110"/>
              <w:rPr>
                <w:sz w:val="21"/>
              </w:rPr>
            </w:pPr>
            <w:r>
              <w:rPr>
                <w:sz w:val="21"/>
              </w:rPr>
              <w:t>⒍ 严重溃疡性结肠炎</w:t>
            </w:r>
          </w:p>
        </w:tc>
        <w:tc>
          <w:tcPr>
            <w:tcW w:w="2396" w:type="dxa"/>
            <w:tcBorders>
              <w:top w:val="nil"/>
              <w:bottom w:val="nil"/>
            </w:tcBorders>
          </w:tcPr>
          <w:p>
            <w:pPr>
              <w:pStyle w:val="TableParagraph"/>
              <w:ind w:left="107"/>
              <w:rPr>
                <w:sz w:val="21"/>
              </w:rPr>
            </w:pPr>
            <w:r>
              <w:rPr>
                <w:sz w:val="21"/>
              </w:rPr>
              <w:t>⒐ 多发性硬化</w:t>
            </w:r>
          </w:p>
        </w:tc>
        <w:tc>
          <w:tcPr>
            <w:tcW w:w="2396" w:type="dxa"/>
            <w:tcBorders>
              <w:top w:val="nil"/>
              <w:bottom w:val="nil"/>
            </w:tcBorders>
          </w:tcPr>
          <w:p>
            <w:pPr>
              <w:pStyle w:val="TableParagraph"/>
              <w:ind w:left="109"/>
              <w:rPr>
                <w:sz w:val="21"/>
              </w:rPr>
            </w:pPr>
            <w:r>
              <w:rPr>
                <w:sz w:val="21"/>
              </w:rPr>
              <w:t>⒎ 象皮病</w:t>
            </w:r>
          </w:p>
        </w:tc>
        <w:tc>
          <w:tcPr>
            <w:tcW w:w="2398" w:type="dxa"/>
            <w:tcBorders>
              <w:top w:val="nil"/>
              <w:bottom w:val="nil"/>
            </w:tcBorders>
          </w:tcPr>
          <w:p>
            <w:pPr>
              <w:pStyle w:val="TableParagraph"/>
              <w:ind w:left="108"/>
              <w:rPr>
                <w:sz w:val="21"/>
              </w:rPr>
            </w:pPr>
            <w:r>
              <w:rPr>
                <w:sz w:val="21"/>
              </w:rPr>
              <w:t>⒏ 坏死性筋膜炎</w:t>
            </w:r>
          </w:p>
        </w:tc>
      </w:tr>
      <w:tr>
        <w:trPr>
          <w:trHeight w:val="311" w:hRule="atLeast"/>
        </w:trPr>
        <w:tc>
          <w:tcPr>
            <w:tcW w:w="2398" w:type="dxa"/>
            <w:tcBorders>
              <w:top w:val="nil"/>
              <w:bottom w:val="nil"/>
            </w:tcBorders>
          </w:tcPr>
          <w:p>
            <w:pPr>
              <w:pStyle w:val="TableParagraph"/>
              <w:ind w:left="110"/>
              <w:rPr>
                <w:sz w:val="21"/>
              </w:rPr>
            </w:pPr>
            <w:r>
              <w:rPr>
                <w:sz w:val="21"/>
              </w:rPr>
              <w:t>⒎ 严重哮喘</w:t>
            </w:r>
          </w:p>
        </w:tc>
        <w:tc>
          <w:tcPr>
            <w:tcW w:w="2396" w:type="dxa"/>
            <w:tcBorders>
              <w:top w:val="nil"/>
              <w:bottom w:val="nil"/>
            </w:tcBorders>
          </w:tcPr>
          <w:p>
            <w:pPr>
              <w:pStyle w:val="TableParagraph"/>
              <w:ind w:left="107"/>
              <w:rPr>
                <w:sz w:val="21"/>
              </w:rPr>
            </w:pPr>
            <w:r>
              <w:rPr>
                <w:sz w:val="21"/>
              </w:rPr>
              <w:t>⒑ 颅脑手术</w:t>
            </w:r>
          </w:p>
        </w:tc>
        <w:tc>
          <w:tcPr>
            <w:tcW w:w="2396" w:type="dxa"/>
            <w:tcBorders>
              <w:top w:val="nil"/>
              <w:bottom w:val="nil"/>
            </w:tcBorders>
          </w:tcPr>
          <w:p>
            <w:pPr>
              <w:pStyle w:val="TableParagraph"/>
              <w:ind w:left="109"/>
              <w:rPr>
                <w:sz w:val="21"/>
              </w:rPr>
            </w:pPr>
            <w:r>
              <w:rPr>
                <w:sz w:val="21"/>
              </w:rPr>
              <w:t>⒏ 系统性红斑狼疮-Ⅲ</w:t>
            </w:r>
          </w:p>
        </w:tc>
        <w:tc>
          <w:tcPr>
            <w:tcW w:w="2398" w:type="dxa"/>
            <w:tcBorders>
              <w:top w:val="nil"/>
              <w:bottom w:val="nil"/>
            </w:tcBorders>
          </w:tcPr>
          <w:p>
            <w:pPr>
              <w:pStyle w:val="TableParagraph"/>
              <w:ind w:left="108"/>
              <w:rPr>
                <w:sz w:val="21"/>
              </w:rPr>
            </w:pPr>
            <w:r>
              <w:rPr>
                <w:sz w:val="21"/>
              </w:rPr>
              <w:t>⒐ 非阿尔茨海默病所</w:t>
            </w:r>
          </w:p>
        </w:tc>
      </w:tr>
      <w:tr>
        <w:trPr>
          <w:trHeight w:val="311" w:hRule="atLeast"/>
        </w:trPr>
        <w:tc>
          <w:tcPr>
            <w:tcW w:w="2398" w:type="dxa"/>
            <w:tcBorders>
              <w:top w:val="nil"/>
              <w:bottom w:val="nil"/>
            </w:tcBorders>
          </w:tcPr>
          <w:p>
            <w:pPr>
              <w:pStyle w:val="TableParagraph"/>
              <w:ind w:left="110"/>
              <w:rPr>
                <w:sz w:val="21"/>
              </w:rPr>
            </w:pPr>
            <w:r>
              <w:rPr>
                <w:sz w:val="21"/>
              </w:rPr>
              <w:t>⒏ 原发性硬化性胆管</w:t>
            </w:r>
          </w:p>
        </w:tc>
        <w:tc>
          <w:tcPr>
            <w:tcW w:w="2396" w:type="dxa"/>
            <w:tcBorders>
              <w:top w:val="nil"/>
              <w:bottom w:val="nil"/>
            </w:tcBorders>
          </w:tcPr>
          <w:p>
            <w:pPr>
              <w:pStyle w:val="TableParagraph"/>
              <w:ind w:left="107"/>
              <w:rPr>
                <w:sz w:val="21"/>
              </w:rPr>
            </w:pPr>
            <w:r>
              <w:rPr>
                <w:sz w:val="21"/>
              </w:rPr>
              <w:t>⒒ 严重脑损伤</w:t>
            </w:r>
          </w:p>
        </w:tc>
        <w:tc>
          <w:tcPr>
            <w:tcW w:w="2396" w:type="dxa"/>
            <w:tcBorders>
              <w:top w:val="nil"/>
              <w:bottom w:val="nil"/>
            </w:tcBorders>
          </w:tcPr>
          <w:p>
            <w:pPr>
              <w:pStyle w:val="TableParagraph"/>
              <w:ind w:left="109"/>
              <w:rPr>
                <w:sz w:val="21"/>
              </w:rPr>
            </w:pPr>
            <w:r>
              <w:rPr>
                <w:sz w:val="21"/>
              </w:rPr>
              <w:t>型或以上狼疮性肾炎</w:t>
            </w:r>
          </w:p>
        </w:tc>
        <w:tc>
          <w:tcPr>
            <w:tcW w:w="2398" w:type="dxa"/>
            <w:tcBorders>
              <w:top w:val="nil"/>
              <w:bottom w:val="nil"/>
            </w:tcBorders>
          </w:tcPr>
          <w:p>
            <w:pPr>
              <w:pStyle w:val="TableParagraph"/>
              <w:ind w:left="108"/>
              <w:rPr>
                <w:sz w:val="21"/>
              </w:rPr>
            </w:pPr>
            <w:r>
              <w:rPr>
                <w:sz w:val="21"/>
              </w:rPr>
              <w:t>致严重痴呆</w:t>
            </w:r>
          </w:p>
        </w:tc>
      </w:tr>
      <w:tr>
        <w:trPr>
          <w:trHeight w:val="311" w:hRule="atLeast"/>
        </w:trPr>
        <w:tc>
          <w:tcPr>
            <w:tcW w:w="2398" w:type="dxa"/>
            <w:tcBorders>
              <w:top w:val="nil"/>
              <w:bottom w:val="nil"/>
            </w:tcBorders>
          </w:tcPr>
          <w:p>
            <w:pPr>
              <w:pStyle w:val="TableParagraph"/>
              <w:ind w:left="110"/>
              <w:rPr>
                <w:sz w:val="21"/>
              </w:rPr>
            </w:pPr>
            <w:r>
              <w:rPr>
                <w:w w:val="100"/>
                <w:sz w:val="21"/>
              </w:rPr>
              <w:t>炎</w:t>
            </w:r>
          </w:p>
        </w:tc>
        <w:tc>
          <w:tcPr>
            <w:tcW w:w="2396" w:type="dxa"/>
            <w:tcBorders>
              <w:top w:val="nil"/>
              <w:bottom w:val="nil"/>
            </w:tcBorders>
          </w:tcPr>
          <w:p>
            <w:pPr>
              <w:pStyle w:val="TableParagraph"/>
              <w:ind w:left="107"/>
              <w:rPr>
                <w:sz w:val="21"/>
              </w:rPr>
            </w:pPr>
            <w:r>
              <w:rPr>
                <w:sz w:val="21"/>
              </w:rPr>
              <w:t>⒓ 重症肌无力</w:t>
            </w:r>
          </w:p>
        </w:tc>
        <w:tc>
          <w:tcPr>
            <w:tcW w:w="2396" w:type="dxa"/>
            <w:tcBorders>
              <w:top w:val="nil"/>
              <w:bottom w:val="nil"/>
            </w:tcBorders>
          </w:tcPr>
          <w:p>
            <w:pPr>
              <w:pStyle w:val="TableParagraph"/>
              <w:ind w:left="109"/>
              <w:rPr>
                <w:sz w:val="21"/>
              </w:rPr>
            </w:pPr>
            <w:r>
              <w:rPr>
                <w:sz w:val="21"/>
              </w:rPr>
              <w:t>⒐ 严重类风湿性关节</w:t>
            </w:r>
          </w:p>
        </w:tc>
        <w:tc>
          <w:tcPr>
            <w:tcW w:w="2398" w:type="dxa"/>
            <w:tcBorders>
              <w:top w:val="nil"/>
              <w:bottom w:val="nil"/>
            </w:tcBorders>
          </w:tcPr>
          <w:p>
            <w:pPr>
              <w:pStyle w:val="TableParagraph"/>
              <w:ind w:left="108"/>
              <w:rPr>
                <w:sz w:val="21"/>
              </w:rPr>
            </w:pPr>
            <w:r>
              <w:rPr>
                <w:sz w:val="21"/>
              </w:rPr>
              <w:t>⒑ 经输血导致的人类</w:t>
            </w:r>
          </w:p>
        </w:tc>
      </w:tr>
      <w:tr>
        <w:trPr>
          <w:trHeight w:val="311" w:hRule="atLeast"/>
        </w:trPr>
        <w:tc>
          <w:tcPr>
            <w:tcW w:w="2398" w:type="dxa"/>
            <w:tcBorders>
              <w:top w:val="nil"/>
              <w:bottom w:val="nil"/>
            </w:tcBorders>
          </w:tcPr>
          <w:p>
            <w:pPr>
              <w:pStyle w:val="TableParagraph"/>
              <w:ind w:left="110"/>
              <w:rPr>
                <w:sz w:val="21"/>
              </w:rPr>
            </w:pPr>
            <w:r>
              <w:rPr>
                <w:sz w:val="21"/>
              </w:rPr>
              <w:t>⒐ 侵蚀性葡萄胎（或称</w:t>
            </w:r>
          </w:p>
        </w:tc>
        <w:tc>
          <w:tcPr>
            <w:tcW w:w="2396" w:type="dxa"/>
            <w:tcBorders>
              <w:top w:val="nil"/>
              <w:bottom w:val="nil"/>
            </w:tcBorders>
          </w:tcPr>
          <w:p>
            <w:pPr>
              <w:pStyle w:val="TableParagraph"/>
              <w:ind w:left="107"/>
              <w:rPr>
                <w:sz w:val="21"/>
              </w:rPr>
            </w:pPr>
            <w:r>
              <w:rPr>
                <w:sz w:val="21"/>
              </w:rPr>
              <w:t>⒔ 脊髓灰质炎</w:t>
            </w:r>
          </w:p>
        </w:tc>
        <w:tc>
          <w:tcPr>
            <w:tcW w:w="2396" w:type="dxa"/>
            <w:tcBorders>
              <w:top w:val="nil"/>
              <w:bottom w:val="nil"/>
            </w:tcBorders>
          </w:tcPr>
          <w:p>
            <w:pPr>
              <w:pStyle w:val="TableParagraph"/>
              <w:ind w:left="109"/>
              <w:rPr>
                <w:sz w:val="21"/>
              </w:rPr>
            </w:pPr>
            <w:r>
              <w:rPr>
                <w:w w:val="100"/>
                <w:sz w:val="21"/>
              </w:rPr>
              <w:t>炎</w:t>
            </w:r>
          </w:p>
        </w:tc>
        <w:tc>
          <w:tcPr>
            <w:tcW w:w="2398" w:type="dxa"/>
            <w:tcBorders>
              <w:top w:val="nil"/>
              <w:bottom w:val="nil"/>
            </w:tcBorders>
          </w:tcPr>
          <w:p>
            <w:pPr>
              <w:pStyle w:val="TableParagraph"/>
              <w:ind w:left="108"/>
              <w:rPr>
                <w:sz w:val="21"/>
              </w:rPr>
            </w:pPr>
            <w:r>
              <w:rPr>
                <w:sz w:val="21"/>
              </w:rPr>
              <w:t>免疫缺陷病毒（HIV）感</w:t>
            </w:r>
          </w:p>
        </w:tc>
      </w:tr>
      <w:tr>
        <w:trPr>
          <w:trHeight w:val="311" w:hRule="atLeast"/>
        </w:trPr>
        <w:tc>
          <w:tcPr>
            <w:tcW w:w="2398" w:type="dxa"/>
            <w:tcBorders>
              <w:top w:val="nil"/>
              <w:bottom w:val="nil"/>
            </w:tcBorders>
          </w:tcPr>
          <w:p>
            <w:pPr>
              <w:pStyle w:val="TableParagraph"/>
              <w:ind w:left="110"/>
              <w:rPr>
                <w:sz w:val="21"/>
              </w:rPr>
            </w:pPr>
            <w:r>
              <w:rPr>
                <w:sz w:val="21"/>
              </w:rPr>
              <w:t>恶性葡萄胎)</w:t>
            </w:r>
          </w:p>
        </w:tc>
        <w:tc>
          <w:tcPr>
            <w:tcW w:w="2396" w:type="dxa"/>
            <w:tcBorders>
              <w:top w:val="nil"/>
              <w:bottom w:val="nil"/>
            </w:tcBorders>
          </w:tcPr>
          <w:p>
            <w:pPr>
              <w:pStyle w:val="TableParagraph"/>
              <w:ind w:left="107"/>
              <w:rPr>
                <w:sz w:val="21"/>
              </w:rPr>
            </w:pPr>
            <w:r>
              <w:rPr>
                <w:sz w:val="21"/>
              </w:rPr>
              <w:t>⒕ 严重肌营养不良症</w:t>
            </w:r>
          </w:p>
        </w:tc>
        <w:tc>
          <w:tcPr>
            <w:tcW w:w="2396" w:type="dxa"/>
            <w:tcBorders>
              <w:top w:val="nil"/>
              <w:bottom w:val="nil"/>
            </w:tcBorders>
          </w:tcPr>
          <w:p>
            <w:pPr>
              <w:pStyle w:val="TableParagraph"/>
              <w:ind w:left="109"/>
              <w:rPr>
                <w:sz w:val="21"/>
              </w:rPr>
            </w:pPr>
            <w:r>
              <w:rPr>
                <w:sz w:val="21"/>
              </w:rPr>
              <w:t>⒑ 严重冠心病</w:t>
            </w:r>
          </w:p>
        </w:tc>
        <w:tc>
          <w:tcPr>
            <w:tcW w:w="2398" w:type="dxa"/>
            <w:tcBorders>
              <w:top w:val="nil"/>
              <w:bottom w:val="nil"/>
            </w:tcBorders>
          </w:tcPr>
          <w:p>
            <w:pPr>
              <w:pStyle w:val="TableParagraph"/>
              <w:ind w:left="108"/>
              <w:rPr>
                <w:sz w:val="21"/>
              </w:rPr>
            </w:pPr>
            <w:r>
              <w:rPr>
                <w:w w:val="100"/>
                <w:sz w:val="21"/>
              </w:rPr>
              <w:t>染</w:t>
            </w:r>
          </w:p>
        </w:tc>
      </w:tr>
      <w:tr>
        <w:trPr>
          <w:trHeight w:val="311" w:hRule="atLeast"/>
        </w:trPr>
        <w:tc>
          <w:tcPr>
            <w:tcW w:w="2398" w:type="dxa"/>
            <w:tcBorders>
              <w:top w:val="nil"/>
              <w:bottom w:val="nil"/>
            </w:tcBorders>
          </w:tcPr>
          <w:p>
            <w:pPr>
              <w:pStyle w:val="TableParagraph"/>
              <w:ind w:left="110"/>
              <w:rPr>
                <w:sz w:val="21"/>
              </w:rPr>
            </w:pPr>
            <w:r>
              <w:rPr>
                <w:sz w:val="21"/>
              </w:rPr>
              <w:t>⒑ 严重的胰岛素依赖</w:t>
            </w:r>
          </w:p>
        </w:tc>
        <w:tc>
          <w:tcPr>
            <w:tcW w:w="2396" w:type="dxa"/>
            <w:tcBorders>
              <w:top w:val="nil"/>
              <w:bottom w:val="nil"/>
            </w:tcBorders>
          </w:tcPr>
          <w:p>
            <w:pPr>
              <w:pStyle w:val="TableParagraph"/>
              <w:ind w:left="107"/>
              <w:rPr>
                <w:sz w:val="21"/>
              </w:rPr>
            </w:pPr>
            <w:r>
              <w:rPr>
                <w:sz w:val="21"/>
              </w:rPr>
              <w:t>⒖ 植物人</w:t>
            </w:r>
          </w:p>
        </w:tc>
        <w:tc>
          <w:tcPr>
            <w:tcW w:w="2396" w:type="dxa"/>
            <w:tcBorders>
              <w:top w:val="nil"/>
              <w:bottom w:val="nil"/>
            </w:tcBorders>
          </w:tcPr>
          <w:p>
            <w:pPr>
              <w:pStyle w:val="TableParagraph"/>
              <w:ind w:left="109"/>
              <w:rPr>
                <w:sz w:val="21"/>
              </w:rPr>
            </w:pPr>
            <w:r>
              <w:rPr>
                <w:sz w:val="21"/>
              </w:rPr>
              <w:t>⒒ 严重心肌炎</w:t>
            </w:r>
          </w:p>
        </w:tc>
        <w:tc>
          <w:tcPr>
            <w:tcW w:w="2398" w:type="dxa"/>
            <w:tcBorders>
              <w:top w:val="nil"/>
              <w:bottom w:val="nil"/>
            </w:tcBorders>
          </w:tcPr>
          <w:p>
            <w:pPr>
              <w:pStyle w:val="TableParagraph"/>
              <w:ind w:left="108"/>
              <w:rPr>
                <w:sz w:val="21"/>
              </w:rPr>
            </w:pPr>
            <w:r>
              <w:rPr>
                <w:sz w:val="21"/>
              </w:rPr>
              <w:t>⒒ 因职业关系导致的</w:t>
            </w:r>
          </w:p>
        </w:tc>
      </w:tr>
      <w:tr>
        <w:trPr>
          <w:trHeight w:val="311" w:hRule="atLeast"/>
        </w:trPr>
        <w:tc>
          <w:tcPr>
            <w:tcW w:w="2398" w:type="dxa"/>
            <w:tcBorders>
              <w:top w:val="nil"/>
              <w:bottom w:val="nil"/>
            </w:tcBorders>
          </w:tcPr>
          <w:p>
            <w:pPr>
              <w:pStyle w:val="TableParagraph"/>
              <w:ind w:left="110"/>
              <w:rPr>
                <w:sz w:val="21"/>
              </w:rPr>
            </w:pPr>
            <w:r>
              <w:rPr>
                <w:sz w:val="21"/>
              </w:rPr>
              <w:t>型糖尿病 （Ⅰ型糖尿</w:t>
            </w:r>
          </w:p>
        </w:tc>
        <w:tc>
          <w:tcPr>
            <w:tcW w:w="2396" w:type="dxa"/>
            <w:tcBorders>
              <w:top w:val="nil"/>
              <w:bottom w:val="nil"/>
            </w:tcBorders>
          </w:tcPr>
          <w:p>
            <w:pPr>
              <w:pStyle w:val="TableParagraph"/>
              <w:ind w:left="107"/>
              <w:rPr>
                <w:sz w:val="21"/>
              </w:rPr>
            </w:pPr>
            <w:r>
              <w:rPr>
                <w:sz w:val="21"/>
              </w:rPr>
              <w:t>⒗ 破裂脑动脉瘤夹闭</w:t>
            </w:r>
          </w:p>
        </w:tc>
        <w:tc>
          <w:tcPr>
            <w:tcW w:w="2396" w:type="dxa"/>
            <w:tcBorders>
              <w:top w:val="nil"/>
              <w:bottom w:val="nil"/>
            </w:tcBorders>
          </w:tcPr>
          <w:p>
            <w:pPr>
              <w:pStyle w:val="TableParagraph"/>
              <w:ind w:left="109"/>
              <w:rPr>
                <w:sz w:val="21"/>
              </w:rPr>
            </w:pPr>
            <w:r>
              <w:rPr>
                <w:sz w:val="21"/>
              </w:rPr>
              <w:t>⒓ 主动脉夹层血肿</w:t>
            </w:r>
          </w:p>
        </w:tc>
        <w:tc>
          <w:tcPr>
            <w:tcW w:w="2398" w:type="dxa"/>
            <w:tcBorders>
              <w:top w:val="nil"/>
              <w:bottom w:val="nil"/>
            </w:tcBorders>
          </w:tcPr>
          <w:p>
            <w:pPr>
              <w:pStyle w:val="TableParagraph"/>
              <w:ind w:left="108"/>
              <w:rPr>
                <w:sz w:val="21"/>
              </w:rPr>
            </w:pPr>
            <w:r>
              <w:rPr>
                <w:sz w:val="21"/>
              </w:rPr>
              <w:t>人类免疫缺陷病毒</w:t>
            </w:r>
          </w:p>
        </w:tc>
      </w:tr>
      <w:tr>
        <w:trPr>
          <w:trHeight w:val="311" w:hRule="atLeast"/>
        </w:trPr>
        <w:tc>
          <w:tcPr>
            <w:tcW w:w="2398" w:type="dxa"/>
            <w:tcBorders>
              <w:top w:val="nil"/>
              <w:bottom w:val="nil"/>
            </w:tcBorders>
          </w:tcPr>
          <w:p>
            <w:pPr>
              <w:pStyle w:val="TableParagraph"/>
              <w:ind w:left="110"/>
              <w:rPr>
                <w:sz w:val="21"/>
              </w:rPr>
            </w:pPr>
            <w:r>
              <w:rPr>
                <w:sz w:val="21"/>
              </w:rPr>
              <w:t>病）</w:t>
            </w:r>
          </w:p>
        </w:tc>
        <w:tc>
          <w:tcPr>
            <w:tcW w:w="2396" w:type="dxa"/>
            <w:tcBorders>
              <w:top w:val="nil"/>
              <w:bottom w:val="nil"/>
            </w:tcBorders>
          </w:tcPr>
          <w:p>
            <w:pPr>
              <w:pStyle w:val="TableParagraph"/>
              <w:ind w:left="107"/>
              <w:rPr>
                <w:sz w:val="21"/>
              </w:rPr>
            </w:pPr>
            <w:r>
              <w:rPr>
                <w:sz w:val="21"/>
              </w:rPr>
              <w:t>手术</w:t>
            </w:r>
          </w:p>
        </w:tc>
        <w:tc>
          <w:tcPr>
            <w:tcW w:w="2396" w:type="dxa"/>
            <w:tcBorders>
              <w:top w:val="nil"/>
              <w:bottom w:val="nil"/>
            </w:tcBorders>
          </w:tcPr>
          <w:p>
            <w:pPr>
              <w:pStyle w:val="TableParagraph"/>
              <w:ind w:left="109"/>
              <w:rPr>
                <w:sz w:val="21"/>
              </w:rPr>
            </w:pPr>
            <w:r>
              <w:rPr>
                <w:sz w:val="21"/>
              </w:rPr>
              <w:t>⒔ Ⅲ度房室传导阻滞</w:t>
            </w:r>
          </w:p>
        </w:tc>
        <w:tc>
          <w:tcPr>
            <w:tcW w:w="2398" w:type="dxa"/>
            <w:tcBorders>
              <w:top w:val="nil"/>
              <w:bottom w:val="nil"/>
            </w:tcBorders>
          </w:tcPr>
          <w:p>
            <w:pPr>
              <w:pStyle w:val="TableParagraph"/>
              <w:ind w:left="108"/>
              <w:rPr>
                <w:sz w:val="21"/>
              </w:rPr>
            </w:pPr>
            <w:r>
              <w:rPr>
                <w:sz w:val="21"/>
              </w:rPr>
              <w:t>（HIV）感染</w:t>
            </w:r>
          </w:p>
        </w:tc>
      </w:tr>
      <w:tr>
        <w:trPr>
          <w:trHeight w:val="311" w:hRule="atLeast"/>
        </w:trPr>
        <w:tc>
          <w:tcPr>
            <w:tcW w:w="2398" w:type="dxa"/>
            <w:tcBorders>
              <w:top w:val="nil"/>
              <w:bottom w:val="nil"/>
            </w:tcBorders>
          </w:tcPr>
          <w:p>
            <w:pPr>
              <w:pStyle w:val="TableParagraph"/>
              <w:ind w:left="110"/>
              <w:rPr>
                <w:sz w:val="21"/>
              </w:rPr>
            </w:pPr>
            <w:r>
              <w:rPr>
                <w:sz w:val="21"/>
              </w:rPr>
              <w:t>⒒ 急性或亚急性重症</w:t>
            </w:r>
          </w:p>
        </w:tc>
        <w:tc>
          <w:tcPr>
            <w:tcW w:w="2396" w:type="dxa"/>
            <w:tcBorders>
              <w:top w:val="nil"/>
              <w:bottom w:val="nil"/>
            </w:tcBorders>
          </w:tcPr>
          <w:p>
            <w:pPr>
              <w:pStyle w:val="TableParagraph"/>
              <w:ind w:left="107"/>
              <w:rPr>
                <w:sz w:val="21"/>
              </w:rPr>
            </w:pPr>
            <w:r>
              <w:rPr>
                <w:sz w:val="21"/>
              </w:rPr>
              <w:t>⒘ 疯牛病</w:t>
            </w:r>
          </w:p>
        </w:tc>
        <w:tc>
          <w:tcPr>
            <w:tcW w:w="2396" w:type="dxa"/>
            <w:tcBorders>
              <w:top w:val="nil"/>
              <w:bottom w:val="nil"/>
            </w:tcBorders>
          </w:tcPr>
          <w:p>
            <w:pPr>
              <w:pStyle w:val="TableParagraph"/>
              <w:ind w:left="109"/>
              <w:rPr>
                <w:sz w:val="21"/>
              </w:rPr>
            </w:pPr>
            <w:r>
              <w:rPr>
                <w:sz w:val="21"/>
              </w:rPr>
              <w:t>⒕ 严重传染性心内膜</w:t>
            </w:r>
          </w:p>
        </w:tc>
        <w:tc>
          <w:tcPr>
            <w:tcW w:w="2398" w:type="dxa"/>
            <w:tcBorders>
              <w:top w:val="nil"/>
              <w:bottom w:val="nil"/>
            </w:tcBorders>
          </w:tcPr>
          <w:p>
            <w:pPr>
              <w:pStyle w:val="TableParagraph"/>
              <w:ind w:left="108"/>
              <w:rPr>
                <w:sz w:val="21"/>
              </w:rPr>
            </w:pPr>
            <w:r>
              <w:rPr>
                <w:sz w:val="21"/>
              </w:rPr>
              <w:t>⒓ 系统性硬皮病</w:t>
            </w:r>
          </w:p>
        </w:tc>
      </w:tr>
      <w:tr>
        <w:trPr>
          <w:trHeight w:val="311" w:hRule="atLeast"/>
        </w:trPr>
        <w:tc>
          <w:tcPr>
            <w:tcW w:w="2398" w:type="dxa"/>
            <w:tcBorders>
              <w:top w:val="nil"/>
              <w:bottom w:val="nil"/>
            </w:tcBorders>
          </w:tcPr>
          <w:p>
            <w:pPr>
              <w:pStyle w:val="TableParagraph"/>
              <w:ind w:left="110"/>
              <w:rPr>
                <w:sz w:val="21"/>
              </w:rPr>
            </w:pPr>
            <w:r>
              <w:rPr>
                <w:sz w:val="21"/>
              </w:rPr>
              <w:t>肝炎</w:t>
            </w:r>
          </w:p>
        </w:tc>
        <w:tc>
          <w:tcPr>
            <w:tcW w:w="2396" w:type="dxa"/>
            <w:tcBorders>
              <w:top w:val="nil"/>
              <w:bottom w:val="nil"/>
            </w:tcBorders>
          </w:tcPr>
          <w:p>
            <w:pPr>
              <w:pStyle w:val="TableParagraph"/>
              <w:ind w:left="107"/>
              <w:rPr>
                <w:sz w:val="21"/>
              </w:rPr>
            </w:pPr>
            <w:r>
              <w:rPr>
                <w:sz w:val="21"/>
              </w:rPr>
              <w:t>⒙ 严重癫痫</w:t>
            </w:r>
          </w:p>
        </w:tc>
        <w:tc>
          <w:tcPr>
            <w:tcW w:w="2396" w:type="dxa"/>
            <w:tcBorders>
              <w:top w:val="nil"/>
              <w:bottom w:val="nil"/>
            </w:tcBorders>
          </w:tcPr>
          <w:p>
            <w:pPr>
              <w:pStyle w:val="TableParagraph"/>
              <w:ind w:left="109"/>
              <w:rPr>
                <w:sz w:val="21"/>
              </w:rPr>
            </w:pPr>
            <w:r>
              <w:rPr>
                <w:w w:val="100"/>
                <w:sz w:val="21"/>
              </w:rPr>
              <w:t>炎</w:t>
            </w:r>
          </w:p>
        </w:tc>
        <w:tc>
          <w:tcPr>
            <w:tcW w:w="2398" w:type="dxa"/>
            <w:tcBorders>
              <w:top w:val="nil"/>
              <w:bottom w:val="nil"/>
            </w:tcBorders>
          </w:tcPr>
          <w:p>
            <w:pPr>
              <w:pStyle w:val="TableParagraph"/>
              <w:ind w:left="108"/>
              <w:rPr>
                <w:sz w:val="21"/>
              </w:rPr>
            </w:pPr>
            <w:r>
              <w:rPr>
                <w:sz w:val="21"/>
              </w:rPr>
              <w:t>⒔ 严重克隆病</w:t>
            </w:r>
          </w:p>
        </w:tc>
      </w:tr>
      <w:tr>
        <w:trPr>
          <w:trHeight w:val="311" w:hRule="atLeast"/>
        </w:trPr>
        <w:tc>
          <w:tcPr>
            <w:tcW w:w="2398" w:type="dxa"/>
            <w:tcBorders>
              <w:top w:val="nil"/>
              <w:bottom w:val="nil"/>
            </w:tcBorders>
          </w:tcPr>
          <w:p>
            <w:pPr>
              <w:pStyle w:val="TableParagraph"/>
              <w:ind w:left="110"/>
              <w:rPr>
                <w:sz w:val="21"/>
              </w:rPr>
            </w:pPr>
            <w:r>
              <w:rPr>
                <w:sz w:val="21"/>
              </w:rPr>
              <w:t>⒓ 急性出血坏死性胰</w:t>
            </w:r>
          </w:p>
        </w:tc>
        <w:tc>
          <w:tcPr>
            <w:tcW w:w="2396" w:type="dxa"/>
            <w:tcBorders>
              <w:top w:val="nil"/>
              <w:bottom w:val="nil"/>
            </w:tcBorders>
          </w:tcPr>
          <w:p>
            <w:pPr>
              <w:pStyle w:val="TableParagraph"/>
              <w:ind w:left="107"/>
              <w:rPr>
                <w:sz w:val="21"/>
              </w:rPr>
            </w:pPr>
            <w:r>
              <w:rPr>
                <w:sz w:val="21"/>
              </w:rPr>
              <w:t>⒚ 严重细菌性脑脊髓</w:t>
            </w:r>
          </w:p>
        </w:tc>
        <w:tc>
          <w:tcPr>
            <w:tcW w:w="2396" w:type="dxa"/>
            <w:tcBorders>
              <w:top w:val="nil"/>
              <w:bottom w:val="nil"/>
            </w:tcBorders>
          </w:tcPr>
          <w:p>
            <w:pPr>
              <w:pStyle w:val="TableParagraph"/>
              <w:ind w:left="109"/>
              <w:rPr>
                <w:sz w:val="21"/>
              </w:rPr>
            </w:pPr>
            <w:r>
              <w:rPr>
                <w:sz w:val="21"/>
              </w:rPr>
              <w:t>⒖ 肺源性心脏病</w:t>
            </w:r>
          </w:p>
        </w:tc>
        <w:tc>
          <w:tcPr>
            <w:tcW w:w="2398" w:type="dxa"/>
            <w:tcBorders>
              <w:top w:val="nil"/>
              <w:bottom w:val="nil"/>
            </w:tcBorders>
          </w:tcPr>
          <w:p>
            <w:pPr>
              <w:pStyle w:val="TableParagraph"/>
              <w:ind w:left="108"/>
              <w:rPr>
                <w:sz w:val="21"/>
              </w:rPr>
            </w:pPr>
            <w:r>
              <w:rPr>
                <w:sz w:val="21"/>
              </w:rPr>
              <w:t>⒕ 埃博拉病毒感染</w:t>
            </w:r>
          </w:p>
        </w:tc>
      </w:tr>
      <w:tr>
        <w:trPr>
          <w:trHeight w:val="311" w:hRule="atLeast"/>
        </w:trPr>
        <w:tc>
          <w:tcPr>
            <w:tcW w:w="2398" w:type="dxa"/>
            <w:tcBorders>
              <w:top w:val="nil"/>
              <w:bottom w:val="nil"/>
            </w:tcBorders>
          </w:tcPr>
          <w:p>
            <w:pPr>
              <w:pStyle w:val="TableParagraph"/>
              <w:ind w:left="110"/>
              <w:rPr>
                <w:sz w:val="21"/>
              </w:rPr>
            </w:pPr>
            <w:r>
              <w:rPr>
                <w:sz w:val="21"/>
              </w:rPr>
              <w:t>腺炎</w:t>
            </w:r>
          </w:p>
        </w:tc>
        <w:tc>
          <w:tcPr>
            <w:tcW w:w="2396" w:type="dxa"/>
            <w:tcBorders>
              <w:top w:val="nil"/>
              <w:bottom w:val="nil"/>
            </w:tcBorders>
          </w:tcPr>
          <w:p>
            <w:pPr>
              <w:pStyle w:val="TableParagraph"/>
              <w:ind w:left="107"/>
              <w:rPr>
                <w:sz w:val="21"/>
              </w:rPr>
            </w:pPr>
            <w:r>
              <w:rPr>
                <w:sz w:val="21"/>
              </w:rPr>
              <w:t>膜炎</w:t>
            </w:r>
          </w:p>
        </w:tc>
        <w:tc>
          <w:tcPr>
            <w:tcW w:w="2396" w:type="dxa"/>
            <w:tcBorders>
              <w:top w:val="nil"/>
              <w:bottom w:val="nil"/>
            </w:tcBorders>
          </w:tcPr>
          <w:p>
            <w:pPr>
              <w:pStyle w:val="TableParagraph"/>
              <w:ind w:left="109"/>
              <w:rPr>
                <w:sz w:val="21"/>
              </w:rPr>
            </w:pPr>
            <w:r>
              <w:rPr>
                <w:sz w:val="21"/>
              </w:rPr>
              <w:t>⒗ 全身型幼年类风湿</w:t>
            </w:r>
          </w:p>
        </w:tc>
        <w:tc>
          <w:tcPr>
            <w:tcW w:w="2398" w:type="dxa"/>
            <w:tcBorders>
              <w:top w:val="nil"/>
              <w:bottom w:val="nil"/>
            </w:tcBorders>
          </w:tcPr>
          <w:p>
            <w:pPr>
              <w:pStyle w:val="TableParagraph"/>
              <w:ind w:left="108"/>
              <w:rPr>
                <w:sz w:val="21"/>
              </w:rPr>
            </w:pPr>
            <w:r>
              <w:rPr>
                <w:sz w:val="21"/>
              </w:rPr>
              <w:t>⒖ 严重肠道疾病并发</w:t>
            </w:r>
          </w:p>
        </w:tc>
      </w:tr>
      <w:tr>
        <w:trPr>
          <w:trHeight w:val="311" w:hRule="atLeast"/>
        </w:trPr>
        <w:tc>
          <w:tcPr>
            <w:tcW w:w="2398" w:type="dxa"/>
            <w:tcBorders>
              <w:top w:val="nil"/>
              <w:bottom w:val="nil"/>
            </w:tcBorders>
          </w:tcPr>
          <w:p>
            <w:pPr>
              <w:pStyle w:val="TableParagraph"/>
              <w:ind w:left="110"/>
              <w:rPr>
                <w:sz w:val="21"/>
              </w:rPr>
            </w:pPr>
            <w:r>
              <w:rPr>
                <w:sz w:val="21"/>
              </w:rPr>
              <w:t>⒔ 慢性复发性胰腺炎</w:t>
            </w:r>
          </w:p>
        </w:tc>
        <w:tc>
          <w:tcPr>
            <w:tcW w:w="2396" w:type="dxa"/>
            <w:tcBorders>
              <w:top w:val="nil"/>
              <w:bottom w:val="nil"/>
            </w:tcBorders>
          </w:tcPr>
          <w:p>
            <w:pPr>
              <w:pStyle w:val="TableParagraph"/>
              <w:ind w:left="107"/>
              <w:rPr>
                <w:sz w:val="21"/>
              </w:rPr>
            </w:pPr>
            <w:r>
              <w:rPr>
                <w:sz w:val="21"/>
              </w:rPr>
              <w:t>⒛ 重症手足口病</w:t>
            </w:r>
          </w:p>
        </w:tc>
        <w:tc>
          <w:tcPr>
            <w:tcW w:w="2396" w:type="dxa"/>
            <w:tcBorders>
              <w:top w:val="nil"/>
              <w:bottom w:val="nil"/>
            </w:tcBorders>
          </w:tcPr>
          <w:p>
            <w:pPr>
              <w:pStyle w:val="TableParagraph"/>
              <w:ind w:left="109" w:right="-15"/>
              <w:rPr>
                <w:sz w:val="21"/>
              </w:rPr>
            </w:pPr>
            <w:r>
              <w:rPr>
                <w:spacing w:val="-8"/>
                <w:sz w:val="21"/>
              </w:rPr>
              <w:t>性关节炎</w:t>
            </w:r>
            <w:r>
              <w:rPr>
                <w:sz w:val="21"/>
              </w:rPr>
              <w:t>（</w:t>
            </w:r>
            <w:r>
              <w:rPr>
                <w:spacing w:val="-3"/>
                <w:sz w:val="21"/>
              </w:rPr>
              <w:t>斯蒂尔氏病</w:t>
            </w:r>
            <w:r>
              <w:rPr>
                <w:sz w:val="21"/>
              </w:rPr>
              <w:t>）</w:t>
            </w:r>
          </w:p>
        </w:tc>
        <w:tc>
          <w:tcPr>
            <w:tcW w:w="2398" w:type="dxa"/>
            <w:tcBorders>
              <w:top w:val="nil"/>
              <w:bottom w:val="nil"/>
            </w:tcBorders>
          </w:tcPr>
          <w:p>
            <w:pPr>
              <w:pStyle w:val="TableParagraph"/>
              <w:ind w:left="108"/>
              <w:rPr>
                <w:sz w:val="21"/>
              </w:rPr>
            </w:pPr>
            <w:r>
              <w:rPr>
                <w:w w:val="100"/>
                <w:sz w:val="21"/>
              </w:rPr>
              <w:t>症</w:t>
            </w:r>
          </w:p>
        </w:tc>
      </w:tr>
      <w:tr>
        <w:trPr>
          <w:trHeight w:val="316" w:hRule="atLeast"/>
        </w:trPr>
        <w:tc>
          <w:tcPr>
            <w:tcW w:w="2398" w:type="dxa"/>
            <w:tcBorders>
              <w:top w:val="nil"/>
              <w:bottom w:val="nil"/>
            </w:tcBorders>
          </w:tcPr>
          <w:p>
            <w:pPr>
              <w:pStyle w:val="TableParagraph"/>
              <w:ind w:left="110"/>
              <w:rPr>
                <w:sz w:val="21"/>
              </w:rPr>
            </w:pPr>
            <w:r>
              <w:rPr>
                <w:sz w:val="21"/>
              </w:rPr>
              <w:t>⒕ 胰腺移植</w:t>
            </w:r>
          </w:p>
        </w:tc>
        <w:tc>
          <w:tcPr>
            <w:tcW w:w="2396" w:type="dxa"/>
            <w:tcBorders>
              <w:top w:val="nil"/>
              <w:bottom w:val="nil"/>
            </w:tcBorders>
          </w:tcPr>
          <w:p>
            <w:pPr>
              <w:pStyle w:val="TableParagraph"/>
              <w:spacing w:line="270" w:lineRule="exact"/>
              <w:ind w:left="107"/>
              <w:rPr>
                <w:sz w:val="21"/>
              </w:rPr>
            </w:pPr>
            <w:r>
              <w:rPr>
                <w:rFonts w:ascii="Times New Roman" w:eastAsia="Times New Roman"/>
                <w:w w:val="105"/>
                <w:position w:val="1"/>
                <w:sz w:val="18"/>
              </w:rPr>
              <w:t>21</w:t>
            </w:r>
            <w:r>
              <w:rPr>
                <w:rFonts w:ascii="微软雅黑" w:eastAsia="微软雅黑" w:hint="eastAsia"/>
                <w:b/>
                <w:w w:val="105"/>
                <w:sz w:val="11"/>
              </w:rPr>
              <w:t>. </w:t>
            </w:r>
            <w:r>
              <w:rPr>
                <w:w w:val="105"/>
                <w:position w:val="1"/>
                <w:sz w:val="21"/>
              </w:rPr>
              <w:t>成骨不全症</w:t>
            </w:r>
          </w:p>
        </w:tc>
        <w:tc>
          <w:tcPr>
            <w:tcW w:w="2396" w:type="dxa"/>
            <w:tcBorders>
              <w:top w:val="nil"/>
              <w:bottom w:val="nil"/>
            </w:tcBorders>
          </w:tcPr>
          <w:p>
            <w:pPr>
              <w:pStyle w:val="TableParagraph"/>
              <w:ind w:left="109"/>
              <w:rPr>
                <w:sz w:val="21"/>
              </w:rPr>
            </w:pPr>
            <w:r>
              <w:rPr>
                <w:sz w:val="21"/>
              </w:rPr>
              <w:t>⒘ 严重川崎病</w:t>
            </w:r>
          </w:p>
        </w:tc>
        <w:tc>
          <w:tcPr>
            <w:tcW w:w="2398" w:type="dxa"/>
            <w:tcBorders>
              <w:top w:val="nil"/>
              <w:bottom w:val="nil"/>
            </w:tcBorders>
          </w:tcPr>
          <w:p>
            <w:pPr>
              <w:pStyle w:val="TableParagraph"/>
              <w:ind w:left="108"/>
              <w:rPr>
                <w:sz w:val="21"/>
              </w:rPr>
            </w:pPr>
            <w:r>
              <w:rPr>
                <w:sz w:val="21"/>
              </w:rPr>
              <w:t>⒗ 小肠移植</w:t>
            </w:r>
          </w:p>
        </w:tc>
      </w:tr>
      <w:tr>
        <w:trPr>
          <w:trHeight w:val="321" w:hRule="atLeast"/>
        </w:trPr>
        <w:tc>
          <w:tcPr>
            <w:tcW w:w="2398" w:type="dxa"/>
            <w:tcBorders>
              <w:top w:val="nil"/>
              <w:bottom w:val="nil"/>
            </w:tcBorders>
          </w:tcPr>
          <w:p>
            <w:pPr>
              <w:pStyle w:val="TableParagraph"/>
              <w:spacing w:line="257" w:lineRule="exact"/>
              <w:ind w:left="110"/>
              <w:rPr>
                <w:sz w:val="21"/>
              </w:rPr>
            </w:pPr>
            <w:r>
              <w:rPr>
                <w:sz w:val="21"/>
              </w:rPr>
              <w:t>⒖ 慢性肾上腺皮质功</w:t>
            </w:r>
          </w:p>
        </w:tc>
        <w:tc>
          <w:tcPr>
            <w:tcW w:w="2396" w:type="dxa"/>
            <w:tcBorders>
              <w:top w:val="nil"/>
              <w:bottom w:val="nil"/>
            </w:tcBorders>
          </w:tcPr>
          <w:p>
            <w:pPr>
              <w:pStyle w:val="TableParagraph"/>
              <w:spacing w:line="283" w:lineRule="exact"/>
              <w:ind w:left="107"/>
              <w:rPr>
                <w:sz w:val="21"/>
              </w:rPr>
            </w:pPr>
            <w:r>
              <w:rPr>
                <w:rFonts w:ascii="Times New Roman" w:eastAsia="Times New Roman"/>
                <w:sz w:val="18"/>
              </w:rPr>
              <w:t>22</w:t>
            </w:r>
            <w:r>
              <w:rPr>
                <w:rFonts w:ascii="Times New Roman" w:eastAsia="Times New Roman"/>
                <w:b/>
                <w:position w:val="-2"/>
                <w:sz w:val="12"/>
              </w:rPr>
              <w:t>.  </w:t>
            </w:r>
            <w:r>
              <w:rPr>
                <w:sz w:val="21"/>
              </w:rPr>
              <w:t>进行性核上性麻痹</w:t>
            </w:r>
          </w:p>
        </w:tc>
        <w:tc>
          <w:tcPr>
            <w:tcW w:w="2396" w:type="dxa"/>
            <w:tcBorders>
              <w:top w:val="nil"/>
              <w:bottom w:val="nil"/>
            </w:tcBorders>
          </w:tcPr>
          <w:p>
            <w:pPr>
              <w:pStyle w:val="TableParagraph"/>
              <w:spacing w:line="240" w:lineRule="auto"/>
              <w:rPr>
                <w:rFonts w:ascii="Times New Roman"/>
                <w:sz w:val="20"/>
              </w:rPr>
            </w:pPr>
          </w:p>
        </w:tc>
        <w:tc>
          <w:tcPr>
            <w:tcW w:w="2398" w:type="dxa"/>
            <w:tcBorders>
              <w:top w:val="nil"/>
              <w:bottom w:val="nil"/>
            </w:tcBorders>
          </w:tcPr>
          <w:p>
            <w:pPr>
              <w:pStyle w:val="TableParagraph"/>
              <w:spacing w:line="240" w:lineRule="auto"/>
              <w:rPr>
                <w:rFonts w:ascii="Times New Roman"/>
                <w:sz w:val="20"/>
              </w:rPr>
            </w:pPr>
          </w:p>
        </w:tc>
      </w:tr>
      <w:tr>
        <w:trPr>
          <w:trHeight w:val="302" w:hRule="atLeast"/>
        </w:trPr>
        <w:tc>
          <w:tcPr>
            <w:tcW w:w="2398" w:type="dxa"/>
            <w:tcBorders>
              <w:top w:val="nil"/>
              <w:bottom w:val="nil"/>
            </w:tcBorders>
          </w:tcPr>
          <w:p>
            <w:pPr>
              <w:pStyle w:val="TableParagraph"/>
              <w:spacing w:line="248" w:lineRule="exact"/>
              <w:ind w:left="110"/>
              <w:rPr>
                <w:sz w:val="21"/>
              </w:rPr>
            </w:pPr>
            <w:r>
              <w:rPr>
                <w:sz w:val="21"/>
              </w:rPr>
              <w:t>能衰竭</w:t>
            </w:r>
          </w:p>
        </w:tc>
        <w:tc>
          <w:tcPr>
            <w:tcW w:w="2396" w:type="dxa"/>
            <w:tcBorders>
              <w:top w:val="nil"/>
              <w:bottom w:val="nil"/>
            </w:tcBorders>
          </w:tcPr>
          <w:p>
            <w:pPr>
              <w:pStyle w:val="TableParagraph"/>
              <w:spacing w:line="257" w:lineRule="exact"/>
              <w:ind w:left="107"/>
              <w:rPr>
                <w:sz w:val="21"/>
              </w:rPr>
            </w:pPr>
            <w:r>
              <w:rPr>
                <w:rFonts w:ascii="Times New Roman" w:eastAsia="Times New Roman"/>
                <w:position w:val="1"/>
                <w:sz w:val="18"/>
              </w:rPr>
              <w:t>23</w:t>
            </w:r>
            <w:r>
              <w:rPr>
                <w:rFonts w:ascii="微软雅黑" w:eastAsia="微软雅黑" w:hint="eastAsia"/>
                <w:b/>
                <w:sz w:val="11"/>
              </w:rPr>
              <w:t>.  </w:t>
            </w:r>
            <w:r>
              <w:rPr>
                <w:position w:val="1"/>
                <w:sz w:val="21"/>
              </w:rPr>
              <w:t>严重瑞氏综合征</w:t>
            </w:r>
          </w:p>
        </w:tc>
        <w:tc>
          <w:tcPr>
            <w:tcW w:w="2396" w:type="dxa"/>
            <w:tcBorders>
              <w:top w:val="nil"/>
              <w:bottom w:val="nil"/>
            </w:tcBorders>
          </w:tcPr>
          <w:p>
            <w:pPr>
              <w:pStyle w:val="TableParagraph"/>
              <w:spacing w:line="240" w:lineRule="auto"/>
              <w:rPr>
                <w:rFonts w:ascii="Times New Roman"/>
                <w:sz w:val="20"/>
              </w:rPr>
            </w:pPr>
          </w:p>
        </w:tc>
        <w:tc>
          <w:tcPr>
            <w:tcW w:w="2398" w:type="dxa"/>
            <w:tcBorders>
              <w:top w:val="nil"/>
              <w:bottom w:val="nil"/>
            </w:tcBorders>
          </w:tcPr>
          <w:p>
            <w:pPr>
              <w:pStyle w:val="TableParagraph"/>
              <w:spacing w:line="240" w:lineRule="auto"/>
              <w:rPr>
                <w:rFonts w:ascii="Times New Roman"/>
                <w:sz w:val="20"/>
              </w:rPr>
            </w:pPr>
          </w:p>
        </w:tc>
      </w:tr>
      <w:tr>
        <w:trPr>
          <w:trHeight w:val="311" w:hRule="atLeast"/>
        </w:trPr>
        <w:tc>
          <w:tcPr>
            <w:tcW w:w="2398" w:type="dxa"/>
            <w:tcBorders>
              <w:top w:val="nil"/>
              <w:bottom w:val="nil"/>
            </w:tcBorders>
          </w:tcPr>
          <w:p>
            <w:pPr>
              <w:pStyle w:val="TableParagraph"/>
              <w:spacing w:line="257" w:lineRule="exact"/>
              <w:ind w:left="110"/>
              <w:rPr>
                <w:sz w:val="21"/>
              </w:rPr>
            </w:pPr>
            <w:r>
              <w:rPr>
                <w:sz w:val="21"/>
              </w:rPr>
              <w:t>⒗ 肾髓质囊性病</w:t>
            </w:r>
          </w:p>
        </w:tc>
        <w:tc>
          <w:tcPr>
            <w:tcW w:w="2396" w:type="dxa"/>
            <w:tcBorders>
              <w:top w:val="nil"/>
              <w:bottom w:val="nil"/>
            </w:tcBorders>
          </w:tcPr>
          <w:p>
            <w:pPr>
              <w:pStyle w:val="TableParagraph"/>
              <w:spacing w:line="266" w:lineRule="exact"/>
              <w:ind w:left="107"/>
              <w:rPr>
                <w:sz w:val="21"/>
              </w:rPr>
            </w:pPr>
            <w:r>
              <w:rPr>
                <w:rFonts w:ascii="Times New Roman" w:eastAsia="Times New Roman"/>
                <w:position w:val="1"/>
                <w:sz w:val="18"/>
              </w:rPr>
              <w:t>24</w:t>
            </w:r>
            <w:r>
              <w:rPr>
                <w:rFonts w:ascii="微软雅黑" w:eastAsia="微软雅黑" w:hint="eastAsia"/>
                <w:b/>
                <w:sz w:val="11"/>
              </w:rPr>
              <w:t>.  </w:t>
            </w:r>
            <w:r>
              <w:rPr>
                <w:position w:val="1"/>
                <w:sz w:val="21"/>
              </w:rPr>
              <w:t>肾上腺脑白质营养</w:t>
            </w:r>
          </w:p>
        </w:tc>
        <w:tc>
          <w:tcPr>
            <w:tcW w:w="2396" w:type="dxa"/>
            <w:tcBorders>
              <w:top w:val="nil"/>
              <w:bottom w:val="nil"/>
            </w:tcBorders>
          </w:tcPr>
          <w:p>
            <w:pPr>
              <w:pStyle w:val="TableParagraph"/>
              <w:spacing w:line="240" w:lineRule="auto"/>
              <w:rPr>
                <w:rFonts w:ascii="Times New Roman"/>
                <w:sz w:val="20"/>
              </w:rPr>
            </w:pPr>
          </w:p>
        </w:tc>
        <w:tc>
          <w:tcPr>
            <w:tcW w:w="2398" w:type="dxa"/>
            <w:tcBorders>
              <w:top w:val="nil"/>
              <w:bottom w:val="nil"/>
            </w:tcBorders>
          </w:tcPr>
          <w:p>
            <w:pPr>
              <w:pStyle w:val="TableParagraph"/>
              <w:spacing w:line="240" w:lineRule="auto"/>
              <w:rPr>
                <w:rFonts w:ascii="Times New Roman"/>
                <w:sz w:val="20"/>
              </w:rPr>
            </w:pPr>
          </w:p>
        </w:tc>
      </w:tr>
      <w:tr>
        <w:trPr>
          <w:trHeight w:val="307" w:hRule="atLeast"/>
        </w:trPr>
        <w:tc>
          <w:tcPr>
            <w:tcW w:w="2398" w:type="dxa"/>
            <w:tcBorders>
              <w:top w:val="nil"/>
              <w:bottom w:val="nil"/>
            </w:tcBorders>
          </w:tcPr>
          <w:p>
            <w:pPr>
              <w:pStyle w:val="TableParagraph"/>
              <w:spacing w:line="257" w:lineRule="exact"/>
              <w:ind w:left="110"/>
              <w:rPr>
                <w:sz w:val="21"/>
              </w:rPr>
            </w:pPr>
            <w:r>
              <w:rPr>
                <w:sz w:val="21"/>
              </w:rPr>
              <w:t>⒘ 肺淋巴管肌瘤病</w:t>
            </w:r>
          </w:p>
        </w:tc>
        <w:tc>
          <w:tcPr>
            <w:tcW w:w="2396" w:type="dxa"/>
            <w:tcBorders>
              <w:top w:val="nil"/>
              <w:bottom w:val="nil"/>
            </w:tcBorders>
          </w:tcPr>
          <w:p>
            <w:pPr>
              <w:pStyle w:val="TableParagraph"/>
              <w:spacing w:line="257" w:lineRule="exact"/>
              <w:ind w:left="107"/>
              <w:rPr>
                <w:sz w:val="21"/>
              </w:rPr>
            </w:pPr>
            <w:r>
              <w:rPr>
                <w:sz w:val="21"/>
              </w:rPr>
              <w:t>不良</w:t>
            </w:r>
          </w:p>
        </w:tc>
        <w:tc>
          <w:tcPr>
            <w:tcW w:w="2396" w:type="dxa"/>
            <w:tcBorders>
              <w:top w:val="nil"/>
              <w:bottom w:val="nil"/>
            </w:tcBorders>
          </w:tcPr>
          <w:p>
            <w:pPr>
              <w:pStyle w:val="TableParagraph"/>
              <w:spacing w:line="240" w:lineRule="auto"/>
              <w:rPr>
                <w:rFonts w:ascii="Times New Roman"/>
                <w:sz w:val="20"/>
              </w:rPr>
            </w:pPr>
          </w:p>
        </w:tc>
        <w:tc>
          <w:tcPr>
            <w:tcW w:w="2398" w:type="dxa"/>
            <w:tcBorders>
              <w:top w:val="nil"/>
              <w:bottom w:val="nil"/>
            </w:tcBorders>
          </w:tcPr>
          <w:p>
            <w:pPr>
              <w:pStyle w:val="TableParagraph"/>
              <w:spacing w:line="240" w:lineRule="auto"/>
              <w:rPr>
                <w:rFonts w:ascii="Times New Roman"/>
                <w:sz w:val="20"/>
              </w:rPr>
            </w:pPr>
          </w:p>
        </w:tc>
      </w:tr>
      <w:tr>
        <w:trPr>
          <w:trHeight w:val="311" w:hRule="atLeast"/>
        </w:trPr>
        <w:tc>
          <w:tcPr>
            <w:tcW w:w="2398" w:type="dxa"/>
            <w:tcBorders>
              <w:top w:val="nil"/>
              <w:bottom w:val="nil"/>
            </w:tcBorders>
          </w:tcPr>
          <w:p>
            <w:pPr>
              <w:pStyle w:val="TableParagraph"/>
              <w:ind w:left="110"/>
              <w:rPr>
                <w:sz w:val="21"/>
              </w:rPr>
            </w:pPr>
            <w:r>
              <w:rPr>
                <w:sz w:val="21"/>
              </w:rPr>
              <w:t>⒙ 原发性骨髓纤维化</w:t>
            </w:r>
          </w:p>
        </w:tc>
        <w:tc>
          <w:tcPr>
            <w:tcW w:w="2396" w:type="dxa"/>
            <w:tcBorders>
              <w:top w:val="nil"/>
              <w:bottom w:val="nil"/>
            </w:tcBorders>
          </w:tcPr>
          <w:p>
            <w:pPr>
              <w:pStyle w:val="TableParagraph"/>
              <w:spacing w:line="240" w:lineRule="auto"/>
              <w:rPr>
                <w:rFonts w:ascii="Times New Roman"/>
                <w:sz w:val="20"/>
              </w:rPr>
            </w:pPr>
          </w:p>
        </w:tc>
        <w:tc>
          <w:tcPr>
            <w:tcW w:w="2396" w:type="dxa"/>
            <w:tcBorders>
              <w:top w:val="nil"/>
              <w:bottom w:val="nil"/>
            </w:tcBorders>
          </w:tcPr>
          <w:p>
            <w:pPr>
              <w:pStyle w:val="TableParagraph"/>
              <w:spacing w:line="240" w:lineRule="auto"/>
              <w:rPr>
                <w:rFonts w:ascii="Times New Roman"/>
                <w:sz w:val="20"/>
              </w:rPr>
            </w:pPr>
          </w:p>
        </w:tc>
        <w:tc>
          <w:tcPr>
            <w:tcW w:w="2398" w:type="dxa"/>
            <w:tcBorders>
              <w:top w:val="nil"/>
              <w:bottom w:val="nil"/>
            </w:tcBorders>
          </w:tcPr>
          <w:p>
            <w:pPr>
              <w:pStyle w:val="TableParagraph"/>
              <w:spacing w:line="240" w:lineRule="auto"/>
              <w:rPr>
                <w:rFonts w:ascii="Times New Roman"/>
                <w:sz w:val="20"/>
              </w:rPr>
            </w:pPr>
          </w:p>
        </w:tc>
      </w:tr>
      <w:tr>
        <w:trPr>
          <w:trHeight w:val="308" w:hRule="atLeast"/>
        </w:trPr>
        <w:tc>
          <w:tcPr>
            <w:tcW w:w="2398" w:type="dxa"/>
            <w:tcBorders>
              <w:top w:val="nil"/>
              <w:bottom w:val="nil"/>
            </w:tcBorders>
          </w:tcPr>
          <w:p>
            <w:pPr>
              <w:pStyle w:val="TableParagraph"/>
              <w:ind w:left="110"/>
              <w:rPr>
                <w:sz w:val="21"/>
              </w:rPr>
            </w:pPr>
            <w:r>
              <w:rPr>
                <w:sz w:val="21"/>
              </w:rPr>
              <w:t>⒚ 严重骨髓增生异常</w:t>
            </w:r>
          </w:p>
        </w:tc>
        <w:tc>
          <w:tcPr>
            <w:tcW w:w="2396" w:type="dxa"/>
            <w:tcBorders>
              <w:top w:val="nil"/>
              <w:bottom w:val="nil"/>
            </w:tcBorders>
          </w:tcPr>
          <w:p>
            <w:pPr>
              <w:pStyle w:val="TableParagraph"/>
              <w:spacing w:line="240" w:lineRule="auto"/>
              <w:rPr>
                <w:rFonts w:ascii="Times New Roman"/>
                <w:sz w:val="20"/>
              </w:rPr>
            </w:pPr>
          </w:p>
        </w:tc>
        <w:tc>
          <w:tcPr>
            <w:tcW w:w="2396" w:type="dxa"/>
            <w:tcBorders>
              <w:top w:val="nil"/>
              <w:bottom w:val="nil"/>
            </w:tcBorders>
          </w:tcPr>
          <w:p>
            <w:pPr>
              <w:pStyle w:val="TableParagraph"/>
              <w:spacing w:line="240" w:lineRule="auto"/>
              <w:rPr>
                <w:rFonts w:ascii="Times New Roman"/>
                <w:sz w:val="20"/>
              </w:rPr>
            </w:pPr>
          </w:p>
        </w:tc>
        <w:tc>
          <w:tcPr>
            <w:tcW w:w="2398" w:type="dxa"/>
            <w:tcBorders>
              <w:top w:val="nil"/>
              <w:bottom w:val="nil"/>
            </w:tcBorders>
          </w:tcPr>
          <w:p>
            <w:pPr>
              <w:pStyle w:val="TableParagraph"/>
              <w:spacing w:line="240" w:lineRule="auto"/>
              <w:rPr>
                <w:rFonts w:ascii="Times New Roman"/>
                <w:sz w:val="20"/>
              </w:rPr>
            </w:pPr>
          </w:p>
        </w:tc>
      </w:tr>
      <w:tr>
        <w:trPr>
          <w:trHeight w:val="319" w:hRule="atLeast"/>
        </w:trPr>
        <w:tc>
          <w:tcPr>
            <w:tcW w:w="2398" w:type="dxa"/>
            <w:tcBorders>
              <w:top w:val="nil"/>
              <w:bottom w:val="nil"/>
            </w:tcBorders>
          </w:tcPr>
          <w:p>
            <w:pPr>
              <w:pStyle w:val="TableParagraph"/>
              <w:spacing w:line="281" w:lineRule="exact"/>
              <w:ind w:left="110"/>
              <w:rPr>
                <w:rFonts w:ascii="Times New Roman" w:eastAsia="Times New Roman"/>
                <w:sz w:val="21"/>
              </w:rPr>
            </w:pPr>
            <w:r>
              <w:rPr>
                <w:sz w:val="21"/>
              </w:rPr>
              <w:t>综合征(</w:t>
            </w:r>
            <w:r>
              <w:rPr>
                <w:rFonts w:ascii="Times New Roman" w:eastAsia="Times New Roman"/>
                <w:sz w:val="21"/>
              </w:rPr>
              <w:t>myelodysplastic</w:t>
            </w:r>
          </w:p>
        </w:tc>
        <w:tc>
          <w:tcPr>
            <w:tcW w:w="2396" w:type="dxa"/>
            <w:tcBorders>
              <w:top w:val="nil"/>
              <w:bottom w:val="nil"/>
            </w:tcBorders>
          </w:tcPr>
          <w:p>
            <w:pPr>
              <w:pStyle w:val="TableParagraph"/>
              <w:spacing w:line="240" w:lineRule="auto"/>
              <w:rPr>
                <w:rFonts w:ascii="Times New Roman"/>
                <w:sz w:val="20"/>
              </w:rPr>
            </w:pPr>
          </w:p>
        </w:tc>
        <w:tc>
          <w:tcPr>
            <w:tcW w:w="2396" w:type="dxa"/>
            <w:tcBorders>
              <w:top w:val="nil"/>
              <w:bottom w:val="nil"/>
            </w:tcBorders>
          </w:tcPr>
          <w:p>
            <w:pPr>
              <w:pStyle w:val="TableParagraph"/>
              <w:spacing w:line="240" w:lineRule="auto"/>
              <w:rPr>
                <w:rFonts w:ascii="Times New Roman"/>
                <w:sz w:val="20"/>
              </w:rPr>
            </w:pPr>
          </w:p>
        </w:tc>
        <w:tc>
          <w:tcPr>
            <w:tcW w:w="2398" w:type="dxa"/>
            <w:tcBorders>
              <w:top w:val="nil"/>
              <w:bottom w:val="nil"/>
            </w:tcBorders>
          </w:tcPr>
          <w:p>
            <w:pPr>
              <w:pStyle w:val="TableParagraph"/>
              <w:spacing w:line="240" w:lineRule="auto"/>
              <w:rPr>
                <w:rFonts w:ascii="Times New Roman"/>
                <w:sz w:val="20"/>
              </w:rPr>
            </w:pPr>
          </w:p>
        </w:tc>
      </w:tr>
      <w:tr>
        <w:trPr>
          <w:trHeight w:val="315" w:hRule="atLeast"/>
        </w:trPr>
        <w:tc>
          <w:tcPr>
            <w:tcW w:w="2398" w:type="dxa"/>
            <w:tcBorders>
              <w:top w:val="nil"/>
              <w:bottom w:val="nil"/>
            </w:tcBorders>
          </w:tcPr>
          <w:p>
            <w:pPr>
              <w:pStyle w:val="TableParagraph"/>
              <w:spacing w:line="273" w:lineRule="exact"/>
              <w:ind w:left="110"/>
              <w:rPr>
                <w:sz w:val="21"/>
              </w:rPr>
            </w:pPr>
            <w:r>
              <w:rPr>
                <w:rFonts w:ascii="Times New Roman" w:eastAsia="Times New Roman"/>
                <w:sz w:val="21"/>
              </w:rPr>
              <w:t>syndromes</w:t>
            </w:r>
            <w:r>
              <w:rPr>
                <w:sz w:val="21"/>
              </w:rPr>
              <w:t>，MDS)</w:t>
            </w:r>
          </w:p>
        </w:tc>
        <w:tc>
          <w:tcPr>
            <w:tcW w:w="2396" w:type="dxa"/>
            <w:tcBorders>
              <w:top w:val="nil"/>
              <w:bottom w:val="nil"/>
            </w:tcBorders>
          </w:tcPr>
          <w:p>
            <w:pPr>
              <w:pStyle w:val="TableParagraph"/>
              <w:spacing w:line="240" w:lineRule="auto"/>
              <w:rPr>
                <w:rFonts w:ascii="Times New Roman"/>
                <w:sz w:val="20"/>
              </w:rPr>
            </w:pPr>
          </w:p>
        </w:tc>
        <w:tc>
          <w:tcPr>
            <w:tcW w:w="2396" w:type="dxa"/>
            <w:tcBorders>
              <w:top w:val="nil"/>
              <w:bottom w:val="nil"/>
            </w:tcBorders>
          </w:tcPr>
          <w:p>
            <w:pPr>
              <w:pStyle w:val="TableParagraph"/>
              <w:spacing w:line="240" w:lineRule="auto"/>
              <w:rPr>
                <w:rFonts w:ascii="Times New Roman"/>
                <w:sz w:val="20"/>
              </w:rPr>
            </w:pPr>
          </w:p>
        </w:tc>
        <w:tc>
          <w:tcPr>
            <w:tcW w:w="2398" w:type="dxa"/>
            <w:tcBorders>
              <w:top w:val="nil"/>
              <w:bottom w:val="nil"/>
            </w:tcBorders>
          </w:tcPr>
          <w:p>
            <w:pPr>
              <w:pStyle w:val="TableParagraph"/>
              <w:spacing w:line="240" w:lineRule="auto"/>
              <w:rPr>
                <w:rFonts w:ascii="Times New Roman"/>
                <w:sz w:val="20"/>
              </w:rPr>
            </w:pPr>
          </w:p>
        </w:tc>
      </w:tr>
      <w:tr>
        <w:trPr>
          <w:trHeight w:val="304" w:hRule="atLeast"/>
        </w:trPr>
        <w:tc>
          <w:tcPr>
            <w:tcW w:w="2398" w:type="dxa"/>
            <w:tcBorders>
              <w:top w:val="nil"/>
              <w:bottom w:val="nil"/>
            </w:tcBorders>
          </w:tcPr>
          <w:p>
            <w:pPr>
              <w:pStyle w:val="TableParagraph"/>
              <w:spacing w:line="253" w:lineRule="exact"/>
              <w:ind w:left="110"/>
              <w:rPr>
                <w:sz w:val="21"/>
              </w:rPr>
            </w:pPr>
            <w:r>
              <w:rPr>
                <w:sz w:val="21"/>
              </w:rPr>
              <w:t>⒛ 肺泡蛋白质沉积症</w:t>
            </w:r>
          </w:p>
        </w:tc>
        <w:tc>
          <w:tcPr>
            <w:tcW w:w="2396" w:type="dxa"/>
            <w:tcBorders>
              <w:top w:val="nil"/>
              <w:bottom w:val="nil"/>
            </w:tcBorders>
          </w:tcPr>
          <w:p>
            <w:pPr>
              <w:pStyle w:val="TableParagraph"/>
              <w:spacing w:line="240" w:lineRule="auto"/>
              <w:rPr>
                <w:rFonts w:ascii="Times New Roman"/>
                <w:sz w:val="20"/>
              </w:rPr>
            </w:pPr>
          </w:p>
        </w:tc>
        <w:tc>
          <w:tcPr>
            <w:tcW w:w="2396" w:type="dxa"/>
            <w:tcBorders>
              <w:top w:val="nil"/>
              <w:bottom w:val="nil"/>
            </w:tcBorders>
          </w:tcPr>
          <w:p>
            <w:pPr>
              <w:pStyle w:val="TableParagraph"/>
              <w:spacing w:line="240" w:lineRule="auto"/>
              <w:rPr>
                <w:rFonts w:ascii="Times New Roman"/>
                <w:sz w:val="20"/>
              </w:rPr>
            </w:pPr>
          </w:p>
        </w:tc>
        <w:tc>
          <w:tcPr>
            <w:tcW w:w="2398" w:type="dxa"/>
            <w:tcBorders>
              <w:top w:val="nil"/>
              <w:bottom w:val="nil"/>
            </w:tcBorders>
          </w:tcPr>
          <w:p>
            <w:pPr>
              <w:pStyle w:val="TableParagraph"/>
              <w:spacing w:line="240" w:lineRule="auto"/>
              <w:rPr>
                <w:rFonts w:ascii="Times New Roman"/>
                <w:sz w:val="20"/>
              </w:rPr>
            </w:pPr>
          </w:p>
        </w:tc>
      </w:tr>
      <w:tr>
        <w:trPr>
          <w:trHeight w:val="316" w:hRule="atLeast"/>
        </w:trPr>
        <w:tc>
          <w:tcPr>
            <w:tcW w:w="2398" w:type="dxa"/>
            <w:tcBorders>
              <w:top w:val="nil"/>
              <w:bottom w:val="nil"/>
            </w:tcBorders>
          </w:tcPr>
          <w:p>
            <w:pPr>
              <w:pStyle w:val="TableParagraph"/>
              <w:spacing w:line="270" w:lineRule="exact"/>
              <w:ind w:left="110"/>
              <w:rPr>
                <w:sz w:val="21"/>
              </w:rPr>
            </w:pPr>
            <w:r>
              <w:rPr>
                <w:rFonts w:ascii="Times New Roman" w:eastAsia="Times New Roman"/>
                <w:position w:val="1"/>
                <w:sz w:val="18"/>
              </w:rPr>
              <w:t>21</w:t>
            </w:r>
            <w:r>
              <w:rPr>
                <w:rFonts w:ascii="微软雅黑" w:eastAsia="微软雅黑" w:hint="eastAsia"/>
                <w:b/>
                <w:sz w:val="9"/>
              </w:rPr>
              <w:t>.  </w:t>
            </w:r>
            <w:r>
              <w:rPr>
                <w:position w:val="1"/>
                <w:sz w:val="21"/>
              </w:rPr>
              <w:t>嗜铬细胞瘤</w:t>
            </w:r>
          </w:p>
        </w:tc>
        <w:tc>
          <w:tcPr>
            <w:tcW w:w="2396" w:type="dxa"/>
            <w:tcBorders>
              <w:top w:val="nil"/>
              <w:bottom w:val="nil"/>
            </w:tcBorders>
          </w:tcPr>
          <w:p>
            <w:pPr>
              <w:pStyle w:val="TableParagraph"/>
              <w:spacing w:line="240" w:lineRule="auto"/>
              <w:rPr>
                <w:rFonts w:ascii="Times New Roman"/>
                <w:sz w:val="20"/>
              </w:rPr>
            </w:pPr>
          </w:p>
        </w:tc>
        <w:tc>
          <w:tcPr>
            <w:tcW w:w="2396" w:type="dxa"/>
            <w:tcBorders>
              <w:top w:val="nil"/>
              <w:bottom w:val="nil"/>
            </w:tcBorders>
          </w:tcPr>
          <w:p>
            <w:pPr>
              <w:pStyle w:val="TableParagraph"/>
              <w:spacing w:line="240" w:lineRule="auto"/>
              <w:rPr>
                <w:rFonts w:ascii="Times New Roman"/>
                <w:sz w:val="20"/>
              </w:rPr>
            </w:pPr>
          </w:p>
        </w:tc>
        <w:tc>
          <w:tcPr>
            <w:tcW w:w="2398" w:type="dxa"/>
            <w:tcBorders>
              <w:top w:val="nil"/>
              <w:bottom w:val="nil"/>
            </w:tcBorders>
          </w:tcPr>
          <w:p>
            <w:pPr>
              <w:pStyle w:val="TableParagraph"/>
              <w:spacing w:line="240" w:lineRule="auto"/>
              <w:rPr>
                <w:rFonts w:ascii="Times New Roman"/>
                <w:sz w:val="20"/>
              </w:rPr>
            </w:pPr>
          </w:p>
        </w:tc>
      </w:tr>
      <w:tr>
        <w:trPr>
          <w:trHeight w:val="321" w:hRule="atLeast"/>
        </w:trPr>
        <w:tc>
          <w:tcPr>
            <w:tcW w:w="2398" w:type="dxa"/>
            <w:tcBorders>
              <w:top w:val="nil"/>
              <w:bottom w:val="nil"/>
            </w:tcBorders>
          </w:tcPr>
          <w:p>
            <w:pPr>
              <w:pStyle w:val="TableParagraph"/>
              <w:spacing w:line="283" w:lineRule="exact"/>
              <w:ind w:left="110"/>
              <w:rPr>
                <w:sz w:val="21"/>
              </w:rPr>
            </w:pPr>
            <w:r>
              <w:rPr>
                <w:rFonts w:ascii="Times New Roman" w:eastAsia="Times New Roman"/>
                <w:sz w:val="18"/>
              </w:rPr>
              <w:t>22</w:t>
            </w:r>
            <w:r>
              <w:rPr>
                <w:rFonts w:ascii="Times New Roman" w:eastAsia="Times New Roman"/>
                <w:b/>
                <w:position w:val="-2"/>
                <w:sz w:val="12"/>
              </w:rPr>
              <w:t>.  </w:t>
            </w:r>
            <w:r>
              <w:rPr>
                <w:sz w:val="21"/>
              </w:rPr>
              <w:t>严重自身免疫性肝炎</w:t>
            </w:r>
          </w:p>
        </w:tc>
        <w:tc>
          <w:tcPr>
            <w:tcW w:w="2396" w:type="dxa"/>
            <w:tcBorders>
              <w:top w:val="nil"/>
              <w:bottom w:val="nil"/>
            </w:tcBorders>
          </w:tcPr>
          <w:p>
            <w:pPr>
              <w:pStyle w:val="TableParagraph"/>
              <w:spacing w:line="240" w:lineRule="auto"/>
              <w:rPr>
                <w:rFonts w:ascii="Times New Roman"/>
                <w:sz w:val="20"/>
              </w:rPr>
            </w:pPr>
          </w:p>
        </w:tc>
        <w:tc>
          <w:tcPr>
            <w:tcW w:w="2396" w:type="dxa"/>
            <w:tcBorders>
              <w:top w:val="nil"/>
              <w:bottom w:val="nil"/>
            </w:tcBorders>
          </w:tcPr>
          <w:p>
            <w:pPr>
              <w:pStyle w:val="TableParagraph"/>
              <w:spacing w:line="240" w:lineRule="auto"/>
              <w:rPr>
                <w:rFonts w:ascii="Times New Roman"/>
                <w:sz w:val="20"/>
              </w:rPr>
            </w:pPr>
          </w:p>
        </w:tc>
        <w:tc>
          <w:tcPr>
            <w:tcW w:w="2398" w:type="dxa"/>
            <w:tcBorders>
              <w:top w:val="nil"/>
              <w:bottom w:val="nil"/>
            </w:tcBorders>
          </w:tcPr>
          <w:p>
            <w:pPr>
              <w:pStyle w:val="TableParagraph"/>
              <w:spacing w:line="240" w:lineRule="auto"/>
              <w:rPr>
                <w:rFonts w:ascii="Times New Roman"/>
                <w:sz w:val="20"/>
              </w:rPr>
            </w:pPr>
          </w:p>
        </w:tc>
      </w:tr>
      <w:tr>
        <w:trPr>
          <w:trHeight w:val="299" w:hRule="atLeast"/>
        </w:trPr>
        <w:tc>
          <w:tcPr>
            <w:tcW w:w="2398" w:type="dxa"/>
            <w:tcBorders>
              <w:top w:val="nil"/>
            </w:tcBorders>
          </w:tcPr>
          <w:p>
            <w:pPr>
              <w:pStyle w:val="TableParagraph"/>
              <w:spacing w:line="274" w:lineRule="exact"/>
              <w:ind w:left="110"/>
              <w:rPr>
                <w:sz w:val="21"/>
              </w:rPr>
            </w:pPr>
            <w:r>
              <w:rPr>
                <w:rFonts w:ascii="Times New Roman" w:eastAsia="Times New Roman"/>
                <w:sz w:val="18"/>
              </w:rPr>
              <w:t>23</w:t>
            </w:r>
            <w:r>
              <w:rPr>
                <w:rFonts w:ascii="Times New Roman" w:eastAsia="Times New Roman"/>
                <w:b/>
                <w:position w:val="-2"/>
                <w:sz w:val="12"/>
              </w:rPr>
              <w:t>.  </w:t>
            </w:r>
            <w:r>
              <w:rPr>
                <w:sz w:val="21"/>
              </w:rPr>
              <w:t>肝豆状核变性</w:t>
            </w:r>
          </w:p>
        </w:tc>
        <w:tc>
          <w:tcPr>
            <w:tcW w:w="2396" w:type="dxa"/>
            <w:tcBorders>
              <w:top w:val="nil"/>
            </w:tcBorders>
          </w:tcPr>
          <w:p>
            <w:pPr>
              <w:pStyle w:val="TableParagraph"/>
              <w:spacing w:line="240" w:lineRule="auto"/>
              <w:rPr>
                <w:rFonts w:ascii="Times New Roman"/>
                <w:sz w:val="20"/>
              </w:rPr>
            </w:pPr>
          </w:p>
        </w:tc>
        <w:tc>
          <w:tcPr>
            <w:tcW w:w="2396" w:type="dxa"/>
            <w:tcBorders>
              <w:top w:val="nil"/>
            </w:tcBorders>
          </w:tcPr>
          <w:p>
            <w:pPr>
              <w:pStyle w:val="TableParagraph"/>
              <w:spacing w:line="240" w:lineRule="auto"/>
              <w:rPr>
                <w:rFonts w:ascii="Times New Roman"/>
                <w:sz w:val="20"/>
              </w:rPr>
            </w:pPr>
          </w:p>
        </w:tc>
        <w:tc>
          <w:tcPr>
            <w:tcW w:w="2398" w:type="dxa"/>
            <w:tcBorders>
              <w:top w:val="nil"/>
            </w:tcBorders>
          </w:tcPr>
          <w:p>
            <w:pPr>
              <w:pStyle w:val="TableParagraph"/>
              <w:spacing w:line="240" w:lineRule="auto"/>
              <w:rPr>
                <w:rFonts w:ascii="Times New Roman"/>
                <w:sz w:val="20"/>
              </w:rPr>
            </w:pPr>
          </w:p>
        </w:tc>
      </w:tr>
    </w:tbl>
    <w:p>
      <w:pPr>
        <w:pStyle w:val="BodyText"/>
        <w:spacing w:line="228" w:lineRule="auto" w:before="161"/>
        <w:ind w:right="202"/>
        <w:jc w:val="both"/>
      </w:pPr>
      <w:r>
        <w:rPr>
          <w:rFonts w:ascii="Times New Roman" w:eastAsia="Times New Roman"/>
          <w:position w:val="10"/>
          <w:sz w:val="14"/>
        </w:rPr>
        <w:t>11 </w:t>
      </w:r>
      <w:r>
        <w:rPr>
          <w:rFonts w:ascii="微软雅黑" w:eastAsia="微软雅黑"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w:t>
      </w:r>
      <w:r>
        <w:rPr>
          <w:spacing w:val="-4"/>
        </w:rPr>
        <w:t>家规定管制的其他能够使人形成瘾癖的麻醉药品和精神药品，但不包括由医生开具并遵医嘱使用的用于治</w:t>
      </w:r>
      <w:r>
        <w:rPr>
          <w:spacing w:val="-3"/>
        </w:rPr>
        <w:t>疗疾病但含有毒品成分的处方药品。</w:t>
      </w:r>
    </w:p>
    <w:p>
      <w:pPr>
        <w:pStyle w:val="BodyText"/>
        <w:spacing w:line="285" w:lineRule="exact"/>
        <w:jc w:val="both"/>
      </w:pPr>
      <w:r>
        <w:rPr>
          <w:rFonts w:ascii="Times New Roman" w:eastAsia="Times New Roman"/>
          <w:position w:val="10"/>
          <w:sz w:val="14"/>
        </w:rPr>
        <w:t>12    </w:t>
      </w:r>
      <w:r>
        <w:rPr>
          <w:rFonts w:ascii="微软雅黑" w:eastAsia="微软雅黑" w:hint="eastAsia"/>
          <w:b/>
        </w:rPr>
        <w:t>酒后驾驶</w:t>
      </w:r>
      <w:r>
        <w:rPr/>
        <w:t>：指经检测或鉴定，发生事故时车辆驾驶人员每百毫升血液中的酒精含量达到或超过一定的标</w:t>
      </w:r>
    </w:p>
    <w:p>
      <w:pPr>
        <w:pStyle w:val="BodyText"/>
        <w:spacing w:line="239" w:lineRule="exact"/>
        <w:jc w:val="both"/>
      </w:pPr>
      <w:r>
        <w:rPr/>
        <w:t>准，公安机关交通管理部门依据《道路交通安全法》的规定认定为饮酒后驾驶或醉酒后驾驶。</w:t>
      </w:r>
    </w:p>
    <w:p>
      <w:pPr>
        <w:spacing w:line="342" w:lineRule="exact" w:before="0"/>
        <w:ind w:left="212" w:right="0" w:firstLine="0"/>
        <w:jc w:val="both"/>
        <w:rPr>
          <w:sz w:val="21"/>
        </w:rPr>
      </w:pPr>
      <w:r>
        <w:rPr>
          <w:rFonts w:ascii="Times New Roman" w:eastAsia="Times New Roman"/>
          <w:position w:val="10"/>
          <w:sz w:val="14"/>
        </w:rPr>
        <w:t>13   </w:t>
      </w:r>
      <w:r>
        <w:rPr>
          <w:rFonts w:ascii="微软雅黑" w:eastAsia="微软雅黑" w:hint="eastAsia"/>
          <w:b/>
          <w:sz w:val="21"/>
        </w:rPr>
        <w:t>无合法有效驾驶证驾驶</w:t>
      </w:r>
      <w:r>
        <w:rPr>
          <w:sz w:val="21"/>
        </w:rPr>
        <w:t>：指下列情形之一：</w:t>
      </w:r>
    </w:p>
    <w:p>
      <w:pPr>
        <w:pStyle w:val="ListParagraph"/>
        <w:numPr>
          <w:ilvl w:val="0"/>
          <w:numId w:val="5"/>
        </w:numPr>
        <w:tabs>
          <w:tab w:pos="1158" w:val="left" w:leader="none"/>
          <w:tab w:pos="1159" w:val="left" w:leader="none"/>
        </w:tabs>
        <w:spacing w:line="240" w:lineRule="auto" w:before="12" w:after="0"/>
        <w:ind w:left="1158" w:right="0" w:hanging="840"/>
        <w:jc w:val="left"/>
        <w:rPr>
          <w:sz w:val="21"/>
        </w:rPr>
      </w:pPr>
      <w:r>
        <w:rPr>
          <w:spacing w:val="-3"/>
          <w:sz w:val="21"/>
        </w:rPr>
        <w:t>没有取得驾驶资格；</w:t>
      </w:r>
    </w:p>
    <w:p>
      <w:pPr>
        <w:pStyle w:val="ListParagraph"/>
        <w:numPr>
          <w:ilvl w:val="0"/>
          <w:numId w:val="5"/>
        </w:numPr>
        <w:tabs>
          <w:tab w:pos="1158" w:val="left" w:leader="none"/>
          <w:tab w:pos="1159" w:val="left" w:leader="none"/>
        </w:tabs>
        <w:spacing w:line="240" w:lineRule="auto" w:before="37" w:after="0"/>
        <w:ind w:left="1158" w:right="0" w:hanging="840"/>
        <w:jc w:val="left"/>
        <w:rPr>
          <w:sz w:val="21"/>
        </w:rPr>
      </w:pPr>
      <w:r>
        <w:rPr>
          <w:spacing w:val="-3"/>
          <w:sz w:val="21"/>
        </w:rPr>
        <w:t>驾驶与驾驶证准驾车型不相符合的车辆；</w:t>
      </w:r>
    </w:p>
    <w:p>
      <w:pPr>
        <w:spacing w:after="0" w:line="240" w:lineRule="auto"/>
        <w:jc w:val="left"/>
        <w:rPr>
          <w:sz w:val="21"/>
        </w:rPr>
        <w:sectPr>
          <w:pgSz w:w="11900" w:h="16840"/>
          <w:pgMar w:header="892" w:footer="547" w:top="1080" w:bottom="740" w:left="920" w:right="920"/>
        </w:sectPr>
      </w:pPr>
    </w:p>
    <w:p>
      <w:pPr>
        <w:pStyle w:val="BodyText"/>
        <w:spacing w:before="3"/>
        <w:ind w:left="0"/>
        <w:rPr>
          <w:sz w:val="10"/>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ListParagraph"/>
        <w:numPr>
          <w:ilvl w:val="0"/>
          <w:numId w:val="5"/>
        </w:numPr>
        <w:tabs>
          <w:tab w:pos="1158" w:val="left" w:leader="none"/>
          <w:tab w:pos="1159" w:val="left" w:leader="none"/>
        </w:tabs>
        <w:spacing w:line="240" w:lineRule="auto" w:before="75" w:after="0"/>
        <w:ind w:left="1158" w:right="0" w:hanging="840"/>
        <w:jc w:val="left"/>
        <w:rPr>
          <w:sz w:val="21"/>
        </w:rPr>
      </w:pPr>
      <w:r>
        <w:rPr>
          <w:spacing w:val="-3"/>
          <w:sz w:val="21"/>
        </w:rPr>
        <w:t>持审验不合格或过期的驾驶证驾驶；</w:t>
      </w:r>
    </w:p>
    <w:p>
      <w:pPr>
        <w:pStyle w:val="ListParagraph"/>
        <w:numPr>
          <w:ilvl w:val="0"/>
          <w:numId w:val="5"/>
        </w:numPr>
        <w:tabs>
          <w:tab w:pos="1158" w:val="left" w:leader="none"/>
          <w:tab w:pos="1159" w:val="left" w:leader="none"/>
        </w:tabs>
        <w:spacing w:line="254" w:lineRule="exact" w:before="15" w:after="0"/>
        <w:ind w:left="1158" w:right="0" w:hanging="840"/>
        <w:jc w:val="left"/>
        <w:rPr>
          <w:sz w:val="21"/>
        </w:rPr>
      </w:pPr>
      <w:r>
        <w:rPr>
          <w:spacing w:val="-3"/>
          <w:sz w:val="21"/>
        </w:rPr>
        <w:t>持学习驾驶证学习驾车时，无教练员随车指导，或不按指定时间、路线学习驾车。</w:t>
      </w:r>
    </w:p>
    <w:p>
      <w:pPr>
        <w:spacing w:line="342" w:lineRule="exact" w:before="0"/>
        <w:ind w:left="212" w:right="0" w:firstLine="0"/>
        <w:jc w:val="both"/>
        <w:rPr>
          <w:sz w:val="21"/>
        </w:rPr>
      </w:pPr>
      <w:r>
        <w:rPr>
          <w:rFonts w:ascii="Times New Roman" w:eastAsia="Times New Roman"/>
          <w:position w:val="10"/>
          <w:sz w:val="14"/>
        </w:rPr>
        <w:t>14   </w:t>
      </w:r>
      <w:r>
        <w:rPr>
          <w:rFonts w:ascii="微软雅黑" w:eastAsia="微软雅黑" w:hint="eastAsia"/>
          <w:b/>
          <w:sz w:val="21"/>
        </w:rPr>
        <w:t>无有效行驶证</w:t>
      </w:r>
      <w:r>
        <w:rPr>
          <w:sz w:val="21"/>
        </w:rPr>
        <w:t>：指下列情形之一：</w:t>
      </w:r>
    </w:p>
    <w:p>
      <w:pPr>
        <w:pStyle w:val="ListParagraph"/>
        <w:numPr>
          <w:ilvl w:val="0"/>
          <w:numId w:val="6"/>
        </w:numPr>
        <w:tabs>
          <w:tab w:pos="1152" w:val="left" w:leader="none"/>
        </w:tabs>
        <w:spacing w:line="240" w:lineRule="auto" w:before="11" w:after="0"/>
        <w:ind w:left="1151" w:right="0" w:hanging="840"/>
        <w:jc w:val="both"/>
        <w:rPr>
          <w:sz w:val="21"/>
        </w:rPr>
      </w:pPr>
      <w:r>
        <w:rPr>
          <w:spacing w:val="-3"/>
          <w:sz w:val="21"/>
        </w:rPr>
        <w:t>未取得行驶证；</w:t>
      </w:r>
    </w:p>
    <w:p>
      <w:pPr>
        <w:pStyle w:val="ListParagraph"/>
        <w:numPr>
          <w:ilvl w:val="0"/>
          <w:numId w:val="6"/>
        </w:numPr>
        <w:tabs>
          <w:tab w:pos="1158" w:val="left" w:leader="none"/>
          <w:tab w:pos="1159" w:val="left" w:leader="none"/>
        </w:tabs>
        <w:spacing w:line="240" w:lineRule="auto" w:before="36" w:after="0"/>
        <w:ind w:left="1158" w:right="0" w:hanging="840"/>
        <w:jc w:val="left"/>
        <w:rPr>
          <w:sz w:val="21"/>
        </w:rPr>
      </w:pPr>
      <w:r>
        <w:rPr>
          <w:spacing w:val="-3"/>
          <w:sz w:val="21"/>
        </w:rPr>
        <w:t>机动车被依法注销登记的；</w:t>
      </w:r>
    </w:p>
    <w:p>
      <w:pPr>
        <w:pStyle w:val="ListParagraph"/>
        <w:numPr>
          <w:ilvl w:val="0"/>
          <w:numId w:val="6"/>
        </w:numPr>
        <w:tabs>
          <w:tab w:pos="1158" w:val="left" w:leader="none"/>
          <w:tab w:pos="1159" w:val="left" w:leader="none"/>
        </w:tabs>
        <w:spacing w:line="253" w:lineRule="exact" w:before="15" w:after="0"/>
        <w:ind w:left="1158" w:right="0" w:hanging="840"/>
        <w:jc w:val="left"/>
        <w:rPr>
          <w:sz w:val="21"/>
        </w:rPr>
      </w:pPr>
      <w:r>
        <w:rPr>
          <w:spacing w:val="-3"/>
          <w:sz w:val="21"/>
        </w:rPr>
        <w:t>未依法按时进行或通过机动车安全技术检验。</w:t>
      </w:r>
    </w:p>
    <w:p>
      <w:pPr>
        <w:pStyle w:val="BodyText"/>
        <w:spacing w:line="312" w:lineRule="exact" w:before="36"/>
        <w:ind w:right="180"/>
        <w:jc w:val="both"/>
      </w:pPr>
      <w:r>
        <w:rPr>
          <w:rFonts w:ascii="Times New Roman" w:eastAsia="Times New Roman"/>
          <w:position w:val="10"/>
          <w:sz w:val="14"/>
        </w:rPr>
        <w:t>15 </w:t>
      </w:r>
      <w:r>
        <w:rPr>
          <w:rFonts w:ascii="微软雅黑" w:eastAsia="微软雅黑" w:hint="eastAsia"/>
          <w:b/>
          <w:spacing w:val="-2"/>
        </w:rPr>
        <w:t>感染艾滋病病毒或患艾滋病</w:t>
      </w:r>
      <w:r>
        <w:rPr>
          <w:spacing w:val="-6"/>
        </w:rPr>
        <w:t>：艾滋病病毒指人类免疫缺陷病毒，英文缩写为 </w:t>
      </w:r>
      <w:r>
        <w:rPr/>
        <w:t>HIV</w:t>
      </w:r>
      <w:r>
        <w:rPr>
          <w:spacing w:val="-3"/>
        </w:rPr>
        <w:t>。艾滋病指人类免疫缺</w:t>
      </w:r>
      <w:r>
        <w:rPr>
          <w:spacing w:val="-7"/>
        </w:rPr>
        <w:t>陷病毒引起的获得性免疫缺陷综合征，英文缩写为 </w:t>
      </w:r>
      <w:r>
        <w:rPr/>
        <w:t>AIDS</w:t>
      </w:r>
      <w:r>
        <w:rPr>
          <w:spacing w:val="-8"/>
        </w:rPr>
        <w:t>。在人体血液或其它样本中检测到艾滋病病毒或其</w:t>
      </w:r>
      <w:r>
        <w:rPr>
          <w:spacing w:val="-5"/>
        </w:rPr>
        <w:t>抗体呈阳性，没有出现临床症状或体征的，为感染艾滋病病毒；如果同时出现了明显临床症状或体征的， </w:t>
      </w:r>
      <w:r>
        <w:rPr>
          <w:spacing w:val="-4"/>
        </w:rPr>
        <w:t>为患艾滋病。</w:t>
      </w:r>
    </w:p>
    <w:p>
      <w:pPr>
        <w:pStyle w:val="BodyText"/>
        <w:spacing w:line="312" w:lineRule="exact"/>
        <w:ind w:right="206"/>
      </w:pPr>
      <w:r>
        <w:rPr>
          <w:rFonts w:ascii="Times New Roman" w:eastAsia="Times New Roman"/>
          <w:position w:val="10"/>
          <w:sz w:val="14"/>
        </w:rPr>
        <w:t>16 </w:t>
      </w:r>
      <w:r>
        <w:rPr>
          <w:rFonts w:ascii="微软雅黑" w:eastAsia="微软雅黑" w:hint="eastAsia"/>
          <w:b/>
        </w:rPr>
        <w:t>遗传性疾病</w:t>
      </w:r>
      <w:r>
        <w:rPr>
          <w:spacing w:val="-6"/>
        </w:rPr>
        <w:t>：指生殖细胞或受精卵的遗传物质</w:t>
      </w:r>
      <w:r>
        <w:rPr>
          <w:spacing w:val="-3"/>
        </w:rPr>
        <w:t>（染色体和基因</w:t>
      </w:r>
      <w:r>
        <w:rPr>
          <w:spacing w:val="-17"/>
        </w:rPr>
        <w:t>）</w:t>
      </w:r>
      <w:r>
        <w:rPr>
          <w:spacing w:val="-4"/>
        </w:rPr>
        <w:t>发生突变或畸变所引起的疾病，通常具</w:t>
      </w:r>
      <w:r>
        <w:rPr>
          <w:spacing w:val="-3"/>
        </w:rPr>
        <w:t>有由亲代传至后代的垂直传递的特征。</w:t>
      </w:r>
    </w:p>
    <w:p>
      <w:pPr>
        <w:pStyle w:val="BodyText"/>
        <w:spacing w:line="312" w:lineRule="exact"/>
        <w:ind w:right="132"/>
      </w:pPr>
      <w:r>
        <w:rPr>
          <w:rFonts w:ascii="Times New Roman" w:eastAsia="Times New Roman"/>
          <w:position w:val="10"/>
          <w:sz w:val="14"/>
        </w:rPr>
        <w:t>17 </w:t>
      </w:r>
      <w:r>
        <w:rPr>
          <w:rFonts w:ascii="微软雅黑" w:eastAsia="微软雅黑" w:hint="eastAsia"/>
          <w:b/>
          <w:spacing w:val="-2"/>
        </w:rPr>
        <w:t>先天性畸形、变形或染色体异常</w:t>
      </w:r>
      <w:r>
        <w:rPr>
          <w:spacing w:val="-3"/>
        </w:rPr>
        <w:t>：指被保险人出生时就具有的畸形、变形或染色体异常。先天性畸形、</w:t>
      </w:r>
      <w:r>
        <w:rPr>
          <w:spacing w:val="-7"/>
        </w:rPr>
        <w:t>变形和染色体异常依照世界卫生组织《疾病和有关健康问题的国际统计分类》</w:t>
      </w:r>
      <w:r>
        <w:rPr/>
        <w:t>（ICD-10）</w:t>
      </w:r>
      <w:r>
        <w:rPr>
          <w:spacing w:val="-2"/>
        </w:rPr>
        <w:t>确定。</w:t>
      </w:r>
    </w:p>
    <w:p>
      <w:pPr>
        <w:spacing w:line="238" w:lineRule="exact" w:before="0"/>
        <w:ind w:left="212" w:right="0" w:firstLine="0"/>
        <w:jc w:val="left"/>
        <w:rPr>
          <w:sz w:val="21"/>
        </w:rPr>
      </w:pPr>
      <w:r>
        <w:rPr>
          <w:rFonts w:ascii="Times New Roman" w:eastAsia="Times New Roman"/>
          <w:position w:val="10"/>
          <w:sz w:val="14"/>
        </w:rPr>
        <w:t>18   </w:t>
      </w:r>
      <w:r>
        <w:rPr>
          <w:rFonts w:ascii="微软雅黑" w:eastAsia="微软雅黑" w:hint="eastAsia"/>
          <w:b/>
          <w:sz w:val="21"/>
        </w:rPr>
        <w:t>保险事故</w:t>
      </w:r>
      <w:r>
        <w:rPr>
          <w:sz w:val="21"/>
        </w:rPr>
        <w:t>：是指保险合同约定的保险责任范围内的事故。</w:t>
      </w:r>
    </w:p>
    <w:p>
      <w:pPr>
        <w:pStyle w:val="BodyText"/>
        <w:spacing w:line="304" w:lineRule="exact"/>
      </w:pPr>
      <w:r>
        <w:rPr>
          <w:rFonts w:ascii="Times New Roman" w:eastAsia="Times New Roman"/>
          <w:position w:val="10"/>
          <w:sz w:val="14"/>
        </w:rPr>
        <w:t>19    </w:t>
      </w:r>
      <w:r>
        <w:rPr>
          <w:rFonts w:ascii="微软雅黑" w:eastAsia="微软雅黑" w:hint="eastAsia"/>
          <w:b/>
        </w:rPr>
        <w:t>利息</w:t>
      </w:r>
      <w:r>
        <w:rPr/>
        <w:t>：是指补交保险费、垫交保险费和借款的利息，按补交保险费、垫交保险费或借款的数额、经过天</w:t>
      </w:r>
    </w:p>
    <w:p>
      <w:pPr>
        <w:pStyle w:val="BodyText"/>
        <w:spacing w:line="237" w:lineRule="auto"/>
        <w:ind w:right="98"/>
      </w:pPr>
      <w:r>
        <w:rPr>
          <w:spacing w:val="-5"/>
        </w:rPr>
        <w:t>数和利率依年复利方式计算。利率将参照人民银行公布的同期贷款利率、公司自身资金成本及风险管控能</w:t>
      </w:r>
      <w:r>
        <w:rPr>
          <w:spacing w:val="-14"/>
        </w:rPr>
        <w:t>力确定，由我们每年度公布一次。补交保险费、垫交保险费的利息自合同约定的保险费到期日起开始计算。</w:t>
      </w:r>
    </w:p>
    <w:p>
      <w:pPr>
        <w:spacing w:line="321" w:lineRule="exact" w:before="11"/>
        <w:ind w:left="212" w:right="0" w:firstLine="0"/>
        <w:jc w:val="both"/>
        <w:rPr>
          <w:sz w:val="21"/>
        </w:rPr>
      </w:pPr>
      <w:r>
        <w:rPr>
          <w:rFonts w:ascii="Times New Roman" w:eastAsia="Times New Roman"/>
          <w:position w:val="10"/>
          <w:sz w:val="14"/>
        </w:rPr>
        <w:t>20   </w:t>
      </w:r>
      <w:r>
        <w:rPr>
          <w:rFonts w:ascii="微软雅黑" w:eastAsia="微软雅黑" w:hint="eastAsia"/>
          <w:b/>
          <w:sz w:val="21"/>
        </w:rPr>
        <w:t>医院</w:t>
      </w:r>
      <w:r>
        <w:rPr>
          <w:sz w:val="21"/>
        </w:rPr>
        <w:t>：是指符合下列所有条件的医疗机构：</w:t>
      </w:r>
    </w:p>
    <w:p>
      <w:pPr>
        <w:pStyle w:val="BodyText"/>
        <w:spacing w:before="11"/>
        <w:ind w:left="318"/>
      </w:pPr>
      <w:r>
        <w:rPr/>
        <w:t>（1）拥有合法经营执照；</w:t>
      </w:r>
    </w:p>
    <w:p>
      <w:pPr>
        <w:pStyle w:val="BodyText"/>
        <w:spacing w:before="37"/>
        <w:ind w:left="318"/>
      </w:pPr>
      <w:r>
        <w:rPr/>
        <w:t>（2）设立的主要目的为向受伤者和患病者提供住院治疗；</w:t>
      </w:r>
    </w:p>
    <w:p>
      <w:pPr>
        <w:pStyle w:val="BodyText"/>
        <w:spacing w:before="37"/>
        <w:ind w:left="318"/>
      </w:pPr>
      <w:r>
        <w:rPr/>
        <w:t>（3）有合格的医生和护士提供全日 24 小时的医疗和护理服务；</w:t>
      </w:r>
    </w:p>
    <w:p>
      <w:pPr>
        <w:pStyle w:val="BodyText"/>
        <w:spacing w:line="262" w:lineRule="exact" w:before="37"/>
        <w:ind w:left="318"/>
      </w:pPr>
      <w:r>
        <w:rPr/>
        <w:t>（4）非主要作为康复、护理、疗养、戒酒、戒毒、或类似的医疗机构。</w:t>
      </w:r>
    </w:p>
    <w:p>
      <w:pPr>
        <w:pStyle w:val="BodyText"/>
        <w:spacing w:line="312" w:lineRule="exact" w:before="45"/>
        <w:ind w:right="202"/>
        <w:jc w:val="both"/>
      </w:pPr>
      <w:r>
        <w:rPr>
          <w:rFonts w:ascii="Times New Roman" w:eastAsia="Times New Roman"/>
          <w:position w:val="10"/>
          <w:sz w:val="14"/>
        </w:rPr>
        <w:t>22 </w:t>
      </w:r>
      <w:r>
        <w:rPr>
          <w:rFonts w:ascii="微软雅黑" w:eastAsia="微软雅黑" w:hint="eastAsia"/>
          <w:b/>
        </w:rPr>
        <w:t>原位癌</w:t>
      </w:r>
      <w:r>
        <w:rPr>
          <w:spacing w:val="-8"/>
        </w:rPr>
        <w:t>：指恶性细胞局限于上皮内尚未穿破基底膜浸润周围正常组织的癌细胞新生物。原位癌必须经对</w:t>
      </w:r>
      <w:r>
        <w:rPr>
          <w:spacing w:val="-7"/>
        </w:rPr>
        <w:t>固定活组织的组织病理学检查明确诊断。被保险人必须已经接受了针对原位癌病灶的积极治疗，所谓的积</w:t>
      </w:r>
      <w:r>
        <w:rPr>
          <w:spacing w:val="-5"/>
        </w:rPr>
        <w:t>极治疗包含手术、化疗或放疗等治疗方式。</w:t>
      </w:r>
    </w:p>
    <w:p>
      <w:pPr>
        <w:pStyle w:val="BodyText"/>
        <w:spacing w:line="312" w:lineRule="exact"/>
        <w:ind w:right="204"/>
      </w:pPr>
      <w:r>
        <w:rPr>
          <w:rFonts w:ascii="Times New Roman" w:eastAsia="Times New Roman"/>
          <w:position w:val="10"/>
          <w:sz w:val="14"/>
        </w:rPr>
        <w:t>23 </w:t>
      </w:r>
      <w:r>
        <w:rPr>
          <w:rFonts w:ascii="微软雅黑" w:eastAsia="微软雅黑" w:hint="eastAsia"/>
          <w:b/>
        </w:rPr>
        <w:t>永久不可逆</w:t>
      </w:r>
      <w:r>
        <w:rPr>
          <w:spacing w:val="-9"/>
        </w:rPr>
        <w:t>：指自疾病确诊或意外伤害发生之日起，经过积极治疗 </w:t>
      </w:r>
      <w:r>
        <w:rPr/>
        <w:t>180</w:t>
      </w:r>
      <w:r>
        <w:rPr>
          <w:spacing w:val="-10"/>
        </w:rPr>
        <w:t> 天后，仍无法通过现有医疗手段恢复。</w:t>
      </w:r>
    </w:p>
    <w:p>
      <w:pPr>
        <w:pStyle w:val="BodyText"/>
        <w:spacing w:line="312" w:lineRule="exact"/>
        <w:ind w:right="202"/>
        <w:jc w:val="both"/>
      </w:pPr>
      <w:r>
        <w:rPr>
          <w:rFonts w:ascii="Times New Roman" w:hAnsi="Times New Roman" w:eastAsia="Times New Roman"/>
          <w:position w:val="10"/>
          <w:sz w:val="14"/>
        </w:rPr>
        <w:t>24 </w:t>
      </w:r>
      <w:r>
        <w:rPr>
          <w:rFonts w:ascii="微软雅黑" w:hAnsi="微软雅黑" w:eastAsia="微软雅黑" w:hint="eastAsia"/>
          <w:b/>
          <w:spacing w:val="-1"/>
        </w:rPr>
        <w:t>六项基本日常生活活动</w:t>
      </w:r>
      <w:r>
        <w:rPr>
          <w:spacing w:val="-9"/>
        </w:rPr>
        <w:t>：六项基本日常生活活动是指：①穿衣：自己能够穿衣及脱衣；②移动：自己从</w:t>
      </w:r>
      <w:r>
        <w:rPr>
          <w:spacing w:val="-6"/>
        </w:rPr>
        <w:t>一个房间到另一个房间；③行动：自己上下床或上下轮椅；④如厕：自己控制进行大小便；⑤进食：自己</w:t>
      </w:r>
      <w:r>
        <w:rPr>
          <w:spacing w:val="-3"/>
        </w:rPr>
        <w:t>从已准备好的碗或碟中取食物放入口中；⑥洗澡：自己进行淋浴或盆浴。</w:t>
      </w:r>
    </w:p>
    <w:p>
      <w:pPr>
        <w:pStyle w:val="BodyText"/>
        <w:spacing w:line="312" w:lineRule="exact"/>
        <w:ind w:right="202"/>
      </w:pPr>
      <w:r>
        <w:rPr>
          <w:rFonts w:ascii="Times New Roman" w:eastAsia="Times New Roman"/>
          <w:position w:val="10"/>
          <w:sz w:val="14"/>
        </w:rPr>
        <w:t>25 </w:t>
      </w:r>
      <w:r>
        <w:rPr>
          <w:rFonts w:ascii="微软雅黑" w:eastAsia="微软雅黑" w:hint="eastAsia"/>
          <w:b/>
        </w:rPr>
        <w:t>肢体机能完全丧失</w:t>
      </w:r>
      <w:r>
        <w:rPr>
          <w:spacing w:val="-8"/>
        </w:rPr>
        <w:t>：指肢体的三大关节中的两大关节僵硬，或不能随意识活动。肢体是指包括肩关节的</w:t>
      </w:r>
      <w:r>
        <w:rPr>
          <w:spacing w:val="-5"/>
        </w:rPr>
        <w:t>整个上肢或包括髋关节的整个下肢。</w:t>
      </w:r>
    </w:p>
    <w:p>
      <w:pPr>
        <w:pStyle w:val="BodyText"/>
        <w:spacing w:line="312" w:lineRule="exact"/>
        <w:ind w:right="132"/>
      </w:pPr>
      <w:r>
        <w:rPr>
          <w:rFonts w:ascii="Times New Roman" w:eastAsia="Times New Roman"/>
          <w:position w:val="10"/>
          <w:sz w:val="14"/>
        </w:rPr>
        <w:t>26 </w:t>
      </w:r>
      <w:r>
        <w:rPr>
          <w:rFonts w:ascii="微软雅黑" w:eastAsia="微软雅黑" w:hint="eastAsia"/>
          <w:b/>
          <w:spacing w:val="-1"/>
        </w:rPr>
        <w:t>语言能力或咀嚼吞咽能力完全丧失</w:t>
      </w:r>
      <w:r>
        <w:rPr>
          <w:spacing w:val="-3"/>
        </w:rPr>
        <w:t>：语言能力完全丧失，指无法发出四种语音（包括口唇音、齿舌音、口盖音和喉头音</w:t>
      </w:r>
      <w:r>
        <w:rPr>
          <w:spacing w:val="-8"/>
        </w:rPr>
        <w:t>）</w:t>
      </w:r>
      <w:r>
        <w:rPr>
          <w:spacing w:val="-5"/>
        </w:rPr>
        <w:t>中的任何三种、或声带全部切除，或因大脑语言中枢受伤害而患失语症。咀嚼吞咽能力</w:t>
      </w:r>
      <w:r>
        <w:rPr>
          <w:spacing w:val="-8"/>
        </w:rPr>
        <w:t>完全丧失，指因牙齿以外的原因导致器质障碍或机能障碍，以致不能作咀嚼吞咽运动，除流质食物外不能</w:t>
      </w:r>
      <w:r>
        <w:rPr>
          <w:spacing w:val="-5"/>
        </w:rPr>
        <w:t>摄取或吞咽的状态。</w:t>
      </w:r>
    </w:p>
    <w:p>
      <w:pPr>
        <w:pStyle w:val="BodyText"/>
        <w:ind w:left="0"/>
        <w:rPr>
          <w:sz w:val="20"/>
        </w:rPr>
      </w:pPr>
    </w:p>
    <w:p>
      <w:pPr>
        <w:pStyle w:val="BodyText"/>
        <w:spacing w:before="10"/>
        <w:ind w:left="0"/>
        <w:rPr>
          <w:sz w:val="22"/>
        </w:rPr>
      </w:pPr>
      <w:r>
        <w:rPr/>
        <w:drawing>
          <wp:anchor distT="0" distB="0" distL="0" distR="0" allowOverlap="1" layoutInCell="1" locked="0" behindDoc="0" simplePos="0" relativeHeight="2152">
            <wp:simplePos x="0" y="0"/>
            <wp:positionH relativeFrom="page">
              <wp:posOffset>650741</wp:posOffset>
            </wp:positionH>
            <wp:positionV relativeFrom="paragraph">
              <wp:posOffset>214545</wp:posOffset>
            </wp:positionV>
            <wp:extent cx="6257550" cy="38100"/>
            <wp:effectExtent l="0" t="0" r="0" b="0"/>
            <wp:wrapTopAndBottom/>
            <wp:docPr id="35" name="image3.png" descr=""/>
            <wp:cNvGraphicFramePr>
              <a:graphicFrameLocks noChangeAspect="1"/>
            </wp:cNvGraphicFramePr>
            <a:graphic>
              <a:graphicData uri="http://schemas.openxmlformats.org/drawingml/2006/picture">
                <pic:pic>
                  <pic:nvPicPr>
                    <pic:cNvPr id="36" name="image3.png"/>
                    <pic:cNvPicPr/>
                  </pic:nvPicPr>
                  <pic:blipFill>
                    <a:blip r:embed="rId9" cstate="print"/>
                    <a:stretch>
                      <a:fillRect/>
                    </a:stretch>
                  </pic:blipFill>
                  <pic:spPr>
                    <a:xfrm>
                      <a:off x="0" y="0"/>
                      <a:ext cx="6257550" cy="38100"/>
                    </a:xfrm>
                    <a:prstGeom prst="rect">
                      <a:avLst/>
                    </a:prstGeom>
                  </pic:spPr>
                </pic:pic>
              </a:graphicData>
            </a:graphic>
          </wp:anchor>
        </w:drawing>
      </w:r>
    </w:p>
    <w:p>
      <w:pPr>
        <w:pStyle w:val="BodyText"/>
        <w:spacing w:before="3"/>
        <w:ind w:left="0"/>
        <w:rPr>
          <w:sz w:val="15"/>
        </w:rPr>
      </w:pPr>
    </w:p>
    <w:p>
      <w:pPr>
        <w:pStyle w:val="Heading1"/>
        <w:spacing w:line="368" w:lineRule="exact"/>
        <w:ind w:left="306" w:right="305" w:firstLine="0"/>
        <w:jc w:val="center"/>
      </w:pPr>
      <w:r>
        <w:rPr/>
        <w:t>[本页内容结束]</w:t>
      </w:r>
    </w:p>
    <w:sectPr>
      <w:pgSz w:w="11900" w:h="16840"/>
      <w:pgMar w:header="892" w:footer="547" w:top="1080" w:bottom="740" w:left="9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Microsoft JhengHei">
    <w:altName w:val="Microsoft JhengHei"/>
    <w:charset w:val="0"/>
    <w:family w:val="swiss"/>
    <w:pitch w:val="variable"/>
  </w:font>
  <w:font w:name="MS UI Gothic">
    <w:altName w:val="MS UI Gothic"/>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39517pt;margin-top:800.879089pt;width:474.75pt;height:.15pt;mso-position-horizontal-relative:page;mso-position-vertical-relative:page;z-index:-44752" coordorigin="1025,16018" coordsize="9495,3" path="m1025,16020l10519,16020m1025,16018l10205,16018e" filled="false" stroked="true" strokeweight=".479531pt" strokecolor="#000000">
          <v:path arrowok="t"/>
          <v:stroke dashstyle="solid"/>
          <w10:wrap type="none"/>
        </v:shape>
      </w:pict>
    </w:r>
    <w:r>
      <w:rPr/>
      <w:pict>
        <v:shape style="position:absolute;margin-left:55.639477pt;margin-top:802.022522pt;width:137.15pt;height:9.6pt;mso-position-horizontal-relative:page;mso-position-vertical-relative:page;z-index:-44728" type="#_x0000_t202" filled="false" stroked="false">
          <v:textbox inset="0,0,0,0">
            <w:txbxContent>
              <w:p>
                <w:pPr>
                  <w:spacing w:line="171" w:lineRule="exact" w:before="0"/>
                  <w:ind w:left="20" w:right="0" w:firstLine="0"/>
                  <w:jc w:val="left"/>
                  <w:rPr>
                    <w:sz w:val="15"/>
                  </w:rPr>
                </w:pPr>
                <w:r>
                  <w:rPr>
                    <w:sz w:val="15"/>
                  </w:rPr>
                  <w:t>工银安盛人寿御享人生重大疾病保险条款</w:t>
                </w:r>
              </w:p>
            </w:txbxContent>
          </v:textbox>
          <w10:wrap type="none"/>
        </v:shape>
      </w:pict>
    </w:r>
    <w:r>
      <w:rPr/>
      <w:pict>
        <v:shape style="position:absolute;margin-left:464.479309pt;margin-top:801.675537pt;width:42.3pt;height:10.5pt;mso-position-horizontal-relative:page;mso-position-vertical-relative:page;z-index:-44704" type="#_x0000_t202" filled="false" stroked="false">
          <v:textbox inset="0,0,0,0">
            <w:txbxContent>
              <w:p>
                <w:pPr>
                  <w:spacing w:before="16"/>
                  <w:ind w:left="20" w:right="0" w:firstLine="0"/>
                  <w:jc w:val="left"/>
                  <w:rPr>
                    <w:rFonts w:ascii="Arial"/>
                    <w:sz w:val="15"/>
                  </w:rPr>
                </w:pPr>
                <w:r>
                  <w:rPr>
                    <w:rFonts w:ascii="Arial"/>
                    <w:sz w:val="15"/>
                  </w:rPr>
                  <w:t>BRMCCI</w:t>
                </w:r>
                <w:r>
                  <w:rPr/>
                  <w:fldChar w:fldCharType="begin"/>
                </w:r>
                <w:r>
                  <w:rPr>
                    <w:rFonts w:ascii="Arial"/>
                    <w:sz w:val="15"/>
                  </w:rPr>
                  <w:instrText> PAGE </w:instrText>
                </w:r>
                <w:r>
                  <w:rPr/>
                  <w:fldChar w:fldCharType="separate"/>
                </w:r>
                <w:r>
                  <w:rPr/>
                  <w:t>11</w:t>
                </w:r>
                <w:r>
                  <w:rPr/>
                  <w:fldChar w:fldCharType="end"/>
                </w:r>
                <w:r>
                  <w:rPr>
                    <w:rFonts w:ascii="Arial"/>
                    <w:sz w:val="15"/>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39517pt;margin-top:800.879089pt;width:474.75pt;height:.15pt;mso-position-horizontal-relative:page;mso-position-vertical-relative:page;z-index:-44632" coordorigin="1025,16018" coordsize="9495,3" path="m1025,16020l10519,16020m1025,16018l10279,16018e" filled="false" stroked="true" strokeweight=".479531pt" strokecolor="#000000">
          <v:path arrowok="t"/>
          <v:stroke dashstyle="solid"/>
          <w10:wrap type="none"/>
        </v:shape>
      </w:pict>
    </w:r>
    <w:r>
      <w:rPr/>
      <w:pict>
        <v:shape style="position:absolute;margin-left:55.639477pt;margin-top:802.022522pt;width:137.15pt;height:9.6pt;mso-position-horizontal-relative:page;mso-position-vertical-relative:page;z-index:-44608" type="#_x0000_t202" filled="false" stroked="false">
          <v:textbox inset="0,0,0,0">
            <w:txbxContent>
              <w:p>
                <w:pPr>
                  <w:spacing w:line="171" w:lineRule="exact" w:before="0"/>
                  <w:ind w:left="20" w:right="0" w:firstLine="0"/>
                  <w:jc w:val="left"/>
                  <w:rPr>
                    <w:sz w:val="15"/>
                  </w:rPr>
                </w:pPr>
                <w:r>
                  <w:rPr>
                    <w:sz w:val="15"/>
                  </w:rPr>
                  <w:t>工银安盛人寿御享人生重大疾病保险条款</w:t>
                </w:r>
              </w:p>
            </w:txbxContent>
          </v:textbox>
          <w10:wrap type="none"/>
        </v:shape>
      </w:pict>
    </w:r>
    <w:r>
      <w:rPr/>
      <w:pict>
        <v:shape style="position:absolute;margin-left:464.479309pt;margin-top:801.675537pt;width:45.15pt;height:10.5pt;mso-position-horizontal-relative:page;mso-position-vertical-relative:page;z-index:-44584" type="#_x0000_t202" filled="false" stroked="false">
          <v:textbox inset="0,0,0,0">
            <w:txbxContent>
              <w:p>
                <w:pPr>
                  <w:spacing w:before="16"/>
                  <w:ind w:left="20" w:right="0" w:firstLine="0"/>
                  <w:jc w:val="left"/>
                  <w:rPr>
                    <w:rFonts w:ascii="Times New Roman"/>
                    <w:sz w:val="15"/>
                  </w:rPr>
                </w:pPr>
                <w:r>
                  <w:rPr>
                    <w:rFonts w:ascii="Arial"/>
                    <w:sz w:val="15"/>
                  </w:rPr>
                  <w:t>BRMCCI1 </w:t>
                </w:r>
                <w:r>
                  <w:rPr>
                    <w:rFonts w:ascii="Times New Roman"/>
                    <w:sz w:val="15"/>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39517pt;margin-top:800.879089pt;width:474.75pt;height:.15pt;mso-position-horizontal-relative:page;mso-position-vertical-relative:page;z-index:-44560" coordorigin="1025,16018" coordsize="9495,3" path="m1025,16020l10519,16020m1025,16018l10274,16018e" filled="false" stroked="true" strokeweight=".479531pt" strokecolor="#000000">
          <v:path arrowok="t"/>
          <v:stroke dashstyle="solid"/>
          <w10:wrap type="none"/>
        </v:shape>
      </w:pict>
    </w:r>
    <w:r>
      <w:rPr/>
      <w:pict>
        <v:shape style="position:absolute;margin-left:55.639477pt;margin-top:802.022522pt;width:137.15pt;height:9.6pt;mso-position-horizontal-relative:page;mso-position-vertical-relative:page;z-index:-44536" type="#_x0000_t202" filled="false" stroked="false">
          <v:textbox inset="0,0,0,0">
            <w:txbxContent>
              <w:p>
                <w:pPr>
                  <w:spacing w:line="171" w:lineRule="exact" w:before="0"/>
                  <w:ind w:left="20" w:right="0" w:firstLine="0"/>
                  <w:jc w:val="left"/>
                  <w:rPr>
                    <w:sz w:val="15"/>
                  </w:rPr>
                </w:pPr>
                <w:r>
                  <w:rPr>
                    <w:sz w:val="15"/>
                  </w:rPr>
                  <w:t>工银安盛人寿御享人生重大疾病保险条款</w:t>
                </w:r>
              </w:p>
            </w:txbxContent>
          </v:textbox>
          <w10:wrap type="none"/>
        </v:shape>
      </w:pict>
    </w:r>
    <w:r>
      <w:rPr/>
      <w:pict>
        <v:shape style="position:absolute;margin-left:464.479309pt;margin-top:801.675537pt;width:46.15pt;height:10.5pt;mso-position-horizontal-relative:page;mso-position-vertical-relative:page;z-index:-44512" type="#_x0000_t202" filled="false" stroked="false">
          <v:textbox inset="0,0,0,0">
            <w:txbxContent>
              <w:p>
                <w:pPr>
                  <w:spacing w:before="16"/>
                  <w:ind w:left="20" w:right="0" w:firstLine="0"/>
                  <w:jc w:val="left"/>
                  <w:rPr>
                    <w:rFonts w:ascii="Arial"/>
                    <w:sz w:val="15"/>
                  </w:rPr>
                </w:pPr>
                <w:r>
                  <w:rPr>
                    <w:rFonts w:ascii="Arial"/>
                    <w:sz w:val="15"/>
                  </w:rPr>
                  <w:t>BRMCCI</w:t>
                </w:r>
                <w:r>
                  <w:rPr/>
                  <w:fldChar w:fldCharType="begin"/>
                </w:r>
                <w:r>
                  <w:rPr>
                    <w:rFonts w:ascii="Arial"/>
                    <w:sz w:val="15"/>
                  </w:rPr>
                  <w:instrText> PAGE </w:instrText>
                </w:r>
                <w:r>
                  <w:rPr/>
                  <w:fldChar w:fldCharType="separate"/>
                </w:r>
                <w:r>
                  <w:rPr/>
                  <w:t>112</w:t>
                </w:r>
                <w:r>
                  <w:rPr/>
                  <w:fldChar w:fldCharType="end"/>
                </w:r>
                <w:r>
                  <w:rPr>
                    <w:rFonts w:ascii="Arial"/>
                    <w:sz w:val="15"/>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39517pt;margin-top:800.879089pt;width:474.75pt;height:.15pt;mso-position-horizontal-relative:page;mso-position-vertical-relative:page;z-index:-44488" coordorigin="1025,16018" coordsize="9495,3" path="m1025,16020l10519,16020m1025,16018l10279,16018e" filled="false" stroked="true" strokeweight=".479531pt" strokecolor="#000000">
          <v:path arrowok="t"/>
          <v:stroke dashstyle="solid"/>
          <w10:wrap type="none"/>
        </v:shape>
      </w:pict>
    </w:r>
    <w:r>
      <w:rPr/>
      <w:pict>
        <v:shape style="position:absolute;margin-left:55.639477pt;margin-top:802.022522pt;width:137.15pt;height:9.6pt;mso-position-horizontal-relative:page;mso-position-vertical-relative:page;z-index:-44464" type="#_x0000_t202" filled="false" stroked="false">
          <v:textbox inset="0,0,0,0">
            <w:txbxContent>
              <w:p>
                <w:pPr>
                  <w:spacing w:line="171" w:lineRule="exact" w:before="0"/>
                  <w:ind w:left="20" w:right="0" w:firstLine="0"/>
                  <w:jc w:val="left"/>
                  <w:rPr>
                    <w:sz w:val="15"/>
                  </w:rPr>
                </w:pPr>
                <w:r>
                  <w:rPr>
                    <w:sz w:val="15"/>
                  </w:rPr>
                  <w:t>工银安盛人寿御享人生重大疾病保险条款</w:t>
                </w:r>
              </w:p>
            </w:txbxContent>
          </v:textbox>
          <w10:wrap type="none"/>
        </v:shape>
      </w:pict>
    </w:r>
    <w:r>
      <w:rPr/>
      <w:pict>
        <v:shape style="position:absolute;margin-left:464.479309pt;margin-top:801.675537pt;width:46.15pt;height:10.5pt;mso-position-horizontal-relative:page;mso-position-vertical-relative:page;z-index:-44440" type="#_x0000_t202" filled="false" stroked="false">
          <v:textbox inset="0,0,0,0">
            <w:txbxContent>
              <w:p>
                <w:pPr>
                  <w:spacing w:before="16"/>
                  <w:ind w:left="20" w:right="0" w:firstLine="0"/>
                  <w:jc w:val="left"/>
                  <w:rPr>
                    <w:rFonts w:ascii="Arial"/>
                    <w:sz w:val="15"/>
                  </w:rPr>
                </w:pPr>
                <w:r>
                  <w:rPr>
                    <w:rFonts w:ascii="Arial"/>
                    <w:sz w:val="15"/>
                  </w:rPr>
                  <w:t>BRMCCI</w:t>
                </w:r>
                <w:r>
                  <w:rPr/>
                  <w:fldChar w:fldCharType="begin"/>
                </w:r>
                <w:r>
                  <w:rPr>
                    <w:rFonts w:ascii="Arial"/>
                    <w:sz w:val="15"/>
                  </w:rPr>
                  <w:instrText> PAGE </w:instrText>
                </w:r>
                <w:r>
                  <w:rPr/>
                  <w:fldChar w:fldCharType="separate"/>
                </w:r>
                <w:r>
                  <w:rPr/>
                  <w:t>120</w:t>
                </w:r>
                <w:r>
                  <w:rPr/>
                  <w:fldChar w:fldCharType="end"/>
                </w:r>
                <w:r>
                  <w:rPr>
                    <w:rFonts w:ascii="Arial"/>
                    <w:sz w:val="15"/>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47.559814pt;margin-top:43.622444pt;width:92.15pt;height:9.6pt;mso-position-horizontal-relative:page;mso-position-vertical-relative:page;z-index:-44776"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4680" from="51.239517pt,54.478653pt" to="543.959506pt,54.478653pt" stroked="true" strokeweight=".479531pt" strokecolor="#000000">
          <v:stroke dashstyle="solid"/>
          <w10:wrap type="none"/>
        </v:line>
      </w:pict>
    </w:r>
    <w:r>
      <w:rPr/>
      <w:pict>
        <v:shape style="position:absolute;margin-left:447.559814pt;margin-top:43.622444pt;width:92.15pt;height:9.6pt;mso-position-horizontal-relative:page;mso-position-vertical-relative:page;z-index:-44656"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158" w:hanging="841"/>
        <w:jc w:val="left"/>
      </w:pPr>
      <w:rPr>
        <w:rFonts w:hint="default" w:ascii="宋体" w:hAnsi="宋体" w:eastAsia="宋体" w:cs="宋体"/>
        <w:w w:val="100"/>
        <w:sz w:val="21"/>
        <w:szCs w:val="21"/>
      </w:rPr>
    </w:lvl>
    <w:lvl w:ilvl="1">
      <w:start w:val="0"/>
      <w:numFmt w:val="bullet"/>
      <w:lvlText w:val="•"/>
      <w:lvlJc w:val="left"/>
      <w:pPr>
        <w:ind w:left="2050" w:hanging="841"/>
      </w:pPr>
      <w:rPr>
        <w:rFonts w:hint="default"/>
      </w:rPr>
    </w:lvl>
    <w:lvl w:ilvl="2">
      <w:start w:val="0"/>
      <w:numFmt w:val="bullet"/>
      <w:lvlText w:val="•"/>
      <w:lvlJc w:val="left"/>
      <w:pPr>
        <w:ind w:left="2940" w:hanging="841"/>
      </w:pPr>
      <w:rPr>
        <w:rFonts w:hint="default"/>
      </w:rPr>
    </w:lvl>
    <w:lvl w:ilvl="3">
      <w:start w:val="0"/>
      <w:numFmt w:val="bullet"/>
      <w:lvlText w:val="•"/>
      <w:lvlJc w:val="left"/>
      <w:pPr>
        <w:ind w:left="3830" w:hanging="841"/>
      </w:pPr>
      <w:rPr>
        <w:rFonts w:hint="default"/>
      </w:rPr>
    </w:lvl>
    <w:lvl w:ilvl="4">
      <w:start w:val="0"/>
      <w:numFmt w:val="bullet"/>
      <w:lvlText w:val="•"/>
      <w:lvlJc w:val="left"/>
      <w:pPr>
        <w:ind w:left="4720" w:hanging="841"/>
      </w:pPr>
      <w:rPr>
        <w:rFonts w:hint="default"/>
      </w:rPr>
    </w:lvl>
    <w:lvl w:ilvl="5">
      <w:start w:val="0"/>
      <w:numFmt w:val="bullet"/>
      <w:lvlText w:val="•"/>
      <w:lvlJc w:val="left"/>
      <w:pPr>
        <w:ind w:left="5610" w:hanging="841"/>
      </w:pPr>
      <w:rPr>
        <w:rFonts w:hint="default"/>
      </w:rPr>
    </w:lvl>
    <w:lvl w:ilvl="6">
      <w:start w:val="0"/>
      <w:numFmt w:val="bullet"/>
      <w:lvlText w:val="•"/>
      <w:lvlJc w:val="left"/>
      <w:pPr>
        <w:ind w:left="6500" w:hanging="841"/>
      </w:pPr>
      <w:rPr>
        <w:rFonts w:hint="default"/>
      </w:rPr>
    </w:lvl>
    <w:lvl w:ilvl="7">
      <w:start w:val="0"/>
      <w:numFmt w:val="bullet"/>
      <w:lvlText w:val="•"/>
      <w:lvlJc w:val="left"/>
      <w:pPr>
        <w:ind w:left="7390" w:hanging="841"/>
      </w:pPr>
      <w:rPr>
        <w:rFonts w:hint="default"/>
      </w:rPr>
    </w:lvl>
    <w:lvl w:ilvl="8">
      <w:start w:val="0"/>
      <w:numFmt w:val="bullet"/>
      <w:lvlText w:val="•"/>
      <w:lvlJc w:val="left"/>
      <w:pPr>
        <w:ind w:left="8280" w:hanging="841"/>
      </w:pPr>
      <w:rPr>
        <w:rFonts w:hint="default"/>
      </w:rPr>
    </w:lvl>
  </w:abstractNum>
  <w:abstractNum w:abstractNumId="5">
    <w:multiLevelType w:val="hybridMultilevel"/>
    <w:lvl w:ilvl="0">
      <w:start w:val="1"/>
      <w:numFmt w:val="decimal"/>
      <w:lvlText w:val="（%1）"/>
      <w:lvlJc w:val="left"/>
      <w:pPr>
        <w:ind w:left="1151" w:hanging="841"/>
        <w:jc w:val="left"/>
      </w:pPr>
      <w:rPr>
        <w:rFonts w:hint="default" w:ascii="宋体" w:hAnsi="宋体" w:eastAsia="宋体" w:cs="宋体"/>
        <w:spacing w:val="-3"/>
        <w:w w:val="100"/>
        <w:sz w:val="21"/>
        <w:szCs w:val="21"/>
      </w:rPr>
    </w:lvl>
    <w:lvl w:ilvl="1">
      <w:start w:val="0"/>
      <w:numFmt w:val="bullet"/>
      <w:lvlText w:val="•"/>
      <w:lvlJc w:val="left"/>
      <w:pPr>
        <w:ind w:left="2050" w:hanging="841"/>
      </w:pPr>
      <w:rPr>
        <w:rFonts w:hint="default"/>
      </w:rPr>
    </w:lvl>
    <w:lvl w:ilvl="2">
      <w:start w:val="0"/>
      <w:numFmt w:val="bullet"/>
      <w:lvlText w:val="•"/>
      <w:lvlJc w:val="left"/>
      <w:pPr>
        <w:ind w:left="2940" w:hanging="841"/>
      </w:pPr>
      <w:rPr>
        <w:rFonts w:hint="default"/>
      </w:rPr>
    </w:lvl>
    <w:lvl w:ilvl="3">
      <w:start w:val="0"/>
      <w:numFmt w:val="bullet"/>
      <w:lvlText w:val="•"/>
      <w:lvlJc w:val="left"/>
      <w:pPr>
        <w:ind w:left="3830" w:hanging="841"/>
      </w:pPr>
      <w:rPr>
        <w:rFonts w:hint="default"/>
      </w:rPr>
    </w:lvl>
    <w:lvl w:ilvl="4">
      <w:start w:val="0"/>
      <w:numFmt w:val="bullet"/>
      <w:lvlText w:val="•"/>
      <w:lvlJc w:val="left"/>
      <w:pPr>
        <w:ind w:left="4720" w:hanging="841"/>
      </w:pPr>
      <w:rPr>
        <w:rFonts w:hint="default"/>
      </w:rPr>
    </w:lvl>
    <w:lvl w:ilvl="5">
      <w:start w:val="0"/>
      <w:numFmt w:val="bullet"/>
      <w:lvlText w:val="•"/>
      <w:lvlJc w:val="left"/>
      <w:pPr>
        <w:ind w:left="5610" w:hanging="841"/>
      </w:pPr>
      <w:rPr>
        <w:rFonts w:hint="default"/>
      </w:rPr>
    </w:lvl>
    <w:lvl w:ilvl="6">
      <w:start w:val="0"/>
      <w:numFmt w:val="bullet"/>
      <w:lvlText w:val="•"/>
      <w:lvlJc w:val="left"/>
      <w:pPr>
        <w:ind w:left="6500" w:hanging="841"/>
      </w:pPr>
      <w:rPr>
        <w:rFonts w:hint="default"/>
      </w:rPr>
    </w:lvl>
    <w:lvl w:ilvl="7">
      <w:start w:val="0"/>
      <w:numFmt w:val="bullet"/>
      <w:lvlText w:val="•"/>
      <w:lvlJc w:val="left"/>
      <w:pPr>
        <w:ind w:left="7390" w:hanging="841"/>
      </w:pPr>
      <w:rPr>
        <w:rFonts w:hint="default"/>
      </w:rPr>
    </w:lvl>
    <w:lvl w:ilvl="8">
      <w:start w:val="0"/>
      <w:numFmt w:val="bullet"/>
      <w:lvlText w:val="•"/>
      <w:lvlJc w:val="left"/>
      <w:pPr>
        <w:ind w:left="8280" w:hanging="841"/>
      </w:pPr>
      <w:rPr>
        <w:rFonts w:hint="default"/>
      </w:rPr>
    </w:lvl>
  </w:abstractNum>
  <w:abstractNum w:abstractNumId="3">
    <w:multiLevelType w:val="hybridMultilevel"/>
    <w:lvl w:ilvl="0">
      <w:start w:val="0"/>
      <w:numFmt w:val="bullet"/>
      <w:lvlText w:val="&quot;"/>
      <w:lvlJc w:val="left"/>
      <w:pPr>
        <w:ind w:left="212" w:hanging="360"/>
      </w:pPr>
      <w:rPr>
        <w:rFonts w:hint="default"/>
        <w:w w:val="199"/>
      </w:rPr>
    </w:lvl>
    <w:lvl w:ilvl="1">
      <w:start w:val="0"/>
      <w:numFmt w:val="bullet"/>
      <w:lvlText w:val="•"/>
      <w:lvlJc w:val="left"/>
      <w:pPr>
        <w:ind w:left="1206" w:hanging="360"/>
      </w:pPr>
      <w:rPr>
        <w:rFonts w:hint="default"/>
      </w:rPr>
    </w:lvl>
    <w:lvl w:ilvl="2">
      <w:start w:val="0"/>
      <w:numFmt w:val="bullet"/>
      <w:lvlText w:val="•"/>
      <w:lvlJc w:val="left"/>
      <w:pPr>
        <w:ind w:left="2192" w:hanging="360"/>
      </w:pPr>
      <w:rPr>
        <w:rFonts w:hint="default"/>
      </w:rPr>
    </w:lvl>
    <w:lvl w:ilvl="3">
      <w:start w:val="0"/>
      <w:numFmt w:val="bullet"/>
      <w:lvlText w:val="•"/>
      <w:lvlJc w:val="left"/>
      <w:pPr>
        <w:ind w:left="3178" w:hanging="360"/>
      </w:pPr>
      <w:rPr>
        <w:rFonts w:hint="default"/>
      </w:rPr>
    </w:lvl>
    <w:lvl w:ilvl="4">
      <w:start w:val="0"/>
      <w:numFmt w:val="bullet"/>
      <w:lvlText w:val="•"/>
      <w:lvlJc w:val="left"/>
      <w:pPr>
        <w:ind w:left="4164" w:hanging="360"/>
      </w:pPr>
      <w:rPr>
        <w:rFonts w:hint="default"/>
      </w:rPr>
    </w:lvl>
    <w:lvl w:ilvl="5">
      <w:start w:val="0"/>
      <w:numFmt w:val="bullet"/>
      <w:lvlText w:val="•"/>
      <w:lvlJc w:val="left"/>
      <w:pPr>
        <w:ind w:left="5150" w:hanging="360"/>
      </w:pPr>
      <w:rPr>
        <w:rFonts w:hint="default"/>
      </w:rPr>
    </w:lvl>
    <w:lvl w:ilvl="6">
      <w:start w:val="0"/>
      <w:numFmt w:val="bullet"/>
      <w:lvlText w:val="•"/>
      <w:lvlJc w:val="left"/>
      <w:pPr>
        <w:ind w:left="6136" w:hanging="360"/>
      </w:pPr>
      <w:rPr>
        <w:rFonts w:hint="default"/>
      </w:rPr>
    </w:lvl>
    <w:lvl w:ilvl="7">
      <w:start w:val="0"/>
      <w:numFmt w:val="bullet"/>
      <w:lvlText w:val="•"/>
      <w:lvlJc w:val="left"/>
      <w:pPr>
        <w:ind w:left="7122" w:hanging="360"/>
      </w:pPr>
      <w:rPr>
        <w:rFonts w:hint="default"/>
      </w:rPr>
    </w:lvl>
    <w:lvl w:ilvl="8">
      <w:start w:val="0"/>
      <w:numFmt w:val="bullet"/>
      <w:lvlText w:val="•"/>
      <w:lvlJc w:val="left"/>
      <w:pPr>
        <w:ind w:left="8108" w:hanging="360"/>
      </w:pPr>
      <w:rPr>
        <w:rFonts w:hint="default"/>
      </w:rPr>
    </w:lvl>
  </w:abstractNum>
  <w:abstractNum w:abstractNumId="2">
    <w:multiLevelType w:val="hybridMultilevel"/>
    <w:lvl w:ilvl="0">
      <w:start w:val="2"/>
      <w:numFmt w:val="decimal"/>
      <w:lvlText w:val="%1"/>
      <w:lvlJc w:val="left"/>
      <w:pPr>
        <w:ind w:left="937" w:hanging="725"/>
        <w:jc w:val="left"/>
      </w:pPr>
      <w:rPr>
        <w:rFonts w:hint="default"/>
      </w:rPr>
    </w:lvl>
    <w:lvl w:ilvl="1">
      <w:start w:val="1"/>
      <w:numFmt w:val="decimal"/>
      <w:lvlText w:val="%1.%2"/>
      <w:lvlJc w:val="left"/>
      <w:pPr>
        <w:ind w:left="937" w:hanging="725"/>
        <w:jc w:val="left"/>
      </w:pPr>
      <w:rPr>
        <w:rFonts w:hint="default"/>
        <w:spacing w:val="0"/>
        <w:w w:val="83"/>
        <w:highlight w:val="lightGray"/>
      </w:rPr>
    </w:lvl>
    <w:lvl w:ilvl="2">
      <w:start w:val="0"/>
      <w:numFmt w:val="bullet"/>
      <w:lvlText w:val="•"/>
      <w:lvlJc w:val="left"/>
      <w:pPr>
        <w:ind w:left="2255" w:hanging="725"/>
      </w:pPr>
      <w:rPr>
        <w:rFonts w:hint="default"/>
      </w:rPr>
    </w:lvl>
    <w:lvl w:ilvl="3">
      <w:start w:val="0"/>
      <w:numFmt w:val="bullet"/>
      <w:lvlText w:val="•"/>
      <w:lvlJc w:val="left"/>
      <w:pPr>
        <w:ind w:left="3231" w:hanging="725"/>
      </w:pPr>
      <w:rPr>
        <w:rFonts w:hint="default"/>
      </w:rPr>
    </w:lvl>
    <w:lvl w:ilvl="4">
      <w:start w:val="0"/>
      <w:numFmt w:val="bullet"/>
      <w:lvlText w:val="•"/>
      <w:lvlJc w:val="left"/>
      <w:pPr>
        <w:ind w:left="4206" w:hanging="725"/>
      </w:pPr>
      <w:rPr>
        <w:rFonts w:hint="default"/>
      </w:rPr>
    </w:lvl>
    <w:lvl w:ilvl="5">
      <w:start w:val="0"/>
      <w:numFmt w:val="bullet"/>
      <w:lvlText w:val="•"/>
      <w:lvlJc w:val="left"/>
      <w:pPr>
        <w:ind w:left="5182" w:hanging="725"/>
      </w:pPr>
      <w:rPr>
        <w:rFonts w:hint="default"/>
      </w:rPr>
    </w:lvl>
    <w:lvl w:ilvl="6">
      <w:start w:val="0"/>
      <w:numFmt w:val="bullet"/>
      <w:lvlText w:val="•"/>
      <w:lvlJc w:val="left"/>
      <w:pPr>
        <w:ind w:left="6157" w:hanging="725"/>
      </w:pPr>
      <w:rPr>
        <w:rFonts w:hint="default"/>
      </w:rPr>
    </w:lvl>
    <w:lvl w:ilvl="7">
      <w:start w:val="0"/>
      <w:numFmt w:val="bullet"/>
      <w:lvlText w:val="•"/>
      <w:lvlJc w:val="left"/>
      <w:pPr>
        <w:ind w:left="7133" w:hanging="725"/>
      </w:pPr>
      <w:rPr>
        <w:rFonts w:hint="default"/>
      </w:rPr>
    </w:lvl>
    <w:lvl w:ilvl="8">
      <w:start w:val="0"/>
      <w:numFmt w:val="bullet"/>
      <w:lvlText w:val="•"/>
      <w:lvlJc w:val="left"/>
      <w:pPr>
        <w:ind w:left="8108" w:hanging="725"/>
      </w:pPr>
      <w:rPr>
        <w:rFonts w:hint="default"/>
      </w:rPr>
    </w:lvl>
  </w:abstractNum>
  <w:abstractNum w:abstractNumId="1">
    <w:multiLevelType w:val="hybridMultilevel"/>
    <w:lvl w:ilvl="0">
      <w:start w:val="1"/>
      <w:numFmt w:val="decimal"/>
      <w:lvlText w:val="%1"/>
      <w:lvlJc w:val="left"/>
      <w:pPr>
        <w:ind w:left="937" w:hanging="725"/>
        <w:jc w:val="left"/>
      </w:pPr>
      <w:rPr>
        <w:rFonts w:hint="default"/>
      </w:rPr>
    </w:lvl>
    <w:lvl w:ilvl="1">
      <w:start w:val="1"/>
      <w:numFmt w:val="decimal"/>
      <w:lvlText w:val="%1.%2"/>
      <w:lvlJc w:val="left"/>
      <w:pPr>
        <w:ind w:left="937" w:hanging="725"/>
        <w:jc w:val="left"/>
      </w:pPr>
      <w:rPr>
        <w:rFonts w:hint="default"/>
        <w:spacing w:val="0"/>
        <w:w w:val="83"/>
        <w:highlight w:val="lightGray"/>
      </w:rPr>
    </w:lvl>
    <w:lvl w:ilvl="2">
      <w:start w:val="0"/>
      <w:numFmt w:val="bullet"/>
      <w:lvlText w:val="•"/>
      <w:lvlJc w:val="left"/>
      <w:pPr>
        <w:ind w:left="2764" w:hanging="725"/>
      </w:pPr>
      <w:rPr>
        <w:rFonts w:hint="default"/>
      </w:rPr>
    </w:lvl>
    <w:lvl w:ilvl="3">
      <w:start w:val="0"/>
      <w:numFmt w:val="bullet"/>
      <w:lvlText w:val="•"/>
      <w:lvlJc w:val="left"/>
      <w:pPr>
        <w:ind w:left="3676" w:hanging="725"/>
      </w:pPr>
      <w:rPr>
        <w:rFonts w:hint="default"/>
      </w:rPr>
    </w:lvl>
    <w:lvl w:ilvl="4">
      <w:start w:val="0"/>
      <w:numFmt w:val="bullet"/>
      <w:lvlText w:val="•"/>
      <w:lvlJc w:val="left"/>
      <w:pPr>
        <w:ind w:left="4588" w:hanging="725"/>
      </w:pPr>
      <w:rPr>
        <w:rFonts w:hint="default"/>
      </w:rPr>
    </w:lvl>
    <w:lvl w:ilvl="5">
      <w:start w:val="0"/>
      <w:numFmt w:val="bullet"/>
      <w:lvlText w:val="•"/>
      <w:lvlJc w:val="left"/>
      <w:pPr>
        <w:ind w:left="5500" w:hanging="725"/>
      </w:pPr>
      <w:rPr>
        <w:rFonts w:hint="default"/>
      </w:rPr>
    </w:lvl>
    <w:lvl w:ilvl="6">
      <w:start w:val="0"/>
      <w:numFmt w:val="bullet"/>
      <w:lvlText w:val="•"/>
      <w:lvlJc w:val="left"/>
      <w:pPr>
        <w:ind w:left="6412" w:hanging="725"/>
      </w:pPr>
      <w:rPr>
        <w:rFonts w:hint="default"/>
      </w:rPr>
    </w:lvl>
    <w:lvl w:ilvl="7">
      <w:start w:val="0"/>
      <w:numFmt w:val="bullet"/>
      <w:lvlText w:val="•"/>
      <w:lvlJc w:val="left"/>
      <w:pPr>
        <w:ind w:left="7324" w:hanging="725"/>
      </w:pPr>
      <w:rPr>
        <w:rFonts w:hint="default"/>
      </w:rPr>
    </w:lvl>
    <w:lvl w:ilvl="8">
      <w:start w:val="0"/>
      <w:numFmt w:val="bullet"/>
      <w:lvlText w:val="•"/>
      <w:lvlJc w:val="left"/>
      <w:pPr>
        <w:ind w:left="8236" w:hanging="725"/>
      </w:pPr>
      <w:rPr>
        <w:rFonts w:hint="default"/>
      </w:rPr>
    </w:lvl>
  </w:abstractNum>
  <w:abstractNum w:abstractNumId="0">
    <w:multiLevelType w:val="hybridMultilevel"/>
    <w:lvl w:ilvl="0">
      <w:start w:val="0"/>
      <w:numFmt w:val="bullet"/>
      <w:lvlText w:val="❒"/>
      <w:lvlJc w:val="left"/>
      <w:pPr>
        <w:ind w:left="1459" w:hanging="339"/>
      </w:pPr>
      <w:rPr>
        <w:rFonts w:hint="default" w:ascii="MS UI Gothic" w:hAnsi="MS UI Gothic" w:eastAsia="MS UI Gothic" w:cs="MS UI Gothic"/>
        <w:w w:val="89"/>
        <w:sz w:val="18"/>
        <w:szCs w:val="18"/>
      </w:rPr>
    </w:lvl>
    <w:lvl w:ilvl="1">
      <w:start w:val="0"/>
      <w:numFmt w:val="bullet"/>
      <w:lvlText w:val="•"/>
      <w:lvlJc w:val="left"/>
      <w:pPr>
        <w:ind w:left="2328" w:hanging="339"/>
      </w:pPr>
      <w:rPr>
        <w:rFonts w:hint="default"/>
      </w:rPr>
    </w:lvl>
    <w:lvl w:ilvl="2">
      <w:start w:val="0"/>
      <w:numFmt w:val="bullet"/>
      <w:lvlText w:val="•"/>
      <w:lvlJc w:val="left"/>
      <w:pPr>
        <w:ind w:left="3196" w:hanging="339"/>
      </w:pPr>
      <w:rPr>
        <w:rFonts w:hint="default"/>
      </w:rPr>
    </w:lvl>
    <w:lvl w:ilvl="3">
      <w:start w:val="0"/>
      <w:numFmt w:val="bullet"/>
      <w:lvlText w:val="•"/>
      <w:lvlJc w:val="left"/>
      <w:pPr>
        <w:ind w:left="4064" w:hanging="339"/>
      </w:pPr>
      <w:rPr>
        <w:rFonts w:hint="default"/>
      </w:rPr>
    </w:lvl>
    <w:lvl w:ilvl="4">
      <w:start w:val="0"/>
      <w:numFmt w:val="bullet"/>
      <w:lvlText w:val="•"/>
      <w:lvlJc w:val="left"/>
      <w:pPr>
        <w:ind w:left="4932" w:hanging="339"/>
      </w:pPr>
      <w:rPr>
        <w:rFonts w:hint="default"/>
      </w:rPr>
    </w:lvl>
    <w:lvl w:ilvl="5">
      <w:start w:val="0"/>
      <w:numFmt w:val="bullet"/>
      <w:lvlText w:val="•"/>
      <w:lvlJc w:val="left"/>
      <w:pPr>
        <w:ind w:left="5800" w:hanging="339"/>
      </w:pPr>
      <w:rPr>
        <w:rFonts w:hint="default"/>
      </w:rPr>
    </w:lvl>
    <w:lvl w:ilvl="6">
      <w:start w:val="0"/>
      <w:numFmt w:val="bullet"/>
      <w:lvlText w:val="•"/>
      <w:lvlJc w:val="left"/>
      <w:pPr>
        <w:ind w:left="6668" w:hanging="339"/>
      </w:pPr>
      <w:rPr>
        <w:rFonts w:hint="default"/>
      </w:rPr>
    </w:lvl>
    <w:lvl w:ilvl="7">
      <w:start w:val="0"/>
      <w:numFmt w:val="bullet"/>
      <w:lvlText w:val="•"/>
      <w:lvlJc w:val="left"/>
      <w:pPr>
        <w:ind w:left="7536" w:hanging="339"/>
      </w:pPr>
      <w:rPr>
        <w:rFonts w:hint="default"/>
      </w:rPr>
    </w:lvl>
    <w:lvl w:ilvl="8">
      <w:start w:val="0"/>
      <w:numFmt w:val="bullet"/>
      <w:lvlText w:val="•"/>
      <w:lvlJc w:val="left"/>
      <w:pPr>
        <w:ind w:left="8404" w:hanging="339"/>
      </w:pPr>
      <w:rPr>
        <w:rFonts w:hint="default"/>
      </w:rPr>
    </w:lvl>
  </w:abstract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12"/>
    </w:pPr>
    <w:rPr>
      <w:rFonts w:ascii="宋体" w:hAnsi="宋体" w:eastAsia="宋体" w:cs="宋体"/>
      <w:sz w:val="21"/>
      <w:szCs w:val="21"/>
    </w:rPr>
  </w:style>
  <w:style w:styleId="Heading1" w:type="paragraph">
    <w:name w:val="Heading 1"/>
    <w:basedOn w:val="Normal"/>
    <w:uiPriority w:val="1"/>
    <w:qFormat/>
    <w:pPr>
      <w:spacing w:line="367" w:lineRule="exact"/>
      <w:ind w:left="937" w:hanging="725"/>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spacing w:line="312" w:lineRule="exact"/>
      <w:ind w:left="212"/>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937" w:hanging="725"/>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image" Target="media/image4.png"/><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2017_007工银安盛人寿御享人生重大疾病保险</dc:title>
  <dcterms:created xsi:type="dcterms:W3CDTF">2018-10-20T08:01:12Z</dcterms:created>
  <dcterms:modified xsi:type="dcterms:W3CDTF">2018-10-20T08:01:12Z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2017-02-20T00:00:00Z</vt:filetime>
  </property>
  <property fmtid="{D5CDD505-2E9C-101B-9397-08002B2CF9AE}" pid="3" name="Creator">
    <vt:lpwstr>PDF reDirect v2</vt:lpwstr>
  </property>
  <property fmtid="{D5CDD505-2E9C-101B-9397-08002B2CF9AE}" pid="4" name="LastSaved">
    <vt:filetime>2018-10-20T00:00:00Z</vt:filetime>
  </property>
</Properties>
</file>