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660" w:lineRule="exact" w:before="0"/>
        <w:ind w:left="2930" w:right="0" w:firstLine="0"/>
        <w:jc w:val="center"/>
        <w:rPr>
          <w:rFonts w:ascii="Microsoft JhengHei" w:eastAsia="Microsoft JhengHei" w:hint="eastAsia"/>
          <w:b/>
          <w:sz w:val="44"/>
        </w:rPr>
      </w:pPr>
      <w:r>
        <w:rPr>
          <w:rFonts w:ascii="Microsoft JhengHei" w:eastAsia="Microsoft JhengHei" w:hint="eastAsia"/>
          <w:b/>
          <w:sz w:val="44"/>
        </w:rPr>
        <w:t>建信人寿保险有限公司</w:t>
      </w:r>
    </w:p>
    <w:p>
      <w:pPr>
        <w:spacing w:before="45"/>
        <w:ind w:left="2930" w:right="0" w:firstLine="0"/>
        <w:jc w:val="center"/>
        <w:rPr>
          <w:rFonts w:ascii="Microsoft JhengHei" w:eastAsia="Microsoft JhengHei" w:hint="eastAsia"/>
          <w:b/>
          <w:sz w:val="24"/>
        </w:rPr>
      </w:pPr>
      <w:r>
        <w:rPr>
          <w:rFonts w:ascii="Microsoft JhengHei" w:eastAsia="Microsoft JhengHei" w:hint="eastAsia"/>
          <w:b/>
          <w:sz w:val="24"/>
        </w:rPr>
        <w:t>（以下简称本公司）</w:t>
      </w:r>
    </w:p>
    <w:p>
      <w:pPr>
        <w:spacing w:before="260"/>
        <w:ind w:left="2931" w:right="0" w:firstLine="0"/>
        <w:jc w:val="center"/>
        <w:rPr>
          <w:rFonts w:ascii="Microsoft JhengHei" w:eastAsia="Microsoft JhengHei" w:hint="eastAsia"/>
          <w:b/>
          <w:sz w:val="32"/>
        </w:rPr>
      </w:pPr>
      <w:r>
        <w:rPr>
          <w:rFonts w:ascii="Microsoft JhengHei" w:eastAsia="Microsoft JhengHei" w:hint="eastAsia"/>
          <w:b/>
          <w:sz w:val="32"/>
        </w:rPr>
        <w:t>康乐人生重大疾病保险</w:t>
      </w:r>
    </w:p>
    <w:p>
      <w:pPr>
        <w:spacing w:before="170"/>
        <w:ind w:left="651" w:right="100" w:firstLine="0"/>
        <w:jc w:val="center"/>
        <w:rPr>
          <w:sz w:val="18"/>
        </w:rPr>
      </w:pPr>
      <w:r>
        <w:rPr/>
        <w:br w:type="column"/>
      </w:r>
      <w:r>
        <w:rPr>
          <w:spacing w:val="-3"/>
          <w:w w:val="101"/>
          <w:sz w:val="18"/>
        </w:rPr>
        <w:t>建信人寿</w:t>
      </w:r>
      <w:r>
        <w:rPr>
          <w:spacing w:val="0"/>
          <w:w w:val="56"/>
          <w:sz w:val="18"/>
        </w:rPr>
        <w:t>[</w:t>
      </w:r>
      <w:r>
        <w:rPr>
          <w:spacing w:val="-1"/>
          <w:w w:val="112"/>
          <w:sz w:val="18"/>
        </w:rPr>
        <w:t>201</w:t>
      </w:r>
      <w:r>
        <w:rPr>
          <w:spacing w:val="-6"/>
          <w:w w:val="112"/>
          <w:sz w:val="18"/>
        </w:rPr>
        <w:t>3</w:t>
      </w:r>
      <w:r>
        <w:rPr>
          <w:spacing w:val="1"/>
          <w:w w:val="56"/>
          <w:sz w:val="18"/>
        </w:rPr>
        <w:t>]</w:t>
      </w:r>
      <w:r>
        <w:rPr>
          <w:spacing w:val="-3"/>
          <w:w w:val="101"/>
          <w:sz w:val="18"/>
        </w:rPr>
        <w:t>疾病保险第</w:t>
      </w:r>
      <w:r>
        <w:rPr>
          <w:spacing w:val="-47"/>
          <w:sz w:val="18"/>
        </w:rPr>
        <w:t> </w:t>
      </w:r>
      <w:r>
        <w:rPr>
          <w:spacing w:val="-1"/>
          <w:w w:val="112"/>
          <w:sz w:val="18"/>
        </w:rPr>
        <w:t>02</w:t>
      </w:r>
      <w:r>
        <w:rPr>
          <w:w w:val="112"/>
          <w:sz w:val="18"/>
        </w:rPr>
        <w:t>5</w:t>
      </w:r>
      <w:r>
        <w:rPr>
          <w:spacing w:val="-53"/>
          <w:sz w:val="18"/>
        </w:rPr>
        <w:t> </w:t>
      </w:r>
      <w:r>
        <w:rPr>
          <w:w w:val="101"/>
          <w:sz w:val="18"/>
        </w:rPr>
        <w:t>号</w:t>
      </w:r>
    </w:p>
    <w:p>
      <w:pPr>
        <w:pStyle w:val="BodyText"/>
        <w:spacing w:before="2"/>
        <w:ind w:left="0"/>
        <w:rPr>
          <w:sz w:val="14"/>
        </w:rPr>
      </w:pPr>
      <w:r>
        <w:rPr/>
        <w:drawing>
          <wp:anchor distT="0" distB="0" distL="0" distR="0" allowOverlap="1" layoutInCell="1" locked="0" behindDoc="0" simplePos="0" relativeHeight="0">
            <wp:simplePos x="0" y="0"/>
            <wp:positionH relativeFrom="page">
              <wp:posOffset>6114415</wp:posOffset>
            </wp:positionH>
            <wp:positionV relativeFrom="paragraph">
              <wp:posOffset>142697</wp:posOffset>
            </wp:positionV>
            <wp:extent cx="723899"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900"/>
                    </a:xfrm>
                    <a:prstGeom prst="rect">
                      <a:avLst/>
                    </a:prstGeom>
                  </pic:spPr>
                </pic:pic>
              </a:graphicData>
            </a:graphic>
          </wp:anchor>
        </w:drawing>
      </w:r>
    </w:p>
    <w:p>
      <w:pPr>
        <w:spacing w:before="99"/>
        <w:ind w:left="627" w:right="100" w:firstLine="0"/>
        <w:jc w:val="center"/>
        <w:rPr>
          <w:sz w:val="18"/>
        </w:rPr>
      </w:pPr>
      <w:r>
        <w:rPr>
          <w:sz w:val="18"/>
        </w:rPr>
        <w:t>请扫描以查询验证条款</w:t>
      </w:r>
    </w:p>
    <w:p>
      <w:pPr>
        <w:spacing w:after="0"/>
        <w:jc w:val="center"/>
        <w:rPr>
          <w:sz w:val="18"/>
        </w:rPr>
        <w:sectPr>
          <w:footerReference w:type="default" r:id="rId5"/>
          <w:type w:val="continuous"/>
          <w:pgSz w:w="11910" w:h="16840"/>
          <w:pgMar w:footer="496" w:top="840" w:bottom="680" w:left="820" w:right="240"/>
          <w:cols w:num="2" w:equalWidth="0">
            <w:col w:w="7338" w:space="40"/>
            <w:col w:w="3472"/>
          </w:cols>
        </w:sectPr>
      </w:pPr>
    </w:p>
    <w:p>
      <w:pPr>
        <w:pStyle w:val="BodyText"/>
        <w:spacing w:before="1"/>
        <w:ind w:left="0"/>
        <w:rPr>
          <w:sz w:val="2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1"/>
        <w:gridCol w:w="3200"/>
        <w:gridCol w:w="1527"/>
        <w:gridCol w:w="2475"/>
      </w:tblGrid>
      <w:tr>
        <w:trPr>
          <w:trHeight w:val="488" w:hRule="atLeast"/>
        </w:trPr>
        <w:tc>
          <w:tcPr>
            <w:tcW w:w="1211" w:type="dxa"/>
          </w:tcPr>
          <w:p>
            <w:pPr>
              <w:pStyle w:val="TableParagraph"/>
              <w:spacing w:line="318" w:lineRule="exact" w:before="0"/>
              <w:rPr>
                <w:rFonts w:ascii="Microsoft JhengHei" w:eastAsia="Microsoft JhengHei" w:hint="eastAsia"/>
                <w:b/>
                <w:sz w:val="24"/>
              </w:rPr>
            </w:pPr>
            <w:r>
              <w:rPr>
                <w:rFonts w:ascii="Microsoft JhengHei" w:eastAsia="Microsoft JhengHei" w:hint="eastAsia"/>
                <w:b/>
                <w:sz w:val="24"/>
              </w:rPr>
              <w:t>条款目录</w:t>
            </w:r>
          </w:p>
        </w:tc>
        <w:tc>
          <w:tcPr>
            <w:tcW w:w="3200" w:type="dxa"/>
          </w:tcPr>
          <w:p>
            <w:pPr>
              <w:pStyle w:val="TableParagraph"/>
              <w:spacing w:before="0"/>
              <w:ind w:left="0"/>
              <w:rPr>
                <w:rFonts w:ascii="Times New Roman"/>
                <w:sz w:val="20"/>
              </w:rPr>
            </w:pPr>
          </w:p>
        </w:tc>
        <w:tc>
          <w:tcPr>
            <w:tcW w:w="1527" w:type="dxa"/>
          </w:tcPr>
          <w:p>
            <w:pPr>
              <w:pStyle w:val="TableParagraph"/>
              <w:spacing w:before="0"/>
              <w:ind w:left="0"/>
              <w:rPr>
                <w:rFonts w:ascii="Times New Roman"/>
                <w:sz w:val="20"/>
              </w:rPr>
            </w:pPr>
          </w:p>
        </w:tc>
        <w:tc>
          <w:tcPr>
            <w:tcW w:w="2475" w:type="dxa"/>
          </w:tcPr>
          <w:p>
            <w:pPr>
              <w:pStyle w:val="TableParagraph"/>
              <w:spacing w:before="0"/>
              <w:ind w:left="0"/>
              <w:rPr>
                <w:rFonts w:ascii="Times New Roman"/>
                <w:sz w:val="20"/>
              </w:rPr>
            </w:pPr>
          </w:p>
        </w:tc>
      </w:tr>
      <w:tr>
        <w:trPr>
          <w:trHeight w:val="490" w:hRule="atLeast"/>
        </w:trPr>
        <w:tc>
          <w:tcPr>
            <w:tcW w:w="1211" w:type="dxa"/>
          </w:tcPr>
          <w:p>
            <w:pPr>
              <w:pStyle w:val="TableParagraph"/>
              <w:spacing w:before="147"/>
              <w:rPr>
                <w:sz w:val="21"/>
              </w:rPr>
            </w:pPr>
            <w:r>
              <w:rPr>
                <w:sz w:val="21"/>
              </w:rPr>
              <w:t>第一条</w:t>
            </w:r>
          </w:p>
        </w:tc>
        <w:tc>
          <w:tcPr>
            <w:tcW w:w="3200" w:type="dxa"/>
          </w:tcPr>
          <w:p>
            <w:pPr>
              <w:pStyle w:val="TableParagraph"/>
              <w:spacing w:before="147"/>
              <w:ind w:left="165"/>
              <w:rPr>
                <w:sz w:val="21"/>
              </w:rPr>
            </w:pPr>
            <w:r>
              <w:rPr>
                <w:sz w:val="21"/>
              </w:rPr>
              <w:t>保险合同的构成</w:t>
            </w:r>
          </w:p>
        </w:tc>
        <w:tc>
          <w:tcPr>
            <w:tcW w:w="1527" w:type="dxa"/>
          </w:tcPr>
          <w:p>
            <w:pPr>
              <w:pStyle w:val="TableParagraph"/>
              <w:spacing w:before="147"/>
              <w:ind w:left="298"/>
              <w:rPr>
                <w:sz w:val="21"/>
              </w:rPr>
            </w:pPr>
            <w:r>
              <w:rPr>
                <w:sz w:val="21"/>
              </w:rPr>
              <w:t>第十七条</w:t>
            </w:r>
          </w:p>
        </w:tc>
        <w:tc>
          <w:tcPr>
            <w:tcW w:w="2475" w:type="dxa"/>
          </w:tcPr>
          <w:p>
            <w:pPr>
              <w:pStyle w:val="TableParagraph"/>
              <w:spacing w:before="147"/>
              <w:ind w:left="173"/>
              <w:rPr>
                <w:sz w:val="21"/>
              </w:rPr>
            </w:pPr>
            <w:r>
              <w:rPr>
                <w:sz w:val="21"/>
              </w:rPr>
              <w:t>宣告死亡的处理</w:t>
            </w:r>
          </w:p>
        </w:tc>
      </w:tr>
      <w:tr>
        <w:trPr>
          <w:trHeight w:val="364" w:hRule="atLeast"/>
        </w:trPr>
        <w:tc>
          <w:tcPr>
            <w:tcW w:w="1211" w:type="dxa"/>
          </w:tcPr>
          <w:p>
            <w:pPr>
              <w:pStyle w:val="TableParagraph"/>
              <w:rPr>
                <w:sz w:val="21"/>
              </w:rPr>
            </w:pPr>
            <w:r>
              <w:rPr>
                <w:sz w:val="21"/>
              </w:rPr>
              <w:t>第二条</w:t>
            </w:r>
          </w:p>
        </w:tc>
        <w:tc>
          <w:tcPr>
            <w:tcW w:w="3200" w:type="dxa"/>
          </w:tcPr>
          <w:p>
            <w:pPr>
              <w:pStyle w:val="TableParagraph"/>
              <w:ind w:left="165"/>
              <w:rPr>
                <w:sz w:val="21"/>
              </w:rPr>
            </w:pPr>
            <w:r>
              <w:rPr>
                <w:sz w:val="21"/>
              </w:rPr>
              <w:t>保险责任</w:t>
            </w:r>
          </w:p>
        </w:tc>
        <w:tc>
          <w:tcPr>
            <w:tcW w:w="1527" w:type="dxa"/>
          </w:tcPr>
          <w:p>
            <w:pPr>
              <w:pStyle w:val="TableParagraph"/>
              <w:ind w:left="298"/>
              <w:rPr>
                <w:sz w:val="21"/>
              </w:rPr>
            </w:pPr>
            <w:r>
              <w:rPr>
                <w:sz w:val="21"/>
              </w:rPr>
              <w:t>第十八条</w:t>
            </w:r>
          </w:p>
        </w:tc>
        <w:tc>
          <w:tcPr>
            <w:tcW w:w="2475" w:type="dxa"/>
          </w:tcPr>
          <w:p>
            <w:pPr>
              <w:pStyle w:val="TableParagraph"/>
              <w:ind w:left="173"/>
              <w:rPr>
                <w:sz w:val="21"/>
              </w:rPr>
            </w:pPr>
            <w:r>
              <w:rPr>
                <w:sz w:val="21"/>
              </w:rPr>
              <w:t>身体检查及司法鉴定</w:t>
            </w:r>
          </w:p>
        </w:tc>
      </w:tr>
      <w:tr>
        <w:trPr>
          <w:trHeight w:val="364" w:hRule="atLeast"/>
        </w:trPr>
        <w:tc>
          <w:tcPr>
            <w:tcW w:w="1211" w:type="dxa"/>
          </w:tcPr>
          <w:p>
            <w:pPr>
              <w:pStyle w:val="TableParagraph"/>
              <w:rPr>
                <w:sz w:val="21"/>
              </w:rPr>
            </w:pPr>
            <w:r>
              <w:rPr>
                <w:sz w:val="21"/>
              </w:rPr>
              <w:t>第三条</w:t>
            </w:r>
          </w:p>
        </w:tc>
        <w:tc>
          <w:tcPr>
            <w:tcW w:w="3200" w:type="dxa"/>
          </w:tcPr>
          <w:p>
            <w:pPr>
              <w:pStyle w:val="TableParagraph"/>
              <w:ind w:left="165"/>
              <w:rPr>
                <w:sz w:val="21"/>
              </w:rPr>
            </w:pPr>
            <w:r>
              <w:rPr>
                <w:sz w:val="21"/>
              </w:rPr>
              <w:t>责任免除</w:t>
            </w:r>
          </w:p>
        </w:tc>
        <w:tc>
          <w:tcPr>
            <w:tcW w:w="1527" w:type="dxa"/>
          </w:tcPr>
          <w:p>
            <w:pPr>
              <w:pStyle w:val="TableParagraph"/>
              <w:ind w:left="298"/>
              <w:rPr>
                <w:sz w:val="21"/>
              </w:rPr>
            </w:pPr>
            <w:r>
              <w:rPr>
                <w:sz w:val="21"/>
              </w:rPr>
              <w:t>第十九条</w:t>
            </w:r>
          </w:p>
        </w:tc>
        <w:tc>
          <w:tcPr>
            <w:tcW w:w="2475" w:type="dxa"/>
          </w:tcPr>
          <w:p>
            <w:pPr>
              <w:pStyle w:val="TableParagraph"/>
              <w:ind w:left="173"/>
              <w:rPr>
                <w:sz w:val="21"/>
              </w:rPr>
            </w:pPr>
            <w:r>
              <w:rPr>
                <w:sz w:val="21"/>
              </w:rPr>
              <w:t>保险费的缴付</w:t>
            </w:r>
          </w:p>
        </w:tc>
      </w:tr>
      <w:tr>
        <w:trPr>
          <w:trHeight w:val="367" w:hRule="atLeast"/>
        </w:trPr>
        <w:tc>
          <w:tcPr>
            <w:tcW w:w="1211" w:type="dxa"/>
          </w:tcPr>
          <w:p>
            <w:pPr>
              <w:pStyle w:val="TableParagraph"/>
              <w:rPr>
                <w:sz w:val="21"/>
              </w:rPr>
            </w:pPr>
            <w:r>
              <w:rPr>
                <w:sz w:val="21"/>
              </w:rPr>
              <w:t>第四条</w:t>
            </w:r>
          </w:p>
        </w:tc>
        <w:tc>
          <w:tcPr>
            <w:tcW w:w="3200" w:type="dxa"/>
          </w:tcPr>
          <w:p>
            <w:pPr>
              <w:pStyle w:val="TableParagraph"/>
              <w:ind w:left="165"/>
              <w:rPr>
                <w:sz w:val="21"/>
              </w:rPr>
            </w:pPr>
            <w:r>
              <w:rPr>
                <w:sz w:val="21"/>
              </w:rPr>
              <w:t>保险合同成立与生效</w:t>
            </w:r>
          </w:p>
        </w:tc>
        <w:tc>
          <w:tcPr>
            <w:tcW w:w="1527" w:type="dxa"/>
          </w:tcPr>
          <w:p>
            <w:pPr>
              <w:pStyle w:val="TableParagraph"/>
              <w:ind w:left="298"/>
              <w:rPr>
                <w:sz w:val="21"/>
              </w:rPr>
            </w:pPr>
            <w:r>
              <w:rPr>
                <w:sz w:val="21"/>
              </w:rPr>
              <w:t>第二十条</w:t>
            </w:r>
          </w:p>
        </w:tc>
        <w:tc>
          <w:tcPr>
            <w:tcW w:w="2475" w:type="dxa"/>
          </w:tcPr>
          <w:p>
            <w:pPr>
              <w:pStyle w:val="TableParagraph"/>
              <w:ind w:left="173"/>
              <w:rPr>
                <w:sz w:val="21"/>
              </w:rPr>
            </w:pPr>
            <w:r>
              <w:rPr>
                <w:sz w:val="21"/>
              </w:rPr>
              <w:t>保险费率的调整</w:t>
            </w:r>
          </w:p>
        </w:tc>
      </w:tr>
      <w:tr>
        <w:trPr>
          <w:trHeight w:val="367" w:hRule="atLeast"/>
        </w:trPr>
        <w:tc>
          <w:tcPr>
            <w:tcW w:w="1211" w:type="dxa"/>
          </w:tcPr>
          <w:p>
            <w:pPr>
              <w:pStyle w:val="TableParagraph"/>
              <w:spacing w:before="23"/>
              <w:rPr>
                <w:sz w:val="21"/>
              </w:rPr>
            </w:pPr>
            <w:r>
              <w:rPr>
                <w:sz w:val="21"/>
              </w:rPr>
              <w:t>第五条</w:t>
            </w:r>
          </w:p>
        </w:tc>
        <w:tc>
          <w:tcPr>
            <w:tcW w:w="3200" w:type="dxa"/>
          </w:tcPr>
          <w:p>
            <w:pPr>
              <w:pStyle w:val="TableParagraph"/>
              <w:spacing w:before="23"/>
              <w:ind w:left="165"/>
              <w:rPr>
                <w:sz w:val="21"/>
              </w:rPr>
            </w:pPr>
            <w:r>
              <w:rPr>
                <w:sz w:val="21"/>
              </w:rPr>
              <w:t>保险期间</w:t>
            </w:r>
          </w:p>
        </w:tc>
        <w:tc>
          <w:tcPr>
            <w:tcW w:w="1527" w:type="dxa"/>
          </w:tcPr>
          <w:p>
            <w:pPr>
              <w:pStyle w:val="TableParagraph"/>
              <w:spacing w:before="23"/>
              <w:ind w:left="298"/>
              <w:rPr>
                <w:sz w:val="21"/>
              </w:rPr>
            </w:pPr>
            <w:r>
              <w:rPr>
                <w:sz w:val="21"/>
              </w:rPr>
              <w:t>第二十一条</w:t>
            </w:r>
          </w:p>
        </w:tc>
        <w:tc>
          <w:tcPr>
            <w:tcW w:w="2475" w:type="dxa"/>
          </w:tcPr>
          <w:p>
            <w:pPr>
              <w:pStyle w:val="TableParagraph"/>
              <w:spacing w:before="23"/>
              <w:ind w:left="173"/>
              <w:rPr>
                <w:sz w:val="21"/>
              </w:rPr>
            </w:pPr>
            <w:r>
              <w:rPr>
                <w:sz w:val="21"/>
              </w:rPr>
              <w:t>宽限期</w:t>
            </w:r>
          </w:p>
        </w:tc>
      </w:tr>
      <w:tr>
        <w:trPr>
          <w:trHeight w:val="365" w:hRule="atLeast"/>
        </w:trPr>
        <w:tc>
          <w:tcPr>
            <w:tcW w:w="1211" w:type="dxa"/>
          </w:tcPr>
          <w:p>
            <w:pPr>
              <w:pStyle w:val="TableParagraph"/>
              <w:rPr>
                <w:sz w:val="21"/>
              </w:rPr>
            </w:pPr>
            <w:r>
              <w:rPr>
                <w:sz w:val="21"/>
              </w:rPr>
              <w:t>第六条</w:t>
            </w:r>
          </w:p>
        </w:tc>
        <w:tc>
          <w:tcPr>
            <w:tcW w:w="3200" w:type="dxa"/>
          </w:tcPr>
          <w:p>
            <w:pPr>
              <w:pStyle w:val="TableParagraph"/>
              <w:ind w:left="165"/>
              <w:rPr>
                <w:sz w:val="21"/>
              </w:rPr>
            </w:pPr>
            <w:r>
              <w:rPr>
                <w:sz w:val="21"/>
              </w:rPr>
              <w:t>保险金额</w:t>
            </w:r>
          </w:p>
        </w:tc>
        <w:tc>
          <w:tcPr>
            <w:tcW w:w="1527" w:type="dxa"/>
          </w:tcPr>
          <w:p>
            <w:pPr>
              <w:pStyle w:val="TableParagraph"/>
              <w:ind w:left="298"/>
              <w:rPr>
                <w:sz w:val="21"/>
              </w:rPr>
            </w:pPr>
            <w:r>
              <w:rPr>
                <w:sz w:val="21"/>
              </w:rPr>
              <w:t>第二十二条</w:t>
            </w:r>
          </w:p>
        </w:tc>
        <w:tc>
          <w:tcPr>
            <w:tcW w:w="2475" w:type="dxa"/>
          </w:tcPr>
          <w:p>
            <w:pPr>
              <w:pStyle w:val="TableParagraph"/>
              <w:ind w:left="173"/>
              <w:rPr>
                <w:sz w:val="21"/>
              </w:rPr>
            </w:pPr>
            <w:r>
              <w:rPr>
                <w:sz w:val="21"/>
              </w:rPr>
              <w:t>保险费的自动垫缴</w:t>
            </w:r>
          </w:p>
        </w:tc>
      </w:tr>
      <w:tr>
        <w:trPr>
          <w:trHeight w:val="364" w:hRule="atLeast"/>
        </w:trPr>
        <w:tc>
          <w:tcPr>
            <w:tcW w:w="1211" w:type="dxa"/>
          </w:tcPr>
          <w:p>
            <w:pPr>
              <w:pStyle w:val="TableParagraph"/>
              <w:rPr>
                <w:sz w:val="21"/>
              </w:rPr>
            </w:pPr>
            <w:r>
              <w:rPr>
                <w:sz w:val="21"/>
              </w:rPr>
              <w:t>第七条</w:t>
            </w:r>
          </w:p>
        </w:tc>
        <w:tc>
          <w:tcPr>
            <w:tcW w:w="3200" w:type="dxa"/>
          </w:tcPr>
          <w:p>
            <w:pPr>
              <w:pStyle w:val="TableParagraph"/>
              <w:ind w:left="165"/>
              <w:rPr>
                <w:sz w:val="21"/>
              </w:rPr>
            </w:pPr>
            <w:r>
              <w:rPr>
                <w:sz w:val="21"/>
              </w:rPr>
              <w:t>保险金额的减少</w:t>
            </w:r>
          </w:p>
        </w:tc>
        <w:tc>
          <w:tcPr>
            <w:tcW w:w="1527" w:type="dxa"/>
          </w:tcPr>
          <w:p>
            <w:pPr>
              <w:pStyle w:val="TableParagraph"/>
              <w:ind w:left="298"/>
              <w:rPr>
                <w:sz w:val="21"/>
              </w:rPr>
            </w:pPr>
            <w:r>
              <w:rPr>
                <w:sz w:val="21"/>
              </w:rPr>
              <w:t>第二十三条</w:t>
            </w:r>
          </w:p>
        </w:tc>
        <w:tc>
          <w:tcPr>
            <w:tcW w:w="2475" w:type="dxa"/>
          </w:tcPr>
          <w:p>
            <w:pPr>
              <w:pStyle w:val="TableParagraph"/>
              <w:ind w:left="173"/>
              <w:rPr>
                <w:sz w:val="21"/>
              </w:rPr>
            </w:pPr>
            <w:r>
              <w:rPr>
                <w:sz w:val="21"/>
              </w:rPr>
              <w:t>减额付清保险</w:t>
            </w:r>
          </w:p>
        </w:tc>
      </w:tr>
      <w:tr>
        <w:trPr>
          <w:trHeight w:val="367" w:hRule="atLeast"/>
        </w:trPr>
        <w:tc>
          <w:tcPr>
            <w:tcW w:w="1211" w:type="dxa"/>
          </w:tcPr>
          <w:p>
            <w:pPr>
              <w:pStyle w:val="TableParagraph"/>
              <w:rPr>
                <w:sz w:val="21"/>
              </w:rPr>
            </w:pPr>
            <w:r>
              <w:rPr>
                <w:sz w:val="21"/>
              </w:rPr>
              <w:t>第八条</w:t>
            </w:r>
          </w:p>
        </w:tc>
        <w:tc>
          <w:tcPr>
            <w:tcW w:w="3200" w:type="dxa"/>
          </w:tcPr>
          <w:p>
            <w:pPr>
              <w:pStyle w:val="TableParagraph"/>
              <w:ind w:left="165"/>
              <w:rPr>
                <w:sz w:val="21"/>
              </w:rPr>
            </w:pPr>
            <w:r>
              <w:rPr>
                <w:sz w:val="21"/>
              </w:rPr>
              <w:t>合同犹豫期</w:t>
            </w:r>
          </w:p>
        </w:tc>
        <w:tc>
          <w:tcPr>
            <w:tcW w:w="1527" w:type="dxa"/>
          </w:tcPr>
          <w:p>
            <w:pPr>
              <w:pStyle w:val="TableParagraph"/>
              <w:ind w:left="298"/>
              <w:rPr>
                <w:sz w:val="21"/>
              </w:rPr>
            </w:pPr>
            <w:r>
              <w:rPr>
                <w:sz w:val="21"/>
              </w:rPr>
              <w:t>第二十四条</w:t>
            </w:r>
          </w:p>
        </w:tc>
        <w:tc>
          <w:tcPr>
            <w:tcW w:w="2475" w:type="dxa"/>
          </w:tcPr>
          <w:p>
            <w:pPr>
              <w:pStyle w:val="TableParagraph"/>
              <w:ind w:left="173"/>
              <w:rPr>
                <w:sz w:val="21"/>
              </w:rPr>
            </w:pPr>
            <w:r>
              <w:rPr>
                <w:sz w:val="21"/>
              </w:rPr>
              <w:t>借款</w:t>
            </w:r>
          </w:p>
        </w:tc>
      </w:tr>
      <w:tr>
        <w:trPr>
          <w:trHeight w:val="367" w:hRule="atLeast"/>
        </w:trPr>
        <w:tc>
          <w:tcPr>
            <w:tcW w:w="1211" w:type="dxa"/>
          </w:tcPr>
          <w:p>
            <w:pPr>
              <w:pStyle w:val="TableParagraph"/>
              <w:spacing w:before="23"/>
              <w:rPr>
                <w:sz w:val="21"/>
              </w:rPr>
            </w:pPr>
            <w:r>
              <w:rPr>
                <w:sz w:val="21"/>
              </w:rPr>
              <w:t>第九条</w:t>
            </w:r>
          </w:p>
        </w:tc>
        <w:tc>
          <w:tcPr>
            <w:tcW w:w="3200" w:type="dxa"/>
          </w:tcPr>
          <w:p>
            <w:pPr>
              <w:pStyle w:val="TableParagraph"/>
              <w:spacing w:before="23"/>
              <w:ind w:left="165"/>
              <w:rPr>
                <w:sz w:val="21"/>
              </w:rPr>
            </w:pPr>
            <w:r>
              <w:rPr>
                <w:sz w:val="21"/>
              </w:rPr>
              <w:t>投保人解除合同的手续及风险</w:t>
            </w:r>
          </w:p>
        </w:tc>
        <w:tc>
          <w:tcPr>
            <w:tcW w:w="1527" w:type="dxa"/>
          </w:tcPr>
          <w:p>
            <w:pPr>
              <w:pStyle w:val="TableParagraph"/>
              <w:spacing w:before="23"/>
              <w:ind w:left="298"/>
              <w:rPr>
                <w:sz w:val="21"/>
              </w:rPr>
            </w:pPr>
            <w:r>
              <w:rPr>
                <w:sz w:val="21"/>
              </w:rPr>
              <w:t>第二十五条</w:t>
            </w:r>
          </w:p>
        </w:tc>
        <w:tc>
          <w:tcPr>
            <w:tcW w:w="2475" w:type="dxa"/>
          </w:tcPr>
          <w:p>
            <w:pPr>
              <w:pStyle w:val="TableParagraph"/>
              <w:spacing w:before="23"/>
              <w:ind w:left="173"/>
              <w:rPr>
                <w:sz w:val="21"/>
              </w:rPr>
            </w:pPr>
            <w:r>
              <w:rPr>
                <w:sz w:val="21"/>
              </w:rPr>
              <w:t>效力恢复</w:t>
            </w:r>
          </w:p>
        </w:tc>
      </w:tr>
      <w:tr>
        <w:trPr>
          <w:trHeight w:val="365" w:hRule="atLeast"/>
        </w:trPr>
        <w:tc>
          <w:tcPr>
            <w:tcW w:w="1211" w:type="dxa"/>
          </w:tcPr>
          <w:p>
            <w:pPr>
              <w:pStyle w:val="TableParagraph"/>
              <w:rPr>
                <w:sz w:val="21"/>
              </w:rPr>
            </w:pPr>
            <w:r>
              <w:rPr>
                <w:sz w:val="21"/>
              </w:rPr>
              <w:t>第十条</w:t>
            </w:r>
          </w:p>
        </w:tc>
        <w:tc>
          <w:tcPr>
            <w:tcW w:w="3200" w:type="dxa"/>
          </w:tcPr>
          <w:p>
            <w:pPr>
              <w:pStyle w:val="TableParagraph"/>
              <w:ind w:left="165"/>
              <w:rPr>
                <w:sz w:val="21"/>
              </w:rPr>
            </w:pPr>
            <w:r>
              <w:rPr>
                <w:sz w:val="21"/>
              </w:rPr>
              <w:t>明确说明与如实告知</w:t>
            </w:r>
          </w:p>
        </w:tc>
        <w:tc>
          <w:tcPr>
            <w:tcW w:w="1527" w:type="dxa"/>
          </w:tcPr>
          <w:p>
            <w:pPr>
              <w:pStyle w:val="TableParagraph"/>
              <w:ind w:left="298"/>
              <w:rPr>
                <w:sz w:val="21"/>
              </w:rPr>
            </w:pPr>
            <w:r>
              <w:rPr>
                <w:sz w:val="21"/>
              </w:rPr>
              <w:t>第二十六条</w:t>
            </w:r>
          </w:p>
        </w:tc>
        <w:tc>
          <w:tcPr>
            <w:tcW w:w="2475" w:type="dxa"/>
          </w:tcPr>
          <w:p>
            <w:pPr>
              <w:pStyle w:val="TableParagraph"/>
              <w:ind w:left="173"/>
              <w:rPr>
                <w:sz w:val="21"/>
              </w:rPr>
            </w:pPr>
            <w:r>
              <w:rPr>
                <w:sz w:val="21"/>
              </w:rPr>
              <w:t>欠款的扣除</w:t>
            </w:r>
          </w:p>
        </w:tc>
      </w:tr>
      <w:tr>
        <w:trPr>
          <w:trHeight w:val="364" w:hRule="atLeast"/>
        </w:trPr>
        <w:tc>
          <w:tcPr>
            <w:tcW w:w="1211" w:type="dxa"/>
          </w:tcPr>
          <w:p>
            <w:pPr>
              <w:pStyle w:val="TableParagraph"/>
              <w:rPr>
                <w:sz w:val="21"/>
              </w:rPr>
            </w:pPr>
            <w:r>
              <w:rPr>
                <w:sz w:val="21"/>
              </w:rPr>
              <w:t>第十一条</w:t>
            </w:r>
          </w:p>
        </w:tc>
        <w:tc>
          <w:tcPr>
            <w:tcW w:w="3200" w:type="dxa"/>
          </w:tcPr>
          <w:p>
            <w:pPr>
              <w:pStyle w:val="TableParagraph"/>
              <w:ind w:left="165"/>
              <w:rPr>
                <w:sz w:val="21"/>
              </w:rPr>
            </w:pPr>
            <w:r>
              <w:rPr>
                <w:sz w:val="21"/>
              </w:rPr>
              <w:t>本公司合同解除权的限制</w:t>
            </w:r>
          </w:p>
        </w:tc>
        <w:tc>
          <w:tcPr>
            <w:tcW w:w="1527" w:type="dxa"/>
          </w:tcPr>
          <w:p>
            <w:pPr>
              <w:pStyle w:val="TableParagraph"/>
              <w:ind w:left="298"/>
              <w:rPr>
                <w:sz w:val="21"/>
              </w:rPr>
            </w:pPr>
            <w:r>
              <w:rPr>
                <w:sz w:val="21"/>
              </w:rPr>
              <w:t>第二十七条</w:t>
            </w:r>
          </w:p>
        </w:tc>
        <w:tc>
          <w:tcPr>
            <w:tcW w:w="2475" w:type="dxa"/>
          </w:tcPr>
          <w:p>
            <w:pPr>
              <w:pStyle w:val="TableParagraph"/>
              <w:ind w:left="173"/>
              <w:rPr>
                <w:sz w:val="21"/>
              </w:rPr>
            </w:pPr>
            <w:r>
              <w:rPr>
                <w:sz w:val="21"/>
              </w:rPr>
              <w:t>年龄错误</w:t>
            </w:r>
          </w:p>
        </w:tc>
      </w:tr>
      <w:tr>
        <w:trPr>
          <w:trHeight w:val="364" w:hRule="atLeast"/>
        </w:trPr>
        <w:tc>
          <w:tcPr>
            <w:tcW w:w="1211" w:type="dxa"/>
          </w:tcPr>
          <w:p>
            <w:pPr>
              <w:pStyle w:val="TableParagraph"/>
              <w:rPr>
                <w:sz w:val="21"/>
              </w:rPr>
            </w:pPr>
            <w:r>
              <w:rPr>
                <w:sz w:val="21"/>
              </w:rPr>
              <w:t>第十二条</w:t>
            </w:r>
          </w:p>
        </w:tc>
        <w:tc>
          <w:tcPr>
            <w:tcW w:w="3200" w:type="dxa"/>
          </w:tcPr>
          <w:p>
            <w:pPr>
              <w:pStyle w:val="TableParagraph"/>
              <w:ind w:left="165"/>
              <w:rPr>
                <w:sz w:val="21"/>
              </w:rPr>
            </w:pPr>
            <w:r>
              <w:rPr>
                <w:sz w:val="21"/>
              </w:rPr>
              <w:t>受益人</w:t>
            </w:r>
          </w:p>
        </w:tc>
        <w:tc>
          <w:tcPr>
            <w:tcW w:w="1527" w:type="dxa"/>
          </w:tcPr>
          <w:p>
            <w:pPr>
              <w:pStyle w:val="TableParagraph"/>
              <w:ind w:left="298"/>
              <w:rPr>
                <w:sz w:val="21"/>
              </w:rPr>
            </w:pPr>
            <w:r>
              <w:rPr>
                <w:sz w:val="21"/>
              </w:rPr>
              <w:t>第二十八条</w:t>
            </w:r>
          </w:p>
        </w:tc>
        <w:tc>
          <w:tcPr>
            <w:tcW w:w="2475" w:type="dxa"/>
          </w:tcPr>
          <w:p>
            <w:pPr>
              <w:pStyle w:val="TableParagraph"/>
              <w:ind w:left="173"/>
              <w:rPr>
                <w:sz w:val="21"/>
              </w:rPr>
            </w:pPr>
            <w:r>
              <w:rPr>
                <w:sz w:val="21"/>
              </w:rPr>
              <w:t>住所或通讯地址的变更</w:t>
            </w:r>
          </w:p>
        </w:tc>
      </w:tr>
      <w:tr>
        <w:trPr>
          <w:trHeight w:val="367" w:hRule="atLeast"/>
        </w:trPr>
        <w:tc>
          <w:tcPr>
            <w:tcW w:w="1211" w:type="dxa"/>
          </w:tcPr>
          <w:p>
            <w:pPr>
              <w:pStyle w:val="TableParagraph"/>
              <w:rPr>
                <w:sz w:val="21"/>
              </w:rPr>
            </w:pPr>
            <w:r>
              <w:rPr>
                <w:sz w:val="21"/>
              </w:rPr>
              <w:t>第十三条</w:t>
            </w:r>
          </w:p>
        </w:tc>
        <w:tc>
          <w:tcPr>
            <w:tcW w:w="3200" w:type="dxa"/>
          </w:tcPr>
          <w:p>
            <w:pPr>
              <w:pStyle w:val="TableParagraph"/>
              <w:ind w:left="165"/>
              <w:rPr>
                <w:sz w:val="21"/>
              </w:rPr>
            </w:pPr>
            <w:r>
              <w:rPr>
                <w:sz w:val="21"/>
              </w:rPr>
              <w:t>保险事故通知</w:t>
            </w:r>
          </w:p>
        </w:tc>
        <w:tc>
          <w:tcPr>
            <w:tcW w:w="1527" w:type="dxa"/>
          </w:tcPr>
          <w:p>
            <w:pPr>
              <w:pStyle w:val="TableParagraph"/>
              <w:ind w:left="298"/>
              <w:rPr>
                <w:sz w:val="21"/>
              </w:rPr>
            </w:pPr>
            <w:r>
              <w:rPr>
                <w:sz w:val="21"/>
              </w:rPr>
              <w:t>第二十九条</w:t>
            </w:r>
          </w:p>
        </w:tc>
        <w:tc>
          <w:tcPr>
            <w:tcW w:w="2475" w:type="dxa"/>
          </w:tcPr>
          <w:p>
            <w:pPr>
              <w:pStyle w:val="TableParagraph"/>
              <w:ind w:left="173"/>
              <w:rPr>
                <w:sz w:val="21"/>
              </w:rPr>
            </w:pPr>
            <w:r>
              <w:rPr>
                <w:sz w:val="21"/>
              </w:rPr>
              <w:t>争议的处理</w:t>
            </w:r>
          </w:p>
        </w:tc>
      </w:tr>
      <w:tr>
        <w:trPr>
          <w:trHeight w:val="367" w:hRule="atLeast"/>
        </w:trPr>
        <w:tc>
          <w:tcPr>
            <w:tcW w:w="1211" w:type="dxa"/>
          </w:tcPr>
          <w:p>
            <w:pPr>
              <w:pStyle w:val="TableParagraph"/>
              <w:spacing w:before="24"/>
              <w:rPr>
                <w:sz w:val="21"/>
              </w:rPr>
            </w:pPr>
            <w:r>
              <w:rPr>
                <w:sz w:val="21"/>
              </w:rPr>
              <w:t>第十四条</w:t>
            </w:r>
          </w:p>
        </w:tc>
        <w:tc>
          <w:tcPr>
            <w:tcW w:w="3200" w:type="dxa"/>
          </w:tcPr>
          <w:p>
            <w:pPr>
              <w:pStyle w:val="TableParagraph"/>
              <w:spacing w:before="24"/>
              <w:ind w:left="165"/>
              <w:rPr>
                <w:sz w:val="21"/>
              </w:rPr>
            </w:pPr>
            <w:r>
              <w:rPr>
                <w:sz w:val="21"/>
              </w:rPr>
              <w:t>保险金申请</w:t>
            </w:r>
          </w:p>
        </w:tc>
        <w:tc>
          <w:tcPr>
            <w:tcW w:w="1527" w:type="dxa"/>
          </w:tcPr>
          <w:p>
            <w:pPr>
              <w:pStyle w:val="TableParagraph"/>
              <w:spacing w:before="24"/>
              <w:ind w:left="298"/>
              <w:rPr>
                <w:sz w:val="21"/>
              </w:rPr>
            </w:pPr>
            <w:r>
              <w:rPr>
                <w:sz w:val="21"/>
              </w:rPr>
              <w:t>第三十条</w:t>
            </w:r>
          </w:p>
        </w:tc>
        <w:tc>
          <w:tcPr>
            <w:tcW w:w="2475" w:type="dxa"/>
          </w:tcPr>
          <w:p>
            <w:pPr>
              <w:pStyle w:val="TableParagraph"/>
              <w:spacing w:before="24"/>
              <w:ind w:left="173"/>
              <w:rPr>
                <w:sz w:val="21"/>
              </w:rPr>
            </w:pPr>
            <w:r>
              <w:rPr>
                <w:sz w:val="21"/>
              </w:rPr>
              <w:t>重大疾病的释义</w:t>
            </w:r>
          </w:p>
        </w:tc>
      </w:tr>
      <w:tr>
        <w:trPr>
          <w:trHeight w:val="364" w:hRule="atLeast"/>
        </w:trPr>
        <w:tc>
          <w:tcPr>
            <w:tcW w:w="1211" w:type="dxa"/>
          </w:tcPr>
          <w:p>
            <w:pPr>
              <w:pStyle w:val="TableParagraph"/>
              <w:rPr>
                <w:sz w:val="21"/>
              </w:rPr>
            </w:pPr>
            <w:r>
              <w:rPr>
                <w:sz w:val="21"/>
              </w:rPr>
              <w:t>第十五条</w:t>
            </w:r>
          </w:p>
        </w:tc>
        <w:tc>
          <w:tcPr>
            <w:tcW w:w="3200" w:type="dxa"/>
          </w:tcPr>
          <w:p>
            <w:pPr>
              <w:pStyle w:val="TableParagraph"/>
              <w:ind w:left="165"/>
              <w:rPr>
                <w:sz w:val="21"/>
              </w:rPr>
            </w:pPr>
            <w:r>
              <w:rPr>
                <w:sz w:val="21"/>
              </w:rPr>
              <w:t>保险金给付</w:t>
            </w:r>
          </w:p>
        </w:tc>
        <w:tc>
          <w:tcPr>
            <w:tcW w:w="1527" w:type="dxa"/>
          </w:tcPr>
          <w:p>
            <w:pPr>
              <w:pStyle w:val="TableParagraph"/>
              <w:ind w:left="298"/>
              <w:rPr>
                <w:sz w:val="21"/>
              </w:rPr>
            </w:pPr>
            <w:r>
              <w:rPr>
                <w:sz w:val="21"/>
              </w:rPr>
              <w:t>第三十一条</w:t>
            </w:r>
          </w:p>
        </w:tc>
        <w:tc>
          <w:tcPr>
            <w:tcW w:w="2475" w:type="dxa"/>
          </w:tcPr>
          <w:p>
            <w:pPr>
              <w:pStyle w:val="TableParagraph"/>
              <w:ind w:left="173"/>
              <w:rPr>
                <w:sz w:val="21"/>
              </w:rPr>
            </w:pPr>
            <w:r>
              <w:rPr>
                <w:sz w:val="21"/>
              </w:rPr>
              <w:t>其他名词的释义</w:t>
            </w:r>
          </w:p>
        </w:tc>
      </w:tr>
      <w:tr>
        <w:trPr>
          <w:trHeight w:val="323" w:hRule="atLeast"/>
        </w:trPr>
        <w:tc>
          <w:tcPr>
            <w:tcW w:w="1211" w:type="dxa"/>
          </w:tcPr>
          <w:p>
            <w:pPr>
              <w:pStyle w:val="TableParagraph"/>
              <w:rPr>
                <w:sz w:val="21"/>
              </w:rPr>
            </w:pPr>
            <w:r>
              <w:rPr>
                <w:sz w:val="21"/>
              </w:rPr>
              <w:t>第十六条</w:t>
            </w:r>
          </w:p>
        </w:tc>
        <w:tc>
          <w:tcPr>
            <w:tcW w:w="3200" w:type="dxa"/>
          </w:tcPr>
          <w:p>
            <w:pPr>
              <w:pStyle w:val="TableParagraph"/>
              <w:ind w:left="165"/>
              <w:rPr>
                <w:sz w:val="21"/>
              </w:rPr>
            </w:pPr>
            <w:r>
              <w:rPr>
                <w:sz w:val="21"/>
              </w:rPr>
              <w:t>诉讼时效</w:t>
            </w:r>
          </w:p>
        </w:tc>
        <w:tc>
          <w:tcPr>
            <w:tcW w:w="1527" w:type="dxa"/>
          </w:tcPr>
          <w:p>
            <w:pPr>
              <w:pStyle w:val="TableParagraph"/>
              <w:spacing w:before="0"/>
              <w:ind w:left="0"/>
              <w:rPr>
                <w:rFonts w:ascii="Times New Roman"/>
                <w:sz w:val="20"/>
              </w:rPr>
            </w:pPr>
          </w:p>
        </w:tc>
        <w:tc>
          <w:tcPr>
            <w:tcW w:w="2475" w:type="dxa"/>
          </w:tcPr>
          <w:p>
            <w:pPr>
              <w:pStyle w:val="TableParagraph"/>
              <w:spacing w:before="0"/>
              <w:ind w:left="0"/>
              <w:rPr>
                <w:rFonts w:ascii="Times New Roman"/>
                <w:sz w:val="20"/>
              </w:rPr>
            </w:pPr>
          </w:p>
        </w:tc>
      </w:tr>
    </w:tbl>
    <w:p>
      <w:pPr>
        <w:pStyle w:val="BodyText"/>
        <w:spacing w:before="3"/>
        <w:ind w:left="0"/>
        <w:rPr>
          <w:sz w:val="16"/>
        </w:rPr>
      </w:pPr>
    </w:p>
    <w:p>
      <w:pPr>
        <w:pStyle w:val="Heading1"/>
        <w:spacing w:before="37"/>
        <w:ind w:left="313"/>
        <w:rPr>
          <w:rFonts w:ascii="黑体" w:eastAsia="黑体" w:hint="eastAsia"/>
        </w:rPr>
      </w:pPr>
      <w:r>
        <w:rPr>
          <w:rFonts w:ascii="黑体" w:eastAsia="黑体" w:hint="eastAsia"/>
        </w:rPr>
        <w:t>第一条 保险合同的构成</w:t>
      </w:r>
    </w:p>
    <w:p>
      <w:pPr>
        <w:pStyle w:val="BodyText"/>
        <w:spacing w:before="8"/>
        <w:ind w:left="0"/>
        <w:rPr>
          <w:rFonts w:ascii="黑体"/>
          <w:b/>
          <w:sz w:val="22"/>
        </w:rPr>
      </w:pPr>
    </w:p>
    <w:p>
      <w:pPr>
        <w:pStyle w:val="BodyText"/>
        <w:spacing w:line="319" w:lineRule="auto" w:before="1"/>
        <w:ind w:left="313" w:right="871"/>
      </w:pPr>
      <w:r>
        <w:rPr/>
        <w:t>本保险合同（以下简称本合同）由保险单及其所载的条款、投保单以及有关的声明、批注及其他约定书构成。</w:t>
      </w:r>
    </w:p>
    <w:p>
      <w:pPr>
        <w:pStyle w:val="BodyText"/>
        <w:spacing w:before="12"/>
        <w:ind w:left="0"/>
        <w:rPr>
          <w:sz w:val="19"/>
        </w:rPr>
      </w:pPr>
    </w:p>
    <w:p>
      <w:pPr>
        <w:pStyle w:val="BodyText"/>
        <w:spacing w:line="324" w:lineRule="auto"/>
        <w:ind w:left="313" w:right="790"/>
      </w:pPr>
      <w:r>
        <w:rPr/>
        <w:t>若上述构成本合同的文件正本需留本公司存档，则其复印件或电子影像印刷件亦视为本合同的构成部分， 其效力与正本同。</w:t>
      </w:r>
    </w:p>
    <w:p>
      <w:pPr>
        <w:pStyle w:val="BodyText"/>
        <w:spacing w:before="7"/>
        <w:ind w:left="0"/>
        <w:rPr>
          <w:sz w:val="19"/>
        </w:rPr>
      </w:pPr>
    </w:p>
    <w:p>
      <w:pPr>
        <w:pStyle w:val="BodyText"/>
        <w:ind w:left="313"/>
      </w:pPr>
      <w:r>
        <w:rPr/>
        <w:t>本合同的代码为 </w:t>
      </w:r>
      <w:r>
        <w:rPr>
          <w:rFonts w:ascii="Times New Roman" w:eastAsia="Times New Roman"/>
        </w:rPr>
        <w:t>DDLL</w:t>
      </w:r>
      <w:r>
        <w:rPr/>
        <w:t>。</w:t>
      </w:r>
    </w:p>
    <w:p>
      <w:pPr>
        <w:pStyle w:val="BodyText"/>
        <w:spacing w:before="11"/>
        <w:ind w:left="0"/>
        <w:rPr>
          <w:sz w:val="19"/>
        </w:rPr>
      </w:pPr>
    </w:p>
    <w:p>
      <w:pPr>
        <w:pStyle w:val="Heading1"/>
        <w:spacing w:before="1"/>
        <w:ind w:left="313"/>
        <w:rPr>
          <w:rFonts w:ascii="黑体" w:eastAsia="黑体" w:hint="eastAsia"/>
        </w:rPr>
      </w:pPr>
      <w:r>
        <w:rPr>
          <w:rFonts w:ascii="黑体" w:eastAsia="黑体" w:hint="eastAsia"/>
        </w:rPr>
        <w:t>第二条 保险责任</w:t>
      </w:r>
    </w:p>
    <w:p>
      <w:pPr>
        <w:pStyle w:val="BodyText"/>
        <w:spacing w:line="604" w:lineRule="exact" w:before="59"/>
        <w:ind w:left="313" w:right="5904"/>
      </w:pPr>
      <w:r>
        <w:rPr/>
        <w:t>在本合同有效期限内，本公司承担下列保险责任： 一、重大疾病给付</w:t>
      </w:r>
    </w:p>
    <w:p>
      <w:pPr>
        <w:pStyle w:val="Heading1"/>
        <w:spacing w:line="302" w:lineRule="exact"/>
        <w:ind w:left="313"/>
      </w:pPr>
      <w:r>
        <w:rPr/>
        <w:t>自本合同生效日或最后一次效力恢复之日（上述生效日或效力恢复之日以较迟者为准）起 90 日内（含第</w:t>
      </w:r>
    </w:p>
    <w:p>
      <w:pPr>
        <w:spacing w:line="365" w:lineRule="exact" w:before="0"/>
        <w:ind w:left="313" w:right="0" w:firstLine="0"/>
        <w:jc w:val="left"/>
        <w:rPr>
          <w:sz w:val="21"/>
        </w:rPr>
      </w:pPr>
      <w:r>
        <w:rPr>
          <w:rFonts w:ascii="Microsoft JhengHei" w:eastAsia="Microsoft JhengHei" w:hint="eastAsia"/>
          <w:b/>
          <w:sz w:val="21"/>
        </w:rPr>
        <w:t>90</w:t>
      </w:r>
      <w:r>
        <w:rPr>
          <w:rFonts w:ascii="Microsoft JhengHei" w:eastAsia="Microsoft JhengHei" w:hint="eastAsia"/>
          <w:b/>
          <w:spacing w:val="20"/>
          <w:sz w:val="21"/>
        </w:rPr>
        <w:t> 日</w:t>
      </w:r>
      <w:r>
        <w:rPr>
          <w:rFonts w:ascii="Microsoft JhengHei" w:eastAsia="Microsoft JhengHei" w:hint="eastAsia"/>
          <w:b/>
          <w:spacing w:val="-68"/>
          <w:sz w:val="21"/>
        </w:rPr>
        <w:t>）</w:t>
      </w:r>
      <w:r>
        <w:rPr>
          <w:rFonts w:ascii="Microsoft JhengHei" w:eastAsia="Microsoft JhengHei" w:hint="eastAsia"/>
          <w:b/>
          <w:spacing w:val="-11"/>
          <w:sz w:val="21"/>
        </w:rPr>
        <w:t>，若被保险人发生本合同第三十条约定的重大疾病</w:t>
      </w:r>
      <w:r>
        <w:rPr>
          <w:rFonts w:ascii="Microsoft JhengHei" w:eastAsia="Microsoft JhengHei" w:hint="eastAsia"/>
          <w:b/>
          <w:sz w:val="21"/>
        </w:rPr>
        <w:t>（</w:t>
      </w:r>
      <w:r>
        <w:rPr>
          <w:rFonts w:ascii="Microsoft JhengHei" w:eastAsia="Microsoft JhengHei" w:hint="eastAsia"/>
          <w:b/>
          <w:spacing w:val="-3"/>
          <w:sz w:val="21"/>
        </w:rPr>
        <w:t>无论一种或多种</w:t>
      </w:r>
      <w:r>
        <w:rPr>
          <w:rFonts w:ascii="Microsoft JhengHei" w:eastAsia="Microsoft JhengHei" w:hint="eastAsia"/>
          <w:b/>
          <w:spacing w:val="-67"/>
          <w:sz w:val="21"/>
        </w:rPr>
        <w:t>）</w:t>
      </w:r>
      <w:r>
        <w:rPr>
          <w:rFonts w:ascii="Microsoft JhengHei" w:eastAsia="Microsoft JhengHei" w:hint="eastAsia"/>
          <w:b/>
          <w:spacing w:val="-12"/>
          <w:sz w:val="21"/>
        </w:rPr>
        <w:t>，本公司不承担保险责任。</w:t>
      </w:r>
      <w:r>
        <w:rPr>
          <w:sz w:val="21"/>
        </w:rPr>
        <w:t>这</w:t>
      </w:r>
    </w:p>
    <w:p>
      <w:pPr>
        <w:pStyle w:val="BodyText"/>
        <w:ind w:left="313"/>
      </w:pPr>
      <w:r>
        <w:rPr/>
        <w:t>90 日的时间称为等待期。若被保险人因发生</w:t>
      </w:r>
      <w:r>
        <w:rPr>
          <w:rFonts w:ascii="Microsoft JhengHei" w:eastAsia="Microsoft JhengHei" w:hint="eastAsia"/>
          <w:b/>
        </w:rPr>
        <w:t>意外伤害（见释义）</w:t>
      </w:r>
      <w:r>
        <w:rPr/>
        <w:t>事故而导致发生上述情形的，则不受等待</w:t>
      </w:r>
    </w:p>
    <w:p>
      <w:pPr>
        <w:spacing w:after="0"/>
        <w:sectPr>
          <w:type w:val="continuous"/>
          <w:pgSz w:w="11910" w:h="16840"/>
          <w:pgMar w:top="840" w:bottom="680" w:left="820" w:right="240"/>
        </w:sectPr>
      </w:pPr>
    </w:p>
    <w:p>
      <w:pPr>
        <w:pStyle w:val="BodyText"/>
        <w:spacing w:before="70"/>
      </w:pPr>
      <w:r>
        <w:rPr/>
        <w:t>期的限制。</w:t>
      </w:r>
    </w:p>
    <w:p>
      <w:pPr>
        <w:pStyle w:val="BodyText"/>
        <w:spacing w:before="5"/>
        <w:ind w:left="0"/>
        <w:rPr>
          <w:sz w:val="20"/>
        </w:rPr>
      </w:pPr>
    </w:p>
    <w:p>
      <w:pPr>
        <w:pStyle w:val="BodyText"/>
        <w:spacing w:line="297" w:lineRule="auto" w:before="1"/>
        <w:ind w:right="102"/>
        <w:jc w:val="both"/>
      </w:pPr>
      <w:r>
        <w:rPr>
          <w:spacing w:val="-5"/>
        </w:rPr>
        <w:t>若被保险人于本合同等待期后因初次出现的症状或体征被</w:t>
      </w:r>
      <w:r>
        <w:rPr>
          <w:rFonts w:ascii="Microsoft JhengHei" w:eastAsia="Microsoft JhengHei" w:hint="eastAsia"/>
          <w:b/>
          <w:spacing w:val="-2"/>
        </w:rPr>
        <w:t>医疗机构</w:t>
      </w:r>
      <w:r>
        <w:rPr>
          <w:rFonts w:ascii="Microsoft JhengHei" w:eastAsia="Microsoft JhengHei" w:hint="eastAsia"/>
          <w:b/>
        </w:rPr>
        <w:t>（</w:t>
      </w:r>
      <w:r>
        <w:rPr>
          <w:rFonts w:ascii="Microsoft JhengHei" w:eastAsia="Microsoft JhengHei" w:hint="eastAsia"/>
          <w:b/>
          <w:spacing w:val="-2"/>
        </w:rPr>
        <w:t>见释义</w:t>
      </w:r>
      <w:r>
        <w:rPr>
          <w:rFonts w:ascii="Microsoft JhengHei" w:eastAsia="Microsoft JhengHei" w:hint="eastAsia"/>
          <w:b/>
          <w:spacing w:val="-4"/>
        </w:rPr>
        <w:t>）</w:t>
      </w:r>
      <w:r>
        <w:rPr>
          <w:spacing w:val="-5"/>
        </w:rPr>
        <w:t>的</w:t>
      </w:r>
      <w:r>
        <w:rPr>
          <w:rFonts w:ascii="Microsoft JhengHei" w:eastAsia="Microsoft JhengHei" w:hint="eastAsia"/>
          <w:b/>
          <w:spacing w:val="-3"/>
        </w:rPr>
        <w:t>专科医生</w:t>
      </w:r>
      <w:r>
        <w:rPr>
          <w:rFonts w:ascii="Microsoft JhengHei" w:eastAsia="Microsoft JhengHei" w:hint="eastAsia"/>
          <w:b/>
        </w:rPr>
        <w:t>（</w:t>
      </w:r>
      <w:r>
        <w:rPr>
          <w:rFonts w:ascii="Microsoft JhengHei" w:eastAsia="Microsoft JhengHei" w:hint="eastAsia"/>
          <w:b/>
          <w:spacing w:val="-2"/>
        </w:rPr>
        <w:t>见释义</w:t>
      </w:r>
      <w:r>
        <w:rPr>
          <w:rFonts w:ascii="Microsoft JhengHei" w:eastAsia="Microsoft JhengHei" w:hint="eastAsia"/>
          <w:b/>
          <w:spacing w:val="-5"/>
        </w:rPr>
        <w:t>）</w:t>
      </w:r>
      <w:r>
        <w:rPr/>
        <w:t>确诊</w:t>
      </w:r>
      <w:r>
        <w:rPr>
          <w:w w:val="100"/>
        </w:rPr>
        <w:t>初次发生本合同第三十条约定的重大疾病</w:t>
      </w:r>
      <w:r>
        <w:rPr>
          <w:spacing w:val="3"/>
          <w:w w:val="100"/>
        </w:rPr>
        <w:t>（</w:t>
      </w:r>
      <w:r>
        <w:rPr>
          <w:w w:val="100"/>
        </w:rPr>
        <w:t>无论一种或多种</w:t>
      </w:r>
      <w:r>
        <w:rPr>
          <w:spacing w:val="-101"/>
          <w:w w:val="100"/>
        </w:rPr>
        <w:t>）</w:t>
      </w:r>
      <w:r>
        <w:rPr>
          <w:w w:val="100"/>
        </w:rPr>
        <w:t>，则本公司按本合同的保险金额给付重大疾</w:t>
      </w:r>
      <w:r>
        <w:rPr>
          <w:spacing w:val="-2"/>
        </w:rPr>
        <w:t>病保险金，本合同效力终止。</w:t>
      </w:r>
    </w:p>
    <w:p>
      <w:pPr>
        <w:pStyle w:val="BodyText"/>
        <w:spacing w:before="9"/>
        <w:ind w:left="0"/>
      </w:pPr>
    </w:p>
    <w:p>
      <w:pPr>
        <w:pStyle w:val="BodyText"/>
      </w:pPr>
      <w:r>
        <w:rPr/>
        <w:t>二、身故、全残给付</w:t>
      </w:r>
    </w:p>
    <w:p>
      <w:pPr>
        <w:pStyle w:val="BodyText"/>
        <w:spacing w:line="453" w:lineRule="auto" w:before="152"/>
        <w:ind w:right="113"/>
      </w:pPr>
      <w:r>
        <w:rPr>
          <w:w w:val="100"/>
        </w:rPr>
        <w:t>若被保险人身故或</w:t>
      </w:r>
      <w:r>
        <w:rPr>
          <w:rFonts w:ascii="Microsoft JhengHei" w:eastAsia="Microsoft JhengHei" w:hint="eastAsia"/>
          <w:b/>
          <w:spacing w:val="0"/>
          <w:w w:val="100"/>
        </w:rPr>
        <w:t>全残</w:t>
      </w:r>
      <w:r>
        <w:rPr>
          <w:rFonts w:ascii="Microsoft JhengHei" w:eastAsia="Microsoft JhengHei" w:hint="eastAsia"/>
          <w:b/>
          <w:spacing w:val="3"/>
          <w:w w:val="100"/>
        </w:rPr>
        <w:t>（</w:t>
      </w:r>
      <w:r>
        <w:rPr>
          <w:rFonts w:ascii="Microsoft JhengHei" w:eastAsia="Microsoft JhengHei" w:hint="eastAsia"/>
          <w:b/>
          <w:w w:val="100"/>
        </w:rPr>
        <w:t>见释义</w:t>
      </w:r>
      <w:r>
        <w:rPr>
          <w:rFonts w:ascii="Microsoft JhengHei" w:eastAsia="Microsoft JhengHei" w:hint="eastAsia"/>
          <w:b/>
          <w:spacing w:val="-101"/>
          <w:w w:val="100"/>
        </w:rPr>
        <w:t>）</w:t>
      </w:r>
      <w:r>
        <w:rPr>
          <w:w w:val="100"/>
        </w:rPr>
        <w:t>，则本公司按本合同的保险金额给付身故或全残保险金（若被保险人同</w:t>
      </w:r>
      <w:r>
        <w:rPr>
          <w:spacing w:val="-5"/>
          <w:w w:val="100"/>
        </w:rPr>
        <w:t>时致成一项以上全残情形时，该给付以一项为限</w:t>
      </w:r>
      <w:r>
        <w:rPr>
          <w:spacing w:val="-106"/>
          <w:w w:val="100"/>
        </w:rPr>
        <w:t>）</w:t>
      </w:r>
      <w:r>
        <w:rPr>
          <w:spacing w:val="-3"/>
          <w:w w:val="100"/>
        </w:rPr>
        <w:t>，本合同效力终止。</w:t>
      </w:r>
    </w:p>
    <w:p>
      <w:pPr>
        <w:pStyle w:val="Heading1"/>
        <w:spacing w:before="215"/>
        <w:rPr>
          <w:rFonts w:ascii="黑体" w:eastAsia="黑体" w:hint="eastAsia"/>
        </w:rPr>
      </w:pPr>
      <w:r>
        <w:rPr>
          <w:rFonts w:ascii="黑体" w:eastAsia="黑体" w:hint="eastAsia"/>
        </w:rPr>
        <w:t>第三条 责任免除</w:t>
      </w:r>
    </w:p>
    <w:p>
      <w:pPr>
        <w:pStyle w:val="BodyText"/>
        <w:spacing w:before="3"/>
        <w:ind w:left="0"/>
        <w:rPr>
          <w:rFonts w:ascii="黑体"/>
          <w:b/>
          <w:sz w:val="18"/>
        </w:rPr>
      </w:pPr>
    </w:p>
    <w:p>
      <w:pPr>
        <w:pStyle w:val="BodyText"/>
        <w:spacing w:line="275" w:lineRule="exact"/>
        <w:rPr>
          <w:rFonts w:ascii="黑体" w:eastAsia="黑体" w:hint="eastAsia"/>
        </w:rPr>
      </w:pPr>
      <w:r>
        <w:rPr>
          <w:rFonts w:ascii="黑体" w:eastAsia="黑体" w:hint="eastAsia"/>
          <w:spacing w:val="-7"/>
        </w:rPr>
        <w:t>因下列 </w:t>
      </w:r>
      <w:r>
        <w:rPr>
          <w:rFonts w:ascii="黑体" w:eastAsia="黑体" w:hint="eastAsia"/>
        </w:rPr>
        <w:t>1-8</w:t>
      </w:r>
      <w:r>
        <w:rPr>
          <w:rFonts w:ascii="黑体" w:eastAsia="黑体" w:hint="eastAsia"/>
          <w:spacing w:val="-7"/>
        </w:rPr>
        <w:t> 项情形之一导致被保险人发</w:t>
      </w:r>
      <w:r>
        <w:rPr>
          <w:rFonts w:ascii="黑体" w:eastAsia="黑体" w:hint="eastAsia"/>
        </w:rPr>
        <w:t>Th</w:t>
      </w:r>
      <w:r>
        <w:rPr>
          <w:rFonts w:ascii="黑体" w:eastAsia="黑体" w:hint="eastAsia"/>
          <w:spacing w:val="-6"/>
        </w:rPr>
        <w:t>疾病、达到疾病状态或进行手术的，本公司不承担给付本合同重</w:t>
      </w:r>
    </w:p>
    <w:p>
      <w:pPr>
        <w:pStyle w:val="BodyText"/>
        <w:spacing w:line="225" w:lineRule="auto" w:before="17"/>
        <w:ind w:right="101"/>
        <w:rPr>
          <w:rFonts w:ascii="黑体" w:eastAsia="黑体" w:hint="eastAsia"/>
        </w:rPr>
      </w:pPr>
      <w:r>
        <w:rPr>
          <w:rFonts w:ascii="黑体" w:eastAsia="黑体" w:hint="eastAsia"/>
          <w:spacing w:val="-6"/>
        </w:rPr>
        <w:t>大疾病保险金的责任；因下列 </w:t>
      </w:r>
      <w:r>
        <w:rPr>
          <w:rFonts w:ascii="Times New Roman" w:eastAsia="Times New Roman"/>
        </w:rPr>
        <w:t>1-6 </w:t>
      </w:r>
      <w:r>
        <w:rPr>
          <w:rFonts w:ascii="黑体" w:eastAsia="黑体" w:hint="eastAsia"/>
          <w:spacing w:val="-8"/>
        </w:rPr>
        <w:t>项情形之一或第 </w:t>
      </w:r>
      <w:r>
        <w:rPr>
          <w:rFonts w:ascii="Times New Roman" w:eastAsia="Times New Roman"/>
        </w:rPr>
        <w:t>9 </w:t>
      </w:r>
      <w:r>
        <w:rPr>
          <w:rFonts w:ascii="黑体" w:eastAsia="黑体" w:hint="eastAsia"/>
          <w:spacing w:val="-5"/>
        </w:rPr>
        <w:t>项情形导致被保险人身故或全残的，本公司不承担给付本合同身故或全残保险金的责任。</w:t>
      </w:r>
    </w:p>
    <w:p>
      <w:pPr>
        <w:pStyle w:val="BodyText"/>
        <w:spacing w:line="279" w:lineRule="exact"/>
        <w:rPr>
          <w:rFonts w:ascii="黑体" w:eastAsia="黑体" w:hint="eastAsia"/>
        </w:rPr>
      </w:pPr>
      <w:r>
        <w:rPr>
          <w:rFonts w:ascii="Times New Roman" w:eastAsia="Times New Roman"/>
        </w:rPr>
        <w:t>1</w:t>
      </w:r>
      <w:r>
        <w:rPr>
          <w:rFonts w:ascii="黑体" w:eastAsia="黑体" w:hint="eastAsia"/>
        </w:rPr>
        <w:t>、 投保人对被保险人的故意杀害、故意伤害；</w:t>
      </w:r>
    </w:p>
    <w:p>
      <w:pPr>
        <w:pStyle w:val="BodyText"/>
        <w:spacing w:line="271" w:lineRule="exact"/>
        <w:rPr>
          <w:rFonts w:ascii="黑体" w:eastAsia="黑体" w:hint="eastAsia"/>
        </w:rPr>
      </w:pPr>
      <w:r>
        <w:rPr>
          <w:rFonts w:ascii="Times New Roman" w:eastAsia="Times New Roman"/>
        </w:rPr>
        <w:t>2</w:t>
      </w:r>
      <w:r>
        <w:rPr>
          <w:rFonts w:ascii="黑体" w:eastAsia="黑体" w:hint="eastAsia"/>
        </w:rPr>
        <w:t>、 被保险人故意犯罪或者抗拒依法采取的刑事强制措施；</w:t>
      </w:r>
    </w:p>
    <w:p>
      <w:pPr>
        <w:spacing w:line="274" w:lineRule="exact" w:before="0"/>
        <w:ind w:left="113" w:right="0" w:firstLine="0"/>
        <w:jc w:val="left"/>
        <w:rPr>
          <w:rFonts w:ascii="黑体" w:eastAsia="黑体" w:hint="eastAsia"/>
          <w:sz w:val="21"/>
        </w:rPr>
      </w:pPr>
      <w:r>
        <w:rPr>
          <w:rFonts w:ascii="Times New Roman" w:eastAsia="Times New Roman"/>
          <w:w w:val="100"/>
          <w:sz w:val="21"/>
        </w:rPr>
        <w:t>3</w:t>
      </w:r>
      <w:r>
        <w:rPr>
          <w:rFonts w:ascii="黑体" w:eastAsia="黑体" w:hint="eastAsia"/>
          <w:w w:val="100"/>
          <w:sz w:val="21"/>
        </w:rPr>
        <w:t>、</w:t>
      </w:r>
      <w:r>
        <w:rPr>
          <w:rFonts w:ascii="黑体" w:eastAsia="黑体" w:hint="eastAsia"/>
          <w:sz w:val="21"/>
        </w:rPr>
        <w:t> </w:t>
      </w:r>
      <w:r>
        <w:rPr>
          <w:rFonts w:ascii="黑体" w:eastAsia="黑体" w:hint="eastAsia"/>
          <w:spacing w:val="-3"/>
          <w:w w:val="100"/>
          <w:sz w:val="21"/>
        </w:rPr>
        <w:t>被保险人主动吸食或注射</w:t>
      </w:r>
      <w:r>
        <w:rPr>
          <w:rFonts w:ascii="黑体" w:eastAsia="黑体" w:hint="eastAsia"/>
          <w:b/>
          <w:w w:val="100"/>
          <w:sz w:val="21"/>
        </w:rPr>
        <w:t>毒品（见释义</w:t>
      </w:r>
      <w:r>
        <w:rPr>
          <w:rFonts w:ascii="黑体" w:eastAsia="黑体" w:hint="eastAsia"/>
          <w:b/>
          <w:spacing w:val="-105"/>
          <w:w w:val="100"/>
          <w:sz w:val="21"/>
        </w:rPr>
        <w:t>）</w:t>
      </w:r>
      <w:r>
        <w:rPr>
          <w:rFonts w:ascii="黑体" w:eastAsia="黑体" w:hint="eastAsia"/>
          <w:w w:val="100"/>
          <w:sz w:val="21"/>
        </w:rPr>
        <w:t>；</w:t>
      </w:r>
    </w:p>
    <w:p>
      <w:pPr>
        <w:spacing w:line="225" w:lineRule="auto" w:before="8"/>
        <w:ind w:left="535" w:right="106" w:hanging="423"/>
        <w:jc w:val="left"/>
        <w:rPr>
          <w:rFonts w:ascii="黑体" w:eastAsia="黑体" w:hint="eastAsia"/>
          <w:sz w:val="21"/>
        </w:rPr>
      </w:pPr>
      <w:r>
        <w:rPr>
          <w:rFonts w:ascii="Times New Roman" w:eastAsia="Times New Roman"/>
          <w:w w:val="100"/>
          <w:sz w:val="21"/>
        </w:rPr>
        <w:t>4</w:t>
      </w:r>
      <w:r>
        <w:rPr>
          <w:rFonts w:ascii="黑体" w:eastAsia="黑体" w:hint="eastAsia"/>
          <w:w w:val="100"/>
          <w:sz w:val="21"/>
        </w:rPr>
        <w:t>、</w:t>
      </w:r>
      <w:r>
        <w:rPr>
          <w:rFonts w:ascii="黑体" w:eastAsia="黑体" w:hint="eastAsia"/>
          <w:sz w:val="21"/>
        </w:rPr>
        <w:t> </w:t>
      </w:r>
      <w:r>
        <w:rPr>
          <w:rFonts w:ascii="黑体" w:eastAsia="黑体" w:hint="eastAsia"/>
          <w:spacing w:val="-2"/>
          <w:w w:val="100"/>
          <w:sz w:val="21"/>
        </w:rPr>
        <w:t>被保险人</w:t>
      </w:r>
      <w:r>
        <w:rPr>
          <w:rFonts w:ascii="黑体" w:eastAsia="黑体" w:hint="eastAsia"/>
          <w:b/>
          <w:spacing w:val="-3"/>
          <w:w w:val="100"/>
          <w:sz w:val="21"/>
        </w:rPr>
        <w:t>酒后驾驶</w:t>
      </w:r>
      <w:r>
        <w:rPr>
          <w:rFonts w:ascii="黑体" w:eastAsia="黑体" w:hint="eastAsia"/>
          <w:b/>
          <w:w w:val="100"/>
          <w:sz w:val="21"/>
        </w:rPr>
        <w:t>（见释义</w:t>
      </w:r>
      <w:r>
        <w:rPr>
          <w:rFonts w:ascii="黑体" w:eastAsia="黑体" w:hint="eastAsia"/>
          <w:b/>
          <w:spacing w:val="-106"/>
          <w:w w:val="100"/>
          <w:sz w:val="21"/>
        </w:rPr>
        <w:t>）</w:t>
      </w:r>
      <w:r>
        <w:rPr>
          <w:rFonts w:ascii="黑体" w:eastAsia="黑体" w:hint="eastAsia"/>
          <w:spacing w:val="-14"/>
          <w:w w:val="100"/>
          <w:sz w:val="21"/>
        </w:rPr>
        <w:t>，</w:t>
      </w:r>
      <w:r>
        <w:rPr>
          <w:rFonts w:ascii="黑体" w:eastAsia="黑体" w:hint="eastAsia"/>
          <w:b/>
          <w:spacing w:val="-2"/>
          <w:w w:val="100"/>
          <w:sz w:val="21"/>
        </w:rPr>
        <w:t>无合法有效驾驶证驾驶</w:t>
      </w:r>
      <w:r>
        <w:rPr>
          <w:rFonts w:ascii="黑体" w:eastAsia="黑体" w:hint="eastAsia"/>
          <w:b/>
          <w:w w:val="100"/>
          <w:sz w:val="21"/>
        </w:rPr>
        <w:t>（见释义</w:t>
      </w:r>
      <w:r>
        <w:rPr>
          <w:rFonts w:ascii="黑体" w:eastAsia="黑体" w:hint="eastAsia"/>
          <w:b/>
          <w:spacing w:val="-101"/>
          <w:w w:val="100"/>
          <w:sz w:val="21"/>
        </w:rPr>
        <w:t>）</w:t>
      </w:r>
      <w:r>
        <w:rPr>
          <w:rFonts w:ascii="黑体" w:eastAsia="黑体" w:hint="eastAsia"/>
          <w:spacing w:val="-6"/>
          <w:w w:val="100"/>
          <w:sz w:val="21"/>
        </w:rPr>
        <w:t>，或驾驶</w:t>
      </w:r>
      <w:r>
        <w:rPr>
          <w:rFonts w:ascii="黑体" w:eastAsia="黑体" w:hint="eastAsia"/>
          <w:b/>
          <w:spacing w:val="-2"/>
          <w:w w:val="100"/>
          <w:sz w:val="21"/>
        </w:rPr>
        <w:t>无有效行驶证</w:t>
      </w:r>
      <w:r>
        <w:rPr>
          <w:rFonts w:ascii="黑体" w:eastAsia="黑体" w:hint="eastAsia"/>
          <w:b/>
          <w:w w:val="100"/>
          <w:sz w:val="21"/>
        </w:rPr>
        <w:t>（见释义</w:t>
      </w:r>
      <w:r>
        <w:rPr>
          <w:rFonts w:ascii="黑体" w:eastAsia="黑体" w:hint="eastAsia"/>
          <w:b/>
          <w:spacing w:val="-9"/>
          <w:w w:val="100"/>
          <w:sz w:val="21"/>
        </w:rPr>
        <w:t>）</w:t>
      </w:r>
      <w:r>
        <w:rPr>
          <w:rFonts w:ascii="黑体" w:eastAsia="黑体" w:hint="eastAsia"/>
          <w:w w:val="100"/>
          <w:sz w:val="21"/>
        </w:rPr>
        <w:t>的</w:t>
      </w:r>
      <w:r>
        <w:rPr>
          <w:rFonts w:ascii="黑体" w:eastAsia="黑体" w:hint="eastAsia"/>
          <w:sz w:val="21"/>
        </w:rPr>
        <w:t>机动车；</w:t>
      </w:r>
    </w:p>
    <w:p>
      <w:pPr>
        <w:pStyle w:val="BodyText"/>
        <w:spacing w:line="276" w:lineRule="exact"/>
        <w:rPr>
          <w:rFonts w:ascii="黑体" w:eastAsia="黑体" w:hint="eastAsia"/>
        </w:rPr>
      </w:pPr>
      <w:r>
        <w:rPr>
          <w:rFonts w:ascii="Times New Roman" w:eastAsia="Times New Roman"/>
        </w:rPr>
        <w:t>5</w:t>
      </w:r>
      <w:r>
        <w:rPr>
          <w:rFonts w:ascii="黑体" w:eastAsia="黑体" w:hint="eastAsia"/>
        </w:rPr>
        <w:t>、 战争、军事冲突、暴乱或武装叛乱；</w:t>
      </w:r>
    </w:p>
    <w:p>
      <w:pPr>
        <w:pStyle w:val="BodyText"/>
        <w:spacing w:line="274" w:lineRule="exact"/>
        <w:rPr>
          <w:rFonts w:ascii="黑体" w:eastAsia="黑体" w:hint="eastAsia"/>
        </w:rPr>
      </w:pPr>
      <w:r>
        <w:rPr>
          <w:rFonts w:ascii="Times New Roman" w:eastAsia="Times New Roman"/>
        </w:rPr>
        <w:t>6</w:t>
      </w:r>
      <w:r>
        <w:rPr>
          <w:rFonts w:ascii="黑体" w:eastAsia="黑体" w:hint="eastAsia"/>
        </w:rPr>
        <w:t>、 核爆炸、核辐射或核污染；</w:t>
      </w:r>
    </w:p>
    <w:p>
      <w:pPr>
        <w:spacing w:line="220" w:lineRule="auto" w:before="14"/>
        <w:ind w:left="113" w:right="102" w:firstLine="0"/>
        <w:jc w:val="left"/>
        <w:rPr>
          <w:rFonts w:ascii="黑体" w:eastAsia="黑体" w:hint="eastAsia"/>
          <w:sz w:val="21"/>
        </w:rPr>
      </w:pPr>
      <w:r>
        <w:rPr>
          <w:rFonts w:ascii="Times New Roman" w:eastAsia="Times New Roman"/>
          <w:w w:val="100"/>
          <w:sz w:val="21"/>
        </w:rPr>
        <w:t>7</w:t>
      </w:r>
      <w:r>
        <w:rPr>
          <w:rFonts w:ascii="黑体" w:eastAsia="黑体" w:hint="eastAsia"/>
          <w:w w:val="100"/>
          <w:sz w:val="21"/>
        </w:rPr>
        <w:t>、</w:t>
      </w:r>
      <w:r>
        <w:rPr>
          <w:rFonts w:ascii="黑体" w:eastAsia="黑体" w:hint="eastAsia"/>
          <w:sz w:val="21"/>
        </w:rPr>
        <w:t> </w:t>
      </w:r>
      <w:r>
        <w:rPr>
          <w:rFonts w:ascii="黑体" w:eastAsia="黑体" w:hint="eastAsia"/>
          <w:spacing w:val="-2"/>
          <w:w w:val="100"/>
          <w:sz w:val="21"/>
        </w:rPr>
        <w:t>被保险人</w:t>
      </w:r>
      <w:r>
        <w:rPr>
          <w:rFonts w:ascii="黑体" w:eastAsia="黑体" w:hint="eastAsia"/>
          <w:b/>
          <w:spacing w:val="-2"/>
          <w:w w:val="100"/>
          <w:sz w:val="21"/>
        </w:rPr>
        <w:t>感染艾滋病病毒或患艾滋病</w:t>
      </w:r>
      <w:r>
        <w:rPr>
          <w:rFonts w:ascii="黑体" w:eastAsia="黑体" w:hint="eastAsia"/>
          <w:b/>
          <w:w w:val="100"/>
          <w:sz w:val="21"/>
        </w:rPr>
        <w:t>（见释义</w:t>
      </w:r>
      <w:r>
        <w:rPr>
          <w:rFonts w:ascii="黑体" w:eastAsia="黑体" w:hint="eastAsia"/>
          <w:b/>
          <w:spacing w:val="-124"/>
          <w:w w:val="100"/>
          <w:sz w:val="21"/>
        </w:rPr>
        <w:t>）</w:t>
      </w:r>
      <w:r>
        <w:rPr>
          <w:rFonts w:ascii="黑体" w:eastAsia="黑体" w:hint="eastAsia"/>
          <w:w w:val="100"/>
          <w:sz w:val="21"/>
        </w:rPr>
        <w:t>（</w:t>
      </w:r>
      <w:r>
        <w:rPr>
          <w:rFonts w:ascii="黑体" w:eastAsia="黑体" w:hint="eastAsia"/>
          <w:spacing w:val="-4"/>
          <w:w w:val="100"/>
          <w:sz w:val="21"/>
        </w:rPr>
        <w:t>本合同第三十条第三款第</w:t>
      </w:r>
      <w:r>
        <w:rPr>
          <w:rFonts w:ascii="黑体" w:eastAsia="黑体" w:hint="eastAsia"/>
          <w:spacing w:val="-57"/>
          <w:sz w:val="21"/>
        </w:rPr>
        <w:t> </w:t>
      </w:r>
      <w:r>
        <w:rPr>
          <w:rFonts w:ascii="Times New Roman" w:eastAsia="Times New Roman"/>
          <w:w w:val="100"/>
          <w:sz w:val="21"/>
        </w:rPr>
        <w:t>33</w:t>
      </w:r>
      <w:r>
        <w:rPr>
          <w:rFonts w:ascii="Times New Roman" w:eastAsia="Times New Roman"/>
          <w:sz w:val="21"/>
        </w:rPr>
        <w:t> </w:t>
      </w:r>
      <w:r>
        <w:rPr>
          <w:rFonts w:ascii="黑体" w:eastAsia="黑体" w:hint="eastAsia"/>
          <w:spacing w:val="-3"/>
          <w:w w:val="100"/>
          <w:sz w:val="21"/>
        </w:rPr>
        <w:t>项所约定的经输血导致</w:t>
      </w:r>
      <w:r>
        <w:rPr>
          <w:rFonts w:ascii="黑体" w:eastAsia="黑体" w:hint="eastAsia"/>
          <w:spacing w:val="-5"/>
          <w:w w:val="100"/>
          <w:sz w:val="21"/>
        </w:rPr>
        <w:t>的艾滋病病毒感染不属于本项责任免除</w:t>
      </w:r>
      <w:r>
        <w:rPr>
          <w:rFonts w:ascii="黑体" w:eastAsia="黑体" w:hint="eastAsia"/>
          <w:spacing w:val="-109"/>
          <w:w w:val="100"/>
          <w:sz w:val="21"/>
        </w:rPr>
        <w:t>）</w:t>
      </w:r>
      <w:r>
        <w:rPr>
          <w:rFonts w:ascii="黑体" w:eastAsia="黑体" w:hint="eastAsia"/>
          <w:w w:val="100"/>
          <w:sz w:val="21"/>
        </w:rPr>
        <w:t>；</w:t>
      </w:r>
    </w:p>
    <w:p>
      <w:pPr>
        <w:pStyle w:val="Heading1"/>
        <w:spacing w:line="281" w:lineRule="exact"/>
        <w:rPr>
          <w:rFonts w:ascii="黑体" w:eastAsia="黑体" w:hint="eastAsia"/>
          <w:b w:val="0"/>
        </w:rPr>
      </w:pPr>
      <w:r>
        <w:rPr>
          <w:rFonts w:ascii="Times New Roman" w:eastAsia="Times New Roman"/>
          <w:b w:val="0"/>
          <w:w w:val="100"/>
        </w:rPr>
        <w:t>8</w:t>
      </w:r>
      <w:r>
        <w:rPr>
          <w:rFonts w:ascii="黑体" w:eastAsia="黑体" w:hint="eastAsia"/>
          <w:b w:val="0"/>
          <w:w w:val="100"/>
        </w:rPr>
        <w:t>、</w:t>
      </w:r>
      <w:r>
        <w:rPr>
          <w:rFonts w:ascii="黑体" w:eastAsia="黑体" w:hint="eastAsia"/>
          <w:b w:val="0"/>
        </w:rPr>
        <w:t> </w:t>
      </w:r>
      <w:r>
        <w:rPr>
          <w:rFonts w:ascii="黑体" w:eastAsia="黑体" w:hint="eastAsia"/>
          <w:w w:val="100"/>
        </w:rPr>
        <w:t>遗传性疾病（见释义</w:t>
      </w:r>
      <w:r>
        <w:rPr>
          <w:rFonts w:ascii="黑体" w:eastAsia="黑体" w:hint="eastAsia"/>
          <w:spacing w:val="-105"/>
          <w:w w:val="100"/>
        </w:rPr>
        <w:t>）</w:t>
      </w:r>
      <w:r>
        <w:rPr>
          <w:rFonts w:ascii="黑体" w:eastAsia="黑体" w:hint="eastAsia"/>
          <w:b w:val="0"/>
          <w:spacing w:val="-5"/>
          <w:w w:val="100"/>
        </w:rPr>
        <w:t>，</w:t>
      </w:r>
      <w:r>
        <w:rPr>
          <w:rFonts w:ascii="黑体" w:eastAsia="黑体" w:hint="eastAsia"/>
          <w:spacing w:val="-1"/>
          <w:w w:val="100"/>
        </w:rPr>
        <w:t>先天性畸形、变形或染色体异常</w:t>
      </w:r>
      <w:r>
        <w:rPr>
          <w:rFonts w:ascii="黑体" w:eastAsia="黑体" w:hint="eastAsia"/>
          <w:w w:val="100"/>
        </w:rPr>
        <w:t>（见释义</w:t>
      </w:r>
      <w:r>
        <w:rPr>
          <w:rFonts w:ascii="黑体" w:eastAsia="黑体" w:hint="eastAsia"/>
          <w:spacing w:val="-105"/>
          <w:w w:val="100"/>
        </w:rPr>
        <w:t>）</w:t>
      </w:r>
      <w:r>
        <w:rPr>
          <w:rFonts w:ascii="黑体" w:eastAsia="黑体" w:hint="eastAsia"/>
          <w:b w:val="0"/>
          <w:w w:val="100"/>
        </w:rPr>
        <w:t>；</w:t>
      </w:r>
    </w:p>
    <w:p>
      <w:pPr>
        <w:pStyle w:val="BodyText"/>
        <w:spacing w:line="225" w:lineRule="auto" w:before="9"/>
        <w:ind w:right="103"/>
        <w:rPr>
          <w:rFonts w:ascii="黑体" w:eastAsia="黑体" w:hint="eastAsia"/>
        </w:rPr>
      </w:pPr>
      <w:r>
        <w:rPr>
          <w:rFonts w:ascii="Times New Roman" w:eastAsia="Times New Roman"/>
        </w:rPr>
        <w:t>9</w:t>
      </w:r>
      <w:r>
        <w:rPr>
          <w:rFonts w:ascii="黑体" w:eastAsia="黑体" w:hint="eastAsia"/>
          <w:spacing w:val="-5"/>
        </w:rPr>
        <w:t>、 被保险人自本合同成立或者合同效力恢复之日起 </w:t>
      </w:r>
      <w:r>
        <w:rPr>
          <w:rFonts w:ascii="Times New Roman" w:eastAsia="Times New Roman"/>
        </w:rPr>
        <w:t>2 </w:t>
      </w:r>
      <w:r>
        <w:rPr>
          <w:rFonts w:ascii="黑体" w:eastAsia="黑体" w:hint="eastAsia"/>
          <w:spacing w:val="-6"/>
        </w:rPr>
        <w:t>年内自杀，但被保险人自杀时为无民事行为能力人的除外。</w:t>
      </w:r>
    </w:p>
    <w:p>
      <w:pPr>
        <w:pStyle w:val="BodyText"/>
        <w:spacing w:before="7"/>
        <w:ind w:left="0"/>
        <w:rPr>
          <w:rFonts w:ascii="黑体"/>
          <w:sz w:val="17"/>
        </w:rPr>
      </w:pPr>
    </w:p>
    <w:p>
      <w:pPr>
        <w:pStyle w:val="Heading1"/>
        <w:ind w:right="111"/>
      </w:pPr>
      <w:r>
        <w:rPr>
          <w:spacing w:val="-13"/>
        </w:rPr>
        <w:t>发生上述第１项情形导致本合同保险责任的，本合同终止，本公司向其他权利人退还本合同的现金价值</w:t>
      </w:r>
      <w:r>
        <w:rPr>
          <w:spacing w:val="-5"/>
        </w:rPr>
        <w:t>（见</w:t>
      </w:r>
      <w:r>
        <w:rPr/>
        <w:t>释义</w:t>
      </w:r>
      <w:r>
        <w:rPr>
          <w:spacing w:val="-106"/>
        </w:rPr>
        <w:t>）</w:t>
      </w:r>
      <w:r>
        <w:rPr/>
        <w:t>。</w:t>
      </w:r>
    </w:p>
    <w:p>
      <w:pPr>
        <w:spacing w:before="240"/>
        <w:ind w:left="113" w:right="0" w:firstLine="0"/>
        <w:jc w:val="left"/>
        <w:rPr>
          <w:rFonts w:ascii="Microsoft JhengHei" w:eastAsia="Microsoft JhengHei" w:hint="eastAsia"/>
          <w:b/>
          <w:sz w:val="21"/>
        </w:rPr>
      </w:pPr>
      <w:r>
        <w:rPr>
          <w:rFonts w:ascii="Microsoft JhengHei" w:eastAsia="Microsoft JhengHei" w:hint="eastAsia"/>
          <w:b/>
          <w:sz w:val="21"/>
        </w:rPr>
        <w:t>发生上述其他情形导致本合同保险责任的，本合同终止，本公司向投保人退还本合同的现金价值。</w:t>
      </w:r>
    </w:p>
    <w:p>
      <w:pPr>
        <w:pStyle w:val="BodyText"/>
        <w:spacing w:before="9"/>
        <w:ind w:left="0"/>
        <w:rPr>
          <w:rFonts w:ascii="Microsoft JhengHei"/>
          <w:b/>
          <w:sz w:val="14"/>
        </w:rPr>
      </w:pPr>
    </w:p>
    <w:p>
      <w:pPr>
        <w:spacing w:before="1"/>
        <w:ind w:left="113" w:right="0" w:firstLine="0"/>
        <w:jc w:val="left"/>
        <w:rPr>
          <w:rFonts w:ascii="黑体" w:eastAsia="黑体" w:hint="eastAsia"/>
          <w:b/>
          <w:sz w:val="21"/>
        </w:rPr>
      </w:pPr>
      <w:r>
        <w:rPr>
          <w:rFonts w:ascii="黑体" w:eastAsia="黑体" w:hint="eastAsia"/>
          <w:b/>
          <w:sz w:val="21"/>
        </w:rPr>
        <w:t>第四条 保险合同成立与Th效</w:t>
      </w:r>
    </w:p>
    <w:p>
      <w:pPr>
        <w:pStyle w:val="BodyText"/>
        <w:spacing w:before="8"/>
        <w:ind w:left="0"/>
        <w:rPr>
          <w:rFonts w:ascii="黑体"/>
          <w:b/>
          <w:sz w:val="22"/>
        </w:rPr>
      </w:pPr>
    </w:p>
    <w:p>
      <w:pPr>
        <w:pStyle w:val="BodyText"/>
      </w:pPr>
      <w:r>
        <w:rPr/>
        <w:t>投保人提出保险申请、本公司同意承保，本合同成立。</w:t>
      </w:r>
    </w:p>
    <w:p>
      <w:pPr>
        <w:pStyle w:val="BodyText"/>
        <w:spacing w:before="5"/>
        <w:ind w:left="0"/>
        <w:rPr>
          <w:sz w:val="20"/>
        </w:rPr>
      </w:pPr>
    </w:p>
    <w:p>
      <w:pPr>
        <w:spacing w:before="1"/>
        <w:ind w:left="113" w:right="0" w:firstLine="0"/>
        <w:jc w:val="left"/>
        <w:rPr>
          <w:sz w:val="21"/>
        </w:rPr>
      </w:pPr>
      <w:r>
        <w:rPr>
          <w:spacing w:val="-4"/>
          <w:sz w:val="21"/>
        </w:rPr>
        <w:t>合同生效日期在保险单上载明。</w:t>
      </w:r>
      <w:r>
        <w:rPr>
          <w:rFonts w:ascii="Microsoft JhengHei" w:eastAsia="Microsoft JhengHei" w:hint="eastAsia"/>
          <w:b/>
          <w:sz w:val="21"/>
        </w:rPr>
        <w:t>保单年度（</w:t>
      </w:r>
      <w:r>
        <w:rPr>
          <w:rFonts w:ascii="Microsoft JhengHei" w:eastAsia="Microsoft JhengHei" w:hint="eastAsia"/>
          <w:b/>
          <w:spacing w:val="-2"/>
          <w:sz w:val="21"/>
        </w:rPr>
        <w:t>见释义</w:t>
      </w:r>
      <w:r>
        <w:rPr>
          <w:rFonts w:ascii="Microsoft JhengHei" w:eastAsia="Microsoft JhengHei" w:hint="eastAsia"/>
          <w:b/>
          <w:spacing w:val="-110"/>
          <w:sz w:val="21"/>
        </w:rPr>
        <w:t>）</w:t>
      </w:r>
      <w:r>
        <w:rPr>
          <w:spacing w:val="-3"/>
          <w:sz w:val="21"/>
        </w:rPr>
        <w:t>、保险费约定支付日均以该日期计算。</w:t>
      </w:r>
    </w:p>
    <w:p>
      <w:pPr>
        <w:pStyle w:val="Heading1"/>
        <w:spacing w:before="248"/>
        <w:rPr>
          <w:rFonts w:ascii="黑体" w:eastAsia="黑体" w:hint="eastAsia"/>
        </w:rPr>
      </w:pPr>
      <w:r>
        <w:rPr>
          <w:rFonts w:ascii="黑体" w:eastAsia="黑体" w:hint="eastAsia"/>
        </w:rPr>
        <w:t>第五条 保险期间</w:t>
      </w:r>
    </w:p>
    <w:p>
      <w:pPr>
        <w:pStyle w:val="BodyText"/>
        <w:spacing w:before="7"/>
        <w:ind w:left="0"/>
        <w:rPr>
          <w:rFonts w:ascii="黑体"/>
          <w:b/>
          <w:sz w:val="22"/>
        </w:rPr>
      </w:pPr>
    </w:p>
    <w:p>
      <w:pPr>
        <w:pStyle w:val="BodyText"/>
        <w:spacing w:before="1"/>
      </w:pPr>
      <w:r>
        <w:rPr/>
        <w:t>本合同的保险期间自合同生效日的当日 </w:t>
      </w:r>
      <w:r>
        <w:rPr>
          <w:rFonts w:ascii="Times New Roman" w:eastAsia="Times New Roman"/>
        </w:rPr>
        <w:t>24 </w:t>
      </w:r>
      <w:r>
        <w:rPr/>
        <w:t>时起至被保险人终身。</w:t>
      </w:r>
    </w:p>
    <w:p>
      <w:pPr>
        <w:pStyle w:val="BodyText"/>
        <w:ind w:left="0"/>
        <w:rPr>
          <w:sz w:val="20"/>
        </w:rPr>
      </w:pPr>
    </w:p>
    <w:p>
      <w:pPr>
        <w:pStyle w:val="Heading1"/>
        <w:rPr>
          <w:rFonts w:ascii="黑体" w:eastAsia="黑体" w:hint="eastAsia"/>
        </w:rPr>
      </w:pPr>
      <w:r>
        <w:rPr>
          <w:rFonts w:ascii="黑体" w:eastAsia="黑体" w:hint="eastAsia"/>
        </w:rPr>
        <w:t>第六条 保险金额</w:t>
      </w:r>
    </w:p>
    <w:p>
      <w:pPr>
        <w:pStyle w:val="BodyText"/>
        <w:spacing w:before="8"/>
        <w:ind w:left="0"/>
        <w:rPr>
          <w:rFonts w:ascii="黑体"/>
          <w:b/>
          <w:sz w:val="22"/>
        </w:rPr>
      </w:pPr>
    </w:p>
    <w:p>
      <w:pPr>
        <w:pStyle w:val="BodyText"/>
        <w:spacing w:line="319" w:lineRule="auto"/>
        <w:ind w:right="102"/>
      </w:pPr>
      <w:r>
        <w:rPr>
          <w:spacing w:val="-7"/>
        </w:rPr>
        <w:t>本合同的保险金额由投保人与本公司在投保时约定，并载于本合同的保险单上。若该金额按本合同其他条</w:t>
      </w:r>
      <w:r>
        <w:rPr>
          <w:spacing w:val="-6"/>
        </w:rPr>
        <w:t>款的约定而发生变更，则以变更后的金额为保险金额。</w:t>
      </w:r>
    </w:p>
    <w:p>
      <w:pPr>
        <w:pStyle w:val="Heading1"/>
        <w:spacing w:before="208"/>
        <w:rPr>
          <w:rFonts w:ascii="黑体" w:eastAsia="黑体" w:hint="eastAsia"/>
        </w:rPr>
      </w:pPr>
      <w:r>
        <w:rPr>
          <w:rFonts w:ascii="黑体" w:eastAsia="黑体" w:hint="eastAsia"/>
        </w:rPr>
        <w:t>第七条 保险金额的减少</w:t>
      </w:r>
    </w:p>
    <w:p>
      <w:pPr>
        <w:spacing w:after="0"/>
        <w:rPr>
          <w:rFonts w:ascii="黑体" w:eastAsia="黑体" w:hint="eastAsia"/>
        </w:rPr>
        <w:sectPr>
          <w:pgSz w:w="11910" w:h="16840"/>
          <w:pgMar w:header="0" w:footer="496" w:top="780" w:bottom="760" w:left="1020" w:right="1020"/>
        </w:sectPr>
      </w:pPr>
    </w:p>
    <w:p>
      <w:pPr>
        <w:pStyle w:val="BodyText"/>
        <w:spacing w:line="321" w:lineRule="auto" w:before="70"/>
        <w:ind w:right="100"/>
      </w:pPr>
      <w:r>
        <w:rPr>
          <w:spacing w:val="-12"/>
        </w:rPr>
        <w:t>在本合同有效期内，投保人可向本公司申请减少保险金额，但减额后的保险金额须符合本公司当时的规定， </w:t>
      </w:r>
      <w:r>
        <w:rPr>
          <w:spacing w:val="-8"/>
        </w:rPr>
        <w:t>本公司审核同意后将退还保险金额减少部分所对应的现金价值。</w:t>
      </w:r>
    </w:p>
    <w:p>
      <w:pPr>
        <w:pStyle w:val="BodyText"/>
        <w:spacing w:before="9"/>
        <w:ind w:left="0"/>
        <w:rPr>
          <w:sz w:val="19"/>
        </w:rPr>
      </w:pPr>
    </w:p>
    <w:p>
      <w:pPr>
        <w:pStyle w:val="BodyText"/>
      </w:pPr>
      <w:r>
        <w:rPr/>
        <w:t>但若本合同已更改为减额付清保险，则本公司不接受保险金额的变更申请。</w:t>
      </w:r>
    </w:p>
    <w:p>
      <w:pPr>
        <w:pStyle w:val="BodyText"/>
        <w:spacing w:before="5"/>
        <w:ind w:left="0"/>
        <w:rPr>
          <w:sz w:val="34"/>
        </w:rPr>
      </w:pPr>
    </w:p>
    <w:p>
      <w:pPr>
        <w:pStyle w:val="Heading1"/>
        <w:rPr>
          <w:rFonts w:ascii="黑体" w:eastAsia="黑体" w:hint="eastAsia"/>
        </w:rPr>
      </w:pPr>
      <w:r>
        <w:rPr>
          <w:rFonts w:ascii="黑体" w:eastAsia="黑体" w:hint="eastAsia"/>
        </w:rPr>
        <w:t>第八条 合同犹豫期</w:t>
      </w:r>
    </w:p>
    <w:p>
      <w:pPr>
        <w:pStyle w:val="BodyText"/>
        <w:spacing w:before="8"/>
        <w:ind w:left="0"/>
        <w:rPr>
          <w:rFonts w:ascii="黑体"/>
          <w:b/>
          <w:sz w:val="22"/>
        </w:rPr>
      </w:pPr>
    </w:p>
    <w:p>
      <w:pPr>
        <w:pStyle w:val="BodyText"/>
        <w:spacing w:line="304" w:lineRule="auto"/>
        <w:ind w:right="204"/>
      </w:pPr>
      <w:r>
        <w:rPr>
          <w:spacing w:val="-3"/>
        </w:rPr>
        <w:t>自投保人收到本合同并书面签收之日起 </w:t>
      </w:r>
      <w:r>
        <w:rPr>
          <w:rFonts w:ascii="Times New Roman" w:eastAsia="Times New Roman"/>
        </w:rPr>
        <w:t>10 </w:t>
      </w:r>
      <w:r>
        <w:rPr>
          <w:spacing w:val="-5"/>
        </w:rPr>
        <w:t>日为犹豫期。投保人在犹豫期内可向本公司书面提出撤销合同的申请，并亲自或挂号邮寄将本合同退还。</w:t>
      </w:r>
    </w:p>
    <w:p>
      <w:pPr>
        <w:pStyle w:val="BodyText"/>
        <w:spacing w:before="11"/>
        <w:ind w:left="0"/>
        <w:rPr>
          <w:sz w:val="20"/>
        </w:rPr>
      </w:pPr>
    </w:p>
    <w:p>
      <w:pPr>
        <w:pStyle w:val="BodyText"/>
        <w:spacing w:line="319" w:lineRule="auto"/>
        <w:ind w:right="205"/>
      </w:pPr>
      <w:r>
        <w:rPr>
          <w:spacing w:val="-6"/>
        </w:rPr>
        <w:t>投保人依前款规定行使合同撤销权时，撤销的效力自本公司收到书面申请及合同</w:t>
      </w:r>
      <w:r>
        <w:rPr/>
        <w:t>（</w:t>
      </w:r>
      <w:r>
        <w:rPr>
          <w:spacing w:val="-5"/>
        </w:rPr>
        <w:t>若为邮寄，则以寄达邮戳日为准）</w:t>
      </w:r>
      <w:r>
        <w:rPr>
          <w:spacing w:val="-7"/>
        </w:rPr>
        <w:t>的当日 </w:t>
      </w:r>
      <w:r>
        <w:rPr>
          <w:rFonts w:ascii="Times New Roman" w:eastAsia="Times New Roman"/>
        </w:rPr>
        <w:t>24 </w:t>
      </w:r>
      <w:r>
        <w:rPr>
          <w:spacing w:val="-5"/>
        </w:rPr>
        <w:t>时起生效，本合同自始无效，本公司将向投保人退还所有已缴的保险费。</w:t>
      </w:r>
    </w:p>
    <w:p>
      <w:pPr>
        <w:pStyle w:val="BodyText"/>
        <w:spacing w:line="302" w:lineRule="auto" w:before="241"/>
        <w:ind w:right="203"/>
      </w:pPr>
      <w:r>
        <w:rPr>
          <w:spacing w:val="-4"/>
        </w:rPr>
        <w:t>若投保人、被保险人或受益人于收到本合同之日起 </w:t>
      </w:r>
      <w:r>
        <w:rPr>
          <w:rFonts w:ascii="Times New Roman" w:eastAsia="Times New Roman"/>
          <w:spacing w:val="-3"/>
        </w:rPr>
        <w:t>10 </w:t>
      </w:r>
      <w:r>
        <w:rPr>
          <w:spacing w:val="-5"/>
        </w:rPr>
        <w:t>日内向本公司提出理赔申请或本合同是由其他险种的约定变更而来者，则不得再行使本条款的合同撤销权。</w:t>
      </w:r>
    </w:p>
    <w:p>
      <w:pPr>
        <w:pStyle w:val="Heading1"/>
        <w:spacing w:before="222"/>
        <w:rPr>
          <w:rFonts w:ascii="黑体" w:eastAsia="黑体" w:hint="eastAsia"/>
        </w:rPr>
      </w:pPr>
      <w:r>
        <w:rPr>
          <w:rFonts w:ascii="黑体" w:eastAsia="黑体" w:hint="eastAsia"/>
        </w:rPr>
        <w:t>第九条 投保人解除合同的手续及风险</w:t>
      </w:r>
    </w:p>
    <w:p>
      <w:pPr>
        <w:pStyle w:val="BodyText"/>
        <w:spacing w:before="11"/>
        <w:ind w:left="0"/>
        <w:rPr>
          <w:rFonts w:ascii="黑体"/>
          <w:b/>
          <w:sz w:val="24"/>
        </w:rPr>
      </w:pPr>
    </w:p>
    <w:p>
      <w:pPr>
        <w:pStyle w:val="BodyText"/>
      </w:pPr>
      <w:r>
        <w:rPr/>
        <w:t>如投保人在犹豫期后申请解除本合同，请填写解除合同申请书并向本公司提供下列资料：</w:t>
      </w:r>
    </w:p>
    <w:p>
      <w:pPr>
        <w:pStyle w:val="BodyText"/>
        <w:spacing w:before="90"/>
      </w:pPr>
      <w:r>
        <w:rPr>
          <w:rFonts w:ascii="Times New Roman" w:eastAsia="Times New Roman"/>
        </w:rPr>
        <w:t>1</w:t>
      </w:r>
      <w:r>
        <w:rPr/>
        <w:t>、保险合同；</w:t>
      </w:r>
    </w:p>
    <w:p>
      <w:pPr>
        <w:pStyle w:val="BodyText"/>
        <w:spacing w:before="79"/>
      </w:pPr>
      <w:r>
        <w:rPr>
          <w:rFonts w:ascii="Times New Roman" w:eastAsia="Times New Roman"/>
        </w:rPr>
        <w:t>2</w:t>
      </w:r>
      <w:r>
        <w:rPr/>
        <w:t>、投保人的有效身份证件。</w:t>
      </w:r>
    </w:p>
    <w:p>
      <w:pPr>
        <w:pStyle w:val="BodyText"/>
        <w:spacing w:before="12"/>
        <w:ind w:left="0"/>
        <w:rPr>
          <w:sz w:val="23"/>
        </w:rPr>
      </w:pPr>
    </w:p>
    <w:p>
      <w:pPr>
        <w:pStyle w:val="BodyText"/>
        <w:spacing w:line="300" w:lineRule="auto"/>
        <w:ind w:right="202"/>
      </w:pPr>
      <w:r>
        <w:rPr>
          <w:spacing w:val="-5"/>
        </w:rPr>
        <w:t>自本公司收到解除合同申请书时起，本合同终止。本公司自收到解除合同申请书之日起 </w:t>
      </w:r>
      <w:r>
        <w:rPr>
          <w:rFonts w:ascii="Times New Roman" w:eastAsia="Times New Roman"/>
          <w:spacing w:val="-3"/>
        </w:rPr>
        <w:t>30 </w:t>
      </w:r>
      <w:r>
        <w:rPr>
          <w:spacing w:val="-2"/>
        </w:rPr>
        <w:t>日内向投保人</w:t>
      </w:r>
      <w:r>
        <w:rPr>
          <w:spacing w:val="-4"/>
        </w:rPr>
        <w:t>退还本合同的现金价值。</w:t>
      </w:r>
    </w:p>
    <w:p>
      <w:pPr>
        <w:pStyle w:val="BodyText"/>
        <w:spacing w:before="7"/>
        <w:ind w:left="0"/>
      </w:pPr>
    </w:p>
    <w:p>
      <w:pPr>
        <w:pStyle w:val="BodyText"/>
      </w:pPr>
      <w:r>
        <w:rPr/>
        <w:t>投保人犹豫期后解除合同会遭受一定损失。</w:t>
      </w:r>
    </w:p>
    <w:p>
      <w:pPr>
        <w:pStyle w:val="BodyText"/>
        <w:spacing w:before="10"/>
        <w:ind w:left="0"/>
        <w:rPr>
          <w:sz w:val="20"/>
        </w:rPr>
      </w:pPr>
    </w:p>
    <w:p>
      <w:pPr>
        <w:pStyle w:val="Heading1"/>
        <w:rPr>
          <w:rFonts w:ascii="黑体" w:eastAsia="黑体" w:hint="eastAsia"/>
        </w:rPr>
      </w:pPr>
      <w:r>
        <w:rPr>
          <w:rFonts w:ascii="黑体" w:eastAsia="黑体" w:hint="eastAsia"/>
        </w:rPr>
        <w:t>第十条 明确说明与如实告知</w:t>
      </w:r>
    </w:p>
    <w:p>
      <w:pPr>
        <w:pStyle w:val="BodyText"/>
        <w:spacing w:before="2"/>
        <w:ind w:left="0"/>
        <w:rPr>
          <w:rFonts w:ascii="黑体"/>
          <w:b/>
          <w:sz w:val="25"/>
        </w:rPr>
      </w:pPr>
    </w:p>
    <w:p>
      <w:pPr>
        <w:pStyle w:val="BodyText"/>
      </w:pPr>
      <w:r>
        <w:rPr/>
        <w:t>订立本合同时，本公司应向投保人说明本合同的内容。</w:t>
      </w:r>
    </w:p>
    <w:p>
      <w:pPr>
        <w:pStyle w:val="BodyText"/>
        <w:spacing w:before="3"/>
        <w:ind w:left="0"/>
        <w:rPr>
          <w:sz w:val="25"/>
        </w:rPr>
      </w:pPr>
    </w:p>
    <w:p>
      <w:pPr>
        <w:pStyle w:val="BodyText"/>
        <w:spacing w:line="321" w:lineRule="auto"/>
        <w:ind w:right="205"/>
        <w:jc w:val="both"/>
      </w:pPr>
      <w:r>
        <w:rPr>
          <w:spacing w:val="-6"/>
        </w:rPr>
        <w:t>对保险条款中免除本公司责任的条款，本公司在订立合同时应当在投保单、保险单或者其他保险凭证上作</w:t>
      </w:r>
      <w:r>
        <w:rPr>
          <w:spacing w:val="-7"/>
        </w:rPr>
        <w:t>出足以引起投保人注意的提示，并对该条款的内容以书面或者口头形式向投保人作出明确说明，未作提示</w:t>
      </w:r>
      <w:r>
        <w:rPr>
          <w:spacing w:val="-6"/>
        </w:rPr>
        <w:t>或者明确说明的，该条款不产生效力。</w:t>
      </w:r>
    </w:p>
    <w:p>
      <w:pPr>
        <w:pStyle w:val="BodyText"/>
        <w:spacing w:before="10"/>
        <w:ind w:left="0"/>
        <w:rPr>
          <w:sz w:val="19"/>
        </w:rPr>
      </w:pPr>
    </w:p>
    <w:p>
      <w:pPr>
        <w:pStyle w:val="BodyText"/>
      </w:pPr>
      <w:r>
        <w:rPr/>
        <w:t>本公司就投保人和被保险人的有关情况提出询问，投保人应当如实告知。</w:t>
      </w:r>
    </w:p>
    <w:p>
      <w:pPr>
        <w:pStyle w:val="BodyText"/>
        <w:spacing w:before="5"/>
        <w:ind w:left="0"/>
        <w:rPr>
          <w:sz w:val="20"/>
        </w:rPr>
      </w:pPr>
    </w:p>
    <w:p>
      <w:pPr>
        <w:pStyle w:val="Heading1"/>
        <w:spacing w:before="1"/>
        <w:ind w:right="205"/>
      </w:pPr>
      <w:r>
        <w:rPr>
          <w:spacing w:val="-6"/>
        </w:rPr>
        <w:t>如果投保人故意或者因重大过失未履行前款规定的如实告知义务，足以影响本公司决定是否同意承保或者提高保险费率的，本公司有权解除本合同。</w:t>
      </w:r>
    </w:p>
    <w:p>
      <w:pPr>
        <w:spacing w:before="244"/>
        <w:ind w:left="113" w:right="205" w:firstLine="0"/>
        <w:jc w:val="left"/>
        <w:rPr>
          <w:rFonts w:ascii="Microsoft JhengHei" w:eastAsia="Microsoft JhengHei" w:hint="eastAsia"/>
          <w:b/>
          <w:sz w:val="21"/>
        </w:rPr>
      </w:pPr>
      <w:r>
        <w:rPr>
          <w:rFonts w:ascii="Microsoft JhengHei" w:eastAsia="Microsoft JhengHei" w:hint="eastAsia"/>
          <w:b/>
          <w:spacing w:val="-6"/>
          <w:sz w:val="21"/>
        </w:rPr>
        <w:t>如果投保人故意不履行如实告知义务，对于本合同解除前发生的保险事故，本公司不承担给付保险金的责任，并不退还保险费。</w:t>
      </w:r>
    </w:p>
    <w:p>
      <w:pPr>
        <w:spacing w:line="242" w:lineRule="auto" w:before="238"/>
        <w:ind w:left="113" w:right="205" w:firstLine="0"/>
        <w:jc w:val="left"/>
        <w:rPr>
          <w:rFonts w:ascii="Microsoft JhengHei" w:eastAsia="Microsoft JhengHei" w:hint="eastAsia"/>
          <w:b/>
          <w:sz w:val="21"/>
        </w:rPr>
      </w:pPr>
      <w:r>
        <w:rPr>
          <w:rFonts w:ascii="Microsoft JhengHei" w:eastAsia="Microsoft JhengHei" w:hint="eastAsia"/>
          <w:b/>
          <w:spacing w:val="-6"/>
          <w:sz w:val="21"/>
        </w:rPr>
        <w:t>如果投保人因重大过失未履行如实告知义务，对保险事故的发生有严重影响的，对于本合同解除前发生的保险事故，本公司不承担给付保险金的责任，但应当退还保险费。</w:t>
      </w:r>
    </w:p>
    <w:p>
      <w:pPr>
        <w:spacing w:after="0" w:line="242" w:lineRule="auto"/>
        <w:jc w:val="left"/>
        <w:rPr>
          <w:rFonts w:ascii="Microsoft JhengHei" w:eastAsia="Microsoft JhengHei" w:hint="eastAsia"/>
          <w:sz w:val="21"/>
        </w:rPr>
        <w:sectPr>
          <w:pgSz w:w="11910" w:h="16840"/>
          <w:pgMar w:header="0" w:footer="496" w:top="780" w:bottom="760" w:left="1020" w:right="920"/>
        </w:sectPr>
      </w:pPr>
    </w:p>
    <w:p>
      <w:pPr>
        <w:pStyle w:val="BodyText"/>
        <w:spacing w:line="544" w:lineRule="auto" w:before="60"/>
        <w:ind w:right="305"/>
      </w:pPr>
      <w:r>
        <w:rPr>
          <w:spacing w:val="-8"/>
        </w:rPr>
        <w:t>本公司在合同订立时已经知道投保人未如实告知的情况的，本公司不得解除合同；发生保险事故的，本公</w:t>
      </w:r>
      <w:r>
        <w:rPr>
          <w:spacing w:val="-6"/>
        </w:rPr>
        <w:t>司承担给付保险金的责任。</w:t>
      </w:r>
    </w:p>
    <w:p>
      <w:pPr>
        <w:pStyle w:val="Heading1"/>
        <w:tabs>
          <w:tab w:pos="1376" w:val="left" w:leader="none"/>
        </w:tabs>
        <w:spacing w:before="140"/>
        <w:rPr>
          <w:rFonts w:ascii="黑体" w:eastAsia="黑体" w:hint="eastAsia"/>
        </w:rPr>
      </w:pPr>
      <w:r>
        <w:rPr>
          <w:rFonts w:ascii="黑体" w:eastAsia="黑体" w:hint="eastAsia"/>
        </w:rPr>
        <w:t>第十一条</w:t>
        <w:tab/>
        <w:t>本公司合同解除权的限制</w:t>
      </w:r>
    </w:p>
    <w:p>
      <w:pPr>
        <w:pStyle w:val="BodyText"/>
        <w:spacing w:before="9"/>
        <w:ind w:left="0"/>
        <w:rPr>
          <w:rFonts w:ascii="黑体"/>
          <w:b/>
          <w:sz w:val="27"/>
        </w:rPr>
      </w:pPr>
    </w:p>
    <w:p>
      <w:pPr>
        <w:pStyle w:val="BodyText"/>
      </w:pPr>
      <w:r>
        <w:rPr/>
        <w:t>前条规定的合同解除权，自本公司知道有解除事由之日起，超过 </w:t>
      </w:r>
      <w:r>
        <w:rPr>
          <w:rFonts w:ascii="Times New Roman" w:eastAsia="Times New Roman"/>
        </w:rPr>
        <w:t>30  </w:t>
      </w:r>
      <w:r>
        <w:rPr/>
        <w:t>日不行使而消灭。自本合同成立之日</w:t>
      </w:r>
    </w:p>
    <w:p>
      <w:pPr>
        <w:pStyle w:val="BodyText"/>
        <w:spacing w:before="78"/>
      </w:pPr>
      <w:r>
        <w:rPr/>
        <w:t>起超过 </w:t>
      </w:r>
      <w:r>
        <w:rPr>
          <w:rFonts w:ascii="Times New Roman" w:eastAsia="Times New Roman"/>
        </w:rPr>
        <w:t>2 </w:t>
      </w:r>
      <w:r>
        <w:rPr/>
        <w:t>年的，本公司不得解除合同；发生保险事故的，本公司承担给付保险金的责任。</w:t>
      </w:r>
    </w:p>
    <w:p>
      <w:pPr>
        <w:pStyle w:val="BodyText"/>
        <w:spacing w:before="7"/>
        <w:ind w:left="0"/>
        <w:rPr>
          <w:sz w:val="19"/>
        </w:rPr>
      </w:pPr>
    </w:p>
    <w:p>
      <w:pPr>
        <w:pStyle w:val="Heading1"/>
        <w:tabs>
          <w:tab w:pos="1376" w:val="left" w:leader="none"/>
        </w:tabs>
        <w:spacing w:before="1"/>
        <w:rPr>
          <w:rFonts w:ascii="黑体" w:eastAsia="黑体" w:hint="eastAsia"/>
        </w:rPr>
      </w:pPr>
      <w:r>
        <w:rPr>
          <w:rFonts w:ascii="黑体" w:eastAsia="黑体" w:hint="eastAsia"/>
        </w:rPr>
        <w:t>第十二条</w:t>
        <w:tab/>
        <w:t>受益人</w:t>
      </w:r>
    </w:p>
    <w:p>
      <w:pPr>
        <w:pStyle w:val="BodyText"/>
        <w:ind w:left="0"/>
        <w:rPr>
          <w:rFonts w:ascii="黑体"/>
          <w:b/>
          <w:sz w:val="20"/>
        </w:rPr>
      </w:pPr>
    </w:p>
    <w:p>
      <w:pPr>
        <w:pStyle w:val="BodyText"/>
        <w:spacing w:before="164"/>
      </w:pPr>
      <w:r>
        <w:rPr/>
        <w:t>投保人或者被保险人可以指定一人或多人为身故保险金受益人。</w:t>
      </w:r>
    </w:p>
    <w:p>
      <w:pPr>
        <w:pStyle w:val="BodyText"/>
        <w:ind w:left="0"/>
        <w:rPr>
          <w:sz w:val="28"/>
        </w:rPr>
      </w:pPr>
    </w:p>
    <w:p>
      <w:pPr>
        <w:pStyle w:val="BodyText"/>
        <w:spacing w:before="7"/>
        <w:ind w:left="0"/>
        <w:rPr>
          <w:sz w:val="22"/>
        </w:rPr>
      </w:pPr>
    </w:p>
    <w:p>
      <w:pPr>
        <w:pStyle w:val="BodyText"/>
        <w:spacing w:line="544" w:lineRule="auto"/>
        <w:ind w:right="305"/>
      </w:pPr>
      <w:r>
        <w:rPr>
          <w:spacing w:val="-7"/>
        </w:rPr>
        <w:t>身故保险金受益人为多人时，可以确定受益顺序和受益份额；如果没有确定份额，各受益人按照相等份额</w:t>
      </w:r>
      <w:r>
        <w:rPr>
          <w:spacing w:val="-6"/>
        </w:rPr>
        <w:t>享有受益权。</w:t>
      </w:r>
    </w:p>
    <w:p>
      <w:pPr>
        <w:pStyle w:val="BodyText"/>
        <w:spacing w:before="2"/>
        <w:ind w:left="0"/>
        <w:rPr>
          <w:sz w:val="30"/>
        </w:rPr>
      </w:pPr>
    </w:p>
    <w:p>
      <w:pPr>
        <w:pStyle w:val="BodyText"/>
      </w:pPr>
      <w:r>
        <w:rPr/>
        <w:t>被保险人为无民事行为能力人或限制民事行为能力人的，可以由其监护人指定受益人。</w:t>
      </w:r>
    </w:p>
    <w:p>
      <w:pPr>
        <w:pStyle w:val="BodyText"/>
        <w:ind w:left="0"/>
        <w:rPr>
          <w:sz w:val="28"/>
        </w:rPr>
      </w:pPr>
    </w:p>
    <w:p>
      <w:pPr>
        <w:pStyle w:val="BodyText"/>
        <w:spacing w:before="6"/>
        <w:ind w:left="0"/>
        <w:rPr>
          <w:sz w:val="22"/>
        </w:rPr>
      </w:pPr>
    </w:p>
    <w:p>
      <w:pPr>
        <w:pStyle w:val="BodyText"/>
        <w:spacing w:line="544" w:lineRule="auto"/>
        <w:ind w:right="99"/>
      </w:pPr>
      <w:r>
        <w:rPr>
          <w:spacing w:val="-6"/>
        </w:rPr>
        <w:t>投保人或者被保险人可以变更身故保险金受益人并书面通知本公司。本公司收到变更受益人的书面通知后， </w:t>
      </w:r>
      <w:r>
        <w:rPr>
          <w:spacing w:val="-5"/>
        </w:rPr>
        <w:t>在保险单或其他保险凭证上批注或附贴批单。</w:t>
      </w:r>
    </w:p>
    <w:p>
      <w:pPr>
        <w:pStyle w:val="BodyText"/>
        <w:spacing w:before="1"/>
        <w:ind w:left="0"/>
        <w:rPr>
          <w:sz w:val="30"/>
        </w:rPr>
      </w:pPr>
    </w:p>
    <w:p>
      <w:pPr>
        <w:pStyle w:val="BodyText"/>
      </w:pPr>
      <w:r>
        <w:rPr/>
        <w:t>投保人在指定和变更身故保险金受益人时，必须经过被保险人同意。</w:t>
      </w:r>
    </w:p>
    <w:p>
      <w:pPr>
        <w:pStyle w:val="BodyText"/>
        <w:ind w:left="0"/>
        <w:rPr>
          <w:sz w:val="28"/>
        </w:rPr>
      </w:pPr>
    </w:p>
    <w:p>
      <w:pPr>
        <w:pStyle w:val="BodyText"/>
        <w:spacing w:before="6"/>
        <w:ind w:left="0"/>
        <w:rPr>
          <w:sz w:val="22"/>
        </w:rPr>
      </w:pPr>
    </w:p>
    <w:p>
      <w:pPr>
        <w:pStyle w:val="BodyText"/>
        <w:spacing w:line="544" w:lineRule="auto" w:before="1"/>
        <w:ind w:right="306"/>
      </w:pPr>
      <w:r>
        <w:rPr>
          <w:spacing w:val="-6"/>
        </w:rPr>
        <w:t>被保险人身故后，有下列情形之一的，保险金作为被保险人的遗产，由本公司依照《中华人民共和国继承</w:t>
      </w:r>
      <w:r>
        <w:rPr>
          <w:spacing w:val="-5"/>
        </w:rPr>
        <w:t>法》的规定履行给付保险金的义务：</w:t>
      </w:r>
    </w:p>
    <w:p>
      <w:pPr>
        <w:pStyle w:val="BodyText"/>
        <w:spacing w:before="82"/>
      </w:pPr>
      <w:r>
        <w:rPr>
          <w:rFonts w:ascii="Times New Roman" w:eastAsia="Times New Roman"/>
        </w:rPr>
        <w:t>1</w:t>
      </w:r>
      <w:r>
        <w:rPr/>
        <w:t>、 没有指定受益人，或者受益人指定不明无法确定的；</w:t>
      </w:r>
    </w:p>
    <w:p>
      <w:pPr>
        <w:pStyle w:val="BodyText"/>
        <w:spacing w:before="5"/>
        <w:ind w:left="0"/>
        <w:rPr>
          <w:sz w:val="25"/>
        </w:rPr>
      </w:pPr>
    </w:p>
    <w:p>
      <w:pPr>
        <w:pStyle w:val="BodyText"/>
        <w:spacing w:before="1"/>
      </w:pPr>
      <w:r>
        <w:rPr>
          <w:rFonts w:ascii="Times New Roman" w:eastAsia="Times New Roman"/>
        </w:rPr>
        <w:t>2</w:t>
      </w:r>
      <w:r>
        <w:rPr/>
        <w:t>、 受益人先于被保险人身故，没有其他受益人的；</w:t>
      </w:r>
    </w:p>
    <w:p>
      <w:pPr>
        <w:pStyle w:val="BodyText"/>
        <w:spacing w:before="6"/>
        <w:ind w:left="0"/>
        <w:rPr>
          <w:sz w:val="25"/>
        </w:rPr>
      </w:pPr>
    </w:p>
    <w:p>
      <w:pPr>
        <w:pStyle w:val="BodyText"/>
      </w:pPr>
      <w:r>
        <w:rPr>
          <w:rFonts w:ascii="Times New Roman" w:eastAsia="Times New Roman"/>
        </w:rPr>
        <w:t>3</w:t>
      </w:r>
      <w:r>
        <w:rPr/>
        <w:t>、 受益人依法丧失受益权或者放弃受益权，没有其他受益人的。</w:t>
      </w:r>
    </w:p>
    <w:p>
      <w:pPr>
        <w:pStyle w:val="BodyText"/>
        <w:ind w:left="0"/>
        <w:rPr>
          <w:sz w:val="28"/>
        </w:rPr>
      </w:pPr>
    </w:p>
    <w:p>
      <w:pPr>
        <w:pStyle w:val="BodyText"/>
        <w:spacing w:before="4"/>
        <w:ind w:left="0"/>
      </w:pPr>
    </w:p>
    <w:p>
      <w:pPr>
        <w:pStyle w:val="BodyText"/>
      </w:pPr>
      <w:r>
        <w:rPr/>
        <w:t>受益人与被保险人在同一事件中身故，且不能确定身故先后顺序的，推定受益人身故在先。</w:t>
      </w:r>
    </w:p>
    <w:p>
      <w:pPr>
        <w:pStyle w:val="BodyText"/>
        <w:spacing w:before="6"/>
        <w:ind w:left="0"/>
        <w:rPr>
          <w:sz w:val="35"/>
        </w:rPr>
      </w:pPr>
    </w:p>
    <w:p>
      <w:pPr>
        <w:spacing w:line="444" w:lineRule="auto" w:before="0"/>
        <w:ind w:left="113" w:right="488" w:firstLine="0"/>
        <w:jc w:val="left"/>
        <w:rPr>
          <w:sz w:val="21"/>
        </w:rPr>
      </w:pPr>
      <w:r>
        <w:rPr>
          <w:rFonts w:ascii="Microsoft JhengHei" w:eastAsia="Microsoft JhengHei" w:hint="eastAsia"/>
          <w:b/>
          <w:spacing w:val="-5"/>
          <w:sz w:val="21"/>
        </w:rPr>
        <w:t>受益人故意造成被保险人身故、伤残、疾病的，或者故意杀害被保险人未遂的，该受益人丧失受益权。</w:t>
      </w:r>
      <w:r>
        <w:rPr>
          <w:spacing w:val="-5"/>
          <w:sz w:val="21"/>
        </w:rPr>
        <w:t>除另有指定外，本合同的全残保险金、重大疾病保险金的受益人为被保险人本人。</w:t>
      </w:r>
    </w:p>
    <w:p>
      <w:pPr>
        <w:spacing w:after="0" w:line="444" w:lineRule="auto"/>
        <w:jc w:val="left"/>
        <w:rPr>
          <w:sz w:val="21"/>
        </w:rPr>
        <w:sectPr>
          <w:pgSz w:w="11910" w:h="16840"/>
          <w:pgMar w:header="0" w:footer="496" w:top="920" w:bottom="760" w:left="1020" w:right="820"/>
        </w:sectPr>
      </w:pPr>
    </w:p>
    <w:p>
      <w:pPr>
        <w:pStyle w:val="Heading1"/>
        <w:tabs>
          <w:tab w:pos="1376" w:val="left" w:leader="none"/>
        </w:tabs>
        <w:spacing w:before="12"/>
        <w:rPr>
          <w:rFonts w:ascii="黑体" w:eastAsia="黑体" w:hint="eastAsia"/>
        </w:rPr>
      </w:pPr>
      <w:r>
        <w:rPr>
          <w:rFonts w:ascii="黑体" w:eastAsia="黑体" w:hint="eastAsia"/>
        </w:rPr>
        <w:t>第十三条</w:t>
        <w:tab/>
        <w:t>保险事故通知</w:t>
      </w:r>
    </w:p>
    <w:p>
      <w:pPr>
        <w:pStyle w:val="BodyText"/>
        <w:spacing w:before="7"/>
        <w:ind w:left="0"/>
        <w:rPr>
          <w:rFonts w:ascii="黑体"/>
          <w:b/>
          <w:sz w:val="22"/>
        </w:rPr>
      </w:pPr>
    </w:p>
    <w:p>
      <w:pPr>
        <w:pStyle w:val="BodyText"/>
      </w:pPr>
      <w:r>
        <w:rPr/>
        <w:t>投保人或受益人知道保险事故后应当在 </w:t>
      </w:r>
      <w:r>
        <w:rPr>
          <w:rFonts w:ascii="Times New Roman" w:eastAsia="Times New Roman"/>
        </w:rPr>
        <w:t>10 </w:t>
      </w:r>
      <w:r>
        <w:rPr/>
        <w:t>日内通知本公司。</w:t>
      </w:r>
    </w:p>
    <w:p>
      <w:pPr>
        <w:spacing w:line="261" w:lineRule="auto" w:before="251"/>
        <w:ind w:left="113" w:right="107" w:firstLine="0"/>
        <w:jc w:val="both"/>
        <w:rPr>
          <w:sz w:val="21"/>
        </w:rPr>
      </w:pPr>
      <w:r>
        <w:rPr>
          <w:rFonts w:ascii="Microsoft JhengHei" w:eastAsia="Microsoft JhengHei" w:hint="eastAsia"/>
          <w:b/>
          <w:spacing w:val="-8"/>
          <w:sz w:val="21"/>
        </w:rPr>
        <w:t>如果投保人或受益人故意或者因重大过失未及时通知，致使保险事故的性质、原因、损失程度等难以确定</w:t>
      </w:r>
      <w:r>
        <w:rPr>
          <w:rFonts w:ascii="Microsoft JhengHei" w:eastAsia="Microsoft JhengHei" w:hint="eastAsia"/>
          <w:b/>
          <w:spacing w:val="-7"/>
          <w:sz w:val="21"/>
        </w:rPr>
        <w:t>的，本公司对无法确定的部分，不承担给付保险金的责任，</w:t>
      </w:r>
      <w:r>
        <w:rPr>
          <w:spacing w:val="-5"/>
          <w:sz w:val="21"/>
        </w:rPr>
        <w:t>但本公司通过其他途径已经及时知道或者应当及时知道保险事故发生或者虽未及时通知但不影响本公司确定保险事故的性质、原因、损失程度的除外。</w:t>
      </w:r>
    </w:p>
    <w:p>
      <w:pPr>
        <w:pStyle w:val="BodyText"/>
        <w:spacing w:before="9"/>
        <w:ind w:left="0"/>
        <w:rPr>
          <w:sz w:val="19"/>
        </w:rPr>
      </w:pPr>
    </w:p>
    <w:p>
      <w:pPr>
        <w:pStyle w:val="Heading1"/>
        <w:tabs>
          <w:tab w:pos="1376" w:val="left" w:leader="none"/>
        </w:tabs>
        <w:rPr>
          <w:rFonts w:ascii="黑体" w:eastAsia="黑体" w:hint="eastAsia"/>
        </w:rPr>
      </w:pPr>
      <w:r>
        <w:rPr>
          <w:rFonts w:ascii="黑体" w:eastAsia="黑体" w:hint="eastAsia"/>
        </w:rPr>
        <w:t>第十四条</w:t>
        <w:tab/>
        <w:t>保险金申请</w:t>
      </w:r>
    </w:p>
    <w:p>
      <w:pPr>
        <w:pStyle w:val="BodyText"/>
        <w:spacing w:before="11"/>
        <w:ind w:left="0"/>
        <w:rPr>
          <w:rFonts w:ascii="黑体"/>
          <w:b/>
          <w:sz w:val="24"/>
        </w:rPr>
      </w:pPr>
    </w:p>
    <w:p>
      <w:pPr>
        <w:pStyle w:val="BodyText"/>
      </w:pPr>
      <w:r>
        <w:rPr/>
        <w:t>一、重大疾病保险金的申请</w:t>
      </w:r>
    </w:p>
    <w:p>
      <w:pPr>
        <w:pStyle w:val="BodyText"/>
        <w:spacing w:before="94"/>
      </w:pPr>
      <w:r>
        <w:rPr>
          <w:rFonts w:ascii="Times New Roman" w:eastAsia="Times New Roman"/>
        </w:rPr>
        <w:t>1</w:t>
      </w:r>
      <w:r>
        <w:rPr/>
        <w:t>、 保险合同；</w:t>
      </w:r>
    </w:p>
    <w:p>
      <w:pPr>
        <w:pStyle w:val="BodyText"/>
        <w:spacing w:before="73"/>
      </w:pPr>
      <w:r>
        <w:rPr>
          <w:rFonts w:ascii="Times New Roman" w:eastAsia="Times New Roman"/>
        </w:rPr>
        <w:t>2</w:t>
      </w:r>
      <w:r>
        <w:rPr/>
        <w:t>、 申请人的有效身份证件；</w:t>
      </w:r>
    </w:p>
    <w:p>
      <w:pPr>
        <w:pStyle w:val="BodyText"/>
        <w:spacing w:before="73"/>
      </w:pPr>
      <w:r>
        <w:rPr>
          <w:rFonts w:ascii="Times New Roman" w:eastAsia="Times New Roman"/>
        </w:rPr>
        <w:t>3</w:t>
      </w:r>
      <w:r>
        <w:rPr/>
        <w:t>、 被保险人的有效身份证件；</w:t>
      </w:r>
    </w:p>
    <w:p>
      <w:pPr>
        <w:pStyle w:val="BodyText"/>
        <w:spacing w:before="73"/>
      </w:pPr>
      <w:r>
        <w:rPr>
          <w:rFonts w:ascii="Times New Roman" w:eastAsia="Times New Roman"/>
        </w:rPr>
        <w:t>4</w:t>
      </w:r>
      <w:r>
        <w:rPr/>
        <w:t>、 重大疾病保险金受益人的有效身份证件；</w:t>
      </w:r>
    </w:p>
    <w:p>
      <w:pPr>
        <w:pStyle w:val="BodyText"/>
        <w:spacing w:line="304" w:lineRule="auto" w:before="74"/>
        <w:ind w:left="473" w:right="206" w:hanging="360"/>
      </w:pPr>
      <w:r>
        <w:rPr>
          <w:rFonts w:ascii="Times New Roman" w:eastAsia="Times New Roman"/>
        </w:rPr>
        <w:t>5</w:t>
      </w:r>
      <w:r>
        <w:rPr>
          <w:spacing w:val="-5"/>
        </w:rPr>
        <w:t>、 由医疗机构的专科医生出具的疾病诊断书及相关所必需的检查结果证明</w:t>
      </w:r>
      <w:r>
        <w:rPr/>
        <w:t>（</w:t>
      </w:r>
      <w:r>
        <w:rPr>
          <w:spacing w:val="-1"/>
        </w:rPr>
        <w:t>如病理检查报告、血液检查</w:t>
      </w:r>
      <w:r>
        <w:rPr>
          <w:spacing w:val="-14"/>
        </w:rPr>
        <w:t>报告、超声波、影像学及其他医学诊断检查报告等</w:t>
      </w:r>
      <w:r>
        <w:rPr>
          <w:spacing w:val="-90"/>
        </w:rPr>
        <w:t>）</w:t>
      </w:r>
      <w:r>
        <w:rPr>
          <w:spacing w:val="-14"/>
        </w:rPr>
        <w:t>，若接受外科手术者，还需提供外科手术证明文件；</w:t>
      </w:r>
    </w:p>
    <w:p>
      <w:pPr>
        <w:pStyle w:val="BodyText"/>
        <w:spacing w:before="33"/>
      </w:pPr>
      <w:r>
        <w:rPr>
          <w:rFonts w:ascii="Times New Roman" w:eastAsia="Times New Roman"/>
        </w:rPr>
        <w:t>6</w:t>
      </w:r>
      <w:r>
        <w:rPr/>
        <w:t>、 所能提供的与确认保险事故的性质、原因等有关的其他证明和资料。</w:t>
      </w:r>
    </w:p>
    <w:p>
      <w:pPr>
        <w:pStyle w:val="BodyText"/>
        <w:ind w:left="0"/>
        <w:rPr>
          <w:sz w:val="24"/>
        </w:rPr>
      </w:pPr>
    </w:p>
    <w:p>
      <w:pPr>
        <w:pStyle w:val="BodyText"/>
      </w:pPr>
      <w:r>
        <w:rPr/>
        <w:t>二、身故、全残保险金的申请</w:t>
      </w:r>
    </w:p>
    <w:p>
      <w:pPr>
        <w:pStyle w:val="BodyText"/>
        <w:spacing w:before="94"/>
      </w:pPr>
      <w:r>
        <w:rPr/>
        <w:t>在申请身故、全残保险金时，申请人须填写保险金给付申请书，并提供下列证明和资料：</w:t>
      </w:r>
    </w:p>
    <w:p>
      <w:pPr>
        <w:pStyle w:val="BodyText"/>
        <w:spacing w:before="89"/>
      </w:pPr>
      <w:r>
        <w:rPr>
          <w:rFonts w:ascii="Times New Roman" w:eastAsia="Times New Roman"/>
        </w:rPr>
        <w:t>1</w:t>
      </w:r>
      <w:r>
        <w:rPr/>
        <w:t>、 保险合同；</w:t>
      </w:r>
    </w:p>
    <w:p>
      <w:pPr>
        <w:pStyle w:val="BodyText"/>
        <w:spacing w:before="73"/>
      </w:pPr>
      <w:r>
        <w:rPr>
          <w:rFonts w:ascii="Times New Roman" w:eastAsia="Times New Roman"/>
        </w:rPr>
        <w:t>2</w:t>
      </w:r>
      <w:r>
        <w:rPr/>
        <w:t>、 申请人的有效身份证件；</w:t>
      </w:r>
    </w:p>
    <w:p>
      <w:pPr>
        <w:pStyle w:val="BodyText"/>
        <w:spacing w:line="302" w:lineRule="auto" w:before="73"/>
        <w:ind w:left="535" w:right="207" w:hanging="423"/>
      </w:pPr>
      <w:r>
        <w:rPr>
          <w:rFonts w:ascii="Times New Roman" w:eastAsia="Times New Roman"/>
        </w:rPr>
        <w:t>3</w:t>
      </w:r>
      <w:r>
        <w:rPr>
          <w:spacing w:val="-6"/>
        </w:rPr>
        <w:t>、 若因被保险人身故提出申请，则应提供国家卫生行政部门认定的医疗机构、公安部门或其他相关机构</w:t>
      </w:r>
      <w:r>
        <w:rPr>
          <w:spacing w:val="-5"/>
        </w:rPr>
        <w:t>出具的被保险人的死亡证明；</w:t>
      </w:r>
    </w:p>
    <w:p>
      <w:pPr>
        <w:pStyle w:val="BodyText"/>
        <w:spacing w:before="39"/>
      </w:pPr>
      <w:r>
        <w:rPr>
          <w:rFonts w:ascii="Times New Roman" w:eastAsia="Times New Roman"/>
        </w:rPr>
        <w:t>4</w:t>
      </w:r>
      <w:r>
        <w:rPr/>
        <w:t>、 若因被保险人全残提出申请，则应提供本公司指定或认可的机构出具的鉴定诊断书；</w:t>
      </w:r>
    </w:p>
    <w:p>
      <w:pPr>
        <w:pStyle w:val="BodyText"/>
        <w:spacing w:before="73"/>
      </w:pPr>
      <w:r>
        <w:rPr>
          <w:rFonts w:ascii="Times New Roman" w:eastAsia="Times New Roman"/>
        </w:rPr>
        <w:t>5</w:t>
      </w:r>
      <w:r>
        <w:rPr/>
        <w:t>、 身故、全残保险金受益人的有效身份证件；</w:t>
      </w:r>
    </w:p>
    <w:p>
      <w:pPr>
        <w:pStyle w:val="BodyText"/>
        <w:spacing w:line="504" w:lineRule="auto" w:before="73"/>
        <w:ind w:right="2917"/>
      </w:pPr>
      <w:r>
        <w:rPr>
          <w:rFonts w:ascii="Times New Roman" w:eastAsia="Times New Roman"/>
        </w:rPr>
        <w:t>6</w:t>
      </w:r>
      <w:r>
        <w:rPr/>
        <w:t>、 所能提供的与确认保险事故的性质、原因等有关的其他证明和资料。保险金作为被保险人遗产时，必须提供可证明合法继承权的相关权利文件。</w:t>
      </w:r>
    </w:p>
    <w:p>
      <w:pPr>
        <w:pStyle w:val="BodyText"/>
        <w:spacing w:before="98"/>
      </w:pPr>
      <w:r>
        <w:rPr/>
        <w:t>以上证明和资料不完整的，本公司将及时一次性通知申请人补充提供有关证明和资料。</w:t>
      </w:r>
    </w:p>
    <w:p>
      <w:pPr>
        <w:pStyle w:val="BodyText"/>
        <w:spacing w:before="2"/>
        <w:ind w:left="0"/>
      </w:pPr>
    </w:p>
    <w:p>
      <w:pPr>
        <w:pStyle w:val="Heading1"/>
        <w:tabs>
          <w:tab w:pos="1376" w:val="left" w:leader="none"/>
        </w:tabs>
        <w:rPr>
          <w:rFonts w:ascii="黑体" w:eastAsia="黑体" w:hint="eastAsia"/>
        </w:rPr>
      </w:pPr>
      <w:r>
        <w:rPr>
          <w:rFonts w:ascii="黑体" w:eastAsia="黑体" w:hint="eastAsia"/>
        </w:rPr>
        <w:t>第十五条</w:t>
        <w:tab/>
        <w:t>保险金给付</w:t>
      </w:r>
    </w:p>
    <w:p>
      <w:pPr>
        <w:pStyle w:val="BodyText"/>
        <w:spacing w:before="8"/>
        <w:ind w:left="0"/>
        <w:rPr>
          <w:rFonts w:ascii="黑体"/>
          <w:b/>
          <w:sz w:val="22"/>
        </w:rPr>
      </w:pPr>
    </w:p>
    <w:p>
      <w:pPr>
        <w:pStyle w:val="BodyText"/>
        <w:spacing w:before="1"/>
        <w:rPr>
          <w:rFonts w:ascii="Times New Roman" w:eastAsia="Times New Roman"/>
        </w:rPr>
      </w:pPr>
      <w:r>
        <w:rPr/>
        <w:t>本公司在收到保险金给付申请书及合同约定的证明和资料后，将在 </w:t>
      </w:r>
      <w:r>
        <w:rPr>
          <w:rFonts w:ascii="Times New Roman" w:eastAsia="Times New Roman"/>
        </w:rPr>
        <w:t>5  </w:t>
      </w:r>
      <w:r>
        <w:rPr/>
        <w:t>日内作出核定；情形复杂的，在 </w:t>
      </w:r>
      <w:r>
        <w:rPr>
          <w:rFonts w:ascii="Times New Roman" w:eastAsia="Times New Roman"/>
        </w:rPr>
        <w:t>30</w:t>
      </w:r>
    </w:p>
    <w:p>
      <w:pPr>
        <w:pStyle w:val="BodyText"/>
        <w:spacing w:line="300" w:lineRule="auto" w:before="74"/>
        <w:ind w:right="202"/>
      </w:pPr>
      <w:r>
        <w:rPr>
          <w:spacing w:val="-5"/>
        </w:rPr>
        <w:t>日内作出核定。对属于保险责任的，本公司在与受益人达成给付保险金的协议后 </w:t>
      </w:r>
      <w:r>
        <w:rPr>
          <w:rFonts w:ascii="Times New Roman" w:eastAsia="Times New Roman"/>
        </w:rPr>
        <w:t>10 </w:t>
      </w:r>
      <w:r>
        <w:rPr>
          <w:spacing w:val="-3"/>
        </w:rPr>
        <w:t>日内，履行给付保险金义务。</w:t>
      </w:r>
    </w:p>
    <w:p>
      <w:pPr>
        <w:pStyle w:val="BodyText"/>
        <w:spacing w:before="7"/>
        <w:ind w:left="0"/>
      </w:pPr>
    </w:p>
    <w:p>
      <w:pPr>
        <w:pStyle w:val="BodyText"/>
        <w:spacing w:before="1"/>
      </w:pPr>
      <w:r>
        <w:rPr/>
        <w:t>本公司未及时履行前款规定义务的，除支付保险金外，应当赔偿受益人因此受到的损失。</w:t>
      </w:r>
    </w:p>
    <w:p>
      <w:pPr>
        <w:pStyle w:val="BodyText"/>
        <w:spacing w:before="2"/>
        <w:ind w:left="0"/>
        <w:rPr>
          <w:sz w:val="25"/>
        </w:rPr>
      </w:pPr>
    </w:p>
    <w:p>
      <w:pPr>
        <w:pStyle w:val="BodyText"/>
        <w:spacing w:before="1"/>
      </w:pPr>
      <w:r>
        <w:rPr/>
        <w:t>对不属于保险责任的，本公司自作出核定之日起 </w:t>
      </w:r>
      <w:r>
        <w:rPr>
          <w:rFonts w:ascii="Times New Roman" w:eastAsia="Times New Roman"/>
        </w:rPr>
        <w:t>3 </w:t>
      </w:r>
      <w:r>
        <w:rPr/>
        <w:t>日内向受益人发出拒绝给付保险金通知书并说明理由。</w:t>
      </w:r>
    </w:p>
    <w:p>
      <w:pPr>
        <w:pStyle w:val="BodyText"/>
        <w:spacing w:before="4"/>
        <w:ind w:left="0"/>
        <w:rPr>
          <w:sz w:val="24"/>
        </w:rPr>
      </w:pPr>
    </w:p>
    <w:p>
      <w:pPr>
        <w:pStyle w:val="BodyText"/>
        <w:spacing w:line="302" w:lineRule="auto"/>
        <w:ind w:right="107"/>
      </w:pPr>
      <w:r>
        <w:rPr>
          <w:spacing w:val="-5"/>
        </w:rPr>
        <w:t>本公司在收到保险金给付申请书及有关证明和资料之日起 </w:t>
      </w:r>
      <w:r>
        <w:rPr>
          <w:rFonts w:ascii="Times New Roman" w:eastAsia="Times New Roman"/>
          <w:spacing w:val="-3"/>
        </w:rPr>
        <w:t>60 </w:t>
      </w:r>
      <w:r>
        <w:rPr>
          <w:spacing w:val="-5"/>
        </w:rPr>
        <w:t>日内，对给付保险金的数额不能确定的，根据已有证明和资料可以确定的数额先予支付；本公司最终确定给付保险金的数额后，将支付相应的差额。</w:t>
      </w:r>
    </w:p>
    <w:p>
      <w:pPr>
        <w:spacing w:after="0" w:line="302" w:lineRule="auto"/>
        <w:sectPr>
          <w:pgSz w:w="11910" w:h="16840"/>
          <w:pgMar w:header="0" w:footer="496" w:top="780" w:bottom="760" w:left="1020" w:right="920"/>
        </w:sectPr>
      </w:pPr>
    </w:p>
    <w:p>
      <w:pPr>
        <w:pStyle w:val="Heading1"/>
        <w:tabs>
          <w:tab w:pos="1376" w:val="left" w:leader="none"/>
        </w:tabs>
        <w:spacing w:before="12"/>
        <w:rPr>
          <w:rFonts w:ascii="黑体" w:eastAsia="黑体" w:hint="eastAsia"/>
        </w:rPr>
      </w:pPr>
      <w:r>
        <w:rPr>
          <w:rFonts w:ascii="黑体" w:eastAsia="黑体" w:hint="eastAsia"/>
        </w:rPr>
        <w:t>第十六条</w:t>
        <w:tab/>
        <w:t>诉讼时效</w:t>
      </w:r>
    </w:p>
    <w:p>
      <w:pPr>
        <w:pStyle w:val="BodyText"/>
        <w:spacing w:before="7"/>
        <w:ind w:left="0"/>
        <w:rPr>
          <w:rFonts w:ascii="黑体"/>
          <w:b/>
          <w:sz w:val="22"/>
        </w:rPr>
      </w:pPr>
    </w:p>
    <w:p>
      <w:pPr>
        <w:pStyle w:val="BodyText"/>
      </w:pPr>
      <w:r>
        <w:rPr/>
        <w:t>受益人向本公司请求给付保险金的诉讼时效期间为 </w:t>
      </w:r>
      <w:r>
        <w:rPr>
          <w:rFonts w:ascii="Times New Roman" w:eastAsia="Times New Roman"/>
        </w:rPr>
        <w:t>5 </w:t>
      </w:r>
      <w:r>
        <w:rPr/>
        <w:t>年，自其知道或者应当知道保险事故发生之日起计算。</w:t>
      </w:r>
    </w:p>
    <w:p>
      <w:pPr>
        <w:pStyle w:val="BodyText"/>
        <w:spacing w:before="11"/>
        <w:ind w:left="0"/>
        <w:rPr>
          <w:sz w:val="19"/>
        </w:rPr>
      </w:pPr>
    </w:p>
    <w:p>
      <w:pPr>
        <w:pStyle w:val="Heading1"/>
        <w:tabs>
          <w:tab w:pos="1376" w:val="left" w:leader="none"/>
        </w:tabs>
        <w:spacing w:before="1"/>
        <w:rPr>
          <w:rFonts w:ascii="黑体" w:eastAsia="黑体" w:hint="eastAsia"/>
        </w:rPr>
      </w:pPr>
      <w:r>
        <w:rPr>
          <w:rFonts w:ascii="黑体" w:eastAsia="黑体" w:hint="eastAsia"/>
        </w:rPr>
        <w:t>第十七条</w:t>
        <w:tab/>
        <w:t>宣告死亡的处理</w:t>
      </w:r>
    </w:p>
    <w:p>
      <w:pPr>
        <w:pStyle w:val="BodyText"/>
        <w:spacing w:before="9"/>
        <w:ind w:left="0"/>
        <w:rPr>
          <w:rFonts w:ascii="黑体"/>
          <w:b/>
          <w:sz w:val="22"/>
        </w:rPr>
      </w:pPr>
    </w:p>
    <w:p>
      <w:pPr>
        <w:pStyle w:val="BodyText"/>
        <w:spacing w:line="319" w:lineRule="auto"/>
        <w:ind w:right="303"/>
      </w:pPr>
      <w:r>
        <w:rPr>
          <w:spacing w:val="-6"/>
        </w:rPr>
        <w:t>若被保险人经法院宣告死亡后重新出现或确知其没有死亡，保险金的受领人应于知道或应当知道被保险人</w:t>
      </w:r>
      <w:r>
        <w:rPr>
          <w:spacing w:val="-7"/>
        </w:rPr>
        <w:t>重新出现或确知其没有死亡后的 </w:t>
      </w:r>
      <w:r>
        <w:rPr>
          <w:rFonts w:ascii="Times New Roman" w:eastAsia="Times New Roman"/>
        </w:rPr>
        <w:t>30 </w:t>
      </w:r>
      <w:r>
        <w:rPr>
          <w:spacing w:val="-5"/>
        </w:rPr>
        <w:t>日内向本公司退还已领取的保险金。</w:t>
      </w:r>
    </w:p>
    <w:p>
      <w:pPr>
        <w:pStyle w:val="Heading1"/>
        <w:tabs>
          <w:tab w:pos="1376" w:val="left" w:leader="none"/>
        </w:tabs>
        <w:spacing w:before="184"/>
        <w:rPr>
          <w:rFonts w:ascii="黑体" w:eastAsia="黑体" w:hint="eastAsia"/>
        </w:rPr>
      </w:pPr>
      <w:r>
        <w:rPr>
          <w:rFonts w:ascii="黑体" w:eastAsia="黑体" w:hint="eastAsia"/>
        </w:rPr>
        <w:t>第十八条</w:t>
        <w:tab/>
        <w:t>身体检查及司法鉴定</w:t>
      </w:r>
    </w:p>
    <w:p>
      <w:pPr>
        <w:pStyle w:val="BodyText"/>
        <w:spacing w:before="8"/>
        <w:ind w:left="0"/>
        <w:rPr>
          <w:rFonts w:ascii="黑体"/>
          <w:b/>
          <w:sz w:val="22"/>
        </w:rPr>
      </w:pPr>
    </w:p>
    <w:p>
      <w:pPr>
        <w:spacing w:line="261" w:lineRule="auto" w:before="0"/>
        <w:ind w:left="113" w:right="303" w:firstLine="0"/>
        <w:jc w:val="both"/>
        <w:rPr>
          <w:sz w:val="21"/>
        </w:rPr>
      </w:pPr>
      <w:r>
        <w:rPr>
          <w:spacing w:val="-5"/>
          <w:sz w:val="21"/>
        </w:rPr>
        <w:t>申请本合同保险金时，本公司有权根据实际情况要求被保险人到本公司指定的医院进行身体检查或其他必</w:t>
      </w:r>
      <w:r>
        <w:rPr>
          <w:spacing w:val="-6"/>
          <w:sz w:val="21"/>
        </w:rPr>
        <w:t>要的检验以确认保险事故的发生，费用由本公司承担。</w:t>
      </w:r>
      <w:r>
        <w:rPr>
          <w:rFonts w:ascii="Microsoft JhengHei" w:eastAsia="Microsoft JhengHei" w:hint="eastAsia"/>
          <w:b/>
          <w:spacing w:val="-5"/>
          <w:sz w:val="21"/>
        </w:rPr>
        <w:t>如果被保险人拒绝检查、检验或检查、检验结果不</w:t>
      </w:r>
      <w:r>
        <w:rPr>
          <w:rFonts w:ascii="Microsoft JhengHei" w:eastAsia="Microsoft JhengHei" w:hint="eastAsia"/>
          <w:b/>
          <w:spacing w:val="-7"/>
          <w:sz w:val="21"/>
        </w:rPr>
        <w:t>符合本合同关于保险事故的约定，本公司不承担给付保险金的责任。</w:t>
      </w:r>
      <w:r>
        <w:rPr>
          <w:spacing w:val="-5"/>
          <w:sz w:val="21"/>
        </w:rPr>
        <w:t>若被保险人身故，本公司有权要求司法鉴定机构对保险事故进行鉴定。</w:t>
      </w:r>
    </w:p>
    <w:p>
      <w:pPr>
        <w:pStyle w:val="BodyText"/>
        <w:spacing w:before="9"/>
        <w:ind w:left="0"/>
        <w:rPr>
          <w:sz w:val="19"/>
        </w:rPr>
      </w:pPr>
    </w:p>
    <w:p>
      <w:pPr>
        <w:pStyle w:val="Heading1"/>
        <w:tabs>
          <w:tab w:pos="1376" w:val="left" w:leader="none"/>
        </w:tabs>
        <w:rPr>
          <w:rFonts w:ascii="黑体" w:eastAsia="黑体" w:hint="eastAsia"/>
        </w:rPr>
      </w:pPr>
      <w:r>
        <w:rPr>
          <w:rFonts w:ascii="黑体" w:eastAsia="黑体" w:hint="eastAsia"/>
        </w:rPr>
        <w:t>第十九条</w:t>
        <w:tab/>
        <w:t>保险费的缴付</w:t>
      </w:r>
    </w:p>
    <w:p>
      <w:pPr>
        <w:pStyle w:val="BodyText"/>
        <w:spacing w:before="7"/>
        <w:ind w:left="0"/>
        <w:rPr>
          <w:rFonts w:ascii="黑体"/>
          <w:b/>
          <w:sz w:val="22"/>
        </w:rPr>
      </w:pPr>
    </w:p>
    <w:p>
      <w:pPr>
        <w:pStyle w:val="BodyText"/>
        <w:spacing w:before="1"/>
      </w:pPr>
      <w:r>
        <w:rPr/>
        <w:t>投保人可选择一次性缴付或分期缴付本合同的保险费。</w:t>
      </w:r>
    </w:p>
    <w:p>
      <w:pPr>
        <w:pStyle w:val="BodyText"/>
        <w:spacing w:before="10"/>
        <w:ind w:left="0"/>
        <w:rPr>
          <w:sz w:val="34"/>
        </w:rPr>
      </w:pPr>
    </w:p>
    <w:p>
      <w:pPr>
        <w:pStyle w:val="BodyText"/>
        <w:spacing w:line="324" w:lineRule="auto"/>
        <w:ind w:right="305"/>
      </w:pPr>
      <w:r>
        <w:rPr>
          <w:spacing w:val="-7"/>
        </w:rPr>
        <w:t>选择分期缴付保险费的，投保人应于本合同成立时向本公司缴付首期保险费，首期后的分期保险费，应按</w:t>
      </w:r>
      <w:r>
        <w:rPr>
          <w:spacing w:val="-6"/>
        </w:rPr>
        <w:t>保险单上所载的缴付方法及日期向本公司缴付。</w:t>
      </w:r>
    </w:p>
    <w:p>
      <w:pPr>
        <w:pStyle w:val="Heading1"/>
        <w:tabs>
          <w:tab w:pos="1376" w:val="left" w:leader="none"/>
        </w:tabs>
        <w:spacing w:before="232"/>
        <w:rPr>
          <w:rFonts w:ascii="黑体" w:eastAsia="黑体" w:hint="eastAsia"/>
        </w:rPr>
      </w:pPr>
      <w:r>
        <w:rPr>
          <w:rFonts w:ascii="黑体" w:eastAsia="黑体" w:hint="eastAsia"/>
        </w:rPr>
        <w:t>第二十条</w:t>
        <w:tab/>
        <w:t>保险费率的调整</w:t>
      </w:r>
    </w:p>
    <w:p>
      <w:pPr>
        <w:pStyle w:val="BodyText"/>
        <w:spacing w:before="8"/>
        <w:ind w:left="0"/>
        <w:rPr>
          <w:rFonts w:ascii="黑体"/>
          <w:b/>
          <w:sz w:val="22"/>
        </w:rPr>
      </w:pPr>
    </w:p>
    <w:p>
      <w:pPr>
        <w:pStyle w:val="BodyText"/>
        <w:spacing w:line="319" w:lineRule="auto"/>
        <w:ind w:right="305"/>
        <w:jc w:val="both"/>
      </w:pPr>
      <w:r>
        <w:rPr>
          <w:spacing w:val="-6"/>
        </w:rPr>
        <w:t>本公司保留提高或降低保险费率的权利。本公司可以针对所有被保险人或相同投保年龄、性别的所有被保</w:t>
      </w:r>
      <w:r>
        <w:rPr>
          <w:spacing w:val="-7"/>
        </w:rPr>
        <w:t>险人调整本合同的保险费率。若费率调整时本合同的缴费期间尚未届满，则调整后的保险费率将在费率调</w:t>
      </w:r>
      <w:r>
        <w:rPr>
          <w:spacing w:val="-6"/>
        </w:rPr>
        <w:t>整后的首个保单周年日之前以书面形式通知投保人。投保人应按调整后的保险费率缴纳续期保险费。</w:t>
      </w:r>
    </w:p>
    <w:p>
      <w:pPr>
        <w:pStyle w:val="Heading1"/>
        <w:tabs>
          <w:tab w:pos="1376" w:val="left" w:leader="none"/>
        </w:tabs>
        <w:spacing w:before="236"/>
        <w:rPr>
          <w:rFonts w:ascii="黑体" w:eastAsia="黑体" w:hint="eastAsia"/>
        </w:rPr>
      </w:pPr>
      <w:r>
        <w:rPr>
          <w:rFonts w:ascii="黑体" w:eastAsia="黑体" w:hint="eastAsia"/>
        </w:rPr>
        <w:t>第二十一条</w:t>
        <w:tab/>
        <w:t>宽限期</w:t>
      </w:r>
    </w:p>
    <w:p>
      <w:pPr>
        <w:pStyle w:val="BodyText"/>
        <w:spacing w:before="8"/>
        <w:ind w:left="0"/>
        <w:rPr>
          <w:rFonts w:ascii="黑体"/>
          <w:b/>
          <w:sz w:val="22"/>
        </w:rPr>
      </w:pPr>
    </w:p>
    <w:p>
      <w:pPr>
        <w:pStyle w:val="BodyText"/>
        <w:spacing w:line="312" w:lineRule="auto"/>
        <w:ind w:right="304"/>
        <w:jc w:val="both"/>
      </w:pPr>
      <w:r>
        <w:rPr>
          <w:spacing w:val="-5"/>
        </w:rPr>
        <w:t>分期支付保险费的，投保人支付首期保险费后，除本合同另有约定外，如果投保人到期未支付保险费，自</w:t>
      </w:r>
      <w:r>
        <w:rPr>
          <w:spacing w:val="-4"/>
        </w:rPr>
        <w:t>保险费约定支付日的次日零时起 </w:t>
      </w:r>
      <w:r>
        <w:rPr>
          <w:rFonts w:ascii="Times New Roman" w:eastAsia="Times New Roman"/>
          <w:spacing w:val="-3"/>
        </w:rPr>
        <w:t>60 </w:t>
      </w:r>
      <w:r>
        <w:rPr>
          <w:spacing w:val="-5"/>
        </w:rPr>
        <w:t>日为宽限期。宽限期内发生的保险事故，本公司仍会承担保险责任， 但在给付保险金时会扣减投保人欠交的保险费。</w:t>
      </w:r>
    </w:p>
    <w:p>
      <w:pPr>
        <w:pStyle w:val="BodyText"/>
        <w:spacing w:before="4"/>
        <w:ind w:left="0"/>
        <w:rPr>
          <w:sz w:val="20"/>
        </w:rPr>
      </w:pPr>
    </w:p>
    <w:p>
      <w:pPr>
        <w:pStyle w:val="BodyText"/>
      </w:pPr>
      <w:r>
        <w:rPr/>
        <w:t>如果投保人宽限期结束之后仍未支付保险费，则本合同自宽限期满的次日零时起效力中止。</w:t>
      </w:r>
    </w:p>
    <w:p>
      <w:pPr>
        <w:pStyle w:val="BodyText"/>
        <w:spacing w:before="2"/>
        <w:ind w:left="0"/>
      </w:pPr>
    </w:p>
    <w:p>
      <w:pPr>
        <w:pStyle w:val="Heading1"/>
        <w:tabs>
          <w:tab w:pos="1376" w:val="left" w:leader="none"/>
        </w:tabs>
        <w:rPr>
          <w:rFonts w:ascii="黑体" w:eastAsia="黑体" w:hint="eastAsia"/>
        </w:rPr>
      </w:pPr>
      <w:r>
        <w:rPr>
          <w:rFonts w:ascii="黑体" w:eastAsia="黑体" w:hint="eastAsia"/>
        </w:rPr>
        <w:t>第二十二条</w:t>
        <w:tab/>
        <w:t>保险费的自动垫缴</w:t>
      </w:r>
    </w:p>
    <w:p>
      <w:pPr>
        <w:pStyle w:val="BodyText"/>
        <w:ind w:left="0"/>
        <w:rPr>
          <w:rFonts w:ascii="黑体"/>
          <w:b/>
          <w:sz w:val="20"/>
        </w:rPr>
      </w:pPr>
    </w:p>
    <w:p>
      <w:pPr>
        <w:pStyle w:val="BodyText"/>
        <w:spacing w:before="164"/>
      </w:pPr>
      <w:r>
        <w:rPr/>
        <w:t>本合同首期后的分期保险费超过宽限期仍未缴付时，若投保人已选择保险费的自动垫缴，本公司将自保险</w:t>
      </w:r>
    </w:p>
    <w:p>
      <w:pPr>
        <w:pStyle w:val="BodyText"/>
        <w:spacing w:before="9"/>
        <w:ind w:left="0"/>
        <w:rPr>
          <w:sz w:val="26"/>
        </w:rPr>
      </w:pPr>
    </w:p>
    <w:p>
      <w:pPr>
        <w:spacing w:line="487" w:lineRule="auto" w:before="0"/>
        <w:ind w:left="113" w:right="305" w:firstLine="0"/>
        <w:jc w:val="left"/>
        <w:rPr>
          <w:sz w:val="21"/>
        </w:rPr>
      </w:pPr>
      <w:r>
        <w:rPr>
          <w:spacing w:val="-7"/>
          <w:sz w:val="21"/>
        </w:rPr>
        <w:t>费约定支付日之次日起以本合同当时的现金价值自动垫缴到期应缴的保险费，使本合同继续有效。自动垫</w:t>
      </w:r>
      <w:r>
        <w:rPr>
          <w:spacing w:val="-6"/>
          <w:sz w:val="21"/>
        </w:rPr>
        <w:t>缴的保险费视为借款，按照</w:t>
      </w:r>
      <w:r>
        <w:rPr>
          <w:rFonts w:ascii="Microsoft JhengHei" w:eastAsia="Microsoft JhengHei" w:hint="eastAsia"/>
          <w:b/>
          <w:sz w:val="21"/>
        </w:rPr>
        <w:t>借款利率（</w:t>
      </w:r>
      <w:r>
        <w:rPr>
          <w:rFonts w:ascii="Microsoft JhengHei" w:eastAsia="Microsoft JhengHei" w:hint="eastAsia"/>
          <w:b/>
          <w:spacing w:val="-2"/>
          <w:sz w:val="21"/>
        </w:rPr>
        <w:t>见释义</w:t>
      </w:r>
      <w:r>
        <w:rPr>
          <w:rFonts w:ascii="Microsoft JhengHei" w:eastAsia="Microsoft JhengHei" w:hint="eastAsia"/>
          <w:b/>
          <w:sz w:val="21"/>
        </w:rPr>
        <w:t>）</w:t>
      </w:r>
      <w:r>
        <w:rPr>
          <w:spacing w:val="-5"/>
          <w:sz w:val="21"/>
        </w:rPr>
        <w:t>计算</w:t>
      </w:r>
      <w:r>
        <w:rPr>
          <w:rFonts w:ascii="Microsoft JhengHei" w:eastAsia="Microsoft JhengHei" w:hint="eastAsia"/>
          <w:b/>
          <w:sz w:val="21"/>
        </w:rPr>
        <w:t>利息（</w:t>
      </w:r>
      <w:r>
        <w:rPr>
          <w:rFonts w:ascii="Microsoft JhengHei" w:eastAsia="Microsoft JhengHei" w:hint="eastAsia"/>
          <w:b/>
          <w:spacing w:val="-2"/>
          <w:sz w:val="21"/>
        </w:rPr>
        <w:t>见释义</w:t>
      </w:r>
      <w:r>
        <w:rPr>
          <w:rFonts w:ascii="Microsoft JhengHei" w:eastAsia="Microsoft JhengHei" w:hint="eastAsia"/>
          <w:b/>
          <w:sz w:val="21"/>
        </w:rPr>
        <w:t>）</w:t>
      </w:r>
      <w:r>
        <w:rPr>
          <w:sz w:val="21"/>
        </w:rPr>
        <w:t>。</w:t>
      </w:r>
    </w:p>
    <w:p>
      <w:pPr>
        <w:pStyle w:val="BodyText"/>
        <w:ind w:left="0"/>
        <w:rPr>
          <w:sz w:val="28"/>
        </w:rPr>
      </w:pPr>
    </w:p>
    <w:p>
      <w:pPr>
        <w:pStyle w:val="BodyText"/>
        <w:spacing w:before="7"/>
        <w:ind w:left="0"/>
        <w:rPr>
          <w:sz w:val="22"/>
        </w:rPr>
      </w:pPr>
    </w:p>
    <w:p>
      <w:pPr>
        <w:pStyle w:val="BodyText"/>
      </w:pPr>
      <w:r>
        <w:rPr/>
        <w:t>若本合同当时的现金价值不足以垫缴到期应缴的保险费及利息时，本公司将按日折算现金价值的垫缴期间。</w:t>
      </w:r>
    </w:p>
    <w:p>
      <w:pPr>
        <w:spacing w:after="0"/>
        <w:sectPr>
          <w:pgSz w:w="11910" w:h="16840"/>
          <w:pgMar w:header="0" w:footer="496" w:top="780" w:bottom="760" w:left="1020" w:right="820"/>
        </w:sectPr>
      </w:pPr>
    </w:p>
    <w:p>
      <w:pPr>
        <w:pStyle w:val="BodyText"/>
        <w:spacing w:before="60"/>
      </w:pPr>
      <w:r>
        <w:rPr/>
        <w:t>本合同自垫缴期间结束当日24时起效力中止。</w:t>
      </w:r>
    </w:p>
    <w:p>
      <w:pPr>
        <w:pStyle w:val="BodyText"/>
        <w:ind w:left="0"/>
        <w:rPr>
          <w:sz w:val="28"/>
        </w:rPr>
      </w:pPr>
    </w:p>
    <w:p>
      <w:pPr>
        <w:pStyle w:val="BodyText"/>
        <w:ind w:left="0"/>
        <w:rPr>
          <w:sz w:val="28"/>
        </w:rPr>
      </w:pPr>
    </w:p>
    <w:p>
      <w:pPr>
        <w:pStyle w:val="BodyText"/>
        <w:spacing w:before="241"/>
      </w:pPr>
      <w:r>
        <w:rPr/>
        <w:t>若本合同当时的现金价值不足以垫缴宽限期内的应缴保险费，本合同自宽限期满的次日零时起效力中止。</w:t>
      </w:r>
    </w:p>
    <w:p>
      <w:pPr>
        <w:pStyle w:val="BodyText"/>
        <w:ind w:left="0"/>
        <w:rPr>
          <w:sz w:val="28"/>
        </w:rPr>
      </w:pPr>
    </w:p>
    <w:p>
      <w:pPr>
        <w:pStyle w:val="BodyText"/>
        <w:ind w:left="0"/>
        <w:rPr>
          <w:sz w:val="28"/>
        </w:rPr>
      </w:pPr>
    </w:p>
    <w:p>
      <w:pPr>
        <w:pStyle w:val="BodyText"/>
        <w:spacing w:line="544" w:lineRule="auto" w:before="240"/>
        <w:ind w:right="205"/>
      </w:pPr>
      <w:r>
        <w:rPr>
          <w:spacing w:val="-6"/>
        </w:rPr>
        <w:t>若本合同有附加合同，且该附加合同根据本公司当时的规定可以自动垫缴的，则该附加合同与主合同同时自动垫缴。</w:t>
      </w:r>
    </w:p>
    <w:p>
      <w:pPr>
        <w:pStyle w:val="Heading1"/>
        <w:tabs>
          <w:tab w:pos="1376" w:val="left" w:leader="none"/>
        </w:tabs>
        <w:spacing w:before="139"/>
        <w:rPr>
          <w:rFonts w:ascii="黑体" w:eastAsia="黑体" w:hint="eastAsia"/>
        </w:rPr>
      </w:pPr>
      <w:r>
        <w:rPr>
          <w:rFonts w:ascii="黑体" w:eastAsia="黑体" w:hint="eastAsia"/>
        </w:rPr>
        <w:t>第二十三条</w:t>
        <w:tab/>
        <w:t>减额付清保险</w:t>
      </w:r>
    </w:p>
    <w:p>
      <w:pPr>
        <w:pStyle w:val="BodyText"/>
        <w:spacing w:before="7"/>
        <w:ind w:left="0"/>
        <w:rPr>
          <w:rFonts w:ascii="黑体"/>
          <w:b/>
          <w:sz w:val="22"/>
        </w:rPr>
      </w:pPr>
    </w:p>
    <w:p>
      <w:pPr>
        <w:pStyle w:val="BodyText"/>
        <w:spacing w:line="266" w:lineRule="auto"/>
        <w:ind w:right="202"/>
        <w:jc w:val="both"/>
      </w:pPr>
      <w:r>
        <w:rPr>
          <w:spacing w:val="-6"/>
        </w:rPr>
        <w:t>本合同生效 </w:t>
      </w:r>
      <w:r>
        <w:rPr>
          <w:rFonts w:ascii="Times New Roman" w:eastAsia="Times New Roman"/>
        </w:rPr>
        <w:t>1 </w:t>
      </w:r>
      <w:r>
        <w:rPr>
          <w:spacing w:val="-6"/>
        </w:rPr>
        <w:t>年后且在累积有现金价值的情况下，投保人可在缴费期限内的每个保险费约定支付日向本公司书面申请将本合同更改为</w:t>
      </w:r>
      <w:r>
        <w:rPr>
          <w:rFonts w:ascii="Microsoft JhengHei" w:eastAsia="Microsoft JhengHei" w:hint="eastAsia"/>
          <w:b/>
        </w:rPr>
        <w:t>减额付清保险</w:t>
      </w:r>
      <w:r>
        <w:rPr>
          <w:rFonts w:ascii="Microsoft JhengHei" w:eastAsia="Microsoft JhengHei" w:hint="eastAsia"/>
          <w:b/>
          <w:spacing w:val="2"/>
        </w:rPr>
        <w:t>（</w:t>
      </w:r>
      <w:r>
        <w:rPr>
          <w:rFonts w:ascii="Microsoft JhengHei" w:eastAsia="Microsoft JhengHei" w:hint="eastAsia"/>
          <w:b/>
        </w:rPr>
        <w:t>见释义</w:t>
      </w:r>
      <w:r>
        <w:rPr>
          <w:rFonts w:ascii="Microsoft JhengHei" w:eastAsia="Microsoft JhengHei" w:hint="eastAsia"/>
          <w:b/>
          <w:spacing w:val="-106"/>
        </w:rPr>
        <w:t>）</w:t>
      </w:r>
      <w:r>
        <w:rPr/>
        <w:t>。本公司以变更当时本合同的现金价值作为一次性付</w:t>
      </w:r>
      <w:r>
        <w:rPr>
          <w:spacing w:val="-5"/>
        </w:rPr>
        <w:t>清的保险费，计算减额付清后的保险金额，但减额付清后的保险金额需符合本公司当时的规定。</w:t>
      </w:r>
    </w:p>
    <w:p>
      <w:pPr>
        <w:pStyle w:val="BodyText"/>
        <w:spacing w:before="9"/>
        <w:ind w:left="0"/>
        <w:rPr>
          <w:sz w:val="23"/>
        </w:rPr>
      </w:pPr>
    </w:p>
    <w:p>
      <w:pPr>
        <w:pStyle w:val="BodyText"/>
        <w:spacing w:before="1"/>
      </w:pPr>
      <w:r>
        <w:rPr/>
        <w:t>本合同更改为减额付清保险后，保险责任与更改前同，但保险金额以变更后的为准。</w:t>
      </w:r>
    </w:p>
    <w:p>
      <w:pPr>
        <w:pStyle w:val="BodyText"/>
        <w:spacing w:before="11"/>
        <w:ind w:left="0"/>
        <w:rPr>
          <w:sz w:val="20"/>
        </w:rPr>
      </w:pPr>
    </w:p>
    <w:p>
      <w:pPr>
        <w:pStyle w:val="Heading1"/>
        <w:tabs>
          <w:tab w:pos="1376" w:val="left" w:leader="none"/>
        </w:tabs>
        <w:rPr>
          <w:rFonts w:ascii="黑体" w:eastAsia="黑体" w:hint="eastAsia"/>
        </w:rPr>
      </w:pPr>
      <w:r>
        <w:rPr>
          <w:rFonts w:ascii="黑体" w:eastAsia="黑体" w:hint="eastAsia"/>
        </w:rPr>
        <w:t>第二十四条</w:t>
        <w:tab/>
        <w:t>借款</w:t>
      </w:r>
    </w:p>
    <w:p>
      <w:pPr>
        <w:pStyle w:val="BodyText"/>
        <w:spacing w:before="8"/>
        <w:ind w:left="0"/>
        <w:rPr>
          <w:rFonts w:ascii="黑体"/>
          <w:b/>
          <w:sz w:val="22"/>
        </w:rPr>
      </w:pPr>
    </w:p>
    <w:p>
      <w:pPr>
        <w:pStyle w:val="BodyText"/>
        <w:spacing w:line="319" w:lineRule="auto"/>
        <w:ind w:right="205"/>
      </w:pPr>
      <w:r>
        <w:rPr>
          <w:spacing w:val="-6"/>
        </w:rPr>
        <w:t>本合同有效且在累积有现金价值的情况下，投保人可以向本公司申请借款。借款金额最高不得超过本合同当时现金价值的一定比例，该比例须符合本公司当时的规定，每次借款期最长为 </w:t>
      </w:r>
      <w:r>
        <w:rPr>
          <w:rFonts w:ascii="Times New Roman" w:eastAsia="Times New Roman"/>
        </w:rPr>
        <w:t>6 </w:t>
      </w:r>
      <w:r>
        <w:rPr/>
        <w:t>个月。</w:t>
      </w:r>
    </w:p>
    <w:p>
      <w:pPr>
        <w:pStyle w:val="BodyText"/>
        <w:spacing w:line="319" w:lineRule="auto" w:before="242"/>
        <w:ind w:right="202"/>
      </w:pPr>
      <w:r>
        <w:rPr>
          <w:spacing w:val="-7"/>
        </w:rPr>
        <w:t>借款利息应在借款期满之日缴付。如果逾期未付，则所有利息将被并入借款金额中，在下一借款期内作为</w:t>
      </w:r>
      <w:r>
        <w:rPr>
          <w:spacing w:val="-6"/>
        </w:rPr>
        <w:t>新的借款金额按最近一次宣布的借款利率计息。</w:t>
      </w:r>
    </w:p>
    <w:p>
      <w:pPr>
        <w:pStyle w:val="BodyText"/>
        <w:spacing w:before="3"/>
        <w:ind w:left="0"/>
        <w:rPr>
          <w:sz w:val="20"/>
        </w:rPr>
      </w:pPr>
    </w:p>
    <w:p>
      <w:pPr>
        <w:pStyle w:val="BodyText"/>
      </w:pPr>
      <w:r>
        <w:rPr/>
        <w:t>本合同有效期内的任何时点，自本合同现金价值小于借款与借款利息之和时起，本合同效力中止。</w:t>
      </w:r>
    </w:p>
    <w:p>
      <w:pPr>
        <w:pStyle w:val="BodyText"/>
        <w:spacing w:before="10"/>
        <w:ind w:left="0"/>
        <w:rPr>
          <w:sz w:val="20"/>
        </w:rPr>
      </w:pPr>
    </w:p>
    <w:p>
      <w:pPr>
        <w:pStyle w:val="Heading1"/>
        <w:tabs>
          <w:tab w:pos="1376" w:val="left" w:leader="none"/>
        </w:tabs>
        <w:rPr>
          <w:rFonts w:ascii="黑体" w:eastAsia="黑体" w:hint="eastAsia"/>
        </w:rPr>
      </w:pPr>
      <w:r>
        <w:rPr>
          <w:rFonts w:ascii="黑体" w:eastAsia="黑体" w:hint="eastAsia"/>
        </w:rPr>
        <w:t>第二十五条</w:t>
        <w:tab/>
        <w:t>效力恢复</w:t>
      </w:r>
    </w:p>
    <w:p>
      <w:pPr>
        <w:pStyle w:val="BodyText"/>
        <w:spacing w:before="1"/>
        <w:ind w:left="0"/>
        <w:rPr>
          <w:rFonts w:ascii="黑体"/>
          <w:b/>
          <w:sz w:val="28"/>
        </w:rPr>
      </w:pPr>
    </w:p>
    <w:p>
      <w:pPr>
        <w:pStyle w:val="BodyText"/>
      </w:pPr>
      <w:r>
        <w:rPr/>
        <w:t>本合同效力中止后 </w:t>
      </w:r>
      <w:r>
        <w:rPr>
          <w:rFonts w:ascii="Times New Roman" w:eastAsia="Times New Roman"/>
        </w:rPr>
        <w:t>2 </w:t>
      </w:r>
      <w:r>
        <w:rPr/>
        <w:t>年内，投保人可以申请恢复合同效力。经本公司与投保人协商并达成协议，在投保人</w:t>
      </w:r>
    </w:p>
    <w:p>
      <w:pPr>
        <w:pStyle w:val="BodyText"/>
        <w:spacing w:before="73"/>
      </w:pPr>
      <w:r>
        <w:rPr/>
        <w:t>补交保险费及利息、偿还借款及借款利息当日的 </w:t>
      </w:r>
      <w:r>
        <w:rPr>
          <w:rFonts w:ascii="Times New Roman" w:eastAsia="Times New Roman"/>
        </w:rPr>
        <w:t>24 </w:t>
      </w:r>
      <w:r>
        <w:rPr/>
        <w:t>时起，合同效力恢复。</w:t>
      </w:r>
    </w:p>
    <w:p>
      <w:pPr>
        <w:spacing w:line="283" w:lineRule="auto" w:before="251"/>
        <w:ind w:left="113" w:right="207" w:firstLine="0"/>
        <w:jc w:val="left"/>
        <w:rPr>
          <w:sz w:val="21"/>
        </w:rPr>
      </w:pPr>
      <w:r>
        <w:rPr>
          <w:rFonts w:ascii="Microsoft JhengHei" w:eastAsia="Microsoft JhengHei" w:hint="eastAsia"/>
          <w:b/>
          <w:spacing w:val="-1"/>
          <w:sz w:val="21"/>
        </w:rPr>
        <w:t>自本合同效力中止之日起满 </w:t>
      </w:r>
      <w:r>
        <w:rPr>
          <w:rFonts w:ascii="Times New Roman" w:eastAsia="Times New Roman"/>
          <w:b/>
          <w:sz w:val="21"/>
        </w:rPr>
        <w:t>2 </w:t>
      </w:r>
      <w:r>
        <w:rPr>
          <w:rFonts w:ascii="Microsoft JhengHei" w:eastAsia="Microsoft JhengHei" w:hint="eastAsia"/>
          <w:b/>
          <w:spacing w:val="-15"/>
          <w:sz w:val="21"/>
        </w:rPr>
        <w:t>年投保人和本公司未达成协议的，本公司有权解除合同。</w:t>
      </w:r>
      <w:r>
        <w:rPr>
          <w:spacing w:val="-4"/>
          <w:sz w:val="21"/>
        </w:rPr>
        <w:t>本公司解除合同的， </w:t>
      </w:r>
      <w:r>
        <w:rPr>
          <w:spacing w:val="-5"/>
          <w:sz w:val="21"/>
        </w:rPr>
        <w:t>向投保人退还合同效力中止时本合同的现金价值。</w:t>
      </w:r>
    </w:p>
    <w:p>
      <w:pPr>
        <w:pStyle w:val="Heading1"/>
        <w:tabs>
          <w:tab w:pos="1376" w:val="left" w:leader="none"/>
        </w:tabs>
        <w:spacing w:before="234"/>
        <w:rPr>
          <w:rFonts w:ascii="黑体" w:eastAsia="黑体" w:hint="eastAsia"/>
        </w:rPr>
      </w:pPr>
      <w:r>
        <w:rPr>
          <w:rFonts w:ascii="黑体" w:eastAsia="黑体" w:hint="eastAsia"/>
        </w:rPr>
        <w:t>第二十六条</w:t>
        <w:tab/>
        <w:t>欠款的扣除</w:t>
      </w:r>
    </w:p>
    <w:p>
      <w:pPr>
        <w:pStyle w:val="BodyText"/>
        <w:spacing w:before="8"/>
        <w:ind w:left="0"/>
        <w:rPr>
          <w:rFonts w:ascii="黑体"/>
          <w:b/>
          <w:sz w:val="22"/>
        </w:rPr>
      </w:pPr>
    </w:p>
    <w:p>
      <w:pPr>
        <w:pStyle w:val="BodyText"/>
        <w:spacing w:line="324" w:lineRule="auto"/>
        <w:ind w:right="202"/>
      </w:pPr>
      <w:r>
        <w:rPr>
          <w:spacing w:val="-7"/>
        </w:rPr>
        <w:t>本公司在给付各项保险金，或退还现金价值、保险费时，若本合同有欠交的保险费</w:t>
      </w:r>
      <w:r>
        <w:rPr/>
        <w:t>（</w:t>
      </w:r>
      <w:r>
        <w:rPr>
          <w:spacing w:val="-3"/>
        </w:rPr>
        <w:t>包括自动垫缴的保险费</w:t>
      </w:r>
      <w:r>
        <w:rPr>
          <w:spacing w:val="-48"/>
        </w:rPr>
        <w:t>）</w:t>
      </w:r>
      <w:r>
        <w:rPr>
          <w:spacing w:val="-15"/>
        </w:rPr>
        <w:t>及利息、借款及借款利息，则本公司应先扣除上述款项后给付各项保险金，或退还现金价值、保险费。</w:t>
      </w:r>
    </w:p>
    <w:p>
      <w:pPr>
        <w:pStyle w:val="Heading1"/>
        <w:tabs>
          <w:tab w:pos="1376" w:val="left" w:leader="none"/>
        </w:tabs>
        <w:spacing w:before="198"/>
        <w:rPr>
          <w:rFonts w:ascii="黑体" w:eastAsia="黑体" w:hint="eastAsia"/>
        </w:rPr>
      </w:pPr>
      <w:r>
        <w:rPr>
          <w:rFonts w:ascii="黑体" w:eastAsia="黑体" w:hint="eastAsia"/>
        </w:rPr>
        <w:t>第二十七条</w:t>
        <w:tab/>
        <w:t>年龄错误</w:t>
      </w:r>
    </w:p>
    <w:p>
      <w:pPr>
        <w:pStyle w:val="BodyText"/>
        <w:ind w:left="0"/>
        <w:rPr>
          <w:rFonts w:ascii="黑体"/>
          <w:b/>
          <w:sz w:val="20"/>
        </w:rPr>
      </w:pPr>
    </w:p>
    <w:p>
      <w:pPr>
        <w:pStyle w:val="BodyText"/>
        <w:spacing w:before="164"/>
      </w:pPr>
      <w:r>
        <w:rPr/>
        <w:t>投保人在申请投保时，应将与有效身份证件相符的被保险人的出生日期在投保单上填明，如果发生错误按</w:t>
      </w:r>
    </w:p>
    <w:p>
      <w:pPr>
        <w:spacing w:after="0"/>
        <w:sectPr>
          <w:pgSz w:w="11910" w:h="16840"/>
          <w:pgMar w:header="0" w:footer="496" w:top="920" w:bottom="760" w:left="1020" w:right="920"/>
        </w:sectPr>
      </w:pPr>
    </w:p>
    <w:p>
      <w:pPr>
        <w:pStyle w:val="BodyText"/>
        <w:spacing w:before="60"/>
      </w:pPr>
      <w:r>
        <w:rPr/>
        <w:t>照下列方式办理：</w:t>
      </w:r>
    </w:p>
    <w:p>
      <w:pPr>
        <w:pStyle w:val="BodyText"/>
        <w:spacing w:before="7"/>
        <w:ind w:left="0"/>
      </w:pPr>
    </w:p>
    <w:p>
      <w:pPr>
        <w:spacing w:line="432" w:lineRule="auto" w:before="0"/>
        <w:ind w:left="113" w:right="105" w:firstLine="0"/>
        <w:jc w:val="both"/>
        <w:rPr>
          <w:sz w:val="21"/>
        </w:rPr>
      </w:pPr>
      <w:r>
        <w:rPr>
          <w:rFonts w:ascii="Times New Roman" w:hAnsi="Times New Roman" w:eastAsia="Times New Roman"/>
          <w:b/>
          <w:sz w:val="21"/>
        </w:rPr>
        <w:t>1</w:t>
      </w:r>
      <w:r>
        <w:rPr>
          <w:rFonts w:ascii="Microsoft JhengHei" w:hAnsi="Microsoft JhengHei" w:eastAsia="Microsoft JhengHei" w:hint="eastAsia"/>
          <w:b/>
          <w:spacing w:val="-6"/>
          <w:sz w:val="21"/>
        </w:rPr>
        <w:t>、 投保人申报的被保险人年龄不真实，并且其真实年龄不符合本合同约定投保年龄限制的，在保险事故发生之前本公司有权解除合同，并向投保人退还本合同的现金价值。</w:t>
      </w:r>
      <w:r>
        <w:rPr>
          <w:spacing w:val="-4"/>
          <w:sz w:val="21"/>
        </w:rPr>
        <w:t>本公司行使合同解除权适用</w:t>
      </w:r>
      <w:r>
        <w:rPr>
          <w:rFonts w:ascii="Times New Roman" w:hAnsi="Times New Roman" w:eastAsia="Times New Roman"/>
          <w:sz w:val="21"/>
        </w:rPr>
        <w:t>“</w:t>
      </w:r>
      <w:r>
        <w:rPr>
          <w:sz w:val="21"/>
        </w:rPr>
        <w:t>本公司</w:t>
      </w:r>
      <w:r>
        <w:rPr>
          <w:spacing w:val="-2"/>
          <w:sz w:val="21"/>
        </w:rPr>
        <w:t>合同解除权的限制</w:t>
      </w:r>
      <w:r>
        <w:rPr>
          <w:rFonts w:ascii="Times New Roman" w:hAnsi="Times New Roman" w:eastAsia="Times New Roman"/>
          <w:sz w:val="21"/>
        </w:rPr>
        <w:t>”</w:t>
      </w:r>
      <w:r>
        <w:rPr>
          <w:spacing w:val="-2"/>
          <w:sz w:val="21"/>
        </w:rPr>
        <w:t>的规定。</w:t>
      </w:r>
    </w:p>
    <w:p>
      <w:pPr>
        <w:pStyle w:val="BodyText"/>
        <w:ind w:left="0"/>
        <w:rPr>
          <w:sz w:val="28"/>
        </w:rPr>
      </w:pPr>
    </w:p>
    <w:p>
      <w:pPr>
        <w:pStyle w:val="BodyText"/>
        <w:spacing w:before="10"/>
        <w:ind w:left="0"/>
        <w:rPr>
          <w:sz w:val="25"/>
        </w:rPr>
      </w:pPr>
    </w:p>
    <w:p>
      <w:pPr>
        <w:pStyle w:val="Heading1"/>
        <w:spacing w:line="410" w:lineRule="auto"/>
        <w:ind w:right="105"/>
      </w:pPr>
      <w:r>
        <w:rPr>
          <w:rFonts w:ascii="Times New Roman" w:eastAsia="Times New Roman"/>
        </w:rPr>
        <w:t>2</w:t>
      </w:r>
      <w:r>
        <w:rPr>
          <w:spacing w:val="-6"/>
        </w:rPr>
        <w:t>、 投保人申报的被保险人年龄不真实，致使投保人实付保险费少于应付保险费的，本公司有权更正并要求投保人补交保险费。若已经发生保险事故，在给付保险金时按实付保险费和应付保险费的比例给付。</w:t>
      </w:r>
    </w:p>
    <w:p>
      <w:pPr>
        <w:pStyle w:val="BodyText"/>
        <w:ind w:left="0"/>
        <w:rPr>
          <w:rFonts w:ascii="Microsoft JhengHei"/>
          <w:b/>
          <w:sz w:val="28"/>
        </w:rPr>
      </w:pPr>
    </w:p>
    <w:p>
      <w:pPr>
        <w:pStyle w:val="BodyText"/>
        <w:spacing w:before="2"/>
        <w:ind w:left="0"/>
        <w:rPr>
          <w:rFonts w:ascii="Microsoft JhengHei"/>
          <w:b/>
          <w:sz w:val="15"/>
        </w:rPr>
      </w:pPr>
    </w:p>
    <w:p>
      <w:pPr>
        <w:pStyle w:val="BodyText"/>
        <w:spacing w:line="516" w:lineRule="auto"/>
        <w:ind w:right="192"/>
      </w:pPr>
      <w:r>
        <w:rPr>
          <w:rFonts w:ascii="Times New Roman" w:eastAsia="Times New Roman"/>
        </w:rPr>
        <w:t>3</w:t>
      </w:r>
      <w:r>
        <w:rPr>
          <w:spacing w:val="-5"/>
        </w:rPr>
        <w:t>、投保人申报的被保险人年龄不真实，致使投保人实付保险费多于应付保险费的，本公司会将多收的保险费退还给投保人。</w:t>
      </w:r>
    </w:p>
    <w:p>
      <w:pPr>
        <w:pStyle w:val="Heading1"/>
        <w:tabs>
          <w:tab w:pos="1376" w:val="left" w:leader="none"/>
        </w:tabs>
        <w:spacing w:before="165"/>
        <w:rPr>
          <w:rFonts w:ascii="黑体" w:eastAsia="黑体" w:hint="eastAsia"/>
        </w:rPr>
      </w:pPr>
      <w:r>
        <w:rPr>
          <w:rFonts w:ascii="黑体" w:eastAsia="黑体" w:hint="eastAsia"/>
        </w:rPr>
        <w:t>第二十八条</w:t>
        <w:tab/>
        <w:t>住所或通讯地址的变更</w:t>
      </w:r>
    </w:p>
    <w:p>
      <w:pPr>
        <w:pStyle w:val="BodyText"/>
        <w:spacing w:before="8"/>
        <w:ind w:left="0"/>
        <w:rPr>
          <w:rFonts w:ascii="黑体"/>
          <w:b/>
          <w:sz w:val="22"/>
        </w:rPr>
      </w:pPr>
    </w:p>
    <w:p>
      <w:pPr>
        <w:pStyle w:val="BodyText"/>
        <w:spacing w:line="319" w:lineRule="auto"/>
        <w:ind w:right="105"/>
      </w:pPr>
      <w:r>
        <w:rPr>
          <w:spacing w:val="-7"/>
        </w:rPr>
        <w:t>投保人的住所或通讯地址变更时，应及时以书面形式通知本公司。投保人不作前述通知时，本公司按本合</w:t>
      </w:r>
      <w:r>
        <w:rPr>
          <w:spacing w:val="-6"/>
        </w:rPr>
        <w:t>同上所载的最后住所或通讯地址发送的通知，视为已送达投保人。</w:t>
      </w:r>
    </w:p>
    <w:p>
      <w:pPr>
        <w:pStyle w:val="Heading1"/>
        <w:tabs>
          <w:tab w:pos="1376" w:val="left" w:leader="none"/>
        </w:tabs>
        <w:spacing w:before="203"/>
        <w:rPr>
          <w:rFonts w:ascii="黑体" w:eastAsia="黑体" w:hint="eastAsia"/>
        </w:rPr>
      </w:pPr>
      <w:r>
        <w:rPr>
          <w:rFonts w:ascii="黑体" w:eastAsia="黑体" w:hint="eastAsia"/>
        </w:rPr>
        <w:t>第二十九条</w:t>
        <w:tab/>
        <w:t>争议的处理</w:t>
      </w:r>
    </w:p>
    <w:p>
      <w:pPr>
        <w:pStyle w:val="BodyText"/>
        <w:spacing w:before="8"/>
        <w:ind w:left="0"/>
        <w:rPr>
          <w:rFonts w:ascii="黑体"/>
          <w:b/>
          <w:sz w:val="22"/>
        </w:rPr>
      </w:pPr>
    </w:p>
    <w:p>
      <w:pPr>
        <w:pStyle w:val="BodyText"/>
      </w:pPr>
      <w:r>
        <w:rPr/>
        <w:t>本合同争议解决方式由当事人投保时在投保单上约定从下列两种方式中选择一种：</w:t>
      </w:r>
    </w:p>
    <w:p>
      <w:pPr>
        <w:pStyle w:val="BodyText"/>
        <w:spacing w:before="94"/>
      </w:pPr>
      <w:r>
        <w:rPr>
          <w:rFonts w:ascii="Times New Roman" w:hAnsi="Times New Roman" w:eastAsia="Times New Roman"/>
        </w:rPr>
        <w:t>(</w:t>
      </w:r>
      <w:r>
        <w:rPr/>
        <w:t>一</w:t>
      </w:r>
      <w:r>
        <w:rPr>
          <w:rFonts w:ascii="Times New Roman" w:hAnsi="Times New Roman" w:eastAsia="Times New Roman"/>
        </w:rPr>
        <w:t>) </w:t>
      </w:r>
      <w:r>
        <w:rPr/>
        <w:t>因履行本合同发生的争议，由当事人协商解决，协商不成的，提交</w:t>
      </w:r>
      <w:r>
        <w:rPr>
          <w:w w:val="85"/>
        </w:rPr>
        <w:t>××</w:t>
      </w:r>
      <w:r>
        <w:rPr/>
        <w:t>仲裁委员会仲裁；</w:t>
      </w:r>
    </w:p>
    <w:p>
      <w:pPr>
        <w:pStyle w:val="BodyText"/>
        <w:spacing w:line="302" w:lineRule="auto" w:before="73"/>
        <w:ind w:right="110"/>
      </w:pPr>
      <w:r>
        <w:rPr>
          <w:rFonts w:ascii="Times New Roman" w:eastAsia="Times New Roman"/>
        </w:rPr>
        <w:t>(</w:t>
      </w:r>
      <w:r>
        <w:rPr/>
        <w:t>二</w:t>
      </w:r>
      <w:r>
        <w:rPr>
          <w:rFonts w:ascii="Times New Roman" w:eastAsia="Times New Roman"/>
          <w:spacing w:val="21"/>
        </w:rPr>
        <w:t>) </w:t>
      </w:r>
      <w:r>
        <w:rPr>
          <w:spacing w:val="-8"/>
        </w:rPr>
        <w:t>因履行本合同发生的争议，由当事人协商解决，协商不成的，依法向被告住所地人民法院起诉，适用</w:t>
      </w:r>
      <w:r>
        <w:rPr>
          <w:spacing w:val="-6"/>
        </w:rPr>
        <w:t>中华人民共和国法律。</w:t>
      </w:r>
    </w:p>
    <w:p>
      <w:pPr>
        <w:pStyle w:val="Heading1"/>
        <w:tabs>
          <w:tab w:pos="1193" w:val="left" w:leader="none"/>
        </w:tabs>
        <w:spacing w:before="222"/>
        <w:rPr>
          <w:rFonts w:ascii="黑体" w:eastAsia="黑体" w:hint="eastAsia"/>
        </w:rPr>
      </w:pPr>
      <w:r>
        <w:rPr>
          <w:rFonts w:ascii="黑体" w:eastAsia="黑体" w:hint="eastAsia"/>
        </w:rPr>
        <w:t>第三十条</w:t>
        <w:tab/>
        <w:t>重大疾病的释义</w:t>
      </w:r>
    </w:p>
    <w:p>
      <w:pPr>
        <w:pStyle w:val="BodyText"/>
        <w:spacing w:before="12"/>
        <w:ind w:left="0"/>
        <w:rPr>
          <w:rFonts w:ascii="黑体"/>
          <w:b/>
        </w:rPr>
      </w:pPr>
    </w:p>
    <w:p>
      <w:pPr>
        <w:pStyle w:val="BodyText"/>
      </w:pPr>
      <w:r>
        <w:rPr>
          <w:spacing w:val="-6"/>
        </w:rPr>
        <w:t>本合同所指的重大疾病共有 </w:t>
      </w:r>
      <w:r>
        <w:rPr>
          <w:rFonts w:ascii="Times New Roman" w:eastAsia="Times New Roman"/>
        </w:rPr>
        <w:t>33 </w:t>
      </w:r>
      <w:r>
        <w:rPr>
          <w:spacing w:val="-9"/>
        </w:rPr>
        <w:t>种，其中第 </w:t>
      </w:r>
      <w:r>
        <w:rPr>
          <w:rFonts w:ascii="Times New Roman" w:eastAsia="Times New Roman"/>
        </w:rPr>
        <w:t>1 </w:t>
      </w:r>
      <w:r>
        <w:rPr>
          <w:spacing w:val="-13"/>
        </w:rPr>
        <w:t>种至第 </w:t>
      </w:r>
      <w:r>
        <w:rPr>
          <w:rFonts w:ascii="Times New Roman" w:eastAsia="Times New Roman"/>
        </w:rPr>
        <w:t>25 </w:t>
      </w:r>
      <w:r>
        <w:rPr>
          <w:spacing w:val="-7"/>
        </w:rPr>
        <w:t>种采用中国保险行业协会 </w:t>
      </w:r>
      <w:r>
        <w:rPr>
          <w:rFonts w:ascii="Times New Roman" w:eastAsia="Times New Roman"/>
        </w:rPr>
        <w:t>2007 </w:t>
      </w:r>
      <w:r>
        <w:rPr>
          <w:spacing w:val="-22"/>
        </w:rPr>
        <w:t>年 </w:t>
      </w:r>
      <w:r>
        <w:rPr>
          <w:rFonts w:ascii="Times New Roman" w:eastAsia="Times New Roman"/>
        </w:rPr>
        <w:t>3 </w:t>
      </w:r>
      <w:r>
        <w:rPr>
          <w:spacing w:val="-2"/>
        </w:rPr>
        <w:t>月发布的《重</w:t>
      </w:r>
    </w:p>
    <w:p>
      <w:pPr>
        <w:pStyle w:val="BodyText"/>
        <w:spacing w:before="26"/>
      </w:pPr>
      <w:r>
        <w:rPr>
          <w:spacing w:val="-7"/>
        </w:rPr>
        <w:t>大疾病保险的疾病定义使用规范》中规定的重大疾病种类及定义，第 </w:t>
      </w:r>
      <w:r>
        <w:rPr>
          <w:rFonts w:ascii="Times New Roman" w:eastAsia="Times New Roman"/>
        </w:rPr>
        <w:t>26 </w:t>
      </w:r>
      <w:r>
        <w:rPr>
          <w:spacing w:val="-10"/>
        </w:rPr>
        <w:t>种至第 </w:t>
      </w:r>
      <w:r>
        <w:rPr>
          <w:rFonts w:ascii="Times New Roman" w:eastAsia="Times New Roman"/>
          <w:spacing w:val="-3"/>
        </w:rPr>
        <w:t>33 </w:t>
      </w:r>
      <w:r>
        <w:rPr>
          <w:spacing w:val="-3"/>
        </w:rPr>
        <w:t>种为本公司自行增加的</w:t>
      </w:r>
    </w:p>
    <w:p>
      <w:pPr>
        <w:pStyle w:val="BodyText"/>
        <w:spacing w:before="30"/>
      </w:pPr>
      <w:r>
        <w:rPr>
          <w:rFonts w:ascii="Times New Roman" w:eastAsia="Times New Roman"/>
        </w:rPr>
        <w:t>8 </w:t>
      </w:r>
      <w:r>
        <w:rPr/>
        <w:t>种重大疾病。</w:t>
      </w:r>
    </w:p>
    <w:p>
      <w:pPr>
        <w:pStyle w:val="BodyText"/>
        <w:spacing w:before="8"/>
        <w:ind w:left="0"/>
        <w:rPr>
          <w:sz w:val="20"/>
        </w:rPr>
      </w:pPr>
    </w:p>
    <w:p>
      <w:pPr>
        <w:pStyle w:val="BodyText"/>
        <w:spacing w:line="280" w:lineRule="auto"/>
        <w:ind w:right="105"/>
      </w:pPr>
      <w:r>
        <w:rPr>
          <w:spacing w:val="-6"/>
        </w:rPr>
        <w:t>本合同的重大疾病定义可能与临床医学在概念和范围上有所不同，投保人投保本合同即表明其认可并遵从</w:t>
      </w:r>
      <w:r>
        <w:rPr>
          <w:spacing w:val="-5"/>
        </w:rPr>
        <w:t>本合同条款中对重大疾病的定义。</w:t>
      </w:r>
    </w:p>
    <w:p>
      <w:pPr>
        <w:pStyle w:val="BodyText"/>
        <w:spacing w:line="276" w:lineRule="auto" w:before="251"/>
        <w:ind w:right="102"/>
      </w:pPr>
      <w:r>
        <w:rPr>
          <w:spacing w:val="-7"/>
        </w:rPr>
        <w:t>本合同所指的重大疾病为符合下列定义的疾病、疾病状态或手术。被保险人发生符合以下疾病定义所述条</w:t>
      </w:r>
      <w:r>
        <w:rPr>
          <w:spacing w:val="-6"/>
        </w:rPr>
        <w:t>件的重大疾病，应当由医疗机构的专科医生明确诊断。</w:t>
      </w:r>
    </w:p>
    <w:p>
      <w:pPr>
        <w:pStyle w:val="BodyText"/>
        <w:spacing w:before="3"/>
        <w:ind w:left="0"/>
        <w:rPr>
          <w:sz w:val="20"/>
        </w:rPr>
      </w:pPr>
    </w:p>
    <w:p>
      <w:pPr>
        <w:pStyle w:val="BodyText"/>
      </w:pPr>
      <w:r>
        <w:rPr>
          <w:rFonts w:ascii="Times New Roman" w:eastAsia="Times New Roman"/>
        </w:rPr>
        <w:t>1</w:t>
      </w:r>
      <w:r>
        <w:rPr/>
        <w:t>、 恶性肿瘤</w:t>
      </w:r>
    </w:p>
    <w:p>
      <w:pPr>
        <w:pStyle w:val="BodyText"/>
        <w:spacing w:line="321" w:lineRule="auto" w:before="74"/>
        <w:ind w:right="105"/>
        <w:jc w:val="both"/>
      </w:pPr>
      <w:r>
        <w:rPr>
          <w:spacing w:val="-7"/>
        </w:rPr>
        <w:t>指恶性细胞不受控制的进行性增长和扩散，浸润和破坏周围正常组织，可以经血管、淋巴管和体腔扩散转</w:t>
      </w:r>
      <w:r>
        <w:rPr>
          <w:spacing w:val="-9"/>
        </w:rPr>
        <w:t>移到身体其它部位的疾病。经病理学检查结果明确诊断，临床诊断属于世界卫生组织《疾病和有关健康问</w:t>
      </w:r>
      <w:r>
        <w:rPr>
          <w:spacing w:val="-14"/>
        </w:rPr>
        <w:t>题的国际统计分类》</w:t>
      </w:r>
      <w:r>
        <w:rPr>
          <w:spacing w:val="-1"/>
        </w:rPr>
        <w:t>（</w:t>
      </w:r>
      <w:r>
        <w:rPr>
          <w:rFonts w:ascii="Times New Roman" w:eastAsia="Times New Roman"/>
          <w:spacing w:val="-1"/>
        </w:rPr>
        <w:t>ICD-10</w:t>
      </w:r>
      <w:r>
        <w:rPr>
          <w:spacing w:val="-1"/>
        </w:rPr>
        <w:t>）</w:t>
      </w:r>
      <w:r>
        <w:rPr>
          <w:spacing w:val="-3"/>
        </w:rPr>
        <w:t>的恶性肿瘤范畴。</w:t>
      </w:r>
    </w:p>
    <w:p>
      <w:pPr>
        <w:spacing w:after="0" w:line="321" w:lineRule="auto"/>
        <w:jc w:val="both"/>
        <w:sectPr>
          <w:pgSz w:w="11910" w:h="16840"/>
          <w:pgMar w:header="0" w:footer="496" w:top="920" w:bottom="760" w:left="1020" w:right="1020"/>
        </w:sectPr>
      </w:pPr>
    </w:p>
    <w:p>
      <w:pPr>
        <w:pStyle w:val="Heading1"/>
        <w:spacing w:before="3"/>
      </w:pPr>
      <w:r>
        <w:rPr/>
        <w:t>下列疾病不在保障范围内：</w:t>
      </w:r>
    </w:p>
    <w:p>
      <w:pPr>
        <w:spacing w:line="365" w:lineRule="exact" w:before="3"/>
        <w:ind w:left="113" w:right="0" w:firstLine="0"/>
        <w:jc w:val="left"/>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1</w:t>
      </w:r>
      <w:r>
        <w:rPr>
          <w:rFonts w:ascii="Microsoft JhengHei" w:eastAsia="Microsoft JhengHei" w:hint="eastAsia"/>
          <w:b/>
          <w:sz w:val="21"/>
        </w:rPr>
        <w:t>）原位癌；</w:t>
      </w:r>
    </w:p>
    <w:p>
      <w:pPr>
        <w:spacing w:line="365" w:lineRule="exact" w:before="0"/>
        <w:ind w:left="113" w:right="0" w:firstLine="0"/>
        <w:jc w:val="left"/>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2</w:t>
      </w:r>
      <w:r>
        <w:rPr>
          <w:rFonts w:ascii="Microsoft JhengHei" w:eastAsia="Microsoft JhengHei" w:hint="eastAsia"/>
          <w:b/>
          <w:sz w:val="21"/>
        </w:rPr>
        <w:t>）相当于 </w:t>
      </w:r>
      <w:r>
        <w:rPr>
          <w:rFonts w:ascii="Times New Roman" w:eastAsia="Times New Roman"/>
          <w:b/>
          <w:sz w:val="21"/>
        </w:rPr>
        <w:t>Binet </w:t>
      </w:r>
      <w:r>
        <w:rPr>
          <w:rFonts w:ascii="Microsoft JhengHei" w:eastAsia="Microsoft JhengHei" w:hint="eastAsia"/>
          <w:b/>
          <w:sz w:val="21"/>
        </w:rPr>
        <w:t>分期方案 </w:t>
      </w:r>
      <w:r>
        <w:rPr>
          <w:rFonts w:ascii="Times New Roman" w:eastAsia="Times New Roman"/>
          <w:b/>
          <w:sz w:val="21"/>
        </w:rPr>
        <w:t>A </w:t>
      </w:r>
      <w:r>
        <w:rPr>
          <w:rFonts w:ascii="Microsoft JhengHei" w:eastAsia="Microsoft JhengHei" w:hint="eastAsia"/>
          <w:b/>
          <w:sz w:val="21"/>
        </w:rPr>
        <w:t>期程度的慢性淋巴细胞白血病；</w:t>
      </w:r>
    </w:p>
    <w:p>
      <w:pPr>
        <w:spacing w:line="365" w:lineRule="exact" w:before="0"/>
        <w:ind w:left="113" w:right="0" w:firstLine="0"/>
        <w:jc w:val="left"/>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3</w:t>
      </w:r>
      <w:r>
        <w:rPr>
          <w:rFonts w:ascii="Microsoft JhengHei" w:eastAsia="Microsoft JhengHei" w:hint="eastAsia"/>
          <w:b/>
          <w:sz w:val="21"/>
        </w:rPr>
        <w:t>）相当于 </w:t>
      </w:r>
      <w:r>
        <w:rPr>
          <w:rFonts w:ascii="Times New Roman" w:eastAsia="Times New Roman"/>
          <w:b/>
          <w:sz w:val="21"/>
        </w:rPr>
        <w:t>AnnArbor </w:t>
      </w:r>
      <w:r>
        <w:rPr>
          <w:rFonts w:ascii="Microsoft JhengHei" w:eastAsia="Microsoft JhengHei" w:hint="eastAsia"/>
          <w:b/>
          <w:sz w:val="21"/>
        </w:rPr>
        <w:t>分期方案 </w:t>
      </w:r>
      <w:r>
        <w:rPr>
          <w:rFonts w:ascii="Times New Roman" w:eastAsia="Times New Roman"/>
          <w:b/>
          <w:sz w:val="21"/>
        </w:rPr>
        <w:t>I </w:t>
      </w:r>
      <w:r>
        <w:rPr>
          <w:rFonts w:ascii="Microsoft JhengHei" w:eastAsia="Microsoft JhengHei" w:hint="eastAsia"/>
          <w:b/>
          <w:sz w:val="21"/>
        </w:rPr>
        <w:t>期程度的何杰金氏病；</w:t>
      </w:r>
    </w:p>
    <w:p>
      <w:pPr>
        <w:spacing w:line="365" w:lineRule="exact" w:before="0"/>
        <w:ind w:left="113" w:right="0" w:firstLine="0"/>
        <w:jc w:val="left"/>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4</w:t>
      </w:r>
      <w:r>
        <w:rPr>
          <w:rFonts w:ascii="Microsoft JhengHei" w:eastAsia="Microsoft JhengHei" w:hint="eastAsia"/>
          <w:b/>
          <w:sz w:val="21"/>
        </w:rPr>
        <w:t>）皮肤癌（不包括恶性黑色素瘤及已发生转移的皮肤癌）；</w:t>
      </w:r>
    </w:p>
    <w:p>
      <w:pPr>
        <w:spacing w:line="365" w:lineRule="exact" w:before="0"/>
        <w:ind w:left="113" w:right="0" w:firstLine="0"/>
        <w:jc w:val="left"/>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5</w:t>
      </w:r>
      <w:r>
        <w:rPr>
          <w:rFonts w:ascii="Microsoft JhengHei" w:eastAsia="Microsoft JhengHei" w:hint="eastAsia"/>
          <w:b/>
          <w:sz w:val="21"/>
        </w:rPr>
        <w:t>）</w:t>
      </w:r>
      <w:r>
        <w:rPr>
          <w:rFonts w:ascii="Times New Roman" w:eastAsia="Times New Roman"/>
          <w:b/>
          <w:sz w:val="21"/>
        </w:rPr>
        <w:t>TNM </w:t>
      </w:r>
      <w:r>
        <w:rPr>
          <w:rFonts w:ascii="Microsoft JhengHei" w:eastAsia="Microsoft JhengHei" w:hint="eastAsia"/>
          <w:b/>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rFonts w:ascii="Microsoft JhengHei" w:eastAsia="Microsoft JhengHei" w:hint="eastAsia"/>
          <w:b/>
          <w:sz w:val="21"/>
          <w:vertAlign w:val="baseline"/>
        </w:rPr>
        <w:t>期或更轻分期的前列腺癌；</w:t>
      </w:r>
    </w:p>
    <w:p>
      <w:pPr>
        <w:spacing w:before="3"/>
        <w:ind w:left="113" w:right="0" w:firstLine="0"/>
        <w:jc w:val="left"/>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6</w:t>
      </w:r>
      <w:r>
        <w:rPr>
          <w:rFonts w:ascii="Microsoft JhengHei" w:eastAsia="Microsoft JhengHei" w:hint="eastAsia"/>
          <w:b/>
          <w:sz w:val="21"/>
        </w:rPr>
        <w:t>）感染艾滋病病毒或患艾滋病期间所患恶性肿瘤。</w:t>
      </w:r>
    </w:p>
    <w:p>
      <w:pPr>
        <w:pStyle w:val="BodyText"/>
        <w:spacing w:before="9"/>
        <w:ind w:left="0"/>
        <w:rPr>
          <w:rFonts w:ascii="Microsoft JhengHei"/>
          <w:b/>
          <w:sz w:val="17"/>
        </w:rPr>
      </w:pPr>
    </w:p>
    <w:p>
      <w:pPr>
        <w:pStyle w:val="BodyText"/>
      </w:pPr>
      <w:r>
        <w:rPr>
          <w:rFonts w:ascii="Times New Roman" w:eastAsia="Times New Roman"/>
        </w:rPr>
        <w:t>2</w:t>
      </w:r>
      <w:r>
        <w:rPr/>
        <w:t>、 急性心肌梗塞</w:t>
      </w:r>
    </w:p>
    <w:p>
      <w:pPr>
        <w:pStyle w:val="BodyText"/>
        <w:spacing w:line="321" w:lineRule="auto" w:before="74"/>
        <w:ind w:right="3864"/>
      </w:pPr>
      <w:r>
        <w:rPr/>
        <w:t>指因冠状动脉阻塞导致的相应区域供血不足造成部分心肌坏死。须满足下列至少三项条件：</w:t>
      </w:r>
    </w:p>
    <w:p>
      <w:pPr>
        <w:pStyle w:val="BodyText"/>
        <w:spacing w:before="18"/>
      </w:pPr>
      <w:r>
        <w:rPr/>
        <w:t>（</w:t>
      </w:r>
      <w:r>
        <w:rPr>
          <w:rFonts w:ascii="Times New Roman" w:eastAsia="Times New Roman"/>
        </w:rPr>
        <w:t>1</w:t>
      </w:r>
      <w:r>
        <w:rPr/>
        <w:t>）典型临床表现，例如急性胸痛等；</w:t>
      </w:r>
    </w:p>
    <w:p>
      <w:pPr>
        <w:pStyle w:val="BodyText"/>
        <w:spacing w:before="73"/>
      </w:pPr>
      <w:r>
        <w:rPr/>
        <w:t>（</w:t>
      </w:r>
      <w:r>
        <w:rPr>
          <w:rFonts w:ascii="Times New Roman" w:eastAsia="Times New Roman"/>
        </w:rPr>
        <w:t>2</w:t>
      </w:r>
      <w:r>
        <w:rPr/>
        <w:t>）新近的心电图改变提示急性心肌梗塞；</w:t>
      </w:r>
    </w:p>
    <w:p>
      <w:pPr>
        <w:pStyle w:val="BodyText"/>
        <w:spacing w:before="74"/>
      </w:pPr>
      <w:r>
        <w:rPr/>
        <w:t>（</w:t>
      </w:r>
      <w:r>
        <w:rPr>
          <w:rFonts w:ascii="Times New Roman" w:eastAsia="Times New Roman"/>
        </w:rPr>
        <w:t>3</w:t>
      </w:r>
      <w:r>
        <w:rPr/>
        <w:t>）心肌酶或肌钙蛋白有诊断意义的升高，或呈符合急性心肌梗塞的动态性变化；</w:t>
      </w:r>
    </w:p>
    <w:p>
      <w:pPr>
        <w:pStyle w:val="BodyText"/>
        <w:spacing w:before="73"/>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spacing w:before="4"/>
        <w:ind w:left="0"/>
        <w:rPr>
          <w:sz w:val="24"/>
        </w:rPr>
      </w:pPr>
    </w:p>
    <w:p>
      <w:pPr>
        <w:pStyle w:val="BodyText"/>
      </w:pPr>
      <w:r>
        <w:rPr>
          <w:rFonts w:ascii="Times New Roman" w:eastAsia="Times New Roman"/>
        </w:rPr>
        <w:t>3</w:t>
      </w:r>
      <w:r>
        <w:rPr/>
        <w:t>、 脑中风后遗症</w:t>
      </w:r>
    </w:p>
    <w:p>
      <w:pPr>
        <w:pStyle w:val="BodyText"/>
        <w:spacing w:line="319" w:lineRule="auto" w:before="74"/>
        <w:ind w:right="105"/>
      </w:pPr>
      <w:r>
        <w:rPr>
          <w:spacing w:val="-7"/>
        </w:rPr>
        <w:t>指因脑血管的突发病变引起脑血管出血、栓塞或梗塞，并导致神经系统永久性的功能障碍。神经系统永久</w:t>
      </w:r>
      <w:r>
        <w:rPr>
          <w:spacing w:val="-9"/>
        </w:rPr>
        <w:t>性的功能障碍，指疾病确诊 </w:t>
      </w:r>
      <w:r>
        <w:rPr>
          <w:rFonts w:ascii="Times New Roman" w:eastAsia="Times New Roman"/>
        </w:rPr>
        <w:t>180 </w:t>
      </w:r>
      <w:r>
        <w:rPr>
          <w:spacing w:val="-5"/>
        </w:rPr>
        <w:t>天后，仍遗留下列一种或一种以上障碍：</w:t>
      </w:r>
    </w:p>
    <w:p>
      <w:pPr>
        <w:spacing w:line="300" w:lineRule="exact" w:before="0"/>
        <w:ind w:left="113" w:right="0" w:firstLine="0"/>
        <w:jc w:val="left"/>
        <w:rPr>
          <w:sz w:val="21"/>
        </w:rPr>
      </w:pPr>
      <w:r>
        <w:rPr>
          <w:w w:val="100"/>
          <w:sz w:val="21"/>
        </w:rPr>
        <w:t>（</w:t>
      </w:r>
      <w:r>
        <w:rPr>
          <w:rFonts w:ascii="Times New Roman" w:eastAsia="Times New Roman"/>
          <w:w w:val="100"/>
          <w:sz w:val="21"/>
        </w:rPr>
        <w:t>1</w:t>
      </w:r>
      <w:r>
        <w:rPr>
          <w:w w:val="100"/>
          <w:sz w:val="21"/>
        </w:rPr>
        <w:t>）</w:t>
      </w:r>
      <w:r>
        <w:rPr>
          <w:spacing w:val="-3"/>
          <w:w w:val="100"/>
          <w:sz w:val="21"/>
        </w:rPr>
        <w:t>一肢或一肢以上</w:t>
      </w:r>
      <w:r>
        <w:rPr>
          <w:rFonts w:ascii="Microsoft JhengHei" w:eastAsia="Microsoft JhengHei" w:hint="eastAsia"/>
          <w:b/>
          <w:spacing w:val="-3"/>
          <w:w w:val="100"/>
          <w:sz w:val="21"/>
        </w:rPr>
        <w:t>肢体机能完全丧失</w:t>
      </w:r>
      <w:r>
        <w:rPr>
          <w:rFonts w:ascii="Microsoft JhengHei" w:eastAsia="Microsoft JhengHei" w:hint="eastAsia"/>
          <w:b/>
          <w:w w:val="100"/>
          <w:sz w:val="21"/>
        </w:rPr>
        <w:t>（见释义</w:t>
      </w:r>
      <w:r>
        <w:rPr>
          <w:rFonts w:ascii="Microsoft JhengHei" w:eastAsia="Microsoft JhengHei" w:hint="eastAsia"/>
          <w:b/>
          <w:spacing w:val="-105"/>
          <w:w w:val="100"/>
          <w:sz w:val="21"/>
        </w:rPr>
        <w:t>）</w:t>
      </w:r>
      <w:r>
        <w:rPr>
          <w:w w:val="100"/>
          <w:sz w:val="21"/>
        </w:rPr>
        <w:t>；</w:t>
      </w:r>
    </w:p>
    <w:p>
      <w:pPr>
        <w:pStyle w:val="Heading1"/>
        <w:spacing w:line="365" w:lineRule="exact"/>
        <w:rPr>
          <w:rFonts w:ascii="宋体" w:eastAsia="宋体" w:hint="eastAsia"/>
          <w:b w:val="0"/>
        </w:rPr>
      </w:pPr>
      <w:r>
        <w:rPr>
          <w:rFonts w:ascii="宋体" w:eastAsia="宋体" w:hint="eastAsia"/>
          <w:b w:val="0"/>
          <w:w w:val="100"/>
        </w:rPr>
        <w:t>（</w:t>
      </w:r>
      <w:r>
        <w:rPr>
          <w:rFonts w:ascii="Times New Roman" w:eastAsia="Times New Roman"/>
          <w:b w:val="0"/>
          <w:w w:val="100"/>
        </w:rPr>
        <w:t>2</w:t>
      </w:r>
      <w:r>
        <w:rPr>
          <w:rFonts w:ascii="宋体" w:eastAsia="宋体" w:hint="eastAsia"/>
          <w:b w:val="0"/>
          <w:spacing w:val="-5"/>
          <w:w w:val="100"/>
        </w:rPr>
        <w:t>）</w:t>
      </w:r>
      <w:r>
        <w:rPr>
          <w:spacing w:val="-2"/>
          <w:w w:val="100"/>
        </w:rPr>
        <w:t>语言能力或咀嚼吞咽能力完全丧失</w:t>
      </w:r>
      <w:r>
        <w:rPr>
          <w:spacing w:val="-5"/>
          <w:w w:val="100"/>
        </w:rPr>
        <w:t>（</w:t>
      </w:r>
      <w:r>
        <w:rPr>
          <w:w w:val="100"/>
        </w:rPr>
        <w:t>见释义</w:t>
      </w:r>
      <w:r>
        <w:rPr>
          <w:spacing w:val="-104"/>
          <w:w w:val="100"/>
        </w:rPr>
        <w:t>）</w:t>
      </w:r>
      <w:r>
        <w:rPr>
          <w:rFonts w:ascii="宋体" w:eastAsia="宋体" w:hint="eastAsia"/>
          <w:b w:val="0"/>
          <w:w w:val="100"/>
        </w:rPr>
        <w:t>；</w:t>
      </w:r>
    </w:p>
    <w:p>
      <w:pPr>
        <w:spacing w:line="365" w:lineRule="exact" w:before="0"/>
        <w:ind w:left="113" w:right="0" w:firstLine="0"/>
        <w:jc w:val="left"/>
        <w:rPr>
          <w:sz w:val="21"/>
        </w:rPr>
      </w:pPr>
      <w:r>
        <w:rPr>
          <w:sz w:val="21"/>
        </w:rPr>
        <w:t>（</w:t>
      </w:r>
      <w:r>
        <w:rPr>
          <w:rFonts w:ascii="Times New Roman" w:eastAsia="Times New Roman"/>
          <w:sz w:val="21"/>
        </w:rPr>
        <w:t>3</w:t>
      </w:r>
      <w:r>
        <w:rPr>
          <w:sz w:val="21"/>
        </w:rPr>
        <w:t>）自主生活能力完全丧失，无法独立完成</w:t>
      </w:r>
      <w:r>
        <w:rPr>
          <w:rFonts w:ascii="Microsoft JhengHei" w:eastAsia="Microsoft JhengHei" w:hint="eastAsia"/>
          <w:b/>
          <w:sz w:val="21"/>
        </w:rPr>
        <w:t>六项基本日常生活（见释义）</w:t>
      </w:r>
      <w:r>
        <w:rPr>
          <w:sz w:val="21"/>
        </w:rPr>
        <w:t>活动中的三项或三项以上。</w:t>
      </w:r>
    </w:p>
    <w:p>
      <w:pPr>
        <w:pStyle w:val="BodyText"/>
        <w:spacing w:before="10"/>
        <w:ind w:left="0"/>
        <w:rPr>
          <w:sz w:val="23"/>
        </w:rPr>
      </w:pPr>
    </w:p>
    <w:p>
      <w:pPr>
        <w:pStyle w:val="BodyText"/>
      </w:pPr>
      <w:r>
        <w:rPr>
          <w:rFonts w:ascii="Times New Roman" w:eastAsia="Times New Roman"/>
        </w:rPr>
        <w:t>4</w:t>
      </w:r>
      <w:r>
        <w:rPr/>
        <w:t>、 重大器官移植术或造血干细胞移植术</w:t>
      </w:r>
    </w:p>
    <w:p>
      <w:pPr>
        <w:pStyle w:val="BodyText"/>
        <w:spacing w:before="74"/>
      </w:pPr>
      <w:r>
        <w:rPr/>
        <w:t>重大器官移植术，指因相应器官功能衰竭，已经实施了肾脏、肝脏、心脏或肺脏的异体移植手术。</w:t>
      </w:r>
    </w:p>
    <w:p>
      <w:pPr>
        <w:pStyle w:val="BodyText"/>
        <w:spacing w:line="319" w:lineRule="auto" w:before="90"/>
        <w:ind w:right="105"/>
      </w:pPr>
      <w:r>
        <w:rPr>
          <w:spacing w:val="-7"/>
        </w:rPr>
        <w:t>造血干细胞移植术，指因造血功能损害或造血系统恶性肿瘤，已经实施了造血干细胞</w:t>
      </w:r>
      <w:r>
        <w:rPr/>
        <w:t>（</w:t>
      </w:r>
      <w:r>
        <w:rPr>
          <w:spacing w:val="-3"/>
        </w:rPr>
        <w:t>包括骨髓造血干细</w:t>
      </w:r>
      <w:r>
        <w:rPr>
          <w:spacing w:val="-5"/>
        </w:rPr>
        <w:t>胞、外周血造血干细胞和脐血造血干细胞</w:t>
      </w:r>
      <w:r>
        <w:rPr/>
        <w:t>）</w:t>
      </w:r>
      <w:r>
        <w:rPr>
          <w:spacing w:val="-3"/>
        </w:rPr>
        <w:t>的异体移植手术。</w:t>
      </w:r>
    </w:p>
    <w:p>
      <w:pPr>
        <w:pStyle w:val="BodyText"/>
        <w:spacing w:before="4"/>
        <w:ind w:left="0"/>
        <w:rPr>
          <w:sz w:val="20"/>
        </w:rPr>
      </w:pPr>
    </w:p>
    <w:p>
      <w:pPr>
        <w:pStyle w:val="BodyText"/>
      </w:pPr>
      <w:r>
        <w:rPr>
          <w:rFonts w:ascii="Times New Roman" w:eastAsia="Times New Roman"/>
        </w:rPr>
        <w:t>5</w:t>
      </w:r>
      <w:r>
        <w:rPr/>
        <w:t>、 冠状动脉搭桥术（或称冠状动脉旁路移植术）</w:t>
      </w:r>
    </w:p>
    <w:p>
      <w:pPr>
        <w:pStyle w:val="BodyText"/>
        <w:spacing w:before="74"/>
      </w:pPr>
      <w:r>
        <w:rPr/>
        <w:t>指为治疗严重的冠心病，实际实施了开胸进行的冠状动脉血管旁路移植的手术。</w:t>
      </w:r>
    </w:p>
    <w:p>
      <w:pPr>
        <w:pStyle w:val="Heading1"/>
        <w:spacing w:before="23"/>
        <w:ind w:right="105"/>
      </w:pPr>
      <w:r>
        <w:rPr>
          <w:spacing w:val="-6"/>
        </w:rPr>
        <w:t>冠状动脉支架植入术、心导管球囊扩张术、激光射频技术及其它非开胸的介入手术、腔镜手术不在保障范围内。</w:t>
      </w:r>
    </w:p>
    <w:p>
      <w:pPr>
        <w:pStyle w:val="BodyText"/>
        <w:spacing w:before="15"/>
        <w:ind w:left="0"/>
        <w:rPr>
          <w:rFonts w:ascii="Microsoft JhengHei"/>
          <w:b/>
          <w:sz w:val="17"/>
        </w:rPr>
      </w:pPr>
    </w:p>
    <w:p>
      <w:pPr>
        <w:pStyle w:val="BodyText"/>
      </w:pPr>
      <w:r>
        <w:rPr>
          <w:rFonts w:ascii="Times New Roman" w:eastAsia="Times New Roman"/>
        </w:rPr>
        <w:t>6</w:t>
      </w:r>
      <w:r>
        <w:rPr/>
        <w:t>、 终末期肾病（或称慢性肾功能衰竭尿毒症期）</w:t>
      </w:r>
    </w:p>
    <w:p>
      <w:pPr>
        <w:pStyle w:val="BodyText"/>
        <w:spacing w:line="300" w:lineRule="auto" w:before="74"/>
        <w:ind w:right="189"/>
      </w:pPr>
      <w:r>
        <w:rPr>
          <w:spacing w:val="-6"/>
        </w:rPr>
        <w:t>指双肾功能慢性不可逆性衰竭，达到尿毒症期，经诊断后已经进行了至少 </w:t>
      </w:r>
      <w:r>
        <w:rPr>
          <w:rFonts w:ascii="Times New Roman" w:eastAsia="Times New Roman"/>
        </w:rPr>
        <w:t>90 </w:t>
      </w:r>
      <w:r>
        <w:rPr>
          <w:spacing w:val="-4"/>
        </w:rPr>
        <w:t>天的规律性透析治疗或实施</w:t>
      </w:r>
      <w:r>
        <w:rPr>
          <w:spacing w:val="-5"/>
        </w:rPr>
        <w:t>了肾脏移植手术。</w:t>
      </w:r>
    </w:p>
    <w:p>
      <w:pPr>
        <w:pStyle w:val="BodyText"/>
        <w:spacing w:before="8"/>
        <w:ind w:left="0"/>
      </w:pPr>
    </w:p>
    <w:p>
      <w:pPr>
        <w:pStyle w:val="BodyText"/>
      </w:pPr>
      <w:r>
        <w:rPr>
          <w:rFonts w:ascii="Times New Roman" w:eastAsia="Times New Roman"/>
        </w:rPr>
        <w:t>7</w:t>
      </w:r>
      <w:r>
        <w:rPr/>
        <w:t>、 多个肢体缺失</w:t>
      </w:r>
    </w:p>
    <w:p>
      <w:pPr>
        <w:pStyle w:val="BodyText"/>
        <w:spacing w:before="74"/>
      </w:pPr>
      <w:r>
        <w:rPr/>
        <w:t>指因疾病或意外伤害导致两个或两个以上肢体自腕关节或踝关节近端（靠近躯干端）以上完全性断离。</w:t>
      </w:r>
    </w:p>
    <w:p>
      <w:pPr>
        <w:pStyle w:val="BodyText"/>
        <w:spacing w:before="7"/>
        <w:ind w:left="0"/>
        <w:rPr>
          <w:sz w:val="25"/>
        </w:rPr>
      </w:pPr>
    </w:p>
    <w:p>
      <w:pPr>
        <w:pStyle w:val="BodyText"/>
      </w:pPr>
      <w:r>
        <w:rPr>
          <w:rFonts w:ascii="Times New Roman" w:eastAsia="Times New Roman"/>
        </w:rPr>
        <w:t>8</w:t>
      </w:r>
      <w:r>
        <w:rPr/>
        <w:t>、 急性或亚急性重症肝炎</w:t>
      </w:r>
    </w:p>
    <w:p>
      <w:pPr>
        <w:pStyle w:val="BodyText"/>
        <w:spacing w:line="319" w:lineRule="auto" w:before="73"/>
        <w:ind w:right="105"/>
      </w:pPr>
      <w:r>
        <w:rPr>
          <w:spacing w:val="-7"/>
        </w:rPr>
        <w:t>指因肝炎病毒感染引起肝脏组织弥漫性坏死，导致急性肝功能衰竭，且经血清学或病毒学检查证实，并须</w:t>
      </w:r>
      <w:r>
        <w:rPr>
          <w:spacing w:val="-6"/>
        </w:rPr>
        <w:t>满足下列全部条件：</w:t>
      </w:r>
    </w:p>
    <w:p>
      <w:pPr>
        <w:spacing w:after="0" w:line="319" w:lineRule="auto"/>
        <w:sectPr>
          <w:pgSz w:w="11910" w:h="16840"/>
          <w:pgMar w:header="0" w:footer="496" w:top="780" w:bottom="760" w:left="1020" w:right="1020"/>
        </w:sectPr>
      </w:pPr>
    </w:p>
    <w:p>
      <w:pPr>
        <w:pStyle w:val="BodyText"/>
        <w:spacing w:before="70"/>
        <w:jc w:val="both"/>
      </w:pPr>
      <w:r>
        <w:rPr/>
        <w:t>（</w:t>
      </w:r>
      <w:r>
        <w:rPr>
          <w:rFonts w:ascii="Times New Roman" w:eastAsia="Times New Roman"/>
        </w:rPr>
        <w:t>1</w:t>
      </w:r>
      <w:r>
        <w:rPr/>
        <w:t>）重度黄疸或黄疸迅速加重；</w:t>
      </w:r>
    </w:p>
    <w:p>
      <w:pPr>
        <w:pStyle w:val="BodyText"/>
        <w:spacing w:before="78"/>
        <w:jc w:val="both"/>
      </w:pPr>
      <w:r>
        <w:rPr/>
        <w:t>（</w:t>
      </w:r>
      <w:r>
        <w:rPr>
          <w:rFonts w:ascii="Times New Roman" w:eastAsia="Times New Roman"/>
        </w:rPr>
        <w:t>2</w:t>
      </w:r>
      <w:r>
        <w:rPr/>
        <w:t>）肝性脑病；</w:t>
      </w:r>
    </w:p>
    <w:p>
      <w:pPr>
        <w:pStyle w:val="BodyText"/>
        <w:spacing w:before="73"/>
        <w:jc w:val="both"/>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spacing w:before="73"/>
        <w:jc w:val="both"/>
      </w:pPr>
      <w:r>
        <w:rPr/>
        <w:t>（</w:t>
      </w:r>
      <w:r>
        <w:rPr>
          <w:rFonts w:ascii="Times New Roman" w:eastAsia="Times New Roman"/>
        </w:rPr>
        <w:t>4</w:t>
      </w:r>
      <w:r>
        <w:rPr/>
        <w:t>）肝功能指标进行性恶化。</w:t>
      </w:r>
    </w:p>
    <w:p>
      <w:pPr>
        <w:pStyle w:val="BodyText"/>
        <w:ind w:left="0"/>
        <w:rPr>
          <w:sz w:val="24"/>
        </w:rPr>
      </w:pPr>
    </w:p>
    <w:p>
      <w:pPr>
        <w:pStyle w:val="BodyText"/>
        <w:jc w:val="both"/>
      </w:pPr>
      <w:r>
        <w:rPr>
          <w:rFonts w:ascii="Times New Roman" w:eastAsia="Times New Roman"/>
        </w:rPr>
        <w:t>9</w:t>
      </w:r>
      <w:r>
        <w:rPr/>
        <w:t>、 良性脑肿瘤</w:t>
      </w:r>
    </w:p>
    <w:p>
      <w:pPr>
        <w:pStyle w:val="BodyText"/>
        <w:spacing w:line="309" w:lineRule="auto" w:before="79"/>
        <w:ind w:right="111"/>
        <w:jc w:val="both"/>
      </w:pPr>
      <w:r>
        <w:rPr>
          <w:spacing w:val="-16"/>
        </w:rPr>
        <w:t>指脑的良性肿瘤，已经引起颅内压增高，临床表现为视神经乳头水肿、精神症状、癫痫及运动感觉障碍等， </w:t>
      </w:r>
      <w:r>
        <w:rPr>
          <w:spacing w:val="-9"/>
          <w:w w:val="100"/>
        </w:rPr>
        <w:t>并危及生命。须由头颅断层扫描</w:t>
      </w:r>
      <w:r>
        <w:rPr>
          <w:spacing w:val="0"/>
          <w:w w:val="100"/>
        </w:rPr>
        <w:t>（</w:t>
      </w:r>
      <w:r>
        <w:rPr>
          <w:rFonts w:ascii="Times New Roman" w:eastAsia="Times New Roman"/>
          <w:spacing w:val="2"/>
          <w:w w:val="100"/>
        </w:rPr>
        <w:t>C</w:t>
      </w:r>
      <w:r>
        <w:rPr>
          <w:rFonts w:ascii="Times New Roman" w:eastAsia="Times New Roman"/>
          <w:spacing w:val="-5"/>
          <w:w w:val="100"/>
        </w:rPr>
        <w:t>T</w:t>
      </w:r>
      <w:r>
        <w:rPr>
          <w:spacing w:val="-101"/>
          <w:w w:val="100"/>
        </w:rPr>
        <w:t>）</w:t>
      </w:r>
      <w:r>
        <w:rPr>
          <w:w w:val="100"/>
        </w:rPr>
        <w:t>、核磁共振检查（</w:t>
      </w:r>
      <w:r>
        <w:rPr>
          <w:rFonts w:ascii="Times New Roman" w:eastAsia="Times New Roman"/>
          <w:w w:val="100"/>
        </w:rPr>
        <w:t>M</w:t>
      </w:r>
      <w:r>
        <w:rPr>
          <w:rFonts w:ascii="Times New Roman" w:eastAsia="Times New Roman"/>
          <w:spacing w:val="-3"/>
          <w:w w:val="100"/>
        </w:rPr>
        <w:t>R</w:t>
      </w:r>
      <w:r>
        <w:rPr>
          <w:rFonts w:ascii="Times New Roman" w:eastAsia="Times New Roman"/>
          <w:spacing w:val="1"/>
          <w:w w:val="100"/>
        </w:rPr>
        <w:t>I</w:t>
      </w:r>
      <w:r>
        <w:rPr>
          <w:w w:val="100"/>
        </w:rPr>
        <w:t>）或正电子发射断层扫描</w:t>
      </w:r>
      <w:r>
        <w:rPr>
          <w:spacing w:val="0"/>
          <w:w w:val="100"/>
        </w:rPr>
        <w:t>（</w:t>
      </w:r>
      <w:r>
        <w:rPr>
          <w:rFonts w:ascii="Times New Roman" w:eastAsia="Times New Roman"/>
          <w:spacing w:val="-3"/>
          <w:w w:val="100"/>
        </w:rPr>
        <w:t>P</w:t>
      </w:r>
      <w:r>
        <w:rPr>
          <w:rFonts w:ascii="Times New Roman" w:eastAsia="Times New Roman"/>
          <w:spacing w:val="5"/>
          <w:w w:val="100"/>
        </w:rPr>
        <w:t>E</w:t>
      </w:r>
      <w:r>
        <w:rPr>
          <w:rFonts w:ascii="Times New Roman" w:eastAsia="Times New Roman"/>
          <w:spacing w:val="-4"/>
          <w:w w:val="100"/>
        </w:rPr>
        <w:t>T</w:t>
      </w:r>
      <w:r>
        <w:rPr>
          <w:spacing w:val="3"/>
          <w:w w:val="100"/>
        </w:rPr>
        <w:t>）</w:t>
      </w:r>
      <w:r>
        <w:rPr>
          <w:w w:val="100"/>
        </w:rPr>
        <w:t>等影像学</w:t>
      </w:r>
      <w:r>
        <w:rPr>
          <w:spacing w:val="-4"/>
        </w:rPr>
        <w:t>检查证实，并须满足下列至少一项条件：</w:t>
      </w:r>
    </w:p>
    <w:p>
      <w:pPr>
        <w:pStyle w:val="BodyText"/>
        <w:spacing w:before="29"/>
        <w:jc w:val="both"/>
      </w:pPr>
      <w:r>
        <w:rPr/>
        <w:t>（</w:t>
      </w:r>
      <w:r>
        <w:rPr>
          <w:rFonts w:ascii="Times New Roman" w:eastAsia="Times New Roman"/>
        </w:rPr>
        <w:t>1</w:t>
      </w:r>
      <w:r>
        <w:rPr/>
        <w:t>）实际实施了开颅进行的脑肿瘤完全切除或部分切除的手术；</w:t>
      </w:r>
    </w:p>
    <w:p>
      <w:pPr>
        <w:pStyle w:val="BodyText"/>
        <w:spacing w:before="78"/>
        <w:jc w:val="both"/>
      </w:pPr>
      <w:r>
        <w:rPr/>
        <w:t>（</w:t>
      </w:r>
      <w:r>
        <w:rPr>
          <w:rFonts w:ascii="Times New Roman" w:eastAsia="Times New Roman"/>
        </w:rPr>
        <w:t>2</w:t>
      </w:r>
      <w:r>
        <w:rPr/>
        <w:t>）实际实施了对脑肿瘤进行的放射治疗。</w:t>
      </w:r>
    </w:p>
    <w:p>
      <w:pPr>
        <w:pStyle w:val="Heading1"/>
        <w:spacing w:before="7"/>
        <w:jc w:val="both"/>
      </w:pPr>
      <w:r>
        <w:rPr/>
        <w:t>脑垂体瘤、脑囊肿、脑血管性疾病不在保障范围内。</w:t>
      </w:r>
    </w:p>
    <w:p>
      <w:pPr>
        <w:pStyle w:val="BodyText"/>
        <w:spacing w:before="10"/>
        <w:ind w:left="0"/>
        <w:rPr>
          <w:rFonts w:ascii="Microsoft JhengHei"/>
          <w:b/>
          <w:sz w:val="17"/>
        </w:rPr>
      </w:pPr>
    </w:p>
    <w:p>
      <w:pPr>
        <w:pStyle w:val="BodyText"/>
        <w:jc w:val="both"/>
      </w:pPr>
      <w:r>
        <w:rPr>
          <w:rFonts w:ascii="Times New Roman" w:eastAsia="Times New Roman"/>
        </w:rPr>
        <w:t>10</w:t>
      </w:r>
      <w:r>
        <w:rPr/>
        <w:t>、慢性肝功能衰竭失代偿期</w:t>
      </w:r>
    </w:p>
    <w:p>
      <w:pPr>
        <w:pStyle w:val="BodyText"/>
        <w:spacing w:before="79"/>
        <w:jc w:val="both"/>
      </w:pPr>
      <w:r>
        <w:rPr/>
        <w:t>指因慢性肝脏疾病导致肝功能衰竭。须满足下列全部条件：</w:t>
      </w:r>
    </w:p>
    <w:p>
      <w:pPr>
        <w:pStyle w:val="BodyText"/>
        <w:spacing w:before="89"/>
        <w:jc w:val="both"/>
      </w:pPr>
      <w:r>
        <w:rPr/>
        <w:t>（</w:t>
      </w:r>
      <w:r>
        <w:rPr>
          <w:rFonts w:ascii="Times New Roman" w:eastAsia="Times New Roman"/>
        </w:rPr>
        <w:t>1</w:t>
      </w:r>
      <w:r>
        <w:rPr/>
        <w:t>）持续性黄疸；</w:t>
      </w:r>
    </w:p>
    <w:p>
      <w:pPr>
        <w:pStyle w:val="BodyText"/>
        <w:spacing w:before="73"/>
        <w:jc w:val="both"/>
      </w:pPr>
      <w:r>
        <w:rPr/>
        <w:t>（</w:t>
      </w:r>
      <w:r>
        <w:rPr>
          <w:rFonts w:ascii="Times New Roman" w:eastAsia="Times New Roman"/>
        </w:rPr>
        <w:t>2</w:t>
      </w:r>
      <w:r>
        <w:rPr/>
        <w:t>）腹水；</w:t>
      </w:r>
    </w:p>
    <w:p>
      <w:pPr>
        <w:pStyle w:val="BodyText"/>
        <w:spacing w:before="73"/>
        <w:jc w:val="both"/>
      </w:pPr>
      <w:r>
        <w:rPr/>
        <w:t>（</w:t>
      </w:r>
      <w:r>
        <w:rPr>
          <w:rFonts w:ascii="Times New Roman" w:eastAsia="Times New Roman"/>
        </w:rPr>
        <w:t>3</w:t>
      </w:r>
      <w:r>
        <w:rPr/>
        <w:t>）肝性脑病；</w:t>
      </w:r>
    </w:p>
    <w:p>
      <w:pPr>
        <w:spacing w:line="249" w:lineRule="auto" w:before="74"/>
        <w:ind w:left="113" w:right="4603" w:firstLine="0"/>
        <w:jc w:val="left"/>
        <w:rPr>
          <w:rFonts w:ascii="Microsoft JhengHei" w:eastAsia="Microsoft JhengHei" w:hint="eastAsia"/>
          <w:b/>
          <w:sz w:val="21"/>
        </w:rPr>
      </w:pPr>
      <w:r>
        <w:rPr>
          <w:sz w:val="21"/>
        </w:rPr>
        <w:t>（</w:t>
      </w:r>
      <w:r>
        <w:rPr>
          <w:rFonts w:ascii="Times New Roman" w:eastAsia="Times New Roman"/>
          <w:sz w:val="21"/>
        </w:rPr>
        <w:t>4</w:t>
      </w:r>
      <w:r>
        <w:rPr>
          <w:sz w:val="21"/>
        </w:rPr>
        <w:t>）充血性脾肿大伴脾功能亢进或食管胃底静脉曲张。</w:t>
      </w:r>
      <w:r>
        <w:rPr>
          <w:rFonts w:ascii="Microsoft JhengHei" w:eastAsia="Microsoft JhengHei" w:hint="eastAsia"/>
          <w:b/>
          <w:sz w:val="21"/>
        </w:rPr>
        <w:t>因酗酒或药物滥用导致的肝功能衰竭不在保障范围内。</w:t>
      </w:r>
    </w:p>
    <w:p>
      <w:pPr>
        <w:pStyle w:val="BodyText"/>
        <w:spacing w:before="16"/>
        <w:ind w:left="0"/>
        <w:rPr>
          <w:rFonts w:ascii="Microsoft JhengHei"/>
          <w:b/>
          <w:sz w:val="16"/>
        </w:rPr>
      </w:pPr>
    </w:p>
    <w:p>
      <w:pPr>
        <w:pStyle w:val="BodyText"/>
      </w:pPr>
      <w:r>
        <w:rPr>
          <w:rFonts w:ascii="Times New Roman" w:eastAsia="Times New Roman"/>
        </w:rPr>
        <w:t>11</w:t>
      </w:r>
      <w:r>
        <w:rPr/>
        <w:t>、脑炎后遗症或脑膜炎后遗症</w:t>
      </w:r>
    </w:p>
    <w:p>
      <w:pPr>
        <w:pStyle w:val="BodyText"/>
        <w:spacing w:line="304" w:lineRule="auto" w:before="73"/>
        <w:ind w:right="101"/>
      </w:pPr>
      <w:r>
        <w:rPr>
          <w:spacing w:val="-8"/>
        </w:rPr>
        <w:t>指因患脑炎或脑膜炎导致的神经系统永久性的功能障碍。神经系统永久性的功能障碍，指疾病确诊 </w:t>
      </w:r>
      <w:r>
        <w:rPr>
          <w:rFonts w:ascii="Times New Roman" w:eastAsia="Times New Roman"/>
        </w:rPr>
        <w:t>180 </w:t>
      </w:r>
      <w:r>
        <w:rPr/>
        <w:t>天</w:t>
      </w:r>
      <w:r>
        <w:rPr>
          <w:spacing w:val="-3"/>
        </w:rPr>
        <w:t>后，仍遗留下列一种或一种以上障碍：</w:t>
      </w:r>
    </w:p>
    <w:p>
      <w:pPr>
        <w:pStyle w:val="BodyText"/>
        <w:spacing w:before="33"/>
        <w:jc w:val="both"/>
      </w:pPr>
      <w:r>
        <w:rPr/>
        <w:t>（</w:t>
      </w:r>
      <w:r>
        <w:rPr>
          <w:rFonts w:ascii="Times New Roman" w:eastAsia="Times New Roman"/>
        </w:rPr>
        <w:t>1</w:t>
      </w:r>
      <w:r>
        <w:rPr/>
        <w:t>）一肢或一肢以上肢体机能完全丧失；</w:t>
      </w:r>
    </w:p>
    <w:p>
      <w:pPr>
        <w:pStyle w:val="BodyText"/>
        <w:spacing w:before="74"/>
        <w:jc w:val="both"/>
      </w:pPr>
      <w:r>
        <w:rPr/>
        <w:t>（</w:t>
      </w:r>
      <w:r>
        <w:rPr>
          <w:rFonts w:ascii="Times New Roman" w:eastAsia="Times New Roman"/>
        </w:rPr>
        <w:t>2</w:t>
      </w:r>
      <w:r>
        <w:rPr/>
        <w:t>）语言能力或咀嚼吞咽能力完全丧失；</w:t>
      </w:r>
    </w:p>
    <w:p>
      <w:pPr>
        <w:pStyle w:val="BodyText"/>
        <w:spacing w:before="74"/>
        <w:jc w:val="both"/>
      </w:pPr>
      <w:r>
        <w:rPr/>
        <w:t>（</w:t>
      </w:r>
      <w:r>
        <w:rPr>
          <w:rFonts w:ascii="Times New Roman" w:eastAsia="Times New Roman"/>
        </w:rPr>
        <w:t>3</w:t>
      </w:r>
      <w:r>
        <w:rPr/>
        <w:t>）自主生活能力完全丧失，无法独立完成六项基本日常生活活动中的三项或三项以上。</w:t>
      </w:r>
    </w:p>
    <w:p>
      <w:pPr>
        <w:pStyle w:val="BodyText"/>
        <w:spacing w:before="5"/>
        <w:ind w:left="0"/>
        <w:rPr>
          <w:sz w:val="24"/>
        </w:rPr>
      </w:pPr>
    </w:p>
    <w:p>
      <w:pPr>
        <w:pStyle w:val="BodyText"/>
        <w:jc w:val="both"/>
      </w:pPr>
      <w:r>
        <w:rPr>
          <w:rFonts w:ascii="Times New Roman" w:eastAsia="Times New Roman"/>
        </w:rPr>
        <w:t>12</w:t>
      </w:r>
      <w:r>
        <w:rPr/>
        <w:t>、深度昏迷</w:t>
      </w:r>
    </w:p>
    <w:p>
      <w:pPr>
        <w:pStyle w:val="BodyText"/>
        <w:spacing w:before="73"/>
        <w:jc w:val="both"/>
      </w:pP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p>
    <w:p>
      <w:pPr>
        <w:spacing w:line="247" w:lineRule="auto" w:before="73"/>
        <w:ind w:left="113" w:right="107" w:firstLine="0"/>
        <w:jc w:val="left"/>
        <w:rPr>
          <w:rFonts w:ascii="Microsoft JhengHei" w:eastAsia="Microsoft JhengHei" w:hint="eastAsia"/>
          <w:b/>
          <w:sz w:val="21"/>
        </w:rPr>
      </w:pPr>
      <w:r>
        <w:rPr>
          <w:w w:val="100"/>
          <w:sz w:val="21"/>
        </w:rPr>
        <w:t>（</w:t>
      </w:r>
      <w:r>
        <w:rPr>
          <w:rFonts w:ascii="Times New Roman" w:eastAsia="Times New Roman"/>
          <w:w w:val="100"/>
          <w:sz w:val="21"/>
        </w:rPr>
        <w:t>G</w:t>
      </w:r>
      <w:r>
        <w:rPr>
          <w:rFonts w:ascii="Times New Roman" w:eastAsia="Times New Roman"/>
          <w:spacing w:val="-2"/>
          <w:w w:val="100"/>
          <w:sz w:val="21"/>
        </w:rPr>
        <w:t>l</w:t>
      </w:r>
      <w:r>
        <w:rPr>
          <w:rFonts w:ascii="Times New Roman" w:eastAsia="Times New Roman"/>
          <w:spacing w:val="1"/>
          <w:w w:val="100"/>
          <w:sz w:val="21"/>
        </w:rPr>
        <w:t>a</w:t>
      </w:r>
      <w:r>
        <w:rPr>
          <w:rFonts w:ascii="Times New Roman" w:eastAsia="Times New Roman"/>
          <w:w w:val="100"/>
          <w:sz w:val="21"/>
        </w:rPr>
        <w:t>s</w:t>
      </w:r>
      <w:r>
        <w:rPr>
          <w:rFonts w:ascii="Times New Roman" w:eastAsia="Times New Roman"/>
          <w:spacing w:val="-6"/>
          <w:w w:val="100"/>
          <w:sz w:val="21"/>
        </w:rPr>
        <w:t>g</w:t>
      </w:r>
      <w:r>
        <w:rPr>
          <w:rFonts w:ascii="Times New Roman" w:eastAsia="Times New Roman"/>
          <w:spacing w:val="-5"/>
          <w:w w:val="100"/>
          <w:sz w:val="21"/>
        </w:rPr>
        <w:t>o</w:t>
      </w:r>
      <w:r>
        <w:rPr>
          <w:rFonts w:ascii="Times New Roman" w:eastAsia="Times New Roman"/>
          <w:w w:val="100"/>
          <w:sz w:val="21"/>
        </w:rPr>
        <w:t>w</w:t>
      </w:r>
      <w:r>
        <w:rPr>
          <w:rFonts w:ascii="Times New Roman" w:eastAsia="Times New Roman"/>
          <w:sz w:val="21"/>
        </w:rPr>
        <w:t> </w:t>
      </w:r>
      <w:r>
        <w:rPr>
          <w:rFonts w:ascii="Times New Roman" w:eastAsia="Times New Roman"/>
          <w:spacing w:val="-3"/>
          <w:w w:val="100"/>
          <w:sz w:val="21"/>
        </w:rPr>
        <w:t>c</w:t>
      </w:r>
      <w:r>
        <w:rPr>
          <w:rFonts w:ascii="Times New Roman" w:eastAsia="Times New Roman"/>
          <w:spacing w:val="3"/>
          <w:w w:val="100"/>
          <w:sz w:val="21"/>
        </w:rPr>
        <w:t>o</w:t>
      </w:r>
      <w:r>
        <w:rPr>
          <w:rFonts w:ascii="Times New Roman" w:eastAsia="Times New Roman"/>
          <w:spacing w:val="-11"/>
          <w:w w:val="100"/>
          <w:sz w:val="21"/>
        </w:rPr>
        <w:t>m</w:t>
      </w:r>
      <w:r>
        <w:rPr>
          <w:rFonts w:ascii="Times New Roman" w:eastAsia="Times New Roman"/>
          <w:w w:val="100"/>
          <w:sz w:val="21"/>
        </w:rPr>
        <w:t>a</w:t>
      </w:r>
      <w:r>
        <w:rPr>
          <w:rFonts w:ascii="Times New Roman" w:eastAsia="Times New Roman"/>
          <w:sz w:val="21"/>
        </w:rPr>
        <w:t> </w:t>
      </w:r>
      <w:r>
        <w:rPr>
          <w:rFonts w:ascii="Times New Roman" w:eastAsia="Times New Roman"/>
          <w:w w:val="100"/>
          <w:sz w:val="21"/>
        </w:rPr>
        <w:t>s</w:t>
      </w:r>
      <w:r>
        <w:rPr>
          <w:rFonts w:ascii="Times New Roman" w:eastAsia="Times New Roman"/>
          <w:spacing w:val="-4"/>
          <w:w w:val="100"/>
          <w:sz w:val="21"/>
        </w:rPr>
        <w:t>c</w:t>
      </w:r>
      <w:r>
        <w:rPr>
          <w:rFonts w:ascii="Times New Roman" w:eastAsia="Times New Roman"/>
          <w:spacing w:val="1"/>
          <w:w w:val="100"/>
          <w:sz w:val="21"/>
        </w:rPr>
        <w:t>a</w:t>
      </w:r>
      <w:r>
        <w:rPr>
          <w:rFonts w:ascii="Times New Roman" w:eastAsia="Times New Roman"/>
          <w:spacing w:val="-2"/>
          <w:w w:val="100"/>
          <w:sz w:val="21"/>
        </w:rPr>
        <w:t>l</w:t>
      </w:r>
      <w:r>
        <w:rPr>
          <w:rFonts w:ascii="Times New Roman" w:eastAsia="Times New Roman"/>
          <w:spacing w:val="-1"/>
          <w:w w:val="100"/>
          <w:sz w:val="21"/>
        </w:rPr>
        <w:t>e</w:t>
      </w:r>
      <w:r>
        <w:rPr>
          <w:spacing w:val="-87"/>
          <w:w w:val="100"/>
          <w:sz w:val="21"/>
        </w:rPr>
        <w:t>）</w:t>
      </w:r>
      <w:r>
        <w:rPr>
          <w:w w:val="100"/>
          <w:sz w:val="21"/>
        </w:rPr>
        <w:t>结果为</w:t>
      </w:r>
      <w:r>
        <w:rPr>
          <w:spacing w:val="-53"/>
          <w:sz w:val="21"/>
        </w:rPr>
        <w:t> </w:t>
      </w:r>
      <w:r>
        <w:rPr>
          <w:rFonts w:ascii="Times New Roman" w:eastAsia="Times New Roman"/>
          <w:w w:val="100"/>
          <w:sz w:val="21"/>
        </w:rPr>
        <w:t>5</w:t>
      </w:r>
      <w:r>
        <w:rPr>
          <w:rFonts w:ascii="Times New Roman" w:eastAsia="Times New Roman"/>
          <w:sz w:val="21"/>
        </w:rPr>
        <w:t> </w:t>
      </w:r>
      <w:r>
        <w:rPr>
          <w:w w:val="100"/>
          <w:sz w:val="21"/>
        </w:rPr>
        <w:t>分或</w:t>
      </w:r>
      <w:r>
        <w:rPr>
          <w:spacing w:val="-52"/>
          <w:sz w:val="21"/>
        </w:rPr>
        <w:t> </w:t>
      </w:r>
      <w:r>
        <w:rPr>
          <w:rFonts w:ascii="Times New Roman" w:eastAsia="Times New Roman"/>
          <w:w w:val="100"/>
          <w:sz w:val="21"/>
        </w:rPr>
        <w:t>5</w:t>
      </w:r>
      <w:r>
        <w:rPr>
          <w:rFonts w:ascii="Times New Roman" w:eastAsia="Times New Roman"/>
          <w:sz w:val="21"/>
        </w:rPr>
        <w:t> </w:t>
      </w:r>
      <w:r>
        <w:rPr>
          <w:spacing w:val="-12"/>
          <w:w w:val="100"/>
          <w:sz w:val="21"/>
        </w:rPr>
        <w:t>分以下，且已经持续使用呼吸机及其它生命维持系统</w:t>
      </w:r>
      <w:r>
        <w:rPr>
          <w:spacing w:val="-12"/>
          <w:sz w:val="21"/>
        </w:rPr>
        <w:t> </w:t>
      </w:r>
      <w:r>
        <w:rPr>
          <w:rFonts w:ascii="Times New Roman" w:eastAsia="Times New Roman"/>
          <w:w w:val="100"/>
          <w:sz w:val="21"/>
        </w:rPr>
        <w:t>96</w:t>
      </w:r>
      <w:r>
        <w:rPr>
          <w:rFonts w:ascii="Times New Roman" w:eastAsia="Times New Roman"/>
          <w:sz w:val="21"/>
        </w:rPr>
        <w:t> </w:t>
      </w:r>
      <w:r>
        <w:rPr>
          <w:spacing w:val="-2"/>
          <w:w w:val="100"/>
          <w:sz w:val="21"/>
        </w:rPr>
        <w:t>小时以上。</w:t>
      </w:r>
      <w:r>
        <w:rPr>
          <w:rFonts w:ascii="Microsoft JhengHei" w:eastAsia="Microsoft JhengHei" w:hint="eastAsia"/>
          <w:b/>
          <w:spacing w:val="-5"/>
          <w:sz w:val="21"/>
        </w:rPr>
        <w:t>因酗酒或药物滥用导致的深度昏迷不在保障范围内。</w:t>
      </w:r>
    </w:p>
    <w:p>
      <w:pPr>
        <w:pStyle w:val="BodyText"/>
        <w:spacing w:before="6"/>
        <w:ind w:left="0"/>
        <w:rPr>
          <w:rFonts w:ascii="Microsoft JhengHei"/>
          <w:b/>
          <w:sz w:val="17"/>
        </w:rPr>
      </w:pPr>
    </w:p>
    <w:p>
      <w:pPr>
        <w:pStyle w:val="BodyText"/>
        <w:jc w:val="both"/>
      </w:pPr>
      <w:r>
        <w:rPr>
          <w:rFonts w:ascii="Times New Roman" w:eastAsia="Times New Roman"/>
        </w:rPr>
        <w:t>13</w:t>
      </w:r>
      <w:r>
        <w:rPr/>
        <w:t>、双耳失聪</w:t>
      </w:r>
    </w:p>
    <w:p>
      <w:pPr>
        <w:pStyle w:val="BodyText"/>
        <w:spacing w:before="7"/>
        <w:jc w:val="both"/>
      </w:pPr>
      <w:r>
        <w:rPr/>
        <w:t>指因疾病或意外伤害导致双耳听力</w:t>
      </w:r>
      <w:r>
        <w:rPr>
          <w:rFonts w:ascii="Microsoft JhengHei" w:eastAsia="Microsoft JhengHei" w:hint="eastAsia"/>
          <w:b/>
        </w:rPr>
        <w:t>永久不可逆（见释义）</w:t>
      </w:r>
      <w:r>
        <w:rPr/>
        <w:t>性丧失，在 </w:t>
      </w:r>
      <w:r>
        <w:rPr>
          <w:rFonts w:ascii="Times New Roman" w:eastAsia="Times New Roman"/>
        </w:rPr>
        <w:t>500 </w:t>
      </w:r>
      <w:r>
        <w:rPr/>
        <w:t>赫兹、</w:t>
      </w:r>
      <w:r>
        <w:rPr>
          <w:rFonts w:ascii="Times New Roman" w:eastAsia="Times New Roman"/>
        </w:rPr>
        <w:t>1000 </w:t>
      </w:r>
      <w:r>
        <w:rPr/>
        <w:t>赫兹和 </w:t>
      </w:r>
      <w:r>
        <w:rPr>
          <w:rFonts w:ascii="Times New Roman" w:eastAsia="Times New Roman"/>
        </w:rPr>
        <w:t>2000 </w:t>
      </w:r>
      <w:r>
        <w:rPr/>
        <w:t>赫兹语</w:t>
      </w:r>
    </w:p>
    <w:p>
      <w:pPr>
        <w:pStyle w:val="BodyText"/>
        <w:spacing w:before="66"/>
        <w:jc w:val="both"/>
      </w:pPr>
      <w:r>
        <w:rPr/>
        <w:t>音频率下，平均听阈大于 </w:t>
      </w:r>
      <w:r>
        <w:rPr>
          <w:rFonts w:ascii="Times New Roman" w:eastAsia="Times New Roman"/>
        </w:rPr>
        <w:t>90 </w:t>
      </w:r>
      <w:r>
        <w:rPr/>
        <w:t>分贝，且经纯音听力测试、声导抗检测或听觉诱发电位检测等证实。</w:t>
      </w:r>
    </w:p>
    <w:p>
      <w:pPr>
        <w:pStyle w:val="BodyText"/>
        <w:spacing w:before="5"/>
        <w:ind w:left="0"/>
        <w:rPr>
          <w:sz w:val="24"/>
        </w:rPr>
      </w:pPr>
    </w:p>
    <w:p>
      <w:pPr>
        <w:pStyle w:val="BodyText"/>
        <w:jc w:val="both"/>
      </w:pPr>
      <w:r>
        <w:rPr>
          <w:rFonts w:ascii="Times New Roman" w:eastAsia="Times New Roman"/>
        </w:rPr>
        <w:t>14</w:t>
      </w:r>
      <w:r>
        <w:rPr/>
        <w:t>、双目失明</w:t>
      </w:r>
    </w:p>
    <w:p>
      <w:pPr>
        <w:pStyle w:val="BodyText"/>
        <w:spacing w:before="74"/>
        <w:jc w:val="both"/>
      </w:pPr>
      <w:r>
        <w:rPr/>
        <w:t>指因疾病或意外伤害导致双眼视力永久不可逆性丧失，双眼中较好眼须满足下列至少一项条件：</w:t>
      </w:r>
    </w:p>
    <w:p>
      <w:pPr>
        <w:pStyle w:val="BodyText"/>
        <w:spacing w:before="90"/>
        <w:jc w:val="both"/>
      </w:pPr>
      <w:r>
        <w:rPr/>
        <w:t>（</w:t>
      </w:r>
      <w:r>
        <w:rPr>
          <w:rFonts w:ascii="Times New Roman" w:eastAsia="Times New Roman"/>
        </w:rPr>
        <w:t>1</w:t>
      </w:r>
      <w:r>
        <w:rPr/>
        <w:t>）眼球缺失或摘除；</w:t>
      </w:r>
    </w:p>
    <w:p>
      <w:pPr>
        <w:pStyle w:val="BodyText"/>
        <w:spacing w:before="78"/>
        <w:jc w:val="both"/>
      </w:pPr>
      <w:r>
        <w:rPr>
          <w:w w:val="100"/>
        </w:rPr>
        <w:t>（</w:t>
      </w:r>
      <w:r>
        <w:rPr>
          <w:rFonts w:ascii="Times New Roman" w:eastAsia="Times New Roman"/>
          <w:w w:val="100"/>
        </w:rPr>
        <w:t>2</w:t>
      </w:r>
      <w:r>
        <w:rPr>
          <w:w w:val="100"/>
        </w:rPr>
        <w:t>）</w:t>
      </w:r>
      <w:r>
        <w:rPr>
          <w:spacing w:val="-2"/>
          <w:w w:val="100"/>
        </w:rPr>
        <w:t>矫正视力低于</w:t>
      </w:r>
      <w:r>
        <w:rPr>
          <w:spacing w:val="-52"/>
        </w:rPr>
        <w:t> </w:t>
      </w:r>
      <w:r>
        <w:rPr>
          <w:rFonts w:ascii="Times New Roman" w:eastAsia="Times New Roman"/>
          <w:w w:val="100"/>
        </w:rPr>
        <w:t>0</w:t>
      </w:r>
      <w:r>
        <w:rPr>
          <w:rFonts w:ascii="Times New Roman" w:eastAsia="Times New Roman"/>
          <w:spacing w:val="-5"/>
          <w:w w:val="100"/>
        </w:rPr>
        <w:t>.</w:t>
      </w:r>
      <w:r>
        <w:rPr>
          <w:rFonts w:ascii="Times New Roman" w:eastAsia="Times New Roman"/>
          <w:w w:val="100"/>
        </w:rPr>
        <w:t>02</w:t>
      </w:r>
      <w:r>
        <w:rPr>
          <w:w w:val="100"/>
        </w:rPr>
        <w:t>（</w:t>
      </w:r>
      <w:r>
        <w:rPr>
          <w:spacing w:val="-5"/>
          <w:w w:val="100"/>
        </w:rPr>
        <w:t>采用国际标准视力表，如果使用其他视力表应进行换算</w:t>
      </w:r>
      <w:r>
        <w:rPr>
          <w:spacing w:val="-111"/>
          <w:w w:val="100"/>
        </w:rPr>
        <w:t>）</w:t>
      </w:r>
      <w:r>
        <w:rPr>
          <w:w w:val="100"/>
        </w:rPr>
        <w:t>；</w:t>
      </w:r>
    </w:p>
    <w:p>
      <w:pPr>
        <w:pStyle w:val="BodyText"/>
        <w:spacing w:before="74"/>
        <w:jc w:val="both"/>
      </w:pPr>
      <w:r>
        <w:rPr/>
        <w:t>（</w:t>
      </w:r>
      <w:r>
        <w:rPr>
          <w:rFonts w:ascii="Times New Roman" w:eastAsia="Times New Roman"/>
        </w:rPr>
        <w:t>3</w:t>
      </w:r>
      <w:r>
        <w:rPr/>
        <w:t>）视野半径小于 </w:t>
      </w:r>
      <w:r>
        <w:rPr>
          <w:rFonts w:ascii="Times New Roman" w:eastAsia="Times New Roman"/>
        </w:rPr>
        <w:t>5 </w:t>
      </w:r>
      <w:r>
        <w:rPr/>
        <w:t>度。</w:t>
      </w:r>
    </w:p>
    <w:p>
      <w:pPr>
        <w:spacing w:after="0"/>
        <w:jc w:val="both"/>
        <w:sectPr>
          <w:pgSz w:w="11910" w:h="16840"/>
          <w:pgMar w:header="0" w:footer="496" w:top="780" w:bottom="760" w:left="1020" w:right="1020"/>
        </w:sectPr>
      </w:pPr>
    </w:p>
    <w:p>
      <w:pPr>
        <w:pStyle w:val="BodyText"/>
        <w:spacing w:before="70"/>
      </w:pPr>
      <w:r>
        <w:rPr>
          <w:rFonts w:ascii="Times New Roman" w:eastAsia="Times New Roman"/>
        </w:rPr>
        <w:t>15</w:t>
      </w:r>
      <w:r>
        <w:rPr/>
        <w:t>、瘫痪</w:t>
      </w:r>
    </w:p>
    <w:p>
      <w:pPr>
        <w:pStyle w:val="BodyText"/>
        <w:spacing w:before="78"/>
        <w:rPr>
          <w:rFonts w:ascii="Times New Roman" w:eastAsia="Times New Roman"/>
        </w:rPr>
      </w:pPr>
      <w:r>
        <w:rPr>
          <w:spacing w:val="-11"/>
        </w:rPr>
        <w:t>指因疾病或意外伤害导致两肢或两肢以上肢体机能永久完全丧失。肢体机能永久完全丧失，指疾病确诊 </w:t>
      </w:r>
      <w:r>
        <w:rPr>
          <w:rFonts w:ascii="Times New Roman" w:eastAsia="Times New Roman"/>
        </w:rPr>
        <w:t>180</w:t>
      </w:r>
    </w:p>
    <w:p>
      <w:pPr>
        <w:pStyle w:val="BodyText"/>
        <w:spacing w:before="73"/>
      </w:pPr>
      <w:r>
        <w:rPr/>
        <w:t>天后或意外伤害发生 </w:t>
      </w:r>
      <w:r>
        <w:rPr>
          <w:rFonts w:ascii="Times New Roman" w:eastAsia="Times New Roman"/>
        </w:rPr>
        <w:t>180 </w:t>
      </w:r>
      <w:r>
        <w:rPr/>
        <w:t>天后，每肢三大关节中的两大关节仍然完全僵硬，或不能随意识活动。</w:t>
      </w:r>
    </w:p>
    <w:p>
      <w:pPr>
        <w:pStyle w:val="BodyText"/>
        <w:ind w:left="0"/>
        <w:rPr>
          <w:sz w:val="24"/>
        </w:rPr>
      </w:pPr>
    </w:p>
    <w:p>
      <w:pPr>
        <w:pStyle w:val="BodyText"/>
      </w:pPr>
      <w:r>
        <w:rPr>
          <w:rFonts w:ascii="Times New Roman" w:eastAsia="Times New Roman"/>
        </w:rPr>
        <w:t>16</w:t>
      </w:r>
      <w:r>
        <w:rPr/>
        <w:t>、心脏瓣膜手术</w:t>
      </w:r>
    </w:p>
    <w:p>
      <w:pPr>
        <w:pStyle w:val="BodyText"/>
        <w:spacing w:before="74"/>
      </w:pPr>
      <w:r>
        <w:rPr/>
        <w:t>指为治疗心脏瓣膜疾病，实际实施了开胸进行的心脏瓣膜置换或修复的手术。</w:t>
      </w:r>
    </w:p>
    <w:p>
      <w:pPr>
        <w:pStyle w:val="BodyText"/>
        <w:spacing w:before="7"/>
        <w:ind w:left="0"/>
        <w:rPr>
          <w:sz w:val="25"/>
        </w:rPr>
      </w:pPr>
    </w:p>
    <w:p>
      <w:pPr>
        <w:pStyle w:val="BodyText"/>
      </w:pPr>
      <w:r>
        <w:rPr>
          <w:rFonts w:ascii="Times New Roman" w:eastAsia="Times New Roman"/>
        </w:rPr>
        <w:t>17</w:t>
      </w:r>
      <w:r>
        <w:rPr/>
        <w:t>、严重阿尔茨海默病</w:t>
      </w:r>
    </w:p>
    <w:p>
      <w:pPr>
        <w:pStyle w:val="BodyText"/>
        <w:spacing w:line="307" w:lineRule="auto" w:before="73"/>
        <w:ind w:right="204"/>
        <w:jc w:val="both"/>
      </w:pPr>
      <w:r>
        <w:rPr>
          <w:spacing w:val="-7"/>
        </w:rPr>
        <w:t>指因大脑进行性、不可逆性改变导致智能严重衰退或丧失，临床表现为明显的认知能力障碍、行为异常和</w:t>
      </w:r>
      <w:r>
        <w:rPr>
          <w:spacing w:val="-7"/>
          <w:w w:val="100"/>
        </w:rPr>
        <w:t>社交能力减退，其日常生活必须持续受到他人监护。须由头颅断层扫描</w:t>
      </w:r>
      <w:r>
        <w:rPr>
          <w:spacing w:val="1"/>
          <w:w w:val="100"/>
        </w:rPr>
        <w:t>（</w:t>
      </w:r>
      <w:r>
        <w:rPr>
          <w:rFonts w:ascii="Times New Roman" w:eastAsia="Times New Roman"/>
          <w:spacing w:val="-2"/>
          <w:w w:val="100"/>
        </w:rPr>
        <w:t>C</w:t>
      </w:r>
      <w:r>
        <w:rPr>
          <w:rFonts w:ascii="Times New Roman" w:eastAsia="Times New Roman"/>
          <w:spacing w:val="-4"/>
          <w:w w:val="100"/>
        </w:rPr>
        <w:t>T</w:t>
      </w:r>
      <w:r>
        <w:rPr>
          <w:spacing w:val="-106"/>
          <w:w w:val="100"/>
        </w:rPr>
        <w:t>）</w:t>
      </w:r>
      <w:r>
        <w:rPr>
          <w:w w:val="100"/>
        </w:rPr>
        <w:t>、核磁共振检查（</w:t>
      </w:r>
      <w:r>
        <w:rPr>
          <w:rFonts w:ascii="Times New Roman" w:eastAsia="Times New Roman"/>
          <w:w w:val="100"/>
        </w:rPr>
        <w:t>M</w:t>
      </w:r>
      <w:r>
        <w:rPr>
          <w:rFonts w:ascii="Times New Roman" w:eastAsia="Times New Roman"/>
          <w:spacing w:val="1"/>
          <w:w w:val="100"/>
        </w:rPr>
        <w:t>R</w:t>
      </w:r>
      <w:r>
        <w:rPr>
          <w:rFonts w:ascii="Times New Roman" w:eastAsia="Times New Roman"/>
          <w:spacing w:val="-3"/>
          <w:w w:val="100"/>
        </w:rPr>
        <w:t>I</w:t>
      </w:r>
      <w:r>
        <w:rPr>
          <w:w w:val="100"/>
        </w:rPr>
        <w:t>）或</w:t>
      </w:r>
      <w:r>
        <w:rPr/>
        <w:t>正电子发射断层扫描（</w:t>
      </w:r>
      <w:r>
        <w:rPr>
          <w:rFonts w:ascii="Times New Roman" w:eastAsia="Times New Roman"/>
        </w:rPr>
        <w:t>PET</w:t>
      </w:r>
      <w:r>
        <w:rPr/>
        <w:t>）</w:t>
      </w:r>
      <w:r>
        <w:rPr>
          <w:spacing w:val="-4"/>
        </w:rPr>
        <w:t>等影像学检查证实，且自主生活能力完全丧失，无法独立完成六项基本日常</w:t>
      </w:r>
      <w:r>
        <w:rPr>
          <w:spacing w:val="-5"/>
        </w:rPr>
        <w:t>生活活动中的三项或三项以上。</w:t>
      </w:r>
    </w:p>
    <w:p>
      <w:pPr>
        <w:pStyle w:val="Heading1"/>
        <w:spacing w:line="330" w:lineRule="exact"/>
      </w:pPr>
      <w:r>
        <w:rPr/>
        <w:t>神经官能症和精神疾病不在保障范围内。</w:t>
      </w:r>
    </w:p>
    <w:p>
      <w:pPr>
        <w:pStyle w:val="BodyText"/>
        <w:spacing w:before="16"/>
        <w:ind w:left="0"/>
        <w:rPr>
          <w:rFonts w:ascii="Microsoft JhengHei"/>
          <w:b/>
          <w:sz w:val="17"/>
        </w:rPr>
      </w:pPr>
    </w:p>
    <w:p>
      <w:pPr>
        <w:pStyle w:val="BodyText"/>
      </w:pPr>
      <w:r>
        <w:rPr>
          <w:rFonts w:ascii="Times New Roman" w:eastAsia="Times New Roman"/>
        </w:rPr>
        <w:t>18</w:t>
      </w:r>
      <w:r>
        <w:rPr/>
        <w:t>、严重脑损伤</w:t>
      </w:r>
    </w:p>
    <w:p>
      <w:pPr>
        <w:pStyle w:val="BodyText"/>
        <w:spacing w:line="300" w:lineRule="auto" w:before="74"/>
        <w:ind w:right="100"/>
      </w:pPr>
      <w:r>
        <w:rPr>
          <w:spacing w:val="-21"/>
          <w:w w:val="100"/>
        </w:rPr>
        <w:t>指因头部遭受机械性外力，引起脑重要部位损伤，导致神经系统永久性的功能障碍。须由头颅断层扫描</w:t>
      </w:r>
      <w:r>
        <w:rPr>
          <w:spacing w:val="2"/>
          <w:w w:val="100"/>
        </w:rPr>
        <w:t>（</w:t>
      </w:r>
      <w:r>
        <w:rPr>
          <w:rFonts w:ascii="Times New Roman" w:eastAsia="Times New Roman"/>
          <w:spacing w:val="-2"/>
          <w:w w:val="100"/>
        </w:rPr>
        <w:t>C</w:t>
      </w:r>
      <w:r>
        <w:rPr>
          <w:rFonts w:ascii="Times New Roman" w:eastAsia="Times New Roman"/>
          <w:spacing w:val="-4"/>
          <w:w w:val="100"/>
        </w:rPr>
        <w:t>T</w:t>
      </w:r>
      <w:r>
        <w:rPr>
          <w:spacing w:val="-106"/>
          <w:w w:val="100"/>
        </w:rPr>
        <w:t>）、</w:t>
      </w:r>
      <w:r>
        <w:rPr>
          <w:spacing w:val="-1"/>
        </w:rPr>
        <w:t>核磁共振检查</w:t>
      </w:r>
      <w:r>
        <w:rPr/>
        <w:t>（</w:t>
      </w:r>
      <w:r>
        <w:rPr>
          <w:rFonts w:ascii="Times New Roman" w:eastAsia="Times New Roman"/>
        </w:rPr>
        <w:t>MRI</w:t>
      </w:r>
      <w:r>
        <w:rPr/>
        <w:t>）</w:t>
      </w:r>
      <w:r>
        <w:rPr>
          <w:spacing w:val="-3"/>
        </w:rPr>
        <w:t>或正电子发射断层扫描</w:t>
      </w:r>
      <w:r>
        <w:rPr/>
        <w:t>（</w:t>
      </w:r>
      <w:r>
        <w:rPr>
          <w:rFonts w:ascii="Times New Roman" w:eastAsia="Times New Roman"/>
        </w:rPr>
        <w:t>PET</w:t>
      </w:r>
      <w:r>
        <w:rPr/>
        <w:t>）</w:t>
      </w:r>
      <w:r>
        <w:rPr>
          <w:spacing w:val="-5"/>
        </w:rPr>
        <w:t>等影像学检查证实。神经系统永久性的功能障碍， </w:t>
      </w:r>
      <w:r>
        <w:rPr>
          <w:spacing w:val="-13"/>
        </w:rPr>
        <w:t>指脑损伤 </w:t>
      </w:r>
      <w:r>
        <w:rPr>
          <w:rFonts w:ascii="Times New Roman" w:eastAsia="Times New Roman"/>
        </w:rPr>
        <w:t>180 </w:t>
      </w:r>
      <w:r>
        <w:rPr>
          <w:spacing w:val="-5"/>
        </w:rPr>
        <w:t>天后，仍遗留下列一种或一种以上障碍：</w:t>
      </w:r>
    </w:p>
    <w:p>
      <w:pPr>
        <w:pStyle w:val="BodyText"/>
        <w:spacing w:before="21"/>
      </w:pPr>
      <w:r>
        <w:rPr/>
        <w:t>（</w:t>
      </w:r>
      <w:r>
        <w:rPr>
          <w:rFonts w:ascii="Times New Roman" w:eastAsia="Times New Roman"/>
        </w:rPr>
        <w:t>1</w:t>
      </w:r>
      <w:r>
        <w:rPr/>
        <w:t>）一肢或一肢以上肢体机能完全丧失；</w:t>
      </w:r>
    </w:p>
    <w:p>
      <w:pPr>
        <w:pStyle w:val="BodyText"/>
        <w:spacing w:before="74"/>
      </w:pPr>
      <w:r>
        <w:rPr/>
        <w:t>（</w:t>
      </w:r>
      <w:r>
        <w:rPr>
          <w:rFonts w:ascii="Times New Roman" w:eastAsia="Times New Roman"/>
        </w:rPr>
        <w:t>2</w:t>
      </w:r>
      <w:r>
        <w:rPr/>
        <w:t>）语言能力或咀嚼吞咽能力完全丧失；</w:t>
      </w:r>
    </w:p>
    <w:p>
      <w:pPr>
        <w:pStyle w:val="BodyText"/>
        <w:spacing w:before="74"/>
      </w:pPr>
      <w:r>
        <w:rPr/>
        <w:t>（</w:t>
      </w:r>
      <w:r>
        <w:rPr>
          <w:rFonts w:ascii="Times New Roman" w:eastAsia="Times New Roman"/>
        </w:rPr>
        <w:t>3</w:t>
      </w:r>
      <w:r>
        <w:rPr/>
        <w:t>）自主生活能力完全丧失，无法独立完成六项基本日常生活活动中的三项或三项以上。</w:t>
      </w:r>
    </w:p>
    <w:p>
      <w:pPr>
        <w:pStyle w:val="BodyText"/>
        <w:spacing w:before="13"/>
        <w:ind w:left="0"/>
        <w:rPr>
          <w:sz w:val="23"/>
        </w:rPr>
      </w:pPr>
    </w:p>
    <w:p>
      <w:pPr>
        <w:pStyle w:val="BodyText"/>
      </w:pPr>
      <w:r>
        <w:rPr>
          <w:rFonts w:ascii="Times New Roman" w:eastAsia="Times New Roman"/>
        </w:rPr>
        <w:t>19</w:t>
      </w:r>
      <w:r>
        <w:rPr/>
        <w:t>、严重帕金森病</w:t>
      </w:r>
    </w:p>
    <w:p>
      <w:pPr>
        <w:pStyle w:val="BodyText"/>
        <w:spacing w:before="79"/>
      </w:pPr>
      <w:r>
        <w:rPr/>
        <w:t>是一种中枢神经系统的退行性疾病，临床表现为震颤麻痹、共济失调等。须满足下列全部条件：</w:t>
      </w:r>
    </w:p>
    <w:p>
      <w:pPr>
        <w:pStyle w:val="BodyText"/>
        <w:spacing w:before="89"/>
      </w:pPr>
      <w:r>
        <w:rPr/>
        <w:t>（</w:t>
      </w:r>
      <w:r>
        <w:rPr>
          <w:rFonts w:ascii="Times New Roman" w:eastAsia="Times New Roman"/>
        </w:rPr>
        <w:t>1</w:t>
      </w:r>
      <w:r>
        <w:rPr/>
        <w:t>）药物治疗无法控制病情；</w:t>
      </w:r>
    </w:p>
    <w:p>
      <w:pPr>
        <w:spacing w:line="247" w:lineRule="auto" w:before="73"/>
        <w:ind w:left="113" w:right="1550" w:firstLine="0"/>
        <w:jc w:val="left"/>
        <w:rPr>
          <w:rFonts w:ascii="Microsoft JhengHei" w:eastAsia="Microsoft JhengHei" w:hint="eastAsia"/>
          <w:b/>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r>
        <w:rPr>
          <w:rFonts w:ascii="Microsoft JhengHei" w:eastAsia="Microsoft JhengHei" w:hint="eastAsia"/>
          <w:b/>
          <w:sz w:val="21"/>
        </w:rPr>
        <w:t>继发性帕金森综合征不在保障范围内。</w:t>
      </w:r>
    </w:p>
    <w:p>
      <w:pPr>
        <w:pStyle w:val="BodyText"/>
        <w:spacing w:before="6"/>
        <w:ind w:left="0"/>
        <w:rPr>
          <w:rFonts w:ascii="Microsoft JhengHei"/>
          <w:b/>
          <w:sz w:val="17"/>
        </w:rPr>
      </w:pPr>
    </w:p>
    <w:p>
      <w:pPr>
        <w:pStyle w:val="BodyText"/>
        <w:spacing w:before="1"/>
      </w:pPr>
      <w:r>
        <w:rPr>
          <w:rFonts w:ascii="Times New Roman" w:hAnsi="Times New Roman" w:eastAsia="Times New Roman"/>
        </w:rPr>
        <w:t>20</w:t>
      </w:r>
      <w:r>
        <w:rPr/>
        <w:t>、严重Ⅲ度烧伤</w:t>
      </w:r>
    </w:p>
    <w:p>
      <w:pPr>
        <w:pStyle w:val="BodyText"/>
        <w:spacing w:line="300" w:lineRule="auto" w:before="74"/>
        <w:ind w:right="289"/>
      </w:pPr>
      <w:r>
        <w:rPr>
          <w:spacing w:val="-6"/>
        </w:rPr>
        <w:t>指烧伤程度为Ⅲ度，且Ⅲ度烧伤的面积达到全身体表面积的 </w:t>
      </w:r>
      <w:r>
        <w:rPr>
          <w:rFonts w:ascii="Times New Roman" w:hAnsi="Times New Roman" w:eastAsia="Times New Roman"/>
        </w:rPr>
        <w:t>20</w:t>
      </w:r>
      <w:r>
        <w:rPr>
          <w:spacing w:val="-11"/>
        </w:rPr>
        <w:t>％或 </w:t>
      </w:r>
      <w:r>
        <w:rPr>
          <w:rFonts w:ascii="Times New Roman" w:hAnsi="Times New Roman" w:eastAsia="Times New Roman"/>
        </w:rPr>
        <w:t>20</w:t>
      </w:r>
      <w:r>
        <w:rPr>
          <w:spacing w:val="-5"/>
        </w:rPr>
        <w:t>％以上。体表面积根据《中国新九分法》计算。</w:t>
      </w:r>
    </w:p>
    <w:p>
      <w:pPr>
        <w:pStyle w:val="BodyText"/>
        <w:spacing w:before="7"/>
        <w:ind w:left="0"/>
      </w:pPr>
    </w:p>
    <w:p>
      <w:pPr>
        <w:pStyle w:val="BodyText"/>
      </w:pPr>
      <w:r>
        <w:rPr>
          <w:rFonts w:ascii="Times New Roman" w:eastAsia="Times New Roman"/>
        </w:rPr>
        <w:t>21</w:t>
      </w:r>
      <w:r>
        <w:rPr/>
        <w:t>、严重原发性肺动脉高压</w:t>
      </w:r>
    </w:p>
    <w:p>
      <w:pPr>
        <w:pStyle w:val="BodyText"/>
        <w:spacing w:line="319" w:lineRule="auto" w:before="74"/>
        <w:ind w:right="205"/>
      </w:pPr>
      <w:r>
        <w:rPr>
          <w:spacing w:val="-6"/>
        </w:rPr>
        <w:t>指不明原因的肺动脉压力持续性增高，进行性发展而导致的慢性疾病，已经造成永久不可逆性的体力活动</w:t>
      </w:r>
      <w:r>
        <w:rPr>
          <w:spacing w:val="-7"/>
        </w:rPr>
        <w:t>能力受限，达到美国纽约心脏病学会心功能状态分级 </w:t>
      </w:r>
      <w:r>
        <w:rPr>
          <w:rFonts w:ascii="Times New Roman" w:eastAsia="Times New Roman"/>
        </w:rPr>
        <w:t>IV </w:t>
      </w:r>
      <w:r>
        <w:rPr>
          <w:spacing w:val="-4"/>
        </w:rPr>
        <w:t>级，且静息状态下肺动脉平均压超过 </w:t>
      </w:r>
      <w:r>
        <w:rPr>
          <w:rFonts w:ascii="Times New Roman" w:eastAsia="Times New Roman"/>
          <w:spacing w:val="-3"/>
        </w:rPr>
        <w:t>30mmHg</w:t>
      </w:r>
      <w:r>
        <w:rPr/>
        <w:t>。</w:t>
      </w:r>
    </w:p>
    <w:p>
      <w:pPr>
        <w:pStyle w:val="BodyText"/>
        <w:spacing w:before="242"/>
      </w:pPr>
      <w:r>
        <w:rPr>
          <w:rFonts w:ascii="Times New Roman" w:eastAsia="Times New Roman"/>
        </w:rPr>
        <w:t>22</w:t>
      </w:r>
      <w:r>
        <w:rPr/>
        <w:t>、严重运动神经元病</w:t>
      </w:r>
    </w:p>
    <w:p>
      <w:pPr>
        <w:pStyle w:val="BodyText"/>
        <w:spacing w:line="321" w:lineRule="auto" w:before="75"/>
        <w:ind w:right="205"/>
        <w:jc w:val="both"/>
      </w:pPr>
      <w:r>
        <w:rPr>
          <w:spacing w:val="-8"/>
        </w:rPr>
        <w:t>是一组中枢神经系统运动神经元的进行性变性疾病，包括进行性脊肌萎缩症、进行性延髓麻痹症、原发性</w:t>
      </w:r>
      <w:r>
        <w:rPr>
          <w:spacing w:val="-10"/>
        </w:rPr>
        <w:t>侧索硬化症、肌萎缩性侧索硬化症。须满足自主生活能力完全丧失，无法独立完成六项基本日常生活活动</w:t>
      </w:r>
      <w:r>
        <w:rPr>
          <w:spacing w:val="-7"/>
        </w:rPr>
        <w:t>中的三项或三项以上的条件。</w:t>
      </w:r>
    </w:p>
    <w:p>
      <w:pPr>
        <w:pStyle w:val="BodyText"/>
        <w:spacing w:before="10"/>
        <w:ind w:left="0"/>
        <w:rPr>
          <w:sz w:val="19"/>
        </w:rPr>
      </w:pPr>
    </w:p>
    <w:p>
      <w:pPr>
        <w:pStyle w:val="BodyText"/>
      </w:pPr>
      <w:r>
        <w:rPr>
          <w:rFonts w:ascii="Times New Roman" w:eastAsia="Times New Roman"/>
        </w:rPr>
        <w:t>23</w:t>
      </w:r>
      <w:r>
        <w:rPr/>
        <w:t>、语言能力丧失</w:t>
      </w:r>
    </w:p>
    <w:p>
      <w:pPr>
        <w:pStyle w:val="BodyText"/>
        <w:spacing w:line="300" w:lineRule="auto" w:before="74"/>
        <w:ind w:right="208"/>
      </w:pPr>
      <w:r>
        <w:rPr>
          <w:spacing w:val="-10"/>
          <w:w w:val="100"/>
        </w:rPr>
        <w:t>指因疾病或意外伤害导致完全丧失语言能力，经过积极治疗至少</w:t>
      </w:r>
      <w:r>
        <w:rPr>
          <w:spacing w:val="-10"/>
        </w:rPr>
        <w:t> </w:t>
      </w:r>
      <w:r>
        <w:rPr>
          <w:rFonts w:ascii="Times New Roman" w:eastAsia="Times New Roman"/>
          <w:w w:val="100"/>
        </w:rPr>
        <w:t>12</w:t>
      </w:r>
      <w:r>
        <w:rPr>
          <w:rFonts w:ascii="Times New Roman" w:eastAsia="Times New Roman"/>
        </w:rPr>
        <w:t> </w:t>
      </w:r>
      <w:r>
        <w:rPr>
          <w:spacing w:val="-53"/>
          <w:w w:val="100"/>
        </w:rPr>
        <w:t>个月</w:t>
      </w:r>
      <w:r>
        <w:rPr>
          <w:w w:val="100"/>
        </w:rPr>
        <w:t>（</w:t>
      </w:r>
      <w:r>
        <w:rPr>
          <w:spacing w:val="-4"/>
          <w:w w:val="100"/>
        </w:rPr>
        <w:t>声带完全切除不受此时间限制</w:t>
      </w:r>
      <w:r>
        <w:rPr>
          <w:spacing w:val="-111"/>
          <w:w w:val="100"/>
        </w:rPr>
        <w:t>）</w:t>
      </w:r>
      <w:r>
        <w:rPr>
          <w:w w:val="100"/>
        </w:rPr>
        <w:t>，</w:t>
      </w:r>
      <w:r>
        <w:rPr>
          <w:spacing w:val="-3"/>
        </w:rPr>
        <w:t>仍无法通过现有医疗手段恢复。</w:t>
      </w:r>
    </w:p>
    <w:p>
      <w:pPr>
        <w:spacing w:after="0" w:line="300" w:lineRule="auto"/>
        <w:sectPr>
          <w:pgSz w:w="11910" w:h="16840"/>
          <w:pgMar w:header="0" w:footer="496" w:top="780" w:bottom="760" w:left="1020" w:right="920"/>
        </w:sectPr>
      </w:pPr>
    </w:p>
    <w:p>
      <w:pPr>
        <w:pStyle w:val="Heading1"/>
        <w:spacing w:before="3"/>
        <w:ind w:left="313"/>
        <w:jc w:val="both"/>
      </w:pPr>
      <w:r>
        <w:rPr/>
        <w:t>精神心理因素所致的语言能力丧失不在保障范围内。</w:t>
      </w:r>
    </w:p>
    <w:p>
      <w:pPr>
        <w:pStyle w:val="BodyText"/>
        <w:spacing w:before="14"/>
        <w:ind w:left="0"/>
        <w:rPr>
          <w:rFonts w:ascii="Microsoft JhengHei"/>
          <w:b/>
          <w:sz w:val="17"/>
        </w:rPr>
      </w:pPr>
    </w:p>
    <w:p>
      <w:pPr>
        <w:pStyle w:val="BodyText"/>
        <w:ind w:left="313"/>
        <w:jc w:val="both"/>
      </w:pPr>
      <w:r>
        <w:rPr>
          <w:rFonts w:ascii="Times New Roman" w:eastAsia="Times New Roman"/>
        </w:rPr>
        <w:t>24</w:t>
      </w:r>
      <w:r>
        <w:rPr/>
        <w:t>、重型再生障碍性贫血</w:t>
      </w:r>
    </w:p>
    <w:p>
      <w:pPr>
        <w:pStyle w:val="BodyText"/>
        <w:spacing w:before="73"/>
        <w:ind w:left="313"/>
        <w:jc w:val="both"/>
      </w:pPr>
      <w:r>
        <w:rPr/>
        <w:t>指因骨髓造血功能慢性持续性衰竭导致的贫血、中性粒细胞减少及血小板减少。须满足下列全部条件：</w:t>
      </w:r>
    </w:p>
    <w:p>
      <w:pPr>
        <w:pStyle w:val="BodyText"/>
        <w:spacing w:before="90"/>
        <w:ind w:left="313"/>
        <w:jc w:val="both"/>
      </w:pPr>
      <w:r>
        <w:rPr/>
        <w:t>（</w:t>
      </w:r>
      <w:r>
        <w:rPr>
          <w:rFonts w:ascii="Times New Roman" w:eastAsia="Times New Roman"/>
        </w:rPr>
        <w:t>1</w:t>
      </w:r>
      <w:r>
        <w:rPr/>
        <w:t>）骨髓穿刺检查或骨髓活检结果支持诊断；</w:t>
      </w:r>
    </w:p>
    <w:p>
      <w:pPr>
        <w:pStyle w:val="BodyText"/>
        <w:spacing w:before="74"/>
        <w:ind w:left="313"/>
        <w:jc w:val="both"/>
      </w:pPr>
      <w:r>
        <w:rPr/>
        <w:t>（</w:t>
      </w:r>
      <w:r>
        <w:rPr>
          <w:rFonts w:ascii="Times New Roman" w:eastAsia="Times New Roman"/>
        </w:rPr>
        <w:t>2</w:t>
      </w:r>
      <w:r>
        <w:rPr/>
        <w:t>）外周血象必须具备以下三项条件：</w:t>
      </w:r>
    </w:p>
    <w:p>
      <w:pPr>
        <w:pStyle w:val="BodyText"/>
        <w:spacing w:before="78"/>
        <w:ind w:left="735"/>
      </w:pPr>
      <w:r>
        <w:rPr/>
        <w:t>①中性粒细胞绝对值</w:t>
      </w:r>
      <w:r>
        <w:rPr>
          <w:rFonts w:ascii="Times New Roman" w:hAnsi="Times New Roman" w:eastAsia="Times New Roman"/>
        </w:rPr>
        <w:t>≤0.5×10</w:t>
      </w:r>
      <w:r>
        <w:rPr>
          <w:rFonts w:ascii="Times New Roman" w:hAnsi="Times New Roman" w:eastAsia="Times New Roman"/>
          <w:b/>
          <w:vertAlign w:val="superscript"/>
        </w:rPr>
        <w:t>9</w:t>
      </w:r>
      <w:r>
        <w:rPr>
          <w:rFonts w:ascii="Times New Roman" w:hAnsi="Times New Roman" w:eastAsia="Times New Roman"/>
          <w:b/>
          <w:vertAlign w:val="baseline"/>
        </w:rPr>
      </w:r>
      <w:r>
        <w:rPr>
          <w:rFonts w:ascii="Times New Roman" w:hAnsi="Times New Roman" w:eastAsia="Times New Roman"/>
          <w:vertAlign w:val="baseline"/>
        </w:rPr>
        <w:t>/L</w:t>
      </w:r>
      <w:r>
        <w:rPr>
          <w:vertAlign w:val="baseline"/>
        </w:rPr>
        <w:t>；</w:t>
      </w:r>
    </w:p>
    <w:p>
      <w:pPr>
        <w:pStyle w:val="BodyText"/>
        <w:spacing w:before="73"/>
        <w:ind w:left="735"/>
      </w:pPr>
      <w:r>
        <w:rPr/>
        <w:t>②网织红细胞＜</w:t>
      </w:r>
      <w:r>
        <w:rPr>
          <w:rFonts w:ascii="Times New Roman" w:hAnsi="Times New Roman" w:eastAsia="Times New Roman"/>
        </w:rPr>
        <w:t>1%</w:t>
      </w:r>
      <w:r>
        <w:rPr/>
        <w:t>；</w:t>
      </w:r>
    </w:p>
    <w:p>
      <w:pPr>
        <w:pStyle w:val="BodyText"/>
        <w:spacing w:before="73"/>
        <w:ind w:left="735"/>
      </w:pPr>
      <w:r>
        <w:rPr/>
        <w:t>③血小板绝对值</w:t>
      </w:r>
      <w:r>
        <w:rPr>
          <w:rFonts w:ascii="Times New Roman" w:hAnsi="Times New Roman" w:eastAsia="Times New Roman"/>
        </w:rPr>
        <w:t>≤20×10</w:t>
      </w:r>
      <w:r>
        <w:rPr>
          <w:rFonts w:ascii="Times New Roman" w:hAnsi="Times New Roman" w:eastAsia="Times New Roman"/>
          <w:b/>
          <w:vertAlign w:val="superscript"/>
        </w:rPr>
        <w:t>9</w:t>
      </w:r>
      <w:r>
        <w:rPr>
          <w:rFonts w:ascii="Times New Roman" w:hAnsi="Times New Roman" w:eastAsia="Times New Roman"/>
          <w:b/>
          <w:vertAlign w:val="baseline"/>
        </w:rPr>
      </w:r>
      <w:r>
        <w:rPr>
          <w:rFonts w:ascii="Times New Roman" w:hAnsi="Times New Roman" w:eastAsia="Times New Roman"/>
          <w:vertAlign w:val="baseline"/>
        </w:rPr>
        <w:t>/L</w:t>
      </w:r>
      <w:r>
        <w:rPr>
          <w:vertAlign w:val="baseline"/>
        </w:rPr>
        <w:t>。</w:t>
      </w:r>
    </w:p>
    <w:p>
      <w:pPr>
        <w:pStyle w:val="BodyText"/>
        <w:spacing w:before="4"/>
        <w:ind w:left="0"/>
        <w:rPr>
          <w:sz w:val="24"/>
        </w:rPr>
      </w:pPr>
    </w:p>
    <w:p>
      <w:pPr>
        <w:pStyle w:val="BodyText"/>
        <w:ind w:left="313"/>
        <w:jc w:val="both"/>
      </w:pPr>
      <w:r>
        <w:rPr>
          <w:rFonts w:ascii="Times New Roman" w:eastAsia="Times New Roman"/>
        </w:rPr>
        <w:t>25</w:t>
      </w:r>
      <w:r>
        <w:rPr/>
        <w:t>、主动脉手术</w:t>
      </w:r>
    </w:p>
    <w:p>
      <w:pPr>
        <w:spacing w:line="259" w:lineRule="auto" w:before="73"/>
        <w:ind w:left="313" w:right="106" w:firstLine="0"/>
        <w:jc w:val="left"/>
        <w:rPr>
          <w:rFonts w:ascii="Microsoft JhengHei" w:eastAsia="Microsoft JhengHei" w:hint="eastAsia"/>
          <w:b/>
          <w:sz w:val="21"/>
        </w:rPr>
      </w:pPr>
      <w:r>
        <w:rPr>
          <w:spacing w:val="-6"/>
          <w:sz w:val="21"/>
        </w:rPr>
        <w:t>指为治疗主动脉疾病，实际实施了开胸或开腹进行的切除、置换、修补病损主动脉血管的手术。主动脉指</w:t>
      </w:r>
      <w:r>
        <w:rPr>
          <w:spacing w:val="-5"/>
          <w:sz w:val="21"/>
        </w:rPr>
        <w:t>胸主动脉和腹主动脉，</w:t>
      </w:r>
      <w:r>
        <w:rPr>
          <w:rFonts w:ascii="Microsoft JhengHei" w:eastAsia="Microsoft JhengHei" w:hint="eastAsia"/>
          <w:b/>
          <w:spacing w:val="-3"/>
          <w:sz w:val="21"/>
        </w:rPr>
        <w:t>不包括胸主动脉和腹主动脉的分支血管。</w:t>
      </w:r>
    </w:p>
    <w:p>
      <w:pPr>
        <w:pStyle w:val="Heading1"/>
        <w:spacing w:line="333" w:lineRule="exact"/>
        <w:ind w:left="313"/>
      </w:pPr>
      <w:r>
        <w:rPr/>
        <w:t>动脉内血管成形术不在保障范围内。</w:t>
      </w:r>
    </w:p>
    <w:p>
      <w:pPr>
        <w:pStyle w:val="BodyText"/>
        <w:spacing w:before="12"/>
        <w:ind w:left="0"/>
        <w:rPr>
          <w:rFonts w:ascii="Microsoft JhengHei"/>
          <w:b/>
          <w:sz w:val="15"/>
        </w:rPr>
      </w:pPr>
    </w:p>
    <w:p>
      <w:pPr>
        <w:pStyle w:val="BodyText"/>
        <w:ind w:left="313"/>
      </w:pPr>
      <w:r>
        <w:rPr>
          <w:rFonts w:ascii="Times New Roman" w:eastAsia="Times New Roman"/>
        </w:rPr>
        <w:t>26</w:t>
      </w:r>
      <w:r>
        <w:rPr/>
        <w:t>、慢性呼吸功能衰竭</w:t>
      </w:r>
    </w:p>
    <w:p>
      <w:pPr>
        <w:pStyle w:val="BodyText"/>
        <w:spacing w:line="319" w:lineRule="auto" w:before="78"/>
        <w:ind w:left="313" w:right="106"/>
      </w:pPr>
      <w:r>
        <w:rPr>
          <w:spacing w:val="-6"/>
        </w:rPr>
        <w:t>是指被保险人必须经医疗机构的呼吸科专科医师确诊患有慢性肺部疾病而出现慢性呼吸功能衰竭，其诊断</w:t>
      </w:r>
      <w:r>
        <w:rPr>
          <w:spacing w:val="-5"/>
        </w:rPr>
        <w:t>标准需同时满足以下各项：</w:t>
      </w:r>
    </w:p>
    <w:p>
      <w:pPr>
        <w:pStyle w:val="BodyText"/>
        <w:spacing w:before="21"/>
        <w:ind w:left="313"/>
        <w:jc w:val="both"/>
      </w:pPr>
      <w:r>
        <w:rPr/>
        <w:t>（</w:t>
      </w:r>
      <w:r>
        <w:rPr>
          <w:rFonts w:ascii="Times New Roman" w:eastAsia="Times New Roman"/>
        </w:rPr>
        <w:t>1</w:t>
      </w:r>
      <w:r>
        <w:rPr/>
        <w:t>）肺功能测试其 </w:t>
      </w:r>
      <w:r>
        <w:rPr>
          <w:rFonts w:ascii="Times New Roman" w:eastAsia="Times New Roman"/>
        </w:rPr>
        <w:t>FEV1  </w:t>
      </w:r>
      <w:r>
        <w:rPr/>
        <w:t>持续低于 </w:t>
      </w:r>
      <w:r>
        <w:rPr>
          <w:rFonts w:ascii="Times New Roman" w:eastAsia="Times New Roman"/>
        </w:rPr>
        <w:t>1  </w:t>
      </w:r>
      <w:r>
        <w:rPr/>
        <w:t>升；</w:t>
      </w:r>
    </w:p>
    <w:p>
      <w:pPr>
        <w:pStyle w:val="BodyText"/>
        <w:spacing w:before="74"/>
        <w:ind w:left="313"/>
        <w:jc w:val="both"/>
      </w:pPr>
      <w:r>
        <w:rPr/>
        <w:t>（</w:t>
      </w:r>
      <w:r>
        <w:rPr>
          <w:rFonts w:ascii="Times New Roman" w:eastAsia="Times New Roman"/>
        </w:rPr>
        <w:t>2</w:t>
      </w:r>
      <w:r>
        <w:rPr/>
        <w:t>）病人血氧不足必须持续地进行输氧治疗；</w:t>
      </w:r>
    </w:p>
    <w:p>
      <w:pPr>
        <w:pStyle w:val="BodyText"/>
        <w:spacing w:before="74"/>
        <w:ind w:left="313"/>
        <w:jc w:val="both"/>
      </w:pPr>
      <w:r>
        <w:rPr/>
        <w:t>（</w:t>
      </w:r>
      <w:r>
        <w:rPr>
          <w:rFonts w:ascii="Times New Roman" w:eastAsia="Times New Roman"/>
        </w:rPr>
        <w:t>3</w:t>
      </w:r>
      <w:r>
        <w:rPr/>
        <w:t>）动脉血气分析氧分压等于或低于 </w:t>
      </w:r>
      <w:r>
        <w:rPr>
          <w:rFonts w:ascii="Times New Roman" w:eastAsia="Times New Roman"/>
        </w:rPr>
        <w:t>55mmHg</w:t>
      </w:r>
      <w:r>
        <w:rPr/>
        <w:t>；</w:t>
      </w:r>
    </w:p>
    <w:p>
      <w:pPr>
        <w:pStyle w:val="BodyText"/>
        <w:spacing w:before="79"/>
        <w:ind w:left="313"/>
        <w:jc w:val="both"/>
      </w:pPr>
      <w:r>
        <w:rPr/>
        <w:t>（</w:t>
      </w:r>
      <w:r>
        <w:rPr>
          <w:rFonts w:ascii="Times New Roman" w:eastAsia="Times New Roman"/>
        </w:rPr>
        <w:t>4</w:t>
      </w:r>
      <w:r>
        <w:rPr/>
        <w:t>）休息时出现呼吸困难。</w:t>
      </w:r>
    </w:p>
    <w:p>
      <w:pPr>
        <w:pStyle w:val="BodyText"/>
        <w:spacing w:before="6"/>
        <w:ind w:left="0"/>
        <w:rPr>
          <w:sz w:val="29"/>
        </w:rPr>
      </w:pPr>
    </w:p>
    <w:p>
      <w:pPr>
        <w:pStyle w:val="BodyText"/>
        <w:spacing w:before="1"/>
        <w:ind w:left="313"/>
        <w:jc w:val="both"/>
      </w:pPr>
      <w:r>
        <w:rPr>
          <w:rFonts w:ascii="Times New Roman" w:eastAsia="Times New Roman"/>
        </w:rPr>
        <w:t>27</w:t>
      </w:r>
      <w:r>
        <w:rPr/>
        <w:t>、严重多发性硬化症</w:t>
      </w:r>
    </w:p>
    <w:p>
      <w:pPr>
        <w:pStyle w:val="BodyText"/>
        <w:spacing w:line="314" w:lineRule="auto" w:before="74"/>
        <w:ind w:left="313" w:right="105"/>
        <w:jc w:val="both"/>
      </w:pPr>
      <w:r>
        <w:rPr>
          <w:spacing w:val="-6"/>
        </w:rPr>
        <w:t>多发性硬化症为中枢神经系统脱髓鞘病变，必须由医疗机构的神经专科医生确诊。必须伴有典型的脱髓鞘</w:t>
      </w:r>
      <w:r>
        <w:rPr>
          <w:spacing w:val="-5"/>
        </w:rPr>
        <w:t>症状和运动及感觉功能障碍的证据并有磁共振</w:t>
      </w:r>
      <w:r>
        <w:rPr/>
        <w:t>（</w:t>
      </w:r>
      <w:r>
        <w:rPr>
          <w:rFonts w:ascii="Times New Roman" w:eastAsia="Times New Roman"/>
        </w:rPr>
        <w:t>MRI</w:t>
      </w:r>
      <w:r>
        <w:rPr/>
        <w:t>）</w:t>
      </w:r>
      <w:r>
        <w:rPr>
          <w:spacing w:val="-5"/>
        </w:rPr>
        <w:t>的典型改变。严重多发性硬化症必须造成神经系统</w:t>
      </w:r>
      <w:r>
        <w:rPr>
          <w:spacing w:val="-6"/>
        </w:rPr>
        <w:t>永久性功能损害并且已导致被保险人独立生活能力完全丧失，无法独立完成六项基本日常生活活动中的三</w:t>
      </w:r>
      <w:r>
        <w:rPr>
          <w:spacing w:val="-10"/>
        </w:rPr>
        <w:t>项或三项以上持续达 </w:t>
      </w:r>
      <w:r>
        <w:rPr>
          <w:rFonts w:ascii="Times New Roman" w:eastAsia="Times New Roman"/>
        </w:rPr>
        <w:t>180 </w:t>
      </w:r>
      <w:r>
        <w:rPr>
          <w:spacing w:val="-2"/>
        </w:rPr>
        <w:t>天以上。</w:t>
      </w:r>
    </w:p>
    <w:p>
      <w:pPr>
        <w:pStyle w:val="BodyText"/>
        <w:spacing w:before="12"/>
        <w:ind w:left="0"/>
        <w:rPr>
          <w:sz w:val="23"/>
        </w:rPr>
      </w:pPr>
    </w:p>
    <w:p>
      <w:pPr>
        <w:pStyle w:val="BodyText"/>
        <w:spacing w:before="1"/>
        <w:ind w:left="313"/>
      </w:pPr>
      <w:r>
        <w:rPr>
          <w:rFonts w:ascii="Times New Roman" w:eastAsia="Times New Roman"/>
        </w:rPr>
        <w:t>28</w:t>
      </w:r>
      <w:r>
        <w:rPr/>
        <w:t>、严重脊髓灰质炎</w:t>
      </w:r>
    </w:p>
    <w:p>
      <w:pPr>
        <w:pStyle w:val="BodyText"/>
        <w:spacing w:before="203"/>
        <w:ind w:left="313"/>
      </w:pPr>
      <w:r>
        <w:rPr/>
        <w:t>脊髓灰质炎是由于脊髓灰质炎病毒感染所致的瘫痪性疾病，临床表现为运动功能损害或呼吸无力。脊髓灰</w:t>
      </w:r>
    </w:p>
    <w:p>
      <w:pPr>
        <w:pStyle w:val="BodyText"/>
        <w:spacing w:before="7"/>
        <w:ind w:left="0"/>
      </w:pPr>
    </w:p>
    <w:p>
      <w:pPr>
        <w:pStyle w:val="Heading1"/>
        <w:spacing w:line="410" w:lineRule="auto"/>
        <w:ind w:left="313" w:right="62"/>
      </w:pPr>
      <w:r>
        <w:rPr>
          <w:rFonts w:ascii="宋体" w:eastAsia="宋体" w:hint="eastAsia"/>
          <w:b w:val="0"/>
        </w:rPr>
        <w:t>质炎必须明确诊断。</w:t>
      </w:r>
      <w:r>
        <w:rPr/>
        <w:t>本合同仅对疾病确诊 </w:t>
      </w:r>
      <w:r>
        <w:rPr>
          <w:rFonts w:ascii="Times New Roman" w:eastAsia="Times New Roman"/>
        </w:rPr>
        <w:t>180 </w:t>
      </w:r>
      <w:r>
        <w:rPr/>
        <w:t>天后脊髓灰质炎造成的神经系统功能损害导致被保险人一肢或一肢以上肢体机能永久完全丧失的情况予以理赔。</w:t>
      </w:r>
    </w:p>
    <w:p>
      <w:pPr>
        <w:pStyle w:val="BodyText"/>
        <w:spacing w:before="13"/>
        <w:ind w:left="0"/>
        <w:rPr>
          <w:rFonts w:ascii="Microsoft JhengHei"/>
          <w:b/>
          <w:sz w:val="17"/>
        </w:rPr>
      </w:pPr>
    </w:p>
    <w:p>
      <w:pPr>
        <w:pStyle w:val="BodyText"/>
        <w:spacing w:before="1"/>
        <w:ind w:left="313"/>
      </w:pPr>
      <w:r>
        <w:rPr>
          <w:rFonts w:ascii="Times New Roman" w:eastAsia="Times New Roman"/>
        </w:rPr>
        <w:t>29</w:t>
      </w:r>
      <w:r>
        <w:rPr/>
        <w:t>、系统性红斑狼疮合并狼疮性肾炎</w:t>
      </w:r>
    </w:p>
    <w:p>
      <w:pPr>
        <w:pStyle w:val="BodyText"/>
        <w:spacing w:line="273" w:lineRule="auto" w:before="64"/>
        <w:ind w:left="313" w:right="102"/>
        <w:jc w:val="both"/>
      </w:pPr>
      <w:r>
        <w:rPr>
          <w:spacing w:val="-6"/>
        </w:rPr>
        <w:t>系统性红斑狼疮是一种累及多系统的自体免疫性疾病。本保障仅限于被保险人因系统性红斑狼疮并发狼疮</w:t>
      </w:r>
      <w:r>
        <w:rPr>
          <w:spacing w:val="-9"/>
        </w:rPr>
        <w:t>性肾炎并引起肾功能损害，且肾脏病理诊断符合以下列明的世界卫生组织</w:t>
      </w:r>
      <w:r>
        <w:rPr>
          <w:spacing w:val="-8"/>
        </w:rPr>
        <w:t>（</w:t>
      </w:r>
      <w:r>
        <w:rPr>
          <w:rFonts w:ascii="Times New Roman" w:eastAsia="Times New Roman"/>
          <w:spacing w:val="-8"/>
        </w:rPr>
        <w:t>WHO</w:t>
      </w:r>
      <w:r>
        <w:rPr>
          <w:spacing w:val="-8"/>
        </w:rPr>
        <w:t>）</w:t>
      </w:r>
      <w:r>
        <w:rPr>
          <w:spacing w:val="-3"/>
        </w:rPr>
        <w:t>对狼疮性肾炎所分类中</w:t>
      </w:r>
      <w:r>
        <w:rPr>
          <w:spacing w:val="-15"/>
        </w:rPr>
        <w:t>的第 </w:t>
      </w:r>
      <w:r>
        <w:rPr>
          <w:rFonts w:ascii="Times New Roman" w:eastAsia="Times New Roman"/>
          <w:spacing w:val="-4"/>
        </w:rPr>
        <w:t>III</w:t>
      </w:r>
      <w:r>
        <w:rPr/>
        <w:t>、</w:t>
      </w:r>
      <w:r>
        <w:rPr>
          <w:rFonts w:ascii="Times New Roman" w:eastAsia="Times New Roman"/>
        </w:rPr>
        <w:t>IV</w:t>
      </w:r>
      <w:r>
        <w:rPr/>
        <w:t>、</w:t>
      </w:r>
      <w:r>
        <w:rPr>
          <w:rFonts w:ascii="Times New Roman" w:eastAsia="Times New Roman"/>
          <w:spacing w:val="-4"/>
        </w:rPr>
        <w:t>V</w:t>
      </w:r>
      <w:r>
        <w:rPr>
          <w:spacing w:val="2"/>
        </w:rPr>
        <w:t>、</w:t>
      </w:r>
      <w:r>
        <w:rPr>
          <w:rFonts w:ascii="Times New Roman" w:eastAsia="Times New Roman"/>
        </w:rPr>
        <w:t>VI </w:t>
      </w:r>
      <w:r>
        <w:rPr>
          <w:spacing w:val="-3"/>
        </w:rPr>
        <w:t>型。诊断须由医疗机构的风湿病专科医生确认。</w:t>
      </w:r>
    </w:p>
    <w:p>
      <w:pPr>
        <w:pStyle w:val="BodyText"/>
        <w:spacing w:line="284" w:lineRule="exact" w:after="52"/>
        <w:ind w:left="313"/>
        <w:jc w:val="both"/>
      </w:pPr>
      <w:r>
        <w:rPr/>
        <w:t>世界卫生组织（</w:t>
      </w:r>
      <w:r>
        <w:rPr>
          <w:rFonts w:ascii="Times New Roman" w:eastAsia="Times New Roman"/>
        </w:rPr>
        <w:t>WHO</w:t>
      </w:r>
      <w:r>
        <w:rPr/>
        <w:t>）对狼疮性肾炎的分类标准：</w:t>
      </w: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3"/>
        <w:gridCol w:w="1821"/>
      </w:tblGrid>
      <w:tr>
        <w:trPr>
          <w:trHeight w:val="302" w:hRule="atLeast"/>
        </w:trPr>
        <w:tc>
          <w:tcPr>
            <w:tcW w:w="1163" w:type="dxa"/>
          </w:tcPr>
          <w:p>
            <w:pPr>
              <w:pStyle w:val="TableParagraph"/>
              <w:spacing w:line="271" w:lineRule="exact" w:before="0"/>
              <w:rPr>
                <w:sz w:val="21"/>
              </w:rPr>
            </w:pPr>
            <w:r>
              <w:rPr>
                <w:rFonts w:ascii="Times New Roman" w:eastAsia="Times New Roman"/>
                <w:sz w:val="21"/>
              </w:rPr>
              <w:t>I</w:t>
            </w:r>
            <w:r>
              <w:rPr>
                <w:rFonts w:ascii="Times New Roman" w:eastAsia="Times New Roman"/>
                <w:spacing w:val="50"/>
                <w:sz w:val="21"/>
              </w:rPr>
              <w:t> </w:t>
            </w:r>
            <w:r>
              <w:rPr>
                <w:sz w:val="21"/>
              </w:rPr>
              <w:t>型</w:t>
            </w:r>
          </w:p>
        </w:tc>
        <w:tc>
          <w:tcPr>
            <w:tcW w:w="1821" w:type="dxa"/>
          </w:tcPr>
          <w:p>
            <w:pPr>
              <w:pStyle w:val="TableParagraph"/>
              <w:spacing w:line="255" w:lineRule="exact" w:before="0"/>
              <w:ind w:left="0" w:right="199"/>
              <w:jc w:val="right"/>
              <w:rPr>
                <w:sz w:val="21"/>
              </w:rPr>
            </w:pPr>
            <w:r>
              <w:rPr>
                <w:sz w:val="21"/>
              </w:rPr>
              <w:t>微小病变型</w:t>
            </w:r>
          </w:p>
        </w:tc>
      </w:tr>
      <w:tr>
        <w:trPr>
          <w:trHeight w:val="302" w:hRule="atLeast"/>
        </w:trPr>
        <w:tc>
          <w:tcPr>
            <w:tcW w:w="1163" w:type="dxa"/>
          </w:tcPr>
          <w:p>
            <w:pPr>
              <w:pStyle w:val="TableParagraph"/>
              <w:spacing w:line="282" w:lineRule="exact" w:before="0"/>
              <w:rPr>
                <w:sz w:val="21"/>
              </w:rPr>
            </w:pPr>
            <w:r>
              <w:rPr>
                <w:rFonts w:ascii="Times New Roman" w:eastAsia="Times New Roman"/>
                <w:sz w:val="21"/>
              </w:rPr>
              <w:t>II </w:t>
            </w:r>
            <w:r>
              <w:rPr>
                <w:sz w:val="21"/>
              </w:rPr>
              <w:t>型</w:t>
            </w:r>
          </w:p>
        </w:tc>
        <w:tc>
          <w:tcPr>
            <w:tcW w:w="1821" w:type="dxa"/>
          </w:tcPr>
          <w:p>
            <w:pPr>
              <w:pStyle w:val="TableParagraph"/>
              <w:spacing w:line="275" w:lineRule="exact" w:before="0"/>
              <w:ind w:left="0" w:right="199"/>
              <w:jc w:val="right"/>
              <w:rPr>
                <w:sz w:val="21"/>
              </w:rPr>
            </w:pPr>
            <w:r>
              <w:rPr>
                <w:sz w:val="21"/>
              </w:rPr>
              <w:t>系膜增生性</w:t>
            </w:r>
          </w:p>
        </w:tc>
      </w:tr>
    </w:tbl>
    <w:p>
      <w:pPr>
        <w:spacing w:after="0" w:line="275" w:lineRule="exact"/>
        <w:jc w:val="right"/>
        <w:rPr>
          <w:sz w:val="21"/>
        </w:rPr>
        <w:sectPr>
          <w:pgSz w:w="11910" w:h="16840"/>
          <w:pgMar w:header="0" w:footer="496" w:top="780" w:bottom="760" w:left="820" w:right="10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3"/>
        <w:gridCol w:w="2408"/>
      </w:tblGrid>
      <w:tr>
        <w:trPr>
          <w:trHeight w:val="302" w:hRule="atLeast"/>
        </w:trPr>
        <w:tc>
          <w:tcPr>
            <w:tcW w:w="1203" w:type="dxa"/>
          </w:tcPr>
          <w:p>
            <w:pPr>
              <w:pStyle w:val="TableParagraph"/>
              <w:spacing w:line="271" w:lineRule="exact" w:before="0"/>
              <w:rPr>
                <w:sz w:val="21"/>
              </w:rPr>
            </w:pPr>
            <w:r>
              <w:rPr>
                <w:rFonts w:ascii="Times New Roman" w:eastAsia="Times New Roman"/>
                <w:sz w:val="21"/>
              </w:rPr>
              <w:t>III </w:t>
            </w:r>
            <w:r>
              <w:rPr>
                <w:sz w:val="21"/>
              </w:rPr>
              <w:t>型</w:t>
            </w:r>
          </w:p>
        </w:tc>
        <w:tc>
          <w:tcPr>
            <w:tcW w:w="2408" w:type="dxa"/>
          </w:tcPr>
          <w:p>
            <w:pPr>
              <w:pStyle w:val="TableParagraph"/>
              <w:spacing w:line="255" w:lineRule="exact" w:before="0"/>
              <w:ind w:left="523"/>
              <w:rPr>
                <w:sz w:val="21"/>
              </w:rPr>
            </w:pPr>
            <w:r>
              <w:rPr>
                <w:sz w:val="21"/>
              </w:rPr>
              <w:t>局灶及节段增生性</w:t>
            </w:r>
          </w:p>
        </w:tc>
      </w:tr>
      <w:tr>
        <w:trPr>
          <w:trHeight w:val="321" w:hRule="atLeast"/>
        </w:trPr>
        <w:tc>
          <w:tcPr>
            <w:tcW w:w="1203" w:type="dxa"/>
          </w:tcPr>
          <w:p>
            <w:pPr>
              <w:pStyle w:val="TableParagraph"/>
              <w:spacing w:line="290" w:lineRule="exact" w:before="0"/>
              <w:rPr>
                <w:sz w:val="21"/>
              </w:rPr>
            </w:pPr>
            <w:r>
              <w:rPr>
                <w:rFonts w:ascii="Times New Roman" w:eastAsia="Times New Roman"/>
                <w:sz w:val="21"/>
              </w:rPr>
              <w:t>IV </w:t>
            </w:r>
            <w:r>
              <w:rPr>
                <w:sz w:val="21"/>
              </w:rPr>
              <w:t>型</w:t>
            </w:r>
          </w:p>
        </w:tc>
        <w:tc>
          <w:tcPr>
            <w:tcW w:w="2408" w:type="dxa"/>
          </w:tcPr>
          <w:p>
            <w:pPr>
              <w:pStyle w:val="TableParagraph"/>
              <w:spacing w:line="275" w:lineRule="exact" w:before="0"/>
              <w:ind w:left="523"/>
              <w:rPr>
                <w:sz w:val="21"/>
              </w:rPr>
            </w:pPr>
            <w:r>
              <w:rPr>
                <w:sz w:val="21"/>
              </w:rPr>
              <w:t>弥漫增生性</w:t>
            </w:r>
          </w:p>
        </w:tc>
      </w:tr>
      <w:tr>
        <w:trPr>
          <w:trHeight w:val="319" w:hRule="atLeast"/>
        </w:trPr>
        <w:tc>
          <w:tcPr>
            <w:tcW w:w="1203" w:type="dxa"/>
          </w:tcPr>
          <w:p>
            <w:pPr>
              <w:pStyle w:val="TableParagraph"/>
              <w:spacing w:line="290" w:lineRule="exact" w:before="0"/>
              <w:rPr>
                <w:sz w:val="21"/>
              </w:rPr>
            </w:pPr>
            <w:r>
              <w:rPr>
                <w:rFonts w:ascii="Times New Roman" w:eastAsia="Times New Roman"/>
                <w:sz w:val="21"/>
              </w:rPr>
              <w:t>V </w:t>
            </w:r>
            <w:r>
              <w:rPr>
                <w:sz w:val="21"/>
              </w:rPr>
              <w:t>型</w:t>
            </w:r>
          </w:p>
        </w:tc>
        <w:tc>
          <w:tcPr>
            <w:tcW w:w="2408" w:type="dxa"/>
          </w:tcPr>
          <w:p>
            <w:pPr>
              <w:pStyle w:val="TableParagraph"/>
              <w:spacing w:line="275" w:lineRule="exact" w:before="0"/>
              <w:ind w:left="523"/>
              <w:rPr>
                <w:sz w:val="21"/>
              </w:rPr>
            </w:pPr>
            <w:r>
              <w:rPr>
                <w:sz w:val="21"/>
              </w:rPr>
              <w:t>膜性</w:t>
            </w:r>
          </w:p>
        </w:tc>
      </w:tr>
      <w:tr>
        <w:trPr>
          <w:trHeight w:val="299" w:hRule="atLeast"/>
        </w:trPr>
        <w:tc>
          <w:tcPr>
            <w:tcW w:w="1203" w:type="dxa"/>
          </w:tcPr>
          <w:p>
            <w:pPr>
              <w:pStyle w:val="TableParagraph"/>
              <w:spacing w:line="280" w:lineRule="exact" w:before="0"/>
              <w:rPr>
                <w:sz w:val="21"/>
              </w:rPr>
            </w:pPr>
            <w:r>
              <w:rPr>
                <w:rFonts w:ascii="Times New Roman" w:eastAsia="Times New Roman"/>
                <w:sz w:val="21"/>
              </w:rPr>
              <w:t>VI </w:t>
            </w:r>
            <w:r>
              <w:rPr>
                <w:sz w:val="21"/>
              </w:rPr>
              <w:t>型</w:t>
            </w:r>
          </w:p>
        </w:tc>
        <w:tc>
          <w:tcPr>
            <w:tcW w:w="2408" w:type="dxa"/>
          </w:tcPr>
          <w:p>
            <w:pPr>
              <w:pStyle w:val="TableParagraph"/>
              <w:spacing w:line="272" w:lineRule="exact" w:before="0"/>
              <w:ind w:left="523"/>
              <w:rPr>
                <w:sz w:val="21"/>
              </w:rPr>
            </w:pPr>
            <w:r>
              <w:rPr>
                <w:sz w:val="21"/>
              </w:rPr>
              <w:t>肾小球硬化性</w:t>
            </w:r>
          </w:p>
        </w:tc>
      </w:tr>
    </w:tbl>
    <w:p>
      <w:pPr>
        <w:pStyle w:val="BodyText"/>
        <w:spacing w:before="2"/>
        <w:ind w:left="0"/>
        <w:rPr>
          <w:sz w:val="19"/>
        </w:rPr>
      </w:pPr>
    </w:p>
    <w:p>
      <w:pPr>
        <w:pStyle w:val="BodyText"/>
        <w:spacing w:before="81"/>
        <w:ind w:left="313"/>
      </w:pPr>
      <w:r>
        <w:rPr>
          <w:rFonts w:ascii="Times New Roman" w:eastAsia="Times New Roman"/>
        </w:rPr>
        <w:t>30</w:t>
      </w:r>
      <w:r>
        <w:rPr/>
        <w:t>、严重冠心病</w:t>
      </w:r>
    </w:p>
    <w:p>
      <w:pPr>
        <w:spacing w:line="235" w:lineRule="auto" w:before="36"/>
        <w:ind w:left="313" w:right="115" w:firstLine="0"/>
        <w:jc w:val="left"/>
        <w:rPr>
          <w:rFonts w:ascii="Microsoft JhengHei" w:eastAsia="Microsoft JhengHei" w:hint="eastAsia"/>
          <w:b/>
          <w:sz w:val="21"/>
        </w:rPr>
      </w:pPr>
      <w:r>
        <w:rPr>
          <w:spacing w:val="-8"/>
          <w:sz w:val="21"/>
        </w:rPr>
        <w:t>指经根据冠状动脉造影检查结果明确诊断为三支主要血管严重狭窄性病变</w:t>
      </w:r>
      <w:r>
        <w:rPr>
          <w:sz w:val="21"/>
        </w:rPr>
        <w:t>（</w:t>
      </w:r>
      <w:r>
        <w:rPr>
          <w:spacing w:val="-5"/>
          <w:sz w:val="21"/>
        </w:rPr>
        <w:t>至少一支血管管腔直径减少 </w:t>
      </w:r>
      <w:r>
        <w:rPr>
          <w:rFonts w:ascii="Times New Roman" w:eastAsia="Times New Roman"/>
          <w:sz w:val="21"/>
        </w:rPr>
        <w:t>75</w:t>
      </w:r>
      <w:r>
        <w:rPr>
          <w:sz w:val="21"/>
        </w:rPr>
        <w:t>％ </w:t>
      </w:r>
      <w:r>
        <w:rPr>
          <w:spacing w:val="-1"/>
          <w:sz w:val="21"/>
        </w:rPr>
        <w:t>以上和其他两支血管管腔直径减少 </w:t>
      </w:r>
      <w:r>
        <w:rPr>
          <w:rFonts w:ascii="Times New Roman" w:eastAsia="Times New Roman"/>
          <w:sz w:val="21"/>
        </w:rPr>
        <w:t>60</w:t>
      </w:r>
      <w:r>
        <w:rPr>
          <w:spacing w:val="-2"/>
          <w:sz w:val="21"/>
        </w:rPr>
        <w:t>％以上</w:t>
      </w:r>
      <w:r>
        <w:rPr>
          <w:spacing w:val="-106"/>
          <w:sz w:val="21"/>
        </w:rPr>
        <w:t>）</w:t>
      </w:r>
      <w:r>
        <w:rPr>
          <w:spacing w:val="-5"/>
          <w:sz w:val="21"/>
        </w:rPr>
        <w:t>。冠状动脉的主要血管指左冠状动脉主干、前降支、左旋支及右冠状动脉。</w:t>
      </w:r>
      <w:r>
        <w:rPr>
          <w:rFonts w:ascii="Microsoft JhengHei" w:eastAsia="Microsoft JhengHei" w:hint="eastAsia"/>
          <w:b/>
          <w:spacing w:val="-5"/>
          <w:sz w:val="21"/>
        </w:rPr>
        <w:t>前降支、左旋支及右冠状动脉的分支血管的狭窄不作为本保障的衡量指标。</w:t>
      </w:r>
    </w:p>
    <w:p>
      <w:pPr>
        <w:pStyle w:val="BodyText"/>
        <w:spacing w:before="8"/>
        <w:ind w:left="0"/>
        <w:rPr>
          <w:rFonts w:ascii="Microsoft JhengHei"/>
          <w:b/>
          <w:sz w:val="19"/>
        </w:rPr>
      </w:pPr>
    </w:p>
    <w:p>
      <w:pPr>
        <w:pStyle w:val="BodyText"/>
        <w:ind w:left="313"/>
      </w:pPr>
      <w:r>
        <w:rPr>
          <w:rFonts w:ascii="Times New Roman" w:eastAsia="Times New Roman"/>
        </w:rPr>
        <w:t>31</w:t>
      </w:r>
      <w:r>
        <w:rPr/>
        <w:t>、严重心肌病</w:t>
      </w:r>
    </w:p>
    <w:p>
      <w:pPr>
        <w:pStyle w:val="BodyText"/>
        <w:spacing w:line="271" w:lineRule="auto" w:before="30"/>
        <w:ind w:left="313" w:right="323"/>
        <w:jc w:val="both"/>
      </w:pPr>
      <w:r>
        <w:rPr>
          <w:spacing w:val="-6"/>
        </w:rPr>
        <w:t>指因原发性心肌病导致慢性心功能损害造成永久不可逆性的心功能衰竭。心功能衰竭程度达到纽约心脏病学会（</w:t>
      </w:r>
      <w:r>
        <w:rPr>
          <w:rFonts w:ascii="Times New Roman" w:eastAsia="Times New Roman"/>
          <w:spacing w:val="-6"/>
        </w:rPr>
        <w:t>NYHA</w:t>
      </w:r>
      <w:r>
        <w:rPr>
          <w:spacing w:val="-6"/>
        </w:rPr>
        <w:t>）</w:t>
      </w:r>
      <w:r>
        <w:rPr>
          <w:spacing w:val="-4"/>
        </w:rPr>
        <w:t>的心功能分级标准之心功能 </w:t>
      </w:r>
      <w:r>
        <w:rPr>
          <w:rFonts w:ascii="Times New Roman" w:eastAsia="Times New Roman"/>
        </w:rPr>
        <w:t>IV </w:t>
      </w:r>
      <w:r>
        <w:rPr>
          <w:spacing w:val="-5"/>
        </w:rPr>
        <w:t>级：被保险人永久不可逆性的体力活动能力受限，不能从事任何体力活动。</w:t>
      </w:r>
    </w:p>
    <w:p>
      <w:pPr>
        <w:pStyle w:val="BodyText"/>
        <w:spacing w:before="4"/>
        <w:ind w:left="0"/>
        <w:rPr>
          <w:sz w:val="25"/>
        </w:rPr>
      </w:pPr>
    </w:p>
    <w:p>
      <w:pPr>
        <w:pStyle w:val="BodyText"/>
        <w:ind w:left="313"/>
      </w:pPr>
      <w:r>
        <w:rPr>
          <w:rFonts w:ascii="Times New Roman" w:eastAsia="Times New Roman"/>
        </w:rPr>
        <w:t>32</w:t>
      </w:r>
      <w:r>
        <w:rPr/>
        <w:t>、全身性重症肌无力</w:t>
      </w:r>
    </w:p>
    <w:p>
      <w:pPr>
        <w:pStyle w:val="BodyText"/>
        <w:spacing w:line="276" w:lineRule="auto" w:before="30"/>
        <w:ind w:left="313" w:right="230"/>
      </w:pPr>
      <w:r>
        <w:rPr/>
        <w:t>重症肌无力是一种神经肌肉接头传递障碍的自身免疫性疾病，表现为局部或全身骨骼肌（特别是眼外肌） 极易疲劳。疾病可以累及呼吸肌、上肢或下肢的近端肌群或全身肌肉，必须满足下列全部条件：</w:t>
      </w:r>
    </w:p>
    <w:p>
      <w:pPr>
        <w:pStyle w:val="BodyText"/>
        <w:spacing w:before="15"/>
        <w:ind w:left="313"/>
      </w:pPr>
      <w:r>
        <w:rPr/>
        <w:t>（</w:t>
      </w:r>
      <w:r>
        <w:rPr>
          <w:rFonts w:ascii="Times New Roman" w:eastAsia="Times New Roman"/>
        </w:rPr>
        <w:t>1</w:t>
      </w:r>
      <w:r>
        <w:rPr/>
        <w:t>）经药物治疗和胸腺切除治疗一年以上仍无法控制病情；</w:t>
      </w:r>
    </w:p>
    <w:p>
      <w:pPr>
        <w:pStyle w:val="BodyText"/>
        <w:spacing w:before="30"/>
        <w:ind w:left="313"/>
      </w:pPr>
      <w:r>
        <w:rPr/>
        <w:t>（</w:t>
      </w:r>
      <w:r>
        <w:rPr>
          <w:rFonts w:ascii="Times New Roman" w:eastAsia="Times New Roman"/>
        </w:rPr>
        <w:t>2</w:t>
      </w:r>
      <w:r>
        <w:rPr/>
        <w:t>）自主生活能力完全丧失，无法独立完成六项基本日常生活活动中的三项或三项以上。</w:t>
      </w:r>
    </w:p>
    <w:p>
      <w:pPr>
        <w:pStyle w:val="BodyText"/>
        <w:spacing w:before="7"/>
        <w:ind w:left="0"/>
        <w:rPr>
          <w:sz w:val="26"/>
        </w:rPr>
      </w:pPr>
    </w:p>
    <w:p>
      <w:pPr>
        <w:pStyle w:val="BodyText"/>
        <w:ind w:left="313"/>
      </w:pPr>
      <w:r>
        <w:rPr>
          <w:rFonts w:ascii="Times New Roman" w:eastAsia="Times New Roman"/>
        </w:rPr>
        <w:t>33</w:t>
      </w:r>
      <w:r>
        <w:rPr/>
        <w:t>、经输血导致的艾滋病病毒感染</w:t>
      </w:r>
    </w:p>
    <w:p>
      <w:pPr>
        <w:pStyle w:val="BodyText"/>
        <w:spacing w:before="69"/>
        <w:ind w:left="313"/>
      </w:pPr>
      <w:r>
        <w:rPr/>
        <w:t>被保险人感染上艾滋病病毒（</w:t>
      </w:r>
      <w:r>
        <w:rPr>
          <w:rFonts w:ascii="Times New Roman" w:eastAsia="Times New Roman"/>
        </w:rPr>
        <w:t>HIV</w:t>
      </w:r>
      <w:r>
        <w:rPr/>
        <w:t>）并且符合下列所有条件：</w:t>
      </w:r>
    </w:p>
    <w:p>
      <w:pPr>
        <w:pStyle w:val="BodyText"/>
        <w:spacing w:before="26"/>
        <w:ind w:left="313"/>
      </w:pPr>
      <w:r>
        <w:rPr/>
        <w:t>（</w:t>
      </w:r>
      <w:r>
        <w:rPr>
          <w:rFonts w:ascii="Times New Roman" w:eastAsia="Times New Roman"/>
        </w:rPr>
        <w:t>1</w:t>
      </w:r>
      <w:r>
        <w:rPr/>
        <w:t>）在本合同生效日之后，被保险人因输血而感染 </w:t>
      </w:r>
      <w:r>
        <w:rPr>
          <w:rFonts w:ascii="Times New Roman" w:eastAsia="Times New Roman"/>
        </w:rPr>
        <w:t>HIV</w:t>
      </w:r>
      <w:r>
        <w:rPr/>
        <w:t>；</w:t>
      </w:r>
    </w:p>
    <w:p>
      <w:pPr>
        <w:pStyle w:val="BodyText"/>
        <w:spacing w:line="266" w:lineRule="auto" w:before="31"/>
        <w:ind w:left="855" w:right="335" w:hanging="543"/>
      </w:pPr>
      <w:r>
        <w:rPr/>
        <w:t>（</w:t>
      </w:r>
      <w:r>
        <w:rPr>
          <w:rFonts w:ascii="Times New Roman" w:eastAsia="Times New Roman"/>
        </w:rPr>
        <w:t>2</w:t>
      </w:r>
      <w:r>
        <w:rPr/>
        <w:t>）提供输血治疗的输血中心或医院出具该项输血感染属医疗责任事故的报告，或者法院终审裁定为医疗责任；</w:t>
      </w:r>
    </w:p>
    <w:p>
      <w:pPr>
        <w:pStyle w:val="BodyText"/>
        <w:spacing w:line="273" w:lineRule="exact" w:before="19"/>
        <w:ind w:left="313"/>
      </w:pPr>
      <w:r>
        <w:rPr/>
        <w:t>（</w:t>
      </w:r>
      <w:r>
        <w:rPr>
          <w:rFonts w:ascii="Times New Roman" w:eastAsia="Times New Roman"/>
        </w:rPr>
        <w:t>3</w:t>
      </w:r>
      <w:r>
        <w:rPr/>
        <w:t>）受感染的被保险人不是血友病患者。</w:t>
      </w:r>
    </w:p>
    <w:p>
      <w:pPr>
        <w:pStyle w:val="Heading1"/>
        <w:spacing w:line="326" w:lineRule="exact"/>
        <w:ind w:left="313"/>
      </w:pPr>
      <w:r>
        <w:rPr/>
        <w:t>在任何治愈艾滋病（</w:t>
      </w:r>
      <w:r>
        <w:rPr>
          <w:rFonts w:ascii="Times New Roman" w:eastAsia="Times New Roman"/>
        </w:rPr>
        <w:t>AIDS</w:t>
      </w:r>
      <w:r>
        <w:rPr/>
        <w:t>）或有效阻止艾滋病病毒（</w:t>
      </w:r>
      <w:r>
        <w:rPr>
          <w:rFonts w:ascii="Times New Roman" w:eastAsia="Times New Roman"/>
        </w:rPr>
        <w:t>HIV</w:t>
      </w:r>
      <w:r>
        <w:rPr/>
        <w:t>）作用的疗法被发现以后，或能有效防止艾滋病</w:t>
      </w:r>
    </w:p>
    <w:p>
      <w:pPr>
        <w:spacing w:line="324" w:lineRule="exact" w:before="0"/>
        <w:ind w:left="313" w:right="0" w:firstLine="0"/>
        <w:jc w:val="left"/>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AIDS</w:t>
      </w:r>
      <w:r>
        <w:rPr>
          <w:rFonts w:ascii="Microsoft JhengHei" w:eastAsia="Microsoft JhengHei" w:hint="eastAsia"/>
          <w:b/>
          <w:sz w:val="21"/>
        </w:rPr>
        <w:t>）发生的医疗方法被研究出来以后，本合同将不再予以赔付本项重大疾病保险金。</w:t>
      </w:r>
    </w:p>
    <w:p>
      <w:pPr>
        <w:spacing w:line="346" w:lineRule="exact" w:before="0"/>
        <w:ind w:left="313" w:right="0" w:firstLine="0"/>
        <w:jc w:val="left"/>
        <w:rPr>
          <w:rFonts w:ascii="Microsoft JhengHei" w:eastAsia="Microsoft JhengHei" w:hint="eastAsia"/>
          <w:b/>
          <w:sz w:val="21"/>
        </w:rPr>
      </w:pPr>
      <w:r>
        <w:rPr>
          <w:rFonts w:ascii="Microsoft JhengHei" w:eastAsia="Microsoft JhengHei" w:hint="eastAsia"/>
          <w:b/>
          <w:sz w:val="21"/>
        </w:rPr>
        <w:t>任何因其他传播方式（包括且不限于：性传播或静脉注射毒品）导致的 </w:t>
      </w:r>
      <w:r>
        <w:rPr>
          <w:rFonts w:ascii="Times New Roman" w:eastAsia="Times New Roman"/>
          <w:b/>
          <w:sz w:val="21"/>
        </w:rPr>
        <w:t>HIV </w:t>
      </w:r>
      <w:r>
        <w:rPr>
          <w:rFonts w:ascii="Microsoft JhengHei" w:eastAsia="Microsoft JhengHei" w:hint="eastAsia"/>
          <w:b/>
          <w:sz w:val="21"/>
        </w:rPr>
        <w:t>感染不在保障范围内。</w:t>
      </w:r>
    </w:p>
    <w:p>
      <w:pPr>
        <w:pStyle w:val="BodyText"/>
        <w:spacing w:before="10"/>
        <w:ind w:left="0"/>
        <w:rPr>
          <w:rFonts w:ascii="Microsoft JhengHei"/>
          <w:b/>
          <w:sz w:val="14"/>
        </w:rPr>
      </w:pPr>
    </w:p>
    <w:p>
      <w:pPr>
        <w:tabs>
          <w:tab w:pos="1576" w:val="left" w:leader="none"/>
        </w:tabs>
        <w:spacing w:before="0"/>
        <w:ind w:left="313" w:right="0" w:firstLine="0"/>
        <w:jc w:val="left"/>
        <w:rPr>
          <w:rFonts w:ascii="黑体" w:eastAsia="黑体" w:hint="eastAsia"/>
          <w:b/>
          <w:sz w:val="21"/>
        </w:rPr>
      </w:pPr>
      <w:r>
        <w:rPr>
          <w:rFonts w:ascii="黑体" w:eastAsia="黑体" w:hint="eastAsia"/>
          <w:b/>
          <w:sz w:val="21"/>
        </w:rPr>
        <w:t>第三十一条</w:t>
        <w:tab/>
        <w:t>其他名词的释义</w:t>
      </w:r>
    </w:p>
    <w:p>
      <w:pPr>
        <w:pStyle w:val="BodyText"/>
        <w:spacing w:before="8"/>
        <w:ind w:left="0"/>
        <w:rPr>
          <w:rFonts w:ascii="黑体"/>
          <w:b/>
          <w:sz w:val="22"/>
        </w:rPr>
      </w:pPr>
    </w:p>
    <w:p>
      <w:pPr>
        <w:pStyle w:val="BodyText"/>
        <w:ind w:left="313"/>
      </w:pPr>
      <w:r>
        <w:rPr/>
        <w:t>本合同具有特定含义的名词，其定义如下：</w:t>
      </w:r>
    </w:p>
    <w:p>
      <w:pPr>
        <w:pStyle w:val="BodyText"/>
        <w:spacing w:before="4"/>
        <w:ind w:left="0"/>
        <w:rPr>
          <w:sz w:val="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5"/>
        <w:gridCol w:w="444"/>
        <w:gridCol w:w="8377"/>
      </w:tblGrid>
      <w:tr>
        <w:trPr>
          <w:trHeight w:val="684" w:hRule="atLeast"/>
        </w:trPr>
        <w:tc>
          <w:tcPr>
            <w:tcW w:w="1225" w:type="dxa"/>
          </w:tcPr>
          <w:p>
            <w:pPr>
              <w:pStyle w:val="TableParagraph"/>
              <w:spacing w:line="255" w:lineRule="exact" w:before="0"/>
              <w:ind w:left="182" w:right="163"/>
              <w:jc w:val="center"/>
              <w:rPr>
                <w:sz w:val="21"/>
              </w:rPr>
            </w:pPr>
            <w:r>
              <w:rPr>
                <w:sz w:val="21"/>
              </w:rPr>
              <w:t>意外伤害</w:t>
            </w:r>
          </w:p>
        </w:tc>
        <w:tc>
          <w:tcPr>
            <w:tcW w:w="444" w:type="dxa"/>
          </w:tcPr>
          <w:p>
            <w:pPr>
              <w:pStyle w:val="TableParagraph"/>
              <w:spacing w:line="255" w:lineRule="exact" w:before="0"/>
              <w:ind w:left="0" w:right="40"/>
              <w:jc w:val="right"/>
              <w:rPr>
                <w:sz w:val="21"/>
              </w:rPr>
            </w:pPr>
            <w:r>
              <w:rPr>
                <w:w w:val="100"/>
                <w:sz w:val="21"/>
              </w:rPr>
              <w:t>：</w:t>
            </w:r>
          </w:p>
        </w:tc>
        <w:tc>
          <w:tcPr>
            <w:tcW w:w="8377" w:type="dxa"/>
          </w:tcPr>
          <w:p>
            <w:pPr>
              <w:pStyle w:val="TableParagraph"/>
              <w:spacing w:line="255" w:lineRule="exact" w:before="0"/>
              <w:ind w:left="43"/>
              <w:rPr>
                <w:sz w:val="21"/>
              </w:rPr>
            </w:pPr>
            <w:r>
              <w:rPr>
                <w:sz w:val="21"/>
              </w:rPr>
              <w:t>指因外来的、突发的、非本意的、非疾病的客观事件为直接且单独的原因导致身体受到的</w:t>
            </w:r>
          </w:p>
          <w:p>
            <w:pPr>
              <w:pStyle w:val="TableParagraph"/>
              <w:spacing w:before="90"/>
              <w:ind w:left="43"/>
              <w:rPr>
                <w:sz w:val="21"/>
              </w:rPr>
            </w:pPr>
            <w:r>
              <w:rPr>
                <w:sz w:val="21"/>
              </w:rPr>
              <w:t>伤害。</w:t>
            </w:r>
          </w:p>
        </w:tc>
      </w:tr>
      <w:tr>
        <w:trPr>
          <w:trHeight w:val="2647" w:hRule="atLeast"/>
        </w:trPr>
        <w:tc>
          <w:tcPr>
            <w:tcW w:w="1225" w:type="dxa"/>
          </w:tcPr>
          <w:p>
            <w:pPr>
              <w:pStyle w:val="TableParagraph"/>
              <w:spacing w:before="26"/>
              <w:ind w:left="182" w:right="163"/>
              <w:jc w:val="center"/>
              <w:rPr>
                <w:sz w:val="21"/>
              </w:rPr>
            </w:pPr>
            <w:r>
              <w:rPr>
                <w:sz w:val="21"/>
              </w:rPr>
              <w:t>医疗机构</w:t>
            </w:r>
          </w:p>
        </w:tc>
        <w:tc>
          <w:tcPr>
            <w:tcW w:w="444" w:type="dxa"/>
          </w:tcPr>
          <w:p>
            <w:pPr>
              <w:pStyle w:val="TableParagraph"/>
              <w:spacing w:before="16"/>
              <w:ind w:left="0" w:right="40"/>
              <w:jc w:val="right"/>
              <w:rPr>
                <w:sz w:val="21"/>
              </w:rPr>
            </w:pPr>
            <w:r>
              <w:rPr>
                <w:w w:val="100"/>
                <w:sz w:val="21"/>
              </w:rPr>
              <w:t>：</w:t>
            </w:r>
          </w:p>
        </w:tc>
        <w:tc>
          <w:tcPr>
            <w:tcW w:w="8377" w:type="dxa"/>
          </w:tcPr>
          <w:p>
            <w:pPr>
              <w:pStyle w:val="TableParagraph"/>
              <w:spacing w:before="26"/>
              <w:ind w:left="43"/>
              <w:rPr>
                <w:sz w:val="21"/>
              </w:rPr>
            </w:pPr>
            <w:r>
              <w:rPr>
                <w:sz w:val="21"/>
              </w:rPr>
              <w:t>符合下列所有条件的机构：</w:t>
            </w:r>
          </w:p>
          <w:p>
            <w:pPr>
              <w:pStyle w:val="TableParagraph"/>
              <w:spacing w:line="249" w:lineRule="auto" w:before="94"/>
              <w:ind w:left="43" w:right="203"/>
              <w:jc w:val="both"/>
              <w:rPr>
                <w:rFonts w:ascii="Microsoft JhengHei" w:eastAsia="Microsoft JhengHei" w:hint="eastAsia"/>
                <w:b/>
                <w:sz w:val="21"/>
              </w:rPr>
            </w:pPr>
            <w:r>
              <w:rPr>
                <w:spacing w:val="-1"/>
                <w:sz w:val="21"/>
              </w:rPr>
              <w:t>（1）</w:t>
            </w:r>
            <w:r>
              <w:rPr>
                <w:spacing w:val="-4"/>
                <w:sz w:val="21"/>
              </w:rPr>
              <w:t>经国家级医疗卫生行政管理部门批准的有合法经营执照的二级或二级以上综合性的医院和专科医院</w:t>
            </w:r>
            <w:r>
              <w:rPr>
                <w:rFonts w:ascii="Microsoft JhengHei" w:eastAsia="Microsoft JhengHei" w:hint="eastAsia"/>
                <w:b/>
                <w:spacing w:val="2"/>
                <w:sz w:val="21"/>
              </w:rPr>
              <w:t>（</w:t>
            </w:r>
            <w:r>
              <w:rPr>
                <w:rFonts w:ascii="Microsoft JhengHei" w:eastAsia="Microsoft JhengHei" w:hint="eastAsia"/>
                <w:b/>
                <w:sz w:val="21"/>
              </w:rPr>
              <w:t>前述医院和专科医院中的门/急诊观察室、家庭病床、联合病房、临时</w:t>
            </w:r>
            <w:r>
              <w:rPr>
                <w:rFonts w:ascii="Microsoft JhengHei" w:eastAsia="Microsoft JhengHei" w:hint="eastAsia"/>
                <w:b/>
                <w:spacing w:val="-1"/>
                <w:w w:val="100"/>
                <w:sz w:val="21"/>
              </w:rPr>
              <w:t>病房、康复病房除外</w:t>
            </w:r>
            <w:r>
              <w:rPr>
                <w:rFonts w:ascii="Microsoft JhengHei" w:eastAsia="Microsoft JhengHei" w:hint="eastAsia"/>
                <w:b/>
                <w:spacing w:val="-106"/>
                <w:w w:val="100"/>
                <w:sz w:val="21"/>
              </w:rPr>
              <w:t>）</w:t>
            </w:r>
            <w:r>
              <w:rPr>
                <w:rFonts w:ascii="Microsoft JhengHei" w:eastAsia="Microsoft JhengHei" w:hint="eastAsia"/>
                <w:b/>
                <w:w w:val="100"/>
                <w:sz w:val="21"/>
              </w:rPr>
              <w:t>；</w:t>
            </w:r>
          </w:p>
          <w:p>
            <w:pPr>
              <w:pStyle w:val="TableParagraph"/>
              <w:spacing w:before="184"/>
              <w:ind w:left="43"/>
              <w:jc w:val="both"/>
              <w:rPr>
                <w:sz w:val="21"/>
              </w:rPr>
            </w:pPr>
            <w:r>
              <w:rPr>
                <w:sz w:val="21"/>
              </w:rPr>
              <w:t>（2）不包括精神病院、私人诊所，以及作为康复、疗养、护理、戒酒、戒毒或类似的医</w:t>
            </w:r>
          </w:p>
          <w:p>
            <w:pPr>
              <w:pStyle w:val="TableParagraph"/>
              <w:spacing w:before="8"/>
              <w:ind w:left="0"/>
              <w:rPr>
                <w:sz w:val="26"/>
              </w:rPr>
            </w:pPr>
          </w:p>
          <w:p>
            <w:pPr>
              <w:pStyle w:val="TableParagraph"/>
              <w:spacing w:before="1"/>
              <w:ind w:left="43"/>
              <w:jc w:val="both"/>
              <w:rPr>
                <w:sz w:val="21"/>
              </w:rPr>
            </w:pPr>
            <w:r>
              <w:rPr>
                <w:sz w:val="21"/>
              </w:rPr>
              <w:t>疗机构。</w:t>
            </w:r>
          </w:p>
        </w:tc>
      </w:tr>
      <w:tr>
        <w:trPr>
          <w:trHeight w:val="705" w:hRule="atLeast"/>
        </w:trPr>
        <w:tc>
          <w:tcPr>
            <w:tcW w:w="1225" w:type="dxa"/>
          </w:tcPr>
          <w:p>
            <w:pPr>
              <w:pStyle w:val="TableParagraph"/>
              <w:spacing w:before="81"/>
              <w:ind w:left="182" w:right="163"/>
              <w:jc w:val="center"/>
              <w:rPr>
                <w:sz w:val="21"/>
              </w:rPr>
            </w:pPr>
            <w:r>
              <w:rPr>
                <w:sz w:val="21"/>
              </w:rPr>
              <w:t>专科医生</w:t>
            </w:r>
          </w:p>
        </w:tc>
        <w:tc>
          <w:tcPr>
            <w:tcW w:w="444" w:type="dxa"/>
          </w:tcPr>
          <w:p>
            <w:pPr>
              <w:pStyle w:val="TableParagraph"/>
              <w:spacing w:before="221"/>
              <w:ind w:left="0" w:right="50"/>
              <w:jc w:val="right"/>
              <w:rPr>
                <w:sz w:val="21"/>
              </w:rPr>
            </w:pPr>
            <w:r>
              <w:rPr>
                <w:w w:val="100"/>
                <w:sz w:val="21"/>
              </w:rPr>
              <w:t>：</w:t>
            </w:r>
          </w:p>
        </w:tc>
        <w:tc>
          <w:tcPr>
            <w:tcW w:w="8377" w:type="dxa"/>
          </w:tcPr>
          <w:p>
            <w:pPr>
              <w:pStyle w:val="TableParagraph"/>
              <w:spacing w:before="81"/>
              <w:ind w:left="43"/>
              <w:rPr>
                <w:sz w:val="21"/>
              </w:rPr>
            </w:pPr>
            <w:r>
              <w:rPr>
                <w:sz w:val="21"/>
              </w:rPr>
              <w:t>专科医生应当同时满足以下四项资格条件：</w:t>
            </w:r>
          </w:p>
          <w:p>
            <w:pPr>
              <w:pStyle w:val="TableParagraph"/>
              <w:spacing w:line="283" w:lineRule="exact" w:before="46"/>
              <w:ind w:left="43"/>
              <w:rPr>
                <w:sz w:val="21"/>
              </w:rPr>
            </w:pPr>
            <w:r>
              <w:rPr>
                <w:sz w:val="21"/>
              </w:rPr>
              <w:t>（</w:t>
            </w:r>
            <w:r>
              <w:rPr>
                <w:rFonts w:ascii="Times New Roman" w:eastAsia="Times New Roman"/>
                <w:sz w:val="21"/>
              </w:rPr>
              <w:t>1</w:t>
            </w:r>
            <w:r>
              <w:rPr>
                <w:sz w:val="21"/>
              </w:rPr>
              <w:t>）具有有效的中华人民共和国《医师资格证书》；</w:t>
            </w:r>
          </w:p>
        </w:tc>
      </w:tr>
    </w:tbl>
    <w:p>
      <w:pPr>
        <w:spacing w:after="0" w:line="283" w:lineRule="exact"/>
        <w:rPr>
          <w:sz w:val="21"/>
        </w:rPr>
        <w:sectPr>
          <w:pgSz w:w="11910" w:h="16840"/>
          <w:pgMar w:header="0" w:footer="496" w:top="860" w:bottom="760" w:left="82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5"/>
        <w:gridCol w:w="254"/>
        <w:gridCol w:w="8379"/>
      </w:tblGrid>
      <w:tr>
        <w:trPr>
          <w:trHeight w:val="1171" w:hRule="atLeast"/>
        </w:trPr>
        <w:tc>
          <w:tcPr>
            <w:tcW w:w="1415" w:type="dxa"/>
          </w:tcPr>
          <w:p>
            <w:pPr>
              <w:pStyle w:val="TableParagraph"/>
              <w:spacing w:before="0"/>
              <w:ind w:left="0"/>
              <w:rPr>
                <w:rFonts w:ascii="Times New Roman"/>
                <w:sz w:val="20"/>
              </w:rPr>
            </w:pPr>
          </w:p>
        </w:tc>
        <w:tc>
          <w:tcPr>
            <w:tcW w:w="254" w:type="dxa"/>
          </w:tcPr>
          <w:p>
            <w:pPr>
              <w:pStyle w:val="TableParagraph"/>
              <w:spacing w:before="0"/>
              <w:ind w:left="0"/>
              <w:rPr>
                <w:rFonts w:ascii="Times New Roman"/>
                <w:sz w:val="20"/>
              </w:rPr>
            </w:pPr>
          </w:p>
        </w:tc>
        <w:tc>
          <w:tcPr>
            <w:tcW w:w="8379" w:type="dxa"/>
          </w:tcPr>
          <w:p>
            <w:pPr>
              <w:pStyle w:val="TableParagraph"/>
              <w:spacing w:line="271" w:lineRule="exact" w:before="0"/>
              <w:ind w:left="43"/>
              <w:rPr>
                <w:sz w:val="21"/>
              </w:rPr>
            </w:pPr>
            <w:r>
              <w:rPr>
                <w:sz w:val="21"/>
              </w:rPr>
              <w:t>（</w:t>
            </w:r>
            <w:r>
              <w:rPr>
                <w:rFonts w:ascii="Times New Roman" w:eastAsia="Times New Roman"/>
                <w:sz w:val="21"/>
              </w:rPr>
              <w:t>2</w:t>
            </w:r>
            <w:r>
              <w:rPr>
                <w:sz w:val="21"/>
              </w:rPr>
              <w:t>）具有有效的中华人民共和国《医师执业证书》，并按期到相关部门登记注册；</w:t>
            </w:r>
          </w:p>
          <w:p>
            <w:pPr>
              <w:pStyle w:val="TableParagraph"/>
              <w:spacing w:before="31"/>
              <w:ind w:left="43"/>
              <w:rPr>
                <w:sz w:val="21"/>
              </w:rPr>
            </w:pPr>
            <w:r>
              <w:rPr>
                <w:sz w:val="21"/>
              </w:rPr>
              <w:t>（</w:t>
            </w:r>
            <w:r>
              <w:rPr>
                <w:rFonts w:ascii="Times New Roman" w:eastAsia="Times New Roman"/>
                <w:sz w:val="21"/>
              </w:rPr>
              <w:t>3</w:t>
            </w:r>
            <w:r>
              <w:rPr>
                <w:sz w:val="21"/>
              </w:rPr>
              <w:t>）具有有效的中华人民共和国主治医师或主治医师以上职称的《医师职称证书》；</w:t>
            </w:r>
          </w:p>
          <w:p>
            <w:pPr>
              <w:pStyle w:val="TableParagraph"/>
              <w:spacing w:before="170"/>
              <w:ind w:left="43"/>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7747" w:hRule="atLeast"/>
        </w:trPr>
        <w:tc>
          <w:tcPr>
            <w:tcW w:w="1415" w:type="dxa"/>
          </w:tcPr>
          <w:p>
            <w:pPr>
              <w:pStyle w:val="TableParagraph"/>
              <w:spacing w:before="86"/>
              <w:rPr>
                <w:sz w:val="21"/>
              </w:rPr>
            </w:pPr>
            <w:r>
              <w:rPr>
                <w:sz w:val="21"/>
              </w:rPr>
              <w:t>全残</w:t>
            </w:r>
          </w:p>
        </w:tc>
        <w:tc>
          <w:tcPr>
            <w:tcW w:w="254" w:type="dxa"/>
          </w:tcPr>
          <w:p>
            <w:pPr>
              <w:pStyle w:val="TableParagraph"/>
              <w:spacing w:before="86"/>
              <w:ind w:left="-1"/>
              <w:rPr>
                <w:sz w:val="21"/>
              </w:rPr>
            </w:pPr>
            <w:r>
              <w:rPr>
                <w:w w:val="100"/>
                <w:sz w:val="21"/>
              </w:rPr>
              <w:t>：</w:t>
            </w:r>
          </w:p>
        </w:tc>
        <w:tc>
          <w:tcPr>
            <w:tcW w:w="8379" w:type="dxa"/>
          </w:tcPr>
          <w:p>
            <w:pPr>
              <w:pStyle w:val="TableParagraph"/>
              <w:spacing w:line="319" w:lineRule="auto" w:before="86"/>
              <w:ind w:left="43" w:right="5180"/>
              <w:rPr>
                <w:sz w:val="21"/>
              </w:rPr>
            </w:pPr>
            <w:r>
              <w:rPr>
                <w:spacing w:val="-3"/>
                <w:sz w:val="21"/>
              </w:rPr>
              <w:t>指具有下列情况之一项或多项者： </w:t>
            </w:r>
            <w:r>
              <w:rPr>
                <w:spacing w:val="-5"/>
                <w:w w:val="100"/>
                <w:sz w:val="21"/>
              </w:rPr>
              <w:t>一、双目永久完全失明的</w:t>
            </w:r>
            <w:r>
              <w:rPr>
                <w:w w:val="100"/>
                <w:sz w:val="21"/>
              </w:rPr>
              <w:t>（注</w:t>
            </w:r>
            <w:r>
              <w:rPr>
                <w:spacing w:val="-57"/>
                <w:sz w:val="21"/>
              </w:rPr>
              <w:t> </w:t>
            </w:r>
            <w:r>
              <w:rPr>
                <w:rFonts w:ascii="Times New Roman" w:eastAsia="Times New Roman"/>
                <w:w w:val="100"/>
                <w:sz w:val="21"/>
              </w:rPr>
              <w:t>1</w:t>
            </w:r>
            <w:r>
              <w:rPr>
                <w:spacing w:val="-106"/>
                <w:w w:val="100"/>
                <w:sz w:val="21"/>
              </w:rPr>
              <w:t>）；</w:t>
            </w:r>
          </w:p>
          <w:p>
            <w:pPr>
              <w:pStyle w:val="TableParagraph"/>
              <w:spacing w:line="319" w:lineRule="auto" w:before="0"/>
              <w:ind w:left="43" w:right="3499"/>
              <w:jc w:val="both"/>
              <w:rPr>
                <w:sz w:val="21"/>
              </w:rPr>
            </w:pPr>
            <w:r>
              <w:rPr>
                <w:spacing w:val="-5"/>
                <w:sz w:val="21"/>
              </w:rPr>
              <w:t>二、两上肢腕关节以上或两下肢踝关节以上缺失的； 三、一上肢腕关节以上及一下肢踝关节以上缺失的； 四、一目永久完全失明及一上肢腕关节以上缺失的； 五、一目永久完全失明及一下肢踝关节以上缺失的； </w:t>
            </w:r>
            <w:r>
              <w:rPr>
                <w:spacing w:val="-5"/>
                <w:w w:val="100"/>
                <w:sz w:val="21"/>
              </w:rPr>
              <w:t>六、四肢关节机能永久完全丧失的</w:t>
            </w:r>
            <w:r>
              <w:rPr>
                <w:w w:val="100"/>
                <w:sz w:val="21"/>
              </w:rPr>
              <w:t>（注</w:t>
            </w:r>
            <w:r>
              <w:rPr>
                <w:spacing w:val="-56"/>
                <w:sz w:val="21"/>
              </w:rPr>
              <w:t> </w:t>
            </w:r>
            <w:r>
              <w:rPr>
                <w:rFonts w:ascii="Times New Roman" w:eastAsia="Times New Roman"/>
                <w:w w:val="100"/>
                <w:sz w:val="21"/>
              </w:rPr>
              <w:t>2</w:t>
            </w:r>
            <w:r>
              <w:rPr>
                <w:spacing w:val="-106"/>
                <w:w w:val="100"/>
                <w:sz w:val="21"/>
              </w:rPr>
              <w:t>）；</w:t>
            </w:r>
          </w:p>
          <w:p>
            <w:pPr>
              <w:pStyle w:val="TableParagraph"/>
              <w:spacing w:line="288" w:lineRule="exact" w:before="3"/>
              <w:ind w:left="43"/>
              <w:rPr>
                <w:sz w:val="21"/>
              </w:rPr>
            </w:pPr>
            <w:r>
              <w:rPr>
                <w:spacing w:val="-3"/>
                <w:w w:val="100"/>
                <w:sz w:val="21"/>
              </w:rPr>
              <w:t>七、咀嚼、吞咽机能永久完全丧失的</w:t>
            </w:r>
            <w:r>
              <w:rPr>
                <w:spacing w:val="-5"/>
                <w:w w:val="100"/>
                <w:sz w:val="21"/>
              </w:rPr>
              <w:t>（</w:t>
            </w:r>
            <w:r>
              <w:rPr>
                <w:w w:val="100"/>
                <w:sz w:val="21"/>
              </w:rPr>
              <w:t>注</w:t>
            </w:r>
            <w:r>
              <w:rPr>
                <w:spacing w:val="-51"/>
                <w:sz w:val="21"/>
              </w:rPr>
              <w:t> </w:t>
            </w:r>
            <w:r>
              <w:rPr>
                <w:rFonts w:ascii="Times New Roman" w:eastAsia="Times New Roman"/>
                <w:w w:val="100"/>
                <w:sz w:val="21"/>
              </w:rPr>
              <w:t>3</w:t>
            </w:r>
            <w:r>
              <w:rPr>
                <w:spacing w:val="-106"/>
                <w:w w:val="100"/>
                <w:sz w:val="21"/>
              </w:rPr>
              <w:t>）；</w:t>
            </w:r>
          </w:p>
          <w:p>
            <w:pPr>
              <w:pStyle w:val="TableParagraph"/>
              <w:spacing w:line="324" w:lineRule="auto" w:before="74"/>
              <w:ind w:left="519" w:right="202" w:hanging="476"/>
              <w:rPr>
                <w:sz w:val="21"/>
              </w:rPr>
            </w:pPr>
            <w:r>
              <w:rPr>
                <w:spacing w:val="-8"/>
                <w:sz w:val="21"/>
              </w:rPr>
              <w:t>八、中枢神经系统机能或胸、腹部脏器机能极度障碍，终身不能从事任何工作，为维持生</w:t>
            </w:r>
            <w:r>
              <w:rPr>
                <w:spacing w:val="-6"/>
                <w:w w:val="100"/>
                <w:sz w:val="21"/>
              </w:rPr>
              <w:t>命必要的日常生活活动，全需他人扶助的</w:t>
            </w:r>
            <w:r>
              <w:rPr>
                <w:w w:val="100"/>
                <w:sz w:val="21"/>
              </w:rPr>
              <w:t>（注</w:t>
            </w:r>
            <w:r>
              <w:rPr>
                <w:spacing w:val="-51"/>
                <w:sz w:val="21"/>
              </w:rPr>
              <w:t> </w:t>
            </w:r>
            <w:r>
              <w:rPr>
                <w:rFonts w:ascii="Times New Roman" w:eastAsia="Times New Roman"/>
                <w:w w:val="100"/>
                <w:sz w:val="21"/>
              </w:rPr>
              <w:t>4</w:t>
            </w:r>
            <w:r>
              <w:rPr>
                <w:spacing w:val="-111"/>
                <w:w w:val="100"/>
                <w:sz w:val="21"/>
              </w:rPr>
              <w:t>）。</w:t>
            </w:r>
          </w:p>
          <w:p>
            <w:pPr>
              <w:pStyle w:val="TableParagraph"/>
              <w:spacing w:line="268" w:lineRule="exact" w:before="0"/>
              <w:ind w:left="43"/>
              <w:rPr>
                <w:sz w:val="21"/>
              </w:rPr>
            </w:pPr>
            <w:r>
              <w:rPr>
                <w:sz w:val="21"/>
              </w:rPr>
              <w:t>注：</w:t>
            </w:r>
          </w:p>
          <w:p>
            <w:pPr>
              <w:pStyle w:val="TableParagraph"/>
              <w:numPr>
                <w:ilvl w:val="0"/>
                <w:numId w:val="1"/>
              </w:numPr>
              <w:tabs>
                <w:tab w:pos="467" w:val="left" w:leader="none"/>
              </w:tabs>
              <w:spacing w:line="300" w:lineRule="auto" w:before="90" w:after="0"/>
              <w:ind w:left="466" w:right="200" w:hanging="423"/>
              <w:jc w:val="both"/>
              <w:rPr>
                <w:sz w:val="21"/>
              </w:rPr>
            </w:pPr>
            <w:r>
              <w:rPr>
                <w:spacing w:val="-7"/>
                <w:sz w:val="21"/>
              </w:rPr>
              <w:t>失明包括眼球缺失或摘除、或不能辨别明暗、或仅能辨别眼前手动者，最佳矫正视力</w:t>
            </w:r>
            <w:r>
              <w:rPr>
                <w:spacing w:val="-10"/>
                <w:sz w:val="21"/>
              </w:rPr>
              <w:t>低于国际标准视力表 </w:t>
            </w:r>
            <w:r>
              <w:rPr>
                <w:rFonts w:ascii="Times New Roman" w:eastAsia="Times New Roman"/>
                <w:spacing w:val="-7"/>
                <w:sz w:val="21"/>
              </w:rPr>
              <w:t>0.02</w:t>
            </w:r>
            <w:r>
              <w:rPr>
                <w:spacing w:val="-9"/>
                <w:sz w:val="21"/>
              </w:rPr>
              <w:t>，或视野半径小于 </w:t>
            </w:r>
            <w:r>
              <w:rPr>
                <w:rFonts w:ascii="Times New Roman" w:eastAsia="Times New Roman"/>
                <w:sz w:val="21"/>
              </w:rPr>
              <w:t>5</w:t>
            </w:r>
            <w:r>
              <w:rPr>
                <w:rFonts w:ascii="Times New Roman" w:eastAsia="Times New Roman"/>
                <w:spacing w:val="13"/>
                <w:sz w:val="21"/>
              </w:rPr>
              <w:t> </w:t>
            </w:r>
            <w:r>
              <w:rPr>
                <w:spacing w:val="-6"/>
                <w:sz w:val="21"/>
              </w:rPr>
              <w:t>度，并由本公司指定有资格的眼科医师</w:t>
            </w:r>
            <w:r>
              <w:rPr>
                <w:spacing w:val="-5"/>
                <w:sz w:val="21"/>
              </w:rPr>
              <w:t>出具医疗诊断证明。</w:t>
            </w:r>
          </w:p>
          <w:p>
            <w:pPr>
              <w:pStyle w:val="TableParagraph"/>
              <w:numPr>
                <w:ilvl w:val="0"/>
                <w:numId w:val="1"/>
              </w:numPr>
              <w:tabs>
                <w:tab w:pos="466" w:val="left" w:leader="none"/>
                <w:tab w:pos="467" w:val="left" w:leader="none"/>
              </w:tabs>
              <w:spacing w:line="240" w:lineRule="auto" w:before="42" w:after="0"/>
              <w:ind w:left="466" w:right="0" w:hanging="423"/>
              <w:jc w:val="left"/>
              <w:rPr>
                <w:sz w:val="21"/>
              </w:rPr>
            </w:pPr>
            <w:r>
              <w:rPr>
                <w:spacing w:val="-5"/>
                <w:sz w:val="21"/>
              </w:rPr>
              <w:t>关节机能的丧失系指关节永久完全僵硬、或麻痹、或关节不能随意识活动。</w:t>
            </w:r>
          </w:p>
          <w:p>
            <w:pPr>
              <w:pStyle w:val="TableParagraph"/>
              <w:numPr>
                <w:ilvl w:val="0"/>
                <w:numId w:val="1"/>
              </w:numPr>
              <w:tabs>
                <w:tab w:pos="466" w:val="left" w:leader="none"/>
                <w:tab w:pos="467" w:val="left" w:leader="none"/>
              </w:tabs>
              <w:spacing w:line="300" w:lineRule="auto" w:before="73" w:after="0"/>
              <w:ind w:left="466" w:right="197" w:hanging="423"/>
              <w:jc w:val="left"/>
              <w:rPr>
                <w:sz w:val="21"/>
              </w:rPr>
            </w:pPr>
            <w:r>
              <w:rPr>
                <w:spacing w:val="-8"/>
                <w:sz w:val="21"/>
              </w:rPr>
              <w:t>咀嚼、吞咽机能的丧失系指由于牙齿以外的原因引起器质障碍或机能障碍，以致不能</w:t>
            </w:r>
            <w:r>
              <w:rPr>
                <w:spacing w:val="-6"/>
                <w:sz w:val="21"/>
              </w:rPr>
              <w:t>作咀嚼、吞咽运动，除流质食物外不能摄取或吞咽的状态。</w:t>
            </w:r>
          </w:p>
          <w:p>
            <w:pPr>
              <w:pStyle w:val="TableParagraph"/>
              <w:numPr>
                <w:ilvl w:val="0"/>
                <w:numId w:val="1"/>
              </w:numPr>
              <w:tabs>
                <w:tab w:pos="466" w:val="left" w:leader="none"/>
                <w:tab w:pos="467" w:val="left" w:leader="none"/>
              </w:tabs>
              <w:spacing w:line="304" w:lineRule="auto" w:before="37" w:after="0"/>
              <w:ind w:left="466" w:right="198" w:hanging="423"/>
              <w:jc w:val="left"/>
              <w:rPr>
                <w:sz w:val="21"/>
              </w:rPr>
            </w:pPr>
            <w:r>
              <w:rPr>
                <w:spacing w:val="-7"/>
                <w:sz w:val="21"/>
              </w:rPr>
              <w:t>为维持生命必要之日常生活活动，全需他人扶助系指食物摄取、大小便始末、穿脱衣</w:t>
            </w:r>
            <w:r>
              <w:rPr>
                <w:spacing w:val="-6"/>
                <w:sz w:val="21"/>
              </w:rPr>
              <w:t>服、起居、步行、入浴等，皆不能自己为之，需要他人帮助。</w:t>
            </w:r>
          </w:p>
          <w:p>
            <w:pPr>
              <w:pStyle w:val="TableParagraph"/>
              <w:numPr>
                <w:ilvl w:val="0"/>
                <w:numId w:val="1"/>
              </w:numPr>
              <w:tabs>
                <w:tab w:pos="466" w:val="left" w:leader="none"/>
                <w:tab w:pos="467" w:val="left" w:leader="none"/>
              </w:tabs>
              <w:spacing w:line="240" w:lineRule="auto" w:before="33" w:after="0"/>
              <w:ind w:left="466" w:right="0" w:hanging="423"/>
              <w:jc w:val="left"/>
              <w:rPr>
                <w:sz w:val="21"/>
              </w:rPr>
            </w:pPr>
            <w:r>
              <w:rPr>
                <w:spacing w:val="-8"/>
                <w:sz w:val="21"/>
              </w:rPr>
              <w:t>所谓永久完全系指自意外伤害之日起经过一百八十天的治疗，机能仍然完全丧失，但</w:t>
            </w:r>
          </w:p>
          <w:p>
            <w:pPr>
              <w:pStyle w:val="TableParagraph"/>
              <w:spacing w:before="73"/>
              <w:ind w:left="466"/>
              <w:rPr>
                <w:sz w:val="21"/>
              </w:rPr>
            </w:pPr>
            <w:r>
              <w:rPr>
                <w:sz w:val="21"/>
              </w:rPr>
              <w:t>眼球摘除等明显无法复原之情况，不在此限。</w:t>
            </w:r>
          </w:p>
        </w:tc>
      </w:tr>
      <w:tr>
        <w:trPr>
          <w:trHeight w:val="1099" w:hRule="atLeast"/>
        </w:trPr>
        <w:tc>
          <w:tcPr>
            <w:tcW w:w="1415" w:type="dxa"/>
          </w:tcPr>
          <w:p>
            <w:pPr>
              <w:pStyle w:val="TableParagraph"/>
              <w:rPr>
                <w:sz w:val="21"/>
              </w:rPr>
            </w:pPr>
            <w:r>
              <w:rPr>
                <w:sz w:val="21"/>
              </w:rPr>
              <w:t>毒品</w:t>
            </w:r>
          </w:p>
        </w:tc>
        <w:tc>
          <w:tcPr>
            <w:tcW w:w="254" w:type="dxa"/>
          </w:tcPr>
          <w:p>
            <w:pPr>
              <w:pStyle w:val="TableParagraph"/>
              <w:ind w:left="-1"/>
              <w:rPr>
                <w:sz w:val="21"/>
              </w:rPr>
            </w:pPr>
            <w:r>
              <w:rPr>
                <w:w w:val="100"/>
                <w:sz w:val="21"/>
              </w:rPr>
              <w:t>：</w:t>
            </w:r>
          </w:p>
        </w:tc>
        <w:tc>
          <w:tcPr>
            <w:tcW w:w="8379" w:type="dxa"/>
          </w:tcPr>
          <w:p>
            <w:pPr>
              <w:pStyle w:val="TableParagraph"/>
              <w:spacing w:line="319" w:lineRule="auto"/>
              <w:ind w:left="43" w:right="202"/>
              <w:rPr>
                <w:sz w:val="21"/>
              </w:rPr>
            </w:pPr>
            <w:r>
              <w:rPr>
                <w:spacing w:val="-1"/>
                <w:sz w:val="21"/>
              </w:rPr>
              <w:t>指中华人民共和国刑法规定的鸦片、海洛因、甲基苯丙胺</w:t>
            </w:r>
            <w:r>
              <w:rPr>
                <w:sz w:val="21"/>
              </w:rPr>
              <w:t>（冰毒</w:t>
            </w:r>
            <w:r>
              <w:rPr>
                <w:spacing w:val="-106"/>
                <w:sz w:val="21"/>
              </w:rPr>
              <w:t>）</w:t>
            </w:r>
            <w:r>
              <w:rPr>
                <w:sz w:val="21"/>
              </w:rPr>
              <w:t>、吗啡、大麻、可卡因</w:t>
            </w:r>
            <w:r>
              <w:rPr>
                <w:spacing w:val="-7"/>
                <w:sz w:val="21"/>
              </w:rPr>
              <w:t>以及国家规定管制的其他能够使人形成瘾癖的麻醉药品和精神药品，但不包括由医生开具</w:t>
            </w:r>
          </w:p>
          <w:p>
            <w:pPr>
              <w:pStyle w:val="TableParagraph"/>
              <w:spacing w:before="25"/>
              <w:ind w:left="43"/>
              <w:rPr>
                <w:sz w:val="21"/>
              </w:rPr>
            </w:pPr>
            <w:r>
              <w:rPr>
                <w:sz w:val="21"/>
              </w:rPr>
              <w:t>并遵医嘱使用的用于治疗疾病但含有毒品成分的处方药品。</w:t>
            </w:r>
          </w:p>
        </w:tc>
      </w:tr>
      <w:tr>
        <w:trPr>
          <w:trHeight w:val="1097" w:hRule="atLeast"/>
        </w:trPr>
        <w:tc>
          <w:tcPr>
            <w:tcW w:w="1415" w:type="dxa"/>
          </w:tcPr>
          <w:p>
            <w:pPr>
              <w:pStyle w:val="TableParagraph"/>
              <w:rPr>
                <w:sz w:val="21"/>
              </w:rPr>
            </w:pPr>
            <w:r>
              <w:rPr>
                <w:sz w:val="21"/>
              </w:rPr>
              <w:t>酒后驾驶</w:t>
            </w:r>
          </w:p>
        </w:tc>
        <w:tc>
          <w:tcPr>
            <w:tcW w:w="254" w:type="dxa"/>
          </w:tcPr>
          <w:p>
            <w:pPr>
              <w:pStyle w:val="TableParagraph"/>
              <w:ind w:left="-1"/>
              <w:rPr>
                <w:sz w:val="21"/>
              </w:rPr>
            </w:pPr>
            <w:r>
              <w:rPr>
                <w:w w:val="100"/>
                <w:sz w:val="21"/>
              </w:rPr>
              <w:t>：</w:t>
            </w:r>
          </w:p>
        </w:tc>
        <w:tc>
          <w:tcPr>
            <w:tcW w:w="8379" w:type="dxa"/>
          </w:tcPr>
          <w:p>
            <w:pPr>
              <w:pStyle w:val="TableParagraph"/>
              <w:spacing w:line="319" w:lineRule="auto"/>
              <w:ind w:left="43" w:right="202"/>
              <w:rPr>
                <w:sz w:val="21"/>
              </w:rPr>
            </w:pPr>
            <w:r>
              <w:rPr>
                <w:spacing w:val="-9"/>
                <w:sz w:val="21"/>
              </w:rPr>
              <w:t>指经检测或鉴定，发生事故时车辆驾驶人员每百毫升血液中的酒精含量达到或超过一定的</w:t>
            </w:r>
            <w:r>
              <w:rPr>
                <w:spacing w:val="-10"/>
                <w:sz w:val="21"/>
              </w:rPr>
              <w:t>标准，公安机关交通管理部门依据《道路交通安全法》的规定认定为饮酒后驾驶或醉酒后</w:t>
            </w:r>
          </w:p>
          <w:p>
            <w:pPr>
              <w:pStyle w:val="TableParagraph"/>
              <w:spacing w:before="20"/>
              <w:ind w:left="43"/>
              <w:rPr>
                <w:sz w:val="21"/>
              </w:rPr>
            </w:pPr>
            <w:r>
              <w:rPr>
                <w:sz w:val="21"/>
              </w:rPr>
              <w:t>驾驶。</w:t>
            </w:r>
          </w:p>
        </w:tc>
      </w:tr>
      <w:tr>
        <w:trPr>
          <w:trHeight w:val="2863" w:hRule="atLeast"/>
        </w:trPr>
        <w:tc>
          <w:tcPr>
            <w:tcW w:w="1415" w:type="dxa"/>
          </w:tcPr>
          <w:p>
            <w:pPr>
              <w:pStyle w:val="TableParagraph"/>
              <w:spacing w:line="319" w:lineRule="auto" w:before="24"/>
              <w:ind w:right="-15"/>
              <w:rPr>
                <w:sz w:val="21"/>
              </w:rPr>
            </w:pPr>
            <w:r>
              <w:rPr>
                <w:spacing w:val="-31"/>
                <w:sz w:val="21"/>
              </w:rPr>
              <w:t>无 合 法 有 效驾驶证驾驶</w:t>
            </w:r>
          </w:p>
        </w:tc>
        <w:tc>
          <w:tcPr>
            <w:tcW w:w="254" w:type="dxa"/>
          </w:tcPr>
          <w:p>
            <w:pPr>
              <w:pStyle w:val="TableParagraph"/>
              <w:spacing w:before="24"/>
              <w:ind w:left="-1"/>
              <w:rPr>
                <w:sz w:val="21"/>
              </w:rPr>
            </w:pPr>
            <w:r>
              <w:rPr>
                <w:w w:val="100"/>
                <w:sz w:val="21"/>
              </w:rPr>
              <w:t>：</w:t>
            </w:r>
          </w:p>
        </w:tc>
        <w:tc>
          <w:tcPr>
            <w:tcW w:w="8379" w:type="dxa"/>
          </w:tcPr>
          <w:p>
            <w:pPr>
              <w:pStyle w:val="TableParagraph"/>
              <w:spacing w:before="153"/>
              <w:ind w:left="43"/>
              <w:rPr>
                <w:sz w:val="21"/>
              </w:rPr>
            </w:pPr>
            <w:r>
              <w:rPr>
                <w:sz w:val="21"/>
              </w:rPr>
              <w:t>指下列情形之一：</w:t>
            </w:r>
          </w:p>
          <w:p>
            <w:pPr>
              <w:pStyle w:val="TableParagraph"/>
              <w:spacing w:before="8"/>
              <w:ind w:left="0"/>
              <w:rPr>
                <w:sz w:val="26"/>
              </w:rPr>
            </w:pPr>
          </w:p>
          <w:p>
            <w:pPr>
              <w:pStyle w:val="TableParagraph"/>
              <w:spacing w:before="0"/>
              <w:ind w:left="43"/>
              <w:rPr>
                <w:sz w:val="21"/>
              </w:rPr>
            </w:pPr>
            <w:r>
              <w:rPr>
                <w:sz w:val="21"/>
              </w:rPr>
              <w:t>（</w:t>
            </w:r>
            <w:r>
              <w:rPr>
                <w:rFonts w:ascii="Times New Roman" w:eastAsia="Times New Roman"/>
                <w:sz w:val="21"/>
              </w:rPr>
              <w:t>1</w:t>
            </w:r>
            <w:r>
              <w:rPr>
                <w:sz w:val="21"/>
              </w:rPr>
              <w:t>）没有取得驾驶资格；</w:t>
            </w:r>
          </w:p>
          <w:p>
            <w:pPr>
              <w:pStyle w:val="TableParagraph"/>
              <w:spacing w:before="5"/>
              <w:ind w:left="0"/>
              <w:rPr>
                <w:sz w:val="25"/>
              </w:rPr>
            </w:pPr>
          </w:p>
          <w:p>
            <w:pPr>
              <w:pStyle w:val="TableParagraph"/>
              <w:spacing w:before="0"/>
              <w:ind w:left="43"/>
              <w:rPr>
                <w:sz w:val="21"/>
              </w:rPr>
            </w:pPr>
            <w:r>
              <w:rPr>
                <w:sz w:val="21"/>
              </w:rPr>
              <w:t>（</w:t>
            </w:r>
            <w:r>
              <w:rPr>
                <w:rFonts w:ascii="Times New Roman" w:eastAsia="Times New Roman"/>
                <w:sz w:val="21"/>
              </w:rPr>
              <w:t>2</w:t>
            </w:r>
            <w:r>
              <w:rPr>
                <w:sz w:val="21"/>
              </w:rPr>
              <w:t>）驾驶与驾驶证准驾车型不相符合的车辆；</w:t>
            </w:r>
          </w:p>
          <w:p>
            <w:pPr>
              <w:pStyle w:val="TableParagraph"/>
              <w:spacing w:before="5"/>
              <w:ind w:left="0"/>
              <w:rPr>
                <w:sz w:val="25"/>
              </w:rPr>
            </w:pPr>
          </w:p>
          <w:p>
            <w:pPr>
              <w:pStyle w:val="TableParagraph"/>
              <w:spacing w:before="1"/>
              <w:ind w:left="43"/>
              <w:rPr>
                <w:sz w:val="21"/>
              </w:rPr>
            </w:pPr>
            <w:r>
              <w:rPr>
                <w:sz w:val="21"/>
              </w:rPr>
              <w:t>（</w:t>
            </w:r>
            <w:r>
              <w:rPr>
                <w:rFonts w:ascii="Times New Roman" w:eastAsia="Times New Roman"/>
                <w:sz w:val="21"/>
              </w:rPr>
              <w:t>3</w:t>
            </w:r>
            <w:r>
              <w:rPr>
                <w:sz w:val="21"/>
              </w:rPr>
              <w:t>）持审验不合格的驾驶证驾驶；</w:t>
            </w:r>
          </w:p>
          <w:p>
            <w:pPr>
              <w:pStyle w:val="TableParagraph"/>
              <w:spacing w:before="203"/>
              <w:ind w:left="43"/>
              <w:rPr>
                <w:sz w:val="21"/>
              </w:rPr>
            </w:pPr>
            <w:r>
              <w:rPr>
                <w:sz w:val="21"/>
              </w:rPr>
              <w:t>（</w:t>
            </w:r>
            <w:r>
              <w:rPr>
                <w:rFonts w:ascii="Times New Roman" w:eastAsia="Times New Roman"/>
                <w:sz w:val="21"/>
              </w:rPr>
              <w:t>4</w:t>
            </w:r>
            <w:r>
              <w:rPr>
                <w:sz w:val="21"/>
              </w:rPr>
              <w:t>）持学习驾驶证学习驾车时，无教练员随车指导，或不按指定时间、路线学习驾车。</w:t>
            </w:r>
          </w:p>
        </w:tc>
      </w:tr>
      <w:tr>
        <w:trPr>
          <w:trHeight w:val="689" w:hRule="atLeast"/>
        </w:trPr>
        <w:tc>
          <w:tcPr>
            <w:tcW w:w="1415" w:type="dxa"/>
          </w:tcPr>
          <w:p>
            <w:pPr>
              <w:pStyle w:val="TableParagraph"/>
              <w:ind w:right="-15"/>
              <w:rPr>
                <w:sz w:val="21"/>
              </w:rPr>
            </w:pPr>
            <w:r>
              <w:rPr>
                <w:spacing w:val="-31"/>
                <w:sz w:val="21"/>
              </w:rPr>
              <w:t>无 有 效 行 驶</w:t>
            </w:r>
          </w:p>
          <w:p>
            <w:pPr>
              <w:pStyle w:val="TableParagraph"/>
              <w:spacing w:before="90"/>
              <w:rPr>
                <w:sz w:val="21"/>
              </w:rPr>
            </w:pPr>
            <w:r>
              <w:rPr>
                <w:w w:val="100"/>
                <w:sz w:val="21"/>
              </w:rPr>
              <w:t>证</w:t>
            </w:r>
          </w:p>
        </w:tc>
        <w:tc>
          <w:tcPr>
            <w:tcW w:w="254" w:type="dxa"/>
          </w:tcPr>
          <w:p>
            <w:pPr>
              <w:pStyle w:val="TableParagraph"/>
              <w:ind w:left="-1"/>
              <w:rPr>
                <w:sz w:val="21"/>
              </w:rPr>
            </w:pPr>
            <w:r>
              <w:rPr>
                <w:w w:val="100"/>
                <w:sz w:val="21"/>
              </w:rPr>
              <w:t>：</w:t>
            </w:r>
          </w:p>
        </w:tc>
        <w:tc>
          <w:tcPr>
            <w:tcW w:w="8379" w:type="dxa"/>
          </w:tcPr>
          <w:p>
            <w:pPr>
              <w:pStyle w:val="TableParagraph"/>
              <w:spacing w:before="151"/>
              <w:ind w:left="43"/>
              <w:rPr>
                <w:sz w:val="21"/>
              </w:rPr>
            </w:pPr>
            <w:r>
              <w:rPr>
                <w:sz w:val="21"/>
              </w:rPr>
              <w:t>指下列情形之一：</w:t>
            </w:r>
          </w:p>
        </w:tc>
      </w:tr>
    </w:tbl>
    <w:p>
      <w:pPr>
        <w:spacing w:after="0"/>
        <w:rPr>
          <w:sz w:val="21"/>
        </w:rPr>
        <w:sectPr>
          <w:pgSz w:w="11910" w:h="16840"/>
          <w:pgMar w:header="0" w:footer="496" w:top="860" w:bottom="680" w:left="820" w:right="8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5"/>
        <w:gridCol w:w="288"/>
        <w:gridCol w:w="8342"/>
      </w:tblGrid>
      <w:tr>
        <w:trPr>
          <w:trHeight w:val="815" w:hRule="atLeast"/>
        </w:trPr>
        <w:tc>
          <w:tcPr>
            <w:tcW w:w="1415" w:type="dxa"/>
          </w:tcPr>
          <w:p>
            <w:pPr>
              <w:pStyle w:val="TableParagraph"/>
              <w:spacing w:before="0"/>
              <w:ind w:left="0"/>
              <w:rPr>
                <w:rFonts w:ascii="Times New Roman"/>
                <w:sz w:val="20"/>
              </w:rPr>
            </w:pPr>
          </w:p>
        </w:tc>
        <w:tc>
          <w:tcPr>
            <w:tcW w:w="288" w:type="dxa"/>
          </w:tcPr>
          <w:p>
            <w:pPr>
              <w:pStyle w:val="TableParagraph"/>
              <w:spacing w:before="0"/>
              <w:ind w:left="0"/>
              <w:rPr>
                <w:rFonts w:ascii="Times New Roman"/>
                <w:sz w:val="20"/>
              </w:rPr>
            </w:pPr>
          </w:p>
        </w:tc>
        <w:tc>
          <w:tcPr>
            <w:tcW w:w="8342" w:type="dxa"/>
          </w:tcPr>
          <w:p>
            <w:pPr>
              <w:pStyle w:val="TableParagraph"/>
              <w:spacing w:line="271" w:lineRule="exact" w:before="0"/>
              <w:ind w:left="9"/>
              <w:rPr>
                <w:sz w:val="21"/>
              </w:rPr>
            </w:pPr>
            <w:r>
              <w:rPr>
                <w:sz w:val="21"/>
              </w:rPr>
              <w:t>（</w:t>
            </w:r>
            <w:r>
              <w:rPr>
                <w:rFonts w:ascii="Times New Roman" w:eastAsia="Times New Roman"/>
                <w:sz w:val="21"/>
              </w:rPr>
              <w:t>1</w:t>
            </w:r>
            <w:r>
              <w:rPr>
                <w:sz w:val="21"/>
              </w:rPr>
              <w:t>）机动车被依法注销登记的；</w:t>
            </w:r>
          </w:p>
          <w:p>
            <w:pPr>
              <w:pStyle w:val="TableParagraph"/>
              <w:spacing w:before="203"/>
              <w:ind w:left="9"/>
              <w:rPr>
                <w:sz w:val="21"/>
              </w:rPr>
            </w:pPr>
            <w:r>
              <w:rPr>
                <w:sz w:val="21"/>
              </w:rPr>
              <w:t>（</w:t>
            </w:r>
            <w:r>
              <w:rPr>
                <w:rFonts w:ascii="Times New Roman" w:eastAsia="Times New Roman"/>
                <w:sz w:val="21"/>
              </w:rPr>
              <w:t>2</w:t>
            </w:r>
            <w:r>
              <w:rPr>
                <w:sz w:val="21"/>
              </w:rPr>
              <w:t>）未依法按时进行或通过机动车安全技术检验。</w:t>
            </w:r>
          </w:p>
        </w:tc>
      </w:tr>
      <w:tr>
        <w:trPr>
          <w:trHeight w:val="1829" w:hRule="atLeast"/>
        </w:trPr>
        <w:tc>
          <w:tcPr>
            <w:tcW w:w="1415" w:type="dxa"/>
          </w:tcPr>
          <w:p>
            <w:pPr>
              <w:pStyle w:val="TableParagraph"/>
              <w:spacing w:line="319" w:lineRule="auto" w:before="28"/>
              <w:ind w:right="-15"/>
              <w:jc w:val="both"/>
              <w:rPr>
                <w:sz w:val="21"/>
              </w:rPr>
            </w:pPr>
            <w:r>
              <w:rPr>
                <w:spacing w:val="-31"/>
                <w:sz w:val="21"/>
              </w:rPr>
              <w:t>感 染 艾 滋 病</w:t>
            </w:r>
            <w:r>
              <w:rPr>
                <w:spacing w:val="-33"/>
                <w:sz w:val="21"/>
              </w:rPr>
              <w:t>病 毒 或 患 艾滋病</w:t>
            </w:r>
          </w:p>
        </w:tc>
        <w:tc>
          <w:tcPr>
            <w:tcW w:w="288" w:type="dxa"/>
          </w:tcPr>
          <w:p>
            <w:pPr>
              <w:pStyle w:val="TableParagraph"/>
              <w:spacing w:before="28"/>
              <w:ind w:left="-1"/>
              <w:rPr>
                <w:sz w:val="21"/>
              </w:rPr>
            </w:pPr>
            <w:r>
              <w:rPr>
                <w:w w:val="100"/>
                <w:sz w:val="21"/>
              </w:rPr>
              <w:t>：</w:t>
            </w:r>
          </w:p>
        </w:tc>
        <w:tc>
          <w:tcPr>
            <w:tcW w:w="8342" w:type="dxa"/>
          </w:tcPr>
          <w:p>
            <w:pPr>
              <w:pStyle w:val="TableParagraph"/>
              <w:spacing w:line="261" w:lineRule="auto" w:before="19"/>
              <w:ind w:left="9" w:right="197"/>
              <w:rPr>
                <w:sz w:val="21"/>
              </w:rPr>
            </w:pPr>
            <w:r>
              <w:rPr>
                <w:spacing w:val="-7"/>
                <w:sz w:val="21"/>
              </w:rPr>
              <w:t>艾滋病病毒指人类免疫缺陷病毒，英文缩写为 </w:t>
            </w:r>
            <w:r>
              <w:rPr>
                <w:rFonts w:ascii="Times New Roman" w:eastAsia="Times New Roman"/>
                <w:spacing w:val="-3"/>
                <w:sz w:val="21"/>
              </w:rPr>
              <w:t>HIV</w:t>
            </w:r>
            <w:r>
              <w:rPr>
                <w:spacing w:val="-7"/>
                <w:sz w:val="21"/>
              </w:rPr>
              <w:t>。艾滋病指人类免疫缺陷病毒引起的获</w:t>
            </w:r>
            <w:r>
              <w:rPr>
                <w:spacing w:val="-8"/>
                <w:sz w:val="21"/>
              </w:rPr>
              <w:t>得性免疫缺陷综合征，英文缩写为 </w:t>
            </w:r>
            <w:r>
              <w:rPr>
                <w:rFonts w:ascii="Times New Roman" w:eastAsia="Times New Roman"/>
                <w:spacing w:val="-3"/>
                <w:sz w:val="21"/>
              </w:rPr>
              <w:t>AIDS</w:t>
            </w:r>
            <w:r>
              <w:rPr>
                <w:sz w:val="21"/>
              </w:rPr>
              <w:t>。</w:t>
            </w:r>
          </w:p>
          <w:p>
            <w:pPr>
              <w:pStyle w:val="TableParagraph"/>
              <w:spacing w:before="149"/>
              <w:ind w:left="9"/>
              <w:rPr>
                <w:sz w:val="21"/>
              </w:rPr>
            </w:pPr>
            <w:r>
              <w:rPr>
                <w:sz w:val="21"/>
              </w:rPr>
              <w:t>在人体血液或其他样本中检测到艾滋病病毒或其抗体呈阳性，没有出现临床症状或体征</w:t>
            </w:r>
          </w:p>
          <w:p>
            <w:pPr>
              <w:pStyle w:val="TableParagraph"/>
              <w:spacing w:before="8"/>
              <w:ind w:left="0"/>
              <w:rPr>
                <w:sz w:val="26"/>
              </w:rPr>
            </w:pPr>
          </w:p>
          <w:p>
            <w:pPr>
              <w:pStyle w:val="TableParagraph"/>
              <w:spacing w:before="0"/>
              <w:ind w:left="9"/>
              <w:rPr>
                <w:sz w:val="21"/>
              </w:rPr>
            </w:pPr>
            <w:r>
              <w:rPr>
                <w:sz w:val="21"/>
              </w:rPr>
              <w:t>的，为感染艾滋病病毒；如果同时出现了明显临床症状或体征的，为患艾滋病。</w:t>
            </w:r>
          </w:p>
        </w:tc>
      </w:tr>
      <w:tr>
        <w:trPr>
          <w:trHeight w:val="1248" w:hRule="atLeast"/>
        </w:trPr>
        <w:tc>
          <w:tcPr>
            <w:tcW w:w="1415" w:type="dxa"/>
          </w:tcPr>
          <w:p>
            <w:pPr>
              <w:pStyle w:val="TableParagraph"/>
              <w:spacing w:before="86"/>
              <w:rPr>
                <w:sz w:val="21"/>
              </w:rPr>
            </w:pPr>
            <w:r>
              <w:rPr>
                <w:sz w:val="21"/>
              </w:rPr>
              <w:t>遗传性疾病</w:t>
            </w:r>
          </w:p>
        </w:tc>
        <w:tc>
          <w:tcPr>
            <w:tcW w:w="288" w:type="dxa"/>
          </w:tcPr>
          <w:p>
            <w:pPr>
              <w:pStyle w:val="TableParagraph"/>
              <w:spacing w:before="86"/>
              <w:ind w:left="-1"/>
              <w:rPr>
                <w:sz w:val="21"/>
              </w:rPr>
            </w:pPr>
            <w:r>
              <w:rPr>
                <w:w w:val="100"/>
                <w:sz w:val="21"/>
              </w:rPr>
              <w:t>：</w:t>
            </w:r>
          </w:p>
        </w:tc>
        <w:tc>
          <w:tcPr>
            <w:tcW w:w="8342" w:type="dxa"/>
          </w:tcPr>
          <w:p>
            <w:pPr>
              <w:pStyle w:val="TableParagraph"/>
              <w:spacing w:before="216"/>
              <w:ind w:left="9"/>
              <w:rPr>
                <w:sz w:val="21"/>
              </w:rPr>
            </w:pPr>
            <w:r>
              <w:rPr>
                <w:sz w:val="21"/>
              </w:rPr>
              <w:t>指生殖细胞或受精卵的遗传物质（染色体和基因）发生突变或畸变所引起的疾病，通常具</w:t>
            </w:r>
          </w:p>
          <w:p>
            <w:pPr>
              <w:pStyle w:val="TableParagraph"/>
              <w:spacing w:before="8"/>
              <w:ind w:left="0"/>
              <w:rPr>
                <w:sz w:val="26"/>
              </w:rPr>
            </w:pPr>
          </w:p>
          <w:p>
            <w:pPr>
              <w:pStyle w:val="TableParagraph"/>
              <w:spacing w:before="0"/>
              <w:ind w:left="9"/>
              <w:rPr>
                <w:sz w:val="21"/>
              </w:rPr>
            </w:pPr>
            <w:r>
              <w:rPr>
                <w:sz w:val="21"/>
              </w:rPr>
              <w:t>有由亲代传至后代的垂直传递的特征。</w:t>
            </w:r>
          </w:p>
        </w:tc>
      </w:tr>
      <w:tr>
        <w:trPr>
          <w:trHeight w:val="1248" w:hRule="atLeast"/>
        </w:trPr>
        <w:tc>
          <w:tcPr>
            <w:tcW w:w="1415" w:type="dxa"/>
          </w:tcPr>
          <w:p>
            <w:pPr>
              <w:pStyle w:val="TableParagraph"/>
              <w:spacing w:line="319" w:lineRule="auto" w:before="86"/>
              <w:ind w:right="-58"/>
              <w:jc w:val="both"/>
              <w:rPr>
                <w:sz w:val="21"/>
              </w:rPr>
            </w:pPr>
            <w:r>
              <w:rPr>
                <w:sz w:val="21"/>
              </w:rPr>
              <w:t>先天性畸形、变形 或 染色体异常</w:t>
            </w:r>
          </w:p>
        </w:tc>
        <w:tc>
          <w:tcPr>
            <w:tcW w:w="288" w:type="dxa"/>
          </w:tcPr>
          <w:p>
            <w:pPr>
              <w:pStyle w:val="TableParagraph"/>
              <w:spacing w:before="86"/>
              <w:ind w:left="-1"/>
              <w:rPr>
                <w:sz w:val="21"/>
              </w:rPr>
            </w:pPr>
            <w:r>
              <w:rPr>
                <w:w w:val="100"/>
                <w:sz w:val="21"/>
              </w:rPr>
              <w:t>：</w:t>
            </w:r>
          </w:p>
        </w:tc>
        <w:tc>
          <w:tcPr>
            <w:tcW w:w="8342" w:type="dxa"/>
          </w:tcPr>
          <w:p>
            <w:pPr>
              <w:pStyle w:val="TableParagraph"/>
              <w:spacing w:before="215"/>
              <w:ind w:left="9"/>
              <w:rPr>
                <w:sz w:val="21"/>
              </w:rPr>
            </w:pPr>
            <w:r>
              <w:rPr>
                <w:sz w:val="21"/>
              </w:rPr>
              <w:t>指被保险人出生时就具有的畸形、变形或染色体异常。先天性畸形、变形和染色体异常依</w:t>
            </w:r>
          </w:p>
          <w:p>
            <w:pPr>
              <w:pStyle w:val="TableParagraph"/>
              <w:spacing w:before="8"/>
              <w:ind w:left="0"/>
              <w:rPr>
                <w:sz w:val="26"/>
              </w:rPr>
            </w:pPr>
          </w:p>
          <w:p>
            <w:pPr>
              <w:pStyle w:val="TableParagraph"/>
              <w:spacing w:before="0"/>
              <w:ind w:left="9"/>
              <w:rPr>
                <w:sz w:val="21"/>
              </w:rPr>
            </w:pPr>
            <w:r>
              <w:rPr>
                <w:sz w:val="21"/>
              </w:rPr>
              <w:t>照世界卫生组织《疾病和有关健康问题的国际统计分类》（</w:t>
            </w:r>
            <w:r>
              <w:rPr>
                <w:rFonts w:ascii="Times New Roman" w:eastAsia="Times New Roman"/>
                <w:sz w:val="21"/>
              </w:rPr>
              <w:t>ICD-10</w:t>
            </w:r>
            <w:r>
              <w:rPr>
                <w:sz w:val="21"/>
              </w:rPr>
              <w:t>）确定。</w:t>
            </w:r>
          </w:p>
        </w:tc>
      </w:tr>
      <w:tr>
        <w:trPr>
          <w:trHeight w:val="1248" w:hRule="atLeast"/>
        </w:trPr>
        <w:tc>
          <w:tcPr>
            <w:tcW w:w="1415" w:type="dxa"/>
          </w:tcPr>
          <w:p>
            <w:pPr>
              <w:pStyle w:val="TableParagraph"/>
              <w:spacing w:before="86"/>
              <w:rPr>
                <w:sz w:val="21"/>
              </w:rPr>
            </w:pPr>
            <w:r>
              <w:rPr>
                <w:sz w:val="21"/>
              </w:rPr>
              <w:t>现金价值</w:t>
            </w:r>
          </w:p>
        </w:tc>
        <w:tc>
          <w:tcPr>
            <w:tcW w:w="288" w:type="dxa"/>
          </w:tcPr>
          <w:p>
            <w:pPr>
              <w:pStyle w:val="TableParagraph"/>
              <w:spacing w:before="86"/>
              <w:ind w:left="-1"/>
              <w:rPr>
                <w:sz w:val="21"/>
              </w:rPr>
            </w:pPr>
            <w:r>
              <w:rPr>
                <w:w w:val="100"/>
                <w:sz w:val="21"/>
              </w:rPr>
              <w:t>：</w:t>
            </w:r>
          </w:p>
        </w:tc>
        <w:tc>
          <w:tcPr>
            <w:tcW w:w="8342" w:type="dxa"/>
          </w:tcPr>
          <w:p>
            <w:pPr>
              <w:pStyle w:val="TableParagraph"/>
              <w:spacing w:before="215"/>
              <w:ind w:left="9"/>
              <w:rPr>
                <w:sz w:val="21"/>
              </w:rPr>
            </w:pPr>
            <w:r>
              <w:rPr>
                <w:sz w:val="21"/>
              </w:rPr>
              <w:t>指保险单所具有的价值，通常体现为解除合同时，根据精算原理计算的，由本公司退还的</w:t>
            </w:r>
          </w:p>
          <w:p>
            <w:pPr>
              <w:pStyle w:val="TableParagraph"/>
              <w:spacing w:before="8"/>
              <w:ind w:left="0"/>
              <w:rPr>
                <w:sz w:val="26"/>
              </w:rPr>
            </w:pPr>
          </w:p>
          <w:p>
            <w:pPr>
              <w:pStyle w:val="TableParagraph"/>
              <w:spacing w:before="0"/>
              <w:ind w:left="9"/>
              <w:rPr>
                <w:sz w:val="21"/>
              </w:rPr>
            </w:pPr>
            <w:r>
              <w:rPr>
                <w:sz w:val="21"/>
              </w:rPr>
              <w:t>那部分金额。</w:t>
            </w:r>
          </w:p>
        </w:tc>
      </w:tr>
      <w:tr>
        <w:trPr>
          <w:trHeight w:val="1248" w:hRule="atLeast"/>
        </w:trPr>
        <w:tc>
          <w:tcPr>
            <w:tcW w:w="1415" w:type="dxa"/>
          </w:tcPr>
          <w:p>
            <w:pPr>
              <w:pStyle w:val="TableParagraph"/>
              <w:spacing w:before="86"/>
              <w:rPr>
                <w:sz w:val="21"/>
              </w:rPr>
            </w:pPr>
            <w:r>
              <w:rPr>
                <w:sz w:val="21"/>
              </w:rPr>
              <w:t>保单年度</w:t>
            </w:r>
          </w:p>
        </w:tc>
        <w:tc>
          <w:tcPr>
            <w:tcW w:w="288" w:type="dxa"/>
          </w:tcPr>
          <w:p>
            <w:pPr>
              <w:pStyle w:val="TableParagraph"/>
              <w:spacing w:before="86"/>
              <w:ind w:left="-1"/>
              <w:rPr>
                <w:sz w:val="21"/>
              </w:rPr>
            </w:pPr>
            <w:r>
              <w:rPr>
                <w:w w:val="100"/>
                <w:sz w:val="21"/>
              </w:rPr>
              <w:t>：</w:t>
            </w:r>
          </w:p>
        </w:tc>
        <w:tc>
          <w:tcPr>
            <w:tcW w:w="8342" w:type="dxa"/>
          </w:tcPr>
          <w:p>
            <w:pPr>
              <w:pStyle w:val="TableParagraph"/>
              <w:spacing w:before="216"/>
              <w:ind w:left="9"/>
              <w:rPr>
                <w:sz w:val="21"/>
              </w:rPr>
            </w:pPr>
            <w:r>
              <w:rPr>
                <w:sz w:val="21"/>
              </w:rPr>
              <w:t>合同生效日 </w:t>
            </w:r>
            <w:r>
              <w:rPr>
                <w:rFonts w:ascii="Times New Roman" w:eastAsia="Times New Roman"/>
                <w:sz w:val="21"/>
              </w:rPr>
              <w:t>24 </w:t>
            </w:r>
            <w:r>
              <w:rPr>
                <w:sz w:val="21"/>
              </w:rPr>
              <w:t>时起至第一个保单周年日 </w:t>
            </w:r>
            <w:r>
              <w:rPr>
                <w:rFonts w:ascii="Times New Roman" w:eastAsia="Times New Roman"/>
                <w:sz w:val="21"/>
              </w:rPr>
              <w:t>24 </w:t>
            </w:r>
            <w:r>
              <w:rPr>
                <w:sz w:val="21"/>
              </w:rPr>
              <w:t>时止为第一个保单年度，此后每个保单周年日</w:t>
            </w:r>
          </w:p>
          <w:p>
            <w:pPr>
              <w:pStyle w:val="TableParagraph"/>
              <w:spacing w:before="6"/>
              <w:ind w:left="0"/>
              <w:rPr>
                <w:sz w:val="25"/>
              </w:rPr>
            </w:pPr>
          </w:p>
          <w:p>
            <w:pPr>
              <w:pStyle w:val="TableParagraph"/>
              <w:spacing w:before="0"/>
              <w:ind w:left="9"/>
              <w:rPr>
                <w:sz w:val="21"/>
              </w:rPr>
            </w:pPr>
            <w:r>
              <w:rPr>
                <w:rFonts w:ascii="Times New Roman" w:eastAsia="Times New Roman"/>
                <w:sz w:val="21"/>
              </w:rPr>
              <w:t>24 </w:t>
            </w:r>
            <w:r>
              <w:rPr>
                <w:sz w:val="21"/>
              </w:rPr>
              <w:t>时起至下一保单周年日 </w:t>
            </w:r>
            <w:r>
              <w:rPr>
                <w:rFonts w:ascii="Times New Roman" w:eastAsia="Times New Roman"/>
                <w:sz w:val="21"/>
              </w:rPr>
              <w:t>24 </w:t>
            </w:r>
            <w:r>
              <w:rPr>
                <w:sz w:val="21"/>
              </w:rPr>
              <w:t>时止为一个保单年度。</w:t>
            </w:r>
          </w:p>
        </w:tc>
      </w:tr>
      <w:tr>
        <w:trPr>
          <w:trHeight w:val="794" w:hRule="atLeast"/>
        </w:trPr>
        <w:tc>
          <w:tcPr>
            <w:tcW w:w="1415" w:type="dxa"/>
          </w:tcPr>
          <w:p>
            <w:pPr>
              <w:pStyle w:val="TableParagraph"/>
              <w:spacing w:before="86"/>
              <w:rPr>
                <w:sz w:val="21"/>
              </w:rPr>
            </w:pPr>
            <w:r>
              <w:rPr>
                <w:sz w:val="21"/>
              </w:rPr>
              <w:t>保单周年日</w:t>
            </w:r>
          </w:p>
        </w:tc>
        <w:tc>
          <w:tcPr>
            <w:tcW w:w="288" w:type="dxa"/>
          </w:tcPr>
          <w:p>
            <w:pPr>
              <w:pStyle w:val="TableParagraph"/>
              <w:spacing w:before="86"/>
              <w:ind w:left="67"/>
              <w:rPr>
                <w:sz w:val="21"/>
              </w:rPr>
            </w:pPr>
            <w:r>
              <w:rPr>
                <w:w w:val="100"/>
                <w:sz w:val="21"/>
              </w:rPr>
              <w:t>：</w:t>
            </w:r>
          </w:p>
        </w:tc>
        <w:tc>
          <w:tcPr>
            <w:tcW w:w="8342" w:type="dxa"/>
          </w:tcPr>
          <w:p>
            <w:pPr>
              <w:pStyle w:val="TableParagraph"/>
              <w:spacing w:line="364" w:lineRule="exact" w:before="40"/>
              <w:ind w:left="9" w:right="199"/>
              <w:rPr>
                <w:sz w:val="21"/>
              </w:rPr>
            </w:pPr>
            <w:r>
              <w:rPr>
                <w:spacing w:val="-8"/>
                <w:sz w:val="21"/>
              </w:rPr>
              <w:t>指合同的生效日在每年的对应日，如当月无对应的同一日，则以当月最后一日为对应的保单周年日。</w:t>
            </w:r>
          </w:p>
        </w:tc>
      </w:tr>
      <w:tr>
        <w:trPr>
          <w:trHeight w:val="2604" w:hRule="atLeast"/>
        </w:trPr>
        <w:tc>
          <w:tcPr>
            <w:tcW w:w="1415" w:type="dxa"/>
          </w:tcPr>
          <w:p>
            <w:pPr>
              <w:pStyle w:val="TableParagraph"/>
              <w:spacing w:line="319" w:lineRule="auto"/>
              <w:ind w:right="-15"/>
              <w:rPr>
                <w:sz w:val="21"/>
              </w:rPr>
            </w:pPr>
            <w:r>
              <w:rPr>
                <w:spacing w:val="-10"/>
                <w:sz w:val="21"/>
              </w:rPr>
              <w:t>借款利率、利息</w:t>
            </w:r>
          </w:p>
        </w:tc>
        <w:tc>
          <w:tcPr>
            <w:tcW w:w="288" w:type="dxa"/>
          </w:tcPr>
          <w:p>
            <w:pPr>
              <w:pStyle w:val="TableParagraph"/>
              <w:ind w:left="-1"/>
              <w:rPr>
                <w:sz w:val="21"/>
              </w:rPr>
            </w:pPr>
            <w:r>
              <w:rPr>
                <w:w w:val="100"/>
                <w:sz w:val="21"/>
              </w:rPr>
              <w:t>：</w:t>
            </w:r>
          </w:p>
        </w:tc>
        <w:tc>
          <w:tcPr>
            <w:tcW w:w="8342" w:type="dxa"/>
          </w:tcPr>
          <w:p>
            <w:pPr>
              <w:pStyle w:val="TableParagraph"/>
              <w:spacing w:before="151"/>
              <w:ind w:left="9"/>
              <w:rPr>
                <w:sz w:val="21"/>
              </w:rPr>
            </w:pPr>
            <w:r>
              <w:rPr>
                <w:sz w:val="21"/>
              </w:rPr>
              <w:t>借款利率参照人民银行公布的 </w:t>
            </w:r>
            <w:r>
              <w:rPr>
                <w:rFonts w:ascii="Times New Roman" w:eastAsia="Times New Roman"/>
                <w:sz w:val="21"/>
              </w:rPr>
              <w:t>6 </w:t>
            </w:r>
            <w:r>
              <w:rPr>
                <w:sz w:val="21"/>
              </w:rPr>
              <w:t>个月贷款利率，并根据本公司自身资金成本及风险管控能</w:t>
            </w:r>
          </w:p>
          <w:p>
            <w:pPr>
              <w:pStyle w:val="TableParagraph"/>
              <w:spacing w:before="6"/>
              <w:ind w:left="0"/>
              <w:rPr>
                <w:sz w:val="25"/>
              </w:rPr>
            </w:pPr>
          </w:p>
          <w:p>
            <w:pPr>
              <w:pStyle w:val="TableParagraph"/>
              <w:spacing w:line="516" w:lineRule="auto" w:before="0"/>
              <w:ind w:left="9" w:right="1401"/>
              <w:rPr>
                <w:sz w:val="21"/>
              </w:rPr>
            </w:pPr>
            <w:r>
              <w:rPr>
                <w:spacing w:val="-7"/>
                <w:sz w:val="21"/>
              </w:rPr>
              <w:t>力确定。本公司每年宣布两次借款利率，时间分别为 </w:t>
            </w:r>
            <w:r>
              <w:rPr>
                <w:rFonts w:ascii="Times New Roman" w:eastAsia="Times New Roman"/>
                <w:sz w:val="21"/>
              </w:rPr>
              <w:t>1 </w:t>
            </w:r>
            <w:r>
              <w:rPr>
                <w:spacing w:val="-25"/>
                <w:sz w:val="21"/>
              </w:rPr>
              <w:t>月 </w:t>
            </w:r>
            <w:r>
              <w:rPr>
                <w:rFonts w:ascii="Times New Roman" w:eastAsia="Times New Roman"/>
                <w:sz w:val="21"/>
              </w:rPr>
              <w:t>1 </w:t>
            </w:r>
            <w:r>
              <w:rPr>
                <w:spacing w:val="-17"/>
                <w:sz w:val="21"/>
              </w:rPr>
              <w:t>日和 </w:t>
            </w:r>
            <w:r>
              <w:rPr>
                <w:rFonts w:ascii="Times New Roman" w:eastAsia="Times New Roman"/>
                <w:sz w:val="21"/>
              </w:rPr>
              <w:t>7 </w:t>
            </w:r>
            <w:r>
              <w:rPr>
                <w:spacing w:val="-25"/>
                <w:sz w:val="21"/>
              </w:rPr>
              <w:t>月 </w:t>
            </w:r>
            <w:r>
              <w:rPr>
                <w:rFonts w:ascii="Times New Roman" w:eastAsia="Times New Roman"/>
                <w:sz w:val="21"/>
              </w:rPr>
              <w:t>1 </w:t>
            </w:r>
            <w:r>
              <w:rPr>
                <w:spacing w:val="-5"/>
                <w:sz w:val="21"/>
              </w:rPr>
              <w:t>日。借款利息按当时本公司已宣布的借款利率计算，并沿用至该次借款期满。</w:t>
            </w:r>
          </w:p>
          <w:p>
            <w:pPr>
              <w:pStyle w:val="TableParagraph"/>
              <w:spacing w:line="253" w:lineRule="exact" w:before="0"/>
              <w:ind w:left="9"/>
              <w:rPr>
                <w:sz w:val="21"/>
              </w:rPr>
            </w:pPr>
            <w:r>
              <w:rPr>
                <w:sz w:val="21"/>
              </w:rPr>
              <w:t>欠交保险费（包括自动垫缴的保险费）的利息和保险金逾期给付的利息按当时本公司已宣</w:t>
            </w:r>
          </w:p>
          <w:p>
            <w:pPr>
              <w:pStyle w:val="TableParagraph"/>
              <w:spacing w:before="90"/>
              <w:ind w:left="9"/>
              <w:rPr>
                <w:sz w:val="21"/>
              </w:rPr>
            </w:pPr>
            <w:r>
              <w:rPr>
                <w:sz w:val="21"/>
              </w:rPr>
              <w:t>布的借款利率计算。</w:t>
            </w:r>
          </w:p>
        </w:tc>
      </w:tr>
      <w:tr>
        <w:trPr>
          <w:trHeight w:val="732" w:hRule="atLeast"/>
        </w:trPr>
        <w:tc>
          <w:tcPr>
            <w:tcW w:w="1415" w:type="dxa"/>
          </w:tcPr>
          <w:p>
            <w:pPr>
              <w:pStyle w:val="TableParagraph"/>
              <w:spacing w:before="24"/>
              <w:rPr>
                <w:sz w:val="21"/>
              </w:rPr>
            </w:pPr>
            <w:r>
              <w:rPr>
                <w:sz w:val="21"/>
              </w:rPr>
              <w:t>减额付清保</w:t>
            </w:r>
          </w:p>
          <w:p>
            <w:pPr>
              <w:pStyle w:val="TableParagraph"/>
              <w:spacing w:before="90"/>
              <w:rPr>
                <w:sz w:val="21"/>
              </w:rPr>
            </w:pPr>
            <w:r>
              <w:rPr>
                <w:w w:val="100"/>
                <w:sz w:val="21"/>
              </w:rPr>
              <w:t>险</w:t>
            </w:r>
          </w:p>
        </w:tc>
        <w:tc>
          <w:tcPr>
            <w:tcW w:w="288" w:type="dxa"/>
          </w:tcPr>
          <w:p>
            <w:pPr>
              <w:pStyle w:val="TableParagraph"/>
              <w:spacing w:before="24"/>
              <w:ind w:left="-1"/>
              <w:rPr>
                <w:sz w:val="21"/>
              </w:rPr>
            </w:pPr>
            <w:r>
              <w:rPr>
                <w:w w:val="100"/>
                <w:sz w:val="21"/>
              </w:rPr>
              <w:t>：</w:t>
            </w:r>
          </w:p>
        </w:tc>
        <w:tc>
          <w:tcPr>
            <w:tcW w:w="8342" w:type="dxa"/>
          </w:tcPr>
          <w:p>
            <w:pPr>
              <w:pStyle w:val="TableParagraph"/>
              <w:spacing w:before="24"/>
              <w:ind w:left="9"/>
              <w:rPr>
                <w:sz w:val="21"/>
              </w:rPr>
            </w:pPr>
            <w:r>
              <w:rPr>
                <w:sz w:val="21"/>
              </w:rPr>
              <w:t>各保单年度末减额付清保险的金额如保险单或合同批注上所示，若现金价值因其他条款的</w:t>
            </w:r>
          </w:p>
          <w:p>
            <w:pPr>
              <w:pStyle w:val="TableParagraph"/>
              <w:spacing w:before="90"/>
              <w:ind w:left="57"/>
              <w:rPr>
                <w:sz w:val="21"/>
              </w:rPr>
            </w:pPr>
            <w:r>
              <w:rPr>
                <w:sz w:val="21"/>
              </w:rPr>
              <w:t>约定而发生变更重新计算时，减额付清保险的金额也将重新计算。</w:t>
            </w:r>
          </w:p>
        </w:tc>
      </w:tr>
      <w:tr>
        <w:trPr>
          <w:trHeight w:val="732" w:hRule="atLeast"/>
        </w:trPr>
        <w:tc>
          <w:tcPr>
            <w:tcW w:w="1415" w:type="dxa"/>
          </w:tcPr>
          <w:p>
            <w:pPr>
              <w:pStyle w:val="TableParagraph"/>
              <w:ind w:right="-15"/>
              <w:rPr>
                <w:sz w:val="21"/>
              </w:rPr>
            </w:pPr>
            <w:r>
              <w:rPr>
                <w:spacing w:val="-31"/>
                <w:sz w:val="21"/>
              </w:rPr>
              <w:t>肢 体 机 能 完</w:t>
            </w:r>
          </w:p>
          <w:p>
            <w:pPr>
              <w:pStyle w:val="TableParagraph"/>
              <w:spacing w:before="89"/>
              <w:rPr>
                <w:sz w:val="21"/>
              </w:rPr>
            </w:pPr>
            <w:r>
              <w:rPr>
                <w:sz w:val="21"/>
              </w:rPr>
              <w:t>全丧失</w:t>
            </w:r>
          </w:p>
        </w:tc>
        <w:tc>
          <w:tcPr>
            <w:tcW w:w="288" w:type="dxa"/>
          </w:tcPr>
          <w:p>
            <w:pPr>
              <w:pStyle w:val="TableParagraph"/>
              <w:ind w:left="-1"/>
              <w:rPr>
                <w:sz w:val="21"/>
              </w:rPr>
            </w:pPr>
            <w:r>
              <w:rPr>
                <w:w w:val="100"/>
                <w:sz w:val="21"/>
              </w:rPr>
              <w:t>：</w:t>
            </w:r>
          </w:p>
        </w:tc>
        <w:tc>
          <w:tcPr>
            <w:tcW w:w="8342" w:type="dxa"/>
          </w:tcPr>
          <w:p>
            <w:pPr>
              <w:pStyle w:val="TableParagraph"/>
              <w:ind w:left="9"/>
              <w:rPr>
                <w:sz w:val="21"/>
              </w:rPr>
            </w:pPr>
            <w:r>
              <w:rPr>
                <w:sz w:val="21"/>
              </w:rPr>
              <w:t>指肢体的三大关节中的两大关节僵硬，或不能随意识活动。肢体是指包括肩关节的整个上</w:t>
            </w:r>
          </w:p>
          <w:p>
            <w:pPr>
              <w:pStyle w:val="TableParagraph"/>
              <w:spacing w:before="89"/>
              <w:ind w:left="9"/>
              <w:rPr>
                <w:sz w:val="21"/>
              </w:rPr>
            </w:pPr>
            <w:r>
              <w:rPr>
                <w:sz w:val="21"/>
              </w:rPr>
              <w:t>肢或包括髋关节的整个下肢。</w:t>
            </w:r>
          </w:p>
        </w:tc>
      </w:tr>
      <w:tr>
        <w:trPr>
          <w:trHeight w:val="732" w:hRule="atLeast"/>
        </w:trPr>
        <w:tc>
          <w:tcPr>
            <w:tcW w:w="1415" w:type="dxa"/>
          </w:tcPr>
          <w:p>
            <w:pPr>
              <w:pStyle w:val="TableParagraph"/>
              <w:spacing w:before="24"/>
              <w:ind w:right="-15"/>
              <w:rPr>
                <w:sz w:val="21"/>
              </w:rPr>
            </w:pPr>
            <w:r>
              <w:rPr>
                <w:spacing w:val="-31"/>
                <w:sz w:val="21"/>
              </w:rPr>
              <w:t>语 言 能 力 完</w:t>
            </w:r>
          </w:p>
          <w:p>
            <w:pPr>
              <w:pStyle w:val="TableParagraph"/>
              <w:spacing w:before="90"/>
              <w:rPr>
                <w:sz w:val="21"/>
              </w:rPr>
            </w:pPr>
            <w:r>
              <w:rPr>
                <w:sz w:val="21"/>
              </w:rPr>
              <w:t>全丧失</w:t>
            </w:r>
          </w:p>
        </w:tc>
        <w:tc>
          <w:tcPr>
            <w:tcW w:w="288" w:type="dxa"/>
          </w:tcPr>
          <w:p>
            <w:pPr>
              <w:pStyle w:val="TableParagraph"/>
              <w:spacing w:before="24"/>
              <w:ind w:left="-1"/>
              <w:rPr>
                <w:sz w:val="21"/>
              </w:rPr>
            </w:pPr>
            <w:r>
              <w:rPr>
                <w:w w:val="100"/>
                <w:sz w:val="21"/>
              </w:rPr>
              <w:t>：</w:t>
            </w:r>
          </w:p>
        </w:tc>
        <w:tc>
          <w:tcPr>
            <w:tcW w:w="8342" w:type="dxa"/>
          </w:tcPr>
          <w:p>
            <w:pPr>
              <w:pStyle w:val="TableParagraph"/>
              <w:spacing w:before="24"/>
              <w:ind w:left="9"/>
              <w:rPr>
                <w:sz w:val="21"/>
              </w:rPr>
            </w:pPr>
            <w:r>
              <w:rPr>
                <w:sz w:val="21"/>
              </w:rPr>
              <w:t>指无法发出四种语音（包括口唇音、齿舌音、口盖音和喉头音）中的任何三种、或声带全</w:t>
            </w:r>
          </w:p>
          <w:p>
            <w:pPr>
              <w:pStyle w:val="TableParagraph"/>
              <w:spacing w:before="90"/>
              <w:ind w:left="9"/>
              <w:rPr>
                <w:sz w:val="21"/>
              </w:rPr>
            </w:pPr>
            <w:r>
              <w:rPr>
                <w:sz w:val="21"/>
              </w:rPr>
              <w:t>部切除，或因大脑语言中枢受伤害而患失语症。</w:t>
            </w:r>
          </w:p>
        </w:tc>
      </w:tr>
      <w:tr>
        <w:trPr>
          <w:trHeight w:val="724" w:hRule="atLeast"/>
        </w:trPr>
        <w:tc>
          <w:tcPr>
            <w:tcW w:w="1415" w:type="dxa"/>
          </w:tcPr>
          <w:p>
            <w:pPr>
              <w:pStyle w:val="TableParagraph"/>
              <w:ind w:right="-15"/>
              <w:rPr>
                <w:sz w:val="21"/>
              </w:rPr>
            </w:pPr>
            <w:r>
              <w:rPr>
                <w:spacing w:val="-31"/>
                <w:sz w:val="21"/>
              </w:rPr>
              <w:t>咀 嚼 吞 咽 能</w:t>
            </w:r>
          </w:p>
          <w:p>
            <w:pPr>
              <w:pStyle w:val="TableParagraph"/>
              <w:spacing w:before="89"/>
              <w:rPr>
                <w:sz w:val="21"/>
              </w:rPr>
            </w:pPr>
            <w:r>
              <w:rPr>
                <w:sz w:val="21"/>
              </w:rPr>
              <w:t>力完全丧失</w:t>
            </w:r>
          </w:p>
        </w:tc>
        <w:tc>
          <w:tcPr>
            <w:tcW w:w="288" w:type="dxa"/>
          </w:tcPr>
          <w:p>
            <w:pPr>
              <w:pStyle w:val="TableParagraph"/>
              <w:ind w:left="-1"/>
              <w:rPr>
                <w:sz w:val="21"/>
              </w:rPr>
            </w:pPr>
            <w:r>
              <w:rPr>
                <w:w w:val="100"/>
                <w:sz w:val="21"/>
              </w:rPr>
              <w:t>：</w:t>
            </w:r>
          </w:p>
        </w:tc>
        <w:tc>
          <w:tcPr>
            <w:tcW w:w="8342" w:type="dxa"/>
          </w:tcPr>
          <w:p>
            <w:pPr>
              <w:pStyle w:val="TableParagraph"/>
              <w:ind w:left="9"/>
              <w:rPr>
                <w:sz w:val="21"/>
              </w:rPr>
            </w:pPr>
            <w:r>
              <w:rPr>
                <w:sz w:val="21"/>
              </w:rPr>
              <w:t>指因牙齿以外的原因导致器质障碍或机能障碍，以致不能作咀嚼吞咽运动，除流质食物外</w:t>
            </w:r>
          </w:p>
          <w:p>
            <w:pPr>
              <w:pStyle w:val="TableParagraph"/>
              <w:spacing w:before="89"/>
              <w:ind w:left="9"/>
              <w:rPr>
                <w:sz w:val="21"/>
              </w:rPr>
            </w:pPr>
            <w:r>
              <w:rPr>
                <w:sz w:val="21"/>
              </w:rPr>
              <w:t>不能摄取或吞咽的状态。</w:t>
            </w:r>
          </w:p>
        </w:tc>
      </w:tr>
      <w:tr>
        <w:trPr>
          <w:trHeight w:val="962" w:hRule="atLeast"/>
        </w:trPr>
        <w:tc>
          <w:tcPr>
            <w:tcW w:w="1415" w:type="dxa"/>
          </w:tcPr>
          <w:p>
            <w:pPr>
              <w:pStyle w:val="TableParagraph"/>
              <w:spacing w:line="324" w:lineRule="auto" w:before="26"/>
              <w:ind w:right="-15"/>
              <w:rPr>
                <w:sz w:val="21"/>
              </w:rPr>
            </w:pPr>
            <w:r>
              <w:rPr>
                <w:spacing w:val="-31"/>
                <w:sz w:val="21"/>
              </w:rPr>
              <w:t>六 项 基 本 日常生活活动</w:t>
            </w:r>
          </w:p>
        </w:tc>
        <w:tc>
          <w:tcPr>
            <w:tcW w:w="288" w:type="dxa"/>
          </w:tcPr>
          <w:p>
            <w:pPr>
              <w:pStyle w:val="TableParagraph"/>
              <w:spacing w:before="26"/>
              <w:ind w:left="-1"/>
              <w:rPr>
                <w:sz w:val="21"/>
              </w:rPr>
            </w:pPr>
            <w:r>
              <w:rPr>
                <w:w w:val="100"/>
                <w:sz w:val="21"/>
              </w:rPr>
              <w:t>：</w:t>
            </w:r>
          </w:p>
        </w:tc>
        <w:tc>
          <w:tcPr>
            <w:tcW w:w="8342" w:type="dxa"/>
          </w:tcPr>
          <w:p>
            <w:pPr>
              <w:pStyle w:val="TableParagraph"/>
              <w:spacing w:before="16"/>
              <w:ind w:left="9"/>
              <w:rPr>
                <w:sz w:val="21"/>
              </w:rPr>
            </w:pPr>
            <w:r>
              <w:rPr>
                <w:sz w:val="21"/>
              </w:rPr>
              <w:t>六项基本日常生活活动是指：</w:t>
            </w:r>
          </w:p>
          <w:p>
            <w:pPr>
              <w:pStyle w:val="TableParagraph"/>
              <w:spacing w:before="46"/>
              <w:ind w:left="9"/>
              <w:rPr>
                <w:sz w:val="21"/>
              </w:rPr>
            </w:pPr>
            <w:r>
              <w:rPr>
                <w:sz w:val="21"/>
              </w:rPr>
              <w:t>（</w:t>
            </w:r>
            <w:r>
              <w:rPr>
                <w:rFonts w:ascii="Times New Roman" w:eastAsia="Times New Roman"/>
                <w:sz w:val="21"/>
              </w:rPr>
              <w:t>1</w:t>
            </w:r>
            <w:r>
              <w:rPr>
                <w:sz w:val="21"/>
              </w:rPr>
              <w:t>）穿衣：自己能够穿衣及脱衣；</w:t>
            </w:r>
          </w:p>
          <w:p>
            <w:pPr>
              <w:pStyle w:val="TableParagraph"/>
              <w:spacing w:line="283" w:lineRule="exact" w:before="30"/>
              <w:ind w:left="9"/>
              <w:rPr>
                <w:sz w:val="21"/>
              </w:rPr>
            </w:pPr>
            <w:r>
              <w:rPr>
                <w:sz w:val="21"/>
              </w:rPr>
              <w:t>（</w:t>
            </w:r>
            <w:r>
              <w:rPr>
                <w:rFonts w:ascii="Times New Roman" w:eastAsia="Times New Roman"/>
                <w:sz w:val="21"/>
              </w:rPr>
              <w:t>2</w:t>
            </w:r>
            <w:r>
              <w:rPr>
                <w:sz w:val="21"/>
              </w:rPr>
              <w:t>）移动：自己从一个房间到另一个房间；</w:t>
            </w:r>
          </w:p>
        </w:tc>
      </w:tr>
    </w:tbl>
    <w:p>
      <w:pPr>
        <w:spacing w:after="0" w:line="283" w:lineRule="exact"/>
        <w:rPr>
          <w:sz w:val="21"/>
        </w:rPr>
        <w:sectPr>
          <w:pgSz w:w="11910" w:h="16840"/>
          <w:pgMar w:header="0" w:footer="496" w:top="1000" w:bottom="680" w:left="820" w:right="8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5"/>
        <w:gridCol w:w="333"/>
        <w:gridCol w:w="8370"/>
      </w:tblGrid>
      <w:tr>
        <w:trPr>
          <w:trHeight w:val="1296" w:hRule="atLeast"/>
        </w:trPr>
        <w:tc>
          <w:tcPr>
            <w:tcW w:w="1335" w:type="dxa"/>
          </w:tcPr>
          <w:p>
            <w:pPr>
              <w:pStyle w:val="TableParagraph"/>
              <w:spacing w:before="0"/>
              <w:ind w:left="0"/>
              <w:rPr>
                <w:rFonts w:ascii="Times New Roman"/>
                <w:sz w:val="20"/>
              </w:rPr>
            </w:pPr>
          </w:p>
        </w:tc>
        <w:tc>
          <w:tcPr>
            <w:tcW w:w="333" w:type="dxa"/>
          </w:tcPr>
          <w:p>
            <w:pPr>
              <w:pStyle w:val="TableParagraph"/>
              <w:spacing w:before="0"/>
              <w:ind w:left="0"/>
              <w:rPr>
                <w:rFonts w:ascii="Times New Roman"/>
                <w:sz w:val="20"/>
              </w:rPr>
            </w:pPr>
          </w:p>
        </w:tc>
        <w:tc>
          <w:tcPr>
            <w:tcW w:w="8370" w:type="dxa"/>
          </w:tcPr>
          <w:p>
            <w:pPr>
              <w:pStyle w:val="TableParagraph"/>
              <w:spacing w:line="271" w:lineRule="exact" w:before="0"/>
              <w:ind w:left="44"/>
              <w:rPr>
                <w:sz w:val="21"/>
              </w:rPr>
            </w:pPr>
            <w:r>
              <w:rPr>
                <w:sz w:val="21"/>
              </w:rPr>
              <w:t>（</w:t>
            </w:r>
            <w:r>
              <w:rPr>
                <w:rFonts w:ascii="Times New Roman" w:eastAsia="Times New Roman"/>
                <w:sz w:val="21"/>
              </w:rPr>
              <w:t>3</w:t>
            </w:r>
            <w:r>
              <w:rPr>
                <w:sz w:val="21"/>
              </w:rPr>
              <w:t>）行动：自己上下床或上下轮椅；</w:t>
            </w:r>
          </w:p>
          <w:p>
            <w:pPr>
              <w:pStyle w:val="TableParagraph"/>
              <w:spacing w:before="31"/>
              <w:ind w:left="44"/>
              <w:rPr>
                <w:sz w:val="21"/>
              </w:rPr>
            </w:pPr>
            <w:r>
              <w:rPr>
                <w:sz w:val="21"/>
              </w:rPr>
              <w:t>（</w:t>
            </w:r>
            <w:r>
              <w:rPr>
                <w:rFonts w:ascii="Times New Roman" w:eastAsia="Times New Roman"/>
                <w:sz w:val="21"/>
              </w:rPr>
              <w:t>4</w:t>
            </w:r>
            <w:r>
              <w:rPr>
                <w:sz w:val="21"/>
              </w:rPr>
              <w:t>）如厕：自己控制进行大小便；</w:t>
            </w:r>
          </w:p>
          <w:p>
            <w:pPr>
              <w:pStyle w:val="TableParagraph"/>
              <w:spacing w:before="31"/>
              <w:ind w:left="44"/>
              <w:rPr>
                <w:sz w:val="21"/>
              </w:rPr>
            </w:pPr>
            <w:r>
              <w:rPr>
                <w:sz w:val="21"/>
              </w:rPr>
              <w:t>（</w:t>
            </w:r>
            <w:r>
              <w:rPr>
                <w:rFonts w:ascii="Times New Roman" w:eastAsia="Times New Roman"/>
                <w:sz w:val="21"/>
              </w:rPr>
              <w:t>5</w:t>
            </w:r>
            <w:r>
              <w:rPr>
                <w:sz w:val="21"/>
              </w:rPr>
              <w:t>）进食：自己从已准备好的碗或碟中取食物放入口中；</w:t>
            </w:r>
          </w:p>
          <w:p>
            <w:pPr>
              <w:pStyle w:val="TableParagraph"/>
              <w:spacing w:before="35"/>
              <w:ind w:left="44"/>
              <w:rPr>
                <w:sz w:val="21"/>
              </w:rPr>
            </w:pPr>
            <w:r>
              <w:rPr>
                <w:sz w:val="21"/>
              </w:rPr>
              <w:t>（</w:t>
            </w:r>
            <w:r>
              <w:rPr>
                <w:rFonts w:ascii="Times New Roman" w:eastAsia="Times New Roman"/>
                <w:sz w:val="21"/>
              </w:rPr>
              <w:t>6</w:t>
            </w:r>
            <w:r>
              <w:rPr>
                <w:sz w:val="21"/>
              </w:rPr>
              <w:t>）洗澡：自己进行淋浴或盆浴。</w:t>
            </w:r>
          </w:p>
        </w:tc>
      </w:tr>
      <w:tr>
        <w:trPr>
          <w:trHeight w:val="691" w:hRule="atLeast"/>
        </w:trPr>
        <w:tc>
          <w:tcPr>
            <w:tcW w:w="1335" w:type="dxa"/>
          </w:tcPr>
          <w:p>
            <w:pPr>
              <w:pStyle w:val="TableParagraph"/>
              <w:spacing w:before="24"/>
              <w:rPr>
                <w:sz w:val="21"/>
              </w:rPr>
            </w:pPr>
            <w:r>
              <w:rPr>
                <w:sz w:val="21"/>
              </w:rPr>
              <w:t>永久不可逆</w:t>
            </w:r>
          </w:p>
        </w:tc>
        <w:tc>
          <w:tcPr>
            <w:tcW w:w="333" w:type="dxa"/>
          </w:tcPr>
          <w:p>
            <w:pPr>
              <w:pStyle w:val="TableParagraph"/>
              <w:spacing w:before="24"/>
              <w:ind w:left="79"/>
              <w:rPr>
                <w:sz w:val="21"/>
              </w:rPr>
            </w:pPr>
            <w:r>
              <w:rPr>
                <w:w w:val="100"/>
                <w:sz w:val="21"/>
              </w:rPr>
              <w:t>：</w:t>
            </w:r>
          </w:p>
        </w:tc>
        <w:tc>
          <w:tcPr>
            <w:tcW w:w="8370" w:type="dxa"/>
          </w:tcPr>
          <w:p>
            <w:pPr>
              <w:pStyle w:val="TableParagraph"/>
              <w:spacing w:before="24"/>
              <w:ind w:left="44"/>
              <w:rPr>
                <w:sz w:val="21"/>
              </w:rPr>
            </w:pPr>
            <w:r>
              <w:rPr>
                <w:sz w:val="21"/>
              </w:rPr>
              <w:t>指自疾病确诊或意外伤害发生之日起，经过积极治疗 </w:t>
            </w:r>
            <w:r>
              <w:rPr>
                <w:rFonts w:ascii="Times New Roman" w:eastAsia="Times New Roman"/>
                <w:sz w:val="21"/>
              </w:rPr>
              <w:t>180 </w:t>
            </w:r>
            <w:r>
              <w:rPr>
                <w:sz w:val="21"/>
              </w:rPr>
              <w:t>天，仍无法通过现有医疗手段恢</w:t>
            </w:r>
          </w:p>
          <w:p>
            <w:pPr>
              <w:pStyle w:val="TableParagraph"/>
              <w:spacing w:before="74"/>
              <w:ind w:left="44"/>
              <w:rPr>
                <w:sz w:val="21"/>
              </w:rPr>
            </w:pPr>
            <w:r>
              <w:rPr>
                <w:sz w:val="21"/>
              </w:rPr>
              <w:t>复。</w:t>
            </w:r>
          </w:p>
        </w:tc>
      </w:tr>
    </w:tbl>
    <w:sectPr>
      <w:pgSz w:w="11910" w:h="16840"/>
      <w:pgMar w:header="0" w:footer="496" w:top="860" w:bottom="680" w:left="8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type id="_x0000_t202" o:spt="202" coordsize="21600,21600" path="m,l,21600r21600,l21600,xe">
          <v:stroke joinstyle="miter"/>
          <v:path gradientshapeok="t" o:connecttype="rect"/>
        </v:shapetype>
        <v:shape style="position:absolute;margin-left:55.664001pt;margin-top:802.122498pt;width:180.15pt;height:11.15pt;mso-position-horizontal-relative:page;mso-position-vertical-relative:page;z-index:-25072" type="#_x0000_t202" filled="false" stroked="false">
          <v:textbox inset="0,0,0,0">
            <w:txbxContent>
              <w:p>
                <w:pPr>
                  <w:spacing w:line="202" w:lineRule="exact" w:before="0"/>
                  <w:ind w:left="20" w:right="0" w:firstLine="0"/>
                  <w:jc w:val="left"/>
                  <w:rPr>
                    <w:sz w:val="18"/>
                  </w:rPr>
                </w:pPr>
                <w:r>
                  <w:rPr>
                    <w:spacing w:val="-5"/>
                    <w:sz w:val="18"/>
                  </w:rPr>
                  <w:t>《康乐人生重大疾病保险》</w:t>
                </w:r>
                <w:r>
                  <w:rPr>
                    <w:sz w:val="18"/>
                  </w:rPr>
                  <w:t>2013</w:t>
                </w:r>
                <w:r>
                  <w:rPr>
                    <w:spacing w:val="-23"/>
                    <w:sz w:val="18"/>
                  </w:rPr>
                  <w:t> 年 </w:t>
                </w:r>
                <w:r>
                  <w:rPr>
                    <w:sz w:val="18"/>
                  </w:rPr>
                  <w:t>10</w:t>
                </w:r>
                <w:r>
                  <w:rPr>
                    <w:spacing w:val="-11"/>
                    <w:sz w:val="18"/>
                  </w:rPr>
                  <w:t> 月备案</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66" w:hanging="423"/>
        <w:jc w:val="left"/>
      </w:pPr>
      <w:rPr>
        <w:rFonts w:hint="default" w:ascii="Times New Roman" w:hAnsi="Times New Roman" w:eastAsia="Times New Roman" w:cs="Times New Roman"/>
        <w:w w:val="100"/>
        <w:sz w:val="21"/>
        <w:szCs w:val="21"/>
      </w:rPr>
    </w:lvl>
    <w:lvl w:ilvl="1">
      <w:start w:val="0"/>
      <w:numFmt w:val="bullet"/>
      <w:lvlText w:val="•"/>
      <w:lvlJc w:val="left"/>
      <w:pPr>
        <w:ind w:left="1251" w:hanging="423"/>
      </w:pPr>
      <w:rPr>
        <w:rFonts w:hint="default"/>
      </w:rPr>
    </w:lvl>
    <w:lvl w:ilvl="2">
      <w:start w:val="0"/>
      <w:numFmt w:val="bullet"/>
      <w:lvlText w:val="•"/>
      <w:lvlJc w:val="left"/>
      <w:pPr>
        <w:ind w:left="2043" w:hanging="423"/>
      </w:pPr>
      <w:rPr>
        <w:rFonts w:hint="default"/>
      </w:rPr>
    </w:lvl>
    <w:lvl w:ilvl="3">
      <w:start w:val="0"/>
      <w:numFmt w:val="bullet"/>
      <w:lvlText w:val="•"/>
      <w:lvlJc w:val="left"/>
      <w:pPr>
        <w:ind w:left="2835" w:hanging="423"/>
      </w:pPr>
      <w:rPr>
        <w:rFonts w:hint="default"/>
      </w:rPr>
    </w:lvl>
    <w:lvl w:ilvl="4">
      <w:start w:val="0"/>
      <w:numFmt w:val="bullet"/>
      <w:lvlText w:val="•"/>
      <w:lvlJc w:val="left"/>
      <w:pPr>
        <w:ind w:left="3627" w:hanging="423"/>
      </w:pPr>
      <w:rPr>
        <w:rFonts w:hint="default"/>
      </w:rPr>
    </w:lvl>
    <w:lvl w:ilvl="5">
      <w:start w:val="0"/>
      <w:numFmt w:val="bullet"/>
      <w:lvlText w:val="•"/>
      <w:lvlJc w:val="left"/>
      <w:pPr>
        <w:ind w:left="4419" w:hanging="423"/>
      </w:pPr>
      <w:rPr>
        <w:rFonts w:hint="default"/>
      </w:rPr>
    </w:lvl>
    <w:lvl w:ilvl="6">
      <w:start w:val="0"/>
      <w:numFmt w:val="bullet"/>
      <w:lvlText w:val="•"/>
      <w:lvlJc w:val="left"/>
      <w:pPr>
        <w:ind w:left="5211" w:hanging="423"/>
      </w:pPr>
      <w:rPr>
        <w:rFonts w:hint="default"/>
      </w:rPr>
    </w:lvl>
    <w:lvl w:ilvl="7">
      <w:start w:val="0"/>
      <w:numFmt w:val="bullet"/>
      <w:lvlText w:val="•"/>
      <w:lvlJc w:val="left"/>
      <w:pPr>
        <w:ind w:left="6003" w:hanging="423"/>
      </w:pPr>
      <w:rPr>
        <w:rFonts w:hint="default"/>
      </w:rPr>
    </w:lvl>
    <w:lvl w:ilvl="8">
      <w:start w:val="0"/>
      <w:numFmt w:val="bullet"/>
      <w:lvlText w:val="•"/>
      <w:lvlJc w:val="left"/>
      <w:pPr>
        <w:ind w:left="6795" w:hanging="42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13"/>
    </w:pPr>
    <w:rPr>
      <w:rFonts w:ascii="宋体" w:hAnsi="宋体" w:eastAsia="宋体" w:cs="宋体"/>
      <w:sz w:val="21"/>
      <w:szCs w:val="21"/>
    </w:rPr>
  </w:style>
  <w:style w:styleId="Heading1" w:type="paragraph">
    <w:name w:val="Heading 1"/>
    <w:basedOn w:val="Normal"/>
    <w:uiPriority w:val="1"/>
    <w:qFormat/>
    <w:pPr>
      <w:ind w:left="113"/>
      <w:outlineLvl w:val="1"/>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21"/>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 Xia 夏军</dc:creator>
  <dc:title>太平洋安泰人寿保险有限公司</dc:title>
  <dcterms:created xsi:type="dcterms:W3CDTF">2018-10-20T08:15:14Z</dcterms:created>
  <dcterms:modified xsi:type="dcterms:W3CDTF">2018-10-20T08:15:14Z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2014-05-13T00:00:00Z</vt:filetime>
  </property>
  <property fmtid="{D5CDD505-2E9C-101B-9397-08002B2CF9AE}" pid="3" name="Creator">
    <vt:lpwstr>Microsoft® Office Word 2007</vt:lpwstr>
  </property>
  <property fmtid="{D5CDD505-2E9C-101B-9397-08002B2CF9AE}" pid="4" name="LastSaved">
    <vt:filetime>2018-10-20T00:00:00Z</vt:filetime>
  </property>
</Properties>
</file>