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3943" w:val="left" w:leader="none"/>
        </w:tabs>
        <w:spacing w:before="314"/>
        <w:ind w:left="344" w:right="0" w:firstLine="0"/>
        <w:jc w:val="left"/>
        <w:rPr>
          <w:rFonts w:ascii="微软雅黑" w:eastAsia="微软雅黑" w:hint="eastAsia"/>
          <w:b/>
          <w:sz w:val="32"/>
        </w:rPr>
      </w:pPr>
      <w:r>
        <w:rPr>
          <w:sz w:val="32"/>
        </w:rPr>
        <w:t>附件</w:t>
      </w:r>
      <w:r>
        <w:rPr>
          <w:spacing w:val="-82"/>
          <w:sz w:val="32"/>
        </w:rPr>
        <w:t> </w:t>
      </w:r>
      <w:r>
        <w:rPr>
          <w:sz w:val="32"/>
        </w:rPr>
        <w:t>2-2：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71"/>
        <w:ind w:left="344"/>
      </w:pPr>
      <w:r>
        <w:rPr/>
        <w:br w:type="column"/>
      </w:r>
      <w:r>
        <w:rPr/>
        <w:t>民生保险</w:t>
      </w:r>
      <w:r>
        <w:rPr>
          <w:rFonts w:ascii="Times New Roman" w:eastAsia="Times New Roman"/>
        </w:rPr>
        <w:t>[2018]</w:t>
      </w:r>
      <w:r>
        <w:rPr/>
        <w:t>疾病保险 </w:t>
      </w:r>
      <w:r>
        <w:rPr>
          <w:rFonts w:ascii="Times New Roman" w:eastAsia="Times New Roman"/>
        </w:rPr>
        <w:t>002 </w:t>
      </w:r>
      <w:r>
        <w:rPr/>
        <w:t>号</w:t>
      </w:r>
    </w:p>
    <w:p>
      <w:pPr>
        <w:spacing w:after="0"/>
        <w:sectPr>
          <w:headerReference w:type="default" r:id="rId5"/>
          <w:footerReference w:type="default" r:id="rId6"/>
          <w:type w:val="continuous"/>
          <w:pgSz w:w="11910" w:h="16840"/>
          <w:pgMar w:header="857" w:footer="981" w:top="1040" w:bottom="1180" w:left="960" w:right="940"/>
          <w:pgNumType w:start="1"/>
          <w:cols w:num="2" w:equalWidth="0">
            <w:col w:w="5705" w:space="1238"/>
            <w:col w:w="3067"/>
          </w:cols>
        </w:sectPr>
      </w:pPr>
    </w:p>
    <w:p>
      <w:pPr>
        <w:pStyle w:val="BodyText"/>
        <w:spacing w:before="0"/>
        <w:rPr>
          <w:sz w:val="12"/>
        </w:rPr>
      </w:pPr>
    </w:p>
    <w:p>
      <w:pPr>
        <w:spacing w:before="35"/>
        <w:ind w:left="1747" w:right="0" w:firstLine="0"/>
        <w:jc w:val="left"/>
        <w:rPr>
          <w:b/>
          <w:sz w:val="21"/>
        </w:rPr>
      </w:pPr>
      <w:r>
        <w:rPr/>
        <w:drawing>
          <wp:anchor distT="0" distB="0" distL="0" distR="0" allowOverlap="1" layoutInCell="1" locked="0" behindDoc="0" simplePos="0" relativeHeight="1072">
            <wp:simplePos x="0" y="0"/>
            <wp:positionH relativeFrom="page">
              <wp:posOffset>6067805</wp:posOffset>
            </wp:positionH>
            <wp:positionV relativeFrom="paragraph">
              <wp:posOffset>-369900</wp:posOffset>
            </wp:positionV>
            <wp:extent cx="675131" cy="67589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75131" cy="675894"/>
                    </a:xfrm>
                    <a:prstGeom prst="rect">
                      <a:avLst/>
                    </a:prstGeom>
                  </pic:spPr>
                </pic:pic>
              </a:graphicData>
            </a:graphic>
          </wp:anchor>
        </w:drawing>
      </w:r>
      <w:r>
        <w:rPr>
          <w:b/>
          <w:spacing w:val="-148"/>
          <w:w w:val="95"/>
          <w:sz w:val="21"/>
        </w:rPr>
        <w:t>本</w:t>
      </w:r>
      <w:r>
        <w:rPr>
          <w:spacing w:val="-62"/>
          <w:w w:val="95"/>
          <w:position w:val="-7"/>
          <w:sz w:val="21"/>
        </w:rPr>
        <w:t>．</w:t>
      </w:r>
      <w:r>
        <w:rPr>
          <w:b/>
          <w:spacing w:val="-148"/>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2"/>
          <w:w w:val="95"/>
          <w:position w:val="-7"/>
          <w:sz w:val="21"/>
        </w:rPr>
        <w:t>．</w:t>
      </w:r>
      <w:r>
        <w:rPr>
          <w:b/>
          <w:spacing w:val="-148"/>
          <w:w w:val="95"/>
          <w:sz w:val="21"/>
        </w:rPr>
        <w:t>有</w:t>
      </w:r>
      <w:r>
        <w:rPr>
          <w:spacing w:val="-62"/>
          <w:w w:val="95"/>
          <w:position w:val="-7"/>
          <w:sz w:val="21"/>
        </w:rPr>
        <w:t>．</w:t>
      </w:r>
      <w:r>
        <w:rPr>
          <w:b/>
          <w:spacing w:val="-148"/>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2"/>
          <w:w w:val="95"/>
          <w:position w:val="-7"/>
          <w:sz w:val="21"/>
        </w:rPr>
        <w:t>．</w:t>
      </w:r>
      <w:r>
        <w:rPr>
          <w:b/>
          <w:spacing w:val="-148"/>
          <w:w w:val="95"/>
          <w:sz w:val="21"/>
        </w:rPr>
        <w:t>解</w:t>
      </w:r>
      <w:r>
        <w:rPr>
          <w:spacing w:val="-62"/>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spacing w:before="96"/>
        <w:ind w:right="271"/>
        <w:jc w:val="right"/>
      </w:pPr>
      <w:r>
        <w:rPr/>
        <w:t>请扫描以查询验证条款</w:t>
      </w:r>
    </w:p>
    <w:p>
      <w:pPr>
        <w:pStyle w:val="BodyText"/>
        <w:spacing w:before="5"/>
        <w:rPr>
          <w:sz w:val="10"/>
        </w:rPr>
      </w:pPr>
    </w:p>
    <w:p>
      <w:pPr>
        <w:pStyle w:val="Heading2"/>
        <w:tabs>
          <w:tab w:pos="1382" w:val="left" w:leader="none"/>
        </w:tabs>
        <w:spacing w:before="50"/>
        <w:ind w:left="371"/>
      </w:pPr>
      <w:r>
        <w:rPr/>
        <w:drawing>
          <wp:anchor distT="0" distB="0" distL="0" distR="0" allowOverlap="1" layoutInCell="1" locked="0" behindDoc="1" simplePos="0" relativeHeight="268391519">
            <wp:simplePos x="0" y="0"/>
            <wp:positionH relativeFrom="page">
              <wp:posOffset>678611</wp:posOffset>
            </wp:positionH>
            <wp:positionV relativeFrom="paragraph">
              <wp:posOffset>-79476</wp:posOffset>
            </wp:positionV>
            <wp:extent cx="6124079" cy="7891919"/>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24079" cy="7891919"/>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678" w:val="left" w:leader="none"/>
        </w:tabs>
        <w:spacing w:line="240" w:lineRule="auto" w:before="22" w:after="0"/>
        <w:ind w:left="1677" w:right="0" w:hanging="334"/>
        <w:jc w:val="left"/>
        <w:rPr>
          <w:b/>
          <w:sz w:val="21"/>
        </w:rPr>
      </w:pPr>
      <w:r>
        <w:rPr>
          <w:b/>
          <w:w w:val="95"/>
          <w:sz w:val="21"/>
        </w:rPr>
        <w:t>在犹豫期内您可以要求退还全部保障成本……………………………………第1.3条</w:t>
      </w:r>
    </w:p>
    <w:p>
      <w:pPr>
        <w:pStyle w:val="ListParagraph"/>
        <w:numPr>
          <w:ilvl w:val="0"/>
          <w:numId w:val="1"/>
        </w:numPr>
        <w:tabs>
          <w:tab w:pos="1678" w:val="left" w:leader="none"/>
        </w:tabs>
        <w:spacing w:line="240" w:lineRule="auto" w:before="22" w:after="0"/>
        <w:ind w:left="1677" w:right="0" w:hanging="334"/>
        <w:jc w:val="left"/>
        <w:rPr>
          <w:b/>
          <w:sz w:val="21"/>
        </w:rPr>
      </w:pPr>
      <w:r>
        <w:rPr>
          <w:b/>
          <w:w w:val="95"/>
          <w:sz w:val="21"/>
        </w:rPr>
        <w:t>被保险人享受本附加合同提供的保障…………………………………………第2.2条</w:t>
      </w:r>
    </w:p>
    <w:p>
      <w:pPr>
        <w:pStyle w:val="BodyText"/>
        <w:spacing w:before="0"/>
        <w:rPr>
          <w:b/>
          <w:sz w:val="22"/>
        </w:rPr>
      </w:pPr>
    </w:p>
    <w:p>
      <w:pPr>
        <w:pStyle w:val="BodyText"/>
        <w:spacing w:before="4"/>
        <w:rPr>
          <w:b/>
          <w:sz w:val="17"/>
        </w:rPr>
      </w:pPr>
    </w:p>
    <w:p>
      <w:pPr>
        <w:tabs>
          <w:tab w:pos="1383" w:val="left" w:leader="none"/>
        </w:tabs>
        <w:spacing w:before="1"/>
        <w:ind w:left="371" w:right="0" w:firstLine="0"/>
        <w:jc w:val="left"/>
        <w:rPr>
          <w:b/>
          <w:sz w:val="21"/>
        </w:rPr>
      </w:pPr>
      <w:r>
        <w:rPr>
          <w:rFonts w:ascii="Arial" w:hAnsi="Arial" w:eastAsia="Arial"/>
          <w:b/>
          <w:w w:val="105"/>
          <w:position w:val="-11"/>
          <w:sz w:val="52"/>
        </w:rPr>
        <w:t></w:t>
        <w:tab/>
      </w:r>
      <w:r>
        <w:rPr>
          <w:b/>
          <w:w w:val="95"/>
          <w:sz w:val="21"/>
        </w:rPr>
        <w:t>您应当特别注意的事项</w:t>
      </w:r>
    </w:p>
    <w:p>
      <w:pPr>
        <w:pStyle w:val="ListParagraph"/>
        <w:numPr>
          <w:ilvl w:val="0"/>
          <w:numId w:val="1"/>
        </w:numPr>
        <w:tabs>
          <w:tab w:pos="1678" w:val="left" w:leader="none"/>
        </w:tabs>
        <w:spacing w:line="240" w:lineRule="auto" w:before="157" w:after="0"/>
        <w:ind w:left="1677" w:right="0" w:hanging="334"/>
        <w:jc w:val="left"/>
        <w:rPr>
          <w:b/>
          <w:sz w:val="21"/>
        </w:rPr>
      </w:pPr>
      <w:r>
        <w:rPr>
          <w:b/>
          <w:w w:val="95"/>
          <w:sz w:val="21"/>
        </w:rPr>
        <w:t>在某些情况下，本公司不承担保险责任………………………………………第2.3条</w:t>
      </w:r>
    </w:p>
    <w:p>
      <w:pPr>
        <w:pStyle w:val="ListParagraph"/>
        <w:numPr>
          <w:ilvl w:val="0"/>
          <w:numId w:val="1"/>
        </w:numPr>
        <w:tabs>
          <w:tab w:pos="1678" w:val="left" w:leader="none"/>
        </w:tabs>
        <w:spacing w:line="240" w:lineRule="auto" w:before="22" w:after="0"/>
        <w:ind w:left="1677" w:right="0" w:hanging="334"/>
        <w:jc w:val="left"/>
        <w:rPr>
          <w:b/>
          <w:sz w:val="21"/>
        </w:rPr>
      </w:pPr>
      <w:r>
        <w:rPr>
          <w:b/>
          <w:w w:val="95"/>
          <w:sz w:val="21"/>
        </w:rPr>
        <w:t>退保会给您造成一定的损失，请您慎重决策…………………………………第5.1条</w:t>
      </w:r>
    </w:p>
    <w:p>
      <w:pPr>
        <w:pStyle w:val="ListParagraph"/>
        <w:numPr>
          <w:ilvl w:val="0"/>
          <w:numId w:val="1"/>
        </w:numPr>
        <w:tabs>
          <w:tab w:pos="1678" w:val="left" w:leader="none"/>
        </w:tabs>
        <w:spacing w:line="240" w:lineRule="auto" w:before="22" w:after="0"/>
        <w:ind w:left="1677" w:right="0" w:hanging="334"/>
        <w:jc w:val="left"/>
        <w:rPr>
          <w:b/>
          <w:sz w:val="21"/>
        </w:rPr>
      </w:pPr>
      <w:r>
        <w:rPr>
          <w:b/>
          <w:spacing w:val="-1"/>
          <w:sz w:val="21"/>
        </w:rPr>
        <w:t>本公司对一些重要术语进行了解释，并作了显著标识，请您注意…………第 </w:t>
      </w:r>
      <w:r>
        <w:rPr>
          <w:b/>
          <w:sz w:val="21"/>
        </w:rPr>
        <w:t>7</w:t>
      </w:r>
      <w:r>
        <w:rPr>
          <w:b/>
          <w:spacing w:val="-2"/>
          <w:sz w:val="21"/>
        </w:rPr>
        <w:t> 条</w:t>
      </w:r>
    </w:p>
    <w:p>
      <w:pPr>
        <w:pStyle w:val="BodyText"/>
        <w:spacing w:before="7"/>
        <w:rPr>
          <w:b/>
          <w:sz w:val="15"/>
        </w:rPr>
      </w:pPr>
    </w:p>
    <w:p>
      <w:pPr>
        <w:tabs>
          <w:tab w:pos="1383" w:val="left" w:leader="none"/>
        </w:tabs>
        <w:spacing w:before="0"/>
        <w:ind w:left="371"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tabs>
          <w:tab w:pos="1382" w:val="left" w:leader="none"/>
        </w:tabs>
        <w:spacing w:before="160"/>
        <w:ind w:left="371" w:right="0" w:firstLine="0"/>
        <w:jc w:val="left"/>
        <w:rPr>
          <w:b/>
          <w:sz w:val="21"/>
        </w:rPr>
      </w:pPr>
      <w:r>
        <w:rPr>
          <w:rFonts w:ascii="Arial" w:hAnsi="Arial" w:eastAsia="Arial"/>
          <w:b/>
          <w:w w:val="110"/>
          <w:position w:val="-11"/>
          <w:sz w:val="52"/>
        </w:rPr>
        <w:t></w:t>
        <w:tab/>
      </w:r>
      <w:r>
        <w:rPr>
          <w:b/>
          <w:w w:val="95"/>
          <w:sz w:val="21"/>
        </w:rPr>
        <w:t>条款目录</w:t>
      </w:r>
    </w:p>
    <w:p>
      <w:pPr>
        <w:pStyle w:val="BodyText"/>
        <w:spacing w:before="4"/>
        <w:rPr>
          <w:b/>
          <w:sz w:val="16"/>
        </w:rPr>
      </w:pPr>
    </w:p>
    <w:p>
      <w:pPr>
        <w:spacing w:after="0"/>
        <w:rPr>
          <w:sz w:val="16"/>
        </w:rPr>
        <w:sectPr>
          <w:type w:val="continuous"/>
          <w:pgSz w:w="11910" w:h="16840"/>
          <w:pgMar w:top="1040" w:bottom="1180" w:left="960" w:right="940"/>
        </w:sectPr>
      </w:pPr>
    </w:p>
    <w:p>
      <w:pPr>
        <w:pStyle w:val="Heading2"/>
        <w:spacing w:before="93"/>
        <w:ind w:left="992"/>
      </w:pPr>
      <w:r>
        <w:rPr/>
        <w:pict>
          <v:line style="position:absolute;mso-position-horizontal-relative:page;mso-position-vertical-relative:page;z-index:0" from="63.720001pt,55.619984pt" to="543.000001pt,55.619984pt" stroked="true" strokeweight=".72003pt" strokecolor="#000000">
            <v:stroke dashstyle="solid"/>
            <w10:wrap type="none"/>
          </v:line>
        </w:pict>
      </w:r>
      <w:r>
        <w:rPr>
          <w:w w:val="95"/>
        </w:rPr>
        <w:t>1.您与我们的合同</w:t>
      </w:r>
    </w:p>
    <w:p>
      <w:pPr>
        <w:pStyle w:val="ListParagraph"/>
        <w:numPr>
          <w:ilvl w:val="1"/>
          <w:numId w:val="2"/>
        </w:numPr>
        <w:tabs>
          <w:tab w:pos="1571" w:val="left" w:leader="none"/>
        </w:tabs>
        <w:spacing w:line="240" w:lineRule="auto" w:before="37" w:after="0"/>
        <w:ind w:left="1570" w:right="0" w:hanging="368"/>
        <w:jc w:val="left"/>
        <w:rPr>
          <w:sz w:val="21"/>
        </w:rPr>
      </w:pPr>
      <w:r>
        <w:rPr>
          <w:sz w:val="21"/>
        </w:rPr>
        <w:t>合同构成</w:t>
      </w:r>
    </w:p>
    <w:p>
      <w:pPr>
        <w:pStyle w:val="ListParagraph"/>
        <w:numPr>
          <w:ilvl w:val="1"/>
          <w:numId w:val="2"/>
        </w:numPr>
        <w:tabs>
          <w:tab w:pos="1571" w:val="left" w:leader="none"/>
        </w:tabs>
        <w:spacing w:line="240" w:lineRule="auto" w:before="37" w:after="0"/>
        <w:ind w:left="1570" w:right="0" w:hanging="368"/>
        <w:jc w:val="left"/>
        <w:rPr>
          <w:sz w:val="21"/>
        </w:rPr>
      </w:pPr>
      <w:r>
        <w:rPr>
          <w:spacing w:val="-1"/>
          <w:sz w:val="21"/>
        </w:rPr>
        <w:t>合同成立与生效</w:t>
      </w:r>
    </w:p>
    <w:p>
      <w:pPr>
        <w:pStyle w:val="ListParagraph"/>
        <w:numPr>
          <w:ilvl w:val="1"/>
          <w:numId w:val="2"/>
        </w:numPr>
        <w:tabs>
          <w:tab w:pos="1571" w:val="left" w:leader="none"/>
        </w:tabs>
        <w:spacing w:line="240" w:lineRule="auto" w:before="37" w:after="0"/>
        <w:ind w:left="1570" w:right="0" w:hanging="368"/>
        <w:jc w:val="left"/>
        <w:rPr>
          <w:sz w:val="21"/>
        </w:rPr>
      </w:pPr>
      <w:r>
        <w:rPr>
          <w:sz w:val="21"/>
        </w:rPr>
        <w:t>犹豫期</w:t>
      </w:r>
    </w:p>
    <w:p>
      <w:pPr>
        <w:pStyle w:val="ListParagraph"/>
        <w:numPr>
          <w:ilvl w:val="1"/>
          <w:numId w:val="2"/>
        </w:numPr>
        <w:tabs>
          <w:tab w:pos="1571" w:val="left" w:leader="none"/>
        </w:tabs>
        <w:spacing w:line="240" w:lineRule="auto" w:before="37" w:after="0"/>
        <w:ind w:left="1570" w:right="0" w:hanging="368"/>
        <w:jc w:val="left"/>
        <w:rPr>
          <w:sz w:val="21"/>
        </w:rPr>
      </w:pPr>
      <w:r>
        <w:rPr>
          <w:spacing w:val="-1"/>
          <w:sz w:val="21"/>
        </w:rPr>
        <w:t>保险期间和续保</w:t>
      </w:r>
    </w:p>
    <w:p>
      <w:pPr>
        <w:pStyle w:val="BodyText"/>
        <w:spacing w:before="8"/>
        <w:rPr>
          <w:sz w:val="26"/>
        </w:rPr>
      </w:pPr>
    </w:p>
    <w:p>
      <w:pPr>
        <w:pStyle w:val="Heading2"/>
        <w:spacing w:before="0"/>
        <w:ind w:left="992"/>
      </w:pPr>
      <w:r>
        <w:rPr>
          <w:w w:val="95"/>
        </w:rPr>
        <w:t>2.我们提供的保障</w:t>
      </w:r>
    </w:p>
    <w:p>
      <w:pPr>
        <w:pStyle w:val="ListParagraph"/>
        <w:numPr>
          <w:ilvl w:val="1"/>
          <w:numId w:val="3"/>
        </w:numPr>
        <w:tabs>
          <w:tab w:pos="1623" w:val="left" w:leader="none"/>
        </w:tabs>
        <w:spacing w:line="240" w:lineRule="auto" w:before="36" w:after="0"/>
        <w:ind w:left="1622" w:right="0" w:hanging="420"/>
        <w:jc w:val="left"/>
        <w:rPr>
          <w:sz w:val="21"/>
        </w:rPr>
      </w:pPr>
      <w:r>
        <w:rPr>
          <w:spacing w:val="-1"/>
          <w:sz w:val="21"/>
        </w:rPr>
        <w:t>保险金额</w:t>
      </w:r>
    </w:p>
    <w:p>
      <w:pPr>
        <w:pStyle w:val="ListParagraph"/>
        <w:numPr>
          <w:ilvl w:val="1"/>
          <w:numId w:val="3"/>
        </w:numPr>
        <w:tabs>
          <w:tab w:pos="1623" w:val="left" w:leader="none"/>
        </w:tabs>
        <w:spacing w:line="240" w:lineRule="auto" w:before="36" w:after="0"/>
        <w:ind w:left="1622" w:right="0" w:hanging="420"/>
        <w:jc w:val="left"/>
        <w:rPr>
          <w:sz w:val="21"/>
        </w:rPr>
      </w:pPr>
      <w:r>
        <w:rPr>
          <w:spacing w:val="-1"/>
          <w:sz w:val="21"/>
        </w:rPr>
        <w:t>保险责任</w:t>
      </w:r>
    </w:p>
    <w:p>
      <w:pPr>
        <w:pStyle w:val="ListParagraph"/>
        <w:numPr>
          <w:ilvl w:val="1"/>
          <w:numId w:val="3"/>
        </w:numPr>
        <w:tabs>
          <w:tab w:pos="1571" w:val="left" w:leader="none"/>
        </w:tabs>
        <w:spacing w:line="240" w:lineRule="auto" w:before="36" w:after="0"/>
        <w:ind w:left="1570" w:right="0" w:hanging="368"/>
        <w:jc w:val="left"/>
        <w:rPr>
          <w:sz w:val="21"/>
        </w:rPr>
      </w:pPr>
      <w:r>
        <w:rPr>
          <w:sz w:val="21"/>
        </w:rPr>
        <w:t>责任免除</w:t>
      </w:r>
    </w:p>
    <w:p>
      <w:pPr>
        <w:pStyle w:val="BodyText"/>
        <w:spacing w:before="8"/>
        <w:rPr>
          <w:sz w:val="26"/>
        </w:rPr>
      </w:pPr>
    </w:p>
    <w:p>
      <w:pPr>
        <w:pStyle w:val="Heading2"/>
        <w:spacing w:before="0"/>
        <w:ind w:left="992"/>
      </w:pPr>
      <w:r>
        <w:rPr>
          <w:w w:val="95"/>
        </w:rPr>
        <w:t>3.如何申请领取保险金</w:t>
      </w:r>
    </w:p>
    <w:p>
      <w:pPr>
        <w:pStyle w:val="ListParagraph"/>
        <w:numPr>
          <w:ilvl w:val="1"/>
          <w:numId w:val="4"/>
        </w:numPr>
        <w:tabs>
          <w:tab w:pos="1623" w:val="left" w:leader="none"/>
        </w:tabs>
        <w:spacing w:line="240" w:lineRule="auto" w:before="36" w:after="0"/>
        <w:ind w:left="1622" w:right="0" w:hanging="420"/>
        <w:jc w:val="left"/>
        <w:rPr>
          <w:sz w:val="21"/>
        </w:rPr>
      </w:pPr>
      <w:r>
        <w:rPr>
          <w:spacing w:val="-1"/>
          <w:sz w:val="21"/>
        </w:rPr>
        <w:t>受益人的指定和变更</w:t>
      </w:r>
    </w:p>
    <w:p>
      <w:pPr>
        <w:pStyle w:val="ListParagraph"/>
        <w:numPr>
          <w:ilvl w:val="1"/>
          <w:numId w:val="4"/>
        </w:numPr>
        <w:tabs>
          <w:tab w:pos="1571" w:val="left" w:leader="none"/>
        </w:tabs>
        <w:spacing w:line="240" w:lineRule="auto" w:before="36" w:after="0"/>
        <w:ind w:left="1570" w:right="0" w:hanging="368"/>
        <w:jc w:val="left"/>
        <w:rPr>
          <w:sz w:val="21"/>
        </w:rPr>
      </w:pPr>
      <w:r>
        <w:rPr>
          <w:spacing w:val="-1"/>
          <w:sz w:val="21"/>
        </w:rPr>
        <w:t>保险金的申请</w:t>
      </w:r>
    </w:p>
    <w:p>
      <w:pPr>
        <w:pStyle w:val="ListParagraph"/>
        <w:numPr>
          <w:ilvl w:val="1"/>
          <w:numId w:val="4"/>
        </w:numPr>
        <w:tabs>
          <w:tab w:pos="1623" w:val="left" w:leader="none"/>
        </w:tabs>
        <w:spacing w:line="240" w:lineRule="auto" w:before="36" w:after="0"/>
        <w:ind w:left="1622" w:right="0" w:hanging="420"/>
        <w:jc w:val="left"/>
        <w:rPr>
          <w:sz w:val="21"/>
        </w:rPr>
      </w:pPr>
      <w:r>
        <w:rPr>
          <w:spacing w:val="-1"/>
          <w:sz w:val="21"/>
        </w:rPr>
        <w:t>诉讼时效</w:t>
      </w:r>
    </w:p>
    <w:p>
      <w:pPr>
        <w:pStyle w:val="Heading2"/>
        <w:spacing w:before="85"/>
        <w:ind w:left="305"/>
      </w:pPr>
      <w:r>
        <w:rPr>
          <w:b w:val="0"/>
        </w:rPr>
        <w:br w:type="column"/>
      </w:r>
      <w:r>
        <w:rPr>
          <w:w w:val="95"/>
        </w:rPr>
        <w:t>4.如何收取保障成本</w:t>
      </w:r>
    </w:p>
    <w:p>
      <w:pPr>
        <w:pStyle w:val="ListParagraph"/>
        <w:numPr>
          <w:ilvl w:val="1"/>
          <w:numId w:val="5"/>
        </w:numPr>
        <w:tabs>
          <w:tab w:pos="937" w:val="left" w:leader="none"/>
        </w:tabs>
        <w:spacing w:line="240" w:lineRule="auto" w:before="37" w:after="0"/>
        <w:ind w:left="936" w:right="0" w:hanging="421"/>
        <w:jc w:val="left"/>
        <w:rPr>
          <w:sz w:val="21"/>
        </w:rPr>
      </w:pPr>
      <w:r>
        <w:rPr>
          <w:spacing w:val="-1"/>
          <w:sz w:val="21"/>
        </w:rPr>
        <w:t>保障成本</w:t>
      </w:r>
    </w:p>
    <w:p>
      <w:pPr>
        <w:pStyle w:val="ListParagraph"/>
        <w:numPr>
          <w:ilvl w:val="1"/>
          <w:numId w:val="5"/>
        </w:numPr>
        <w:tabs>
          <w:tab w:pos="937" w:val="left" w:leader="none"/>
        </w:tabs>
        <w:spacing w:line="240" w:lineRule="auto" w:before="37" w:after="0"/>
        <w:ind w:left="936" w:right="0" w:hanging="421"/>
        <w:jc w:val="left"/>
        <w:rPr>
          <w:sz w:val="21"/>
        </w:rPr>
      </w:pPr>
      <w:r>
        <w:rPr>
          <w:spacing w:val="-1"/>
          <w:sz w:val="21"/>
        </w:rPr>
        <w:t>保障成本的收取</w:t>
      </w:r>
    </w:p>
    <w:p>
      <w:pPr>
        <w:pStyle w:val="ListParagraph"/>
        <w:numPr>
          <w:ilvl w:val="1"/>
          <w:numId w:val="5"/>
        </w:numPr>
        <w:tabs>
          <w:tab w:pos="937" w:val="left" w:leader="none"/>
        </w:tabs>
        <w:spacing w:line="240" w:lineRule="auto" w:before="37" w:after="0"/>
        <w:ind w:left="936" w:right="0" w:hanging="421"/>
        <w:jc w:val="left"/>
        <w:rPr>
          <w:sz w:val="21"/>
        </w:rPr>
      </w:pPr>
      <w:r>
        <w:rPr>
          <w:sz w:val="21"/>
        </w:rPr>
        <w:t>宽限期</w:t>
      </w:r>
    </w:p>
    <w:p>
      <w:pPr>
        <w:pStyle w:val="BodyText"/>
        <w:spacing w:before="8"/>
        <w:rPr>
          <w:sz w:val="26"/>
        </w:rPr>
      </w:pPr>
    </w:p>
    <w:p>
      <w:pPr>
        <w:pStyle w:val="Heading2"/>
        <w:spacing w:before="0"/>
        <w:ind w:left="305"/>
      </w:pPr>
      <w:r>
        <w:rPr>
          <w:w w:val="95"/>
        </w:rPr>
        <w:t>5.如何解除保险合同</w:t>
      </w:r>
    </w:p>
    <w:p>
      <w:pPr>
        <w:spacing w:line="273" w:lineRule="auto" w:before="36"/>
        <w:ind w:left="935" w:right="343" w:hanging="630"/>
        <w:jc w:val="left"/>
        <w:rPr>
          <w:sz w:val="21"/>
        </w:rPr>
      </w:pPr>
      <w:r>
        <w:rPr>
          <w:sz w:val="21"/>
        </w:rPr>
        <w:t>5.1 您解除合同的手续及风险</w:t>
      </w:r>
    </w:p>
    <w:p>
      <w:pPr>
        <w:pStyle w:val="BodyText"/>
        <w:spacing w:before="5"/>
        <w:rPr>
          <w:sz w:val="24"/>
        </w:rPr>
      </w:pPr>
    </w:p>
    <w:p>
      <w:pPr>
        <w:pStyle w:val="Heading2"/>
        <w:spacing w:before="0"/>
        <w:ind w:left="305"/>
      </w:pPr>
      <w:r>
        <w:rPr>
          <w:w w:val="95"/>
        </w:rPr>
        <w:t>6.其他需要您关注的事项</w:t>
      </w:r>
    </w:p>
    <w:p>
      <w:pPr>
        <w:pStyle w:val="ListParagraph"/>
        <w:numPr>
          <w:ilvl w:val="1"/>
          <w:numId w:val="6"/>
        </w:numPr>
        <w:tabs>
          <w:tab w:pos="937" w:val="left" w:leader="none"/>
        </w:tabs>
        <w:spacing w:line="240" w:lineRule="auto" w:before="37" w:after="0"/>
        <w:ind w:left="1022" w:right="0" w:hanging="507"/>
        <w:jc w:val="left"/>
        <w:rPr>
          <w:sz w:val="21"/>
        </w:rPr>
      </w:pPr>
      <w:r>
        <w:rPr>
          <w:spacing w:val="-1"/>
          <w:sz w:val="21"/>
        </w:rPr>
        <w:t>投保范围</w:t>
      </w:r>
    </w:p>
    <w:p>
      <w:pPr>
        <w:pStyle w:val="ListParagraph"/>
        <w:numPr>
          <w:ilvl w:val="1"/>
          <w:numId w:val="6"/>
        </w:numPr>
        <w:tabs>
          <w:tab w:pos="937" w:val="left" w:leader="none"/>
        </w:tabs>
        <w:spacing w:line="240" w:lineRule="auto" w:before="37" w:after="0"/>
        <w:ind w:left="1022" w:right="0" w:hanging="507"/>
        <w:jc w:val="left"/>
        <w:rPr>
          <w:sz w:val="21"/>
        </w:rPr>
      </w:pPr>
      <w:r>
        <w:rPr>
          <w:spacing w:val="-1"/>
          <w:sz w:val="21"/>
        </w:rPr>
        <w:t>合同效力</w:t>
      </w:r>
    </w:p>
    <w:p>
      <w:pPr>
        <w:pStyle w:val="ListParagraph"/>
        <w:numPr>
          <w:ilvl w:val="1"/>
          <w:numId w:val="6"/>
        </w:numPr>
        <w:tabs>
          <w:tab w:pos="955" w:val="left" w:leader="none"/>
        </w:tabs>
        <w:spacing w:line="273" w:lineRule="auto" w:before="37" w:after="0"/>
        <w:ind w:left="1022" w:right="0" w:hanging="507"/>
        <w:jc w:val="left"/>
        <w:rPr>
          <w:sz w:val="21"/>
        </w:rPr>
      </w:pPr>
      <w:r>
        <w:rPr>
          <w:spacing w:val="12"/>
          <w:sz w:val="21"/>
        </w:rPr>
        <w:t>年龄计算与错误处理</w:t>
      </w:r>
    </w:p>
    <w:p>
      <w:pPr>
        <w:pStyle w:val="ListParagraph"/>
        <w:numPr>
          <w:ilvl w:val="1"/>
          <w:numId w:val="6"/>
        </w:numPr>
        <w:tabs>
          <w:tab w:pos="937" w:val="left" w:leader="none"/>
        </w:tabs>
        <w:spacing w:line="240" w:lineRule="auto" w:before="7" w:after="0"/>
        <w:ind w:left="936" w:right="0" w:hanging="421"/>
        <w:jc w:val="left"/>
        <w:rPr>
          <w:sz w:val="21"/>
        </w:rPr>
      </w:pPr>
      <w:r>
        <w:rPr>
          <w:spacing w:val="-1"/>
          <w:sz w:val="21"/>
        </w:rPr>
        <w:t>适用主合同条款</w:t>
      </w:r>
    </w:p>
    <w:p>
      <w:pPr>
        <w:pStyle w:val="Heading2"/>
        <w:ind w:left="322"/>
      </w:pPr>
      <w:r>
        <w:rPr>
          <w:b w:val="0"/>
        </w:rPr>
        <w:br w:type="column"/>
      </w:r>
      <w:r>
        <w:rPr>
          <w:w w:val="95"/>
        </w:rPr>
        <w:t>7.释义</w:t>
      </w:r>
    </w:p>
    <w:p>
      <w:pPr>
        <w:pStyle w:val="ListParagraph"/>
        <w:numPr>
          <w:ilvl w:val="1"/>
          <w:numId w:val="7"/>
        </w:numPr>
        <w:tabs>
          <w:tab w:pos="901" w:val="left" w:leader="none"/>
        </w:tabs>
        <w:spacing w:line="240" w:lineRule="auto" w:before="36" w:after="0"/>
        <w:ind w:left="1058" w:right="0" w:hanging="526"/>
        <w:jc w:val="left"/>
        <w:rPr>
          <w:sz w:val="21"/>
        </w:rPr>
      </w:pPr>
      <w:r>
        <w:rPr>
          <w:spacing w:val="-1"/>
          <w:sz w:val="21"/>
        </w:rPr>
        <w:t>有效身份证件</w:t>
      </w:r>
    </w:p>
    <w:p>
      <w:pPr>
        <w:pStyle w:val="ListParagraph"/>
        <w:numPr>
          <w:ilvl w:val="1"/>
          <w:numId w:val="7"/>
        </w:numPr>
        <w:tabs>
          <w:tab w:pos="901" w:val="left" w:leader="none"/>
        </w:tabs>
        <w:spacing w:line="240" w:lineRule="auto" w:before="36" w:after="0"/>
        <w:ind w:left="1058" w:right="0" w:hanging="526"/>
        <w:jc w:val="left"/>
        <w:rPr>
          <w:sz w:val="21"/>
        </w:rPr>
      </w:pPr>
      <w:r>
        <w:rPr>
          <w:sz w:val="21"/>
        </w:rPr>
        <w:t>发病</w:t>
      </w:r>
    </w:p>
    <w:p>
      <w:pPr>
        <w:pStyle w:val="ListParagraph"/>
        <w:numPr>
          <w:ilvl w:val="1"/>
          <w:numId w:val="7"/>
        </w:numPr>
        <w:tabs>
          <w:tab w:pos="901" w:val="left" w:leader="none"/>
        </w:tabs>
        <w:spacing w:line="240" w:lineRule="auto" w:before="36" w:after="0"/>
        <w:ind w:left="1058" w:right="0" w:hanging="526"/>
        <w:jc w:val="left"/>
        <w:rPr>
          <w:sz w:val="21"/>
        </w:rPr>
      </w:pPr>
      <w:r>
        <w:rPr>
          <w:spacing w:val="-1"/>
          <w:sz w:val="21"/>
        </w:rPr>
        <w:t>指定或认可的医疗机构</w:t>
      </w:r>
    </w:p>
    <w:p>
      <w:pPr>
        <w:pStyle w:val="ListParagraph"/>
        <w:numPr>
          <w:ilvl w:val="1"/>
          <w:numId w:val="7"/>
        </w:numPr>
        <w:tabs>
          <w:tab w:pos="901" w:val="left" w:leader="none"/>
        </w:tabs>
        <w:spacing w:line="240" w:lineRule="auto" w:before="36" w:after="0"/>
        <w:ind w:left="1058" w:right="0" w:hanging="526"/>
        <w:jc w:val="left"/>
        <w:rPr>
          <w:sz w:val="21"/>
        </w:rPr>
      </w:pPr>
      <w:r>
        <w:rPr>
          <w:sz w:val="21"/>
        </w:rPr>
        <w:t>意外事故</w:t>
      </w:r>
    </w:p>
    <w:p>
      <w:pPr>
        <w:pStyle w:val="ListParagraph"/>
        <w:numPr>
          <w:ilvl w:val="1"/>
          <w:numId w:val="7"/>
        </w:numPr>
        <w:tabs>
          <w:tab w:pos="901" w:val="left" w:leader="none"/>
        </w:tabs>
        <w:spacing w:line="240" w:lineRule="auto" w:before="36" w:after="0"/>
        <w:ind w:left="1058" w:right="0" w:hanging="526"/>
        <w:jc w:val="left"/>
        <w:rPr>
          <w:sz w:val="21"/>
        </w:rPr>
      </w:pPr>
      <w:r>
        <w:rPr>
          <w:sz w:val="21"/>
        </w:rPr>
        <w:t>毒品</w:t>
      </w:r>
    </w:p>
    <w:p>
      <w:pPr>
        <w:pStyle w:val="ListParagraph"/>
        <w:numPr>
          <w:ilvl w:val="1"/>
          <w:numId w:val="7"/>
        </w:numPr>
        <w:tabs>
          <w:tab w:pos="901" w:val="left" w:leader="none"/>
        </w:tabs>
        <w:spacing w:line="240" w:lineRule="auto" w:before="36" w:after="0"/>
        <w:ind w:left="1058" w:right="0" w:hanging="526"/>
        <w:jc w:val="left"/>
        <w:rPr>
          <w:sz w:val="21"/>
        </w:rPr>
      </w:pPr>
      <w:r>
        <w:rPr>
          <w:spacing w:val="-1"/>
          <w:sz w:val="21"/>
        </w:rPr>
        <w:t>饮酒后驾驶或醉酒驾驶</w:t>
      </w:r>
    </w:p>
    <w:p>
      <w:pPr>
        <w:pStyle w:val="ListParagraph"/>
        <w:numPr>
          <w:ilvl w:val="1"/>
          <w:numId w:val="7"/>
        </w:numPr>
        <w:tabs>
          <w:tab w:pos="901" w:val="left" w:leader="none"/>
        </w:tabs>
        <w:spacing w:line="240" w:lineRule="auto" w:before="36" w:after="0"/>
        <w:ind w:left="1058" w:right="0" w:hanging="526"/>
        <w:jc w:val="left"/>
        <w:rPr>
          <w:sz w:val="21"/>
        </w:rPr>
      </w:pPr>
      <w:r>
        <w:rPr>
          <w:spacing w:val="-1"/>
          <w:sz w:val="21"/>
        </w:rPr>
        <w:t>无合法有效驾驶证驾驶</w:t>
      </w:r>
    </w:p>
    <w:p>
      <w:pPr>
        <w:pStyle w:val="ListParagraph"/>
        <w:numPr>
          <w:ilvl w:val="1"/>
          <w:numId w:val="7"/>
        </w:numPr>
        <w:tabs>
          <w:tab w:pos="901" w:val="left" w:leader="none"/>
        </w:tabs>
        <w:spacing w:line="240" w:lineRule="auto" w:before="36" w:after="0"/>
        <w:ind w:left="1058" w:right="0" w:hanging="526"/>
        <w:jc w:val="left"/>
        <w:rPr>
          <w:sz w:val="21"/>
        </w:rPr>
      </w:pPr>
      <w:r>
        <w:rPr>
          <w:spacing w:val="-1"/>
          <w:sz w:val="21"/>
        </w:rPr>
        <w:t>无有效行驶证</w:t>
      </w:r>
    </w:p>
    <w:p>
      <w:pPr>
        <w:pStyle w:val="ListParagraph"/>
        <w:numPr>
          <w:ilvl w:val="1"/>
          <w:numId w:val="7"/>
        </w:numPr>
        <w:tabs>
          <w:tab w:pos="901" w:val="left" w:leader="none"/>
        </w:tabs>
        <w:spacing w:line="240" w:lineRule="auto" w:before="36" w:after="0"/>
        <w:ind w:left="900" w:right="0" w:hanging="368"/>
        <w:jc w:val="left"/>
        <w:rPr>
          <w:sz w:val="21"/>
        </w:rPr>
      </w:pPr>
      <w:r>
        <w:rPr>
          <w:sz w:val="21"/>
        </w:rPr>
        <w:t>艾滋病</w:t>
      </w:r>
    </w:p>
    <w:p>
      <w:pPr>
        <w:pStyle w:val="ListParagraph"/>
        <w:numPr>
          <w:ilvl w:val="1"/>
          <w:numId w:val="7"/>
        </w:numPr>
        <w:tabs>
          <w:tab w:pos="1007" w:val="left" w:leader="none"/>
        </w:tabs>
        <w:spacing w:line="240" w:lineRule="auto" w:before="36" w:after="0"/>
        <w:ind w:left="1006" w:right="0" w:hanging="474"/>
        <w:jc w:val="left"/>
        <w:rPr>
          <w:sz w:val="21"/>
        </w:rPr>
      </w:pPr>
      <w:r>
        <w:rPr>
          <w:spacing w:val="-1"/>
          <w:sz w:val="21"/>
        </w:rPr>
        <w:t>艾滋病病毒</w:t>
      </w:r>
    </w:p>
    <w:p>
      <w:pPr>
        <w:pStyle w:val="ListParagraph"/>
        <w:numPr>
          <w:ilvl w:val="1"/>
          <w:numId w:val="7"/>
        </w:numPr>
        <w:tabs>
          <w:tab w:pos="1007" w:val="left" w:leader="none"/>
        </w:tabs>
        <w:spacing w:line="240" w:lineRule="auto" w:before="36" w:after="0"/>
        <w:ind w:left="1006" w:right="0" w:hanging="474"/>
        <w:jc w:val="left"/>
        <w:rPr>
          <w:sz w:val="21"/>
        </w:rPr>
      </w:pPr>
      <w:r>
        <w:rPr>
          <w:spacing w:val="-1"/>
          <w:sz w:val="21"/>
        </w:rPr>
        <w:t>遗传性疾病</w:t>
      </w:r>
    </w:p>
    <w:p>
      <w:pPr>
        <w:pStyle w:val="ListParagraph"/>
        <w:numPr>
          <w:ilvl w:val="1"/>
          <w:numId w:val="7"/>
        </w:numPr>
        <w:tabs>
          <w:tab w:pos="1007" w:val="left" w:leader="none"/>
        </w:tabs>
        <w:spacing w:line="273" w:lineRule="auto" w:before="36" w:after="0"/>
        <w:ind w:left="1058" w:right="561" w:hanging="526"/>
        <w:jc w:val="left"/>
        <w:rPr>
          <w:sz w:val="21"/>
        </w:rPr>
      </w:pPr>
      <w:r>
        <w:rPr>
          <w:spacing w:val="-4"/>
          <w:sz w:val="21"/>
        </w:rPr>
        <w:t>先天性畸形、变形或染色体异常</w:t>
      </w:r>
    </w:p>
    <w:p>
      <w:pPr>
        <w:spacing w:after="0" w:line="273" w:lineRule="auto"/>
        <w:jc w:val="left"/>
        <w:rPr>
          <w:sz w:val="21"/>
        </w:rPr>
        <w:sectPr>
          <w:type w:val="continuous"/>
          <w:pgSz w:w="11910" w:h="16840"/>
          <w:pgMar w:top="1040" w:bottom="1180" w:left="960" w:right="940"/>
          <w:cols w:num="3" w:equalWidth="0">
            <w:col w:w="3513" w:space="40"/>
            <w:col w:w="2764" w:space="39"/>
            <w:col w:w="3654"/>
          </w:cols>
        </w:sectPr>
      </w:pPr>
    </w:p>
    <w:p>
      <w:pPr>
        <w:pStyle w:val="BodyText"/>
        <w:spacing w:before="3"/>
        <w:rPr>
          <w:sz w:val="28"/>
        </w:rPr>
      </w:pPr>
    </w:p>
    <w:p>
      <w:pPr>
        <w:spacing w:before="14"/>
        <w:ind w:left="2566" w:right="2695" w:firstLine="0"/>
        <w:jc w:val="center"/>
        <w:rPr>
          <w:b/>
          <w:sz w:val="28"/>
        </w:rPr>
      </w:pPr>
      <w:r>
        <w:rPr>
          <w:b/>
          <w:w w:val="95"/>
          <w:sz w:val="28"/>
        </w:rPr>
        <w:t>民生人寿保险股份有限公司</w:t>
      </w:r>
    </w:p>
    <w:p>
      <w:pPr>
        <w:pStyle w:val="BodyText"/>
        <w:spacing w:before="9"/>
        <w:rPr>
          <w:b/>
          <w:sz w:val="19"/>
        </w:rPr>
      </w:pPr>
    </w:p>
    <w:p>
      <w:pPr>
        <w:spacing w:before="0"/>
        <w:ind w:left="2567" w:right="2695" w:firstLine="0"/>
        <w:jc w:val="center"/>
        <w:rPr>
          <w:b/>
          <w:sz w:val="28"/>
        </w:rPr>
      </w:pPr>
      <w:r>
        <w:rPr>
          <w:b/>
          <w:w w:val="95"/>
          <w:sz w:val="28"/>
        </w:rPr>
        <w:t>附加金生无忧提前给付重大疾病保险条款</w:t>
      </w:r>
    </w:p>
    <w:p>
      <w:pPr>
        <w:pStyle w:val="BodyText"/>
        <w:spacing w:before="11"/>
        <w:rPr>
          <w:b/>
          <w:sz w:val="4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0"/>
        <w:rPr>
          <w:sz w:val="20"/>
        </w:rPr>
      </w:pPr>
    </w:p>
    <w:p>
      <w:pPr>
        <w:pStyle w:val="BodyText"/>
        <w:spacing w:before="2"/>
        <w:rPr>
          <w:sz w:val="19"/>
        </w:rPr>
      </w:pPr>
    </w:p>
    <w:p>
      <w:pPr>
        <w:tabs>
          <w:tab w:pos="907" w:val="left" w:leader="none"/>
        </w:tabs>
        <w:spacing w:before="0"/>
        <w:ind w:left="224" w:right="0" w:firstLine="0"/>
        <w:jc w:val="left"/>
        <w:rPr>
          <w:b/>
          <w:sz w:val="24"/>
        </w:rPr>
      </w:pPr>
      <w:r>
        <w:rPr/>
        <w:pict>
          <v:line style="position:absolute;mso-position-horizontal-relative:page;mso-position-vertical-relative:paragraph;z-index:1096;mso-wrap-distance-left:0;mso-wrap-distance-right:0" from="59.82pt,28.34004pt" to="553.5pt,28.34004pt" stroked="true" strokeweight=".48004pt" strokecolor="#000000">
            <v:stroke dashstyle="solid"/>
            <w10:wrap type="topAndBottom"/>
          </v:line>
        </w:pict>
      </w:r>
      <w:r>
        <w:rPr>
          <w:rFonts w:ascii="Arial" w:hAnsi="Arial" w:eastAsia="Arial"/>
          <w:b/>
          <w:position w:val="-3"/>
          <w:sz w:val="40"/>
        </w:rPr>
        <w:t></w:t>
        <w:tab/>
      </w:r>
      <w:r>
        <w:rPr>
          <w:b/>
          <w:sz w:val="24"/>
        </w:rPr>
        <w:t>您与我们的合同</w:t>
      </w:r>
    </w:p>
    <w:p>
      <w:pPr>
        <w:pStyle w:val="BodyText"/>
        <w:spacing w:before="7"/>
        <w:rPr>
          <w:b/>
          <w:sz w:val="10"/>
        </w:rPr>
      </w:pPr>
    </w:p>
    <w:p>
      <w:pPr>
        <w:pStyle w:val="ListParagraph"/>
        <w:numPr>
          <w:ilvl w:val="1"/>
          <w:numId w:val="8"/>
        </w:numPr>
        <w:tabs>
          <w:tab w:pos="907" w:val="left" w:leader="none"/>
          <w:tab w:pos="908" w:val="left" w:leader="none"/>
          <w:tab w:pos="2613" w:val="left" w:leader="none"/>
        </w:tabs>
        <w:spacing w:line="304" w:lineRule="auto" w:before="35" w:after="0"/>
        <w:ind w:left="2613" w:right="132" w:hanging="2389"/>
        <w:jc w:val="left"/>
        <w:rPr>
          <w:sz w:val="18"/>
        </w:rPr>
      </w:pPr>
      <w:r>
        <w:rPr>
          <w:b/>
          <w:spacing w:val="0"/>
          <w:w w:val="99"/>
          <w:sz w:val="21"/>
        </w:rPr>
        <w:t>合同构</w:t>
      </w:r>
      <w:r>
        <w:rPr>
          <w:b/>
          <w:w w:val="99"/>
          <w:sz w:val="21"/>
        </w:rPr>
        <w:t>成</w:t>
      </w:r>
      <w:r>
        <w:rPr>
          <w:b/>
          <w:sz w:val="21"/>
        </w:rPr>
        <w:tab/>
      </w:r>
      <w:r>
        <w:rPr>
          <w:position w:val="1"/>
          <w:sz w:val="18"/>
        </w:rPr>
        <w:t>本附加保险合</w:t>
      </w:r>
      <w:r>
        <w:rPr>
          <w:spacing w:val="-5"/>
          <w:position w:val="1"/>
          <w:sz w:val="18"/>
        </w:rPr>
        <w:t>同</w:t>
      </w:r>
      <w:r>
        <w:rPr>
          <w:position w:val="1"/>
          <w:sz w:val="18"/>
        </w:rPr>
        <w:t>（以下简</w:t>
      </w:r>
      <w:r>
        <w:rPr>
          <w:spacing w:val="-5"/>
          <w:position w:val="1"/>
          <w:sz w:val="18"/>
        </w:rPr>
        <w:t>称</w:t>
      </w:r>
      <w:r>
        <w:rPr>
          <w:position w:val="1"/>
          <w:sz w:val="18"/>
        </w:rPr>
        <w:t>“本附加合同</w:t>
      </w:r>
      <w:r>
        <w:rPr>
          <w:spacing w:val="-90"/>
          <w:position w:val="1"/>
          <w:sz w:val="18"/>
        </w:rPr>
        <w:t>”</w:t>
      </w:r>
      <w:r>
        <w:rPr>
          <w:spacing w:val="-5"/>
          <w:position w:val="1"/>
          <w:sz w:val="18"/>
        </w:rPr>
        <w:t>）</w:t>
      </w:r>
      <w:r>
        <w:rPr>
          <w:position w:val="1"/>
          <w:sz w:val="18"/>
        </w:rPr>
        <w:t>附加于本公司规定的主保险合</w:t>
      </w:r>
      <w:r>
        <w:rPr>
          <w:spacing w:val="-5"/>
          <w:position w:val="1"/>
          <w:sz w:val="18"/>
        </w:rPr>
        <w:t>同</w:t>
      </w:r>
      <w:r>
        <w:rPr>
          <w:position w:val="1"/>
          <w:sz w:val="18"/>
        </w:rPr>
        <w:t>（以下简</w:t>
      </w:r>
      <w:r>
        <w:rPr>
          <w:spacing w:val="-5"/>
          <w:position w:val="1"/>
          <w:sz w:val="18"/>
        </w:rPr>
        <w:t>称</w:t>
      </w:r>
      <w:r>
        <w:rPr>
          <w:position w:val="1"/>
          <w:sz w:val="18"/>
        </w:rPr>
        <w:t>“主</w:t>
      </w:r>
      <w:r>
        <w:rPr>
          <w:sz w:val="18"/>
        </w:rPr>
        <w:t>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27"/>
        <w:ind w:left="2613" w:right="288"/>
      </w:pPr>
      <w:r>
        <w:rPr/>
        <w:t>除本附加合同另有约定外，其他未尽事宜以主合同条款为准。如果主合同与本附加合同的条款内容互有冲突，则以本附加合同为准。</w:t>
      </w:r>
    </w:p>
    <w:p>
      <w:pPr>
        <w:pStyle w:val="BodyText"/>
        <w:spacing w:before="10"/>
        <w:rPr>
          <w:sz w:val="16"/>
        </w:rPr>
      </w:pPr>
    </w:p>
    <w:p>
      <w:pPr>
        <w:pStyle w:val="ListParagraph"/>
        <w:numPr>
          <w:ilvl w:val="1"/>
          <w:numId w:val="8"/>
        </w:numPr>
        <w:tabs>
          <w:tab w:pos="907" w:val="left" w:leader="none"/>
          <w:tab w:pos="908" w:val="left" w:leader="none"/>
          <w:tab w:pos="2613" w:val="left" w:leader="none"/>
        </w:tabs>
        <w:spacing w:line="304" w:lineRule="auto" w:before="0" w:after="0"/>
        <w:ind w:left="2613" w:right="288" w:hanging="2389"/>
        <w:jc w:val="left"/>
        <w:rPr>
          <w:sz w:val="18"/>
        </w:rPr>
      </w:pPr>
      <w:r>
        <w:rPr>
          <w:b/>
          <w:sz w:val="21"/>
        </w:rPr>
        <w:t>合同成立与生效</w:t>
        <w:tab/>
      </w:r>
      <w:r>
        <w:rPr>
          <w:position w:val="1"/>
          <w:sz w:val="18"/>
        </w:rPr>
        <w:t>自您提出保险申请，本公司同意承保，本附加合同成立。合同成立日期在保险单上载明。</w:t>
      </w:r>
      <w:r>
        <w:rPr>
          <w:sz w:val="18"/>
        </w:rPr>
        <w:t> 本附加合同自本公司同意承保、收取首期保障成本并签发保险单开始生效，具体生效日以保险单载明的日期为准。我们自生效日零时起开始承担本附加合同约定的保险责任。</w:t>
      </w:r>
    </w:p>
    <w:p>
      <w:pPr>
        <w:pStyle w:val="BodyText"/>
        <w:spacing w:before="6"/>
        <w:rPr>
          <w:sz w:val="17"/>
        </w:rPr>
      </w:pPr>
    </w:p>
    <w:p>
      <w:pPr>
        <w:pStyle w:val="ListParagraph"/>
        <w:numPr>
          <w:ilvl w:val="1"/>
          <w:numId w:val="8"/>
        </w:numPr>
        <w:tabs>
          <w:tab w:pos="908" w:val="left" w:leader="none"/>
        </w:tabs>
        <w:spacing w:line="304" w:lineRule="auto" w:before="0" w:after="0"/>
        <w:ind w:left="2613" w:right="288" w:hanging="2389"/>
        <w:jc w:val="both"/>
        <w:rPr>
          <w:sz w:val="18"/>
        </w:rPr>
      </w:pPr>
      <w:r>
        <w:rPr>
          <w:b/>
          <w:spacing w:val="0"/>
          <w:sz w:val="21"/>
        </w:rPr>
        <w:t>犹豫期         </w:t>
      </w:r>
      <w:r>
        <w:rPr>
          <w:position w:val="1"/>
          <w:sz w:val="18"/>
        </w:rPr>
        <w:t>自您签收本附加合同次日起，有十五天的犹豫期。在此期间请您认真审视本附加合同，如果</w:t>
      </w:r>
      <w:r>
        <w:rPr>
          <w:sz w:val="18"/>
        </w:rPr>
        <w:t>您认为本附加合同与您的需求不相符，您可以在此期间提出解除本附加合同，我们将向您无息退还所收的本附加合同的全部保障成本。</w:t>
      </w:r>
    </w:p>
    <w:p>
      <w:pPr>
        <w:pStyle w:val="BodyText"/>
        <w:spacing w:line="316" w:lineRule="auto" w:before="27"/>
        <w:ind w:left="2613" w:right="239"/>
        <w:jc w:val="both"/>
      </w:pPr>
      <w:r>
        <w:rPr/>
        <w:t>解除合同时，您需要填写书面申请书，并提供您的合同及</w:t>
      </w:r>
      <w:r>
        <w:rPr>
          <w:b/>
          <w:w w:val="99"/>
        </w:rPr>
        <w:t>有效身份证件</w:t>
      </w:r>
      <w:r>
        <w:rPr/>
        <w:t>（</w:t>
      </w:r>
      <w:r>
        <w:rPr>
          <w:spacing w:val="-23"/>
        </w:rPr>
        <w:t>见 </w:t>
      </w:r>
      <w:r>
        <w:rPr/>
        <w:t>7.1</w:t>
      </w:r>
      <w:r>
        <w:rPr>
          <w:spacing w:val="-90"/>
        </w:rPr>
        <w:t>）</w:t>
      </w:r>
      <w:r>
        <w:rPr/>
        <w:t>。自您书面申请解除本附加合同之日起，本附加合同效力即行终止，</w:t>
      </w:r>
      <w:r>
        <w:rPr>
          <w:shd w:fill="D9D9D9" w:color="auto" w:val="clear"/>
        </w:rPr>
        <w:t>对合同解除前发生的保险事故，我</w:t>
      </w:r>
      <w:r>
        <w:rPr>
          <w:spacing w:val="-138"/>
          <w:shd w:fill="D9D9D9" w:color="auto" w:val="clear"/>
        </w:rPr>
        <w:t>们</w:t>
      </w:r>
      <w:r>
        <w:rPr>
          <w:shd w:fill="D9D9D9" w:color="auto" w:val="clear"/>
        </w:rPr>
        <w:t>不承担给付保险金的责任。</w:t>
      </w:r>
    </w:p>
    <w:p>
      <w:pPr>
        <w:pStyle w:val="BodyText"/>
        <w:spacing w:before="11"/>
        <w:rPr>
          <w:sz w:val="16"/>
        </w:rPr>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保险期间和续保</w:t>
        <w:tab/>
      </w:r>
      <w:r>
        <w:rPr>
          <w:position w:val="1"/>
          <w:sz w:val="18"/>
        </w:rPr>
        <w:t>本附加合同保险期间为一年。</w:t>
      </w:r>
    </w:p>
    <w:p>
      <w:pPr>
        <w:pStyle w:val="BodyText"/>
        <w:spacing w:line="316" w:lineRule="auto" w:before="62"/>
        <w:ind w:left="2613" w:right="288"/>
      </w:pPr>
      <w:r>
        <w:rPr/>
        <w:t>每一保险单满期日之前，若我们未收到您不再继续投保的书面通知，则视作您申请续保，我们将按照以下约定续保本附加合同。</w:t>
      </w:r>
    </w:p>
    <w:p>
      <w:pPr>
        <w:pStyle w:val="BodyText"/>
        <w:spacing w:line="316" w:lineRule="auto" w:before="19"/>
        <w:ind w:left="2613" w:right="288"/>
        <w:jc w:val="both"/>
      </w:pPr>
      <w:r>
        <w:rPr/>
        <w:t>自您首次投保本附加合同的生效日起，或自您非连续投保本附加合同的生效日起，每五年为一保证续保期间。在保证续保期间内每一保险期间届满时，我们按续保时被保险人的年龄、性别、基本保险金额及风险程度收取相应的保障成本后，本附加合同将延续有效。</w:t>
      </w:r>
    </w:p>
    <w:p>
      <w:pPr>
        <w:pStyle w:val="BodyText"/>
        <w:spacing w:line="316" w:lineRule="auto" w:before="19"/>
        <w:ind w:left="2613" w:right="288"/>
      </w:pPr>
      <w:r>
        <w:rPr/>
        <w:t>但若于保证续保期间内每一保险期间届满时发生下列情形之一时，本附加合同自动不再接受续保：</w:t>
      </w:r>
    </w:p>
    <w:p>
      <w:pPr>
        <w:pStyle w:val="BodyText"/>
        <w:spacing w:before="19"/>
        <w:ind w:left="2613"/>
        <w:jc w:val="both"/>
      </w:pPr>
      <w:r>
        <w:rPr/>
        <w:t>1、被保险人续保时年满六十五周岁；</w:t>
      </w:r>
    </w:p>
    <w:p>
      <w:pPr>
        <w:pStyle w:val="BodyText"/>
        <w:ind w:left="2613"/>
        <w:jc w:val="both"/>
      </w:pPr>
      <w:r>
        <w:rPr/>
        <w:t>2、主合同效力终止或中止；</w:t>
      </w:r>
    </w:p>
    <w:p>
      <w:pPr>
        <w:pStyle w:val="BodyText"/>
        <w:ind w:left="2613"/>
        <w:jc w:val="both"/>
      </w:pPr>
      <w:r>
        <w:rPr/>
        <w:t>3、发生理赔或责任免除情形致使本附加合同终止；</w:t>
      </w:r>
    </w:p>
    <w:p>
      <w:pPr>
        <w:pStyle w:val="BodyText"/>
        <w:ind w:left="2613"/>
        <w:jc w:val="both"/>
      </w:pPr>
      <w:r>
        <w:rPr/>
        <w:t>4、未按时交付主合同前5期期交保险费致使本附加合同终止；</w:t>
      </w:r>
    </w:p>
    <w:p>
      <w:pPr>
        <w:pStyle w:val="BodyText"/>
        <w:ind w:left="2613"/>
        <w:jc w:val="both"/>
      </w:pPr>
      <w:r>
        <w:rPr/>
        <w:t>5、主合同个人账户价值不足以支付保障成本致使本附加合同终止。</w:t>
      </w:r>
    </w:p>
    <w:p>
      <w:pPr>
        <w:pStyle w:val="BodyText"/>
        <w:spacing w:line="316" w:lineRule="auto"/>
        <w:ind w:left="2613" w:right="89"/>
      </w:pPr>
      <w:r>
        <w:rPr/>
        <w:t>每个保证续保期间届满时，我们会审核被保险人是否符合续保条件。如果我们审核同意续保， 此后一个保证续保期间内，我们按时收取续期的保障成本，本附加合同将延续有效；</w:t>
      </w:r>
    </w:p>
    <w:p>
      <w:pPr>
        <w:pStyle w:val="BodyText"/>
        <w:spacing w:before="18"/>
        <w:ind w:left="2613"/>
        <w:jc w:val="both"/>
      </w:pPr>
      <w:r>
        <w:rPr/>
        <w:t>若您不再续保本附加合同，保险期间届满，本附加合同终止；</w:t>
      </w:r>
    </w:p>
    <w:p>
      <w:pPr>
        <w:pStyle w:val="BodyText"/>
        <w:ind w:left="2613"/>
        <w:jc w:val="both"/>
      </w:pPr>
      <w:r>
        <w:rPr/>
        <w:t>除上述自动不再续保情形以外我们不接受续保的，我们会以书面形式通知您。</w:t>
      </w:r>
    </w:p>
    <w:p>
      <w:pPr>
        <w:spacing w:after="0"/>
        <w:jc w:val="both"/>
        <w:sectPr>
          <w:headerReference w:type="default" r:id="rId9"/>
          <w:pgSz w:w="11910" w:h="16840"/>
          <w:pgMar w:header="877" w:footer="981" w:top="1100" w:bottom="1180" w:left="1080" w:right="720"/>
        </w:sectPr>
      </w:pPr>
    </w:p>
    <w:p>
      <w:pPr>
        <w:pStyle w:val="BodyText"/>
        <w:spacing w:before="11"/>
        <w:rPr>
          <w:sz w:val="22"/>
        </w:rPr>
      </w:pPr>
    </w:p>
    <w:p>
      <w:pPr>
        <w:tabs>
          <w:tab w:pos="907" w:val="left" w:leader="none"/>
        </w:tabs>
        <w:spacing w:before="62"/>
        <w:ind w:left="224" w:right="0" w:firstLine="0"/>
        <w:jc w:val="left"/>
        <w:rPr>
          <w:b/>
          <w:sz w:val="24"/>
        </w:rPr>
      </w:pPr>
      <w:r>
        <w:rPr/>
        <w:pict>
          <v:line style="position:absolute;mso-position-horizontal-relative:page;mso-position-vertical-relative:paragraph;z-index:1120;mso-wrap-distance-left:0;mso-wrap-distance-right:0" from="59.82pt,31.440022pt" to="553.5pt,31.440022pt" stroked="true" strokeweight=".48004pt" strokecolor="#000000">
            <v:stroke dashstyle="solid"/>
            <w10:wrap type="topAndBottom"/>
          </v:line>
        </w:pict>
      </w:r>
      <w:r>
        <w:rPr>
          <w:rFonts w:ascii="Arial" w:hAnsi="Arial" w:eastAsia="Arial"/>
          <w:b/>
          <w:position w:val="-3"/>
          <w:sz w:val="40"/>
        </w:rPr>
        <w:t></w:t>
        <w:tab/>
      </w:r>
      <w:r>
        <w:rPr>
          <w:b/>
          <w:sz w:val="24"/>
        </w:rPr>
        <w:t>我们提供的保障</w:t>
      </w:r>
    </w:p>
    <w:p>
      <w:pPr>
        <w:pStyle w:val="BodyText"/>
        <w:spacing w:before="7"/>
        <w:rPr>
          <w:b/>
          <w:sz w:val="10"/>
        </w:rPr>
      </w:pPr>
    </w:p>
    <w:p>
      <w:pPr>
        <w:pStyle w:val="ListParagraph"/>
        <w:numPr>
          <w:ilvl w:val="1"/>
          <w:numId w:val="9"/>
        </w:numPr>
        <w:tabs>
          <w:tab w:pos="907" w:val="left" w:leader="none"/>
          <w:tab w:pos="908" w:val="left" w:leader="none"/>
          <w:tab w:pos="2613" w:val="left" w:leader="none"/>
        </w:tabs>
        <w:spacing w:line="304" w:lineRule="auto" w:before="35" w:after="0"/>
        <w:ind w:left="2613" w:right="132" w:hanging="2389"/>
        <w:jc w:val="left"/>
        <w:rPr>
          <w:sz w:val="18"/>
        </w:rPr>
      </w:pPr>
      <w:r>
        <w:rPr>
          <w:b/>
          <w:sz w:val="21"/>
        </w:rPr>
        <w:t>保险金额</w:t>
        <w:tab/>
      </w:r>
      <w:r>
        <w:rPr>
          <w:position w:val="1"/>
          <w:sz w:val="18"/>
        </w:rPr>
        <w:t>本附加合同基本保险金额由您和本公司约定</w:t>
      </w:r>
      <w:r>
        <w:rPr>
          <w:spacing w:val="-13"/>
          <w:position w:val="1"/>
          <w:sz w:val="18"/>
        </w:rPr>
        <w:t>，</w:t>
      </w:r>
      <w:r>
        <w:rPr>
          <w:position w:val="1"/>
          <w:sz w:val="18"/>
        </w:rPr>
        <w:t>并在保险单上载明</w:t>
      </w:r>
      <w:r>
        <w:rPr>
          <w:spacing w:val="-13"/>
          <w:position w:val="1"/>
          <w:sz w:val="18"/>
        </w:rPr>
        <w:t>。</w:t>
      </w:r>
      <w:r>
        <w:rPr>
          <w:position w:val="1"/>
          <w:sz w:val="18"/>
        </w:rPr>
        <w:t>在本附加合同保险期间内，</w:t>
      </w:r>
      <w:r>
        <w:rPr>
          <w:sz w:val="18"/>
        </w:rPr>
        <w:t>经本公司同意，您可以变更本附加合同基本保险金额。本附加合同的保险金额为基本保险金额。</w:t>
      </w:r>
    </w:p>
    <w:p>
      <w:pPr>
        <w:pStyle w:val="BodyText"/>
        <w:spacing w:before="10"/>
        <w:rPr>
          <w:sz w:val="14"/>
        </w:rPr>
      </w:pPr>
    </w:p>
    <w:p>
      <w:pPr>
        <w:spacing w:after="0"/>
        <w:rPr>
          <w:sz w:val="14"/>
        </w:rPr>
        <w:sectPr>
          <w:pgSz w:w="11910" w:h="16840"/>
          <w:pgMar w:header="877" w:footer="981" w:top="1100" w:bottom="1180" w:left="1080" w:right="720"/>
        </w:sectPr>
      </w:pPr>
    </w:p>
    <w:p>
      <w:pPr>
        <w:pStyle w:val="Heading2"/>
        <w:spacing w:line="273" w:lineRule="auto"/>
        <w:ind w:left="907"/>
      </w:pPr>
      <w:r>
        <w:rPr/>
        <w:t>申请增加基本保险金额</w:t>
      </w:r>
    </w:p>
    <w:p>
      <w:pPr>
        <w:pStyle w:val="BodyText"/>
        <w:spacing w:line="316" w:lineRule="auto" w:before="61"/>
        <w:ind w:left="172" w:right="83"/>
      </w:pPr>
      <w:r>
        <w:rPr/>
        <w:br w:type="column"/>
      </w:r>
      <w:r>
        <w:rPr/>
        <w:t>您可以向本公司申请增加本附加合同的基本保险金额，但每一保险期间内最多只能申请一次。在申请增加基本保险金额时，必须同时满足以下条件：</w:t>
      </w:r>
    </w:p>
    <w:p>
      <w:pPr>
        <w:pStyle w:val="ListParagraph"/>
        <w:numPr>
          <w:ilvl w:val="0"/>
          <w:numId w:val="10"/>
        </w:numPr>
        <w:tabs>
          <w:tab w:pos="593" w:val="left" w:leader="none"/>
        </w:tabs>
        <w:spacing w:line="240" w:lineRule="auto" w:before="18" w:after="0"/>
        <w:ind w:left="172" w:right="0" w:firstLine="0"/>
        <w:jc w:val="left"/>
        <w:rPr>
          <w:sz w:val="18"/>
        </w:rPr>
      </w:pPr>
      <w:r>
        <w:rPr>
          <w:sz w:val="18"/>
        </w:rPr>
        <w:t>本附加合同首次续保后；</w:t>
      </w:r>
    </w:p>
    <w:p>
      <w:pPr>
        <w:pStyle w:val="ListParagraph"/>
        <w:numPr>
          <w:ilvl w:val="0"/>
          <w:numId w:val="10"/>
        </w:numPr>
        <w:tabs>
          <w:tab w:pos="593" w:val="left" w:leader="none"/>
        </w:tabs>
        <w:spacing w:line="316" w:lineRule="auto" w:before="75" w:after="0"/>
        <w:ind w:left="172" w:right="498" w:firstLine="0"/>
        <w:jc w:val="left"/>
        <w:rPr>
          <w:sz w:val="18"/>
        </w:rPr>
      </w:pPr>
      <w:r>
        <w:rPr>
          <w:spacing w:val="-2"/>
          <w:sz w:val="18"/>
        </w:rPr>
        <w:t>主合同各期应付期交保险费均已支付或累计已交满前 </w:t>
      </w:r>
      <w:r>
        <w:rPr>
          <w:sz w:val="18"/>
        </w:rPr>
        <w:t>10</w:t>
      </w:r>
      <w:r>
        <w:rPr>
          <w:spacing w:val="-7"/>
          <w:sz w:val="18"/>
        </w:rPr>
        <w:t> 年主合同应付期交保险费。经本公司审核同意后，增加的部分从主合同下一个结算日的零时起生效。</w:t>
      </w:r>
    </w:p>
    <w:p>
      <w:pPr>
        <w:spacing w:after="0" w:line="316" w:lineRule="auto"/>
        <w:jc w:val="left"/>
        <w:rPr>
          <w:sz w:val="18"/>
        </w:rPr>
        <w:sectPr>
          <w:type w:val="continuous"/>
          <w:pgSz w:w="11910" w:h="16840"/>
          <w:pgMar w:top="1040" w:bottom="1180" w:left="1080" w:right="720"/>
          <w:cols w:num="2" w:equalWidth="0">
            <w:col w:w="2402" w:space="40"/>
            <w:col w:w="7668"/>
          </w:cols>
        </w:sectPr>
      </w:pPr>
    </w:p>
    <w:p>
      <w:pPr>
        <w:pStyle w:val="BodyText"/>
        <w:spacing w:before="1"/>
        <w:rPr>
          <w:sz w:val="19"/>
        </w:rPr>
      </w:pPr>
    </w:p>
    <w:p>
      <w:pPr>
        <w:spacing w:after="0"/>
        <w:rPr>
          <w:sz w:val="19"/>
        </w:rPr>
        <w:sectPr>
          <w:type w:val="continuous"/>
          <w:pgSz w:w="11910" w:h="16840"/>
          <w:pgMar w:top="1040" w:bottom="1180" w:left="1080" w:right="720"/>
        </w:sectPr>
      </w:pPr>
    </w:p>
    <w:p>
      <w:pPr>
        <w:pStyle w:val="Heading2"/>
        <w:spacing w:line="273" w:lineRule="auto" w:before="36"/>
        <w:ind w:left="907"/>
      </w:pPr>
      <w:r>
        <w:rPr/>
        <w:t>申请减少基本保险金额</w:t>
      </w:r>
    </w:p>
    <w:p>
      <w:pPr>
        <w:pStyle w:val="BodyText"/>
        <w:spacing w:line="316" w:lineRule="auto" w:before="61"/>
        <w:ind w:left="172" w:right="83"/>
      </w:pPr>
      <w:r>
        <w:rPr/>
        <w:br w:type="column"/>
      </w:r>
      <w:r>
        <w:rPr/>
        <w:t>您可以向本公司申请减少本附加合同的基本保险金额，但每一保险期间内最多只能申请一次。在申请减少基本保险金额时，必须同时满足以下条件：</w:t>
      </w:r>
    </w:p>
    <w:p>
      <w:pPr>
        <w:pStyle w:val="ListParagraph"/>
        <w:numPr>
          <w:ilvl w:val="0"/>
          <w:numId w:val="11"/>
        </w:numPr>
        <w:tabs>
          <w:tab w:pos="593" w:val="left" w:leader="none"/>
        </w:tabs>
        <w:spacing w:line="240" w:lineRule="auto" w:before="18" w:after="0"/>
        <w:ind w:left="172" w:right="0" w:firstLine="0"/>
        <w:jc w:val="left"/>
        <w:rPr>
          <w:sz w:val="18"/>
        </w:rPr>
      </w:pPr>
      <w:r>
        <w:rPr>
          <w:sz w:val="18"/>
        </w:rPr>
        <w:t>本附加合同首次续保后；</w:t>
      </w:r>
    </w:p>
    <w:p>
      <w:pPr>
        <w:pStyle w:val="ListParagraph"/>
        <w:numPr>
          <w:ilvl w:val="0"/>
          <w:numId w:val="11"/>
        </w:numPr>
        <w:tabs>
          <w:tab w:pos="593" w:val="left" w:leader="none"/>
        </w:tabs>
        <w:spacing w:line="316" w:lineRule="auto" w:before="76" w:after="0"/>
        <w:ind w:left="172" w:right="288" w:firstLine="0"/>
        <w:jc w:val="left"/>
        <w:rPr>
          <w:sz w:val="18"/>
        </w:rPr>
      </w:pPr>
      <w:r>
        <w:rPr>
          <w:spacing w:val="-2"/>
          <w:sz w:val="18"/>
        </w:rPr>
        <w:t>主合同各期应付期交保险费均已支付或累计已交满前 </w:t>
      </w:r>
      <w:r>
        <w:rPr>
          <w:sz w:val="18"/>
        </w:rPr>
        <w:t>10</w:t>
      </w:r>
      <w:r>
        <w:rPr>
          <w:spacing w:val="-5"/>
          <w:sz w:val="18"/>
        </w:rPr>
        <w:t> 年主合同应付期交保险费。经本公司同意后，</w:t>
      </w:r>
      <w:r>
        <w:rPr>
          <w:spacing w:val="-5"/>
          <w:sz w:val="18"/>
          <w:shd w:fill="D9D9D9" w:color="auto" w:val="clear"/>
        </w:rPr>
        <w:t>从主合同下一个结算日的零时起本公司不再承担减少部分所对应的保险责</w:t>
      </w:r>
      <w:r>
        <w:rPr>
          <w:spacing w:val="-90"/>
          <w:sz w:val="18"/>
          <w:shd w:fill="D9D9D9" w:color="auto" w:val="clear"/>
        </w:rPr>
        <w:t>任。</w:t>
      </w:r>
    </w:p>
    <w:p>
      <w:pPr>
        <w:spacing w:after="0" w:line="316" w:lineRule="auto"/>
        <w:jc w:val="left"/>
        <w:rPr>
          <w:sz w:val="18"/>
        </w:rPr>
        <w:sectPr>
          <w:type w:val="continuous"/>
          <w:pgSz w:w="11910" w:h="16840"/>
          <w:pgMar w:top="1040" w:bottom="1180" w:left="1080" w:right="720"/>
          <w:cols w:num="2" w:equalWidth="0">
            <w:col w:w="2402" w:space="40"/>
            <w:col w:w="7668"/>
          </w:cols>
        </w:sectPr>
      </w:pPr>
    </w:p>
    <w:p>
      <w:pPr>
        <w:pStyle w:val="BodyText"/>
        <w:spacing w:before="9"/>
        <w:rPr>
          <w:sz w:val="15"/>
        </w:rPr>
      </w:pPr>
    </w:p>
    <w:p>
      <w:pPr>
        <w:pStyle w:val="ListParagraph"/>
        <w:numPr>
          <w:ilvl w:val="1"/>
          <w:numId w:val="9"/>
        </w:numPr>
        <w:tabs>
          <w:tab w:pos="907" w:val="left" w:leader="none"/>
          <w:tab w:pos="908" w:val="left" w:leader="none"/>
          <w:tab w:pos="2613" w:val="left" w:leader="none"/>
        </w:tabs>
        <w:spacing w:line="240" w:lineRule="auto" w:before="35" w:after="0"/>
        <w:ind w:left="907" w:right="0" w:hanging="683"/>
        <w:jc w:val="left"/>
        <w:rPr>
          <w:sz w:val="18"/>
        </w:rPr>
      </w:pPr>
      <w:r>
        <w:rPr>
          <w:b/>
          <w:sz w:val="21"/>
        </w:rPr>
        <w:t>保险责任</w:t>
        <w:tab/>
      </w:r>
      <w:r>
        <w:rPr>
          <w:position w:val="1"/>
          <w:sz w:val="18"/>
        </w:rPr>
        <w:t>在本附加合同有效期内，本公司按下列规定承担保险责任：</w:t>
      </w:r>
    </w:p>
    <w:p>
      <w:pPr>
        <w:pStyle w:val="BodyText"/>
        <w:spacing w:before="7"/>
        <w:rPr>
          <w:sz w:val="29"/>
        </w:rPr>
      </w:pPr>
    </w:p>
    <w:p>
      <w:pPr>
        <w:pStyle w:val="BodyText"/>
        <w:tabs>
          <w:tab w:pos="2613" w:val="left" w:leader="none"/>
        </w:tabs>
        <w:spacing w:line="304" w:lineRule="auto" w:before="0"/>
        <w:ind w:left="2613" w:right="222" w:hanging="1707"/>
      </w:pPr>
      <w:r>
        <w:rPr>
          <w:b/>
          <w:sz w:val="21"/>
        </w:rPr>
        <w:t>等待期</w:t>
        <w:tab/>
      </w:r>
      <w:r>
        <w:rPr>
          <w:position w:val="1"/>
          <w:shd w:fill="D9D9D9" w:color="auto" w:val="clear"/>
        </w:rPr>
        <w:t>从本附加合同生效之日起</w:t>
      </w:r>
      <w:r>
        <w:rPr>
          <w:spacing w:val="-46"/>
          <w:position w:val="1"/>
          <w:shd w:fill="D9D9D9" w:color="auto" w:val="clear"/>
        </w:rPr>
        <w:t> </w:t>
      </w:r>
      <w:r>
        <w:rPr>
          <w:position w:val="1"/>
          <w:shd w:fill="D9D9D9" w:color="auto" w:val="clear"/>
        </w:rPr>
        <w:t>180</w:t>
      </w:r>
      <w:r>
        <w:rPr>
          <w:spacing w:val="-46"/>
          <w:position w:val="1"/>
          <w:shd w:fill="D9D9D9" w:color="auto" w:val="clear"/>
        </w:rPr>
        <w:t> </w:t>
      </w:r>
      <w:r>
        <w:rPr>
          <w:position w:val="1"/>
          <w:shd w:fill="D9D9D9" w:color="auto" w:val="clear"/>
        </w:rPr>
        <w:t>天为等待</w:t>
      </w:r>
      <w:r>
        <w:rPr>
          <w:spacing w:val="-13"/>
          <w:position w:val="1"/>
          <w:shd w:fill="D9D9D9" w:color="auto" w:val="clear"/>
        </w:rPr>
        <w:t>期</w:t>
      </w:r>
      <w:r>
        <w:rPr>
          <w:position w:val="1"/>
          <w:shd w:fill="D9D9D9" w:color="auto" w:val="clear"/>
        </w:rPr>
        <w:t>（包括第</w:t>
      </w:r>
      <w:r>
        <w:rPr>
          <w:spacing w:val="-46"/>
          <w:position w:val="1"/>
          <w:shd w:fill="D9D9D9" w:color="auto" w:val="clear"/>
        </w:rPr>
        <w:t> </w:t>
      </w:r>
      <w:r>
        <w:rPr>
          <w:position w:val="1"/>
          <w:shd w:fill="D9D9D9" w:color="auto" w:val="clear"/>
        </w:rPr>
        <w:t>180</w:t>
      </w:r>
      <w:r>
        <w:rPr>
          <w:spacing w:val="-46"/>
          <w:position w:val="1"/>
          <w:shd w:fill="D9D9D9" w:color="auto" w:val="clear"/>
        </w:rPr>
        <w:t> </w:t>
      </w:r>
      <w:r>
        <w:rPr>
          <w:position w:val="1"/>
          <w:shd w:fill="D9D9D9" w:color="auto" w:val="clear"/>
        </w:rPr>
        <w:t>天</w:t>
      </w:r>
      <w:r>
        <w:rPr>
          <w:spacing w:val="-89"/>
          <w:position w:val="1"/>
          <w:shd w:fill="D9D9D9" w:color="auto" w:val="clear"/>
        </w:rPr>
        <w:t>）</w:t>
      </w:r>
      <w:r>
        <w:rPr>
          <w:spacing w:val="-13"/>
          <w:position w:val="1"/>
          <w:shd w:fill="D9D9D9" w:color="auto" w:val="clear"/>
        </w:rPr>
        <w:t>。</w:t>
      </w:r>
      <w:r>
        <w:rPr>
          <w:position w:val="1"/>
          <w:shd w:fill="D9D9D9" w:color="auto" w:val="clear"/>
        </w:rPr>
        <w:t>若被保险人在等待期内因疾病身</w:t>
      </w:r>
      <w:r>
        <w:rPr>
          <w:shd w:fill="D9D9D9" w:color="auto" w:val="clear"/>
        </w:rPr>
        <w:t>故或因疾病导致首次</w:t>
      </w:r>
      <w:r>
        <w:rPr>
          <w:b/>
          <w:spacing w:val="0"/>
          <w:w w:val="99"/>
          <w:shd w:fill="D9D9D9" w:color="auto" w:val="clear"/>
        </w:rPr>
        <w:t>发病</w:t>
      </w:r>
      <w:r>
        <w:rPr>
          <w:spacing w:val="-2"/>
          <w:shd w:fill="D9D9D9" w:color="auto" w:val="clear"/>
        </w:rPr>
        <w:t>（</w:t>
      </w:r>
      <w:r>
        <w:rPr>
          <w:shd w:fill="D9D9D9" w:color="auto" w:val="clear"/>
        </w:rPr>
        <w:t>见</w:t>
      </w:r>
      <w:r>
        <w:rPr>
          <w:spacing w:val="-46"/>
          <w:shd w:fill="D9D9D9" w:color="auto" w:val="clear"/>
        </w:rPr>
        <w:t> </w:t>
      </w:r>
      <w:r>
        <w:rPr>
          <w:shd w:fill="D9D9D9" w:color="auto" w:val="clear"/>
        </w:rPr>
        <w:t>7.2</w:t>
      </w:r>
      <w:r>
        <w:rPr>
          <w:spacing w:val="-90"/>
          <w:shd w:fill="D9D9D9" w:color="auto" w:val="clear"/>
        </w:rPr>
        <w:t>）</w:t>
      </w:r>
      <w:r>
        <w:rPr>
          <w:shd w:fill="D9D9D9" w:color="auto" w:val="clear"/>
        </w:rPr>
        <w:t>，经本公司</w:t>
      </w:r>
      <w:r>
        <w:rPr>
          <w:b/>
          <w:spacing w:val="0"/>
          <w:w w:val="99"/>
          <w:shd w:fill="D9D9D9" w:color="auto" w:val="clear"/>
        </w:rPr>
        <w:t>指定</w:t>
      </w:r>
      <w:r>
        <w:rPr>
          <w:b/>
          <w:w w:val="99"/>
          <w:shd w:fill="D9D9D9" w:color="auto" w:val="clear"/>
        </w:rPr>
        <w:t>或认</w:t>
      </w:r>
      <w:r>
        <w:rPr>
          <w:b/>
          <w:spacing w:val="0"/>
          <w:w w:val="99"/>
          <w:shd w:fill="D9D9D9" w:color="auto" w:val="clear"/>
        </w:rPr>
        <w:t>可的</w:t>
      </w:r>
      <w:r>
        <w:rPr>
          <w:b/>
          <w:w w:val="99"/>
          <w:shd w:fill="D9D9D9" w:color="auto" w:val="clear"/>
        </w:rPr>
        <w:t>医</w:t>
      </w:r>
      <w:r>
        <w:rPr>
          <w:b/>
          <w:spacing w:val="0"/>
          <w:w w:val="99"/>
          <w:shd w:fill="D9D9D9" w:color="auto" w:val="clear"/>
        </w:rPr>
        <w:t>疗</w:t>
      </w:r>
      <w:r>
        <w:rPr>
          <w:b/>
          <w:w w:val="99"/>
          <w:shd w:fill="D9D9D9" w:color="auto" w:val="clear"/>
        </w:rPr>
        <w:t>机</w:t>
      </w:r>
      <w:r>
        <w:rPr>
          <w:b/>
          <w:spacing w:val="-1"/>
          <w:w w:val="99"/>
          <w:shd w:fill="D9D9D9" w:color="auto" w:val="clear"/>
        </w:rPr>
        <w:t>构</w:t>
      </w:r>
      <w:r>
        <w:rPr>
          <w:shd w:fill="D9D9D9" w:color="auto" w:val="clear"/>
        </w:rPr>
        <w:t>（见</w:t>
      </w:r>
      <w:r>
        <w:rPr>
          <w:spacing w:val="-46"/>
          <w:shd w:fill="D9D9D9" w:color="auto" w:val="clear"/>
        </w:rPr>
        <w:t> </w:t>
      </w:r>
      <w:r>
        <w:rPr>
          <w:shd w:fill="D9D9D9" w:color="auto" w:val="clear"/>
        </w:rPr>
        <w:t>7.3）确诊患有下列情形之一：</w:t>
      </w:r>
    </w:p>
    <w:p>
      <w:pPr>
        <w:pStyle w:val="ListParagraph"/>
        <w:numPr>
          <w:ilvl w:val="2"/>
          <w:numId w:val="9"/>
        </w:numPr>
        <w:tabs>
          <w:tab w:pos="3034" w:val="left" w:leader="none"/>
        </w:tabs>
        <w:spacing w:line="240" w:lineRule="auto" w:before="27" w:after="0"/>
        <w:ind w:left="3033" w:right="0" w:hanging="420"/>
        <w:jc w:val="left"/>
        <w:rPr>
          <w:sz w:val="18"/>
        </w:rPr>
      </w:pPr>
      <w:r>
        <w:rPr>
          <w:sz w:val="18"/>
          <w:shd w:fill="D9D9D9" w:color="auto" w:val="clear"/>
        </w:rPr>
        <w:t>本附加合同附表一所列的一项或多项轻症疾病</w:t>
      </w:r>
    </w:p>
    <w:p>
      <w:pPr>
        <w:pStyle w:val="ListParagraph"/>
        <w:numPr>
          <w:ilvl w:val="2"/>
          <w:numId w:val="9"/>
        </w:numPr>
        <w:tabs>
          <w:tab w:pos="3034" w:val="left" w:leader="none"/>
        </w:tabs>
        <w:spacing w:line="240" w:lineRule="auto" w:before="76" w:after="0"/>
        <w:ind w:left="3033" w:right="0" w:hanging="420"/>
        <w:jc w:val="left"/>
        <w:rPr>
          <w:sz w:val="18"/>
        </w:rPr>
      </w:pPr>
      <w:r>
        <w:rPr>
          <w:sz w:val="18"/>
          <w:shd w:fill="D9D9D9" w:color="auto" w:val="clear"/>
        </w:rPr>
        <w:t>本附加合同附表二所列的一项或多项重大疾病</w:t>
      </w:r>
    </w:p>
    <w:p>
      <w:pPr>
        <w:pStyle w:val="BodyText"/>
        <w:spacing w:line="316" w:lineRule="auto"/>
        <w:ind w:left="2613" w:right="220"/>
      </w:pPr>
      <w:r>
        <w:rPr>
          <w:shd w:fill="D9D9D9" w:color="auto" w:val="clear"/>
        </w:rPr>
        <w:t>无论确诊日期是否在等待期内，本公司不承担保险责任，本附加合同终止。若您申请增加本</w:t>
      </w:r>
      <w:r>
        <w:rPr>
          <w:w w:val="95"/>
          <w:shd w:fill="D9D9D9" w:color="auto" w:val="clear"/>
        </w:rPr>
        <w:t>附加合同的基本保险金额，则对于每次增加的部分也适用上述等待期的约定。</w:t>
      </w:r>
      <w:r>
        <w:rPr>
          <w:w w:val="95"/>
        </w:rPr>
        <w:t>因</w:t>
      </w:r>
      <w:r>
        <w:rPr>
          <w:b/>
          <w:w w:val="95"/>
        </w:rPr>
        <w:t>意外事故</w:t>
      </w:r>
      <w:r>
        <w:rPr>
          <w:w w:val="95"/>
        </w:rPr>
        <w:t>（见</w:t>
      </w:r>
    </w:p>
    <w:p>
      <w:pPr>
        <w:pStyle w:val="BodyText"/>
        <w:spacing w:before="18"/>
        <w:ind w:left="2613"/>
      </w:pPr>
      <w:r>
        <w:rPr>
          <w:rFonts w:ascii="Times New Roman" w:eastAsia="Times New Roman"/>
        </w:rPr>
        <w:t>7.4</w:t>
      </w:r>
      <w:r>
        <w:rPr/>
        <w:t>）发生上述情形或者续保本附加合同的，无等待期。等待期内我们不收取保障成本。</w:t>
      </w:r>
    </w:p>
    <w:p>
      <w:pPr>
        <w:pStyle w:val="BodyText"/>
        <w:spacing w:before="10"/>
        <w:rPr>
          <w:sz w:val="26"/>
        </w:rPr>
      </w:pPr>
    </w:p>
    <w:p>
      <w:pPr>
        <w:pStyle w:val="BodyText"/>
        <w:tabs>
          <w:tab w:pos="2613" w:val="left" w:leader="none"/>
        </w:tabs>
        <w:spacing w:line="312" w:lineRule="auto" w:before="1"/>
        <w:ind w:left="2613" w:right="222" w:hanging="1707"/>
      </w:pPr>
      <w:r>
        <w:rPr>
          <w:b/>
          <w:sz w:val="21"/>
        </w:rPr>
        <w:t>轻症疾病保险金</w:t>
        <w:tab/>
      </w:r>
      <w:r>
        <w:rPr>
          <w:position w:val="1"/>
        </w:rPr>
        <w:t>若被保险人因意外事故或等待期后因疾病导致首次发病，经本公司指定或认可的医疗机构确</w:t>
      </w:r>
      <w:r>
        <w:rPr/>
        <w:t>诊患有本附加合同附表一约定轻症疾病的</w:t>
      </w:r>
      <w:r>
        <w:rPr>
          <w:spacing w:val="-69"/>
        </w:rPr>
        <w:t>，</w:t>
      </w:r>
      <w:r>
        <w:rPr/>
        <w:t>本公司按照本附加合同基本保险金额的</w:t>
      </w:r>
      <w:r>
        <w:rPr>
          <w:spacing w:val="-46"/>
        </w:rPr>
        <w:t> </w:t>
      </w:r>
      <w:r>
        <w:rPr/>
        <w:t>20%向受益人给</w:t>
      </w:r>
      <w:r>
        <w:rPr>
          <w:spacing w:val="-41"/>
        </w:rPr>
        <w:t>付</w:t>
      </w:r>
      <w:r>
        <w:rPr/>
        <w:t>“轻症疾病保险金</w:t>
      </w:r>
      <w:r>
        <w:rPr>
          <w:spacing w:val="-66"/>
        </w:rPr>
        <w:t>”，</w:t>
      </w:r>
      <w:r>
        <w:rPr/>
        <w:t>本附加合同继续有效</w:t>
      </w:r>
      <w:r>
        <w:rPr>
          <w:spacing w:val="-41"/>
        </w:rPr>
        <w:t>。</w:t>
      </w:r>
      <w:r>
        <w:rPr/>
        <w:t>每种轻症疾病限给付一次</w:t>
      </w:r>
      <w:r>
        <w:rPr>
          <w:spacing w:val="-41"/>
        </w:rPr>
        <w:t>，</w:t>
      </w:r>
      <w:r>
        <w:rPr/>
        <w:t>给付后该</w:t>
      </w:r>
      <w:r>
        <w:rPr>
          <w:spacing w:val="-41"/>
        </w:rPr>
        <w:t>种</w:t>
      </w:r>
      <w:r>
        <w:rPr/>
        <w:t>“轻症疾病保险金”的保险责任终止。不同轻症疾病可以多次给付，</w:t>
      </w:r>
      <w:r>
        <w:rPr>
          <w:shd w:fill="D9D9D9" w:color="auto" w:val="clear"/>
        </w:rPr>
        <w:t>但本附加合同的“轻症疾病</w:t>
      </w:r>
      <w:r>
        <w:rPr>
          <w:spacing w:val="-121"/>
          <w:shd w:fill="D9D9D9" w:color="auto" w:val="clear"/>
        </w:rPr>
        <w:t>保</w:t>
      </w:r>
      <w:r>
        <w:rPr>
          <w:shd w:fill="D9D9D9" w:color="auto" w:val="clear"/>
        </w:rPr>
        <w:t>险金”累计给付次数以两次为限，在主合同保险期间内，当本附加合同累计给付的“轻症疾病保险金”次数达到两次时，本项保险责任终止，本附加合同继续有效。</w:t>
      </w:r>
    </w:p>
    <w:p>
      <w:pPr>
        <w:pStyle w:val="BodyText"/>
        <w:spacing w:before="0"/>
      </w:pPr>
    </w:p>
    <w:p>
      <w:pPr>
        <w:pStyle w:val="BodyText"/>
        <w:spacing w:before="2"/>
        <w:rPr>
          <w:sz w:val="13"/>
        </w:rPr>
      </w:pPr>
    </w:p>
    <w:p>
      <w:pPr>
        <w:pStyle w:val="BodyText"/>
        <w:tabs>
          <w:tab w:pos="2613" w:val="left" w:leader="none"/>
        </w:tabs>
        <w:spacing w:line="309" w:lineRule="auto" w:before="1"/>
        <w:ind w:left="2613" w:right="222" w:hanging="1707"/>
      </w:pPr>
      <w:r>
        <w:rPr>
          <w:b/>
          <w:sz w:val="21"/>
        </w:rPr>
        <w:t>重大疾病保险金</w:t>
        <w:tab/>
      </w:r>
      <w:r>
        <w:rPr>
          <w:position w:val="1"/>
        </w:rPr>
        <w:t>若被保险人因意外事故或等待期后因疾病导致首次发病，经本公司指定或认可的医疗机构确</w:t>
      </w:r>
      <w:r>
        <w:rPr/>
        <w:t>诊初次患上本附加合同附表二约定的一项或多项重大疾病，本公司按照本附加合同基本保险金额向受益人给</w:t>
      </w:r>
      <w:r>
        <w:rPr>
          <w:spacing w:val="-6"/>
        </w:rPr>
        <w:t>付</w:t>
      </w:r>
      <w:r>
        <w:rPr/>
        <w:t>“重大疾病保险金</w:t>
      </w:r>
      <w:r>
        <w:rPr>
          <w:spacing w:val="-90"/>
        </w:rPr>
        <w:t>”</w:t>
      </w:r>
      <w:r>
        <w:rPr>
          <w:spacing w:val="-6"/>
        </w:rPr>
        <w:t>，</w:t>
      </w:r>
      <w:r>
        <w:rPr/>
        <w:t>本附加合同终止</w:t>
      </w:r>
      <w:r>
        <w:rPr>
          <w:spacing w:val="-6"/>
        </w:rPr>
        <w:t>。</w:t>
      </w:r>
      <w:r>
        <w:rPr>
          <w:shd w:fill="D9D9D9" w:color="auto" w:val="clear"/>
        </w:rPr>
        <w:t>在主合同保险期间内</w:t>
      </w:r>
      <w:r>
        <w:rPr>
          <w:spacing w:val="-6"/>
          <w:shd w:fill="D9D9D9" w:color="auto" w:val="clear"/>
        </w:rPr>
        <w:t>，</w:t>
      </w:r>
      <w:r>
        <w:rPr>
          <w:shd w:fill="D9D9D9" w:color="auto" w:val="clear"/>
        </w:rPr>
        <w:t>对于重大疾</w:t>
      </w:r>
      <w:r>
        <w:rPr>
          <w:spacing w:val="-187"/>
          <w:shd w:fill="D9D9D9" w:color="auto" w:val="clear"/>
        </w:rPr>
        <w:t>病</w:t>
      </w:r>
      <w:r>
        <w:rPr>
          <w:shd w:fill="D9D9D9" w:color="auto" w:val="clear"/>
        </w:rPr>
        <w:t>                                                                               确诊之后确诊的轻症疾病，本公司均不承担给付“轻症疾病保险金”的保险责任。</w:t>
      </w:r>
    </w:p>
    <w:p>
      <w:pPr>
        <w:pStyle w:val="BodyText"/>
        <w:spacing w:before="9"/>
        <w:rPr>
          <w:sz w:val="23"/>
        </w:rPr>
      </w:pPr>
    </w:p>
    <w:p>
      <w:pPr>
        <w:pStyle w:val="BodyText"/>
        <w:tabs>
          <w:tab w:pos="2613" w:val="left" w:leader="none"/>
        </w:tabs>
        <w:spacing w:line="295" w:lineRule="auto" w:before="1"/>
        <w:ind w:left="2613" w:right="378" w:hanging="1707"/>
      </w:pPr>
      <w:r>
        <w:rPr>
          <w:b/>
          <w:sz w:val="21"/>
        </w:rPr>
        <w:t>身故保险金</w:t>
        <w:tab/>
      </w:r>
      <w:r>
        <w:rPr>
          <w:position w:val="1"/>
        </w:rPr>
        <w:t>若被保险人因意外事故或等待期后因疾病身故,本公司按照本附加合同基本保险金额向受益</w:t>
      </w:r>
      <w:r>
        <w:rPr/>
        <w:t>人给付“身故保险金</w:t>
      </w:r>
      <w:r>
        <w:rPr>
          <w:spacing w:val="-90"/>
        </w:rPr>
        <w:t>”</w:t>
      </w:r>
      <w:r>
        <w:rPr/>
        <w:t>，本附加合同终止。</w:t>
      </w:r>
    </w:p>
    <w:p>
      <w:pPr>
        <w:spacing w:after="0" w:line="295" w:lineRule="auto"/>
        <w:sectPr>
          <w:type w:val="continuous"/>
          <w:pgSz w:w="11910" w:h="16840"/>
          <w:pgMar w:top="1040" w:bottom="1180" w:left="1080" w:right="720"/>
        </w:sectPr>
      </w:pPr>
    </w:p>
    <w:p>
      <w:pPr>
        <w:pStyle w:val="BodyText"/>
        <w:spacing w:before="0"/>
        <w:rPr>
          <w:sz w:val="20"/>
        </w:rPr>
      </w:pPr>
    </w:p>
    <w:p>
      <w:pPr>
        <w:pStyle w:val="BodyText"/>
        <w:spacing w:before="1"/>
        <w:rPr>
          <w:sz w:val="24"/>
        </w:rPr>
      </w:pPr>
    </w:p>
    <w:p>
      <w:pPr>
        <w:pStyle w:val="BodyText"/>
        <w:spacing w:before="44"/>
        <w:ind w:left="2613"/>
      </w:pPr>
      <w:r>
        <w:rPr>
          <w:spacing w:val="-5"/>
        </w:rPr>
        <w:t>对于“重大疾病保险金”和“身故保险金”，本公司仅给付其中一项。</w:t>
      </w:r>
    </w:p>
    <w:p>
      <w:pPr>
        <w:pStyle w:val="BodyText"/>
        <w:spacing w:before="0"/>
      </w:pPr>
    </w:p>
    <w:p>
      <w:pPr>
        <w:pStyle w:val="ListParagraph"/>
        <w:numPr>
          <w:ilvl w:val="1"/>
          <w:numId w:val="9"/>
        </w:numPr>
        <w:tabs>
          <w:tab w:pos="907" w:val="left" w:leader="none"/>
          <w:tab w:pos="908" w:val="left" w:leader="none"/>
          <w:tab w:pos="2613" w:val="left" w:leader="none"/>
        </w:tabs>
        <w:spacing w:line="295" w:lineRule="auto" w:before="127" w:after="0"/>
        <w:ind w:left="2613" w:right="288" w:hanging="2389"/>
        <w:jc w:val="left"/>
        <w:rPr>
          <w:sz w:val="18"/>
        </w:rPr>
      </w:pPr>
      <w:r>
        <w:rPr>
          <w:b/>
          <w:sz w:val="21"/>
        </w:rPr>
        <w:t>责任免除</w:t>
        <w:tab/>
      </w:r>
      <w:r>
        <w:rPr>
          <w:position w:val="1"/>
          <w:sz w:val="18"/>
        </w:rPr>
        <w:t>被保险人因下列情形之一导致身故或罹患本附加合同约定的轻症疾病、重大疾病的，本公司</w:t>
      </w:r>
      <w:r>
        <w:rPr>
          <w:sz w:val="18"/>
        </w:rPr>
        <w:t>不承担保险责任：</w:t>
      </w:r>
    </w:p>
    <w:p>
      <w:pPr>
        <w:pStyle w:val="Heading3"/>
        <w:spacing w:before="35"/>
        <w:ind w:left="2613" w:firstLine="0"/>
      </w:pPr>
      <w:r>
        <w:rPr/>
        <w:t>1、 投保人对被保险人的故意杀害、故意伤害；</w:t>
      </w:r>
    </w:p>
    <w:p>
      <w:pPr>
        <w:spacing w:before="76"/>
        <w:ind w:left="2613" w:right="0" w:firstLine="0"/>
        <w:jc w:val="left"/>
        <w:rPr>
          <w:b/>
          <w:sz w:val="18"/>
        </w:rPr>
      </w:pPr>
      <w:r>
        <w:rPr>
          <w:b/>
          <w:sz w:val="18"/>
        </w:rPr>
        <w:t>2、 被保险人故意自伤、故意犯罪或者抗拒依法采取的刑事强制措施；</w:t>
      </w:r>
    </w:p>
    <w:p>
      <w:pPr>
        <w:spacing w:before="76"/>
        <w:ind w:left="2613" w:right="0" w:firstLine="0"/>
        <w:jc w:val="left"/>
        <w:rPr>
          <w:b/>
          <w:sz w:val="18"/>
        </w:rPr>
      </w:pPr>
      <w:r>
        <w:rPr>
          <w:b/>
          <w:sz w:val="18"/>
        </w:rPr>
        <w:t>3、 被保险人自杀，但被保险人自杀时为无民事行为能力人的除外；</w:t>
      </w:r>
    </w:p>
    <w:p>
      <w:pPr>
        <w:spacing w:before="76"/>
        <w:ind w:left="2613" w:right="0" w:firstLine="0"/>
        <w:jc w:val="left"/>
        <w:rPr>
          <w:b/>
          <w:sz w:val="18"/>
        </w:rPr>
      </w:pPr>
      <w:r>
        <w:rPr>
          <w:b/>
          <w:spacing w:val="0"/>
          <w:w w:val="99"/>
          <w:sz w:val="18"/>
        </w:rPr>
        <w:t>4</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7.5</w:t>
      </w:r>
      <w:r>
        <w:rPr>
          <w:spacing w:val="-90"/>
          <w:sz w:val="18"/>
        </w:rPr>
        <w:t>）</w:t>
      </w:r>
      <w:r>
        <w:rPr>
          <w:b/>
          <w:w w:val="99"/>
          <w:sz w:val="18"/>
        </w:rPr>
        <w:t>；</w:t>
      </w:r>
    </w:p>
    <w:p>
      <w:pPr>
        <w:spacing w:line="316" w:lineRule="auto" w:before="76"/>
        <w:ind w:left="3010" w:right="225" w:hanging="398"/>
        <w:jc w:val="left"/>
        <w:rPr>
          <w:b/>
          <w:sz w:val="18"/>
        </w:rPr>
      </w:pPr>
      <w:r>
        <w:rPr>
          <w:b/>
          <w:spacing w:val="0"/>
          <w:w w:val="99"/>
          <w:sz w:val="18"/>
        </w:rPr>
        <w:t>5</w:t>
      </w:r>
      <w:r>
        <w:rPr>
          <w:b/>
          <w:w w:val="99"/>
          <w:sz w:val="18"/>
        </w:rPr>
        <w:t>、</w:t>
      </w:r>
      <w:r>
        <w:rPr>
          <w:b/>
          <w:sz w:val="18"/>
        </w:rPr>
        <w:t> </w:t>
      </w:r>
      <w:r>
        <w:rPr>
          <w:b/>
          <w:w w:val="99"/>
          <w:sz w:val="18"/>
          <w:shd w:fill="D9D9D9" w:color="auto" w:val="clear"/>
        </w:rPr>
        <w:t>被保险人饮酒后驾驶或醉酒驾驶</w:t>
      </w:r>
      <w:r>
        <w:rPr>
          <w:sz w:val="18"/>
          <w:shd w:fill="D9D9D9" w:color="auto" w:val="clear"/>
        </w:rPr>
        <w:t>（</w:t>
      </w:r>
      <w:r>
        <w:rPr>
          <w:spacing w:val="-20"/>
          <w:sz w:val="18"/>
          <w:shd w:fill="D9D9D9" w:color="auto" w:val="clear"/>
        </w:rPr>
        <w:t>见 </w:t>
      </w:r>
      <w:r>
        <w:rPr>
          <w:sz w:val="18"/>
          <w:shd w:fill="D9D9D9" w:color="auto" w:val="clear"/>
        </w:rPr>
        <w:t>7.6</w:t>
      </w:r>
      <w:r>
        <w:rPr>
          <w:spacing w:val="-92"/>
          <w:sz w:val="18"/>
          <w:shd w:fill="D9D9D9" w:color="auto" w:val="clear"/>
        </w:rPr>
        <w:t>）</w:t>
      </w:r>
      <w:r>
        <w:rPr>
          <w:b/>
          <w:w w:val="99"/>
          <w:sz w:val="18"/>
          <w:shd w:fill="D9D9D9" w:color="auto" w:val="clear"/>
        </w:rPr>
        <w:t>、无合法有效驾驶证驾驶</w:t>
      </w:r>
      <w:r>
        <w:rPr>
          <w:spacing w:val="-2"/>
          <w:sz w:val="18"/>
          <w:shd w:fill="D9D9D9" w:color="auto" w:val="clear"/>
        </w:rPr>
        <w:t>（</w:t>
      </w:r>
      <w:r>
        <w:rPr>
          <w:spacing w:val="-20"/>
          <w:sz w:val="18"/>
          <w:shd w:fill="D9D9D9" w:color="auto" w:val="clear"/>
        </w:rPr>
        <w:t>见 </w:t>
      </w:r>
      <w:r>
        <w:rPr>
          <w:sz w:val="18"/>
          <w:shd w:fill="D9D9D9" w:color="auto" w:val="clear"/>
        </w:rPr>
        <w:t>7.7）</w:t>
      </w:r>
      <w:r>
        <w:rPr>
          <w:b/>
          <w:w w:val="99"/>
          <w:sz w:val="18"/>
          <w:shd w:fill="D9D9D9" w:color="auto" w:val="clear"/>
        </w:rPr>
        <w:t>或驾驶无</w:t>
      </w:r>
      <w:r>
        <w:rPr>
          <w:b/>
          <w:sz w:val="18"/>
          <w:shd w:fill="D9D9D9" w:color="auto" w:val="clear"/>
        </w:rPr>
        <w:t>有效行驶证</w:t>
      </w:r>
      <w:r>
        <w:rPr>
          <w:sz w:val="18"/>
          <w:shd w:fill="D9D9D9" w:color="auto" w:val="clear"/>
        </w:rPr>
        <w:t>（</w:t>
      </w:r>
      <w:r>
        <w:rPr>
          <w:spacing w:val="-24"/>
          <w:sz w:val="18"/>
          <w:shd w:fill="D9D9D9" w:color="auto" w:val="clear"/>
        </w:rPr>
        <w:t>见 </w:t>
      </w:r>
      <w:r>
        <w:rPr>
          <w:sz w:val="18"/>
          <w:shd w:fill="D9D9D9" w:color="auto" w:val="clear"/>
        </w:rPr>
        <w:t>7.8）</w:t>
      </w:r>
      <w:r>
        <w:rPr>
          <w:b/>
          <w:sz w:val="18"/>
          <w:shd w:fill="D9D9D9" w:color="auto" w:val="clear"/>
        </w:rPr>
        <w:t>的机动车；</w:t>
      </w:r>
    </w:p>
    <w:p>
      <w:pPr>
        <w:pStyle w:val="Heading3"/>
        <w:spacing w:before="18"/>
        <w:ind w:left="2613" w:firstLine="0"/>
      </w:pPr>
      <w:r>
        <w:rPr/>
        <w:t>6、 战争、军事冲突、暴乱或武装叛乱；</w:t>
      </w:r>
    </w:p>
    <w:p>
      <w:pPr>
        <w:spacing w:before="75"/>
        <w:ind w:left="2613" w:right="0" w:firstLine="0"/>
        <w:jc w:val="left"/>
        <w:rPr>
          <w:b/>
          <w:sz w:val="18"/>
        </w:rPr>
      </w:pPr>
      <w:r>
        <w:rPr>
          <w:b/>
          <w:sz w:val="18"/>
        </w:rPr>
        <w:t>7、 核爆炸、核辐射或核污染；</w:t>
      </w:r>
    </w:p>
    <w:p>
      <w:pPr>
        <w:spacing w:line="316" w:lineRule="auto" w:before="75"/>
        <w:ind w:left="3010" w:right="222" w:hanging="398"/>
        <w:jc w:val="both"/>
        <w:rPr>
          <w:b/>
          <w:sz w:val="18"/>
        </w:rPr>
      </w:pPr>
      <w:r>
        <w:rPr>
          <w:b/>
          <w:spacing w:val="0"/>
          <w:w w:val="99"/>
          <w:sz w:val="18"/>
        </w:rPr>
        <w:t>8</w:t>
      </w:r>
      <w:r>
        <w:rPr>
          <w:b/>
          <w:w w:val="99"/>
          <w:sz w:val="18"/>
        </w:rPr>
        <w:t>、</w:t>
      </w:r>
      <w:r>
        <w:rPr>
          <w:b/>
          <w:sz w:val="18"/>
        </w:rPr>
        <w:t> </w:t>
      </w:r>
      <w:r>
        <w:rPr>
          <w:b/>
          <w:spacing w:val="-2"/>
          <w:w w:val="99"/>
          <w:sz w:val="18"/>
          <w:shd w:fill="D9D9D9" w:color="auto" w:val="clear"/>
        </w:rPr>
        <w:t>被保险人患艾滋病</w:t>
      </w:r>
      <w:r>
        <w:rPr>
          <w:sz w:val="18"/>
          <w:shd w:fill="D9D9D9" w:color="auto" w:val="clear"/>
        </w:rPr>
        <w:t>（</w:t>
      </w:r>
      <w:r>
        <w:rPr>
          <w:spacing w:val="-23"/>
          <w:sz w:val="18"/>
          <w:shd w:fill="D9D9D9" w:color="auto" w:val="clear"/>
        </w:rPr>
        <w:t>见 </w:t>
      </w:r>
      <w:r>
        <w:rPr>
          <w:sz w:val="18"/>
          <w:shd w:fill="D9D9D9" w:color="auto" w:val="clear"/>
        </w:rPr>
        <w:t>7.9</w:t>
      </w:r>
      <w:r>
        <w:rPr>
          <w:spacing w:val="-106"/>
          <w:sz w:val="18"/>
          <w:shd w:fill="D9D9D9" w:color="auto" w:val="clear"/>
        </w:rPr>
        <w:t>）</w:t>
      </w:r>
      <w:r>
        <w:rPr>
          <w:b/>
          <w:spacing w:val="0"/>
          <w:w w:val="99"/>
          <w:sz w:val="18"/>
          <w:shd w:fill="D9D9D9" w:color="auto" w:val="clear"/>
        </w:rPr>
        <w:t>（AI</w:t>
      </w:r>
      <w:r>
        <w:rPr>
          <w:b/>
          <w:w w:val="99"/>
          <w:sz w:val="18"/>
          <w:shd w:fill="D9D9D9" w:color="auto" w:val="clear"/>
        </w:rPr>
        <w:t>D</w:t>
      </w:r>
      <w:r>
        <w:rPr>
          <w:b/>
          <w:spacing w:val="0"/>
          <w:w w:val="99"/>
          <w:sz w:val="18"/>
          <w:shd w:fill="D9D9D9" w:color="auto" w:val="clear"/>
        </w:rPr>
        <w:t>S</w:t>
      </w:r>
      <w:r>
        <w:rPr>
          <w:b/>
          <w:spacing w:val="-14"/>
          <w:w w:val="99"/>
          <w:sz w:val="18"/>
          <w:shd w:fill="D9D9D9" w:color="auto" w:val="clear"/>
        </w:rPr>
        <w:t>）</w:t>
      </w:r>
      <w:r>
        <w:rPr>
          <w:b/>
          <w:spacing w:val="-2"/>
          <w:w w:val="99"/>
          <w:sz w:val="18"/>
          <w:shd w:fill="D9D9D9" w:color="auto" w:val="clear"/>
        </w:rPr>
        <w:t>或感染艾滋病病毒</w:t>
      </w:r>
      <w:r>
        <w:rPr>
          <w:sz w:val="18"/>
          <w:shd w:fill="D9D9D9" w:color="auto" w:val="clear"/>
        </w:rPr>
        <w:t>（</w:t>
      </w:r>
      <w:r>
        <w:rPr>
          <w:spacing w:val="-23"/>
          <w:sz w:val="18"/>
          <w:shd w:fill="D9D9D9" w:color="auto" w:val="clear"/>
        </w:rPr>
        <w:t>见 </w:t>
      </w:r>
      <w:r>
        <w:rPr>
          <w:sz w:val="18"/>
          <w:shd w:fill="D9D9D9" w:color="auto" w:val="clear"/>
        </w:rPr>
        <w:t>7.10</w:t>
      </w:r>
      <w:r>
        <w:rPr>
          <w:spacing w:val="-105"/>
          <w:sz w:val="18"/>
          <w:shd w:fill="D9D9D9" w:color="auto" w:val="clear"/>
        </w:rPr>
        <w:t>）</w:t>
      </w:r>
      <w:r>
        <w:rPr>
          <w:b/>
          <w:spacing w:val="0"/>
          <w:w w:val="99"/>
          <w:sz w:val="18"/>
        </w:rPr>
        <w:t>（H</w:t>
      </w:r>
      <w:r>
        <w:rPr>
          <w:b/>
          <w:w w:val="99"/>
          <w:sz w:val="18"/>
        </w:rPr>
        <w:t>I</w:t>
      </w:r>
      <w:r>
        <w:rPr>
          <w:b/>
          <w:w w:val="99"/>
          <w:sz w:val="18"/>
        </w:rPr>
        <w:t>V</w:t>
      </w:r>
      <w:r>
        <w:rPr>
          <w:b/>
          <w:sz w:val="18"/>
        </w:rPr>
        <w:t> </w:t>
      </w:r>
      <w:r>
        <w:rPr>
          <w:b/>
          <w:w w:val="99"/>
          <w:sz w:val="18"/>
        </w:rPr>
        <w:t>呈阳性</w:t>
      </w:r>
      <w:r>
        <w:rPr>
          <w:b/>
          <w:spacing w:val="-14"/>
          <w:w w:val="99"/>
          <w:sz w:val="18"/>
        </w:rPr>
        <w:t>）</w:t>
      </w:r>
      <w:r>
        <w:rPr>
          <w:b/>
          <w:spacing w:val="0"/>
          <w:w w:val="99"/>
          <w:sz w:val="18"/>
        </w:rPr>
        <w:t>,</w:t>
      </w:r>
      <w:r>
        <w:rPr>
          <w:b/>
          <w:w w:val="99"/>
          <w:sz w:val="18"/>
        </w:rPr>
        <w:t>符合</w:t>
      </w:r>
      <w:r>
        <w:rPr>
          <w:b/>
          <w:spacing w:val="-6"/>
          <w:sz w:val="18"/>
        </w:rPr>
        <w:t>本条款附表一第 </w:t>
      </w:r>
      <w:r>
        <w:rPr>
          <w:b/>
          <w:sz w:val="18"/>
        </w:rPr>
        <w:t>60</w:t>
      </w:r>
      <w:r>
        <w:rPr>
          <w:b/>
          <w:spacing w:val="-19"/>
          <w:sz w:val="18"/>
        </w:rPr>
        <w:t> 项“经输血导致的人类免疫缺陷病毒感染”、第 </w:t>
      </w:r>
      <w:r>
        <w:rPr>
          <w:b/>
          <w:sz w:val="18"/>
        </w:rPr>
        <w:t>66</w:t>
      </w:r>
      <w:r>
        <w:rPr>
          <w:b/>
          <w:spacing w:val="-7"/>
          <w:sz w:val="18"/>
        </w:rPr>
        <w:t> 项“因职业关系导</w:t>
      </w:r>
      <w:r>
        <w:rPr>
          <w:b/>
          <w:spacing w:val="-12"/>
          <w:sz w:val="18"/>
        </w:rPr>
        <w:t>致的人类免疫缺陷病毒感染”和第 </w:t>
      </w:r>
      <w:r>
        <w:rPr>
          <w:b/>
          <w:sz w:val="18"/>
        </w:rPr>
        <w:t>78</w:t>
      </w:r>
      <w:r>
        <w:rPr>
          <w:b/>
          <w:spacing w:val="-11"/>
          <w:sz w:val="18"/>
        </w:rPr>
        <w:t> 项“因器官移植导致的人类免疫缺陷病毒感染”除外；</w:t>
      </w:r>
    </w:p>
    <w:p>
      <w:pPr>
        <w:spacing w:line="316" w:lineRule="auto" w:before="18"/>
        <w:ind w:left="3029" w:right="220" w:hanging="417"/>
        <w:jc w:val="both"/>
        <w:rPr>
          <w:b/>
          <w:sz w:val="18"/>
        </w:rPr>
      </w:pPr>
      <w:r>
        <w:rPr>
          <w:b/>
          <w:spacing w:val="0"/>
          <w:w w:val="99"/>
          <w:sz w:val="18"/>
        </w:rPr>
        <w:t>9</w:t>
      </w:r>
      <w:r>
        <w:rPr>
          <w:b/>
          <w:w w:val="99"/>
          <w:sz w:val="18"/>
        </w:rPr>
        <w:t>、</w:t>
      </w:r>
      <w:r>
        <w:rPr>
          <w:b/>
          <w:spacing w:val="-19"/>
          <w:sz w:val="18"/>
        </w:rPr>
        <w:t>  </w:t>
      </w:r>
      <w:r>
        <w:rPr>
          <w:b/>
          <w:spacing w:val="-1"/>
          <w:w w:val="99"/>
          <w:sz w:val="18"/>
        </w:rPr>
        <w:t>遗传性疾病</w:t>
      </w:r>
      <w:r>
        <w:rPr>
          <w:spacing w:val="-2"/>
          <w:sz w:val="18"/>
        </w:rPr>
        <w:t>（</w:t>
      </w:r>
      <w:r>
        <w:rPr>
          <w:sz w:val="18"/>
        </w:rPr>
        <w:t>见 7.11</w:t>
      </w:r>
      <w:r>
        <w:rPr>
          <w:spacing w:val="-90"/>
          <w:sz w:val="18"/>
        </w:rPr>
        <w:t>）</w:t>
      </w:r>
      <w:r>
        <w:rPr>
          <w:b/>
          <w:spacing w:val="-2"/>
          <w:w w:val="99"/>
          <w:sz w:val="18"/>
        </w:rPr>
        <w:t>，先天性畸形、变形或染色体异常</w:t>
      </w:r>
      <w:r>
        <w:rPr>
          <w:sz w:val="18"/>
        </w:rPr>
        <w:t>（见 7.12</w:t>
      </w:r>
      <w:r>
        <w:rPr>
          <w:spacing w:val="-92"/>
          <w:sz w:val="18"/>
        </w:rPr>
        <w:t>）</w:t>
      </w:r>
      <w:r>
        <w:rPr>
          <w:spacing w:val="-2"/>
          <w:sz w:val="18"/>
        </w:rPr>
        <w:t>，</w:t>
      </w:r>
      <w:r>
        <w:rPr>
          <w:b/>
          <w:w w:val="99"/>
          <w:sz w:val="18"/>
        </w:rPr>
        <w:t>符合本条款附表</w:t>
      </w:r>
      <w:r>
        <w:rPr>
          <w:b/>
          <w:spacing w:val="-12"/>
          <w:sz w:val="18"/>
        </w:rPr>
        <w:t>一第 </w:t>
      </w:r>
      <w:r>
        <w:rPr>
          <w:b/>
          <w:sz w:val="18"/>
        </w:rPr>
        <w:t>31</w:t>
      </w:r>
      <w:r>
        <w:rPr>
          <w:b/>
          <w:spacing w:val="-6"/>
          <w:sz w:val="18"/>
        </w:rPr>
        <w:t> 项“肝豆状核变性</w:t>
      </w:r>
      <w:r>
        <w:rPr>
          <w:b/>
          <w:sz w:val="18"/>
        </w:rPr>
        <w:t>（</w:t>
      </w:r>
      <w:r>
        <w:rPr>
          <w:b/>
          <w:spacing w:val="-12"/>
          <w:sz w:val="18"/>
        </w:rPr>
        <w:t>或称 </w:t>
      </w:r>
      <w:r>
        <w:rPr>
          <w:b/>
          <w:sz w:val="18"/>
        </w:rPr>
        <w:t>Wilson</w:t>
      </w:r>
      <w:r>
        <w:rPr>
          <w:b/>
          <w:spacing w:val="-18"/>
          <w:sz w:val="18"/>
        </w:rPr>
        <w:t> 病</w:t>
      </w:r>
      <w:r>
        <w:rPr>
          <w:b/>
          <w:spacing w:val="-90"/>
          <w:sz w:val="18"/>
        </w:rPr>
        <w:t>）</w:t>
      </w:r>
      <w:r>
        <w:rPr>
          <w:b/>
          <w:spacing w:val="-31"/>
          <w:sz w:val="18"/>
        </w:rPr>
        <w:t>”、第 </w:t>
      </w:r>
      <w:r>
        <w:rPr>
          <w:b/>
          <w:sz w:val="18"/>
        </w:rPr>
        <w:t>77</w:t>
      </w:r>
      <w:r>
        <w:rPr>
          <w:b/>
          <w:spacing w:val="-6"/>
          <w:sz w:val="18"/>
        </w:rPr>
        <w:t> 项“肾上腺脑白质营养不良”除外。</w:t>
      </w:r>
    </w:p>
    <w:p>
      <w:pPr>
        <w:pStyle w:val="BodyText"/>
        <w:spacing w:line="316" w:lineRule="auto" w:before="18"/>
        <w:ind w:left="2613" w:right="288"/>
      </w:pPr>
      <w:r>
        <w:rPr>
          <w:spacing w:val="-8"/>
          <w:shd w:fill="D9D9D9" w:color="auto" w:val="clear"/>
        </w:rPr>
        <w:t>发生上述第 </w:t>
      </w:r>
      <w:r>
        <w:rPr>
          <w:shd w:fill="D9D9D9" w:color="auto" w:val="clear"/>
        </w:rPr>
        <w:t>1</w:t>
      </w:r>
      <w:r>
        <w:rPr>
          <w:spacing w:val="-7"/>
          <w:shd w:fill="D9D9D9" w:color="auto" w:val="clear"/>
        </w:rPr>
        <w:t> 项情形导致被保险人身故或</w:t>
      </w:r>
      <w:r>
        <w:rPr/>
        <w:t>罹患本附加合同约定的轻症疾病、重大疾病的，本附加合同终止，</w:t>
      </w:r>
      <w:r>
        <w:rPr>
          <w:shd w:fill="D9D9D9" w:color="auto" w:val="clear"/>
        </w:rPr>
        <w:t>本公司向其他权利人退还已收取的本附加合同终止之日后的保障成本。</w:t>
      </w:r>
    </w:p>
    <w:p>
      <w:pPr>
        <w:pStyle w:val="BodyText"/>
        <w:spacing w:line="316" w:lineRule="auto" w:before="18"/>
        <w:ind w:left="2613" w:right="221"/>
      </w:pPr>
      <w:r>
        <w:rPr>
          <w:shd w:fill="D9D9D9" w:color="auto" w:val="clear"/>
        </w:rPr>
        <w:t>发生上述其它情形导致被保险人身故或</w:t>
      </w:r>
      <w:r>
        <w:rPr/>
        <w:t>罹患本附加合同约定的轻症疾病、重大疾病的</w:t>
      </w:r>
      <w:r>
        <w:rPr>
          <w:shd w:fill="D9D9D9" w:color="auto" w:val="clear"/>
        </w:rPr>
        <w:t>，本附加合同终止，本公司向您或其他权利人退还已收取的本附加合同终止之日后的保障成本。</w:t>
      </w:r>
      <w:r>
        <w:rPr/>
        <w:t> 若您曾申请增加基本保险金额，若被保险人在增加的部分生效之日起因自杀导致身故，本公司对该部分不承担给付保险金的责任，但被保险人自杀时为无民事行为能力人的除外。</w:t>
      </w:r>
    </w:p>
    <w:p>
      <w:pPr>
        <w:pStyle w:val="BodyText"/>
        <w:spacing w:before="0"/>
      </w:pPr>
    </w:p>
    <w:p>
      <w:pPr>
        <w:pStyle w:val="Heading1"/>
        <w:tabs>
          <w:tab w:pos="907" w:val="left" w:leader="none"/>
        </w:tabs>
        <w:spacing w:before="146"/>
      </w:pPr>
      <w:r>
        <w:rPr/>
        <w:pict>
          <v:line style="position:absolute;mso-position-horizontal-relative:page;mso-position-vertical-relative:paragraph;z-index:1144;mso-wrap-distance-left:0;mso-wrap-distance-right:0" from="59.82pt,35.640148pt" to="553.5pt,35.640148pt" stroked="true" strokeweight=".48001pt" strokecolor="#000000">
            <v:stroke dashstyle="solid"/>
            <w10:wrap type="topAndBottom"/>
          </v:line>
        </w:pict>
      </w:r>
      <w:r>
        <w:rPr>
          <w:rFonts w:ascii="Arial" w:hAnsi="Arial" w:eastAsia="Arial"/>
          <w:position w:val="-3"/>
          <w:sz w:val="40"/>
        </w:rPr>
        <w:t></w:t>
        <w:tab/>
      </w:r>
      <w:r>
        <w:rPr/>
        <w:t>如何申请领取保险金</w:t>
      </w:r>
    </w:p>
    <w:p>
      <w:pPr>
        <w:pStyle w:val="BodyText"/>
        <w:spacing w:before="7"/>
        <w:rPr>
          <w:b/>
          <w:sz w:val="10"/>
        </w:rPr>
      </w:pPr>
    </w:p>
    <w:p>
      <w:pPr>
        <w:spacing w:after="0"/>
        <w:rPr>
          <w:sz w:val="10"/>
        </w:rPr>
        <w:sectPr>
          <w:footerReference w:type="default" r:id="rId10"/>
          <w:pgSz w:w="11910" w:h="16840"/>
          <w:pgMar w:footer="981" w:header="877" w:top="1100" w:bottom="1180" w:left="1080" w:right="720"/>
          <w:pgNumType w:start="4"/>
        </w:sectPr>
      </w:pPr>
    </w:p>
    <w:p>
      <w:pPr>
        <w:pStyle w:val="Heading2"/>
        <w:numPr>
          <w:ilvl w:val="1"/>
          <w:numId w:val="12"/>
        </w:numPr>
        <w:tabs>
          <w:tab w:pos="907" w:val="left" w:leader="none"/>
          <w:tab w:pos="908" w:val="left" w:leader="none"/>
        </w:tabs>
        <w:spacing w:line="240" w:lineRule="auto" w:before="35" w:after="0"/>
        <w:ind w:left="2613" w:right="0" w:hanging="2389"/>
        <w:jc w:val="left"/>
      </w:pPr>
      <w:r>
        <w:rPr/>
        <w:t>受益人的指定和</w:t>
      </w:r>
    </w:p>
    <w:p>
      <w:pPr>
        <w:spacing w:before="37"/>
        <w:ind w:left="889" w:right="1051" w:firstLine="0"/>
        <w:jc w:val="center"/>
        <w:rPr>
          <w:b/>
          <w:sz w:val="21"/>
        </w:rPr>
      </w:pPr>
      <w:r>
        <w:rPr>
          <w:b/>
          <w:sz w:val="21"/>
        </w:rPr>
        <w:t>变更</w:t>
      </w:r>
    </w:p>
    <w:p>
      <w:pPr>
        <w:pStyle w:val="BodyText"/>
        <w:spacing w:before="60"/>
        <w:ind w:left="172"/>
      </w:pPr>
      <w:r>
        <w:rPr/>
        <w:br w:type="column"/>
      </w:r>
      <w:r>
        <w:rPr/>
        <w:t>本附加合同身故保险金受益人与主合同身故保险金受益人相同；</w:t>
      </w:r>
    </w:p>
    <w:p>
      <w:pPr>
        <w:pStyle w:val="BodyText"/>
        <w:spacing w:before="75"/>
        <w:ind w:left="172"/>
      </w:pPr>
      <w:r>
        <w:rPr/>
        <w:t>除另有指定之外，轻症疾病、重大疾病保险金受益人为被保险人本人。</w:t>
      </w:r>
    </w:p>
    <w:p>
      <w:pPr>
        <w:spacing w:after="0"/>
        <w:sectPr>
          <w:type w:val="continuous"/>
          <w:pgSz w:w="11910" w:h="16840"/>
          <w:pgMar w:top="1040" w:bottom="1180" w:left="1080" w:right="720"/>
          <w:cols w:num="2" w:equalWidth="0">
            <w:col w:w="2402" w:space="40"/>
            <w:col w:w="7668"/>
          </w:cols>
        </w:sectPr>
      </w:pPr>
    </w:p>
    <w:p>
      <w:pPr>
        <w:pStyle w:val="BodyText"/>
        <w:spacing w:before="0"/>
        <w:rPr>
          <w:sz w:val="24"/>
        </w:rPr>
      </w:pPr>
    </w:p>
    <w:p>
      <w:pPr>
        <w:pStyle w:val="ListParagraph"/>
        <w:numPr>
          <w:ilvl w:val="1"/>
          <w:numId w:val="12"/>
        </w:numPr>
        <w:tabs>
          <w:tab w:pos="907" w:val="left" w:leader="none"/>
          <w:tab w:pos="908" w:val="left" w:leader="none"/>
          <w:tab w:pos="2613" w:val="left" w:leader="none"/>
        </w:tabs>
        <w:spacing w:line="240" w:lineRule="auto" w:before="35" w:after="0"/>
        <w:ind w:left="907" w:right="0" w:hanging="683"/>
        <w:jc w:val="left"/>
        <w:rPr>
          <w:sz w:val="18"/>
        </w:rPr>
      </w:pPr>
      <w:r>
        <w:rPr>
          <w:b/>
          <w:sz w:val="21"/>
        </w:rPr>
        <w:t>保险金的申请</w:t>
        <w:tab/>
      </w:r>
      <w:r>
        <w:rPr>
          <w:position w:val="1"/>
          <w:sz w:val="18"/>
        </w:rPr>
        <w:t>1、轻症疾病、重大疾病保险金</w:t>
      </w:r>
    </w:p>
    <w:p>
      <w:pPr>
        <w:pStyle w:val="BodyText"/>
        <w:spacing w:line="316" w:lineRule="auto" w:before="62"/>
        <w:ind w:left="2613" w:right="328"/>
      </w:pPr>
      <w:r>
        <w:rPr>
          <w:spacing w:val="-5"/>
        </w:rPr>
        <w:t>轻症疾病、重大疾病保险金受益人申请领取轻症疾病、重大疾病保险金时，须填写保险金给付申请书,并提供下列证明材料：</w:t>
      </w:r>
    </w:p>
    <w:p>
      <w:pPr>
        <w:pStyle w:val="ListParagraph"/>
        <w:numPr>
          <w:ilvl w:val="2"/>
          <w:numId w:val="12"/>
        </w:numPr>
        <w:tabs>
          <w:tab w:pos="2954" w:val="left" w:leader="none"/>
        </w:tabs>
        <w:spacing w:line="240" w:lineRule="auto" w:before="18" w:after="0"/>
        <w:ind w:left="2953" w:right="0" w:hanging="340"/>
        <w:jc w:val="left"/>
        <w:rPr>
          <w:sz w:val="18"/>
        </w:rPr>
      </w:pPr>
      <w:r>
        <w:rPr>
          <w:sz w:val="18"/>
        </w:rPr>
        <w:t>保险合同；</w:t>
      </w:r>
    </w:p>
    <w:p>
      <w:pPr>
        <w:pStyle w:val="ListParagraph"/>
        <w:numPr>
          <w:ilvl w:val="2"/>
          <w:numId w:val="12"/>
        </w:numPr>
        <w:tabs>
          <w:tab w:pos="2954" w:val="left" w:leader="none"/>
        </w:tabs>
        <w:spacing w:line="240" w:lineRule="auto" w:before="76" w:after="0"/>
        <w:ind w:left="2953" w:right="0" w:hanging="340"/>
        <w:jc w:val="left"/>
        <w:rPr>
          <w:sz w:val="18"/>
        </w:rPr>
      </w:pPr>
      <w:r>
        <w:rPr>
          <w:sz w:val="18"/>
        </w:rPr>
        <w:t>受益人的有效身份证件；</w:t>
      </w:r>
    </w:p>
    <w:p>
      <w:pPr>
        <w:pStyle w:val="ListParagraph"/>
        <w:numPr>
          <w:ilvl w:val="2"/>
          <w:numId w:val="12"/>
        </w:numPr>
        <w:tabs>
          <w:tab w:pos="2954" w:val="left" w:leader="none"/>
        </w:tabs>
        <w:spacing w:line="316" w:lineRule="auto" w:before="76" w:after="0"/>
        <w:ind w:left="2953" w:right="327" w:hanging="340"/>
        <w:jc w:val="left"/>
        <w:rPr>
          <w:sz w:val="18"/>
        </w:rPr>
      </w:pPr>
      <w:r>
        <w:rPr>
          <w:spacing w:val="-1"/>
          <w:sz w:val="18"/>
        </w:rPr>
        <w:t>本公司指定或认可的医疗机构出具的附有病理检验、血液检验及其它确诊疾病必须的科学方法检验报告的疾病诊断证明书；</w:t>
      </w:r>
    </w:p>
    <w:p>
      <w:pPr>
        <w:pStyle w:val="ListParagraph"/>
        <w:numPr>
          <w:ilvl w:val="2"/>
          <w:numId w:val="12"/>
        </w:numPr>
        <w:tabs>
          <w:tab w:pos="2954" w:val="left" w:leader="none"/>
        </w:tabs>
        <w:spacing w:line="240" w:lineRule="auto" w:before="18" w:after="0"/>
        <w:ind w:left="2953" w:right="0" w:hanging="340"/>
        <w:jc w:val="left"/>
        <w:rPr>
          <w:sz w:val="18"/>
        </w:rPr>
      </w:pPr>
      <w:r>
        <w:rPr>
          <w:sz w:val="18"/>
        </w:rPr>
        <w:t>所能提供的与确认保险事故的性质、原因等有关的其它证明文件和资料。</w:t>
      </w:r>
    </w:p>
    <w:p>
      <w:pPr>
        <w:pStyle w:val="BodyText"/>
        <w:spacing w:before="0"/>
      </w:pPr>
    </w:p>
    <w:p>
      <w:pPr>
        <w:pStyle w:val="BodyText"/>
        <w:spacing w:before="152"/>
        <w:ind w:left="2613"/>
      </w:pPr>
      <w:r>
        <w:rPr/>
        <w:t>2、身故保险金</w:t>
      </w:r>
    </w:p>
    <w:p>
      <w:pPr>
        <w:pStyle w:val="BodyText"/>
        <w:ind w:left="2613"/>
      </w:pPr>
      <w:r>
        <w:rPr/>
        <w:t>身故保险金受益人申请领取身故保险金时, 须填写保险金给付申请书，并提交下列证明材料：</w:t>
      </w:r>
    </w:p>
    <w:p>
      <w:pPr>
        <w:pStyle w:val="ListParagraph"/>
        <w:numPr>
          <w:ilvl w:val="0"/>
          <w:numId w:val="13"/>
        </w:numPr>
        <w:tabs>
          <w:tab w:pos="2954" w:val="left" w:leader="none"/>
        </w:tabs>
        <w:spacing w:line="240" w:lineRule="auto" w:before="76" w:after="0"/>
        <w:ind w:left="2953" w:right="0" w:hanging="340"/>
        <w:jc w:val="left"/>
        <w:rPr>
          <w:sz w:val="18"/>
        </w:rPr>
      </w:pPr>
      <w:r>
        <w:rPr>
          <w:sz w:val="18"/>
        </w:rPr>
        <w:t>保险合同；</w:t>
      </w:r>
    </w:p>
    <w:p>
      <w:pPr>
        <w:spacing w:after="0" w:line="240" w:lineRule="auto"/>
        <w:jc w:val="left"/>
        <w:rPr>
          <w:sz w:val="18"/>
        </w:rPr>
        <w:sectPr>
          <w:type w:val="continuous"/>
          <w:pgSz w:w="11910" w:h="16840"/>
          <w:pgMar w:top="1040" w:bottom="1180" w:left="1080" w:right="720"/>
        </w:sectPr>
      </w:pPr>
    </w:p>
    <w:p>
      <w:pPr>
        <w:pStyle w:val="BodyText"/>
        <w:spacing w:before="3"/>
        <w:rPr>
          <w:sz w:val="20"/>
        </w:rPr>
      </w:pPr>
    </w:p>
    <w:p>
      <w:pPr>
        <w:pStyle w:val="ListParagraph"/>
        <w:numPr>
          <w:ilvl w:val="0"/>
          <w:numId w:val="13"/>
        </w:numPr>
        <w:tabs>
          <w:tab w:pos="2954" w:val="left" w:leader="none"/>
        </w:tabs>
        <w:spacing w:line="240" w:lineRule="auto" w:before="44" w:after="0"/>
        <w:ind w:left="2953" w:right="0" w:hanging="340"/>
        <w:jc w:val="left"/>
        <w:rPr>
          <w:sz w:val="18"/>
        </w:rPr>
      </w:pPr>
      <w:r>
        <w:rPr>
          <w:sz w:val="18"/>
        </w:rPr>
        <w:t>受益人的有效身份证件；</w:t>
      </w:r>
    </w:p>
    <w:p>
      <w:pPr>
        <w:pStyle w:val="ListParagraph"/>
        <w:numPr>
          <w:ilvl w:val="0"/>
          <w:numId w:val="13"/>
        </w:numPr>
        <w:tabs>
          <w:tab w:pos="2954" w:val="left" w:leader="none"/>
        </w:tabs>
        <w:spacing w:line="316" w:lineRule="auto" w:before="76" w:after="0"/>
        <w:ind w:left="2953" w:right="327" w:hanging="340"/>
        <w:jc w:val="left"/>
        <w:rPr>
          <w:sz w:val="18"/>
        </w:rPr>
      </w:pPr>
      <w:r>
        <w:rPr>
          <w:spacing w:val="-2"/>
          <w:sz w:val="18"/>
        </w:rPr>
        <w:t>国家卫生行政部门认定的医疗机构、公安部门或其他相关机构出具的被保险人的死亡证明；</w:t>
      </w:r>
    </w:p>
    <w:p>
      <w:pPr>
        <w:pStyle w:val="ListParagraph"/>
        <w:numPr>
          <w:ilvl w:val="0"/>
          <w:numId w:val="13"/>
        </w:numPr>
        <w:tabs>
          <w:tab w:pos="2954" w:val="left" w:leader="none"/>
        </w:tabs>
        <w:spacing w:line="240" w:lineRule="auto" w:before="19" w:after="0"/>
        <w:ind w:left="2953" w:right="0" w:hanging="340"/>
        <w:jc w:val="left"/>
        <w:rPr>
          <w:sz w:val="18"/>
        </w:rPr>
      </w:pPr>
      <w:r>
        <w:rPr>
          <w:sz w:val="18"/>
        </w:rPr>
        <w:t>所能提供的与确认保险事故的性质、原因等有关的其它证明文件和资料。</w:t>
      </w:r>
    </w:p>
    <w:p>
      <w:pPr>
        <w:pStyle w:val="BodyText"/>
        <w:spacing w:line="636" w:lineRule="auto"/>
        <w:ind w:left="2613" w:right="828"/>
      </w:pPr>
      <w:r>
        <w:rPr/>
        <w:t>保险金作为被保险人或受益人遗产时，必须提供可证明合法继承权的相关权利文件。3、如委托他人代为申领，还应提供授权委托书及受托人的有效身份证件。</w:t>
      </w:r>
    </w:p>
    <w:p>
      <w:pPr>
        <w:pStyle w:val="BodyText"/>
        <w:spacing w:before="91"/>
        <w:ind w:left="2613"/>
      </w:pPr>
      <w:r>
        <w:rPr/>
        <w:t>以上证明和资料不完整的，本公司将及时一次性通知申请人补充提供有关证明和资料。</w:t>
      </w:r>
    </w:p>
    <w:p>
      <w:pPr>
        <w:pStyle w:val="BodyText"/>
        <w:spacing w:before="2"/>
        <w:rPr>
          <w:sz w:val="21"/>
        </w:rPr>
      </w:pPr>
    </w:p>
    <w:p>
      <w:pPr>
        <w:pStyle w:val="ListParagraph"/>
        <w:numPr>
          <w:ilvl w:val="1"/>
          <w:numId w:val="12"/>
        </w:numPr>
        <w:tabs>
          <w:tab w:pos="907" w:val="left" w:leader="none"/>
          <w:tab w:pos="908" w:val="left" w:leader="none"/>
          <w:tab w:pos="2613" w:val="left" w:leader="none"/>
        </w:tabs>
        <w:spacing w:line="295" w:lineRule="auto" w:before="1" w:after="0"/>
        <w:ind w:left="2613" w:right="221" w:hanging="2389"/>
        <w:jc w:val="left"/>
        <w:rPr>
          <w:sz w:val="18"/>
        </w:rPr>
      </w:pPr>
      <w:r>
        <w:rPr>
          <w:b/>
          <w:sz w:val="21"/>
        </w:rPr>
        <w:t>诉讼时效</w:t>
        <w:tab/>
      </w:r>
      <w:r>
        <w:rPr>
          <w:position w:val="1"/>
          <w:sz w:val="18"/>
        </w:rPr>
        <w:t>本附加合同的身故保险金受益人向本公司请求给付身故保险金的诉讼时效期间为五年，自其 </w:t>
      </w:r>
      <w:r>
        <w:rPr>
          <w:sz w:val="18"/>
        </w:rPr>
        <w:t>知道或者应当知道保险事故发生之日起计算。</w:t>
      </w:r>
    </w:p>
    <w:p>
      <w:pPr>
        <w:pStyle w:val="BodyText"/>
        <w:spacing w:line="316" w:lineRule="auto" w:before="35"/>
        <w:ind w:left="2613" w:right="288"/>
      </w:pPr>
      <w:r>
        <w:rPr/>
        <w:t>本附加合同的轻症疾病、重大疾病保险金受益人向本公司请求给付轻症疾病、重大疾病保险金的诉讼时效期间为二年，自其知道或者应当知道保险事故发生之日起计算。</w:t>
      </w:r>
    </w:p>
    <w:p>
      <w:pPr>
        <w:pStyle w:val="BodyText"/>
        <w:spacing w:before="9"/>
        <w:rPr>
          <w:sz w:val="22"/>
        </w:rPr>
      </w:pPr>
    </w:p>
    <w:p>
      <w:pPr>
        <w:pStyle w:val="Heading1"/>
        <w:tabs>
          <w:tab w:pos="907" w:val="left" w:leader="none"/>
        </w:tabs>
      </w:pPr>
      <w:r>
        <w:rPr/>
        <w:pict>
          <v:line style="position:absolute;mso-position-horizontal-relative:page;mso-position-vertical-relative:paragraph;z-index:1168;mso-wrap-distance-left:0;mso-wrap-distance-right:0" from="59.82pt,28.340193pt" to="553.5pt,28.340193pt" stroked="true" strokeweight=".47998pt" strokecolor="#000000">
            <v:stroke dashstyle="solid"/>
            <w10:wrap type="topAndBottom"/>
          </v:line>
        </w:pict>
      </w:r>
      <w:r>
        <w:rPr>
          <w:rFonts w:ascii="Arial" w:hAnsi="Arial" w:eastAsia="Arial"/>
          <w:position w:val="-3"/>
          <w:sz w:val="40"/>
        </w:rPr>
        <w:t></w:t>
        <w:tab/>
      </w:r>
      <w:r>
        <w:rPr/>
        <w:t>如何收取保障成本</w:t>
      </w:r>
    </w:p>
    <w:p>
      <w:pPr>
        <w:pStyle w:val="BodyText"/>
        <w:spacing w:before="7"/>
        <w:rPr>
          <w:b/>
          <w:sz w:val="10"/>
        </w:rPr>
      </w:pPr>
    </w:p>
    <w:p>
      <w:pPr>
        <w:pStyle w:val="ListParagraph"/>
        <w:numPr>
          <w:ilvl w:val="1"/>
          <w:numId w:val="14"/>
        </w:numPr>
        <w:tabs>
          <w:tab w:pos="908" w:val="left" w:leader="none"/>
        </w:tabs>
        <w:spacing w:line="312" w:lineRule="auto" w:before="35" w:after="0"/>
        <w:ind w:left="2613" w:right="288" w:hanging="2389"/>
        <w:jc w:val="both"/>
        <w:rPr>
          <w:sz w:val="18"/>
        </w:rPr>
      </w:pPr>
      <w:r>
        <w:rPr>
          <w:b/>
          <w:spacing w:val="0"/>
          <w:sz w:val="21"/>
        </w:rPr>
        <w:t>保障成本       </w:t>
      </w:r>
      <w:r>
        <w:rPr>
          <w:position w:val="1"/>
          <w:sz w:val="18"/>
        </w:rPr>
        <w:t>本公司对本附加合同承担的保险责任收取相应的保障成本，本附加合同的保障成本必须随主</w:t>
      </w:r>
      <w:r>
        <w:rPr>
          <w:sz w:val="18"/>
        </w:rPr>
        <w:t>合同的保障成本一起从主合同个人账户价值中扣除。本附加合同年保障成本根据被保险人的年龄、性别、基本保险金额及风险程度确定。若您申请增加或减少本附加合同的基本保险金额，则自每次增加或减少的部分生效起，年保障成本按增加或减少后的基本保险金额计算。每千元基本保险金额收取的年保障成本见附表三。如果根据被保险人的风险程度需要增加保障成本的，将会在保险单上批注。</w:t>
      </w:r>
    </w:p>
    <w:p>
      <w:pPr>
        <w:pStyle w:val="BodyText"/>
        <w:spacing w:before="1"/>
        <w:rPr>
          <w:sz w:val="17"/>
        </w:rPr>
      </w:pPr>
    </w:p>
    <w:p>
      <w:pPr>
        <w:pStyle w:val="ListParagraph"/>
        <w:numPr>
          <w:ilvl w:val="1"/>
          <w:numId w:val="14"/>
        </w:numPr>
        <w:tabs>
          <w:tab w:pos="906" w:val="left" w:leader="none"/>
          <w:tab w:pos="907" w:val="left" w:leader="none"/>
          <w:tab w:pos="2613" w:val="left" w:leader="none"/>
        </w:tabs>
        <w:spacing w:line="312" w:lineRule="auto" w:before="0" w:after="0"/>
        <w:ind w:left="2613" w:right="131" w:hanging="2389"/>
        <w:jc w:val="left"/>
        <w:rPr>
          <w:sz w:val="18"/>
        </w:rPr>
      </w:pPr>
      <w:r>
        <w:rPr>
          <w:b/>
          <w:sz w:val="21"/>
        </w:rPr>
        <w:t>保障成本的收取</w:t>
        <w:tab/>
      </w:r>
      <w:r>
        <w:rPr>
          <w:position w:val="1"/>
          <w:sz w:val="18"/>
        </w:rPr>
        <w:t>您首次投保或非连续投保本附加合同后，在本附加合同等待期结束后的次日，本公司按照该</w:t>
      </w:r>
      <w:r>
        <w:rPr>
          <w:sz w:val="18"/>
        </w:rPr>
        <w:t>日至主合同下一个月结算日经过的实际天数收取本附加合同的保障成本</w:t>
      </w:r>
      <w:r>
        <w:rPr>
          <w:spacing w:val="-23"/>
          <w:sz w:val="18"/>
        </w:rPr>
        <w:t>；</w:t>
      </w:r>
      <w:r>
        <w:rPr>
          <w:sz w:val="18"/>
        </w:rPr>
        <w:t>本附加合同续保后， 在本附加合同生效日，本公司按照该日至主合同下一个月结算日经过的实际天数收取本附加合同的保障成本；在每个主合同的结算日，本公司按照该月的实际保障天数收取本附加合同的保障成本。每日的保障成本为年保障成本的 1/365。本公司每次收取保障成本后，主合同个人账户价值按收取的保障成本等额减少。</w:t>
      </w:r>
    </w:p>
    <w:p>
      <w:pPr>
        <w:pStyle w:val="BodyText"/>
        <w:spacing w:before="3"/>
        <w:rPr>
          <w:sz w:val="19"/>
        </w:rPr>
      </w:pPr>
    </w:p>
    <w:p>
      <w:pPr>
        <w:pStyle w:val="ListParagraph"/>
        <w:numPr>
          <w:ilvl w:val="1"/>
          <w:numId w:val="14"/>
        </w:numPr>
        <w:tabs>
          <w:tab w:pos="907" w:val="left" w:leader="none"/>
          <w:tab w:pos="908" w:val="left" w:leader="none"/>
          <w:tab w:pos="2613" w:val="left" w:leader="none"/>
        </w:tabs>
        <w:spacing w:line="295" w:lineRule="auto" w:before="1" w:after="0"/>
        <w:ind w:left="2613" w:right="221" w:hanging="2389"/>
        <w:jc w:val="left"/>
        <w:rPr>
          <w:sz w:val="18"/>
        </w:rPr>
      </w:pPr>
      <w:r>
        <w:rPr>
          <w:b/>
          <w:sz w:val="21"/>
        </w:rPr>
        <w:t>宽限期</w:t>
        <w:tab/>
      </w:r>
      <w:r>
        <w:rPr>
          <w:position w:val="1"/>
          <w:sz w:val="18"/>
        </w:rPr>
        <w:t>在主合同保险期间内，在结算日或主合同保险单周年日零时如果主合同的个人账户价值不足 </w:t>
      </w:r>
      <w:r>
        <w:rPr>
          <w:sz w:val="18"/>
        </w:rPr>
        <w:t>以同时支付主合同及其附加合同的保障成本，那么自该结算日或保险单周年日的次日零时起</w:t>
      </w:r>
    </w:p>
    <w:p>
      <w:pPr>
        <w:pStyle w:val="BodyText"/>
        <w:spacing w:before="35"/>
        <w:ind w:left="2613"/>
      </w:pPr>
      <w:r>
        <w:rPr/>
        <w:t>60 天为本附加合同的宽限期。</w:t>
      </w:r>
    </w:p>
    <w:p>
      <w:pPr>
        <w:pStyle w:val="BodyText"/>
        <w:spacing w:line="316" w:lineRule="auto"/>
        <w:ind w:left="2613" w:right="221"/>
      </w:pPr>
      <w:r>
        <w:rPr/>
        <w:t>宽限期内发生保险事故的，我们仍承担保险责任，但给付保险金时需扣除欠交的保障成本。如果您宽限期结束之后仍未交纳主合同保险费，则本附加合同自宽限期满的次日零时起效力终止。</w:t>
      </w:r>
    </w:p>
    <w:p>
      <w:pPr>
        <w:pStyle w:val="BodyText"/>
        <w:spacing w:before="3"/>
        <w:rPr>
          <w:sz w:val="25"/>
        </w:rPr>
      </w:pPr>
    </w:p>
    <w:p>
      <w:pPr>
        <w:pStyle w:val="Heading1"/>
        <w:tabs>
          <w:tab w:pos="907" w:val="left" w:leader="none"/>
        </w:tabs>
      </w:pPr>
      <w:r>
        <w:rPr/>
        <w:pict>
          <v:line style="position:absolute;mso-position-horizontal-relative:page;mso-position-vertical-relative:paragraph;z-index:1192;mso-wrap-distance-left:0;mso-wrap-distance-right:0" from="59.82pt,28.340061pt" to="553.5pt,28.340061pt" stroked="true" strokeweight=".48001pt" strokecolor="#000000">
            <v:stroke dashstyle="solid"/>
            <w10:wrap type="topAndBottom"/>
          </v:line>
        </w:pict>
      </w:r>
      <w:r>
        <w:rPr>
          <w:rFonts w:ascii="Arial" w:hAnsi="Arial" w:eastAsia="Arial"/>
          <w:position w:val="-3"/>
          <w:sz w:val="40"/>
        </w:rPr>
        <w:t></w:t>
        <w:tab/>
      </w:r>
      <w:r>
        <w:rPr/>
        <w:t>如何解除保险合同</w:t>
      </w:r>
    </w:p>
    <w:p>
      <w:pPr>
        <w:pStyle w:val="BodyText"/>
        <w:spacing w:before="7"/>
        <w:rPr>
          <w:b/>
          <w:sz w:val="10"/>
        </w:rPr>
      </w:pPr>
    </w:p>
    <w:p>
      <w:pPr>
        <w:spacing w:after="0"/>
        <w:rPr>
          <w:sz w:val="10"/>
        </w:rPr>
        <w:sectPr>
          <w:pgSz w:w="11910" w:h="16840"/>
          <w:pgMar w:header="877" w:footer="981" w:top="1100" w:bottom="1180" w:left="1080" w:right="720"/>
        </w:sectPr>
      </w:pPr>
    </w:p>
    <w:p>
      <w:pPr>
        <w:pStyle w:val="Heading2"/>
        <w:tabs>
          <w:tab w:pos="907" w:val="left" w:leader="none"/>
        </w:tabs>
        <w:spacing w:line="273" w:lineRule="auto"/>
        <w:ind w:left="907" w:hanging="683"/>
      </w:pPr>
      <w:r>
        <w:rPr/>
        <w:t>5.1</w:t>
        <w:tab/>
        <w:t>您解除合同的手 续及风险</w:t>
      </w:r>
    </w:p>
    <w:p>
      <w:pPr>
        <w:pStyle w:val="BodyText"/>
        <w:spacing w:line="316" w:lineRule="auto" w:before="60"/>
        <w:ind w:left="172" w:right="288"/>
      </w:pPr>
      <w:r>
        <w:rPr/>
        <w:br w:type="column"/>
      </w:r>
      <w:r>
        <w:rPr/>
        <w:t>您在犹豫期后，可以书面通知我们要求解除本附加合同，自本公司收到合同解除申请书之日起，本附加合同效力即行终止。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spacing w:after="0"/>
        <w:sectPr>
          <w:type w:val="continuous"/>
          <w:pgSz w:w="11910" w:h="16840"/>
          <w:pgMar w:top="1040" w:bottom="1180" w:left="1080" w:right="720"/>
          <w:cols w:num="2" w:equalWidth="0">
            <w:col w:w="2402" w:space="40"/>
            <w:col w:w="7668"/>
          </w:cols>
        </w:sectPr>
      </w:pPr>
    </w:p>
    <w:p>
      <w:pPr>
        <w:pStyle w:val="BodyText"/>
        <w:spacing w:before="3"/>
        <w:rPr>
          <w:sz w:val="20"/>
        </w:rPr>
      </w:pPr>
    </w:p>
    <w:p>
      <w:pPr>
        <w:pStyle w:val="BodyText"/>
        <w:spacing w:line="316" w:lineRule="auto" w:before="44"/>
        <w:ind w:left="2613" w:right="288"/>
      </w:pPr>
      <w:r>
        <w:rPr/>
        <w:t>本公司自收到上述证明和材料之日起三十日内，向您返还已收取的本附加合同自申请之日后的保障成本。</w:t>
      </w:r>
    </w:p>
    <w:p>
      <w:pPr>
        <w:pStyle w:val="BodyText"/>
        <w:spacing w:before="18"/>
        <w:ind w:left="2613"/>
      </w:pPr>
      <w:r>
        <w:rPr/>
        <w:t>您在犹豫期后解除合同会遭受一定损失。</w:t>
      </w:r>
    </w:p>
    <w:p>
      <w:pPr>
        <w:pStyle w:val="BodyText"/>
        <w:ind w:left="2613"/>
      </w:pPr>
      <w:r>
        <w:rPr/>
        <w:t>解除合同后，受益人不能对合同解除前发生的保险事故申请给付保险金。</w:t>
      </w:r>
    </w:p>
    <w:p>
      <w:pPr>
        <w:pStyle w:val="BodyText"/>
        <w:spacing w:before="0"/>
      </w:pPr>
    </w:p>
    <w:p>
      <w:pPr>
        <w:pStyle w:val="Heading1"/>
        <w:tabs>
          <w:tab w:pos="907" w:val="left" w:leader="none"/>
        </w:tabs>
        <w:spacing w:before="119"/>
      </w:pPr>
      <w:r>
        <w:rPr/>
        <w:pict>
          <v:line style="position:absolute;mso-position-horizontal-relative:page;mso-position-vertical-relative:paragraph;z-index:1216;mso-wrap-distance-left:0;mso-wrap-distance-right:0" from="59.82pt,34.290062pt" to="553.5pt,34.290062pt" stroked="true" strokeweight=".47998pt" strokecolor="#000000">
            <v:stroke dashstyle="solid"/>
            <w10:wrap type="topAndBottom"/>
          </v:line>
        </w:pict>
      </w:r>
      <w:r>
        <w:rPr>
          <w:rFonts w:ascii="Arial" w:hAnsi="Arial" w:eastAsia="Arial"/>
          <w:position w:val="-3"/>
          <w:sz w:val="40"/>
        </w:rPr>
        <w:t></w:t>
        <w:tab/>
      </w:r>
      <w:r>
        <w:rPr/>
        <w:t>其他需要您关注的事项</w:t>
      </w:r>
    </w:p>
    <w:p>
      <w:pPr>
        <w:pStyle w:val="BodyText"/>
        <w:spacing w:before="7"/>
        <w:rPr>
          <w:b/>
          <w:sz w:val="10"/>
        </w:rPr>
      </w:pPr>
    </w:p>
    <w:p>
      <w:pPr>
        <w:pStyle w:val="ListParagraph"/>
        <w:numPr>
          <w:ilvl w:val="1"/>
          <w:numId w:val="15"/>
        </w:numPr>
        <w:tabs>
          <w:tab w:pos="907" w:val="left" w:leader="none"/>
          <w:tab w:pos="908" w:val="left" w:leader="none"/>
          <w:tab w:pos="2613" w:val="left" w:leader="none"/>
        </w:tabs>
        <w:spacing w:line="240" w:lineRule="auto" w:before="35" w:after="0"/>
        <w:ind w:left="907" w:right="0" w:hanging="683"/>
        <w:jc w:val="left"/>
        <w:rPr>
          <w:sz w:val="18"/>
        </w:rPr>
      </w:pPr>
      <w:r>
        <w:rPr>
          <w:b/>
          <w:sz w:val="21"/>
        </w:rPr>
        <w:t>投保范围</w:t>
        <w:tab/>
      </w:r>
      <w:r>
        <w:rPr>
          <w:position w:val="1"/>
          <w:sz w:val="18"/>
        </w:rPr>
        <w:t>本附加合同投保范围与主合同相同，</w:t>
      </w:r>
      <w:r>
        <w:rPr>
          <w:position w:val="1"/>
          <w:sz w:val="18"/>
          <w:shd w:fill="D9D9D9" w:color="auto" w:val="clear"/>
        </w:rPr>
        <w:t>但本附加合同终止满</w:t>
      </w:r>
      <w:r>
        <w:rPr>
          <w:spacing w:val="-46"/>
          <w:position w:val="1"/>
          <w:sz w:val="18"/>
          <w:shd w:fill="D9D9D9" w:color="auto" w:val="clear"/>
        </w:rPr>
        <w:t> </w:t>
      </w:r>
      <w:r>
        <w:rPr>
          <w:position w:val="1"/>
          <w:sz w:val="18"/>
          <w:shd w:fill="D9D9D9" w:color="auto" w:val="clear"/>
        </w:rPr>
        <w:t>2</w:t>
      </w:r>
      <w:r>
        <w:rPr>
          <w:spacing w:val="-46"/>
          <w:position w:val="1"/>
          <w:sz w:val="18"/>
          <w:shd w:fill="D9D9D9" w:color="auto" w:val="clear"/>
        </w:rPr>
        <w:t> </w:t>
      </w:r>
      <w:r>
        <w:rPr>
          <w:position w:val="1"/>
          <w:sz w:val="18"/>
          <w:shd w:fill="D9D9D9" w:color="auto" w:val="clear"/>
        </w:rPr>
        <w:t>年后不接受再次投保。</w:t>
      </w:r>
    </w:p>
    <w:p>
      <w:pPr>
        <w:pStyle w:val="BodyText"/>
        <w:spacing w:before="2"/>
        <w:rPr>
          <w:sz w:val="20"/>
        </w:rPr>
      </w:pPr>
    </w:p>
    <w:p>
      <w:pPr>
        <w:pStyle w:val="ListParagraph"/>
        <w:numPr>
          <w:ilvl w:val="1"/>
          <w:numId w:val="15"/>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合同效力</w:t>
        <w:tab/>
      </w:r>
      <w:r>
        <w:rPr>
          <w:position w:val="1"/>
          <w:sz w:val="18"/>
        </w:rPr>
        <w:t>本附加合同的效力在发生下列情形之一时自动终止：</w:t>
      </w:r>
    </w:p>
    <w:p>
      <w:pPr>
        <w:pStyle w:val="BodyText"/>
        <w:spacing w:before="62"/>
        <w:ind w:left="2613"/>
      </w:pPr>
      <w:r>
        <w:rPr/>
        <w:t>1、 主合同期满、终止；</w:t>
      </w:r>
    </w:p>
    <w:p>
      <w:pPr>
        <w:pStyle w:val="BodyText"/>
        <w:ind w:left="2613"/>
      </w:pPr>
      <w:r>
        <w:rPr/>
        <w:t>2、 主合同前 5 期期交保险费未按时交付；</w:t>
      </w:r>
    </w:p>
    <w:p>
      <w:pPr>
        <w:pStyle w:val="BodyText"/>
        <w:spacing w:before="56"/>
        <w:ind w:left="2613"/>
      </w:pPr>
      <w:r>
        <w:rPr>
          <w:sz w:val="21"/>
        </w:rPr>
        <w:t>3、 </w:t>
      </w:r>
      <w:r>
        <w:rPr/>
        <w:t>出现主合同或本附加合同内的其它约定终止情况。</w:t>
      </w:r>
    </w:p>
    <w:p>
      <w:pPr>
        <w:pStyle w:val="BodyText"/>
        <w:spacing w:before="0"/>
        <w:rPr>
          <w:sz w:val="20"/>
        </w:rPr>
      </w:pPr>
    </w:p>
    <w:p>
      <w:pPr>
        <w:pStyle w:val="BodyText"/>
        <w:spacing w:before="3"/>
        <w:rPr>
          <w:sz w:val="2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54"/>
        <w:gridCol w:w="7492"/>
      </w:tblGrid>
      <w:tr>
        <w:trPr>
          <w:trHeight w:val="578" w:hRule="atLeast"/>
        </w:trPr>
        <w:tc>
          <w:tcPr>
            <w:tcW w:w="627" w:type="dxa"/>
          </w:tcPr>
          <w:p>
            <w:pPr>
              <w:pStyle w:val="TableParagraph"/>
              <w:spacing w:line="210" w:lineRule="exact" w:before="0"/>
              <w:ind w:left="107"/>
              <w:rPr>
                <w:b/>
                <w:sz w:val="21"/>
              </w:rPr>
            </w:pPr>
            <w:r>
              <w:rPr>
                <w:b/>
                <w:sz w:val="21"/>
              </w:rPr>
              <w:t>6.3</w:t>
            </w:r>
          </w:p>
        </w:tc>
        <w:tc>
          <w:tcPr>
            <w:tcW w:w="1754" w:type="dxa"/>
          </w:tcPr>
          <w:p>
            <w:pPr>
              <w:pStyle w:val="TableParagraph"/>
              <w:spacing w:line="210" w:lineRule="exact" w:before="0"/>
              <w:ind w:left="163"/>
              <w:rPr>
                <w:b/>
                <w:sz w:val="21"/>
              </w:rPr>
            </w:pPr>
            <w:r>
              <w:rPr>
                <w:b/>
                <w:w w:val="95"/>
                <w:sz w:val="21"/>
              </w:rPr>
              <w:t>年龄计算与</w:t>
            </w:r>
          </w:p>
          <w:p>
            <w:pPr>
              <w:pStyle w:val="TableParagraph"/>
              <w:spacing w:before="37"/>
              <w:ind w:left="163"/>
              <w:rPr>
                <w:b/>
                <w:sz w:val="21"/>
              </w:rPr>
            </w:pPr>
            <w:r>
              <w:rPr>
                <w:b/>
                <w:sz w:val="21"/>
              </w:rPr>
              <w:t>错误处理</w:t>
            </w:r>
          </w:p>
        </w:tc>
        <w:tc>
          <w:tcPr>
            <w:tcW w:w="7492" w:type="dxa"/>
          </w:tcPr>
          <w:p>
            <w:pPr>
              <w:pStyle w:val="TableParagraph"/>
              <w:spacing w:line="196" w:lineRule="exact" w:before="0"/>
              <w:ind w:left="116"/>
              <w:rPr>
                <w:sz w:val="18"/>
              </w:rPr>
            </w:pPr>
            <w:r>
              <w:rPr>
                <w:sz w:val="18"/>
              </w:rPr>
              <w:t>您在申请投保时，应将与有效身份证件相符的被保险人的出生日期在投保单上填明，若发生</w:t>
            </w:r>
          </w:p>
          <w:p>
            <w:pPr>
              <w:pStyle w:val="TableParagraph"/>
              <w:spacing w:before="76"/>
              <w:ind w:left="116"/>
              <w:rPr>
                <w:sz w:val="18"/>
              </w:rPr>
            </w:pPr>
            <w:r>
              <w:rPr>
                <w:sz w:val="18"/>
              </w:rPr>
              <w:t>错误按下列规定办理：</w:t>
            </w:r>
          </w:p>
        </w:tc>
      </w:tr>
      <w:tr>
        <w:trPr>
          <w:trHeight w:val="314"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spacing w:before="6"/>
              <w:ind w:left="116"/>
              <w:rPr>
                <w:sz w:val="18"/>
              </w:rPr>
            </w:pPr>
            <w:r>
              <w:rPr>
                <w:rFonts w:ascii="Times New Roman" w:eastAsia="Times New Roman"/>
                <w:sz w:val="18"/>
              </w:rPr>
              <w:t>1</w:t>
            </w:r>
            <w:r>
              <w:rPr>
                <w:sz w:val="18"/>
              </w:rPr>
              <w:t>、真实投保年龄不符合本附加合同约定的投保年龄范围的，在保险事故发生之前，本公司有</w:t>
            </w:r>
          </w:p>
        </w:tc>
      </w:tr>
      <w:tr>
        <w:trPr>
          <w:trHeight w:val="305"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spacing w:before="3"/>
              <w:ind w:left="116"/>
              <w:rPr>
                <w:sz w:val="18"/>
              </w:rPr>
            </w:pPr>
            <w:r>
              <w:rPr>
                <w:sz w:val="18"/>
              </w:rPr>
              <w:t>权解除本附加合同，并向您无息退还已收取的自发现年龄不符之日后的保障成本。本公司行</w:t>
            </w:r>
          </w:p>
        </w:tc>
      </w:tr>
      <w:tr>
        <w:trPr>
          <w:trHeight w:val="311"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使合同解除权适用“本公司合同解除权的限制”的规定。</w:t>
            </w:r>
          </w:p>
        </w:tc>
      </w:tr>
      <w:tr>
        <w:trPr>
          <w:trHeight w:val="312"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2、您申报的被保险人年龄不真实，致使我们已收取保障成本少于应收取保障成本的，本公司</w:t>
            </w:r>
          </w:p>
        </w:tc>
      </w:tr>
      <w:tr>
        <w:trPr>
          <w:trHeight w:val="312"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有权审核更正并补收取保障成本；</w:t>
            </w:r>
            <w:r>
              <w:rPr>
                <w:sz w:val="18"/>
                <w:shd w:fill="D9D9D9" w:color="auto" w:val="clear"/>
              </w:rPr>
              <w:t>若补收取保障成本前已发生保险事故，本公司根据已收取</w:t>
            </w:r>
          </w:p>
        </w:tc>
      </w:tr>
      <w:tr>
        <w:trPr>
          <w:trHeight w:val="312"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shd w:fill="D9D9D9" w:color="auto" w:val="clear"/>
              </w:rPr>
              <w:t>保障成本与应收取保障成本的比例调整本附加合同的基本保险金额，并按照调整后的基本保</w:t>
            </w:r>
          </w:p>
        </w:tc>
      </w:tr>
      <w:tr>
        <w:trPr>
          <w:trHeight w:val="311"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shd w:fill="D9D9D9" w:color="auto" w:val="clear"/>
              </w:rPr>
              <w:t>险金额给付保险金。</w:t>
            </w:r>
          </w:p>
        </w:tc>
      </w:tr>
      <w:tr>
        <w:trPr>
          <w:trHeight w:val="311"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3、您申报的被保险人年龄不真实，致使我们已收取保障成本多于应收取保障成本的，本公司</w:t>
            </w:r>
          </w:p>
        </w:tc>
      </w:tr>
      <w:tr>
        <w:trPr>
          <w:trHeight w:val="417"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向您无息返还多收取的保障成本。</w:t>
            </w:r>
          </w:p>
        </w:tc>
      </w:tr>
      <w:tr>
        <w:trPr>
          <w:trHeight w:val="440" w:hRule="atLeast"/>
        </w:trPr>
        <w:tc>
          <w:tcPr>
            <w:tcW w:w="627" w:type="dxa"/>
          </w:tcPr>
          <w:p>
            <w:pPr>
              <w:pStyle w:val="TableParagraph"/>
              <w:spacing w:before="106"/>
              <w:ind w:left="107"/>
              <w:rPr>
                <w:b/>
                <w:sz w:val="21"/>
              </w:rPr>
            </w:pPr>
            <w:r>
              <w:rPr>
                <w:b/>
                <w:sz w:val="21"/>
              </w:rPr>
              <w:t>6.4</w:t>
            </w:r>
          </w:p>
        </w:tc>
        <w:tc>
          <w:tcPr>
            <w:tcW w:w="1754" w:type="dxa"/>
          </w:tcPr>
          <w:p>
            <w:pPr>
              <w:pStyle w:val="TableParagraph"/>
              <w:spacing w:before="106"/>
              <w:ind w:left="163"/>
              <w:rPr>
                <w:b/>
                <w:sz w:val="21"/>
              </w:rPr>
            </w:pPr>
            <w:r>
              <w:rPr>
                <w:b/>
                <w:w w:val="95"/>
                <w:sz w:val="21"/>
              </w:rPr>
              <w:t>适用主合同条款</w:t>
            </w:r>
          </w:p>
        </w:tc>
        <w:tc>
          <w:tcPr>
            <w:tcW w:w="7492" w:type="dxa"/>
          </w:tcPr>
          <w:p>
            <w:pPr>
              <w:pStyle w:val="TableParagraph"/>
              <w:spacing w:before="132"/>
              <w:ind w:left="116"/>
              <w:rPr>
                <w:sz w:val="18"/>
              </w:rPr>
            </w:pPr>
            <w:r>
              <w:rPr>
                <w:sz w:val="18"/>
              </w:rPr>
              <w:t>主合同订立的下列各项条款适用于本附加合同：</w:t>
            </w:r>
          </w:p>
        </w:tc>
      </w:tr>
      <w:tr>
        <w:trPr>
          <w:trHeight w:val="305"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spacing w:before="3"/>
              <w:ind w:left="116"/>
              <w:rPr>
                <w:sz w:val="18"/>
              </w:rPr>
            </w:pPr>
            <w:r>
              <w:rPr>
                <w:sz w:val="18"/>
              </w:rPr>
              <w:t>1、 保险事故通知；</w:t>
            </w:r>
          </w:p>
        </w:tc>
      </w:tr>
      <w:tr>
        <w:trPr>
          <w:trHeight w:val="311"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2、 明确说明与如实告知；</w:t>
            </w:r>
          </w:p>
        </w:tc>
      </w:tr>
      <w:tr>
        <w:trPr>
          <w:trHeight w:val="311"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3、 保险金的给付</w:t>
            </w:r>
          </w:p>
        </w:tc>
      </w:tr>
      <w:tr>
        <w:trPr>
          <w:trHeight w:val="311"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4、 本公司合同解除权的限制；</w:t>
            </w:r>
          </w:p>
        </w:tc>
      </w:tr>
      <w:tr>
        <w:trPr>
          <w:trHeight w:val="311"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5、 联系方式变更；</w:t>
            </w:r>
          </w:p>
        </w:tc>
      </w:tr>
      <w:tr>
        <w:trPr>
          <w:trHeight w:val="324"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6、 失踪处理；</w:t>
            </w:r>
          </w:p>
        </w:tc>
      </w:tr>
      <w:tr>
        <w:trPr>
          <w:trHeight w:val="601" w:hRule="atLeast"/>
        </w:trPr>
        <w:tc>
          <w:tcPr>
            <w:tcW w:w="627" w:type="dxa"/>
            <w:tcBorders>
              <w:bottom w:val="single" w:sz="4" w:space="0" w:color="000000"/>
            </w:tcBorders>
          </w:tcPr>
          <w:p>
            <w:pPr>
              <w:pStyle w:val="TableParagraph"/>
              <w:spacing w:before="40"/>
              <w:ind w:left="107"/>
              <w:rPr>
                <w:rFonts w:ascii="Arial" w:hAnsi="Arial"/>
                <w:b/>
                <w:sz w:val="40"/>
              </w:rPr>
            </w:pPr>
            <w:r>
              <w:rPr>
                <w:rFonts w:ascii="Arial" w:hAnsi="Arial"/>
                <w:b/>
                <w:w w:val="118"/>
                <w:sz w:val="40"/>
              </w:rPr>
              <w:t></w:t>
            </w:r>
          </w:p>
        </w:tc>
        <w:tc>
          <w:tcPr>
            <w:tcW w:w="1754" w:type="dxa"/>
            <w:tcBorders>
              <w:bottom w:val="single" w:sz="4" w:space="0" w:color="000000"/>
            </w:tcBorders>
          </w:tcPr>
          <w:p>
            <w:pPr>
              <w:pStyle w:val="TableParagraph"/>
              <w:spacing w:before="94"/>
              <w:ind w:left="163"/>
              <w:rPr>
                <w:b/>
                <w:sz w:val="24"/>
              </w:rPr>
            </w:pPr>
            <w:r>
              <w:rPr>
                <w:b/>
                <w:sz w:val="24"/>
              </w:rPr>
              <w:t>释义</w:t>
            </w:r>
          </w:p>
        </w:tc>
        <w:tc>
          <w:tcPr>
            <w:tcW w:w="7492" w:type="dxa"/>
            <w:tcBorders>
              <w:bottom w:val="single" w:sz="4" w:space="0" w:color="000000"/>
            </w:tcBorders>
          </w:tcPr>
          <w:p>
            <w:pPr>
              <w:pStyle w:val="TableParagraph"/>
              <w:spacing w:before="0"/>
              <w:rPr>
                <w:rFonts w:ascii="Times New Roman"/>
                <w:sz w:val="18"/>
              </w:rPr>
            </w:pPr>
          </w:p>
        </w:tc>
      </w:tr>
      <w:tr>
        <w:trPr>
          <w:trHeight w:val="536" w:hRule="atLeast"/>
        </w:trPr>
        <w:tc>
          <w:tcPr>
            <w:tcW w:w="627" w:type="dxa"/>
            <w:tcBorders>
              <w:top w:val="single" w:sz="4" w:space="0" w:color="000000"/>
            </w:tcBorders>
          </w:tcPr>
          <w:p>
            <w:pPr>
              <w:pStyle w:val="TableParagraph"/>
              <w:spacing w:before="5"/>
              <w:rPr>
                <w:sz w:val="15"/>
              </w:rPr>
            </w:pPr>
          </w:p>
          <w:p>
            <w:pPr>
              <w:pStyle w:val="TableParagraph"/>
              <w:spacing w:before="1"/>
              <w:ind w:left="107"/>
              <w:rPr>
                <w:b/>
                <w:sz w:val="21"/>
              </w:rPr>
            </w:pPr>
            <w:r>
              <w:rPr>
                <w:b/>
                <w:sz w:val="21"/>
              </w:rPr>
              <w:t>7.1</w:t>
            </w:r>
          </w:p>
        </w:tc>
        <w:tc>
          <w:tcPr>
            <w:tcW w:w="1754" w:type="dxa"/>
            <w:tcBorders>
              <w:top w:val="single" w:sz="4" w:space="0" w:color="000000"/>
            </w:tcBorders>
          </w:tcPr>
          <w:p>
            <w:pPr>
              <w:pStyle w:val="TableParagraph"/>
              <w:spacing w:before="5"/>
              <w:rPr>
                <w:sz w:val="15"/>
              </w:rPr>
            </w:pPr>
          </w:p>
          <w:p>
            <w:pPr>
              <w:pStyle w:val="TableParagraph"/>
              <w:spacing w:before="1"/>
              <w:ind w:left="164"/>
              <w:rPr>
                <w:b/>
                <w:sz w:val="21"/>
              </w:rPr>
            </w:pPr>
            <w:r>
              <w:rPr>
                <w:b/>
                <w:w w:val="95"/>
                <w:sz w:val="21"/>
              </w:rPr>
              <w:t>有效身份证件</w:t>
            </w:r>
          </w:p>
        </w:tc>
        <w:tc>
          <w:tcPr>
            <w:tcW w:w="7492" w:type="dxa"/>
            <w:tcBorders>
              <w:top w:val="single" w:sz="4" w:space="0" w:color="000000"/>
            </w:tcBorders>
          </w:tcPr>
          <w:p>
            <w:pPr>
              <w:pStyle w:val="TableParagraph"/>
              <w:spacing w:before="5"/>
              <w:rPr>
                <w:sz w:val="17"/>
              </w:rPr>
            </w:pPr>
          </w:p>
          <w:p>
            <w:pPr>
              <w:pStyle w:val="TableParagraph"/>
              <w:spacing w:before="0"/>
              <w:ind w:left="116"/>
              <w:rPr>
                <w:sz w:val="18"/>
              </w:rPr>
            </w:pPr>
            <w:r>
              <w:rPr>
                <w:sz w:val="18"/>
              </w:rPr>
              <w:t>指由政府主管部门规定的证明其身份的证件，如：居民身份证、按规定可使用的有效护照、</w:t>
            </w:r>
          </w:p>
        </w:tc>
      </w:tr>
      <w:tr>
        <w:trPr>
          <w:trHeight w:val="410"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spacing w:before="3"/>
              <w:ind w:left="116"/>
              <w:rPr>
                <w:sz w:val="18"/>
              </w:rPr>
            </w:pPr>
            <w:r>
              <w:rPr>
                <w:spacing w:val="-5"/>
                <w:sz w:val="18"/>
              </w:rPr>
              <w:t>军官证、警官证、士兵证、户口簿等证件。其中护照的使用仅限于不具有中国国籍的外国人。</w:t>
            </w:r>
          </w:p>
        </w:tc>
      </w:tr>
      <w:tr>
        <w:trPr>
          <w:trHeight w:val="440" w:hRule="atLeast"/>
        </w:trPr>
        <w:tc>
          <w:tcPr>
            <w:tcW w:w="627" w:type="dxa"/>
          </w:tcPr>
          <w:p>
            <w:pPr>
              <w:pStyle w:val="TableParagraph"/>
              <w:spacing w:before="106"/>
              <w:ind w:left="107"/>
              <w:rPr>
                <w:b/>
                <w:sz w:val="21"/>
              </w:rPr>
            </w:pPr>
            <w:r>
              <w:rPr>
                <w:b/>
                <w:sz w:val="21"/>
              </w:rPr>
              <w:t>7.2</w:t>
            </w:r>
          </w:p>
        </w:tc>
        <w:tc>
          <w:tcPr>
            <w:tcW w:w="1754" w:type="dxa"/>
          </w:tcPr>
          <w:p>
            <w:pPr>
              <w:pStyle w:val="TableParagraph"/>
              <w:spacing w:before="106"/>
              <w:ind w:left="163"/>
              <w:rPr>
                <w:b/>
                <w:sz w:val="21"/>
              </w:rPr>
            </w:pPr>
            <w:r>
              <w:rPr>
                <w:b/>
                <w:w w:val="95"/>
                <w:sz w:val="21"/>
              </w:rPr>
              <w:t>发病</w:t>
            </w:r>
          </w:p>
        </w:tc>
        <w:tc>
          <w:tcPr>
            <w:tcW w:w="7492" w:type="dxa"/>
          </w:tcPr>
          <w:p>
            <w:pPr>
              <w:pStyle w:val="TableParagraph"/>
              <w:spacing w:before="132"/>
              <w:ind w:left="116"/>
              <w:rPr>
                <w:sz w:val="18"/>
              </w:rPr>
            </w:pPr>
            <w:r>
              <w:rPr>
                <w:sz w:val="18"/>
              </w:rPr>
              <w:t>指被保险人出现本附加合同所界定疾病的前兆或异常的身体状况，或已经显现足以使一般人</w:t>
            </w:r>
          </w:p>
        </w:tc>
      </w:tr>
      <w:tr>
        <w:trPr>
          <w:trHeight w:val="305"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spacing w:before="3"/>
              <w:ind w:left="116"/>
              <w:rPr>
                <w:sz w:val="18"/>
              </w:rPr>
            </w:pPr>
            <w:r>
              <w:rPr>
                <w:sz w:val="18"/>
              </w:rPr>
              <w:t>士引起注意并寻求诊断、治疗或护理的病症，但不包括本附加合同生效或恢复效力前的任何</w:t>
            </w:r>
          </w:p>
        </w:tc>
      </w:tr>
      <w:tr>
        <w:trPr>
          <w:trHeight w:val="403" w:hRule="atLeast"/>
        </w:trPr>
        <w:tc>
          <w:tcPr>
            <w:tcW w:w="627" w:type="dxa"/>
          </w:tcPr>
          <w:p>
            <w:pPr>
              <w:pStyle w:val="TableParagraph"/>
              <w:spacing w:before="0"/>
              <w:rPr>
                <w:rFonts w:ascii="Times New Roman"/>
                <w:sz w:val="18"/>
              </w:rPr>
            </w:pPr>
          </w:p>
        </w:tc>
        <w:tc>
          <w:tcPr>
            <w:tcW w:w="1754" w:type="dxa"/>
          </w:tcPr>
          <w:p>
            <w:pPr>
              <w:pStyle w:val="TableParagraph"/>
              <w:spacing w:before="0"/>
              <w:rPr>
                <w:rFonts w:ascii="Times New Roman"/>
                <w:sz w:val="18"/>
              </w:rPr>
            </w:pPr>
          </w:p>
        </w:tc>
        <w:tc>
          <w:tcPr>
            <w:tcW w:w="7492" w:type="dxa"/>
          </w:tcPr>
          <w:p>
            <w:pPr>
              <w:pStyle w:val="TableParagraph"/>
              <w:ind w:left="116"/>
              <w:rPr>
                <w:sz w:val="18"/>
              </w:rPr>
            </w:pPr>
            <w:r>
              <w:rPr>
                <w:sz w:val="18"/>
              </w:rPr>
              <w:t>疾病或症状。</w:t>
            </w:r>
          </w:p>
        </w:tc>
      </w:tr>
      <w:tr>
        <w:trPr>
          <w:trHeight w:val="418" w:hRule="atLeast"/>
        </w:trPr>
        <w:tc>
          <w:tcPr>
            <w:tcW w:w="627" w:type="dxa"/>
          </w:tcPr>
          <w:p>
            <w:pPr>
              <w:pStyle w:val="TableParagraph"/>
              <w:spacing w:before="92"/>
              <w:ind w:left="107"/>
              <w:rPr>
                <w:b/>
                <w:sz w:val="21"/>
              </w:rPr>
            </w:pPr>
            <w:r>
              <w:rPr>
                <w:b/>
                <w:sz w:val="21"/>
              </w:rPr>
              <w:t>7.3</w:t>
            </w:r>
          </w:p>
        </w:tc>
        <w:tc>
          <w:tcPr>
            <w:tcW w:w="1754" w:type="dxa"/>
          </w:tcPr>
          <w:p>
            <w:pPr>
              <w:pStyle w:val="TableParagraph"/>
              <w:spacing w:before="92"/>
              <w:ind w:left="164"/>
              <w:rPr>
                <w:b/>
                <w:sz w:val="21"/>
              </w:rPr>
            </w:pPr>
            <w:r>
              <w:rPr>
                <w:b/>
                <w:w w:val="95"/>
                <w:sz w:val="21"/>
              </w:rPr>
              <w:t>指定或认可的</w:t>
            </w:r>
          </w:p>
        </w:tc>
        <w:tc>
          <w:tcPr>
            <w:tcW w:w="7492" w:type="dxa"/>
          </w:tcPr>
          <w:p>
            <w:pPr>
              <w:pStyle w:val="TableParagraph"/>
              <w:spacing w:before="118"/>
              <w:ind w:left="116"/>
              <w:rPr>
                <w:sz w:val="18"/>
              </w:rPr>
            </w:pPr>
            <w:r>
              <w:rPr>
                <w:sz w:val="18"/>
              </w:rPr>
              <w:t>指中华人民共和国境内（港、澳、台地区除外）经中华人民共和国卫生部门评审确定的二级</w:t>
            </w:r>
          </w:p>
        </w:tc>
      </w:tr>
      <w:tr>
        <w:trPr>
          <w:trHeight w:val="260" w:hRule="atLeast"/>
        </w:trPr>
        <w:tc>
          <w:tcPr>
            <w:tcW w:w="627" w:type="dxa"/>
          </w:tcPr>
          <w:p>
            <w:pPr>
              <w:pStyle w:val="TableParagraph"/>
              <w:spacing w:before="0"/>
              <w:rPr>
                <w:rFonts w:ascii="Times New Roman"/>
                <w:sz w:val="18"/>
              </w:rPr>
            </w:pPr>
          </w:p>
        </w:tc>
        <w:tc>
          <w:tcPr>
            <w:tcW w:w="1754" w:type="dxa"/>
          </w:tcPr>
          <w:p>
            <w:pPr>
              <w:pStyle w:val="TableParagraph"/>
              <w:spacing w:line="241" w:lineRule="exact" w:before="0"/>
              <w:ind w:left="163"/>
              <w:rPr>
                <w:b/>
                <w:sz w:val="21"/>
              </w:rPr>
            </w:pPr>
            <w:r>
              <w:rPr>
                <w:b/>
                <w:sz w:val="21"/>
              </w:rPr>
              <w:t>医疗机构</w:t>
            </w:r>
          </w:p>
        </w:tc>
        <w:tc>
          <w:tcPr>
            <w:tcW w:w="7492" w:type="dxa"/>
          </w:tcPr>
          <w:p>
            <w:pPr>
              <w:pStyle w:val="TableParagraph"/>
              <w:spacing w:line="229" w:lineRule="exact" w:before="11"/>
              <w:ind w:left="116"/>
              <w:rPr>
                <w:sz w:val="18"/>
              </w:rPr>
            </w:pPr>
            <w:r>
              <w:rPr>
                <w:spacing w:val="-1"/>
                <w:sz w:val="18"/>
              </w:rPr>
              <w:t>或二级以上公立医院的普通部</w:t>
            </w:r>
            <w:r>
              <w:rPr>
                <w:sz w:val="18"/>
              </w:rPr>
              <w:t>（</w:t>
            </w:r>
            <w:r>
              <w:rPr>
                <w:spacing w:val="-2"/>
                <w:sz w:val="18"/>
              </w:rPr>
              <w:t>不包含其中的特需医疗、外宾医疗、干部病房</w:t>
            </w:r>
            <w:r>
              <w:rPr>
                <w:spacing w:val="-91"/>
                <w:sz w:val="18"/>
              </w:rPr>
              <w:t>）</w:t>
            </w:r>
            <w:r>
              <w:rPr>
                <w:spacing w:val="-2"/>
                <w:sz w:val="18"/>
              </w:rPr>
              <w:t>，不包括疗养</w:t>
            </w:r>
          </w:p>
        </w:tc>
      </w:tr>
    </w:tbl>
    <w:p>
      <w:pPr>
        <w:spacing w:after="0" w:line="229" w:lineRule="exact"/>
        <w:rPr>
          <w:sz w:val="18"/>
        </w:rPr>
        <w:sectPr>
          <w:pgSz w:w="11910" w:h="16840"/>
          <w:pgMar w:header="877" w:footer="981" w:top="1100" w:bottom="1180" w:left="1080" w:right="720"/>
        </w:sectPr>
      </w:pPr>
    </w:p>
    <w:p>
      <w:pPr>
        <w:pStyle w:val="BodyText"/>
        <w:spacing w:before="3"/>
        <w:rPr>
          <w:sz w:val="20"/>
        </w:rPr>
      </w:pPr>
    </w:p>
    <w:p>
      <w:pPr>
        <w:pStyle w:val="BodyText"/>
        <w:spacing w:line="316" w:lineRule="auto" w:before="44"/>
        <w:ind w:left="2533" w:right="168"/>
        <w:jc w:val="both"/>
      </w:pPr>
      <w:r>
        <w:rPr/>
        <w:t>院、养老院、护理院、康复中心、戒酒或戒毒中心、精神心理治疗中心等非以直接诊治病人为目的的医疗机构以及无相应医护人员或设备的二级或三级医院的联合医院或联合病房。该医院必须具有符合国家有关医院管理规则设置标准的医疗设备，且全天二十四小时有合格医师及护士驻院提供医疗及护理服务。</w:t>
      </w:r>
    </w:p>
    <w:p>
      <w:pPr>
        <w:pStyle w:val="BodyText"/>
        <w:spacing w:before="10"/>
        <w:rPr>
          <w:sz w:val="16"/>
        </w:rPr>
      </w:pPr>
    </w:p>
    <w:p>
      <w:pPr>
        <w:pStyle w:val="ListParagraph"/>
        <w:numPr>
          <w:ilvl w:val="1"/>
          <w:numId w:val="16"/>
        </w:numPr>
        <w:tabs>
          <w:tab w:pos="827" w:val="left" w:leader="none"/>
          <w:tab w:pos="828" w:val="left" w:leader="none"/>
          <w:tab w:pos="2533" w:val="left" w:leader="none"/>
        </w:tabs>
        <w:spacing w:line="240" w:lineRule="auto" w:before="0" w:after="0"/>
        <w:ind w:left="2533" w:right="0" w:hanging="2389"/>
        <w:jc w:val="left"/>
        <w:rPr>
          <w:sz w:val="18"/>
        </w:rPr>
      </w:pPr>
      <w:r>
        <w:rPr>
          <w:b/>
          <w:sz w:val="21"/>
        </w:rPr>
        <w:t>意外事故</w:t>
        <w:tab/>
      </w:r>
      <w:r>
        <w:rPr>
          <w:position w:val="1"/>
          <w:sz w:val="18"/>
        </w:rPr>
        <w:t>指外来的、非本意的、突然的、非疾病的使被保险人身体受到伤害的客观事件。</w:t>
      </w:r>
    </w:p>
    <w:p>
      <w:pPr>
        <w:pStyle w:val="BodyText"/>
        <w:spacing w:before="2"/>
        <w:rPr>
          <w:sz w:val="20"/>
        </w:rPr>
      </w:pPr>
    </w:p>
    <w:p>
      <w:pPr>
        <w:pStyle w:val="ListParagraph"/>
        <w:numPr>
          <w:ilvl w:val="1"/>
          <w:numId w:val="16"/>
        </w:numPr>
        <w:tabs>
          <w:tab w:pos="827" w:val="left" w:leader="none"/>
          <w:tab w:pos="828" w:val="left" w:leader="none"/>
          <w:tab w:pos="2533" w:val="left" w:leader="none"/>
        </w:tabs>
        <w:spacing w:line="304" w:lineRule="auto" w:before="0" w:after="0"/>
        <w:ind w:left="2533" w:right="100" w:hanging="2389"/>
        <w:jc w:val="left"/>
        <w:rPr>
          <w:sz w:val="18"/>
        </w:rPr>
      </w:pPr>
      <w:r>
        <w:rPr>
          <w:b/>
          <w:sz w:val="21"/>
        </w:rPr>
        <w:t>毒品</w:t>
        <w:tab/>
      </w:r>
      <w:r>
        <w:rPr>
          <w:position w:val="1"/>
          <w:sz w:val="18"/>
        </w:rPr>
        <w:t>指中华人民共和国刑法规定的鸦片</w:t>
      </w:r>
      <w:r>
        <w:rPr>
          <w:spacing w:val="-4"/>
          <w:position w:val="1"/>
          <w:sz w:val="18"/>
        </w:rPr>
        <w:t>、</w:t>
      </w:r>
      <w:r>
        <w:rPr>
          <w:position w:val="1"/>
          <w:sz w:val="18"/>
        </w:rPr>
        <w:t>海洛因</w:t>
      </w:r>
      <w:r>
        <w:rPr>
          <w:spacing w:val="-4"/>
          <w:position w:val="1"/>
          <w:sz w:val="18"/>
        </w:rPr>
        <w:t>、</w:t>
      </w:r>
      <w:r>
        <w:rPr>
          <w:position w:val="1"/>
          <w:sz w:val="18"/>
        </w:rPr>
        <w:t>甲基苯丙</w:t>
      </w:r>
      <w:r>
        <w:rPr>
          <w:spacing w:val="-4"/>
          <w:position w:val="1"/>
          <w:sz w:val="18"/>
        </w:rPr>
        <w:t>胺</w:t>
      </w:r>
      <w:r>
        <w:rPr>
          <w:position w:val="1"/>
          <w:sz w:val="18"/>
        </w:rPr>
        <w:t>（冰毒</w:t>
      </w:r>
      <w:r>
        <w:rPr>
          <w:spacing w:val="-90"/>
          <w:position w:val="1"/>
          <w:sz w:val="18"/>
        </w:rPr>
        <w:t>）</w:t>
      </w:r>
      <w:r>
        <w:rPr>
          <w:spacing w:val="-4"/>
          <w:position w:val="1"/>
          <w:sz w:val="18"/>
        </w:rPr>
        <w:t>、</w:t>
      </w:r>
      <w:r>
        <w:rPr>
          <w:position w:val="1"/>
          <w:sz w:val="18"/>
        </w:rPr>
        <w:t>吗啡</w:t>
      </w:r>
      <w:r>
        <w:rPr>
          <w:spacing w:val="-4"/>
          <w:position w:val="1"/>
          <w:sz w:val="18"/>
        </w:rPr>
        <w:t>、</w:t>
      </w:r>
      <w:r>
        <w:rPr>
          <w:position w:val="1"/>
          <w:sz w:val="18"/>
        </w:rPr>
        <w:t>大麻</w:t>
      </w:r>
      <w:r>
        <w:rPr>
          <w:spacing w:val="-4"/>
          <w:position w:val="1"/>
          <w:sz w:val="18"/>
        </w:rPr>
        <w:t>、</w:t>
      </w:r>
      <w:r>
        <w:rPr>
          <w:position w:val="1"/>
          <w:sz w:val="18"/>
        </w:rPr>
        <w:t>可卡因以及</w:t>
      </w:r>
      <w:r>
        <w:rPr>
          <w:sz w:val="18"/>
        </w:rPr>
        <w:t>国家规定管制的其他能够使人形成瘾癖的麻醉药品和精神药品，但不包括由医生开具并遵医嘱使用的用于治疗疾病但含有毒品成分的处方药品。</w:t>
      </w:r>
    </w:p>
    <w:p>
      <w:pPr>
        <w:pStyle w:val="BodyText"/>
        <w:spacing w:before="10"/>
        <w:rPr>
          <w:sz w:val="14"/>
        </w:rPr>
      </w:pPr>
    </w:p>
    <w:p>
      <w:pPr>
        <w:spacing w:after="0"/>
        <w:rPr>
          <w:sz w:val="14"/>
        </w:rPr>
        <w:sectPr>
          <w:pgSz w:w="11910" w:h="16840"/>
          <w:pgMar w:header="877" w:footer="981" w:top="1100" w:bottom="1180" w:left="1160" w:right="840"/>
        </w:sectPr>
      </w:pPr>
    </w:p>
    <w:p>
      <w:pPr>
        <w:pStyle w:val="Heading2"/>
        <w:numPr>
          <w:ilvl w:val="1"/>
          <w:numId w:val="16"/>
        </w:numPr>
        <w:tabs>
          <w:tab w:pos="827" w:val="left" w:leader="none"/>
          <w:tab w:pos="828" w:val="left" w:leader="none"/>
        </w:tabs>
        <w:spacing w:line="273" w:lineRule="auto" w:before="36" w:after="0"/>
        <w:ind w:left="827" w:right="0" w:hanging="683"/>
        <w:jc w:val="left"/>
      </w:pPr>
      <w:r>
        <w:rPr/>
        <w:t>饮酒后驾驶或醉酒驾驶</w:t>
      </w:r>
    </w:p>
    <w:p>
      <w:pPr>
        <w:pStyle w:val="BodyText"/>
        <w:spacing w:line="316" w:lineRule="auto" w:before="61"/>
        <w:ind w:left="144" w:right="168"/>
        <w:jc w:val="both"/>
      </w:pPr>
      <w:r>
        <w:rPr/>
        <w:br w:type="column"/>
      </w:r>
      <w:r>
        <w:rPr/>
        <w:t>指经检测或鉴定，发生事故时车辆驾驶人员每百毫升血液中的酒精含量或呼气酒精含量达到或超过一定的标准，公安机关交通管理部门依据《道路交通安全法》的规定认定为饮酒后驾驶或醉酒驾驶。</w:t>
      </w:r>
    </w:p>
    <w:p>
      <w:pPr>
        <w:spacing w:after="0" w:line="316" w:lineRule="auto"/>
        <w:jc w:val="both"/>
        <w:sectPr>
          <w:type w:val="continuous"/>
          <w:pgSz w:w="11910" w:h="16840"/>
          <w:pgMar w:top="1040" w:bottom="1180" w:left="1160" w:right="840"/>
          <w:cols w:num="2" w:equalWidth="0">
            <w:col w:w="2322" w:space="68"/>
            <w:col w:w="7520"/>
          </w:cols>
        </w:sectPr>
      </w:pPr>
    </w:p>
    <w:p>
      <w:pPr>
        <w:pStyle w:val="BodyText"/>
        <w:spacing w:before="1"/>
        <w:rPr>
          <w:sz w:val="14"/>
        </w:rPr>
      </w:pPr>
    </w:p>
    <w:p>
      <w:pPr>
        <w:spacing w:after="0"/>
        <w:rPr>
          <w:sz w:val="14"/>
        </w:rPr>
        <w:sectPr>
          <w:type w:val="continuous"/>
          <w:pgSz w:w="11910" w:h="16840"/>
          <w:pgMar w:top="1040" w:bottom="1180" w:left="1160" w:right="840"/>
        </w:sectPr>
      </w:pPr>
    </w:p>
    <w:p>
      <w:pPr>
        <w:pStyle w:val="Heading2"/>
        <w:numPr>
          <w:ilvl w:val="1"/>
          <w:numId w:val="16"/>
        </w:numPr>
        <w:tabs>
          <w:tab w:pos="827" w:val="left" w:leader="none"/>
          <w:tab w:pos="828" w:val="left" w:leader="none"/>
        </w:tabs>
        <w:spacing w:line="273" w:lineRule="auto" w:before="35" w:after="0"/>
        <w:ind w:left="827" w:right="0" w:hanging="683"/>
        <w:jc w:val="left"/>
      </w:pPr>
      <w:r>
        <w:rPr/>
        <w:t>无合法有效驾驶证驾驶</w:t>
      </w:r>
    </w:p>
    <w:p>
      <w:pPr>
        <w:pStyle w:val="BodyText"/>
        <w:spacing w:before="61"/>
        <w:ind w:left="144"/>
      </w:pPr>
      <w:r>
        <w:rPr/>
        <w:br w:type="column"/>
      </w:r>
      <w:r>
        <w:rPr/>
        <w:t>指下列情形之一：</w:t>
      </w:r>
    </w:p>
    <w:p>
      <w:pPr>
        <w:pStyle w:val="ListParagraph"/>
        <w:numPr>
          <w:ilvl w:val="0"/>
          <w:numId w:val="17"/>
        </w:numPr>
        <w:tabs>
          <w:tab w:pos="542" w:val="left" w:leader="none"/>
        </w:tabs>
        <w:spacing w:line="240" w:lineRule="auto" w:before="76" w:after="0"/>
        <w:ind w:left="541" w:right="0" w:hanging="397"/>
        <w:jc w:val="left"/>
        <w:rPr>
          <w:sz w:val="18"/>
        </w:rPr>
      </w:pPr>
      <w:r>
        <w:rPr>
          <w:sz w:val="18"/>
        </w:rPr>
        <w:t>没有取得驾驶资格；</w:t>
      </w:r>
    </w:p>
    <w:p>
      <w:pPr>
        <w:pStyle w:val="ListParagraph"/>
        <w:numPr>
          <w:ilvl w:val="0"/>
          <w:numId w:val="17"/>
        </w:numPr>
        <w:tabs>
          <w:tab w:pos="542" w:val="left" w:leader="none"/>
        </w:tabs>
        <w:spacing w:line="240" w:lineRule="auto" w:before="76" w:after="0"/>
        <w:ind w:left="541" w:right="0" w:hanging="397"/>
        <w:jc w:val="left"/>
        <w:rPr>
          <w:sz w:val="18"/>
        </w:rPr>
      </w:pPr>
      <w:r>
        <w:rPr>
          <w:sz w:val="18"/>
        </w:rPr>
        <w:t>驾驶与驾驶证准驾车型不相符合的车辆；</w:t>
      </w:r>
    </w:p>
    <w:p>
      <w:pPr>
        <w:pStyle w:val="ListParagraph"/>
        <w:numPr>
          <w:ilvl w:val="0"/>
          <w:numId w:val="17"/>
        </w:numPr>
        <w:tabs>
          <w:tab w:pos="542" w:val="left" w:leader="none"/>
        </w:tabs>
        <w:spacing w:line="240" w:lineRule="auto" w:before="76" w:after="0"/>
        <w:ind w:left="541" w:right="0" w:hanging="397"/>
        <w:jc w:val="left"/>
        <w:rPr>
          <w:sz w:val="18"/>
        </w:rPr>
      </w:pPr>
      <w:r>
        <w:rPr>
          <w:sz w:val="18"/>
        </w:rPr>
        <w:t>持审验不合格的驾驶证驾驶；</w:t>
      </w:r>
    </w:p>
    <w:p>
      <w:pPr>
        <w:pStyle w:val="ListParagraph"/>
        <w:numPr>
          <w:ilvl w:val="0"/>
          <w:numId w:val="17"/>
        </w:numPr>
        <w:tabs>
          <w:tab w:pos="542" w:val="left" w:leader="none"/>
        </w:tabs>
        <w:spacing w:line="240" w:lineRule="auto" w:before="76" w:after="0"/>
        <w:ind w:left="541" w:right="0" w:hanging="397"/>
        <w:jc w:val="left"/>
        <w:rPr>
          <w:sz w:val="18"/>
        </w:rPr>
      </w:pPr>
      <w:r>
        <w:rPr>
          <w:sz w:val="18"/>
        </w:rPr>
        <w:t>持学习驾驶证学习驾车时，无教练员随车指导，或不按指定时间、路线学习驾车。</w:t>
      </w:r>
    </w:p>
    <w:p>
      <w:pPr>
        <w:spacing w:after="0" w:line="240" w:lineRule="auto"/>
        <w:jc w:val="left"/>
        <w:rPr>
          <w:sz w:val="18"/>
        </w:rPr>
        <w:sectPr>
          <w:type w:val="continuous"/>
          <w:pgSz w:w="11910" w:h="16840"/>
          <w:pgMar w:top="1040" w:bottom="1180" w:left="1160" w:right="840"/>
          <w:cols w:num="2" w:equalWidth="0">
            <w:col w:w="2322" w:space="68"/>
            <w:col w:w="7520"/>
          </w:cols>
        </w:sectPr>
      </w:pPr>
    </w:p>
    <w:p>
      <w:pPr>
        <w:pStyle w:val="BodyText"/>
        <w:spacing w:before="9"/>
        <w:rPr>
          <w:sz w:val="20"/>
        </w:rPr>
      </w:pPr>
    </w:p>
    <w:p>
      <w:pPr>
        <w:pStyle w:val="ListParagraph"/>
        <w:numPr>
          <w:ilvl w:val="1"/>
          <w:numId w:val="16"/>
        </w:numPr>
        <w:tabs>
          <w:tab w:pos="827" w:val="left" w:leader="none"/>
          <w:tab w:pos="828" w:val="left" w:leader="none"/>
          <w:tab w:pos="2533" w:val="left" w:leader="none"/>
        </w:tabs>
        <w:spacing w:line="240" w:lineRule="auto" w:before="36" w:after="0"/>
        <w:ind w:left="827" w:right="0" w:hanging="683"/>
        <w:jc w:val="left"/>
        <w:rPr>
          <w:sz w:val="18"/>
        </w:rPr>
      </w:pPr>
      <w:r>
        <w:rPr>
          <w:b/>
          <w:sz w:val="21"/>
        </w:rPr>
        <w:t>无有效行驶证</w:t>
        <w:tab/>
      </w:r>
      <w:r>
        <w:rPr>
          <w:position w:val="1"/>
          <w:sz w:val="18"/>
        </w:rPr>
        <w:t>指下列情形之一：</w:t>
      </w:r>
    </w:p>
    <w:p>
      <w:pPr>
        <w:pStyle w:val="ListParagraph"/>
        <w:numPr>
          <w:ilvl w:val="2"/>
          <w:numId w:val="16"/>
        </w:numPr>
        <w:tabs>
          <w:tab w:pos="2931" w:val="left" w:leader="none"/>
        </w:tabs>
        <w:spacing w:line="240" w:lineRule="auto" w:before="62" w:after="0"/>
        <w:ind w:left="2930" w:right="0" w:hanging="397"/>
        <w:jc w:val="left"/>
        <w:rPr>
          <w:sz w:val="18"/>
        </w:rPr>
      </w:pPr>
      <w:r>
        <w:rPr>
          <w:sz w:val="18"/>
        </w:rPr>
        <w:t>机动车被依法注销登记的；</w:t>
      </w:r>
    </w:p>
    <w:p>
      <w:pPr>
        <w:pStyle w:val="ListParagraph"/>
        <w:numPr>
          <w:ilvl w:val="2"/>
          <w:numId w:val="16"/>
        </w:numPr>
        <w:tabs>
          <w:tab w:pos="2894" w:val="left" w:leader="none"/>
        </w:tabs>
        <w:spacing w:line="240" w:lineRule="auto" w:before="75" w:after="0"/>
        <w:ind w:left="2893" w:right="0" w:hanging="360"/>
        <w:jc w:val="left"/>
        <w:rPr>
          <w:sz w:val="18"/>
        </w:rPr>
      </w:pPr>
      <w:r>
        <w:rPr>
          <w:sz w:val="18"/>
        </w:rPr>
        <w:t>未依法按时进行或通过机动车安全技术检验。</w:t>
      </w:r>
    </w:p>
    <w:p>
      <w:pPr>
        <w:pStyle w:val="BodyText"/>
        <w:spacing w:before="2"/>
        <w:rPr>
          <w:sz w:val="21"/>
        </w:rPr>
      </w:pPr>
    </w:p>
    <w:p>
      <w:pPr>
        <w:pStyle w:val="ListParagraph"/>
        <w:numPr>
          <w:ilvl w:val="1"/>
          <w:numId w:val="16"/>
        </w:numPr>
        <w:tabs>
          <w:tab w:pos="827" w:val="left" w:leader="none"/>
          <w:tab w:pos="828" w:val="left" w:leader="none"/>
          <w:tab w:pos="2533" w:val="left" w:leader="none"/>
        </w:tabs>
        <w:spacing w:line="295" w:lineRule="auto" w:before="0" w:after="0"/>
        <w:ind w:left="2533" w:right="168" w:hanging="2389"/>
        <w:jc w:val="left"/>
        <w:rPr>
          <w:sz w:val="18"/>
        </w:rPr>
      </w:pPr>
      <w:r>
        <w:rPr>
          <w:b/>
          <w:sz w:val="21"/>
        </w:rPr>
        <w:t>艾滋病</w:t>
        <w:tab/>
      </w:r>
      <w:r>
        <w:rPr>
          <w:position w:val="1"/>
          <w:sz w:val="18"/>
        </w:rPr>
        <w:t>获得性免疫缺陷综合征（AIDS）的简称。在人体血液或其它样本中检测到人类免疫缺陷病毒</w:t>
      </w:r>
      <w:r>
        <w:rPr>
          <w:sz w:val="18"/>
        </w:rPr>
        <w:t>或其抗体呈阳性，同时出现了明显临床症状或体征，则可认为患艾滋病。</w:t>
      </w:r>
    </w:p>
    <w:p>
      <w:pPr>
        <w:pStyle w:val="BodyText"/>
        <w:spacing w:before="0"/>
      </w:pPr>
    </w:p>
    <w:p>
      <w:pPr>
        <w:pStyle w:val="ListParagraph"/>
        <w:numPr>
          <w:ilvl w:val="1"/>
          <w:numId w:val="16"/>
        </w:numPr>
        <w:tabs>
          <w:tab w:pos="827" w:val="left" w:leader="none"/>
          <w:tab w:pos="828" w:val="left" w:leader="none"/>
          <w:tab w:pos="2533" w:val="left" w:leader="none"/>
        </w:tabs>
        <w:spacing w:line="240" w:lineRule="auto" w:before="0" w:after="0"/>
        <w:ind w:left="827" w:right="0" w:hanging="683"/>
        <w:jc w:val="left"/>
        <w:rPr>
          <w:sz w:val="18"/>
        </w:rPr>
      </w:pPr>
      <w:r>
        <w:rPr>
          <w:b/>
          <w:sz w:val="21"/>
        </w:rPr>
        <w:t>艾滋病病毒</w:t>
        <w:tab/>
      </w:r>
      <w:r>
        <w:rPr>
          <w:position w:val="1"/>
          <w:sz w:val="18"/>
        </w:rPr>
        <w:t>人类免疫缺陷病毒（HIV）的简称，是造成人类免疫系统缺陷的一种病毒。</w:t>
      </w:r>
    </w:p>
    <w:p>
      <w:pPr>
        <w:pStyle w:val="BodyText"/>
        <w:spacing w:before="1"/>
        <w:rPr>
          <w:sz w:val="20"/>
        </w:rPr>
      </w:pPr>
    </w:p>
    <w:p>
      <w:pPr>
        <w:pStyle w:val="ListParagraph"/>
        <w:numPr>
          <w:ilvl w:val="1"/>
          <w:numId w:val="16"/>
        </w:numPr>
        <w:tabs>
          <w:tab w:pos="827" w:val="left" w:leader="none"/>
          <w:tab w:pos="828" w:val="left" w:leader="none"/>
          <w:tab w:pos="2533" w:val="left" w:leader="none"/>
        </w:tabs>
        <w:spacing w:line="295" w:lineRule="auto" w:before="0" w:after="0"/>
        <w:ind w:left="2533" w:right="168" w:hanging="2389"/>
        <w:jc w:val="left"/>
        <w:rPr>
          <w:sz w:val="18"/>
        </w:rPr>
      </w:pPr>
      <w:r>
        <w:rPr>
          <w:b/>
          <w:sz w:val="21"/>
        </w:rPr>
        <w:t>遗传性疾病</w:t>
        <w:tab/>
      </w:r>
      <w:r>
        <w:rPr>
          <w:position w:val="1"/>
          <w:sz w:val="18"/>
        </w:rPr>
        <w:t>指生殖细胞或受精卵的遗传物质（染色体和基因）发生突变或畸变所引起的疾病，通常具有</w:t>
      </w:r>
      <w:r>
        <w:rPr>
          <w:sz w:val="18"/>
        </w:rPr>
        <w:t>由亲代传至后代的垂直传递的特征。</w:t>
      </w:r>
    </w:p>
    <w:p>
      <w:pPr>
        <w:pStyle w:val="BodyText"/>
        <w:spacing w:before="10"/>
        <w:rPr>
          <w:sz w:val="17"/>
        </w:rPr>
      </w:pPr>
    </w:p>
    <w:p>
      <w:pPr>
        <w:spacing w:after="0"/>
        <w:rPr>
          <w:sz w:val="17"/>
        </w:rPr>
        <w:sectPr>
          <w:type w:val="continuous"/>
          <w:pgSz w:w="11910" w:h="16840"/>
          <w:pgMar w:top="1040" w:bottom="1180" w:left="1160" w:right="840"/>
        </w:sectPr>
      </w:pPr>
    </w:p>
    <w:p>
      <w:pPr>
        <w:pStyle w:val="Heading2"/>
        <w:numPr>
          <w:ilvl w:val="1"/>
          <w:numId w:val="16"/>
        </w:numPr>
        <w:tabs>
          <w:tab w:pos="827" w:val="left" w:leader="none"/>
          <w:tab w:pos="828" w:val="left" w:leader="none"/>
        </w:tabs>
        <w:spacing w:line="240" w:lineRule="auto" w:before="35" w:after="0"/>
        <w:ind w:left="827" w:right="0" w:hanging="683"/>
        <w:jc w:val="left"/>
      </w:pPr>
      <w:r>
        <w:rPr>
          <w:spacing w:val="0"/>
          <w:w w:val="95"/>
        </w:rPr>
        <w:t>先天性畸形、变</w:t>
      </w:r>
    </w:p>
    <w:p>
      <w:pPr>
        <w:spacing w:before="36"/>
        <w:ind w:left="827" w:right="0" w:firstLine="0"/>
        <w:jc w:val="left"/>
        <w:rPr>
          <w:b/>
          <w:sz w:val="21"/>
        </w:rPr>
      </w:pPr>
      <w:r>
        <w:rPr>
          <w:b/>
          <w:w w:val="95"/>
          <w:sz w:val="21"/>
        </w:rPr>
        <w:t>形或染色体异常</w:t>
      </w:r>
    </w:p>
    <w:p>
      <w:pPr>
        <w:pStyle w:val="BodyText"/>
        <w:spacing w:line="316" w:lineRule="auto" w:before="61"/>
        <w:ind w:left="144" w:right="168"/>
      </w:pPr>
      <w:r>
        <w:rPr/>
        <w:br w:type="column"/>
      </w:r>
      <w:r>
        <w:rPr/>
        <w:t>指被保险人出生时就具有的畸形、变形或染色体异常。先天性畸形、变形和染色体异常依照世界卫生组织《疾病和有关健康问题的国际统计分类》（ICD-10）确定。</w:t>
      </w:r>
    </w:p>
    <w:p>
      <w:pPr>
        <w:spacing w:after="0" w:line="316" w:lineRule="auto"/>
        <w:sectPr>
          <w:type w:val="continuous"/>
          <w:pgSz w:w="11910" w:h="16840"/>
          <w:pgMar w:top="1040" w:bottom="1180" w:left="1160" w:right="840"/>
          <w:cols w:num="2" w:equalWidth="0">
            <w:col w:w="2319" w:space="70"/>
            <w:col w:w="7521"/>
          </w:cols>
        </w:sectPr>
      </w:pPr>
    </w:p>
    <w:p>
      <w:pPr>
        <w:pStyle w:val="BodyText"/>
        <w:spacing w:before="3"/>
        <w:rPr>
          <w:sz w:val="20"/>
        </w:rPr>
      </w:pPr>
    </w:p>
    <w:p>
      <w:pPr>
        <w:pStyle w:val="Heading3"/>
        <w:spacing w:line="604" w:lineRule="auto"/>
        <w:ind w:left="144" w:right="3862" w:firstLine="4069"/>
      </w:pPr>
      <w:r>
        <w:rPr/>
        <w:t>附表一：轻症疾病说明</w:t>
      </w:r>
      <w:r>
        <w:rPr>
          <w:w w:val="95"/>
        </w:rPr>
        <w:t>轻症疾病：指下列疾病或手术之一,应当由专科医生明确诊断。</w:t>
      </w:r>
    </w:p>
    <w:p>
      <w:pPr>
        <w:spacing w:after="0" w:line="604" w:lineRule="auto"/>
        <w:sectPr>
          <w:pgSz w:w="11910" w:h="16840"/>
          <w:pgMar w:header="877" w:footer="981" w:top="1100" w:bottom="1180" w:left="1160" w:right="860"/>
        </w:sectPr>
      </w:pPr>
    </w:p>
    <w:p>
      <w:pPr>
        <w:pStyle w:val="ListParagraph"/>
        <w:numPr>
          <w:ilvl w:val="0"/>
          <w:numId w:val="18"/>
        </w:numPr>
        <w:tabs>
          <w:tab w:pos="642" w:val="left" w:leader="none"/>
          <w:tab w:pos="643" w:val="left" w:leader="none"/>
        </w:tabs>
        <w:spacing w:line="266" w:lineRule="auto" w:before="48" w:after="0"/>
        <w:ind w:left="642" w:right="0" w:hanging="420"/>
        <w:jc w:val="left"/>
        <w:rPr>
          <w:rFonts w:ascii="微软雅黑" w:eastAsia="微软雅黑" w:hint="eastAsia"/>
          <w:b/>
          <w:sz w:val="18"/>
        </w:rPr>
      </w:pPr>
      <w:r>
        <w:rPr>
          <w:b/>
          <w:spacing w:val="2"/>
          <w:sz w:val="18"/>
        </w:rPr>
        <w:t>极早期恶性肿瘤或者</w:t>
      </w:r>
      <w:r>
        <w:rPr>
          <w:b/>
          <w:w w:val="95"/>
          <w:sz w:val="18"/>
        </w:rPr>
        <w:t>恶性病变</w:t>
      </w:r>
    </w:p>
    <w:p>
      <w:pPr>
        <w:pStyle w:val="BodyText"/>
        <w:spacing w:before="80"/>
        <w:ind w:left="171"/>
      </w:pPr>
      <w:r>
        <w:rPr/>
        <w:br w:type="column"/>
      </w:r>
      <w:r>
        <w:rPr/>
        <w:t>指经组织病理学检查被明确诊断为下列恶性病变，并且接受了相应的治疗。</w:t>
      </w:r>
    </w:p>
    <w:p>
      <w:pPr>
        <w:pStyle w:val="ListParagraph"/>
        <w:numPr>
          <w:ilvl w:val="0"/>
          <w:numId w:val="19"/>
        </w:numPr>
        <w:tabs>
          <w:tab w:pos="667" w:val="left" w:leader="none"/>
        </w:tabs>
        <w:spacing w:line="240" w:lineRule="auto" w:before="76" w:after="0"/>
        <w:ind w:left="666" w:right="0" w:hanging="420"/>
        <w:jc w:val="left"/>
        <w:rPr>
          <w:sz w:val="18"/>
        </w:rPr>
      </w:pPr>
      <w:r>
        <w:rPr>
          <w:sz w:val="18"/>
        </w:rPr>
        <w:t>原位癌；</w:t>
      </w:r>
    </w:p>
    <w:p>
      <w:pPr>
        <w:pStyle w:val="ListParagraph"/>
        <w:numPr>
          <w:ilvl w:val="0"/>
          <w:numId w:val="19"/>
        </w:numPr>
        <w:tabs>
          <w:tab w:pos="667" w:val="left" w:leader="none"/>
        </w:tabs>
        <w:spacing w:line="240" w:lineRule="auto" w:before="76" w:after="0"/>
        <w:ind w:left="666" w:right="0" w:hanging="420"/>
        <w:jc w:val="left"/>
        <w:rPr>
          <w:sz w:val="18"/>
        </w:rPr>
      </w:pPr>
      <w:r>
        <w:rPr>
          <w:spacing w:val="13"/>
          <w:sz w:val="18"/>
        </w:rPr>
        <w:t>相当于</w:t>
      </w:r>
      <w:r>
        <w:rPr>
          <w:sz w:val="18"/>
        </w:rPr>
        <w:t>Binet</w:t>
      </w:r>
      <w:r>
        <w:rPr>
          <w:spacing w:val="-1"/>
          <w:sz w:val="18"/>
        </w:rPr>
        <w:t> 分期方案</w:t>
      </w:r>
      <w:r>
        <w:rPr>
          <w:sz w:val="18"/>
        </w:rPr>
        <w:t>A 期程度的慢性淋巴细胞白血病；</w:t>
      </w:r>
    </w:p>
    <w:p>
      <w:pPr>
        <w:pStyle w:val="ListParagraph"/>
        <w:numPr>
          <w:ilvl w:val="0"/>
          <w:numId w:val="19"/>
        </w:numPr>
        <w:tabs>
          <w:tab w:pos="667" w:val="left" w:leader="none"/>
        </w:tabs>
        <w:spacing w:line="240" w:lineRule="auto" w:before="76" w:after="0"/>
        <w:ind w:left="666" w:right="0" w:hanging="420"/>
        <w:jc w:val="left"/>
        <w:rPr>
          <w:sz w:val="18"/>
        </w:rPr>
      </w:pPr>
      <w:r>
        <w:rPr>
          <w:spacing w:val="13"/>
          <w:sz w:val="18"/>
        </w:rPr>
        <w:t>相当于</w:t>
      </w:r>
      <w:r>
        <w:rPr>
          <w:sz w:val="18"/>
        </w:rPr>
        <w:t>Ann Arbor</w:t>
      </w:r>
      <w:r>
        <w:rPr>
          <w:spacing w:val="-1"/>
          <w:sz w:val="18"/>
        </w:rPr>
        <w:t> 分期方案</w:t>
      </w:r>
      <w:r>
        <w:rPr>
          <w:sz w:val="18"/>
        </w:rPr>
        <w:t>I</w:t>
      </w:r>
      <w:r>
        <w:rPr>
          <w:spacing w:val="-7"/>
          <w:sz w:val="18"/>
        </w:rPr>
        <w:t> 期程度的何杰金氏病；</w:t>
      </w:r>
    </w:p>
    <w:p>
      <w:pPr>
        <w:pStyle w:val="ListParagraph"/>
        <w:numPr>
          <w:ilvl w:val="0"/>
          <w:numId w:val="19"/>
        </w:numPr>
        <w:tabs>
          <w:tab w:pos="667" w:val="left" w:leader="none"/>
        </w:tabs>
        <w:spacing w:line="240" w:lineRule="auto" w:before="76" w:after="0"/>
        <w:ind w:left="666" w:right="0" w:hanging="420"/>
        <w:jc w:val="left"/>
        <w:rPr>
          <w:sz w:val="18"/>
        </w:rPr>
      </w:pPr>
      <w:r>
        <w:rPr>
          <w:sz w:val="18"/>
        </w:rPr>
        <w:t>皮肤癌（不包括恶性黑色素瘤及已发生转移的皮肤癌</w:t>
      </w:r>
      <w:r>
        <w:rPr>
          <w:spacing w:val="-90"/>
          <w:sz w:val="18"/>
        </w:rPr>
        <w:t>）</w:t>
      </w:r>
      <w:r>
        <w:rPr>
          <w:sz w:val="18"/>
        </w:rPr>
        <w:t>；</w:t>
      </w:r>
    </w:p>
    <w:p>
      <w:pPr>
        <w:pStyle w:val="ListParagraph"/>
        <w:numPr>
          <w:ilvl w:val="0"/>
          <w:numId w:val="19"/>
        </w:numPr>
        <w:tabs>
          <w:tab w:pos="667" w:val="left" w:leader="none"/>
        </w:tabs>
        <w:spacing w:line="240" w:lineRule="auto" w:before="75" w:after="0"/>
        <w:ind w:left="666" w:right="0" w:hanging="420"/>
        <w:jc w:val="left"/>
        <w:rPr>
          <w:sz w:val="18"/>
        </w:rPr>
      </w:pPr>
      <w:r>
        <w:rPr>
          <w:spacing w:val="-1"/>
          <w:position w:val="1"/>
          <w:sz w:val="18"/>
        </w:rPr>
        <w:t>TNM</w:t>
      </w:r>
      <w:r>
        <w:rPr>
          <w:position w:val="1"/>
          <w:sz w:val="18"/>
        </w:rPr>
        <w:t>分期为T</w:t>
      </w:r>
      <w:r>
        <w:rPr>
          <w:sz w:val="9"/>
        </w:rPr>
        <w:t>1</w:t>
      </w:r>
      <w:r>
        <w:rPr>
          <w:position w:val="1"/>
          <w:sz w:val="18"/>
        </w:rPr>
        <w:t>N</w:t>
      </w:r>
      <w:r>
        <w:rPr>
          <w:sz w:val="9"/>
        </w:rPr>
        <w:t>0</w:t>
      </w:r>
      <w:r>
        <w:rPr>
          <w:position w:val="1"/>
          <w:sz w:val="18"/>
        </w:rPr>
        <w:t>M</w:t>
      </w:r>
      <w:r>
        <w:rPr>
          <w:sz w:val="9"/>
        </w:rPr>
        <w:t>0</w:t>
      </w:r>
      <w:r>
        <w:rPr>
          <w:position w:val="1"/>
          <w:sz w:val="18"/>
        </w:rPr>
        <w:t>期或者更轻分期的前列腺癌。</w:t>
      </w:r>
    </w:p>
    <w:p>
      <w:pPr>
        <w:spacing w:after="0" w:line="240" w:lineRule="auto"/>
        <w:jc w:val="left"/>
        <w:rPr>
          <w:sz w:val="18"/>
        </w:rPr>
        <w:sectPr>
          <w:type w:val="continuous"/>
          <w:pgSz w:w="11910" w:h="16840"/>
          <w:pgMar w:top="1040" w:bottom="1180" w:left="1160" w:right="860"/>
          <w:cols w:num="2" w:equalWidth="0">
            <w:col w:w="2310" w:space="40"/>
            <w:col w:w="7540"/>
          </w:cols>
        </w:sectPr>
      </w:pPr>
    </w:p>
    <w:p>
      <w:pPr>
        <w:pStyle w:val="BodyText"/>
        <w:spacing w:before="3"/>
        <w:rPr>
          <w:sz w:val="26"/>
        </w:rPr>
      </w:pPr>
    </w:p>
    <w:p>
      <w:pPr>
        <w:pStyle w:val="ListParagraph"/>
        <w:numPr>
          <w:ilvl w:val="0"/>
          <w:numId w:val="18"/>
        </w:numPr>
        <w:tabs>
          <w:tab w:pos="642" w:val="left" w:leader="none"/>
          <w:tab w:pos="643" w:val="left" w:leader="none"/>
          <w:tab w:pos="2520" w:val="left" w:leader="none"/>
        </w:tabs>
        <w:spacing w:line="316" w:lineRule="auto" w:before="45" w:after="0"/>
        <w:ind w:left="2520" w:right="207" w:hanging="2298"/>
        <w:jc w:val="left"/>
        <w:rPr>
          <w:sz w:val="18"/>
        </w:rPr>
      </w:pPr>
      <w:r>
        <w:rPr>
          <w:b/>
          <w:sz w:val="18"/>
        </w:rPr>
        <w:t>单个肢体缺失</w:t>
        <w:tab/>
      </w:r>
      <w:r>
        <w:rPr>
          <w:spacing w:val="-1"/>
          <w:sz w:val="18"/>
        </w:rPr>
        <w:t>指一个</w:t>
      </w:r>
      <w:r>
        <w:rPr>
          <w:sz w:val="18"/>
        </w:rPr>
        <w:t>肢体自腕关节或踝关节近</w:t>
      </w:r>
      <w:r>
        <w:rPr>
          <w:spacing w:val="-15"/>
          <w:sz w:val="18"/>
        </w:rPr>
        <w:t>端</w:t>
      </w:r>
      <w:r>
        <w:rPr>
          <w:sz w:val="18"/>
        </w:rPr>
        <w:t>（靠近躯干端</w:t>
      </w:r>
      <w:r>
        <w:rPr>
          <w:spacing w:val="-15"/>
          <w:sz w:val="18"/>
        </w:rPr>
        <w:t>）</w:t>
      </w:r>
      <w:r>
        <w:rPr>
          <w:sz w:val="18"/>
        </w:rPr>
        <w:t>以上完全性断离</w:t>
      </w:r>
      <w:r>
        <w:rPr>
          <w:spacing w:val="-16"/>
          <w:sz w:val="18"/>
        </w:rPr>
        <w:t>，</w:t>
      </w:r>
      <w:r>
        <w:rPr>
          <w:sz w:val="18"/>
        </w:rPr>
        <w:t>但未达到本附加合同所指重大疾病“多个肢体缺失”的标准。</w:t>
      </w:r>
    </w:p>
    <w:p>
      <w:pPr>
        <w:pStyle w:val="BodyText"/>
        <w:spacing w:line="316" w:lineRule="auto" w:before="18"/>
        <w:ind w:left="2520" w:right="205"/>
      </w:pPr>
      <w:r>
        <w:rPr>
          <w:spacing w:val="-6"/>
        </w:rPr>
        <w:t>因“糖尿病导致单足切除”或者因“恶性肿瘤导致肢体切除”导致的单个肢体缺失不在本项保障范围内。</w:t>
      </w:r>
    </w:p>
    <w:p>
      <w:pPr>
        <w:pStyle w:val="BodyText"/>
        <w:spacing w:before="10"/>
        <w:rPr>
          <w:sz w:val="21"/>
        </w:rPr>
      </w:pPr>
    </w:p>
    <w:p>
      <w:pPr>
        <w:spacing w:after="0"/>
        <w:rPr>
          <w:sz w:val="21"/>
        </w:rPr>
        <w:sectPr>
          <w:type w:val="continuous"/>
          <w:pgSz w:w="11910" w:h="16840"/>
          <w:pgMar w:top="1040" w:bottom="1180" w:left="1160" w:right="860"/>
        </w:sectPr>
      </w:pPr>
    </w:p>
    <w:p>
      <w:pPr>
        <w:pStyle w:val="Heading3"/>
        <w:numPr>
          <w:ilvl w:val="0"/>
          <w:numId w:val="18"/>
        </w:numPr>
        <w:tabs>
          <w:tab w:pos="642" w:val="left" w:leader="none"/>
          <w:tab w:pos="643" w:val="left" w:leader="none"/>
        </w:tabs>
        <w:spacing w:line="316" w:lineRule="auto" w:before="45" w:after="0"/>
        <w:ind w:left="642" w:right="0" w:hanging="420"/>
        <w:jc w:val="left"/>
      </w:pPr>
      <w:r>
        <w:rPr/>
        <w:t>主动脉内手术（非开</w:t>
      </w:r>
      <w:r>
        <w:rPr>
          <w:w w:val="95"/>
        </w:rPr>
        <w:t>胸手术）</w:t>
      </w:r>
    </w:p>
    <w:p>
      <w:pPr>
        <w:pStyle w:val="BodyText"/>
        <w:spacing w:line="316" w:lineRule="auto" w:before="45"/>
        <w:ind w:left="210" w:right="148"/>
      </w:pPr>
      <w:r>
        <w:rPr/>
        <w:br w:type="column"/>
      </w:r>
      <w:r>
        <w:rPr/>
        <w:t>为了治疗主动脉疾病实际实施了经皮经导管进行的动脉内手术。主动脉指胸主动脉和腹主动脉，不包括胸主动脉和腹主动脉的分支血管。</w:t>
      </w:r>
    </w:p>
    <w:p>
      <w:pPr>
        <w:spacing w:after="0" w:line="316" w:lineRule="auto"/>
        <w:sectPr>
          <w:type w:val="continuous"/>
          <w:pgSz w:w="11910" w:h="16840"/>
          <w:pgMar w:top="1040" w:bottom="1180" w:left="1160" w:right="860"/>
          <w:cols w:num="2" w:equalWidth="0">
            <w:col w:w="2270" w:space="40"/>
            <w:col w:w="7580"/>
          </w:cols>
        </w:sectPr>
      </w:pPr>
    </w:p>
    <w:p>
      <w:pPr>
        <w:pStyle w:val="BodyText"/>
        <w:spacing w:before="11"/>
        <w:rPr>
          <w:sz w:val="21"/>
        </w:rPr>
      </w:pPr>
    </w:p>
    <w:p>
      <w:pPr>
        <w:spacing w:after="0"/>
        <w:rPr>
          <w:sz w:val="21"/>
        </w:rPr>
        <w:sectPr>
          <w:type w:val="continuous"/>
          <w:pgSz w:w="11910" w:h="16840"/>
          <w:pgMar w:top="1040" w:bottom="1180" w:left="1160" w:right="860"/>
        </w:sectPr>
      </w:pPr>
    </w:p>
    <w:p>
      <w:pPr>
        <w:pStyle w:val="Heading3"/>
        <w:numPr>
          <w:ilvl w:val="0"/>
          <w:numId w:val="18"/>
        </w:numPr>
        <w:tabs>
          <w:tab w:pos="642" w:val="left" w:leader="none"/>
          <w:tab w:pos="643" w:val="left" w:leader="none"/>
        </w:tabs>
        <w:spacing w:line="240" w:lineRule="auto" w:before="44" w:after="0"/>
        <w:ind w:left="642" w:right="0" w:hanging="420"/>
        <w:jc w:val="left"/>
      </w:pPr>
      <w:r>
        <w:rPr>
          <w:w w:val="95"/>
        </w:rPr>
        <w:t>心脏瓣膜介入手术</w:t>
      </w:r>
    </w:p>
    <w:p>
      <w:pPr>
        <w:spacing w:before="75"/>
        <w:ind w:left="642" w:right="0" w:firstLine="0"/>
        <w:jc w:val="left"/>
        <w:rPr>
          <w:b/>
          <w:sz w:val="18"/>
        </w:rPr>
      </w:pPr>
      <w:r>
        <w:rPr>
          <w:b/>
          <w:w w:val="95"/>
          <w:sz w:val="18"/>
        </w:rPr>
        <w:t>（非开胸手术）</w:t>
      </w:r>
    </w:p>
    <w:p>
      <w:pPr>
        <w:pStyle w:val="BodyText"/>
        <w:spacing w:line="316" w:lineRule="auto" w:before="44"/>
        <w:ind w:left="222" w:right="207"/>
      </w:pPr>
      <w:r>
        <w:rPr/>
        <w:br w:type="column"/>
      </w:r>
      <w:r>
        <w:rPr>
          <w:spacing w:val="-5"/>
        </w:rPr>
        <w:t>为了治疗心脏瓣膜疾病，实际实施了非开胸的经胸壁打孔内镜手术或者经皮经导管介入手术进行的心脏瓣膜置换或者修复手术。</w:t>
      </w:r>
    </w:p>
    <w:p>
      <w:pPr>
        <w:spacing w:after="0" w:line="316" w:lineRule="auto"/>
        <w:sectPr>
          <w:type w:val="continuous"/>
          <w:pgSz w:w="11910" w:h="16840"/>
          <w:pgMar w:top="1040" w:bottom="1180" w:left="1160" w:right="860"/>
          <w:cols w:num="2" w:equalWidth="0">
            <w:col w:w="2088" w:space="210"/>
            <w:col w:w="7592"/>
          </w:cols>
        </w:sectPr>
      </w:pPr>
    </w:p>
    <w:p>
      <w:pPr>
        <w:pStyle w:val="BodyText"/>
        <w:spacing w:before="8"/>
        <w:rPr>
          <w:sz w:val="22"/>
        </w:rPr>
      </w:pPr>
    </w:p>
    <w:p>
      <w:pPr>
        <w:spacing w:after="0"/>
        <w:rPr>
          <w:sz w:val="22"/>
        </w:rPr>
        <w:sectPr>
          <w:type w:val="continuous"/>
          <w:pgSz w:w="11910" w:h="16840"/>
          <w:pgMar w:top="1040" w:bottom="1180" w:left="1160" w:right="860"/>
        </w:sectPr>
      </w:pPr>
    </w:p>
    <w:p>
      <w:pPr>
        <w:pStyle w:val="Heading3"/>
        <w:numPr>
          <w:ilvl w:val="0"/>
          <w:numId w:val="18"/>
        </w:numPr>
        <w:tabs>
          <w:tab w:pos="642" w:val="left" w:leader="none"/>
          <w:tab w:pos="643" w:val="left" w:leader="none"/>
        </w:tabs>
        <w:spacing w:line="316" w:lineRule="auto" w:before="45" w:after="0"/>
        <w:ind w:left="642" w:right="0" w:hanging="420"/>
        <w:jc w:val="left"/>
      </w:pPr>
      <w:r>
        <w:rPr/>
        <w:t>全身较小面积Ⅲ度烧伤</w:t>
      </w:r>
    </w:p>
    <w:p>
      <w:pPr>
        <w:pStyle w:val="BodyText"/>
        <w:spacing w:line="316" w:lineRule="auto" w:before="45"/>
        <w:ind w:left="210" w:right="117"/>
      </w:pPr>
      <w:r>
        <w:rPr/>
        <w:br w:type="column"/>
      </w:r>
      <w:r>
        <w:rPr>
          <w:spacing w:val="-2"/>
        </w:rPr>
        <w:t>指烧伤程度为Ⅲ度，且Ⅲ度烧伤面积为全身体表面积的 </w:t>
      </w:r>
      <w:r>
        <w:rPr/>
        <w:t>10%</w:t>
      </w:r>
      <w:r>
        <w:rPr>
          <w:spacing w:val="-16"/>
        </w:rPr>
        <w:t>或者 </w:t>
      </w:r>
      <w:r>
        <w:rPr/>
        <w:t>10%</w:t>
      </w:r>
      <w:r>
        <w:rPr>
          <w:spacing w:val="-6"/>
        </w:rPr>
        <w:t>以上，但尚未达到 </w:t>
      </w:r>
      <w:r>
        <w:rPr/>
        <w:t>20%。体表面积根据《中国新九分法》计算。</w:t>
      </w:r>
    </w:p>
    <w:p>
      <w:pPr>
        <w:spacing w:after="0" w:line="316" w:lineRule="auto"/>
        <w:sectPr>
          <w:type w:val="continuous"/>
          <w:pgSz w:w="11910" w:h="16840"/>
          <w:pgMar w:top="1040" w:bottom="1180" w:left="1160" w:right="860"/>
          <w:cols w:num="2" w:equalWidth="0">
            <w:col w:w="2270" w:space="40"/>
            <w:col w:w="7580"/>
          </w:cols>
        </w:sectPr>
      </w:pPr>
    </w:p>
    <w:p>
      <w:pPr>
        <w:pStyle w:val="BodyText"/>
        <w:spacing w:before="11"/>
        <w:rPr>
          <w:sz w:val="21"/>
        </w:rPr>
      </w:pPr>
    </w:p>
    <w:p>
      <w:pPr>
        <w:spacing w:after="0"/>
        <w:rPr>
          <w:sz w:val="21"/>
        </w:rPr>
        <w:sectPr>
          <w:type w:val="continuous"/>
          <w:pgSz w:w="11910" w:h="16840"/>
          <w:pgMar w:top="1040" w:bottom="1180" w:left="1160" w:right="860"/>
        </w:sectPr>
      </w:pPr>
    </w:p>
    <w:p>
      <w:pPr>
        <w:pStyle w:val="Heading3"/>
        <w:numPr>
          <w:ilvl w:val="0"/>
          <w:numId w:val="18"/>
        </w:numPr>
        <w:tabs>
          <w:tab w:pos="642" w:val="left" w:leader="none"/>
          <w:tab w:pos="643" w:val="left" w:leader="none"/>
        </w:tabs>
        <w:spacing w:line="316" w:lineRule="auto" w:before="45" w:after="0"/>
        <w:ind w:left="642" w:right="0" w:hanging="420"/>
        <w:jc w:val="left"/>
      </w:pPr>
      <w:r>
        <w:rPr/>
        <w:t>不典型的急性心肌梗塞</w:t>
      </w:r>
    </w:p>
    <w:p>
      <w:pPr>
        <w:pStyle w:val="BodyText"/>
        <w:spacing w:line="316" w:lineRule="auto" w:before="45"/>
        <w:ind w:left="210" w:right="148"/>
      </w:pPr>
      <w:r>
        <w:rPr/>
        <w:br w:type="column"/>
      </w:r>
      <w:r>
        <w:rPr/>
        <w:t>指被临床诊断为急性心肌梗塞并接受了急性心肌梗塞治疗，虽然未达到重大疾病“急性心肌梗塞”的给付标准，但满足下列全部条件：</w:t>
      </w:r>
    </w:p>
    <w:p>
      <w:pPr>
        <w:pStyle w:val="BodyText"/>
        <w:spacing w:before="19"/>
        <w:ind w:left="210"/>
      </w:pPr>
      <w:r>
        <w:rPr/>
        <w:t>（1）肌钙蛋白有诊断意义的升高；</w:t>
      </w:r>
    </w:p>
    <w:p>
      <w:pPr>
        <w:pStyle w:val="BodyText"/>
        <w:ind w:left="210"/>
      </w:pPr>
      <w:r>
        <w:rPr/>
        <w:t>（2）心电图有损伤性的ST 段改变但未出现病理Q 波。</w:t>
      </w:r>
    </w:p>
    <w:p>
      <w:pPr>
        <w:pStyle w:val="BodyText"/>
        <w:ind w:left="210"/>
      </w:pPr>
      <w:r>
        <w:rPr/>
        <w:t>（3）实际进行了冠状动脉介入手术治疗。</w:t>
      </w:r>
    </w:p>
    <w:p>
      <w:pPr>
        <w:spacing w:after="0"/>
        <w:sectPr>
          <w:type w:val="continuous"/>
          <w:pgSz w:w="11910" w:h="16840"/>
          <w:pgMar w:top="1040" w:bottom="1180" w:left="1160" w:right="860"/>
          <w:cols w:num="2" w:equalWidth="0">
            <w:col w:w="2270" w:space="40"/>
            <w:col w:w="7580"/>
          </w:cols>
        </w:sectPr>
      </w:pPr>
    </w:p>
    <w:p>
      <w:pPr>
        <w:pStyle w:val="BodyText"/>
        <w:spacing w:before="3"/>
        <w:rPr>
          <w:sz w:val="26"/>
        </w:rPr>
      </w:pPr>
    </w:p>
    <w:p>
      <w:pPr>
        <w:pStyle w:val="ListParagraph"/>
        <w:numPr>
          <w:ilvl w:val="0"/>
          <w:numId w:val="18"/>
        </w:numPr>
        <w:tabs>
          <w:tab w:pos="643" w:val="left" w:leader="none"/>
        </w:tabs>
        <w:spacing w:line="316" w:lineRule="auto" w:before="45" w:after="0"/>
        <w:ind w:left="2520" w:right="206" w:hanging="2298"/>
        <w:jc w:val="both"/>
        <w:rPr>
          <w:sz w:val="18"/>
        </w:rPr>
      </w:pPr>
      <w:r>
        <w:rPr>
          <w:b/>
          <w:spacing w:val="5"/>
          <w:sz w:val="18"/>
        </w:rPr>
        <w:t>听力严重受损       </w:t>
      </w:r>
      <w:r>
        <w:rPr>
          <w:spacing w:val="-2"/>
          <w:sz w:val="18"/>
        </w:rPr>
        <w:t>指因疾病或意外伤害导致双耳听力永久不可逆性丧失，在 </w:t>
      </w:r>
      <w:r>
        <w:rPr>
          <w:sz w:val="18"/>
        </w:rPr>
        <w:t>500</w:t>
      </w:r>
      <w:r>
        <w:rPr>
          <w:spacing w:val="-12"/>
          <w:sz w:val="18"/>
        </w:rPr>
        <w:t> 赫兹、</w:t>
      </w:r>
      <w:r>
        <w:rPr>
          <w:sz w:val="18"/>
        </w:rPr>
        <w:t>1000</w:t>
      </w:r>
      <w:r>
        <w:rPr>
          <w:spacing w:val="-19"/>
          <w:sz w:val="18"/>
        </w:rPr>
        <w:t> 赫兹和 </w:t>
      </w:r>
      <w:r>
        <w:rPr>
          <w:sz w:val="18"/>
        </w:rPr>
        <w:t>2000</w:t>
      </w:r>
      <w:r>
        <w:rPr>
          <w:spacing w:val="-16"/>
          <w:sz w:val="18"/>
        </w:rPr>
        <w:t> 赫兹</w:t>
      </w:r>
      <w:r>
        <w:rPr>
          <w:spacing w:val="-13"/>
          <w:sz w:val="18"/>
        </w:rPr>
        <w:t>语音频率下，平均听阈大于 </w:t>
      </w:r>
      <w:r>
        <w:rPr>
          <w:sz w:val="18"/>
        </w:rPr>
        <w:t>70</w:t>
      </w:r>
      <w:r>
        <w:rPr>
          <w:spacing w:val="-13"/>
          <w:sz w:val="18"/>
        </w:rPr>
        <w:t> 分贝，但未超过 </w:t>
      </w:r>
      <w:r>
        <w:rPr>
          <w:sz w:val="18"/>
        </w:rPr>
        <w:t>90</w:t>
      </w:r>
      <w:r>
        <w:rPr>
          <w:spacing w:val="-9"/>
          <w:sz w:val="18"/>
        </w:rPr>
        <w:t> 分贝，且经纯音听力测试、声导抗检测或听觉诱发电位检测等证实。</w:t>
      </w:r>
    </w:p>
    <w:p>
      <w:pPr>
        <w:pStyle w:val="BodyText"/>
        <w:spacing w:before="18"/>
        <w:ind w:left="2520"/>
      </w:pPr>
      <w:r>
        <w:rPr/>
        <w:t>被保险人申请理赔时年龄必须在三周岁以上，并且提供听力丧失诊断及检查证据。</w:t>
      </w:r>
    </w:p>
    <w:p>
      <w:pPr>
        <w:pStyle w:val="BodyText"/>
        <w:spacing w:before="0"/>
      </w:pPr>
    </w:p>
    <w:p>
      <w:pPr>
        <w:pStyle w:val="ListParagraph"/>
        <w:numPr>
          <w:ilvl w:val="0"/>
          <w:numId w:val="18"/>
        </w:numPr>
        <w:tabs>
          <w:tab w:pos="642" w:val="left" w:leader="none"/>
          <w:tab w:pos="643" w:val="left" w:leader="none"/>
          <w:tab w:pos="2520" w:val="left" w:leader="none"/>
        </w:tabs>
        <w:spacing w:line="316" w:lineRule="auto" w:before="152" w:after="0"/>
        <w:ind w:left="2520" w:right="116" w:hanging="2298"/>
        <w:jc w:val="left"/>
        <w:rPr>
          <w:sz w:val="18"/>
        </w:rPr>
      </w:pPr>
      <w:r>
        <w:rPr>
          <w:b/>
          <w:sz w:val="18"/>
        </w:rPr>
        <w:t>中度脑损伤</w:t>
        <w:tab/>
      </w:r>
      <w:r>
        <w:rPr>
          <w:spacing w:val="-1"/>
          <w:sz w:val="18"/>
        </w:rPr>
        <w:t>指</w:t>
      </w:r>
      <w:r>
        <w:rPr>
          <w:sz w:val="18"/>
        </w:rPr>
        <w:t>因头部遭受机械性外力</w:t>
      </w:r>
      <w:r>
        <w:rPr>
          <w:spacing w:val="-16"/>
          <w:sz w:val="18"/>
        </w:rPr>
        <w:t>，</w:t>
      </w:r>
      <w:r>
        <w:rPr>
          <w:sz w:val="18"/>
        </w:rPr>
        <w:t>引起脑重要部位损伤</w:t>
      </w:r>
      <w:r>
        <w:rPr>
          <w:spacing w:val="-15"/>
          <w:sz w:val="18"/>
        </w:rPr>
        <w:t>，</w:t>
      </w:r>
      <w:r>
        <w:rPr>
          <w:sz w:val="18"/>
        </w:rPr>
        <w:t>导致神经系统永久性的功能障碍</w:t>
      </w:r>
      <w:r>
        <w:rPr>
          <w:spacing w:val="-15"/>
          <w:sz w:val="18"/>
        </w:rPr>
        <w:t>。</w:t>
      </w:r>
      <w:r>
        <w:rPr>
          <w:sz w:val="18"/>
        </w:rPr>
        <w:t>须由头颅断层扫</w:t>
      </w:r>
      <w:r>
        <w:rPr>
          <w:spacing w:val="-20"/>
          <w:sz w:val="18"/>
        </w:rPr>
        <w:t>描</w:t>
      </w:r>
      <w:r>
        <w:rPr>
          <w:spacing w:val="-5"/>
          <w:sz w:val="18"/>
        </w:rPr>
        <w:t>（CT）</w:t>
      </w:r>
      <w:r>
        <w:rPr>
          <w:spacing w:val="-20"/>
          <w:sz w:val="18"/>
        </w:rPr>
        <w:t>、</w:t>
      </w:r>
      <w:r>
        <w:rPr>
          <w:sz w:val="18"/>
        </w:rPr>
        <w:t>核磁共振检</w:t>
      </w:r>
      <w:r>
        <w:rPr>
          <w:spacing w:val="-20"/>
          <w:sz w:val="18"/>
        </w:rPr>
        <w:t>查</w:t>
      </w:r>
      <w:r>
        <w:rPr>
          <w:spacing w:val="-4"/>
          <w:sz w:val="18"/>
        </w:rPr>
        <w:t>（MRI）</w:t>
      </w:r>
      <w:r>
        <w:rPr>
          <w:sz w:val="18"/>
        </w:rPr>
        <w:t>或正电子发射断层扫</w:t>
      </w:r>
      <w:r>
        <w:rPr>
          <w:spacing w:val="-20"/>
          <w:sz w:val="18"/>
        </w:rPr>
        <w:t>描</w:t>
      </w:r>
      <w:r>
        <w:rPr>
          <w:spacing w:val="-4"/>
          <w:sz w:val="18"/>
        </w:rPr>
        <w:t>（PET）</w:t>
      </w:r>
      <w:r>
        <w:rPr>
          <w:sz w:val="18"/>
        </w:rPr>
        <w:t>等影像学检查证实。神经系统永久性的功能障碍</w:t>
      </w:r>
      <w:r>
        <w:rPr>
          <w:spacing w:val="-15"/>
          <w:sz w:val="18"/>
        </w:rPr>
        <w:t>，</w:t>
      </w:r>
      <w:r>
        <w:rPr>
          <w:sz w:val="18"/>
        </w:rPr>
        <w:t>指脑损伤</w:t>
      </w:r>
      <w:r>
        <w:rPr>
          <w:spacing w:val="-47"/>
          <w:sz w:val="18"/>
        </w:rPr>
        <w:t> </w:t>
      </w:r>
      <w:r>
        <w:rPr>
          <w:sz w:val="18"/>
        </w:rPr>
        <w:t>180</w:t>
      </w:r>
      <w:r>
        <w:rPr>
          <w:spacing w:val="-47"/>
          <w:sz w:val="18"/>
        </w:rPr>
        <w:t> </w:t>
      </w:r>
      <w:r>
        <w:rPr>
          <w:sz w:val="18"/>
        </w:rPr>
        <w:t>天后</w:t>
      </w:r>
      <w:r>
        <w:rPr>
          <w:spacing w:val="-15"/>
          <w:sz w:val="18"/>
        </w:rPr>
        <w:t>，</w:t>
      </w:r>
      <w:r>
        <w:rPr>
          <w:sz w:val="18"/>
        </w:rPr>
        <w:t>仍完全丧失自主生活能力</w:t>
      </w:r>
      <w:r>
        <w:rPr>
          <w:spacing w:val="-15"/>
          <w:sz w:val="18"/>
        </w:rPr>
        <w:t>，</w:t>
      </w:r>
      <w:r>
        <w:rPr>
          <w:sz w:val="18"/>
        </w:rPr>
        <w:t>无法独立完成六项基本日常生活活动中的二项或以上，</w:t>
      </w:r>
      <w:r>
        <w:rPr>
          <w:sz w:val="18"/>
          <w:shd w:fill="D9D9D9" w:color="auto" w:val="clear"/>
        </w:rPr>
        <w:t>但未达到重大疾病“严重脑损伤”的给付标准。</w:t>
      </w:r>
    </w:p>
    <w:p>
      <w:pPr>
        <w:spacing w:after="0" w:line="316" w:lineRule="auto"/>
        <w:jc w:val="left"/>
        <w:rPr>
          <w:sz w:val="18"/>
        </w:rPr>
        <w:sectPr>
          <w:type w:val="continuous"/>
          <w:pgSz w:w="11910" w:h="16840"/>
          <w:pgMar w:top="1040" w:bottom="1180" w:left="1160" w:right="860"/>
        </w:sectPr>
      </w:pPr>
    </w:p>
    <w:p>
      <w:pPr>
        <w:pStyle w:val="BodyText"/>
        <w:spacing w:before="3"/>
        <w:rPr>
          <w:sz w:val="20"/>
        </w:rPr>
      </w:pPr>
    </w:p>
    <w:p>
      <w:pPr>
        <w:pStyle w:val="ListParagraph"/>
        <w:numPr>
          <w:ilvl w:val="0"/>
          <w:numId w:val="18"/>
        </w:numPr>
        <w:tabs>
          <w:tab w:pos="642" w:val="left" w:leader="none"/>
          <w:tab w:pos="643" w:val="left" w:leader="none"/>
          <w:tab w:pos="2520" w:val="left" w:leader="none"/>
        </w:tabs>
        <w:spacing w:line="316" w:lineRule="auto" w:before="44" w:after="0"/>
        <w:ind w:left="2520" w:right="161" w:hanging="2298"/>
        <w:jc w:val="left"/>
        <w:rPr>
          <w:sz w:val="18"/>
        </w:rPr>
      </w:pPr>
      <w:r>
        <w:rPr>
          <w:b/>
          <w:sz w:val="18"/>
        </w:rPr>
        <w:t>视力严重受损</w:t>
        <w:tab/>
      </w:r>
      <w:r>
        <w:rPr>
          <w:sz w:val="18"/>
        </w:rPr>
        <w:t>指因疾病或者意外伤害导致双眼视力永久不可逆性丧失，虽然未达到重大疾病“双目失明”的给付标准，但满足下列条件之一：</w:t>
      </w:r>
    </w:p>
    <w:p>
      <w:pPr>
        <w:pStyle w:val="ListParagraph"/>
        <w:numPr>
          <w:ilvl w:val="1"/>
          <w:numId w:val="18"/>
        </w:numPr>
        <w:tabs>
          <w:tab w:pos="3061" w:val="left" w:leader="none"/>
        </w:tabs>
        <w:spacing w:line="316" w:lineRule="auto" w:before="18" w:after="0"/>
        <w:ind w:left="2520" w:right="207" w:firstLine="0"/>
        <w:jc w:val="left"/>
        <w:rPr>
          <w:sz w:val="18"/>
        </w:rPr>
      </w:pPr>
      <w:r>
        <w:rPr>
          <w:spacing w:val="-4"/>
          <w:sz w:val="18"/>
        </w:rPr>
        <w:t>双眼中较好眼矫正视力低于 </w:t>
      </w:r>
      <w:r>
        <w:rPr>
          <w:sz w:val="18"/>
        </w:rPr>
        <w:t>0.1（采用国际标准视力表，如果使用其他视力表应进行换算）；</w:t>
      </w:r>
    </w:p>
    <w:p>
      <w:pPr>
        <w:pStyle w:val="ListParagraph"/>
        <w:numPr>
          <w:ilvl w:val="1"/>
          <w:numId w:val="18"/>
        </w:numPr>
        <w:tabs>
          <w:tab w:pos="3061" w:val="left" w:leader="none"/>
        </w:tabs>
        <w:spacing w:line="240" w:lineRule="auto" w:before="18" w:after="0"/>
        <w:ind w:left="2520" w:right="0" w:firstLine="0"/>
        <w:jc w:val="left"/>
        <w:rPr>
          <w:sz w:val="18"/>
        </w:rPr>
      </w:pPr>
      <w:r>
        <w:rPr>
          <w:spacing w:val="-4"/>
          <w:sz w:val="18"/>
        </w:rPr>
        <w:t>双眼中较好眼视野半径小于 </w:t>
      </w:r>
      <w:r>
        <w:rPr>
          <w:sz w:val="18"/>
        </w:rPr>
        <w:t>20 度。</w:t>
      </w:r>
    </w:p>
    <w:p>
      <w:pPr>
        <w:pStyle w:val="BodyText"/>
        <w:ind w:left="2520"/>
      </w:pPr>
      <w:r>
        <w:rPr/>
        <w:t>被保险人申请理赔时年龄必须在三周岁以上，并且提供视力丧失诊断及检查证据。</w:t>
      </w:r>
    </w:p>
    <w:p>
      <w:pPr>
        <w:pStyle w:val="BodyText"/>
        <w:spacing w:before="3"/>
        <w:rPr>
          <w:sz w:val="26"/>
        </w:rPr>
      </w:pPr>
    </w:p>
    <w:p>
      <w:pPr>
        <w:spacing w:after="0"/>
        <w:rPr>
          <w:sz w:val="26"/>
        </w:rPr>
        <w:sectPr>
          <w:pgSz w:w="11910" w:h="16840"/>
          <w:pgMar w:header="877" w:footer="981" w:top="1100" w:bottom="1180" w:left="1160" w:right="860"/>
        </w:sectPr>
      </w:pPr>
    </w:p>
    <w:p>
      <w:pPr>
        <w:pStyle w:val="Heading3"/>
        <w:numPr>
          <w:ilvl w:val="0"/>
          <w:numId w:val="18"/>
        </w:numPr>
        <w:tabs>
          <w:tab w:pos="643" w:val="left" w:leader="none"/>
        </w:tabs>
        <w:spacing w:line="316" w:lineRule="auto" w:before="45" w:after="0"/>
        <w:ind w:left="642" w:right="0" w:hanging="420"/>
        <w:jc w:val="left"/>
      </w:pPr>
      <w:r>
        <w:rPr/>
        <w:t>脑垂体瘤、脑囊肿、</w:t>
      </w:r>
      <w:r>
        <w:rPr>
          <w:w w:val="95"/>
        </w:rPr>
        <w:t>脑动脉瘤及脑血管瘤</w:t>
      </w:r>
    </w:p>
    <w:p>
      <w:pPr>
        <w:pStyle w:val="BodyText"/>
        <w:spacing w:line="316" w:lineRule="auto" w:before="45"/>
        <w:ind w:left="210" w:right="116"/>
      </w:pPr>
      <w:r>
        <w:rPr/>
        <w:br w:type="column"/>
      </w:r>
      <w:r>
        <w:rPr/>
        <w:t>指经头颅断层扫描（CT）、核磁共振检查（MRI）或者其他影像学检查被确诊为下列病变， </w:t>
      </w:r>
      <w:r>
        <w:rPr>
          <w:spacing w:val="-3"/>
        </w:rPr>
        <w:t>并实际接受了手术或者放射治疗，</w:t>
      </w:r>
      <w:r>
        <w:rPr>
          <w:spacing w:val="-6"/>
          <w:shd w:fill="D9D9D9" w:color="auto" w:val="clear"/>
        </w:rPr>
        <w:t>且未达到本附加合同重大疾病“破裂脑动脉瘤夹闭手术”、“脑动脉瘤开颅手术”的给付标准。</w:t>
      </w:r>
    </w:p>
    <w:p>
      <w:pPr>
        <w:pStyle w:val="ListParagraph"/>
        <w:numPr>
          <w:ilvl w:val="0"/>
          <w:numId w:val="20"/>
        </w:numPr>
        <w:tabs>
          <w:tab w:pos="751" w:val="left" w:leader="none"/>
        </w:tabs>
        <w:spacing w:line="240" w:lineRule="auto" w:before="18" w:after="0"/>
        <w:ind w:left="750" w:right="0" w:hanging="540"/>
        <w:jc w:val="left"/>
        <w:rPr>
          <w:sz w:val="18"/>
        </w:rPr>
      </w:pPr>
      <w:r>
        <w:rPr>
          <w:sz w:val="18"/>
        </w:rPr>
        <w:t>脑垂体瘤；</w:t>
      </w:r>
    </w:p>
    <w:p>
      <w:pPr>
        <w:pStyle w:val="ListParagraph"/>
        <w:numPr>
          <w:ilvl w:val="0"/>
          <w:numId w:val="20"/>
        </w:numPr>
        <w:tabs>
          <w:tab w:pos="751" w:val="left" w:leader="none"/>
        </w:tabs>
        <w:spacing w:line="240" w:lineRule="auto" w:before="76" w:after="0"/>
        <w:ind w:left="750" w:right="0" w:hanging="540"/>
        <w:jc w:val="left"/>
        <w:rPr>
          <w:sz w:val="18"/>
        </w:rPr>
      </w:pPr>
      <w:r>
        <w:rPr>
          <w:sz w:val="18"/>
        </w:rPr>
        <w:t>脑囊肿；</w:t>
      </w:r>
    </w:p>
    <w:p>
      <w:pPr>
        <w:pStyle w:val="ListParagraph"/>
        <w:numPr>
          <w:ilvl w:val="0"/>
          <w:numId w:val="20"/>
        </w:numPr>
        <w:tabs>
          <w:tab w:pos="751" w:val="left" w:leader="none"/>
        </w:tabs>
        <w:spacing w:line="240" w:lineRule="auto" w:before="76" w:after="0"/>
        <w:ind w:left="750" w:right="0" w:hanging="540"/>
        <w:jc w:val="left"/>
        <w:rPr>
          <w:sz w:val="18"/>
        </w:rPr>
      </w:pPr>
      <w:r>
        <w:rPr>
          <w:sz w:val="18"/>
        </w:rPr>
        <w:t>脑动脉瘤、脑血管瘤。</w:t>
      </w:r>
    </w:p>
    <w:p>
      <w:pPr>
        <w:spacing w:after="0" w:line="240" w:lineRule="auto"/>
        <w:jc w:val="left"/>
        <w:rPr>
          <w:sz w:val="18"/>
        </w:rPr>
        <w:sectPr>
          <w:type w:val="continuous"/>
          <w:pgSz w:w="11910" w:h="16840"/>
          <w:pgMar w:top="1040" w:bottom="1180" w:left="1160" w:right="860"/>
          <w:cols w:num="2" w:equalWidth="0">
            <w:col w:w="2270" w:space="40"/>
            <w:col w:w="7580"/>
          </w:cols>
        </w:sectPr>
      </w:pPr>
    </w:p>
    <w:p>
      <w:pPr>
        <w:pStyle w:val="BodyText"/>
        <w:spacing w:before="3"/>
        <w:rPr>
          <w:sz w:val="26"/>
        </w:rPr>
      </w:pPr>
    </w:p>
    <w:p>
      <w:pPr>
        <w:spacing w:after="0"/>
        <w:rPr>
          <w:sz w:val="26"/>
        </w:rPr>
        <w:sectPr>
          <w:type w:val="continuous"/>
          <w:pgSz w:w="11910" w:h="16840"/>
          <w:pgMar w:top="1040" w:bottom="1180" w:left="1160" w:right="860"/>
        </w:sectPr>
      </w:pPr>
    </w:p>
    <w:p>
      <w:pPr>
        <w:pStyle w:val="Heading3"/>
        <w:numPr>
          <w:ilvl w:val="0"/>
          <w:numId w:val="18"/>
        </w:numPr>
        <w:tabs>
          <w:tab w:pos="643" w:val="left" w:leader="none"/>
        </w:tabs>
        <w:spacing w:line="316" w:lineRule="auto" w:before="44" w:after="0"/>
        <w:ind w:left="642" w:right="0" w:hanging="420"/>
        <w:jc w:val="left"/>
      </w:pPr>
      <w:r>
        <w:rPr/>
        <w:t>双侧卵巢或睾丸切除手术</w:t>
      </w:r>
    </w:p>
    <w:p>
      <w:pPr>
        <w:pStyle w:val="BodyText"/>
        <w:spacing w:line="316" w:lineRule="auto" w:before="44"/>
        <w:ind w:left="210" w:right="148"/>
      </w:pPr>
      <w:r>
        <w:rPr/>
        <w:br w:type="column"/>
      </w:r>
      <w:r>
        <w:rPr/>
        <w:t>指为治疗疾病实际接受了经腹部切开或腹腔镜进行的双侧卵巢或睾丸完全切除手术。部分卵巢或睾丸切除不在保障范围。</w:t>
      </w:r>
    </w:p>
    <w:p>
      <w:pPr>
        <w:spacing w:after="0" w:line="316" w:lineRule="auto"/>
        <w:sectPr>
          <w:type w:val="continuous"/>
          <w:pgSz w:w="11910" w:h="16840"/>
          <w:pgMar w:top="1040" w:bottom="1180" w:left="1160" w:right="860"/>
          <w:cols w:num="2" w:equalWidth="0">
            <w:col w:w="2270" w:space="40"/>
            <w:col w:w="7580"/>
          </w:cols>
        </w:sectPr>
      </w:pPr>
    </w:p>
    <w:p>
      <w:pPr>
        <w:pStyle w:val="BodyText"/>
        <w:spacing w:before="10"/>
        <w:rPr>
          <w:sz w:val="21"/>
        </w:rPr>
      </w:pPr>
    </w:p>
    <w:p>
      <w:pPr>
        <w:pStyle w:val="ListParagraph"/>
        <w:numPr>
          <w:ilvl w:val="0"/>
          <w:numId w:val="18"/>
        </w:numPr>
        <w:tabs>
          <w:tab w:pos="643" w:val="left" w:leader="none"/>
        </w:tabs>
        <w:spacing w:line="316" w:lineRule="auto" w:before="45" w:after="0"/>
        <w:ind w:left="2520" w:right="162" w:hanging="2298"/>
        <w:jc w:val="both"/>
        <w:rPr>
          <w:sz w:val="18"/>
        </w:rPr>
      </w:pPr>
      <w:r>
        <w:rPr>
          <w:b/>
          <w:spacing w:val="5"/>
          <w:sz w:val="18"/>
        </w:rPr>
        <w:t>中度溃疡性结肠炎   </w:t>
      </w:r>
      <w:r>
        <w:rPr>
          <w:sz w:val="18"/>
        </w:rPr>
        <w:t>本附加合同所保障的溃疡性结肠炎是指伴有致命性电解质紊乱的急性暴发性溃疡性结肠炎， </w:t>
      </w:r>
      <w:r>
        <w:rPr>
          <w:spacing w:val="-4"/>
          <w:sz w:val="18"/>
        </w:rPr>
        <w:t>病变累及全结肠，表现为严重的血便和系统性症状体征和肠破裂的风险，本疾病的确诊必须</w:t>
      </w:r>
      <w:r>
        <w:rPr>
          <w:spacing w:val="-6"/>
          <w:sz w:val="18"/>
        </w:rPr>
        <w:t>经由内窥镜检查证实该疾病侵犯全部结肠及直肠及活体切片检查证实为溃疡性结肠炎。且须</w:t>
      </w:r>
      <w:r>
        <w:rPr>
          <w:spacing w:val="-7"/>
          <w:sz w:val="18"/>
        </w:rPr>
        <w:t>经肠胃专科医生连续以系统性免疫抑制剂或免疫调节剂持续治疗最少 </w:t>
      </w:r>
      <w:r>
        <w:rPr>
          <w:sz w:val="18"/>
        </w:rPr>
        <w:t>90</w:t>
      </w:r>
      <w:r>
        <w:rPr>
          <w:spacing w:val="-5"/>
          <w:sz w:val="18"/>
        </w:rPr>
        <w:t> 天，但未达到本附加合同所指重大疾病“严重溃疡性结肠炎”的标准，才符合本保障范围。</w:t>
      </w:r>
    </w:p>
    <w:p>
      <w:pPr>
        <w:pStyle w:val="BodyText"/>
        <w:spacing w:before="18"/>
        <w:ind w:left="2520"/>
      </w:pPr>
      <w:r>
        <w:rPr/>
        <w:t>其他种类的发炎性结肠炎,只发生在直肠的溃疡性结肠炎均不在保障范围内。</w:t>
      </w:r>
    </w:p>
    <w:p>
      <w:pPr>
        <w:pStyle w:val="BodyText"/>
        <w:spacing w:before="0"/>
      </w:pPr>
    </w:p>
    <w:p>
      <w:pPr>
        <w:pStyle w:val="ListParagraph"/>
        <w:numPr>
          <w:ilvl w:val="0"/>
          <w:numId w:val="18"/>
        </w:numPr>
        <w:tabs>
          <w:tab w:pos="643" w:val="left" w:leader="none"/>
          <w:tab w:pos="2520" w:val="left" w:leader="none"/>
        </w:tabs>
        <w:spacing w:line="316" w:lineRule="auto" w:before="152" w:after="0"/>
        <w:ind w:left="2520" w:right="117" w:hanging="2298"/>
        <w:jc w:val="left"/>
        <w:rPr>
          <w:sz w:val="18"/>
        </w:rPr>
      </w:pPr>
      <w:r>
        <w:rPr>
          <w:b/>
          <w:sz w:val="18"/>
        </w:rPr>
        <w:t>中度重症肌无力</w:t>
        <w:tab/>
      </w:r>
      <w:r>
        <w:rPr>
          <w:sz w:val="18"/>
        </w:rPr>
        <w:t>是一种神经与肌肉接头部位传递障碍的自身免疫性疾病</w:t>
      </w:r>
      <w:r>
        <w:rPr>
          <w:spacing w:val="-46"/>
          <w:sz w:val="18"/>
        </w:rPr>
        <w:t>，</w:t>
      </w:r>
      <w:r>
        <w:rPr>
          <w:sz w:val="18"/>
        </w:rPr>
        <w:t>临床特征是局部或全身横纹肌于活动时易于疲劳无力</w:t>
      </w:r>
      <w:r>
        <w:rPr>
          <w:spacing w:val="-45"/>
          <w:sz w:val="18"/>
        </w:rPr>
        <w:t>，</w:t>
      </w:r>
      <w:r>
        <w:rPr>
          <w:sz w:val="18"/>
        </w:rPr>
        <w:t>颅神经眼外肌最易累及</w:t>
      </w:r>
      <w:r>
        <w:rPr>
          <w:spacing w:val="-46"/>
          <w:sz w:val="18"/>
        </w:rPr>
        <w:t>，</w:t>
      </w:r>
      <w:r>
        <w:rPr>
          <w:sz w:val="18"/>
        </w:rPr>
        <w:t>也可涉及呼吸肌</w:t>
      </w:r>
      <w:r>
        <w:rPr>
          <w:spacing w:val="-45"/>
          <w:sz w:val="18"/>
        </w:rPr>
        <w:t>、</w:t>
      </w:r>
      <w:r>
        <w:rPr>
          <w:sz w:val="18"/>
        </w:rPr>
        <w:t>下肢近端肌群以至全身肌肉。该病必须由本公司认可医院的专科医生明确诊断</w:t>
      </w:r>
      <w:r>
        <w:rPr>
          <w:spacing w:val="-23"/>
          <w:sz w:val="18"/>
        </w:rPr>
        <w:t>，</w:t>
      </w:r>
      <w:r>
        <w:rPr>
          <w:sz w:val="18"/>
        </w:rPr>
        <w:t>且疾病确诊</w:t>
      </w:r>
      <w:r>
        <w:rPr>
          <w:spacing w:val="-46"/>
          <w:sz w:val="18"/>
        </w:rPr>
        <w:t> </w:t>
      </w:r>
      <w:r>
        <w:rPr>
          <w:sz w:val="18"/>
        </w:rPr>
        <w:t>180</w:t>
      </w:r>
      <w:r>
        <w:rPr>
          <w:spacing w:val="-46"/>
          <w:sz w:val="18"/>
        </w:rPr>
        <w:t> </w:t>
      </w:r>
      <w:r>
        <w:rPr>
          <w:sz w:val="18"/>
        </w:rPr>
        <w:t>天后</w:t>
      </w:r>
      <w:r>
        <w:rPr>
          <w:spacing w:val="-23"/>
          <w:sz w:val="18"/>
        </w:rPr>
        <w:t>，</w:t>
      </w:r>
      <w:r>
        <w:rPr>
          <w:sz w:val="18"/>
        </w:rPr>
        <w:t>仍然存在自主生活能力部分丧失，无法独立完成六项基本日常生活活动中的二项。</w:t>
      </w:r>
    </w:p>
    <w:p>
      <w:pPr>
        <w:pStyle w:val="BodyText"/>
        <w:spacing w:before="3"/>
        <w:rPr>
          <w:sz w:val="25"/>
        </w:rPr>
      </w:pPr>
    </w:p>
    <w:p>
      <w:pPr>
        <w:pStyle w:val="ListParagraph"/>
        <w:numPr>
          <w:ilvl w:val="0"/>
          <w:numId w:val="18"/>
        </w:numPr>
        <w:tabs>
          <w:tab w:pos="643" w:val="left" w:leader="none"/>
          <w:tab w:pos="2520" w:val="left" w:leader="none"/>
        </w:tabs>
        <w:spacing w:line="240" w:lineRule="auto" w:before="0" w:after="0"/>
        <w:ind w:left="642" w:right="0" w:hanging="420"/>
        <w:jc w:val="left"/>
        <w:rPr>
          <w:sz w:val="18"/>
        </w:rPr>
      </w:pPr>
      <w:r>
        <w:rPr>
          <w:b/>
          <w:sz w:val="18"/>
        </w:rPr>
        <w:t>中度系统性红斑狼疮</w:t>
        <w:tab/>
      </w:r>
      <w:r>
        <w:rPr>
          <w:sz w:val="18"/>
        </w:rPr>
        <w:t>本保障所指的系统性红斑狼疮必须符合下列所有理赔条件：</w:t>
      </w:r>
    </w:p>
    <w:p>
      <w:pPr>
        <w:pStyle w:val="ListParagraph"/>
        <w:numPr>
          <w:ilvl w:val="0"/>
          <w:numId w:val="21"/>
        </w:numPr>
        <w:tabs>
          <w:tab w:pos="2941" w:val="left" w:leader="none"/>
        </w:tabs>
        <w:spacing w:line="240" w:lineRule="auto" w:before="76" w:after="0"/>
        <w:ind w:left="2940" w:right="0" w:hanging="420"/>
        <w:jc w:val="left"/>
        <w:rPr>
          <w:sz w:val="18"/>
        </w:rPr>
      </w:pPr>
      <w:r>
        <w:rPr>
          <w:spacing w:val="-12"/>
          <w:sz w:val="18"/>
        </w:rPr>
        <w:t>在下列 </w:t>
      </w:r>
      <w:r>
        <w:rPr>
          <w:sz w:val="18"/>
        </w:rPr>
        <w:t>5</w:t>
      </w:r>
      <w:r>
        <w:rPr>
          <w:spacing w:val="-5"/>
          <w:sz w:val="18"/>
        </w:rPr>
        <w:t> 项情况中出现最少 </w:t>
      </w:r>
      <w:r>
        <w:rPr>
          <w:sz w:val="18"/>
        </w:rPr>
        <w:t>3</w:t>
      </w:r>
      <w:r>
        <w:rPr>
          <w:spacing w:val="-16"/>
          <w:sz w:val="18"/>
        </w:rPr>
        <w:t> 项：</w:t>
      </w:r>
    </w:p>
    <w:p>
      <w:pPr>
        <w:pStyle w:val="BodyText"/>
        <w:ind w:left="2940"/>
      </w:pPr>
      <w:r>
        <w:rPr/>
        <w:t>①关节炎：非磨损性关节炎，需涉及两个或以上关节；</w:t>
      </w:r>
    </w:p>
    <w:p>
      <w:pPr>
        <w:pStyle w:val="BodyText"/>
        <w:ind w:left="2940"/>
      </w:pPr>
      <w:r>
        <w:rPr/>
        <w:t>②浆膜炎：胸膜炎或心包炎；</w:t>
      </w:r>
    </w:p>
    <w:p>
      <w:pPr>
        <w:pStyle w:val="BodyText"/>
        <w:ind w:left="2940"/>
      </w:pPr>
      <w:r>
        <w:rPr/>
        <w:t>③肾病：24 小时尿蛋白定量达到 0.5 克，或尿液检查出现细胞管型；</w:t>
      </w:r>
    </w:p>
    <w:p>
      <w:pPr>
        <w:pStyle w:val="BodyText"/>
        <w:ind w:left="2940"/>
      </w:pPr>
      <w:r>
        <w:rPr/>
        <w:t>④血液学异常：溶血性贫血、白细胞减少、或血小板减少；</w:t>
      </w:r>
    </w:p>
    <w:p>
      <w:pPr>
        <w:pStyle w:val="BodyText"/>
        <w:ind w:left="2940"/>
      </w:pPr>
      <w:r>
        <w:rPr/>
        <w:t>⑤抗核抗体阳性、或抗dsDNA 阳性，或抗Smith 抗体阳性。</w:t>
      </w:r>
    </w:p>
    <w:p>
      <w:pPr>
        <w:pStyle w:val="ListParagraph"/>
        <w:numPr>
          <w:ilvl w:val="0"/>
          <w:numId w:val="21"/>
        </w:numPr>
        <w:tabs>
          <w:tab w:pos="2941" w:val="left" w:leader="none"/>
        </w:tabs>
        <w:spacing w:line="240" w:lineRule="auto" w:before="76" w:after="0"/>
        <w:ind w:left="2940" w:right="0" w:hanging="420"/>
        <w:jc w:val="left"/>
        <w:rPr>
          <w:sz w:val="18"/>
        </w:rPr>
      </w:pPr>
      <w:r>
        <w:rPr>
          <w:sz w:val="18"/>
        </w:rPr>
        <w:t>系统性红斑狼疮的诊断必须由本公司认可医院的风湿科或免疫系统专科医生确定。</w:t>
      </w:r>
    </w:p>
    <w:p>
      <w:pPr>
        <w:pStyle w:val="BodyText"/>
        <w:spacing w:before="3"/>
        <w:rPr>
          <w:sz w:val="26"/>
        </w:rPr>
      </w:pPr>
    </w:p>
    <w:p>
      <w:pPr>
        <w:spacing w:after="0"/>
        <w:rPr>
          <w:sz w:val="26"/>
        </w:rPr>
        <w:sectPr>
          <w:type w:val="continuous"/>
          <w:pgSz w:w="11910" w:h="16840"/>
          <w:pgMar w:top="1040" w:bottom="1180" w:left="1160" w:right="860"/>
        </w:sectPr>
      </w:pPr>
    </w:p>
    <w:p>
      <w:pPr>
        <w:pStyle w:val="Heading3"/>
        <w:numPr>
          <w:ilvl w:val="0"/>
          <w:numId w:val="18"/>
        </w:numPr>
        <w:tabs>
          <w:tab w:pos="643" w:val="left" w:leader="none"/>
        </w:tabs>
        <w:spacing w:line="240" w:lineRule="auto" w:before="45" w:after="0"/>
        <w:ind w:left="642" w:right="0" w:hanging="420"/>
        <w:jc w:val="left"/>
      </w:pPr>
      <w:r>
        <w:rPr>
          <w:spacing w:val="30"/>
        </w:rPr>
        <w:t>早期系统性硬化病</w:t>
      </w:r>
    </w:p>
    <w:p>
      <w:pPr>
        <w:spacing w:before="76"/>
        <w:ind w:left="642" w:right="0" w:firstLine="0"/>
        <w:jc w:val="left"/>
        <w:rPr>
          <w:b/>
          <w:sz w:val="18"/>
        </w:rPr>
      </w:pPr>
      <w:r>
        <w:rPr>
          <w:b/>
          <w:sz w:val="18"/>
        </w:rPr>
        <w:t>（硬皮病）</w:t>
      </w:r>
    </w:p>
    <w:p>
      <w:pPr>
        <w:pStyle w:val="BodyText"/>
        <w:spacing w:line="316" w:lineRule="auto" w:before="45"/>
        <w:ind w:left="144" w:right="116" w:hanging="1"/>
      </w:pPr>
      <w:r>
        <w:rPr/>
        <w:br w:type="column"/>
      </w:r>
      <w:r>
        <w:rPr>
          <w:spacing w:val="-7"/>
        </w:rPr>
        <w:t>指一种以局限性或弥漫性皮肤增厚和皮肤、血管、内脏器官异常纤维化为特征的结缔组织病。本病须经专科医生明确诊断，并须满足下列所有条件：</w:t>
      </w:r>
    </w:p>
    <w:p>
      <w:pPr>
        <w:pStyle w:val="ListParagraph"/>
        <w:numPr>
          <w:ilvl w:val="0"/>
          <w:numId w:val="22"/>
        </w:numPr>
        <w:tabs>
          <w:tab w:pos="565" w:val="left" w:leader="none"/>
        </w:tabs>
        <w:spacing w:line="316" w:lineRule="auto" w:before="18" w:after="0"/>
        <w:ind w:left="564" w:right="206" w:hanging="420"/>
        <w:jc w:val="both"/>
        <w:rPr>
          <w:sz w:val="18"/>
        </w:rPr>
      </w:pPr>
      <w:r>
        <w:rPr>
          <w:spacing w:val="-2"/>
          <w:sz w:val="18"/>
        </w:rPr>
        <w:t>必须是经由本公司认可医院的风湿学专科医生根据美国风湿病学会</w:t>
      </w:r>
      <w:r>
        <w:rPr>
          <w:sz w:val="18"/>
        </w:rPr>
        <w:t>（ACR）及欧洲抗风湿病联盟(EULAR)</w:t>
      </w:r>
      <w:r>
        <w:rPr>
          <w:spacing w:val="-8"/>
          <w:sz w:val="18"/>
        </w:rPr>
        <w:t>在 </w:t>
      </w:r>
      <w:r>
        <w:rPr>
          <w:sz w:val="18"/>
        </w:rPr>
        <w:t>2013 年发布的系统性硬皮病诊断标准确认达到确诊标准（总分值</w:t>
      </w:r>
      <w:r>
        <w:rPr>
          <w:spacing w:val="-2"/>
          <w:sz w:val="18"/>
        </w:rPr>
        <w:t>由每一个分类中的最高比重</w:t>
      </w:r>
      <w:r>
        <w:rPr>
          <w:sz w:val="18"/>
        </w:rPr>
        <w:t>（分值</w:t>
      </w:r>
      <w:r>
        <w:rPr>
          <w:spacing w:val="-21"/>
          <w:sz w:val="18"/>
        </w:rPr>
        <w:t>）</w:t>
      </w:r>
      <w:r>
        <w:rPr>
          <w:spacing w:val="-5"/>
          <w:sz w:val="18"/>
        </w:rPr>
        <w:t>相加而成，总分</w:t>
      </w:r>
      <w:r>
        <w:rPr>
          <w:sz w:val="18"/>
        </w:rPr>
        <w:t>≥9</w:t>
      </w:r>
      <w:r>
        <w:rPr>
          <w:spacing w:val="-7"/>
          <w:sz w:val="18"/>
        </w:rPr>
        <w:t> 分的患者被分类为系统性硬皮病</w:t>
      </w:r>
      <w:r>
        <w:rPr>
          <w:spacing w:val="-90"/>
          <w:sz w:val="18"/>
        </w:rPr>
        <w:t>）</w:t>
      </w:r>
      <w:r>
        <w:rPr>
          <w:sz w:val="18"/>
        </w:rPr>
        <w:t>。</w:t>
      </w:r>
    </w:p>
    <w:p>
      <w:pPr>
        <w:pStyle w:val="ListParagraph"/>
        <w:numPr>
          <w:ilvl w:val="0"/>
          <w:numId w:val="22"/>
        </w:numPr>
        <w:tabs>
          <w:tab w:pos="565" w:val="left" w:leader="none"/>
        </w:tabs>
        <w:spacing w:line="240" w:lineRule="auto" w:before="18" w:after="0"/>
        <w:ind w:left="564" w:right="0" w:hanging="420"/>
        <w:jc w:val="left"/>
        <w:rPr>
          <w:sz w:val="18"/>
        </w:rPr>
      </w:pPr>
      <w:r>
        <w:rPr>
          <w:sz w:val="18"/>
        </w:rPr>
        <w:t>须提供明确的病理活检及自身抗体免疫血清学证据支持。</w:t>
      </w:r>
    </w:p>
    <w:p>
      <w:pPr>
        <w:spacing w:after="0" w:line="240" w:lineRule="auto"/>
        <w:jc w:val="left"/>
        <w:rPr>
          <w:sz w:val="18"/>
        </w:rPr>
        <w:sectPr>
          <w:type w:val="continuous"/>
          <w:pgSz w:w="11910" w:h="16840"/>
          <w:pgMar w:top="1040" w:bottom="1180" w:left="1160" w:right="860"/>
          <w:cols w:num="2" w:equalWidth="0">
            <w:col w:w="2336" w:space="40"/>
            <w:col w:w="7514"/>
          </w:cols>
        </w:sectPr>
      </w:pPr>
    </w:p>
    <w:p>
      <w:pPr>
        <w:pStyle w:val="BodyText"/>
        <w:spacing w:before="3"/>
        <w:rPr>
          <w:sz w:val="20"/>
        </w:rPr>
      </w:pPr>
    </w:p>
    <w:p>
      <w:pPr>
        <w:pStyle w:val="BodyText"/>
        <w:spacing w:before="44"/>
        <w:ind w:left="2520"/>
      </w:pPr>
      <w:r>
        <w:rPr/>
        <w:t>以下情况不在保障范围内：</w:t>
      </w:r>
    </w:p>
    <w:p>
      <w:pPr>
        <w:pStyle w:val="ListParagraph"/>
        <w:numPr>
          <w:ilvl w:val="1"/>
          <w:numId w:val="22"/>
        </w:numPr>
        <w:tabs>
          <w:tab w:pos="2941" w:val="left" w:leader="none"/>
        </w:tabs>
        <w:spacing w:line="240" w:lineRule="auto" w:before="76" w:after="0"/>
        <w:ind w:left="2940" w:right="0" w:hanging="420"/>
        <w:jc w:val="left"/>
        <w:rPr>
          <w:sz w:val="18"/>
        </w:rPr>
      </w:pPr>
      <w:r>
        <w:rPr>
          <w:sz w:val="18"/>
        </w:rPr>
        <w:t>局限性硬皮病（带状硬皮病或斑状损害）</w:t>
      </w:r>
    </w:p>
    <w:p>
      <w:pPr>
        <w:pStyle w:val="ListParagraph"/>
        <w:numPr>
          <w:ilvl w:val="1"/>
          <w:numId w:val="22"/>
        </w:numPr>
        <w:tabs>
          <w:tab w:pos="2941" w:val="left" w:leader="none"/>
        </w:tabs>
        <w:spacing w:line="240" w:lineRule="auto" w:before="76" w:after="0"/>
        <w:ind w:left="2940" w:right="0" w:hanging="420"/>
        <w:jc w:val="left"/>
        <w:rPr>
          <w:sz w:val="18"/>
        </w:rPr>
      </w:pPr>
      <w:r>
        <w:rPr>
          <w:sz w:val="18"/>
        </w:rPr>
        <w:t>嗜酸性筋膜炎</w:t>
      </w:r>
    </w:p>
    <w:p>
      <w:pPr>
        <w:pStyle w:val="ListParagraph"/>
        <w:numPr>
          <w:ilvl w:val="1"/>
          <w:numId w:val="22"/>
        </w:numPr>
        <w:tabs>
          <w:tab w:pos="2941" w:val="left" w:leader="none"/>
        </w:tabs>
        <w:spacing w:line="240" w:lineRule="auto" w:before="76" w:after="0"/>
        <w:ind w:left="2940" w:right="0" w:hanging="420"/>
        <w:jc w:val="left"/>
        <w:rPr>
          <w:sz w:val="18"/>
        </w:rPr>
      </w:pPr>
      <w:r>
        <w:rPr>
          <w:sz w:val="18"/>
        </w:rPr>
        <w:t>CREST 综合征</w:t>
      </w:r>
    </w:p>
    <w:p>
      <w:pPr>
        <w:pStyle w:val="BodyText"/>
        <w:spacing w:before="0"/>
      </w:pPr>
    </w:p>
    <w:p>
      <w:pPr>
        <w:pStyle w:val="ListParagraph"/>
        <w:numPr>
          <w:ilvl w:val="0"/>
          <w:numId w:val="18"/>
        </w:numPr>
        <w:tabs>
          <w:tab w:pos="643" w:val="left" w:leader="none"/>
          <w:tab w:pos="2520" w:val="left" w:leader="none"/>
        </w:tabs>
        <w:spacing w:line="316" w:lineRule="auto" w:before="153" w:after="0"/>
        <w:ind w:left="2520" w:right="207" w:hanging="2298"/>
        <w:jc w:val="both"/>
        <w:rPr>
          <w:sz w:val="18"/>
        </w:rPr>
      </w:pPr>
      <w:r>
        <w:rPr>
          <w:b/>
          <w:sz w:val="18"/>
        </w:rPr>
        <w:t>早期象皮病</w:t>
        <w:tab/>
      </w:r>
      <w:r>
        <w:rPr>
          <w:spacing w:val="-1"/>
          <w:sz w:val="18"/>
        </w:rPr>
        <w:t>指因</w:t>
      </w:r>
      <w:r>
        <w:rPr>
          <w:sz w:val="18"/>
        </w:rPr>
        <w:t>丝虫感染导致淋巴管阻塞而造成身体组织出现严重淋巴水肿</w:t>
      </w:r>
      <w:r>
        <w:rPr>
          <w:spacing w:val="-45"/>
          <w:sz w:val="18"/>
        </w:rPr>
        <w:t>，</w:t>
      </w:r>
      <w:r>
        <w:rPr>
          <w:sz w:val="18"/>
        </w:rPr>
        <w:t>但未达到本合同所指重大疾</w:t>
      </w:r>
      <w:r>
        <w:rPr>
          <w:spacing w:val="-15"/>
          <w:sz w:val="18"/>
        </w:rPr>
        <w:t>病</w:t>
      </w:r>
      <w:r>
        <w:rPr>
          <w:sz w:val="18"/>
        </w:rPr>
        <w:t>“丝虫病所致象皮肿</w:t>
      </w:r>
      <w:r>
        <w:rPr>
          <w:spacing w:val="-16"/>
          <w:sz w:val="18"/>
        </w:rPr>
        <w:t>”</w:t>
      </w:r>
      <w:r>
        <w:rPr>
          <w:sz w:val="18"/>
        </w:rPr>
        <w:t>的标准</w:t>
      </w:r>
      <w:r>
        <w:rPr>
          <w:spacing w:val="-15"/>
          <w:sz w:val="18"/>
        </w:rPr>
        <w:t>。</w:t>
      </w:r>
      <w:r>
        <w:rPr>
          <w:sz w:val="18"/>
        </w:rPr>
        <w:t>此病症须经本公司认可医院的专科医生根据临床表现和微丝蚴的化验结果确诊。</w:t>
      </w:r>
    </w:p>
    <w:p>
      <w:pPr>
        <w:pStyle w:val="BodyText"/>
        <w:spacing w:line="316" w:lineRule="auto" w:before="18"/>
        <w:ind w:left="2520" w:right="161"/>
      </w:pPr>
      <w:r>
        <w:rPr/>
        <w:t>由性接触传染的疾病、创伤、手术后疤痕、充血性心力衰竭或先天性淋巴系统异常引起的淋巴水肿，以及急性淋巴管炎或其他原因引起的淋巴水肿不在保障范围内。</w:t>
      </w:r>
    </w:p>
    <w:p>
      <w:pPr>
        <w:pStyle w:val="BodyText"/>
        <w:spacing w:before="2"/>
        <w:rPr>
          <w:sz w:val="25"/>
        </w:rPr>
      </w:pPr>
    </w:p>
    <w:p>
      <w:pPr>
        <w:pStyle w:val="ListParagraph"/>
        <w:numPr>
          <w:ilvl w:val="0"/>
          <w:numId w:val="18"/>
        </w:numPr>
        <w:tabs>
          <w:tab w:pos="643" w:val="left" w:leader="none"/>
        </w:tabs>
        <w:spacing w:line="316" w:lineRule="auto" w:before="1" w:after="0"/>
        <w:ind w:left="2520" w:right="163" w:hanging="2298"/>
        <w:jc w:val="both"/>
        <w:rPr>
          <w:sz w:val="18"/>
        </w:rPr>
      </w:pPr>
      <w:r>
        <w:rPr>
          <w:b/>
          <w:spacing w:val="5"/>
          <w:sz w:val="18"/>
        </w:rPr>
        <w:t>中度运动神经元病   </w:t>
      </w:r>
      <w:r>
        <w:rPr>
          <w:spacing w:val="-2"/>
          <w:sz w:val="18"/>
        </w:rPr>
        <w:t>指一组中枢神经系统运动神经元的进行性变性疾病，包括进行性脊肌萎缩症、进行性延髓麻</w:t>
      </w:r>
      <w:r>
        <w:rPr>
          <w:spacing w:val="-7"/>
          <w:sz w:val="18"/>
        </w:rPr>
        <w:t>痹症、原发性侧索硬化症、肌萎缩性侧索硬化症。须满足自主生活能力部分丧失，无法独立完成六项基本日常生活活动中的两项。</w:t>
      </w:r>
      <w:r>
        <w:rPr>
          <w:spacing w:val="-7"/>
          <w:sz w:val="18"/>
          <w:shd w:fill="D9D9D9" w:color="auto" w:val="clear"/>
        </w:rPr>
        <w:t>但未达到本合同所指重大疾病“严重运动神经元病”</w:t>
      </w:r>
      <w:r>
        <w:rPr>
          <w:spacing w:val="-180"/>
          <w:sz w:val="18"/>
          <w:shd w:fill="D9D9D9" w:color="auto" w:val="clear"/>
        </w:rPr>
        <w:t>的</w:t>
      </w:r>
      <w:r>
        <w:rPr>
          <w:sz w:val="18"/>
          <w:shd w:fill="D9D9D9" w:color="auto" w:val="clear"/>
        </w:rPr>
        <w:t>给付标准。</w:t>
      </w:r>
    </w:p>
    <w:p>
      <w:pPr>
        <w:pStyle w:val="BodyText"/>
        <w:spacing w:before="3"/>
        <w:rPr>
          <w:sz w:val="25"/>
        </w:rPr>
      </w:pPr>
    </w:p>
    <w:p>
      <w:pPr>
        <w:pStyle w:val="ListParagraph"/>
        <w:numPr>
          <w:ilvl w:val="0"/>
          <w:numId w:val="18"/>
        </w:numPr>
        <w:tabs>
          <w:tab w:pos="643" w:val="left" w:leader="none"/>
          <w:tab w:pos="2520" w:val="left" w:leader="none"/>
        </w:tabs>
        <w:spacing w:line="316" w:lineRule="auto" w:before="0" w:after="0"/>
        <w:ind w:left="2520" w:right="116" w:hanging="2298"/>
        <w:jc w:val="left"/>
        <w:rPr>
          <w:sz w:val="18"/>
        </w:rPr>
      </w:pPr>
      <w:r>
        <w:rPr>
          <w:b/>
          <w:sz w:val="18"/>
        </w:rPr>
        <w:t>面部重建手术</w:t>
        <w:tab/>
      </w:r>
      <w:r>
        <w:rPr>
          <w:sz w:val="18"/>
        </w:rPr>
        <w:t>因疾病或意外伤害导致面部毁容</w:t>
      </w:r>
      <w:r>
        <w:rPr>
          <w:spacing w:val="-68"/>
          <w:sz w:val="18"/>
        </w:rPr>
        <w:t>，</w:t>
      </w:r>
      <w:r>
        <w:rPr>
          <w:sz w:val="18"/>
        </w:rPr>
        <w:t>确实进行整形或者重建手</w:t>
      </w:r>
      <w:r>
        <w:rPr>
          <w:spacing w:val="-68"/>
          <w:sz w:val="18"/>
        </w:rPr>
        <w:t>术</w:t>
      </w:r>
      <w:r>
        <w:rPr>
          <w:sz w:val="18"/>
        </w:rPr>
        <w:t>（颈部以上的面部构造不完整、缺失或者受损而对其形态及外观进行修复或者重建</w:t>
      </w:r>
      <w:r>
        <w:rPr>
          <w:spacing w:val="-23"/>
          <w:sz w:val="18"/>
        </w:rPr>
        <w:t>），</w:t>
      </w:r>
      <w:r>
        <w:rPr>
          <w:sz w:val="18"/>
        </w:rPr>
        <w:t>同时必须由专科医生认为该面部毁容是需要接受住院治疗，及其后接受该手术，而对该面部毁容所进行的治疗亦是医疗所需。 因纯粹整容原因</w:t>
      </w:r>
      <w:r>
        <w:rPr>
          <w:spacing w:val="-23"/>
          <w:sz w:val="18"/>
        </w:rPr>
        <w:t>、</w:t>
      </w:r>
      <w:r>
        <w:rPr>
          <w:sz w:val="18"/>
        </w:rPr>
        <w:t>独立的牙齿修复</w:t>
      </w:r>
      <w:r>
        <w:rPr>
          <w:spacing w:val="-23"/>
          <w:sz w:val="18"/>
        </w:rPr>
        <w:t>、</w:t>
      </w:r>
      <w:r>
        <w:rPr>
          <w:sz w:val="18"/>
        </w:rPr>
        <w:t>独立的鼻骨骨折或者独立的皮肤伤口所进行的手术均</w:t>
      </w:r>
      <w:r>
        <w:rPr>
          <w:rFonts w:ascii="PMingLiU-ExtB" w:eastAsia="PMingLiU-ExtB"/>
          <w:position w:val="1"/>
          <w:sz w:val="18"/>
        </w:rPr>
        <w:t>不</w:t>
      </w:r>
      <w:r>
        <w:rPr>
          <w:sz w:val="18"/>
        </w:rPr>
        <w:t>受此保障。</w:t>
      </w:r>
    </w:p>
    <w:p>
      <w:pPr>
        <w:pStyle w:val="BodyText"/>
        <w:spacing w:before="2"/>
        <w:rPr>
          <w:sz w:val="25"/>
        </w:rPr>
      </w:pPr>
    </w:p>
    <w:p>
      <w:pPr>
        <w:pStyle w:val="ListParagraph"/>
        <w:numPr>
          <w:ilvl w:val="0"/>
          <w:numId w:val="18"/>
        </w:numPr>
        <w:tabs>
          <w:tab w:pos="643" w:val="left" w:leader="none"/>
        </w:tabs>
        <w:spacing w:line="316" w:lineRule="auto" w:before="1" w:after="0"/>
        <w:ind w:left="2520" w:right="207" w:hanging="2298"/>
        <w:jc w:val="both"/>
        <w:rPr>
          <w:sz w:val="18"/>
        </w:rPr>
      </w:pPr>
      <w:r>
        <w:rPr>
          <w:b/>
          <w:spacing w:val="5"/>
          <w:sz w:val="18"/>
        </w:rPr>
        <w:t>胆道重建手术       </w:t>
      </w:r>
      <w:r>
        <w:rPr>
          <w:spacing w:val="-2"/>
          <w:sz w:val="18"/>
        </w:rPr>
        <w:t>因胆道创伤导致接受涉及胆总管小肠吻合术的胆道重建手术。手术必须由专科医生认为是医疗所需的情况下进</w:t>
      </w:r>
      <w:r>
        <w:rPr>
          <w:rFonts w:ascii="PMingLiU-ExtB" w:eastAsia="PMingLiU-ExtB"/>
          <w:spacing w:val="-2"/>
          <w:position w:val="1"/>
          <w:sz w:val="18"/>
        </w:rPr>
        <w:t>行</w:t>
      </w:r>
      <w:r>
        <w:rPr>
          <w:spacing w:val="-2"/>
          <w:sz w:val="18"/>
        </w:rPr>
        <w:t>。胆道闭锁不在保障范围内。</w:t>
      </w:r>
    </w:p>
    <w:p>
      <w:pPr>
        <w:pStyle w:val="BodyText"/>
        <w:spacing w:before="10"/>
        <w:rPr>
          <w:sz w:val="21"/>
        </w:rPr>
      </w:pPr>
    </w:p>
    <w:p>
      <w:pPr>
        <w:spacing w:after="0"/>
        <w:rPr>
          <w:sz w:val="21"/>
        </w:rPr>
        <w:sectPr>
          <w:footerReference w:type="default" r:id="rId11"/>
          <w:pgSz w:w="11910" w:h="16840"/>
          <w:pgMar w:footer="981" w:header="877" w:top="1100" w:bottom="1180" w:left="1160" w:right="860"/>
          <w:pgNumType w:start="10"/>
        </w:sectPr>
      </w:pPr>
    </w:p>
    <w:p>
      <w:pPr>
        <w:pStyle w:val="Heading3"/>
        <w:numPr>
          <w:ilvl w:val="0"/>
          <w:numId w:val="18"/>
        </w:numPr>
        <w:tabs>
          <w:tab w:pos="643" w:val="left" w:leader="none"/>
        </w:tabs>
        <w:spacing w:line="316" w:lineRule="auto" w:before="45" w:after="0"/>
        <w:ind w:left="642" w:right="0" w:hanging="420"/>
        <w:jc w:val="left"/>
      </w:pPr>
      <w:r>
        <w:rPr>
          <w:spacing w:val="2"/>
        </w:rPr>
        <w:t>非完全性肢体活动受</w:t>
      </w:r>
      <w:r>
        <w:rPr/>
        <w:t>限</w:t>
      </w:r>
    </w:p>
    <w:p>
      <w:pPr>
        <w:pStyle w:val="BodyText"/>
        <w:spacing w:line="316" w:lineRule="auto" w:before="45"/>
        <w:ind w:left="171" w:right="207"/>
        <w:jc w:val="both"/>
      </w:pPr>
      <w:r>
        <w:rPr/>
        <w:br w:type="column"/>
      </w:r>
      <w:r>
        <w:rPr>
          <w:spacing w:val="-2"/>
        </w:rPr>
        <w:t>指因疾病或者意外伤害导致一肢肢体机能永久完全丧失。肢体机能永久完全丧失，指疾病确</w:t>
      </w:r>
      <w:r>
        <w:rPr>
          <w:spacing w:val="-24"/>
        </w:rPr>
        <w:t>诊 </w:t>
      </w:r>
      <w:r>
        <w:rPr/>
        <w:t>180</w:t>
      </w:r>
      <w:r>
        <w:rPr>
          <w:spacing w:val="-11"/>
        </w:rPr>
        <w:t> 天后或者意外伤害发生 </w:t>
      </w:r>
      <w:r>
        <w:rPr/>
        <w:t>180</w:t>
      </w:r>
      <w:r>
        <w:rPr>
          <w:spacing w:val="-10"/>
        </w:rPr>
        <w:t> 天后，每肢体三大关节中的两大关节仍完全僵硬，或者不能随意识活动。</w:t>
      </w:r>
    </w:p>
    <w:p>
      <w:pPr>
        <w:pStyle w:val="BodyText"/>
        <w:spacing w:before="0"/>
      </w:pPr>
    </w:p>
    <w:p>
      <w:pPr>
        <w:pStyle w:val="BodyText"/>
        <w:spacing w:before="0"/>
      </w:pPr>
    </w:p>
    <w:p>
      <w:pPr>
        <w:pStyle w:val="BodyText"/>
        <w:spacing w:before="0"/>
      </w:pPr>
    </w:p>
    <w:p>
      <w:pPr>
        <w:pStyle w:val="BodyText"/>
        <w:spacing w:before="12"/>
      </w:pPr>
    </w:p>
    <w:p>
      <w:pPr>
        <w:pStyle w:val="Heading3"/>
        <w:spacing w:before="0"/>
        <w:ind w:left="1864" w:firstLine="0"/>
      </w:pPr>
      <w:r>
        <w:rPr>
          <w:w w:val="95"/>
        </w:rPr>
        <w:t>附表二：重大疾病说明</w:t>
      </w:r>
    </w:p>
    <w:p>
      <w:pPr>
        <w:spacing w:after="0"/>
        <w:sectPr>
          <w:type w:val="continuous"/>
          <w:pgSz w:w="11910" w:h="16840"/>
          <w:pgMar w:top="1040" w:bottom="1180" w:left="1160" w:right="860"/>
          <w:cols w:num="2" w:equalWidth="0">
            <w:col w:w="2310" w:space="40"/>
            <w:col w:w="7540"/>
          </w:cols>
        </w:sectPr>
      </w:pPr>
    </w:p>
    <w:p>
      <w:pPr>
        <w:pStyle w:val="BodyText"/>
        <w:spacing w:before="11"/>
        <w:rPr>
          <w:b/>
          <w:sz w:val="23"/>
        </w:rPr>
      </w:pPr>
    </w:p>
    <w:p>
      <w:pPr>
        <w:spacing w:line="316" w:lineRule="auto" w:before="45"/>
        <w:ind w:left="144" w:right="213" w:firstLine="0"/>
        <w:jc w:val="both"/>
        <w:rPr>
          <w:b/>
          <w:sz w:val="18"/>
        </w:rPr>
      </w:pPr>
      <w:r>
        <w:rPr>
          <w:b/>
          <w:spacing w:val="0"/>
          <w:sz w:val="18"/>
        </w:rPr>
        <w:t>重大疾病：指下列疾病或手术之一，应当由专科医生明确诊断。其中第</w:t>
      </w:r>
      <w:r>
        <w:rPr>
          <w:b/>
          <w:spacing w:val="55"/>
          <w:sz w:val="18"/>
        </w:rPr>
        <w:t>1</w:t>
      </w:r>
      <w:r>
        <w:rPr>
          <w:b/>
          <w:spacing w:val="-21"/>
          <w:sz w:val="18"/>
        </w:rPr>
        <w:t>至 </w:t>
      </w:r>
      <w:r>
        <w:rPr>
          <w:b/>
          <w:sz w:val="18"/>
        </w:rPr>
        <w:t>25</w:t>
      </w:r>
      <w:r>
        <w:rPr>
          <w:b/>
          <w:spacing w:val="-7"/>
          <w:sz w:val="18"/>
        </w:rPr>
        <w:t> 种疾病特指定义在中国保险行业协会《重</w:t>
      </w:r>
      <w:r>
        <w:rPr>
          <w:b/>
          <w:spacing w:val="-6"/>
          <w:w w:val="99"/>
          <w:sz w:val="18"/>
        </w:rPr>
        <w:t>大疾病保险的疾病定义使用规范》</w:t>
      </w:r>
      <w:r>
        <w:rPr>
          <w:b/>
          <w:spacing w:val="0"/>
          <w:w w:val="99"/>
          <w:sz w:val="18"/>
        </w:rPr>
        <w:t>（</w:t>
      </w:r>
      <w:r>
        <w:rPr>
          <w:b/>
          <w:spacing w:val="-12"/>
          <w:w w:val="99"/>
          <w:sz w:val="18"/>
        </w:rPr>
        <w:t>以下简称“规范”</w:t>
      </w:r>
      <w:r>
        <w:rPr>
          <w:b/>
          <w:spacing w:val="0"/>
          <w:w w:val="99"/>
          <w:sz w:val="18"/>
        </w:rPr>
        <w:t>）</w:t>
      </w:r>
      <w:r>
        <w:rPr>
          <w:b/>
          <w:w w:val="99"/>
          <w:sz w:val="18"/>
        </w:rPr>
        <w:t>中的重大疾病</w:t>
      </w:r>
      <w:r>
        <w:rPr>
          <w:b/>
          <w:w w:val="99"/>
          <w:sz w:val="18"/>
        </w:rPr>
        <w:t>,</w:t>
      </w:r>
      <w:r>
        <w:rPr>
          <w:b/>
          <w:w w:val="99"/>
          <w:sz w:val="18"/>
        </w:rPr>
        <w:t>第</w:t>
      </w:r>
      <w:r>
        <w:rPr>
          <w:b/>
          <w:spacing w:val="-36"/>
          <w:sz w:val="18"/>
        </w:rPr>
        <w:t> </w:t>
      </w:r>
      <w:r>
        <w:rPr>
          <w:b/>
          <w:spacing w:val="0"/>
          <w:w w:val="99"/>
          <w:sz w:val="18"/>
        </w:rPr>
        <w:t>2</w:t>
      </w:r>
      <w:r>
        <w:rPr>
          <w:b/>
          <w:w w:val="99"/>
          <w:sz w:val="18"/>
        </w:rPr>
        <w:t>6</w:t>
      </w:r>
      <w:r>
        <w:rPr>
          <w:b/>
          <w:spacing w:val="-36"/>
          <w:sz w:val="18"/>
        </w:rPr>
        <w:t> </w:t>
      </w:r>
      <w:r>
        <w:rPr>
          <w:b/>
          <w:w w:val="99"/>
          <w:sz w:val="18"/>
        </w:rPr>
        <w:t>至</w:t>
      </w:r>
      <w:r>
        <w:rPr>
          <w:b/>
          <w:spacing w:val="-36"/>
          <w:sz w:val="18"/>
        </w:rPr>
        <w:t> </w:t>
      </w:r>
      <w:r>
        <w:rPr>
          <w:b/>
          <w:w w:val="99"/>
          <w:sz w:val="18"/>
        </w:rPr>
        <w:t>80</w:t>
      </w:r>
      <w:r>
        <w:rPr>
          <w:b/>
          <w:spacing w:val="-36"/>
          <w:sz w:val="18"/>
        </w:rPr>
        <w:t> </w:t>
      </w:r>
      <w:r>
        <w:rPr>
          <w:b/>
          <w:w w:val="99"/>
          <w:sz w:val="18"/>
        </w:rPr>
        <w:t>种重大疾病为“规范”规定范围之外的</w:t>
      </w:r>
      <w:r>
        <w:rPr>
          <w:b/>
          <w:sz w:val="18"/>
        </w:rPr>
        <w:t>疾病。</w:t>
      </w:r>
    </w:p>
    <w:p>
      <w:pPr>
        <w:pStyle w:val="BodyText"/>
        <w:spacing w:before="9"/>
        <w:rPr>
          <w:b/>
          <w:sz w:val="22"/>
        </w:rPr>
      </w:pPr>
    </w:p>
    <w:p>
      <w:pPr>
        <w:pStyle w:val="ListParagraph"/>
        <w:numPr>
          <w:ilvl w:val="0"/>
          <w:numId w:val="23"/>
        </w:numPr>
        <w:tabs>
          <w:tab w:pos="600" w:val="left" w:leader="none"/>
          <w:tab w:pos="2675" w:val="left" w:leader="none"/>
        </w:tabs>
        <w:spacing w:line="316" w:lineRule="auto" w:before="0" w:after="0"/>
        <w:ind w:left="2675" w:right="300" w:hanging="2436"/>
        <w:jc w:val="both"/>
        <w:rPr>
          <w:sz w:val="18"/>
        </w:rPr>
      </w:pPr>
      <w:r>
        <w:rPr/>
        <w:pict>
          <v:shape style="position:absolute;margin-left:191.759995pt;margin-top:48.192116pt;width:337.5pt;height:11.8pt;mso-position-horizontal-relative:page;mso-position-vertical-relative:paragraph;z-index:1240;mso-wrap-distance-left:0;mso-wrap-distance-right:0" type="#_x0000_t202" filled="true" fillcolor="#d9d9d9" stroked="false">
            <v:textbox inset="0,0,0,0">
              <w:txbxContent>
                <w:p>
                  <w:pPr>
                    <w:pStyle w:val="BodyText"/>
                    <w:tabs>
                      <w:tab w:pos="6029" w:val="left" w:leader="none"/>
                    </w:tabs>
                    <w:spacing w:line="208" w:lineRule="exact" w:before="0"/>
                    <w:ind w:right="-15"/>
                  </w:pPr>
                  <w:r>
                    <w:rPr/>
                    <w:t>下列疾病不在保障范围内：</w:t>
                    <w:tab/>
                    <w:t>(1) 原位</w:t>
                  </w:r>
                </w:p>
              </w:txbxContent>
            </v:textbox>
            <v:fill type="solid"/>
            <w10:wrap type="topAndBottom"/>
          </v:shape>
        </w:pict>
      </w:r>
      <w:r>
        <w:rPr>
          <w:b/>
          <w:sz w:val="18"/>
        </w:rPr>
        <w:t>恶性肿瘤</w:t>
        <w:tab/>
      </w:r>
      <w:r>
        <w:rPr>
          <w:sz w:val="18"/>
        </w:rPr>
        <w:t>指恶性细胞不受控制的进行性增长和扩散，浸润和破坏周围正常组织，可以经血管、淋 巴管和体腔扩散转移到身体其它部位的疾病。经病理学检查结果明确诊断，临床诊断属于世界卫生组织《疾病和有关健康问题的国际统计分类</w:t>
      </w:r>
      <w:r>
        <w:rPr>
          <w:spacing w:val="-90"/>
          <w:sz w:val="18"/>
        </w:rPr>
        <w:t>》</w:t>
      </w:r>
      <w:r>
        <w:rPr>
          <w:sz w:val="18"/>
        </w:rPr>
        <w:t>（ICD-10）的恶性肿瘤范畴。</w:t>
      </w:r>
    </w:p>
    <w:p>
      <w:pPr>
        <w:pStyle w:val="BodyText"/>
        <w:spacing w:before="34"/>
        <w:ind w:left="2675"/>
      </w:pPr>
      <w:r>
        <w:rPr>
          <w:shd w:fill="D9D9D9" w:color="auto" w:val="clear"/>
        </w:rPr>
        <w:t>癌；</w:t>
      </w:r>
    </w:p>
    <w:p>
      <w:pPr>
        <w:pStyle w:val="BodyText"/>
        <w:spacing w:line="316" w:lineRule="auto"/>
        <w:ind w:left="2675" w:right="2335"/>
      </w:pPr>
      <w:r>
        <w:rPr>
          <w:shd w:fill="D9D9D9" w:color="auto" w:val="clear"/>
        </w:rPr>
        <w:t>(2) 相当于Binet 分期方案A 期程度的慢性淋巴细胞白血病； (3) 相当于Ann Arbor 分期方案I 期程度的何杰金氏病；</w:t>
      </w:r>
    </w:p>
    <w:p>
      <w:pPr>
        <w:pStyle w:val="ListParagraph"/>
        <w:numPr>
          <w:ilvl w:val="0"/>
          <w:numId w:val="24"/>
        </w:numPr>
        <w:tabs>
          <w:tab w:pos="3036" w:val="left" w:leader="none"/>
        </w:tabs>
        <w:spacing w:line="240" w:lineRule="auto" w:before="18" w:after="0"/>
        <w:ind w:left="3035" w:right="0" w:hanging="360"/>
        <w:jc w:val="left"/>
        <w:rPr>
          <w:sz w:val="18"/>
        </w:rPr>
      </w:pPr>
      <w:r>
        <w:rPr>
          <w:sz w:val="18"/>
          <w:shd w:fill="D9D9D9" w:color="auto" w:val="clear"/>
        </w:rPr>
        <w:t>皮肤癌（不包括恶性黑色素瘤及已发生转移的皮肤癌</w:t>
      </w:r>
      <w:r>
        <w:rPr>
          <w:spacing w:val="-90"/>
          <w:sz w:val="18"/>
          <w:shd w:fill="D9D9D9" w:color="auto" w:val="clear"/>
        </w:rPr>
        <w:t>）</w:t>
      </w:r>
      <w:r>
        <w:rPr>
          <w:sz w:val="18"/>
          <w:shd w:fill="D9D9D9" w:color="auto" w:val="clear"/>
        </w:rPr>
        <w:t>；</w:t>
      </w:r>
    </w:p>
    <w:p>
      <w:pPr>
        <w:spacing w:after="0" w:line="240" w:lineRule="auto"/>
        <w:jc w:val="left"/>
        <w:rPr>
          <w:sz w:val="18"/>
        </w:rPr>
        <w:sectPr>
          <w:type w:val="continuous"/>
          <w:pgSz w:w="11910" w:h="16840"/>
          <w:pgMar w:top="1040" w:bottom="1180" w:left="1160" w:right="860"/>
        </w:sectPr>
      </w:pPr>
    </w:p>
    <w:p>
      <w:pPr>
        <w:pStyle w:val="BodyText"/>
        <w:spacing w:before="3"/>
        <w:rPr>
          <w:sz w:val="20"/>
        </w:rPr>
      </w:pPr>
    </w:p>
    <w:p>
      <w:pPr>
        <w:pStyle w:val="ListParagraph"/>
        <w:numPr>
          <w:ilvl w:val="0"/>
          <w:numId w:val="24"/>
        </w:numPr>
        <w:tabs>
          <w:tab w:pos="3036" w:val="left" w:leader="none"/>
        </w:tabs>
        <w:spacing w:line="240" w:lineRule="auto" w:before="44" w:after="0"/>
        <w:ind w:left="3035" w:right="0" w:hanging="360"/>
        <w:jc w:val="left"/>
        <w:rPr>
          <w:sz w:val="18"/>
        </w:rPr>
      </w:pPr>
      <w:r>
        <w:rPr>
          <w:position w:val="1"/>
          <w:sz w:val="18"/>
          <w:shd w:fill="D9D9D9" w:color="auto" w:val="clear"/>
        </w:rPr>
        <w:t>TNM</w:t>
      </w:r>
      <w:r>
        <w:rPr>
          <w:spacing w:val="-2"/>
          <w:position w:val="1"/>
          <w:sz w:val="18"/>
          <w:shd w:fill="D9D9D9" w:color="auto" w:val="clear"/>
        </w:rPr>
        <w:t> 分期为</w:t>
      </w:r>
      <w:r>
        <w:rPr>
          <w:position w:val="1"/>
          <w:sz w:val="18"/>
          <w:shd w:fill="D9D9D9" w:color="auto" w:val="clear"/>
        </w:rPr>
        <w:t>T</w:t>
      </w:r>
      <w:r>
        <w:rPr>
          <w:sz w:val="9"/>
        </w:rPr>
        <w:t>1</w:t>
      </w:r>
      <w:r>
        <w:rPr>
          <w:position w:val="1"/>
          <w:sz w:val="18"/>
          <w:shd w:fill="D9D9D9" w:color="auto" w:val="clear"/>
        </w:rPr>
        <w:t>N</w:t>
      </w:r>
      <w:r>
        <w:rPr>
          <w:sz w:val="9"/>
        </w:rPr>
        <w:t>0</w:t>
      </w:r>
      <w:r>
        <w:rPr>
          <w:position w:val="1"/>
          <w:sz w:val="18"/>
          <w:shd w:fill="D9D9D9" w:color="auto" w:val="clear"/>
        </w:rPr>
        <w:t>M</w:t>
      </w:r>
      <w:r>
        <w:rPr>
          <w:sz w:val="9"/>
        </w:rPr>
        <w:t>0</w:t>
      </w:r>
      <w:r>
        <w:rPr>
          <w:spacing w:val="-35"/>
          <w:position w:val="1"/>
          <w:sz w:val="9"/>
        </w:rPr>
        <w:t> </w:t>
      </w:r>
      <w:r>
        <w:rPr>
          <w:position w:val="1"/>
          <w:sz w:val="18"/>
          <w:shd w:fill="D9D9D9" w:color="auto" w:val="clear"/>
        </w:rPr>
        <w:t>期的前列腺癌。</w:t>
      </w:r>
    </w:p>
    <w:p>
      <w:pPr>
        <w:pStyle w:val="BodyText"/>
        <w:spacing w:before="0"/>
      </w:pPr>
    </w:p>
    <w:p>
      <w:pPr>
        <w:pStyle w:val="ListParagraph"/>
        <w:numPr>
          <w:ilvl w:val="0"/>
          <w:numId w:val="23"/>
        </w:numPr>
        <w:tabs>
          <w:tab w:pos="600" w:val="left" w:leader="none"/>
          <w:tab w:pos="2675" w:val="left" w:leader="none"/>
        </w:tabs>
        <w:spacing w:line="316" w:lineRule="auto" w:before="153" w:after="0"/>
        <w:ind w:left="2675" w:right="220" w:hanging="2436"/>
        <w:jc w:val="both"/>
        <w:rPr>
          <w:sz w:val="18"/>
        </w:rPr>
      </w:pPr>
      <w:r>
        <w:rPr>
          <w:b/>
          <w:sz w:val="18"/>
        </w:rPr>
        <w:t>急性心肌梗塞</w:t>
        <w:tab/>
      </w:r>
      <w:r>
        <w:rPr>
          <w:sz w:val="18"/>
        </w:rPr>
        <w:t>指因冠状动脉阻塞导致的相应区域供血不足造成部分心肌坏死。须满足下列至少三项条 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典型临床表现，例如急性胸痛等；</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新近的心电图改变提示急性心肌梗塞；</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心肌酶或肌钙蛋白有诊断意义的升高，或呈符合急性心肌梗塞的动态性变化；</w:t>
      </w:r>
    </w:p>
    <w:p>
      <w:pPr>
        <w:pStyle w:val="ListParagraph"/>
        <w:numPr>
          <w:ilvl w:val="1"/>
          <w:numId w:val="23"/>
        </w:numPr>
        <w:tabs>
          <w:tab w:pos="3096" w:val="left" w:leader="none"/>
        </w:tabs>
        <w:spacing w:line="240" w:lineRule="auto" w:before="75" w:after="0"/>
        <w:ind w:left="3095" w:right="0" w:hanging="42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0"/>
      </w:pPr>
    </w:p>
    <w:p>
      <w:pPr>
        <w:pStyle w:val="ListParagraph"/>
        <w:numPr>
          <w:ilvl w:val="0"/>
          <w:numId w:val="23"/>
        </w:numPr>
        <w:tabs>
          <w:tab w:pos="600" w:val="left" w:leader="none"/>
          <w:tab w:pos="2675" w:val="left" w:leader="none"/>
        </w:tabs>
        <w:spacing w:line="316" w:lineRule="auto" w:before="152" w:after="0"/>
        <w:ind w:left="2675" w:right="218" w:hanging="2436"/>
        <w:jc w:val="both"/>
        <w:rPr>
          <w:sz w:val="18"/>
        </w:rPr>
      </w:pPr>
      <w:r>
        <w:rPr>
          <w:b/>
          <w:sz w:val="18"/>
        </w:rPr>
        <w:t>脑中风后遗症</w:t>
        <w:tab/>
      </w:r>
      <w:r>
        <w:rPr>
          <w:sz w:val="18"/>
        </w:rPr>
        <w:t>指因脑血管的突发病变引起脑血管出血、栓塞或梗塞，并导致神经系统永久性的功能障 碍。神经系统永久性的功能障碍，指疾病确诊</w:t>
      </w:r>
      <w:r>
        <w:rPr>
          <w:spacing w:val="-11"/>
          <w:sz w:val="18"/>
        </w:rPr>
        <w:t> </w:t>
      </w:r>
      <w:r>
        <w:rPr>
          <w:sz w:val="18"/>
        </w:rPr>
        <w:t>180</w:t>
      </w:r>
      <w:r>
        <w:rPr>
          <w:spacing w:val="-11"/>
          <w:sz w:val="18"/>
        </w:rPr>
        <w:t> </w:t>
      </w:r>
      <w:r>
        <w:rPr>
          <w:sz w:val="18"/>
        </w:rPr>
        <w:t>天后，仍遗留下列一种或一种以上障碍：</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一肢或一肢以上肢体机能完全丧失（</w:t>
      </w:r>
      <w:r>
        <w:rPr>
          <w:spacing w:val="-16"/>
          <w:sz w:val="18"/>
        </w:rPr>
        <w:t>见注 </w:t>
      </w:r>
      <w:r>
        <w:rPr>
          <w:sz w:val="18"/>
        </w:rPr>
        <w:t>4</w:t>
      </w:r>
      <w:r>
        <w:rPr>
          <w:spacing w:val="-90"/>
          <w:sz w:val="18"/>
        </w:rPr>
        <w:t>）</w:t>
      </w:r>
      <w:r>
        <w:rPr>
          <w:sz w:val="18"/>
        </w:rPr>
        <w:t>；</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语言能力或咀嚼吞咽能力完全丧失（</w:t>
      </w:r>
      <w:r>
        <w:rPr>
          <w:spacing w:val="-16"/>
          <w:sz w:val="18"/>
        </w:rPr>
        <w:t>见注 </w:t>
      </w:r>
      <w:r>
        <w:rPr>
          <w:sz w:val="18"/>
        </w:rPr>
        <w:t>5</w:t>
      </w:r>
      <w:r>
        <w:rPr>
          <w:spacing w:val="-24"/>
          <w:sz w:val="18"/>
        </w:rPr>
        <w:t> 和注 </w:t>
      </w:r>
      <w:r>
        <w:rPr>
          <w:sz w:val="18"/>
        </w:rPr>
        <w:t>6</w:t>
      </w:r>
      <w:r>
        <w:rPr>
          <w:spacing w:val="-91"/>
          <w:sz w:val="18"/>
        </w:rPr>
        <w:t>）</w:t>
      </w:r>
      <w:r>
        <w:rPr>
          <w:sz w:val="18"/>
        </w:rPr>
        <w:t>；</w:t>
      </w:r>
    </w:p>
    <w:p>
      <w:pPr>
        <w:pStyle w:val="ListParagraph"/>
        <w:numPr>
          <w:ilvl w:val="1"/>
          <w:numId w:val="23"/>
        </w:numPr>
        <w:tabs>
          <w:tab w:pos="3096" w:val="left" w:leader="none"/>
        </w:tabs>
        <w:spacing w:line="240" w:lineRule="auto" w:before="76" w:after="0"/>
        <w:ind w:left="3095" w:right="0" w:hanging="420"/>
        <w:jc w:val="left"/>
        <w:rPr>
          <w:sz w:val="18"/>
        </w:rPr>
      </w:pPr>
      <w:r>
        <w:rPr>
          <w:spacing w:val="-9"/>
          <w:sz w:val="18"/>
        </w:rPr>
        <w:t>自主生活能力完全丧失，无法独立完成六项基本日常生活活动中的三项或三项以上。</w:t>
      </w:r>
    </w:p>
    <w:p>
      <w:pPr>
        <w:pStyle w:val="BodyText"/>
        <w:spacing w:before="3"/>
        <w:rPr>
          <w:sz w:val="26"/>
        </w:rPr>
      </w:pPr>
    </w:p>
    <w:p>
      <w:pPr>
        <w:spacing w:after="0"/>
        <w:rPr>
          <w:sz w:val="26"/>
        </w:rPr>
        <w:sectPr>
          <w:pgSz w:w="11910" w:h="16840"/>
          <w:pgMar w:header="877" w:footer="981" w:top="1100" w:bottom="1180" w:left="1160" w:right="940"/>
        </w:sectPr>
      </w:pPr>
    </w:p>
    <w:p>
      <w:pPr>
        <w:pStyle w:val="Heading3"/>
        <w:numPr>
          <w:ilvl w:val="0"/>
          <w:numId w:val="23"/>
        </w:numPr>
        <w:tabs>
          <w:tab w:pos="600" w:val="left" w:leader="none"/>
        </w:tabs>
        <w:spacing w:line="316" w:lineRule="auto" w:before="44" w:after="0"/>
        <w:ind w:left="599" w:right="0" w:hanging="360"/>
        <w:jc w:val="left"/>
      </w:pPr>
      <w:r>
        <w:rPr>
          <w:spacing w:val="5"/>
        </w:rPr>
        <w:t>重大器官移植术或造血</w:t>
      </w:r>
      <w:r>
        <w:rPr>
          <w:w w:val="95"/>
        </w:rPr>
        <w:t>干细胞移植术</w:t>
      </w:r>
    </w:p>
    <w:p>
      <w:pPr>
        <w:pStyle w:val="BodyText"/>
        <w:spacing w:line="316" w:lineRule="auto" w:before="44"/>
        <w:ind w:left="168" w:right="220"/>
      </w:pPr>
      <w:r>
        <w:rPr/>
        <w:br w:type="column"/>
      </w:r>
      <w:r>
        <w:rPr/>
        <w:t>重大器官移植术，指因相应器官功能衰竭，已经实施了肾脏、肝脏、心脏或肺脏的异体移植手术。</w:t>
      </w:r>
    </w:p>
    <w:p>
      <w:pPr>
        <w:pStyle w:val="BodyText"/>
        <w:spacing w:line="316" w:lineRule="auto" w:before="18"/>
        <w:ind w:left="168" w:right="218"/>
      </w:pPr>
      <w:r>
        <w:rPr>
          <w:spacing w:val="-8"/>
        </w:rPr>
        <w:t>造血干细胞移植术，指因造血功能损害或造血系统恶性肿瘤，已经实施了造血干细胞</w:t>
      </w:r>
      <w:r>
        <w:rPr/>
        <w:t>（包括骨髓造血干细胞、外周血造血干细胞和脐血造血干细胞）的异体移植手术。</w:t>
      </w:r>
    </w:p>
    <w:p>
      <w:pPr>
        <w:spacing w:after="0" w:line="316" w:lineRule="auto"/>
        <w:sectPr>
          <w:type w:val="continuous"/>
          <w:pgSz w:w="11910" w:h="16840"/>
          <w:pgMar w:top="1040" w:bottom="1180" w:left="1160" w:right="940"/>
          <w:cols w:num="2" w:equalWidth="0">
            <w:col w:w="2467" w:space="40"/>
            <w:col w:w="7303"/>
          </w:cols>
        </w:sectPr>
      </w:pPr>
    </w:p>
    <w:p>
      <w:pPr>
        <w:pStyle w:val="BodyText"/>
        <w:spacing w:before="11"/>
        <w:rPr>
          <w:sz w:val="21"/>
        </w:rPr>
      </w:pPr>
    </w:p>
    <w:p>
      <w:pPr>
        <w:spacing w:after="0"/>
        <w:rPr>
          <w:sz w:val="21"/>
        </w:rPr>
        <w:sectPr>
          <w:type w:val="continuous"/>
          <w:pgSz w:w="11910" w:h="16840"/>
          <w:pgMar w:top="1040" w:bottom="1180" w:left="1160" w:right="940"/>
        </w:sectPr>
      </w:pPr>
    </w:p>
    <w:p>
      <w:pPr>
        <w:pStyle w:val="Heading3"/>
        <w:numPr>
          <w:ilvl w:val="0"/>
          <w:numId w:val="23"/>
        </w:numPr>
        <w:tabs>
          <w:tab w:pos="600" w:val="left" w:leader="none"/>
        </w:tabs>
        <w:spacing w:line="316" w:lineRule="auto" w:before="44" w:after="0"/>
        <w:ind w:left="599" w:right="0" w:hanging="360"/>
        <w:jc w:val="left"/>
      </w:pPr>
      <w:r>
        <w:rPr>
          <w:spacing w:val="5"/>
        </w:rPr>
        <w:t>冠状动脉搭桥术（</w:t>
      </w:r>
      <w:r>
        <w:rPr>
          <w:spacing w:val="5"/>
        </w:rPr>
        <w:t>或称</w:t>
      </w:r>
      <w:r>
        <w:rPr>
          <w:w w:val="95"/>
        </w:rPr>
        <w:t>冠状动脉旁路移植术）</w:t>
      </w:r>
    </w:p>
    <w:p>
      <w:pPr>
        <w:pStyle w:val="BodyText"/>
        <w:spacing w:before="44"/>
        <w:ind w:left="168"/>
      </w:pPr>
      <w:r>
        <w:rPr/>
        <w:br w:type="column"/>
      </w:r>
      <w:r>
        <w:rPr/>
        <w:t>指为治疗严重的冠心病，实际实施了开胸进行的冠状动脉血管旁路移植的手术。</w:t>
      </w:r>
    </w:p>
    <w:p>
      <w:pPr>
        <w:pStyle w:val="BodyText"/>
        <w:spacing w:line="316" w:lineRule="auto" w:before="75"/>
        <w:ind w:left="168" w:right="220"/>
      </w:pPr>
      <w:r>
        <w:rPr>
          <w:shd w:fill="D9D9D9" w:color="auto" w:val="clear"/>
        </w:rPr>
        <w:t>冠状动脉支架植入术、心导管球囊扩张术、激光射频技术及其它非开胸的介入手术、腔镜手术不在保障范围内。</w:t>
      </w:r>
    </w:p>
    <w:p>
      <w:pPr>
        <w:spacing w:after="0" w:line="316" w:lineRule="auto"/>
        <w:sectPr>
          <w:type w:val="continuous"/>
          <w:pgSz w:w="11910" w:h="16840"/>
          <w:pgMar w:top="1040" w:bottom="1180" w:left="1160" w:right="940"/>
          <w:cols w:num="2" w:equalWidth="0">
            <w:col w:w="2467" w:space="40"/>
            <w:col w:w="7303"/>
          </w:cols>
        </w:sectPr>
      </w:pPr>
    </w:p>
    <w:p>
      <w:pPr>
        <w:pStyle w:val="BodyText"/>
        <w:spacing w:before="10"/>
        <w:rPr>
          <w:sz w:val="21"/>
        </w:rPr>
      </w:pPr>
    </w:p>
    <w:p>
      <w:pPr>
        <w:pStyle w:val="ListParagraph"/>
        <w:numPr>
          <w:ilvl w:val="0"/>
          <w:numId w:val="23"/>
        </w:numPr>
        <w:tabs>
          <w:tab w:pos="600" w:val="left" w:leader="none"/>
          <w:tab w:pos="2675" w:val="left" w:leader="none"/>
        </w:tabs>
        <w:spacing w:line="316" w:lineRule="auto" w:before="45" w:after="0"/>
        <w:ind w:left="2675" w:right="218" w:hanging="2436"/>
        <w:jc w:val="both"/>
        <w:rPr>
          <w:sz w:val="18"/>
        </w:rPr>
      </w:pPr>
      <w:r>
        <w:rPr>
          <w:b/>
          <w:sz w:val="18"/>
        </w:rPr>
        <w:t>终末期肾病</w:t>
        <w:tab/>
      </w:r>
      <w:r>
        <w:rPr>
          <w:sz w:val="18"/>
        </w:rPr>
        <w:t>指双肾功能慢性不可逆性衰竭</w:t>
      </w:r>
      <w:r>
        <w:rPr>
          <w:spacing w:val="-11"/>
          <w:sz w:val="18"/>
        </w:rPr>
        <w:t>，</w:t>
      </w:r>
      <w:r>
        <w:rPr>
          <w:sz w:val="18"/>
        </w:rPr>
        <w:t>达到尿毒症期</w:t>
      </w:r>
      <w:r>
        <w:rPr>
          <w:spacing w:val="-11"/>
          <w:sz w:val="18"/>
        </w:rPr>
        <w:t>，</w:t>
      </w:r>
      <w:r>
        <w:rPr>
          <w:sz w:val="18"/>
        </w:rPr>
        <w:t>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20" w:hanging="2436"/>
        <w:jc w:val="both"/>
        <w:rPr>
          <w:sz w:val="18"/>
        </w:rPr>
      </w:pPr>
      <w:r>
        <w:rPr>
          <w:b/>
          <w:sz w:val="18"/>
        </w:rPr>
        <w:t>多个肢体缺失</w:t>
        <w:tab/>
      </w:r>
      <w:r>
        <w:rPr>
          <w:sz w:val="18"/>
        </w:rPr>
        <w:t>指因疾病或意外伤害导致两个或两个以上肢体自腕关节或踝关节近端（靠近躯干端）以 上完全性断离。</w:t>
      </w:r>
    </w:p>
    <w:p>
      <w:pPr>
        <w:pStyle w:val="BodyText"/>
        <w:spacing w:before="3"/>
        <w:rPr>
          <w:sz w:val="25"/>
        </w:rPr>
      </w:pPr>
    </w:p>
    <w:p>
      <w:pPr>
        <w:pStyle w:val="ListParagraph"/>
        <w:numPr>
          <w:ilvl w:val="0"/>
          <w:numId w:val="23"/>
        </w:numPr>
        <w:tabs>
          <w:tab w:pos="600" w:val="left" w:leader="none"/>
        </w:tabs>
        <w:spacing w:line="316" w:lineRule="auto" w:before="0" w:after="0"/>
        <w:ind w:left="2675" w:right="220" w:hanging="2436"/>
        <w:jc w:val="both"/>
        <w:rPr>
          <w:sz w:val="18"/>
        </w:rPr>
      </w:pPr>
      <w:r>
        <w:rPr>
          <w:b/>
          <w:spacing w:val="2"/>
          <w:sz w:val="18"/>
        </w:rPr>
        <w:t>急性或亚急性重症肝炎  </w:t>
      </w:r>
      <w:r>
        <w:rPr>
          <w:sz w:val="18"/>
        </w:rPr>
        <w:t>指因肝炎病毒感染引起肝脏组织弥漫性坏死，导致急性肝功能衰竭，且经血清学或病毒学检查证实，并须满足下列全部条件：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重度黄疸或黄疸迅速加重；</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肝性脑病；</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B</w:t>
      </w:r>
      <w:r>
        <w:rPr>
          <w:spacing w:val="-7"/>
          <w:sz w:val="18"/>
        </w:rPr>
        <w:t> 超或其它影像学检查显示肝脏体积急速萎缩；</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肝功能指标进行性恶化。</w:t>
      </w:r>
    </w:p>
    <w:p>
      <w:pPr>
        <w:pStyle w:val="BodyText"/>
        <w:spacing w:before="0"/>
      </w:pPr>
    </w:p>
    <w:p>
      <w:pPr>
        <w:pStyle w:val="ListParagraph"/>
        <w:numPr>
          <w:ilvl w:val="0"/>
          <w:numId w:val="23"/>
        </w:numPr>
        <w:tabs>
          <w:tab w:pos="600" w:val="left" w:leader="none"/>
          <w:tab w:pos="2675" w:val="left" w:leader="none"/>
        </w:tabs>
        <w:spacing w:line="316" w:lineRule="auto" w:before="153" w:after="0"/>
        <w:ind w:left="2675" w:right="220" w:hanging="2436"/>
        <w:jc w:val="both"/>
        <w:rPr>
          <w:sz w:val="18"/>
        </w:rPr>
      </w:pPr>
      <w:r>
        <w:rPr>
          <w:b/>
          <w:sz w:val="18"/>
        </w:rPr>
        <w:t>良性脑肿瘤</w:t>
        <w:tab/>
      </w:r>
      <w:r>
        <w:rPr>
          <w:sz w:val="18"/>
        </w:rPr>
        <w:t>指脑的良性肿瘤，已经引起颅内压增高，临床表现为视神经乳头水肿、精神症状、癫痫 </w:t>
      </w:r>
      <w:r>
        <w:rPr>
          <w:spacing w:val="1"/>
          <w:sz w:val="18"/>
        </w:rPr>
        <w:t>及运</w:t>
      </w:r>
      <w:r>
        <w:rPr>
          <w:spacing w:val="0"/>
          <w:sz w:val="18"/>
        </w:rPr>
        <w:t>动</w:t>
      </w:r>
      <w:r>
        <w:rPr>
          <w:spacing w:val="1"/>
          <w:sz w:val="18"/>
        </w:rPr>
        <w:t>感</w:t>
      </w:r>
      <w:r>
        <w:rPr>
          <w:spacing w:val="0"/>
          <w:sz w:val="18"/>
        </w:rPr>
        <w:t>觉障</w:t>
      </w:r>
      <w:r>
        <w:rPr>
          <w:spacing w:val="1"/>
          <w:sz w:val="18"/>
        </w:rPr>
        <w:t>碍等</w:t>
      </w:r>
      <w:r>
        <w:rPr>
          <w:spacing w:val="0"/>
          <w:sz w:val="18"/>
        </w:rPr>
        <w:t>，</w:t>
      </w:r>
      <w:r>
        <w:rPr>
          <w:spacing w:val="1"/>
          <w:sz w:val="18"/>
        </w:rPr>
        <w:t>并</w:t>
      </w:r>
      <w:r>
        <w:rPr>
          <w:spacing w:val="0"/>
          <w:sz w:val="18"/>
        </w:rPr>
        <w:t>危及</w:t>
      </w:r>
      <w:r>
        <w:rPr>
          <w:spacing w:val="1"/>
          <w:sz w:val="18"/>
        </w:rPr>
        <w:t>生命</w:t>
      </w:r>
      <w:r>
        <w:rPr>
          <w:spacing w:val="0"/>
          <w:sz w:val="18"/>
        </w:rPr>
        <w:t>。</w:t>
      </w:r>
      <w:r>
        <w:rPr>
          <w:spacing w:val="1"/>
          <w:sz w:val="18"/>
        </w:rPr>
        <w:t>须</w:t>
      </w:r>
      <w:r>
        <w:rPr>
          <w:spacing w:val="0"/>
          <w:sz w:val="18"/>
        </w:rPr>
        <w:t>由头</w:t>
      </w:r>
      <w:r>
        <w:rPr>
          <w:spacing w:val="1"/>
          <w:sz w:val="18"/>
        </w:rPr>
        <w:t>颅断</w:t>
      </w:r>
      <w:r>
        <w:rPr>
          <w:spacing w:val="0"/>
          <w:sz w:val="18"/>
        </w:rPr>
        <w:t>层</w:t>
      </w:r>
      <w:r>
        <w:rPr>
          <w:spacing w:val="1"/>
          <w:sz w:val="18"/>
        </w:rPr>
        <w:t>扫</w:t>
      </w:r>
      <w:r>
        <w:rPr>
          <w:spacing w:val="0"/>
          <w:sz w:val="18"/>
        </w:rPr>
        <w:t>描</w:t>
      </w:r>
      <w:r>
        <w:rPr>
          <w:spacing w:val="1"/>
          <w:sz w:val="18"/>
        </w:rPr>
        <w:t>（</w:t>
      </w:r>
      <w:r>
        <w:rPr>
          <w:spacing w:val="-2"/>
          <w:sz w:val="18"/>
        </w:rPr>
        <w:t>C</w:t>
      </w:r>
      <w:r>
        <w:rPr>
          <w:spacing w:val="1"/>
          <w:sz w:val="18"/>
        </w:rPr>
        <w:t>T</w:t>
      </w:r>
      <w:r>
        <w:rPr>
          <w:spacing w:val="-88"/>
          <w:sz w:val="18"/>
        </w:rPr>
        <w:t>）</w:t>
      </w:r>
      <w:r>
        <w:rPr>
          <w:spacing w:val="0"/>
          <w:sz w:val="18"/>
        </w:rPr>
        <w:t>、</w:t>
      </w:r>
      <w:r>
        <w:rPr>
          <w:spacing w:val="1"/>
          <w:sz w:val="18"/>
        </w:rPr>
        <w:t>核</w:t>
      </w:r>
      <w:r>
        <w:rPr>
          <w:spacing w:val="0"/>
          <w:sz w:val="18"/>
        </w:rPr>
        <w:t>磁</w:t>
      </w:r>
      <w:r>
        <w:rPr>
          <w:spacing w:val="1"/>
          <w:sz w:val="18"/>
        </w:rPr>
        <w:t>共</w:t>
      </w:r>
      <w:r>
        <w:rPr>
          <w:spacing w:val="0"/>
          <w:sz w:val="18"/>
        </w:rPr>
        <w:t>振</w:t>
      </w:r>
      <w:r>
        <w:rPr>
          <w:spacing w:val="1"/>
          <w:sz w:val="18"/>
        </w:rPr>
        <w:t>检查（</w:t>
      </w:r>
      <w:r>
        <w:rPr>
          <w:sz w:val="18"/>
        </w:rPr>
        <w:t>M</w:t>
      </w:r>
      <w:r>
        <w:rPr>
          <w:spacing w:val="-2"/>
          <w:sz w:val="18"/>
        </w:rPr>
        <w:t>R</w:t>
      </w:r>
      <w:r>
        <w:rPr>
          <w:spacing w:val="1"/>
          <w:sz w:val="18"/>
        </w:rPr>
        <w:t>I</w:t>
      </w:r>
      <w:r>
        <w:rPr>
          <w:spacing w:val="0"/>
          <w:sz w:val="18"/>
        </w:rPr>
        <w:t>）或</w:t>
      </w:r>
      <w:r>
        <w:rPr>
          <w:sz w:val="18"/>
        </w:rPr>
        <w:t>正电子发射断层扫描（PET）等影像学检查证实，并须满足下列至少一项条件：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实际实施了开颅进行的脑肿瘤完全切除或部分切除的手术；</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实际实施了对脑肿瘤进行的放射治疗。</w:t>
      </w:r>
    </w:p>
    <w:p>
      <w:pPr>
        <w:pStyle w:val="BodyText"/>
        <w:ind w:left="2675"/>
      </w:pPr>
      <w:r>
        <w:rPr>
          <w:shd w:fill="D9D9D9" w:color="auto" w:val="clear"/>
        </w:rPr>
        <w:t>脑垂体瘤、脑囊肿、脑血管性疾病不在保障范围内</w:t>
      </w:r>
      <w:r>
        <w:rPr/>
        <w:t>。</w:t>
      </w:r>
    </w:p>
    <w:p>
      <w:pPr>
        <w:spacing w:after="0"/>
        <w:sectPr>
          <w:type w:val="continuous"/>
          <w:pgSz w:w="11910" w:h="16840"/>
          <w:pgMar w:top="1040" w:bottom="1180" w:left="1160" w:right="940"/>
        </w:sectPr>
      </w:pPr>
    </w:p>
    <w:p>
      <w:pPr>
        <w:pStyle w:val="BodyText"/>
        <w:spacing w:before="3"/>
        <w:rPr>
          <w:sz w:val="20"/>
        </w:rPr>
      </w:pPr>
    </w:p>
    <w:p>
      <w:pPr>
        <w:spacing w:after="0"/>
        <w:rPr>
          <w:sz w:val="20"/>
        </w:rPr>
        <w:sectPr>
          <w:pgSz w:w="11910" w:h="16840"/>
          <w:pgMar w:header="877" w:footer="981" w:top="1100" w:bottom="1180" w:left="1160" w:right="940"/>
        </w:sectPr>
      </w:pPr>
    </w:p>
    <w:p>
      <w:pPr>
        <w:pStyle w:val="Heading3"/>
        <w:numPr>
          <w:ilvl w:val="0"/>
          <w:numId w:val="23"/>
        </w:numPr>
        <w:tabs>
          <w:tab w:pos="600" w:val="left" w:leader="none"/>
        </w:tabs>
        <w:spacing w:line="316" w:lineRule="auto" w:before="44" w:after="0"/>
        <w:ind w:left="599" w:right="0" w:hanging="360"/>
        <w:jc w:val="left"/>
      </w:pPr>
      <w:r>
        <w:rPr>
          <w:spacing w:val="5"/>
        </w:rPr>
        <w:t>慢性肝功能衰竭失代偿</w:t>
      </w:r>
      <w:r>
        <w:rPr/>
        <w:t>期</w:t>
      </w:r>
    </w:p>
    <w:p>
      <w:pPr>
        <w:pStyle w:val="BodyText"/>
        <w:spacing w:before="44"/>
        <w:ind w:left="168"/>
      </w:pPr>
      <w:r>
        <w:rPr/>
        <w:br w:type="column"/>
      </w:r>
      <w:r>
        <w:rPr/>
        <w:t>指因慢性肝脏疾病导致肝功能衰竭。须满足下列全部条件：</w:t>
      </w:r>
    </w:p>
    <w:p>
      <w:pPr>
        <w:pStyle w:val="ListParagraph"/>
        <w:numPr>
          <w:ilvl w:val="0"/>
          <w:numId w:val="25"/>
        </w:numPr>
        <w:tabs>
          <w:tab w:pos="589" w:val="left" w:leader="none"/>
        </w:tabs>
        <w:spacing w:line="240" w:lineRule="auto" w:before="76" w:after="0"/>
        <w:ind w:left="168" w:right="0" w:firstLine="0"/>
        <w:jc w:val="left"/>
        <w:rPr>
          <w:sz w:val="18"/>
        </w:rPr>
      </w:pPr>
      <w:r>
        <w:rPr>
          <w:sz w:val="18"/>
        </w:rPr>
        <w:t>持续性黄疸；</w:t>
      </w:r>
    </w:p>
    <w:p>
      <w:pPr>
        <w:pStyle w:val="ListParagraph"/>
        <w:numPr>
          <w:ilvl w:val="0"/>
          <w:numId w:val="25"/>
        </w:numPr>
        <w:tabs>
          <w:tab w:pos="589" w:val="left" w:leader="none"/>
        </w:tabs>
        <w:spacing w:line="240" w:lineRule="auto" w:before="76" w:after="0"/>
        <w:ind w:left="168" w:right="0" w:firstLine="0"/>
        <w:jc w:val="left"/>
        <w:rPr>
          <w:sz w:val="18"/>
        </w:rPr>
      </w:pPr>
      <w:r>
        <w:rPr>
          <w:sz w:val="18"/>
        </w:rPr>
        <w:t>腹水；</w:t>
      </w:r>
    </w:p>
    <w:p>
      <w:pPr>
        <w:pStyle w:val="ListParagraph"/>
        <w:numPr>
          <w:ilvl w:val="0"/>
          <w:numId w:val="25"/>
        </w:numPr>
        <w:tabs>
          <w:tab w:pos="589" w:val="left" w:leader="none"/>
        </w:tabs>
        <w:spacing w:line="240" w:lineRule="auto" w:before="76" w:after="0"/>
        <w:ind w:left="168" w:right="0" w:firstLine="0"/>
        <w:jc w:val="left"/>
        <w:rPr>
          <w:sz w:val="18"/>
        </w:rPr>
      </w:pPr>
      <w:r>
        <w:rPr>
          <w:sz w:val="18"/>
        </w:rPr>
        <w:t>肝性脑病；</w:t>
      </w:r>
    </w:p>
    <w:p>
      <w:pPr>
        <w:pStyle w:val="ListParagraph"/>
        <w:numPr>
          <w:ilvl w:val="0"/>
          <w:numId w:val="25"/>
        </w:numPr>
        <w:tabs>
          <w:tab w:pos="589" w:val="left" w:leader="none"/>
        </w:tabs>
        <w:spacing w:line="316" w:lineRule="auto" w:before="76" w:after="0"/>
        <w:ind w:left="168" w:right="2747" w:firstLine="0"/>
        <w:jc w:val="left"/>
        <w:rPr>
          <w:sz w:val="18"/>
        </w:rPr>
      </w:pPr>
      <w:r>
        <w:rPr>
          <w:sz w:val="18"/>
        </w:rPr>
        <w:t>充血性脾肿大伴脾功能亢进或食管胃底静脉曲张。</w:t>
      </w:r>
      <w:r>
        <w:rPr>
          <w:sz w:val="18"/>
          <w:shd w:fill="D9D9D9" w:color="auto" w:val="clear"/>
        </w:rPr>
        <w:t>因酗酒或药物滥用导致的肝功能衰竭不在保障范围内</w:t>
      </w:r>
      <w:r>
        <w:rPr>
          <w:sz w:val="18"/>
        </w:rPr>
        <w:t>。</w:t>
      </w:r>
    </w:p>
    <w:p>
      <w:pPr>
        <w:spacing w:after="0" w:line="316" w:lineRule="auto"/>
        <w:jc w:val="left"/>
        <w:rPr>
          <w:sz w:val="18"/>
        </w:rPr>
        <w:sectPr>
          <w:type w:val="continuous"/>
          <w:pgSz w:w="11910" w:h="16840"/>
          <w:pgMar w:top="1040" w:bottom="1180" w:left="1160" w:right="940"/>
          <w:cols w:num="2" w:equalWidth="0">
            <w:col w:w="2467" w:space="40"/>
            <w:col w:w="7303"/>
          </w:cols>
        </w:sectPr>
      </w:pPr>
    </w:p>
    <w:p>
      <w:pPr>
        <w:pStyle w:val="BodyText"/>
        <w:spacing w:before="10"/>
        <w:rPr>
          <w:sz w:val="21"/>
        </w:rPr>
      </w:pPr>
    </w:p>
    <w:p>
      <w:pPr>
        <w:spacing w:after="0"/>
        <w:rPr>
          <w:sz w:val="21"/>
        </w:rPr>
        <w:sectPr>
          <w:type w:val="continuous"/>
          <w:pgSz w:w="11910" w:h="16840"/>
          <w:pgMar w:top="1040" w:bottom="1180" w:left="1160" w:right="940"/>
        </w:sectPr>
      </w:pPr>
    </w:p>
    <w:p>
      <w:pPr>
        <w:pStyle w:val="Heading3"/>
        <w:numPr>
          <w:ilvl w:val="0"/>
          <w:numId w:val="23"/>
        </w:numPr>
        <w:tabs>
          <w:tab w:pos="600" w:val="left" w:leader="none"/>
        </w:tabs>
        <w:spacing w:line="316" w:lineRule="auto" w:before="45" w:after="0"/>
        <w:ind w:left="599" w:right="0" w:hanging="360"/>
        <w:jc w:val="left"/>
      </w:pPr>
      <w:r>
        <w:rPr>
          <w:spacing w:val="5"/>
        </w:rPr>
        <w:t>脑炎后遗症或脑膜炎后</w:t>
      </w:r>
      <w:r>
        <w:rPr/>
        <w:t>遗症</w:t>
      </w:r>
    </w:p>
    <w:p>
      <w:pPr>
        <w:pStyle w:val="BodyText"/>
        <w:spacing w:line="316" w:lineRule="auto" w:before="45"/>
        <w:ind w:left="168" w:right="220"/>
      </w:pPr>
      <w:r>
        <w:rPr/>
        <w:br w:type="column"/>
      </w:r>
      <w:r>
        <w:rPr/>
        <w:t>指因患脑炎或脑膜炎导致的神经系统永久性的功能障碍。神经系统永久性的功能障碍， 指疾病确诊 180 天后，仍遗留下列一种或一种以上障碍：</w:t>
      </w:r>
    </w:p>
    <w:p>
      <w:pPr>
        <w:pStyle w:val="ListParagraph"/>
        <w:numPr>
          <w:ilvl w:val="0"/>
          <w:numId w:val="26"/>
        </w:numPr>
        <w:tabs>
          <w:tab w:pos="589" w:val="left" w:leader="none"/>
        </w:tabs>
        <w:spacing w:line="240" w:lineRule="auto" w:before="18" w:after="0"/>
        <w:ind w:left="588" w:right="0" w:hanging="420"/>
        <w:jc w:val="left"/>
        <w:rPr>
          <w:sz w:val="18"/>
        </w:rPr>
      </w:pPr>
      <w:r>
        <w:rPr>
          <w:sz w:val="18"/>
        </w:rPr>
        <w:t>一肢或一肢以上肢体机能完全丧失；</w:t>
      </w:r>
    </w:p>
    <w:p>
      <w:pPr>
        <w:pStyle w:val="ListParagraph"/>
        <w:numPr>
          <w:ilvl w:val="0"/>
          <w:numId w:val="26"/>
        </w:numPr>
        <w:tabs>
          <w:tab w:pos="589" w:val="left" w:leader="none"/>
        </w:tabs>
        <w:spacing w:line="240" w:lineRule="auto" w:before="76" w:after="0"/>
        <w:ind w:left="588" w:right="0" w:hanging="420"/>
        <w:jc w:val="left"/>
        <w:rPr>
          <w:sz w:val="18"/>
        </w:rPr>
      </w:pPr>
      <w:r>
        <w:rPr>
          <w:sz w:val="18"/>
        </w:rPr>
        <w:t>语言能力或咀嚼吞咽能力完全丧失；</w:t>
      </w:r>
    </w:p>
    <w:p>
      <w:pPr>
        <w:pStyle w:val="ListParagraph"/>
        <w:numPr>
          <w:ilvl w:val="0"/>
          <w:numId w:val="26"/>
        </w:numPr>
        <w:tabs>
          <w:tab w:pos="589" w:val="left" w:leader="none"/>
        </w:tabs>
        <w:spacing w:line="240" w:lineRule="auto" w:before="76" w:after="0"/>
        <w:ind w:left="588" w:right="0" w:hanging="420"/>
        <w:jc w:val="left"/>
        <w:rPr>
          <w:sz w:val="18"/>
        </w:rPr>
      </w:pPr>
      <w:r>
        <w:rPr>
          <w:spacing w:val="-9"/>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160" w:right="940"/>
          <w:cols w:num="2" w:equalWidth="0">
            <w:col w:w="2467" w:space="40"/>
            <w:col w:w="7303"/>
          </w:cols>
        </w:sectPr>
      </w:pPr>
    </w:p>
    <w:p>
      <w:pPr>
        <w:pStyle w:val="BodyText"/>
        <w:spacing w:before="3"/>
        <w:rPr>
          <w:sz w:val="26"/>
        </w:rPr>
      </w:pPr>
    </w:p>
    <w:p>
      <w:pPr>
        <w:pStyle w:val="ListParagraph"/>
        <w:numPr>
          <w:ilvl w:val="0"/>
          <w:numId w:val="23"/>
        </w:numPr>
        <w:tabs>
          <w:tab w:pos="600" w:val="left" w:leader="none"/>
          <w:tab w:pos="2675" w:val="left" w:leader="none"/>
        </w:tabs>
        <w:spacing w:line="316" w:lineRule="auto" w:before="44" w:after="0"/>
        <w:ind w:left="2675" w:right="218" w:hanging="2436"/>
        <w:jc w:val="both"/>
        <w:rPr>
          <w:sz w:val="18"/>
        </w:rPr>
      </w:pPr>
      <w:r>
        <w:rPr>
          <w:b/>
          <w:sz w:val="18"/>
        </w:rPr>
        <w:t>深度昏迷</w:t>
        <w:tab/>
      </w:r>
      <w:r>
        <w:rPr>
          <w:sz w:val="18"/>
        </w:rPr>
        <w:t>指因疾病或意外伤害导致意识丧失，对外界刺激和体内需求均无反应，昏迷程度按照格 拉斯哥昏迷分级（Glasgow coma scale）结果为</w:t>
      </w:r>
      <w:r>
        <w:rPr>
          <w:spacing w:val="-28"/>
          <w:sz w:val="18"/>
        </w:rPr>
        <w:t> </w:t>
      </w:r>
      <w:r>
        <w:rPr>
          <w:sz w:val="18"/>
        </w:rPr>
        <w:t>5</w:t>
      </w:r>
      <w:r>
        <w:rPr>
          <w:spacing w:val="-28"/>
          <w:sz w:val="18"/>
        </w:rPr>
        <w:t> </w:t>
      </w:r>
      <w:r>
        <w:rPr>
          <w:sz w:val="18"/>
        </w:rPr>
        <w:t>分或</w:t>
      </w:r>
      <w:r>
        <w:rPr>
          <w:spacing w:val="-28"/>
          <w:sz w:val="18"/>
        </w:rPr>
        <w:t> </w:t>
      </w:r>
      <w:r>
        <w:rPr>
          <w:sz w:val="18"/>
        </w:rPr>
        <w:t>5</w:t>
      </w:r>
      <w:r>
        <w:rPr>
          <w:spacing w:val="-29"/>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675"/>
      </w:pPr>
      <w:r>
        <w:rPr>
          <w:shd w:fill="D9D9D9" w:color="auto" w:val="clear"/>
        </w:rPr>
        <w:t>因酗酒或药物滥用导致的深度昏迷不在保障范围内</w:t>
      </w:r>
      <w:r>
        <w:rPr/>
        <w:t>。</w:t>
      </w:r>
    </w:p>
    <w:p>
      <w:pPr>
        <w:pStyle w:val="BodyText"/>
        <w:spacing w:before="0"/>
      </w:pPr>
    </w:p>
    <w:p>
      <w:pPr>
        <w:pStyle w:val="ListParagraph"/>
        <w:numPr>
          <w:ilvl w:val="0"/>
          <w:numId w:val="23"/>
        </w:numPr>
        <w:tabs>
          <w:tab w:pos="600" w:val="left" w:leader="none"/>
          <w:tab w:pos="2675" w:val="left" w:leader="none"/>
        </w:tabs>
        <w:spacing w:line="316" w:lineRule="auto" w:before="152" w:after="0"/>
        <w:ind w:left="2675" w:right="218" w:hanging="2436"/>
        <w:jc w:val="both"/>
        <w:rPr>
          <w:sz w:val="18"/>
        </w:rPr>
      </w:pPr>
      <w:r>
        <w:rPr>
          <w:b/>
          <w:sz w:val="18"/>
        </w:rPr>
        <w:t>双耳失聪</w:t>
        <w:tab/>
      </w:r>
      <w:r>
        <w:rPr>
          <w:sz w:val="18"/>
        </w:rPr>
        <w:t>指因疾病或意外伤害导致双耳听力永久不可逆性丧失</w:t>
      </w:r>
      <w:r>
        <w:rPr>
          <w:spacing w:val="-34"/>
          <w:sz w:val="18"/>
        </w:rPr>
        <w:t>，</w:t>
      </w:r>
      <w:r>
        <w:rPr>
          <w:sz w:val="18"/>
        </w:rPr>
        <w:t>在</w:t>
      </w:r>
      <w:r>
        <w:rPr>
          <w:spacing w:val="-46"/>
          <w:sz w:val="18"/>
        </w:rPr>
        <w:t> </w:t>
      </w:r>
      <w:r>
        <w:rPr>
          <w:sz w:val="18"/>
        </w:rPr>
        <w:t>500</w:t>
      </w:r>
      <w:r>
        <w:rPr>
          <w:spacing w:val="-46"/>
          <w:sz w:val="18"/>
        </w:rPr>
        <w:t> </w:t>
      </w:r>
      <w:r>
        <w:rPr>
          <w:sz w:val="18"/>
        </w:rPr>
        <w:t>赫兹</w:t>
      </w:r>
      <w:r>
        <w:rPr>
          <w:spacing w:val="-33"/>
          <w:sz w:val="18"/>
        </w:rPr>
        <w:t>、</w:t>
      </w:r>
      <w:r>
        <w:rPr>
          <w:sz w:val="18"/>
        </w:rPr>
        <w:t>1000</w:t>
      </w:r>
      <w:r>
        <w:rPr>
          <w:spacing w:val="-46"/>
          <w:sz w:val="18"/>
        </w:rPr>
        <w:t> </w:t>
      </w:r>
      <w:r>
        <w:rPr>
          <w:sz w:val="18"/>
        </w:rPr>
        <w:t>赫兹和</w:t>
      </w:r>
      <w:r>
        <w:rPr>
          <w:spacing w:val="-46"/>
          <w:sz w:val="18"/>
        </w:rPr>
        <w:t> </w:t>
      </w:r>
      <w:r>
        <w:rPr>
          <w:sz w:val="18"/>
        </w:rPr>
        <w:t>2000</w:t>
      </w:r>
      <w:r>
        <w:rPr>
          <w:spacing w:val="-45"/>
          <w:sz w:val="18"/>
        </w:rPr>
        <w:t> </w:t>
      </w:r>
      <w:r>
        <w:rPr>
          <w:sz w:val="18"/>
        </w:rPr>
        <w:t>赫兹语音频率下</w:t>
      </w:r>
      <w:r>
        <w:rPr>
          <w:spacing w:val="-8"/>
          <w:sz w:val="18"/>
        </w:rPr>
        <w:t>，</w:t>
      </w:r>
      <w:r>
        <w:rPr>
          <w:sz w:val="18"/>
        </w:rPr>
        <w:t>平均听阈大于</w:t>
      </w:r>
      <w:r>
        <w:rPr>
          <w:spacing w:val="-46"/>
          <w:sz w:val="18"/>
        </w:rPr>
        <w:t> </w:t>
      </w:r>
      <w:r>
        <w:rPr>
          <w:sz w:val="18"/>
        </w:rPr>
        <w:t>90</w:t>
      </w:r>
      <w:r>
        <w:rPr>
          <w:spacing w:val="-46"/>
          <w:sz w:val="18"/>
        </w:rPr>
        <w:t> </w:t>
      </w:r>
      <w:r>
        <w:rPr>
          <w:sz w:val="18"/>
        </w:rPr>
        <w:t>分贝</w:t>
      </w:r>
      <w:r>
        <w:rPr>
          <w:spacing w:val="-8"/>
          <w:sz w:val="18"/>
        </w:rPr>
        <w:t>，</w:t>
      </w:r>
      <w:r>
        <w:rPr>
          <w:sz w:val="18"/>
        </w:rPr>
        <w:t>且经纯音听力测试</w:t>
      </w:r>
      <w:r>
        <w:rPr>
          <w:spacing w:val="-8"/>
          <w:sz w:val="18"/>
        </w:rPr>
        <w:t>、</w:t>
      </w:r>
      <w:r>
        <w:rPr>
          <w:sz w:val="18"/>
        </w:rPr>
        <w:t>声导抗检测或听觉诱发电位检测等证实。</w:t>
      </w:r>
    </w:p>
    <w:p>
      <w:pPr>
        <w:pStyle w:val="BodyText"/>
        <w:spacing w:line="316" w:lineRule="auto" w:before="18"/>
        <w:ind w:left="2675" w:right="171"/>
      </w:pPr>
      <w:r>
        <w:rPr/>
        <w:t>被保险人申请理赔时年龄必须在 3 周岁以上，并且提供理赔当时的听力丧失诊断及检查证据。</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20" w:hanging="2436"/>
        <w:jc w:val="both"/>
        <w:rPr>
          <w:sz w:val="18"/>
        </w:rPr>
      </w:pPr>
      <w:r>
        <w:rPr>
          <w:b/>
          <w:sz w:val="18"/>
        </w:rPr>
        <w:t>双目失明</w:t>
        <w:tab/>
      </w:r>
      <w:r>
        <w:rPr>
          <w:sz w:val="18"/>
        </w:rPr>
        <w:t>指因疾病或意外伤害导致双眼视力永久不可逆性丧失，双眼中较好眼须满足下列至少一 项条件：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眼球缺失或摘除；</w:t>
      </w:r>
    </w:p>
    <w:p>
      <w:pPr>
        <w:pStyle w:val="ListParagraph"/>
        <w:numPr>
          <w:ilvl w:val="1"/>
          <w:numId w:val="23"/>
        </w:numPr>
        <w:tabs>
          <w:tab w:pos="3096" w:val="left" w:leader="none"/>
        </w:tabs>
        <w:spacing w:line="240" w:lineRule="auto" w:before="76" w:after="0"/>
        <w:ind w:left="3095" w:right="0" w:hanging="42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23"/>
        </w:numPr>
        <w:tabs>
          <w:tab w:pos="3096" w:val="left" w:leader="none"/>
        </w:tabs>
        <w:spacing w:line="240" w:lineRule="auto" w:before="76" w:after="0"/>
        <w:ind w:left="3095" w:right="0" w:hanging="420"/>
        <w:jc w:val="left"/>
        <w:rPr>
          <w:sz w:val="18"/>
        </w:rPr>
      </w:pPr>
      <w:r>
        <w:rPr>
          <w:spacing w:val="-7"/>
          <w:sz w:val="18"/>
        </w:rPr>
        <w:t>视野半径小于 </w:t>
      </w:r>
      <w:r>
        <w:rPr>
          <w:sz w:val="18"/>
        </w:rPr>
        <w:t>5</w:t>
      </w:r>
      <w:r>
        <w:rPr>
          <w:spacing w:val="-16"/>
          <w:sz w:val="18"/>
        </w:rPr>
        <w:t> 度。</w:t>
      </w:r>
    </w:p>
    <w:p>
      <w:pPr>
        <w:pStyle w:val="BodyText"/>
        <w:spacing w:line="316" w:lineRule="auto"/>
        <w:ind w:left="2675" w:right="218"/>
      </w:pPr>
      <w:r>
        <w:rPr>
          <w:spacing w:val="-4"/>
        </w:rPr>
        <w:t>被保险人申请理赔时年龄必须在 </w:t>
      </w:r>
      <w:r>
        <w:rPr/>
        <w:t>3</w:t>
      </w:r>
      <w:r>
        <w:rPr>
          <w:spacing w:val="-12"/>
        </w:rPr>
        <w:t> 周岁以上</w:t>
      </w:r>
      <w:r>
        <w:rPr/>
        <w:t>（眼球缺失或摘除的不受此限</w:t>
      </w:r>
      <w:r>
        <w:rPr>
          <w:spacing w:val="-91"/>
        </w:rPr>
        <w:t>）</w:t>
      </w:r>
      <w:r>
        <w:rPr>
          <w:spacing w:val="-3"/>
        </w:rPr>
        <w:t>，并且提供理赔当时的视力丧失诊断及检查证据。</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17" w:hanging="2436"/>
        <w:jc w:val="both"/>
        <w:rPr>
          <w:sz w:val="18"/>
        </w:rPr>
      </w:pPr>
      <w:r>
        <w:rPr>
          <w:b/>
          <w:sz w:val="18"/>
        </w:rPr>
        <w:t>瘫痪</w:t>
        <w:tab/>
      </w:r>
      <w:r>
        <w:rPr>
          <w:sz w:val="18"/>
        </w:rPr>
        <w:t>指因疾病或意外伤害导致两肢或两肢以上肢体机能永久完全丧失。肢体机能永久完全丧 失，指疾病确诊</w:t>
      </w:r>
      <w:r>
        <w:rPr>
          <w:spacing w:val="-28"/>
          <w:sz w:val="18"/>
        </w:rPr>
        <w:t> </w:t>
      </w:r>
      <w:r>
        <w:rPr>
          <w:sz w:val="18"/>
        </w:rPr>
        <w:t>180</w:t>
      </w:r>
      <w:r>
        <w:rPr>
          <w:spacing w:val="-28"/>
          <w:sz w:val="18"/>
        </w:rPr>
        <w:t> </w:t>
      </w:r>
      <w:r>
        <w:rPr>
          <w:sz w:val="18"/>
        </w:rPr>
        <w:t>天后或意外伤害发生</w:t>
      </w:r>
      <w:r>
        <w:rPr>
          <w:spacing w:val="-28"/>
          <w:sz w:val="18"/>
        </w:rPr>
        <w:t> </w:t>
      </w:r>
      <w:r>
        <w:rPr>
          <w:sz w:val="18"/>
        </w:rPr>
        <w:t>180</w:t>
      </w:r>
      <w:r>
        <w:rPr>
          <w:spacing w:val="-28"/>
          <w:sz w:val="18"/>
        </w:rPr>
        <w:t> </w:t>
      </w:r>
      <w:r>
        <w:rPr>
          <w:sz w:val="18"/>
        </w:rPr>
        <w:t>天后，每肢三大关节中的两大关节仍然完全僵硬，或不能随意识活动。</w:t>
      </w:r>
    </w:p>
    <w:p>
      <w:pPr>
        <w:pStyle w:val="BodyText"/>
        <w:spacing w:before="3"/>
        <w:rPr>
          <w:sz w:val="25"/>
        </w:rPr>
      </w:pPr>
    </w:p>
    <w:p>
      <w:pPr>
        <w:pStyle w:val="ListParagraph"/>
        <w:numPr>
          <w:ilvl w:val="0"/>
          <w:numId w:val="23"/>
        </w:numPr>
        <w:tabs>
          <w:tab w:pos="600" w:val="left" w:leader="none"/>
          <w:tab w:pos="2675" w:val="left" w:leader="none"/>
        </w:tabs>
        <w:spacing w:line="240" w:lineRule="auto" w:before="0" w:after="0"/>
        <w:ind w:left="599" w:right="0" w:hanging="360"/>
        <w:jc w:val="left"/>
        <w:rPr>
          <w:sz w:val="18"/>
        </w:rPr>
      </w:pPr>
      <w:r>
        <w:rPr>
          <w:b/>
          <w:sz w:val="18"/>
        </w:rPr>
        <w:t>心脏瓣膜手术</w:t>
        <w:tab/>
      </w:r>
      <w:r>
        <w:rPr>
          <w:sz w:val="18"/>
        </w:rPr>
        <w:t>指为治疗心脏瓣膜疾病，实际实施了开胸进行的心脏瓣膜置换或修复的手术。</w:t>
      </w:r>
    </w:p>
    <w:p>
      <w:pPr>
        <w:pStyle w:val="BodyText"/>
        <w:spacing w:before="0"/>
      </w:pPr>
    </w:p>
    <w:p>
      <w:pPr>
        <w:pStyle w:val="ListParagraph"/>
        <w:numPr>
          <w:ilvl w:val="0"/>
          <w:numId w:val="23"/>
        </w:numPr>
        <w:tabs>
          <w:tab w:pos="600" w:val="left" w:leader="none"/>
        </w:tabs>
        <w:spacing w:line="316" w:lineRule="auto" w:before="152" w:after="0"/>
        <w:ind w:left="2675" w:right="219" w:hanging="2436"/>
        <w:jc w:val="both"/>
        <w:rPr>
          <w:sz w:val="18"/>
        </w:rPr>
      </w:pPr>
      <w:r>
        <w:rPr>
          <w:b/>
          <w:spacing w:val="2"/>
          <w:sz w:val="18"/>
        </w:rPr>
        <w:t>严重阿尔茨海默病      </w:t>
      </w:r>
      <w:r>
        <w:rPr>
          <w:sz w:val="18"/>
        </w:rPr>
        <w:t>指因大脑进行性、不可逆性改变导致智能严重衰退或丧失，临床表现为明显的认知能力障碍、行为异常和社交能力减退，其日常生活必须持续受到他人监护。须由头颅断层扫</w:t>
      </w:r>
      <w:r>
        <w:rPr>
          <w:spacing w:val="-4"/>
          <w:sz w:val="18"/>
        </w:rPr>
        <w:t>描</w:t>
      </w:r>
      <w:r>
        <w:rPr>
          <w:sz w:val="18"/>
        </w:rPr>
        <w:t>（CT</w:t>
      </w:r>
      <w:r>
        <w:rPr>
          <w:spacing w:val="-90"/>
          <w:sz w:val="18"/>
        </w:rPr>
        <w:t>）</w:t>
      </w:r>
      <w:r>
        <w:rPr>
          <w:spacing w:val="-2"/>
          <w:sz w:val="18"/>
        </w:rPr>
        <w:t>、核磁共振检查</w:t>
      </w:r>
      <w:r>
        <w:rPr>
          <w:sz w:val="18"/>
        </w:rPr>
        <w:t>（MRI</w:t>
      </w:r>
      <w:r>
        <w:rPr>
          <w:spacing w:val="-3"/>
          <w:sz w:val="18"/>
        </w:rPr>
        <w:t>）</w:t>
      </w:r>
      <w:r>
        <w:rPr>
          <w:spacing w:val="-2"/>
          <w:sz w:val="18"/>
        </w:rPr>
        <w:t>或正电子发射断层扫描</w:t>
      </w:r>
      <w:r>
        <w:rPr>
          <w:sz w:val="18"/>
        </w:rPr>
        <w:t>（</w:t>
      </w:r>
      <w:r>
        <w:rPr>
          <w:spacing w:val="-2"/>
          <w:sz w:val="18"/>
        </w:rPr>
        <w:t>P</w:t>
      </w:r>
      <w:r>
        <w:rPr>
          <w:sz w:val="18"/>
        </w:rPr>
        <w:t>ET</w:t>
      </w:r>
      <w:r>
        <w:rPr>
          <w:spacing w:val="-3"/>
          <w:sz w:val="18"/>
        </w:rPr>
        <w:t>）</w:t>
      </w:r>
      <w:r>
        <w:rPr>
          <w:spacing w:val="-2"/>
          <w:sz w:val="18"/>
        </w:rPr>
        <w:t>等影像学检查证实，且自主生活能力完全丧失，无法独立完成六项基本日常生活活动中的三项或三项以上。</w:t>
      </w:r>
    </w:p>
    <w:p>
      <w:pPr>
        <w:pStyle w:val="BodyText"/>
        <w:spacing w:before="18"/>
        <w:ind w:left="2675"/>
      </w:pPr>
      <w:r>
        <w:rPr>
          <w:shd w:fill="D9D9D9" w:color="auto" w:val="clear"/>
        </w:rPr>
        <w:t>神经官能症和精神疾病不在保障范围内</w:t>
      </w:r>
      <w:r>
        <w:rPr/>
        <w:t>。</w:t>
      </w:r>
    </w:p>
    <w:p>
      <w:pPr>
        <w:pStyle w:val="BodyText"/>
        <w:spacing w:before="0"/>
      </w:pPr>
    </w:p>
    <w:p>
      <w:pPr>
        <w:pStyle w:val="ListParagraph"/>
        <w:numPr>
          <w:ilvl w:val="0"/>
          <w:numId w:val="23"/>
        </w:numPr>
        <w:tabs>
          <w:tab w:pos="600" w:val="left" w:leader="none"/>
          <w:tab w:pos="2675" w:val="left" w:leader="none"/>
        </w:tabs>
        <w:spacing w:line="240" w:lineRule="auto" w:before="152" w:after="0"/>
        <w:ind w:left="599" w:right="0" w:hanging="360"/>
        <w:jc w:val="left"/>
        <w:rPr>
          <w:sz w:val="18"/>
        </w:rPr>
      </w:pPr>
      <w:r>
        <w:rPr>
          <w:b/>
          <w:sz w:val="18"/>
        </w:rPr>
        <w:t>严重脑损伤</w:t>
        <w:tab/>
      </w:r>
      <w:r>
        <w:rPr>
          <w:sz w:val="18"/>
        </w:rPr>
        <w:t>指因头部遭受机械性外力，引起脑重要部位损伤，导致神经系统永久性的功能障碍。须</w:t>
      </w:r>
    </w:p>
    <w:p>
      <w:pPr>
        <w:spacing w:after="0" w:line="240" w:lineRule="auto"/>
        <w:jc w:val="left"/>
        <w:rPr>
          <w:sz w:val="18"/>
        </w:rPr>
        <w:sectPr>
          <w:type w:val="continuous"/>
          <w:pgSz w:w="11910" w:h="16840"/>
          <w:pgMar w:top="1040" w:bottom="1180" w:left="1160" w:right="940"/>
        </w:sectPr>
      </w:pPr>
    </w:p>
    <w:p>
      <w:pPr>
        <w:pStyle w:val="BodyText"/>
        <w:spacing w:before="3"/>
        <w:rPr>
          <w:sz w:val="20"/>
        </w:rPr>
      </w:pPr>
    </w:p>
    <w:p>
      <w:pPr>
        <w:pStyle w:val="BodyText"/>
        <w:spacing w:line="316" w:lineRule="auto" w:before="44"/>
        <w:ind w:left="2675" w:right="218"/>
        <w:jc w:val="both"/>
      </w:pPr>
      <w:r>
        <w:rPr>
          <w:spacing w:val="-1"/>
        </w:rPr>
        <w:t>由头颅断层扫描</w:t>
      </w:r>
      <w:r>
        <w:rPr/>
        <w:t>（CT</w:t>
      </w:r>
      <w:r>
        <w:rPr>
          <w:spacing w:val="-90"/>
        </w:rPr>
        <w:t>）</w:t>
      </w:r>
      <w:r>
        <w:rPr>
          <w:spacing w:val="-3"/>
        </w:rPr>
        <w:t>、核磁共振检查</w:t>
      </w:r>
      <w:r>
        <w:rPr/>
        <w:t>（MRI</w:t>
      </w:r>
      <w:r>
        <w:rPr>
          <w:spacing w:val="-4"/>
        </w:rPr>
        <w:t>）</w:t>
      </w:r>
      <w:r>
        <w:rPr>
          <w:spacing w:val="-1"/>
        </w:rPr>
        <w:t>或正电子发射断层扫描</w:t>
      </w:r>
      <w:r>
        <w:rPr/>
        <w:t>（PET</w:t>
      </w:r>
      <w:r>
        <w:rPr>
          <w:spacing w:val="-4"/>
        </w:rPr>
        <w:t>）</w:t>
      </w:r>
      <w:r>
        <w:rPr/>
        <w:t>等影像学检</w:t>
      </w:r>
      <w:r>
        <w:rPr>
          <w:spacing w:val="-1"/>
        </w:rPr>
        <w:t>查证实。神经系统永久性的功能障碍，指脑损伤 </w:t>
      </w:r>
      <w:r>
        <w:rPr/>
        <w:t>180</w:t>
      </w:r>
      <w:r>
        <w:rPr>
          <w:spacing w:val="-3"/>
        </w:rPr>
        <w:t> 天后，仍遗留下列一种或一种以上障碍：</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一肢或一肢以上肢体机能完全丧失；</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语言能力或咀嚼吞咽能力完全丧失；</w:t>
      </w:r>
    </w:p>
    <w:p>
      <w:pPr>
        <w:pStyle w:val="ListParagraph"/>
        <w:numPr>
          <w:ilvl w:val="1"/>
          <w:numId w:val="23"/>
        </w:numPr>
        <w:tabs>
          <w:tab w:pos="3096" w:val="left" w:leader="none"/>
        </w:tabs>
        <w:spacing w:line="240" w:lineRule="auto" w:before="76" w:after="0"/>
        <w:ind w:left="3095" w:right="0" w:hanging="420"/>
        <w:jc w:val="left"/>
        <w:rPr>
          <w:sz w:val="18"/>
        </w:rPr>
      </w:pPr>
      <w:r>
        <w:rPr>
          <w:spacing w:val="-9"/>
          <w:sz w:val="18"/>
        </w:rPr>
        <w:t>自主生活能力完全丧失，无法独立完成六项基本日常生活活动中的三项或三项以上。</w:t>
      </w:r>
    </w:p>
    <w:p>
      <w:pPr>
        <w:pStyle w:val="BodyText"/>
        <w:spacing w:before="0"/>
      </w:pPr>
    </w:p>
    <w:p>
      <w:pPr>
        <w:pStyle w:val="ListParagraph"/>
        <w:numPr>
          <w:ilvl w:val="0"/>
          <w:numId w:val="23"/>
        </w:numPr>
        <w:tabs>
          <w:tab w:pos="600" w:val="left" w:leader="none"/>
          <w:tab w:pos="2675" w:val="left" w:leader="none"/>
        </w:tabs>
        <w:spacing w:line="316" w:lineRule="auto" w:before="152" w:after="0"/>
        <w:ind w:left="2675" w:right="220" w:hanging="2436"/>
        <w:jc w:val="both"/>
        <w:rPr>
          <w:sz w:val="18"/>
        </w:rPr>
      </w:pPr>
      <w:r>
        <w:rPr>
          <w:b/>
          <w:sz w:val="18"/>
        </w:rPr>
        <w:t>严重帕金森病</w:t>
        <w:tab/>
      </w:r>
      <w:r>
        <w:rPr>
          <w:sz w:val="18"/>
        </w:rPr>
        <w:t>是一种中枢神经系统的退行性疾病，临床表现为震颤麻痹、共济失调等。须满足下列全 部条件：</w:t>
      </w:r>
    </w:p>
    <w:p>
      <w:pPr>
        <w:pStyle w:val="ListParagraph"/>
        <w:numPr>
          <w:ilvl w:val="1"/>
          <w:numId w:val="23"/>
        </w:numPr>
        <w:tabs>
          <w:tab w:pos="3096" w:val="left" w:leader="none"/>
        </w:tabs>
        <w:spacing w:line="240" w:lineRule="auto" w:before="18" w:after="0"/>
        <w:ind w:left="2675" w:right="0" w:firstLine="0"/>
        <w:jc w:val="left"/>
        <w:rPr>
          <w:sz w:val="18"/>
        </w:rPr>
      </w:pPr>
      <w:r>
        <w:rPr>
          <w:sz w:val="18"/>
        </w:rPr>
        <w:t>药物治疗无法控制病情；</w:t>
      </w:r>
    </w:p>
    <w:p>
      <w:pPr>
        <w:pStyle w:val="ListParagraph"/>
        <w:numPr>
          <w:ilvl w:val="1"/>
          <w:numId w:val="23"/>
        </w:numPr>
        <w:tabs>
          <w:tab w:pos="3096" w:val="left" w:leader="none"/>
        </w:tabs>
        <w:spacing w:line="316" w:lineRule="auto" w:before="76" w:after="0"/>
        <w:ind w:left="2675" w:right="128" w:firstLine="0"/>
        <w:jc w:val="left"/>
        <w:rPr>
          <w:sz w:val="18"/>
        </w:rPr>
      </w:pPr>
      <w:r>
        <w:rPr>
          <w:spacing w:val="-8"/>
          <w:sz w:val="18"/>
        </w:rPr>
        <w:t>自主生活能力完全丧失，无法独立完成六项基本日常生活活动中的三项或三项以上。</w:t>
      </w:r>
      <w:r>
        <w:rPr>
          <w:spacing w:val="-8"/>
          <w:sz w:val="18"/>
          <w:shd w:fill="D9D9D9" w:color="auto" w:val="clear"/>
        </w:rPr>
        <w:t>继发性帕金森综合征不在保障范围内</w:t>
      </w:r>
      <w:r>
        <w:rPr>
          <w:spacing w:val="-8"/>
          <w:sz w:val="18"/>
        </w:rPr>
        <w:t>。</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18" w:hanging="2436"/>
        <w:jc w:val="both"/>
        <w:rPr>
          <w:sz w:val="18"/>
        </w:rPr>
      </w:pPr>
      <w:r>
        <w:rPr>
          <w:b/>
          <w:sz w:val="18"/>
        </w:rPr>
        <w:t>严重Ⅲ度烧伤</w:t>
        <w:tab/>
      </w:r>
      <w:r>
        <w:rPr>
          <w:sz w:val="18"/>
        </w:rPr>
        <w:t>指烧伤程度为Ⅲ度</w:t>
      </w:r>
      <w:r>
        <w:rPr>
          <w:spacing w:val="-11"/>
          <w:sz w:val="18"/>
        </w:rPr>
        <w:t>，</w:t>
      </w:r>
      <w:r>
        <w:rPr>
          <w:sz w:val="18"/>
        </w:rPr>
        <w:t>且Ⅲ度烧伤的面积达到全身体表面积的</w:t>
      </w:r>
      <w:r>
        <w:rPr>
          <w:spacing w:val="-46"/>
          <w:sz w:val="18"/>
        </w:rPr>
        <w:t> </w:t>
      </w:r>
      <w:r>
        <w:rPr>
          <w:sz w:val="18"/>
        </w:rPr>
        <w:t>20%或</w:t>
      </w:r>
      <w:r>
        <w:rPr>
          <w:spacing w:val="-46"/>
          <w:sz w:val="18"/>
        </w:rPr>
        <w:t> </w:t>
      </w:r>
      <w:r>
        <w:rPr>
          <w:sz w:val="18"/>
        </w:rPr>
        <w:t>20%以上</w:t>
      </w:r>
      <w:r>
        <w:rPr>
          <w:spacing w:val="-11"/>
          <w:sz w:val="18"/>
        </w:rPr>
        <w:t>。</w:t>
      </w:r>
      <w:r>
        <w:rPr>
          <w:sz w:val="18"/>
        </w:rPr>
        <w:t>体表面积根据《中国新九分法》计算。</w:t>
      </w:r>
    </w:p>
    <w:p>
      <w:pPr>
        <w:pStyle w:val="BodyText"/>
        <w:spacing w:before="3"/>
        <w:rPr>
          <w:sz w:val="25"/>
        </w:rPr>
      </w:pPr>
    </w:p>
    <w:p>
      <w:pPr>
        <w:pStyle w:val="ListParagraph"/>
        <w:numPr>
          <w:ilvl w:val="0"/>
          <w:numId w:val="23"/>
        </w:numPr>
        <w:tabs>
          <w:tab w:pos="600" w:val="left" w:leader="none"/>
        </w:tabs>
        <w:spacing w:line="316" w:lineRule="auto" w:before="0" w:after="0"/>
        <w:ind w:left="2675" w:right="218" w:hanging="2436"/>
        <w:jc w:val="both"/>
        <w:rPr>
          <w:sz w:val="18"/>
        </w:rPr>
      </w:pPr>
      <w:r>
        <w:rPr>
          <w:b/>
          <w:spacing w:val="2"/>
          <w:sz w:val="18"/>
        </w:rPr>
        <w:t>严重原发性肺动脉高压  </w:t>
      </w:r>
      <w:r>
        <w:rPr>
          <w:sz w:val="18"/>
        </w:rPr>
        <w:t>指不明原因的肺动脉压力持续性增高，进行性发展而导致的慢性疾病，已经造成永久不可逆性的体力活动能力受限，达到美国纽约心脏病学会心功能状态分级IV</w:t>
      </w:r>
      <w:r>
        <w:rPr>
          <w:spacing w:val="-9"/>
          <w:sz w:val="18"/>
        </w:rPr>
        <w:t> 级，且静息状</w:t>
      </w:r>
      <w:r>
        <w:rPr>
          <w:spacing w:val="-13"/>
          <w:sz w:val="18"/>
        </w:rPr>
        <w:t>态下肺动脉平均压超过 </w:t>
      </w:r>
      <w:r>
        <w:rPr>
          <w:sz w:val="18"/>
        </w:rPr>
        <w:t>30mmHg。</w:t>
      </w:r>
    </w:p>
    <w:p>
      <w:pPr>
        <w:pStyle w:val="BodyText"/>
        <w:spacing w:before="3"/>
        <w:rPr>
          <w:sz w:val="25"/>
        </w:rPr>
      </w:pPr>
    </w:p>
    <w:p>
      <w:pPr>
        <w:pStyle w:val="ListParagraph"/>
        <w:numPr>
          <w:ilvl w:val="0"/>
          <w:numId w:val="23"/>
        </w:numPr>
        <w:tabs>
          <w:tab w:pos="600" w:val="left" w:leader="none"/>
        </w:tabs>
        <w:spacing w:line="316" w:lineRule="auto" w:before="0" w:after="0"/>
        <w:ind w:left="2675" w:right="220" w:hanging="2436"/>
        <w:jc w:val="both"/>
        <w:rPr>
          <w:sz w:val="18"/>
        </w:rPr>
      </w:pPr>
      <w:r>
        <w:rPr>
          <w:b/>
          <w:spacing w:val="2"/>
          <w:sz w:val="18"/>
        </w:rPr>
        <w:t>严重运动神经元病      </w:t>
      </w:r>
      <w:r>
        <w:rPr>
          <w:sz w:val="18"/>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18" w:hanging="2436"/>
        <w:jc w:val="both"/>
        <w:rPr>
          <w:sz w:val="18"/>
        </w:rPr>
      </w:pPr>
      <w:r>
        <w:rPr>
          <w:b/>
          <w:sz w:val="18"/>
        </w:rPr>
        <w:t>语言能力丧失</w:t>
        <w:tab/>
      </w:r>
      <w:r>
        <w:rPr>
          <w:sz w:val="18"/>
        </w:rPr>
        <w:t>指因疾病或意外伤害导致完全丧失语言能力</w:t>
      </w:r>
      <w:r>
        <w:rPr>
          <w:spacing w:val="-11"/>
          <w:sz w:val="18"/>
        </w:rPr>
        <w:t>，</w:t>
      </w:r>
      <w:r>
        <w:rPr>
          <w:sz w:val="18"/>
        </w:rPr>
        <w:t>经过积极治疗至少</w:t>
      </w:r>
      <w:r>
        <w:rPr>
          <w:spacing w:val="-46"/>
          <w:sz w:val="18"/>
        </w:rPr>
        <w:t> </w:t>
      </w:r>
      <w:r>
        <w:rPr>
          <w:sz w:val="18"/>
        </w:rPr>
        <w:t>12</w:t>
      </w:r>
      <w:r>
        <w:rPr>
          <w:spacing w:val="-46"/>
          <w:sz w:val="18"/>
        </w:rPr>
        <w:t> </w:t>
      </w:r>
      <w:r>
        <w:rPr>
          <w:sz w:val="18"/>
        </w:rPr>
        <w:t>个</w:t>
      </w:r>
      <w:r>
        <w:rPr>
          <w:spacing w:val="-11"/>
          <w:sz w:val="18"/>
        </w:rPr>
        <w:t>月</w:t>
      </w:r>
      <w:r>
        <w:rPr>
          <w:sz w:val="18"/>
        </w:rPr>
        <w:t>（声带完全切除不受此时间限制</w:t>
      </w:r>
      <w:r>
        <w:rPr>
          <w:spacing w:val="-90"/>
          <w:sz w:val="18"/>
        </w:rPr>
        <w:t>）</w:t>
      </w:r>
      <w:r>
        <w:rPr>
          <w:sz w:val="18"/>
        </w:rPr>
        <w:t>，仍无法通过现有医疗手段恢复。</w:t>
      </w:r>
    </w:p>
    <w:p>
      <w:pPr>
        <w:pStyle w:val="BodyText"/>
        <w:spacing w:before="18"/>
        <w:ind w:left="2675"/>
      </w:pPr>
      <w:r>
        <w:rPr>
          <w:shd w:fill="D9D9D9" w:color="auto" w:val="clear"/>
        </w:rPr>
        <w:t>精神心理因素所致的语言能力丧失不在保障范围内</w:t>
      </w:r>
      <w:r>
        <w:rPr/>
        <w:t>。</w:t>
      </w:r>
    </w:p>
    <w:p>
      <w:pPr>
        <w:pStyle w:val="BodyText"/>
        <w:spacing w:line="316" w:lineRule="auto" w:before="75"/>
        <w:ind w:left="2675" w:right="171"/>
      </w:pPr>
      <w:r>
        <w:rPr/>
        <w:t>被保险人申请理赔时年龄必须在 3 周岁以上，并且提供理赔当时的语言能力丧失诊断及检查证据。</w:t>
      </w:r>
    </w:p>
    <w:p>
      <w:pPr>
        <w:pStyle w:val="BodyText"/>
        <w:spacing w:before="2"/>
        <w:rPr>
          <w:sz w:val="25"/>
        </w:rPr>
      </w:pPr>
    </w:p>
    <w:p>
      <w:pPr>
        <w:pStyle w:val="ListParagraph"/>
        <w:numPr>
          <w:ilvl w:val="0"/>
          <w:numId w:val="23"/>
        </w:numPr>
        <w:tabs>
          <w:tab w:pos="600" w:val="left" w:leader="none"/>
        </w:tabs>
        <w:spacing w:line="316" w:lineRule="auto" w:before="1" w:after="0"/>
        <w:ind w:left="2675" w:right="220" w:hanging="2436"/>
        <w:jc w:val="both"/>
        <w:rPr>
          <w:sz w:val="18"/>
        </w:rPr>
      </w:pPr>
      <w:r>
        <w:rPr>
          <w:b/>
          <w:spacing w:val="2"/>
          <w:sz w:val="18"/>
        </w:rPr>
        <w:t>重型再生障碍性贫血    </w:t>
      </w:r>
      <w:r>
        <w:rPr>
          <w:sz w:val="18"/>
        </w:rPr>
        <w:t>指因骨髓造血功能慢性持续性衰竭导致的贫血、中性粒细胞减少及血小板减少。须满足下列全部条件：</w:t>
      </w:r>
    </w:p>
    <w:p>
      <w:pPr>
        <w:pStyle w:val="ListParagraph"/>
        <w:numPr>
          <w:ilvl w:val="1"/>
          <w:numId w:val="23"/>
        </w:numPr>
        <w:tabs>
          <w:tab w:pos="3096" w:val="left" w:leader="none"/>
        </w:tabs>
        <w:spacing w:line="240" w:lineRule="auto" w:before="19" w:after="0"/>
        <w:ind w:left="3095" w:right="0" w:hanging="420"/>
        <w:jc w:val="left"/>
        <w:rPr>
          <w:sz w:val="18"/>
        </w:rPr>
      </w:pPr>
      <w:r>
        <w:rPr>
          <w:sz w:val="18"/>
        </w:rPr>
        <w:t>骨髓穿刺检查或骨髓活检结果支持诊断；</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外周血象须具备以下三项条件：</w:t>
      </w:r>
    </w:p>
    <w:p>
      <w:pPr>
        <w:pStyle w:val="BodyText"/>
        <w:ind w:left="3095"/>
      </w:pPr>
      <w:r>
        <w:rPr/>
        <w:t>① 中性粒细胞绝对值≤0.5×10</w:t>
      </w:r>
      <w:r>
        <w:rPr>
          <w:position w:val="9"/>
          <w:sz w:val="9"/>
        </w:rPr>
        <w:t>9</w:t>
      </w:r>
      <w:r>
        <w:rPr/>
        <w:t>/L；</w:t>
      </w:r>
    </w:p>
    <w:p>
      <w:pPr>
        <w:pStyle w:val="BodyText"/>
        <w:ind w:left="3095"/>
      </w:pPr>
      <w:r>
        <w:rPr/>
        <w:t>② 网织红细胞＜1%；</w:t>
      </w:r>
    </w:p>
    <w:p>
      <w:pPr>
        <w:pStyle w:val="BodyText"/>
        <w:ind w:left="3095"/>
      </w:pPr>
      <w:r>
        <w:rPr/>
        <w:t>③ 血小板绝对值≤20×10</w:t>
      </w:r>
      <w:r>
        <w:rPr>
          <w:position w:val="9"/>
          <w:sz w:val="9"/>
        </w:rPr>
        <w:t>9</w:t>
      </w:r>
      <w:r>
        <w:rPr/>
        <w:t>/L。</w:t>
      </w:r>
    </w:p>
    <w:p>
      <w:pPr>
        <w:pStyle w:val="BodyText"/>
        <w:spacing w:before="0"/>
      </w:pPr>
    </w:p>
    <w:p>
      <w:pPr>
        <w:pStyle w:val="ListParagraph"/>
        <w:numPr>
          <w:ilvl w:val="0"/>
          <w:numId w:val="23"/>
        </w:numPr>
        <w:tabs>
          <w:tab w:pos="600" w:val="left" w:leader="none"/>
          <w:tab w:pos="2675" w:val="left" w:leader="none"/>
        </w:tabs>
        <w:spacing w:line="316" w:lineRule="auto" w:before="153" w:after="0"/>
        <w:ind w:left="2675" w:right="220" w:hanging="2436"/>
        <w:jc w:val="both"/>
        <w:rPr>
          <w:sz w:val="18"/>
        </w:rPr>
      </w:pPr>
      <w:r>
        <w:rPr>
          <w:b/>
          <w:sz w:val="18"/>
        </w:rPr>
        <w:t>主动脉手术</w:t>
        <w:tab/>
      </w:r>
      <w:r>
        <w:rPr>
          <w:sz w:val="18"/>
        </w:rPr>
        <w:t>指为治疗主动脉疾病，实际实施了开胸或开腹进行的切除、置换、修补病损主动脉血管 的手术。主动脉指胸主动脉和腹主动脉，不包括胸主动脉和腹主动脉的分支血管。</w:t>
      </w:r>
    </w:p>
    <w:p>
      <w:pPr>
        <w:pStyle w:val="BodyText"/>
        <w:spacing w:before="19"/>
        <w:ind w:left="2675"/>
      </w:pPr>
      <w:r>
        <w:rPr>
          <w:shd w:fill="D9D9D9" w:color="auto" w:val="clear"/>
        </w:rPr>
        <w:t>动脉内血管成形术不在保障范围内</w:t>
      </w:r>
      <w:r>
        <w:rPr/>
        <w:t>。</w:t>
      </w:r>
    </w:p>
    <w:p>
      <w:pPr>
        <w:pStyle w:val="BodyText"/>
        <w:spacing w:before="0"/>
      </w:pPr>
    </w:p>
    <w:p>
      <w:pPr>
        <w:pStyle w:val="ListParagraph"/>
        <w:numPr>
          <w:ilvl w:val="0"/>
          <w:numId w:val="23"/>
        </w:numPr>
        <w:tabs>
          <w:tab w:pos="600" w:val="left" w:leader="none"/>
        </w:tabs>
        <w:spacing w:line="316" w:lineRule="auto" w:before="153" w:after="0"/>
        <w:ind w:left="2675" w:right="220" w:hanging="2436"/>
        <w:jc w:val="both"/>
        <w:rPr>
          <w:sz w:val="18"/>
        </w:rPr>
      </w:pPr>
      <w:r>
        <w:rPr>
          <w:b/>
          <w:spacing w:val="2"/>
          <w:sz w:val="18"/>
        </w:rPr>
        <w:t>慢性呼吸功能衰竭      </w:t>
      </w:r>
      <w:r>
        <w:rPr>
          <w:sz w:val="18"/>
        </w:rPr>
        <w:t>指必须经本公司认可的医院的</w:t>
      </w:r>
      <w:r>
        <w:rPr>
          <w:sz w:val="18"/>
          <w:shd w:fill="D9D9D9" w:color="auto" w:val="clear"/>
        </w:rPr>
        <w:t>呼吸科专科医生</w:t>
      </w:r>
      <w:r>
        <w:rPr>
          <w:sz w:val="18"/>
        </w:rPr>
        <w:t>确诊因慢性肺部疾病导致永久不可逆性的慢性呼吸功能衰竭，其诊断标准包括以下各项：</w:t>
      </w:r>
    </w:p>
    <w:p>
      <w:pPr>
        <w:pStyle w:val="ListParagraph"/>
        <w:numPr>
          <w:ilvl w:val="1"/>
          <w:numId w:val="23"/>
        </w:numPr>
        <w:tabs>
          <w:tab w:pos="3096" w:val="left" w:leader="none"/>
        </w:tabs>
        <w:spacing w:line="240" w:lineRule="auto" w:before="19" w:after="0"/>
        <w:ind w:left="3095" w:right="0" w:hanging="420"/>
        <w:jc w:val="left"/>
        <w:rPr>
          <w:sz w:val="18"/>
        </w:rPr>
      </w:pPr>
      <w:r>
        <w:rPr>
          <w:sz w:val="18"/>
        </w:rPr>
        <w:t>休息时出现呼吸困难；</w:t>
      </w:r>
    </w:p>
    <w:p>
      <w:pPr>
        <w:spacing w:after="0" w:line="240" w:lineRule="auto"/>
        <w:jc w:val="left"/>
        <w:rPr>
          <w:sz w:val="18"/>
        </w:rPr>
        <w:sectPr>
          <w:pgSz w:w="11910" w:h="16840"/>
          <w:pgMar w:header="877" w:footer="981" w:top="1100" w:bottom="1180" w:left="1160" w:right="940"/>
        </w:sectPr>
      </w:pPr>
    </w:p>
    <w:p>
      <w:pPr>
        <w:pStyle w:val="BodyText"/>
        <w:spacing w:before="3"/>
        <w:rPr>
          <w:sz w:val="20"/>
        </w:rPr>
      </w:pPr>
    </w:p>
    <w:p>
      <w:pPr>
        <w:pStyle w:val="ListParagraph"/>
        <w:numPr>
          <w:ilvl w:val="1"/>
          <w:numId w:val="23"/>
        </w:numPr>
        <w:tabs>
          <w:tab w:pos="3096" w:val="left" w:leader="none"/>
        </w:tabs>
        <w:spacing w:line="240" w:lineRule="auto" w:before="44" w:after="0"/>
        <w:ind w:left="3095" w:right="0" w:hanging="420"/>
        <w:jc w:val="left"/>
        <w:rPr>
          <w:sz w:val="18"/>
        </w:rPr>
      </w:pPr>
      <w:r>
        <w:rPr>
          <w:sz w:val="18"/>
        </w:rPr>
        <w:t>动脉血氧饱和度（SaO2）&lt;80％；</w:t>
      </w:r>
    </w:p>
    <w:p>
      <w:pPr>
        <w:pStyle w:val="ListParagraph"/>
        <w:numPr>
          <w:ilvl w:val="1"/>
          <w:numId w:val="23"/>
        </w:numPr>
        <w:tabs>
          <w:tab w:pos="3096" w:val="left" w:leader="none"/>
        </w:tabs>
        <w:spacing w:line="240" w:lineRule="auto" w:before="76" w:after="0"/>
        <w:ind w:left="3095" w:right="0" w:hanging="420"/>
        <w:jc w:val="left"/>
        <w:rPr>
          <w:sz w:val="18"/>
        </w:rPr>
      </w:pPr>
      <w:r>
        <w:rPr>
          <w:spacing w:val="6"/>
          <w:sz w:val="18"/>
        </w:rPr>
        <w:t>肺功能测试其</w:t>
      </w:r>
      <w:r>
        <w:rPr>
          <w:sz w:val="18"/>
        </w:rPr>
        <w:t>FEV1</w:t>
      </w:r>
      <w:r>
        <w:rPr>
          <w:spacing w:val="-16"/>
          <w:sz w:val="18"/>
        </w:rPr>
        <w:t> 持续低于 </w:t>
      </w:r>
      <w:r>
        <w:rPr>
          <w:sz w:val="18"/>
        </w:rPr>
        <w:t>1</w:t>
      </w:r>
      <w:r>
        <w:rPr>
          <w:spacing w:val="-16"/>
          <w:sz w:val="18"/>
        </w:rPr>
        <w:t> 升；</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因慢性阻塞性肺病或慢性呼吸功能不全所致缺氧必须接受持续的输氧治疗。</w:t>
      </w:r>
    </w:p>
    <w:p>
      <w:pPr>
        <w:pStyle w:val="BodyText"/>
        <w:spacing w:before="3"/>
        <w:rPr>
          <w:sz w:val="26"/>
        </w:rPr>
      </w:pPr>
    </w:p>
    <w:p>
      <w:pPr>
        <w:spacing w:after="0"/>
        <w:rPr>
          <w:sz w:val="26"/>
        </w:rPr>
        <w:sectPr>
          <w:headerReference w:type="default" r:id="rId12"/>
          <w:footerReference w:type="default" r:id="rId13"/>
          <w:pgSz w:w="11910" w:h="16840"/>
          <w:pgMar w:header="877" w:footer="0" w:top="1100" w:bottom="280" w:left="1160" w:right="940"/>
        </w:sectPr>
      </w:pPr>
    </w:p>
    <w:p>
      <w:pPr>
        <w:pStyle w:val="Heading3"/>
        <w:numPr>
          <w:ilvl w:val="0"/>
          <w:numId w:val="23"/>
        </w:numPr>
        <w:tabs>
          <w:tab w:pos="600" w:val="left" w:leader="none"/>
        </w:tabs>
        <w:spacing w:line="316" w:lineRule="auto" w:before="44" w:after="0"/>
        <w:ind w:left="599" w:right="0" w:hanging="360"/>
        <w:jc w:val="both"/>
      </w:pPr>
      <w:r>
        <w:rPr>
          <w:spacing w:val="15"/>
        </w:rPr>
        <w:t>系统性红斑狼疮－</w:t>
      </w:r>
      <w:r>
        <w:rPr>
          <w:spacing w:val="3"/>
        </w:rPr>
        <w:t>III </w:t>
      </w:r>
      <w:r>
        <w:rPr>
          <w:spacing w:val="-7"/>
        </w:rPr>
        <w:t>型或 </w:t>
      </w:r>
      <w:r>
        <w:rPr/>
        <w:t>III</w:t>
      </w:r>
      <w:r>
        <w:rPr>
          <w:spacing w:val="-5"/>
        </w:rPr>
        <w:t> 型以上狼疮性肾炎</w:t>
      </w:r>
    </w:p>
    <w:p>
      <w:pPr>
        <w:pStyle w:val="BodyText"/>
        <w:spacing w:line="316" w:lineRule="auto" w:before="44"/>
        <w:ind w:left="175" w:right="219"/>
      </w:pPr>
      <w:r>
        <w:rPr/>
        <w:br w:type="column"/>
      </w:r>
      <w:r>
        <w:rPr/>
        <w:t>系统性红斑狼疮是由多种因素引起，累及多系统的自身免疫性疾病。其特点是生成自身抗体对抗多种自身抗原。多见于育龄妇女。</w:t>
      </w:r>
    </w:p>
    <w:p>
      <w:pPr>
        <w:pStyle w:val="BodyText"/>
        <w:spacing w:line="316" w:lineRule="auto" w:before="18"/>
        <w:ind w:left="175" w:right="217"/>
        <w:jc w:val="both"/>
      </w:pPr>
      <w:r>
        <w:rPr/>
        <w:t>本保单所指的系统性红斑狼疮仅限于累及肾脏（</w:t>
      </w:r>
      <w:r>
        <w:rPr>
          <w:spacing w:val="-1"/>
        </w:rPr>
        <w:t>经肾脏活检确认的，符合 </w:t>
      </w:r>
      <w:r>
        <w:rPr/>
        <w:t>WHO</w:t>
      </w:r>
      <w:r>
        <w:rPr>
          <w:spacing w:val="-3"/>
        </w:rPr>
        <w:t> 诊断标准</w:t>
      </w:r>
      <w:r>
        <w:rPr>
          <w:spacing w:val="-12"/>
        </w:rPr>
        <w:t>定义 </w:t>
      </w:r>
      <w:r>
        <w:rPr/>
        <w:t>III</w:t>
      </w:r>
      <w:r>
        <w:rPr>
          <w:spacing w:val="-15"/>
        </w:rPr>
        <w:t> 型或 </w:t>
      </w:r>
      <w:r>
        <w:rPr/>
        <w:t>III</w:t>
      </w:r>
      <w:r>
        <w:rPr>
          <w:spacing w:val="-6"/>
        </w:rPr>
        <w:t> 型以上狼疮性肾炎</w:t>
      </w:r>
      <w:r>
        <w:rPr/>
        <w:t>）的系统性红斑狼疮。其他类型的红斑性狼疮，如盘状狼疮、仅累及血液及关节的狼疮不在本保单保障范围內。</w:t>
      </w:r>
    </w:p>
    <w:p>
      <w:pPr>
        <w:pStyle w:val="BodyText"/>
        <w:spacing w:line="316" w:lineRule="auto" w:before="18"/>
        <w:ind w:left="175" w:right="3887"/>
      </w:pPr>
      <w:r>
        <w:rPr/>
        <w:t>本病必须由免疫和风湿科专科医生确诊。世界卫生组织（WHO）狼疮型肾炎分型：</w:t>
      </w:r>
    </w:p>
    <w:p>
      <w:pPr>
        <w:pStyle w:val="ListParagraph"/>
        <w:numPr>
          <w:ilvl w:val="0"/>
          <w:numId w:val="27"/>
        </w:numPr>
        <w:tabs>
          <w:tab w:pos="311" w:val="left" w:leader="none"/>
        </w:tabs>
        <w:spacing w:line="240" w:lineRule="auto" w:before="18" w:after="0"/>
        <w:ind w:left="310" w:right="0" w:hanging="135"/>
        <w:jc w:val="both"/>
        <w:rPr>
          <w:sz w:val="18"/>
        </w:rPr>
      </w:pPr>
      <w:r>
        <w:rPr>
          <w:sz w:val="18"/>
        </w:rPr>
        <w:t>型：微小病型</w:t>
      </w:r>
    </w:p>
    <w:p>
      <w:pPr>
        <w:pStyle w:val="ListParagraph"/>
        <w:numPr>
          <w:ilvl w:val="0"/>
          <w:numId w:val="27"/>
        </w:numPr>
        <w:tabs>
          <w:tab w:pos="401" w:val="left" w:leader="none"/>
        </w:tabs>
        <w:spacing w:line="240" w:lineRule="auto" w:before="76" w:after="0"/>
        <w:ind w:left="400" w:right="0" w:hanging="225"/>
        <w:jc w:val="both"/>
        <w:rPr>
          <w:sz w:val="18"/>
        </w:rPr>
      </w:pPr>
      <w:r>
        <w:rPr>
          <w:sz w:val="18"/>
        </w:rPr>
        <w:t>型：系膜病变型</w:t>
      </w:r>
    </w:p>
    <w:p>
      <w:pPr>
        <w:pStyle w:val="ListParagraph"/>
        <w:numPr>
          <w:ilvl w:val="0"/>
          <w:numId w:val="27"/>
        </w:numPr>
        <w:tabs>
          <w:tab w:pos="491" w:val="left" w:leader="none"/>
        </w:tabs>
        <w:spacing w:line="240" w:lineRule="auto" w:before="76" w:after="0"/>
        <w:ind w:left="490" w:right="0" w:hanging="315"/>
        <w:jc w:val="both"/>
        <w:rPr>
          <w:sz w:val="18"/>
        </w:rPr>
      </w:pPr>
      <w:r>
        <w:rPr>
          <w:sz w:val="18"/>
        </w:rPr>
        <w:t>型：局灶及节段增生型</w:t>
      </w:r>
    </w:p>
    <w:p>
      <w:pPr>
        <w:pStyle w:val="ListParagraph"/>
        <w:numPr>
          <w:ilvl w:val="0"/>
          <w:numId w:val="27"/>
        </w:numPr>
        <w:tabs>
          <w:tab w:pos="401" w:val="left" w:leader="none"/>
        </w:tabs>
        <w:spacing w:line="240" w:lineRule="auto" w:before="76" w:after="0"/>
        <w:ind w:left="400" w:right="0" w:hanging="225"/>
        <w:jc w:val="both"/>
        <w:rPr>
          <w:sz w:val="18"/>
        </w:rPr>
      </w:pPr>
      <w:r>
        <w:rPr>
          <w:sz w:val="18"/>
        </w:rPr>
        <w:t>型：弥漫增生型</w:t>
      </w:r>
    </w:p>
    <w:p>
      <w:pPr>
        <w:pStyle w:val="ListParagraph"/>
        <w:numPr>
          <w:ilvl w:val="0"/>
          <w:numId w:val="27"/>
        </w:numPr>
        <w:tabs>
          <w:tab w:pos="311" w:val="left" w:leader="none"/>
        </w:tabs>
        <w:spacing w:line="240" w:lineRule="auto" w:before="76" w:after="0"/>
        <w:ind w:left="310" w:right="0" w:hanging="135"/>
        <w:jc w:val="both"/>
        <w:rPr>
          <w:sz w:val="18"/>
        </w:rPr>
      </w:pPr>
      <w:r>
        <w:rPr>
          <w:sz w:val="18"/>
        </w:rPr>
        <w:t>型：膜型</w:t>
      </w:r>
    </w:p>
    <w:p>
      <w:pPr>
        <w:pStyle w:val="ListParagraph"/>
        <w:numPr>
          <w:ilvl w:val="0"/>
          <w:numId w:val="27"/>
        </w:numPr>
        <w:tabs>
          <w:tab w:pos="401" w:val="left" w:leader="none"/>
        </w:tabs>
        <w:spacing w:line="240" w:lineRule="auto" w:before="76" w:after="0"/>
        <w:ind w:left="400" w:right="0" w:hanging="225"/>
        <w:jc w:val="both"/>
        <w:rPr>
          <w:sz w:val="18"/>
        </w:rPr>
      </w:pPr>
      <w:r>
        <w:rPr>
          <w:sz w:val="18"/>
        </w:rPr>
        <w:t>型：肾小球硬化型</w:t>
      </w:r>
    </w:p>
    <w:p>
      <w:pPr>
        <w:spacing w:after="0" w:line="240" w:lineRule="auto"/>
        <w:jc w:val="both"/>
        <w:rPr>
          <w:sz w:val="18"/>
        </w:rPr>
        <w:sectPr>
          <w:type w:val="continuous"/>
          <w:pgSz w:w="11910" w:h="16840"/>
          <w:pgMar w:top="1040" w:bottom="1180" w:left="1160" w:right="940"/>
          <w:cols w:num="2" w:equalWidth="0">
            <w:col w:w="2460" w:space="40"/>
            <w:col w:w="7310"/>
          </w:cols>
        </w:sectPr>
      </w:pPr>
    </w:p>
    <w:p>
      <w:pPr>
        <w:pStyle w:val="BodyText"/>
        <w:spacing w:before="3"/>
        <w:rPr>
          <w:sz w:val="26"/>
        </w:rPr>
      </w:pPr>
    </w:p>
    <w:p>
      <w:pPr>
        <w:pStyle w:val="ListParagraph"/>
        <w:numPr>
          <w:ilvl w:val="0"/>
          <w:numId w:val="23"/>
        </w:numPr>
        <w:tabs>
          <w:tab w:pos="600" w:val="left" w:leader="none"/>
          <w:tab w:pos="2675" w:val="left" w:leader="none"/>
        </w:tabs>
        <w:spacing w:line="240" w:lineRule="auto" w:before="45" w:after="0"/>
        <w:ind w:left="599" w:right="0" w:hanging="360"/>
        <w:jc w:val="left"/>
        <w:rPr>
          <w:sz w:val="18"/>
        </w:rPr>
      </w:pPr>
      <w:r>
        <w:rPr>
          <w:b/>
          <w:sz w:val="18"/>
        </w:rPr>
        <w:t>肾髓质囊性病</w:t>
        <w:tab/>
      </w:r>
      <w:r>
        <w:rPr>
          <w:sz w:val="18"/>
        </w:rPr>
        <w:t>肾髓质囊性病的诊断须同时符合下列要求：</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肾髓质有囊肿、肾小管萎缩及间质纤维化等病理改变；</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贫血、多尿及肾功能衰竭等临床表现；</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诊断须由肾组织活检确定。</w:t>
      </w:r>
    </w:p>
    <w:p>
      <w:pPr>
        <w:pStyle w:val="BodyText"/>
        <w:spacing w:before="0"/>
      </w:pPr>
    </w:p>
    <w:p>
      <w:pPr>
        <w:pStyle w:val="ListParagraph"/>
        <w:numPr>
          <w:ilvl w:val="0"/>
          <w:numId w:val="23"/>
        </w:numPr>
        <w:tabs>
          <w:tab w:pos="600" w:val="left" w:leader="none"/>
        </w:tabs>
        <w:spacing w:line="316" w:lineRule="auto" w:before="152" w:after="0"/>
        <w:ind w:left="2675" w:right="219" w:hanging="2436"/>
        <w:jc w:val="both"/>
        <w:rPr>
          <w:sz w:val="18"/>
        </w:rPr>
      </w:pPr>
      <w:r>
        <w:rPr>
          <w:b/>
          <w:spacing w:val="2"/>
          <w:sz w:val="18"/>
        </w:rPr>
        <w:t>原发性硬化性胆管炎    </w:t>
      </w:r>
      <w:r>
        <w:rPr>
          <w:sz w:val="18"/>
        </w:rPr>
        <w:t>指一种胆汁淤积综合征，其特征是肝内、肝外胆道因纤维化性炎症逐渐狭窄，并最终导致完全阻塞而发展为肝硬化。本病须经内镜逆行胰胆管造影等影像学检查证实，并须满足下列全部条件：</w:t>
      </w:r>
    </w:p>
    <w:p>
      <w:pPr>
        <w:pStyle w:val="ListParagraph"/>
        <w:numPr>
          <w:ilvl w:val="1"/>
          <w:numId w:val="23"/>
        </w:numPr>
        <w:tabs>
          <w:tab w:pos="3096" w:val="left" w:leader="none"/>
        </w:tabs>
        <w:spacing w:line="240" w:lineRule="auto" w:before="18" w:after="0"/>
        <w:ind w:left="3095" w:right="0" w:hanging="420"/>
        <w:jc w:val="left"/>
        <w:rPr>
          <w:sz w:val="18"/>
        </w:rPr>
      </w:pPr>
      <w:r>
        <w:rPr>
          <w:spacing w:val="1"/>
          <w:sz w:val="18"/>
        </w:rPr>
        <w:t>总胆红素和直接胆红素同时升高，血清</w:t>
      </w:r>
      <w:r>
        <w:rPr>
          <w:sz w:val="18"/>
        </w:rPr>
        <w:t>ALP&gt;200U/L；</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持续性黄疸病史；</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出现胆汁性肝硬化或门脉高压。</w:t>
      </w:r>
    </w:p>
    <w:p>
      <w:pPr>
        <w:pStyle w:val="BodyText"/>
        <w:ind w:left="2675"/>
      </w:pPr>
      <w:r>
        <w:rPr/>
        <w:t>因肿瘤或胆管损伤等继发性的硬化性胆管炎不在保障范围内。</w:t>
      </w:r>
    </w:p>
    <w:p>
      <w:pPr>
        <w:pStyle w:val="BodyText"/>
        <w:spacing w:before="0"/>
      </w:pPr>
    </w:p>
    <w:p>
      <w:pPr>
        <w:pStyle w:val="ListParagraph"/>
        <w:numPr>
          <w:ilvl w:val="0"/>
          <w:numId w:val="23"/>
        </w:numPr>
        <w:tabs>
          <w:tab w:pos="600" w:val="left" w:leader="none"/>
        </w:tabs>
        <w:spacing w:line="316" w:lineRule="auto" w:before="152" w:after="0"/>
        <w:ind w:left="2675" w:right="219" w:hanging="2436"/>
        <w:jc w:val="both"/>
        <w:rPr>
          <w:sz w:val="18"/>
        </w:rPr>
      </w:pPr>
      <w:r>
        <w:rPr>
          <w:b/>
          <w:spacing w:val="2"/>
          <w:sz w:val="18"/>
        </w:rPr>
        <w:t>急性坏死性胰腺炎      </w:t>
      </w:r>
      <w:r>
        <w:rPr>
          <w:sz w:val="18"/>
        </w:rPr>
        <w:t>指由专科医生确诊为急性出血坏死性胰腺炎，并已经接受了外科手术治疗，以进行坏死组织清除、坏死病灶切除或胰腺切除。</w:t>
      </w:r>
    </w:p>
    <w:p>
      <w:pPr>
        <w:pStyle w:val="BodyText"/>
        <w:spacing w:before="18"/>
        <w:ind w:left="2675"/>
      </w:pPr>
      <w:r>
        <w:rPr/>
        <w:t>因饮酒所致的急性出血坏死性胰腺炎不在保障范围内。</w:t>
      </w:r>
    </w:p>
    <w:p>
      <w:pPr>
        <w:pStyle w:val="BodyText"/>
        <w:spacing w:before="3"/>
        <w:rPr>
          <w:sz w:val="26"/>
        </w:rPr>
      </w:pPr>
    </w:p>
    <w:p>
      <w:pPr>
        <w:spacing w:after="0"/>
        <w:rPr>
          <w:sz w:val="26"/>
        </w:rPr>
        <w:sectPr>
          <w:type w:val="continuous"/>
          <w:pgSz w:w="11910" w:h="16840"/>
          <w:pgMar w:top="1040" w:bottom="1180" w:left="1160" w:right="940"/>
        </w:sectPr>
      </w:pPr>
    </w:p>
    <w:p>
      <w:pPr>
        <w:pStyle w:val="Heading3"/>
        <w:numPr>
          <w:ilvl w:val="0"/>
          <w:numId w:val="23"/>
        </w:numPr>
        <w:tabs>
          <w:tab w:pos="600" w:val="left" w:leader="none"/>
        </w:tabs>
        <w:spacing w:line="240" w:lineRule="auto" w:before="45" w:after="0"/>
        <w:ind w:left="599" w:right="0" w:hanging="360"/>
        <w:jc w:val="left"/>
      </w:pPr>
      <w:r>
        <w:rPr>
          <w:spacing w:val="30"/>
          <w:w w:val="95"/>
        </w:rPr>
        <w:t>肝豆状核变性（或称</w:t>
      </w:r>
    </w:p>
    <w:p>
      <w:pPr>
        <w:spacing w:before="76"/>
        <w:ind w:left="599" w:right="0" w:firstLine="0"/>
        <w:jc w:val="left"/>
        <w:rPr>
          <w:b/>
          <w:sz w:val="18"/>
        </w:rPr>
      </w:pPr>
      <w:r>
        <w:rPr>
          <w:b/>
          <w:sz w:val="18"/>
        </w:rPr>
        <w:t>Wilson 病）</w:t>
      </w:r>
    </w:p>
    <w:p>
      <w:pPr>
        <w:pStyle w:val="BodyText"/>
        <w:spacing w:line="316" w:lineRule="auto" w:before="45"/>
        <w:ind w:left="145" w:right="218"/>
        <w:jc w:val="both"/>
      </w:pPr>
      <w:r>
        <w:rPr/>
        <w:br w:type="column"/>
      </w:r>
      <w:r>
        <w:rPr>
          <w:spacing w:val="-1"/>
        </w:rPr>
        <w:t>肝豆状核变性是一种可能危及生命的铜代谢疾病，以铜沉积造成的渐进性肝功能损害及</w:t>
      </w:r>
      <w:r>
        <w:rPr/>
        <w:t>/ 或神经功能恶化为特征。必须由本公司认可医院的专科医生通过肝脏活组织检查结果确</w:t>
      </w:r>
      <w:r>
        <w:rPr>
          <w:spacing w:val="-3"/>
        </w:rPr>
        <w:t>定诊断并配合螯合剂治疗持续至少 </w:t>
      </w:r>
      <w:r>
        <w:rPr/>
        <w:t>6</w:t>
      </w:r>
      <w:r>
        <w:rPr>
          <w:spacing w:val="-12"/>
        </w:rPr>
        <w:t> 个月。</w:t>
      </w:r>
    </w:p>
    <w:p>
      <w:pPr>
        <w:spacing w:after="0" w:line="316" w:lineRule="auto"/>
        <w:jc w:val="both"/>
        <w:sectPr>
          <w:type w:val="continuous"/>
          <w:pgSz w:w="11910" w:h="16840"/>
          <w:pgMar w:top="1040" w:bottom="1180" w:left="1160" w:right="940"/>
          <w:cols w:num="2" w:equalWidth="0">
            <w:col w:w="2490" w:space="40"/>
            <w:col w:w="7280"/>
          </w:cols>
        </w:sectPr>
      </w:pPr>
    </w:p>
    <w:p>
      <w:pPr>
        <w:pStyle w:val="BodyText"/>
        <w:spacing w:before="11"/>
        <w:rPr>
          <w:sz w:val="21"/>
        </w:rPr>
      </w:pPr>
    </w:p>
    <w:p>
      <w:pPr>
        <w:spacing w:after="0"/>
        <w:rPr>
          <w:sz w:val="21"/>
        </w:rPr>
        <w:sectPr>
          <w:type w:val="continuous"/>
          <w:pgSz w:w="11910" w:h="16840"/>
          <w:pgMar w:top="1040" w:bottom="1180" w:left="1160" w:right="940"/>
        </w:sectPr>
      </w:pPr>
    </w:p>
    <w:p>
      <w:pPr>
        <w:pStyle w:val="Heading3"/>
        <w:numPr>
          <w:ilvl w:val="0"/>
          <w:numId w:val="23"/>
        </w:numPr>
        <w:tabs>
          <w:tab w:pos="600" w:val="left" w:leader="none"/>
        </w:tabs>
        <w:spacing w:line="316" w:lineRule="auto" w:before="45" w:after="0"/>
        <w:ind w:left="599" w:right="0" w:hanging="360"/>
        <w:jc w:val="left"/>
      </w:pPr>
      <w:r>
        <w:rPr>
          <w:spacing w:val="5"/>
        </w:rPr>
        <w:t>特发性慢性肾上腺皮质</w:t>
      </w:r>
      <w:r>
        <w:rPr>
          <w:w w:val="95"/>
        </w:rPr>
        <w:t>功能减退</w:t>
      </w:r>
    </w:p>
    <w:p>
      <w:pPr>
        <w:pStyle w:val="BodyText"/>
        <w:spacing w:line="316" w:lineRule="auto" w:before="45"/>
        <w:ind w:left="168" w:right="219"/>
      </w:pPr>
      <w:r>
        <w:rPr/>
        <w:br w:type="column"/>
      </w:r>
      <w:r>
        <w:rPr/>
        <w:t>指自身免疫性肾上腺炎（既往称：特发性肾上腺皮质萎缩）导致肾上腺萎缩和慢性肾上腺皮质功能减退。须满足下列全部条件：</w:t>
      </w:r>
    </w:p>
    <w:p>
      <w:pPr>
        <w:pStyle w:val="ListParagraph"/>
        <w:numPr>
          <w:ilvl w:val="0"/>
          <w:numId w:val="28"/>
        </w:numPr>
        <w:tabs>
          <w:tab w:pos="589" w:val="left" w:leader="none"/>
        </w:tabs>
        <w:spacing w:line="240" w:lineRule="auto" w:before="19" w:after="0"/>
        <w:ind w:left="588" w:right="0" w:hanging="420"/>
        <w:jc w:val="left"/>
        <w:rPr>
          <w:sz w:val="18"/>
        </w:rPr>
      </w:pPr>
      <w:r>
        <w:rPr>
          <w:sz w:val="18"/>
        </w:rPr>
        <w:t>明确诊断，符合所有以下诊断标准；</w:t>
      </w:r>
    </w:p>
    <w:p>
      <w:pPr>
        <w:pStyle w:val="BodyText"/>
        <w:ind w:left="168"/>
      </w:pPr>
      <w:r>
        <w:rPr/>
        <w:t>①血浆促肾上腺皮质激素（ACTH)水平测定大于 100pg/ml；</w:t>
      </w:r>
    </w:p>
    <w:p>
      <w:pPr>
        <w:pStyle w:val="BodyText"/>
        <w:spacing w:line="316" w:lineRule="auto"/>
        <w:ind w:left="168" w:right="171"/>
      </w:pPr>
      <w:r>
        <w:rPr/>
        <w:t>②血浆和尿游离皮质醇及尿 17 羟皮质类固醇、17 酮皮质类固醇测定、血浆肾素活性、血管紧张素II 和醛固酮测定，显示为原发性肾上腺皮质功能减退症；</w:t>
      </w:r>
    </w:p>
    <w:p>
      <w:pPr>
        <w:spacing w:after="0" w:line="316" w:lineRule="auto"/>
        <w:sectPr>
          <w:type w:val="continuous"/>
          <w:pgSz w:w="11910" w:h="16840"/>
          <w:pgMar w:top="1040" w:bottom="1180" w:left="1160" w:right="940"/>
          <w:cols w:num="2" w:equalWidth="0">
            <w:col w:w="2467" w:space="40"/>
            <w:col w:w="7303"/>
          </w:cols>
        </w:sectPr>
      </w:pPr>
    </w:p>
    <w:p>
      <w:pPr>
        <w:pStyle w:val="BodyText"/>
        <w:spacing w:before="4"/>
        <w:rPr>
          <w:sz w:val="8"/>
        </w:rPr>
      </w:pPr>
    </w:p>
    <w:p>
      <w:pPr>
        <w:pStyle w:val="BodyText"/>
        <w:spacing w:before="51"/>
        <w:ind w:left="3697" w:right="3690"/>
        <w:jc w:val="center"/>
      </w:pPr>
      <w:r>
        <w:rPr/>
        <w:t>第 </w:t>
      </w:r>
      <w:r>
        <w:rPr>
          <w:rFonts w:ascii="Times New Roman" w:eastAsia="Times New Roman"/>
        </w:rPr>
        <w:t>14 </w:t>
      </w:r>
      <w:r>
        <w:rPr/>
        <w:t>页</w:t>
      </w:r>
    </w:p>
    <w:p>
      <w:pPr>
        <w:spacing w:after="0"/>
        <w:jc w:val="center"/>
        <w:sectPr>
          <w:type w:val="continuous"/>
          <w:pgSz w:w="11910" w:h="16840"/>
          <w:pgMar w:top="1040" w:bottom="1180" w:left="1160" w:right="940"/>
        </w:sectPr>
      </w:pPr>
    </w:p>
    <w:p>
      <w:pPr>
        <w:pStyle w:val="BodyText"/>
        <w:spacing w:before="3"/>
        <w:rPr>
          <w:sz w:val="20"/>
        </w:rPr>
      </w:pPr>
    </w:p>
    <w:p>
      <w:pPr>
        <w:pStyle w:val="BodyText"/>
        <w:spacing w:before="44"/>
        <w:ind w:left="2675"/>
      </w:pPr>
      <w:r>
        <w:rPr/>
        <w:t>③促肾上腺皮质激素（ACTH)刺激试验显示为原发性肾上腺皮质功能减退症。</w:t>
      </w:r>
    </w:p>
    <w:p>
      <w:pPr>
        <w:pStyle w:val="ListParagraph"/>
        <w:numPr>
          <w:ilvl w:val="0"/>
          <w:numId w:val="28"/>
        </w:numPr>
        <w:tabs>
          <w:tab w:pos="3096" w:val="left" w:leader="none"/>
        </w:tabs>
        <w:spacing w:line="240" w:lineRule="auto" w:before="76" w:after="0"/>
        <w:ind w:left="3095" w:right="0" w:hanging="420"/>
        <w:jc w:val="left"/>
        <w:rPr>
          <w:sz w:val="18"/>
        </w:rPr>
      </w:pPr>
      <w:r>
        <w:rPr>
          <w:spacing w:val="-4"/>
          <w:sz w:val="18"/>
        </w:rPr>
        <w:t>已经采用皮质类固醇替代治疗 </w:t>
      </w:r>
      <w:r>
        <w:rPr>
          <w:sz w:val="18"/>
        </w:rPr>
        <w:t>180</w:t>
      </w:r>
      <w:r>
        <w:rPr>
          <w:spacing w:val="-10"/>
          <w:sz w:val="18"/>
        </w:rPr>
        <w:t> 天以上。</w:t>
      </w:r>
    </w:p>
    <w:p>
      <w:pPr>
        <w:pStyle w:val="BodyText"/>
        <w:spacing w:line="316" w:lineRule="auto"/>
        <w:ind w:left="2675" w:right="218"/>
      </w:pPr>
      <w:r>
        <w:rPr>
          <w:spacing w:val="-4"/>
        </w:rPr>
        <w:t>肾上腺结核、</w:t>
      </w:r>
      <w:r>
        <w:rPr/>
        <w:t>HIV</w:t>
      </w:r>
      <w:r>
        <w:rPr>
          <w:spacing w:val="-11"/>
        </w:rPr>
        <w:t> 感染或艾滋病、感染、肿瘤所致的原发性肾上腺皮质功能减退和继发性肾上腺皮质功能减退不在保障范围内。</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19" w:hanging="2436"/>
        <w:jc w:val="both"/>
        <w:rPr>
          <w:sz w:val="18"/>
        </w:rPr>
      </w:pPr>
      <w:r>
        <w:rPr>
          <w:b/>
          <w:sz w:val="18"/>
        </w:rPr>
        <w:t>胰腺移植</w:t>
        <w:tab/>
      </w:r>
      <w:r>
        <w:rPr>
          <w:sz w:val="18"/>
        </w:rPr>
        <w:t>指因胰腺功能衰竭，已经实施了在全身麻醉下进行的胰腺的异体器官移植手术（供体必 须是人体器官</w:t>
      </w:r>
      <w:r>
        <w:rPr>
          <w:spacing w:val="-90"/>
          <w:sz w:val="18"/>
        </w:rPr>
        <w:t>）</w:t>
      </w:r>
      <w:r>
        <w:rPr>
          <w:sz w:val="18"/>
        </w:rPr>
        <w:t>。</w:t>
      </w:r>
    </w:p>
    <w:p>
      <w:pPr>
        <w:pStyle w:val="BodyText"/>
        <w:spacing w:before="18"/>
        <w:ind w:left="2675"/>
      </w:pPr>
      <w:r>
        <w:rPr/>
        <w:t>单纯胰岛移植、部分胰腺组织或细胞的移植不在保障范围内。</w:t>
      </w:r>
    </w:p>
    <w:p>
      <w:pPr>
        <w:pStyle w:val="BodyText"/>
        <w:spacing w:before="0"/>
      </w:pPr>
    </w:p>
    <w:p>
      <w:pPr>
        <w:pStyle w:val="ListParagraph"/>
        <w:numPr>
          <w:ilvl w:val="0"/>
          <w:numId w:val="23"/>
        </w:numPr>
        <w:tabs>
          <w:tab w:pos="600" w:val="left" w:leader="none"/>
        </w:tabs>
        <w:spacing w:line="316" w:lineRule="auto" w:before="152" w:after="0"/>
        <w:ind w:left="2675" w:right="219" w:hanging="2436"/>
        <w:jc w:val="both"/>
        <w:rPr>
          <w:sz w:val="18"/>
        </w:rPr>
      </w:pPr>
      <w:r>
        <w:rPr>
          <w:b/>
          <w:spacing w:val="2"/>
          <w:sz w:val="18"/>
        </w:rPr>
        <w:t>慢性复发性胰腺炎      </w:t>
      </w:r>
      <w:r>
        <w:rPr>
          <w:sz w:val="18"/>
        </w:rPr>
        <w:t>指有腹痛等典型症状的胰腺炎反复发作，导致胰腺进行性破坏，并导致胰腺功能紊乱而导致严重糖尿病以及营养不良、恶液质。断层扫描（CT）证实胰腺存在广泛钙化，且必</w:t>
      </w:r>
      <w:r>
        <w:rPr>
          <w:spacing w:val="-3"/>
          <w:sz w:val="18"/>
        </w:rPr>
        <w:t>须接受酶替代以及胰岛素替代治疗 </w:t>
      </w:r>
      <w:r>
        <w:rPr>
          <w:sz w:val="18"/>
        </w:rPr>
        <w:t>6</w:t>
      </w:r>
      <w:r>
        <w:rPr>
          <w:spacing w:val="-7"/>
          <w:sz w:val="18"/>
        </w:rPr>
        <w:t> 个月以上。诊断必须由消化科专科医生确诊。</w:t>
      </w:r>
    </w:p>
    <w:p>
      <w:pPr>
        <w:pStyle w:val="BodyText"/>
        <w:spacing w:before="18"/>
        <w:ind w:left="2675"/>
      </w:pPr>
      <w:r>
        <w:rPr/>
        <w:t>酒精导致的慢性复发性胰腺炎除外。</w:t>
      </w:r>
    </w:p>
    <w:p>
      <w:pPr>
        <w:pStyle w:val="BodyText"/>
        <w:spacing w:before="0"/>
      </w:pPr>
    </w:p>
    <w:p>
      <w:pPr>
        <w:pStyle w:val="ListParagraph"/>
        <w:numPr>
          <w:ilvl w:val="0"/>
          <w:numId w:val="23"/>
        </w:numPr>
        <w:tabs>
          <w:tab w:pos="600" w:val="left" w:leader="none"/>
        </w:tabs>
        <w:spacing w:line="316" w:lineRule="auto" w:before="152" w:after="0"/>
        <w:ind w:left="2675" w:right="219" w:hanging="2436"/>
        <w:jc w:val="both"/>
        <w:rPr>
          <w:sz w:val="18"/>
        </w:rPr>
      </w:pPr>
      <w:r>
        <w:rPr>
          <w:b/>
          <w:spacing w:val="2"/>
          <w:sz w:val="18"/>
        </w:rPr>
        <w:t>严重自身免疫性肝炎    </w:t>
      </w:r>
      <w:r>
        <w:rPr>
          <w:sz w:val="18"/>
        </w:rPr>
        <w:t>自身免疫性肝炎是一种原因不明的慢性肝脏的坏死性炎性疾病，机体免疫机制被破坏， 产生针对肝脏自身抗原的抗体导致自身免疫反应，从而破坏肝细胞造成肝脏炎症坏死， 进而发展为肝硬化。必须满足所有以下条件：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高γ球蛋白血症；</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血液中存在高水平的自身免疫抗体，如ANA（抗核抗体</w:t>
      </w:r>
      <w:r>
        <w:rPr>
          <w:spacing w:val="-90"/>
          <w:sz w:val="18"/>
        </w:rPr>
        <w:t>）</w:t>
      </w:r>
      <w:r>
        <w:rPr>
          <w:spacing w:val="-8"/>
          <w:sz w:val="18"/>
        </w:rPr>
        <w:t>、</w:t>
      </w:r>
      <w:r>
        <w:rPr>
          <w:sz w:val="18"/>
        </w:rPr>
        <w:t>SMA（抗平滑肌抗体</w:t>
      </w:r>
      <w:r>
        <w:rPr>
          <w:spacing w:val="-90"/>
          <w:sz w:val="18"/>
        </w:rPr>
        <w:t>）</w:t>
      </w:r>
      <w:r>
        <w:rPr>
          <w:spacing w:val="-8"/>
          <w:sz w:val="18"/>
        </w:rPr>
        <w:t>、抗</w:t>
      </w:r>
    </w:p>
    <w:p>
      <w:pPr>
        <w:pStyle w:val="BodyText"/>
        <w:spacing w:before="75"/>
        <w:ind w:left="3095"/>
      </w:pPr>
      <w:r>
        <w:rPr/>
        <w:t>LKM1 抗体或抗-SLA/LP 抗体；</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肝脏活检证实免疫性肝炎；</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临床已经出现腹水、食道静脉曲张和脾肿大等肝硬化表现。</w:t>
      </w:r>
    </w:p>
    <w:p>
      <w:pPr>
        <w:pStyle w:val="BodyText"/>
        <w:spacing w:before="0"/>
      </w:pPr>
    </w:p>
    <w:p>
      <w:pPr>
        <w:pStyle w:val="ListParagraph"/>
        <w:numPr>
          <w:ilvl w:val="0"/>
          <w:numId w:val="23"/>
        </w:numPr>
        <w:tabs>
          <w:tab w:pos="600" w:val="left" w:leader="none"/>
        </w:tabs>
        <w:spacing w:line="316" w:lineRule="auto" w:before="152" w:after="0"/>
        <w:ind w:left="2675" w:right="219" w:hanging="2436"/>
        <w:jc w:val="both"/>
        <w:rPr>
          <w:sz w:val="18"/>
        </w:rPr>
      </w:pPr>
      <w:r>
        <w:rPr>
          <w:b/>
          <w:spacing w:val="2"/>
          <w:sz w:val="18"/>
        </w:rPr>
        <w:t>肺淋巴管肌瘤病        </w:t>
      </w:r>
      <w:r>
        <w:rPr>
          <w:sz w:val="18"/>
        </w:rPr>
        <w:t>肺淋巴管肌瘤病是一种弥漫性肺部疾病，主要病理改变为肺间质、支气管、血管和淋巴管内出现未成熟的平滑肌异常增生，同时需满足下列条件：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经组织病理学诊断；</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CT</w:t>
      </w:r>
      <w:r>
        <w:rPr>
          <w:spacing w:val="-7"/>
          <w:sz w:val="18"/>
        </w:rPr>
        <w:t> 显示双肺弥漫性囊性改变；</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血气提示低氧血症。</w:t>
      </w:r>
    </w:p>
    <w:p>
      <w:pPr>
        <w:pStyle w:val="BodyText"/>
        <w:spacing w:before="0"/>
      </w:pPr>
    </w:p>
    <w:p>
      <w:pPr>
        <w:pStyle w:val="ListParagraph"/>
        <w:numPr>
          <w:ilvl w:val="0"/>
          <w:numId w:val="23"/>
        </w:numPr>
        <w:tabs>
          <w:tab w:pos="600" w:val="left" w:leader="none"/>
        </w:tabs>
        <w:spacing w:line="316" w:lineRule="auto" w:before="152" w:after="0"/>
        <w:ind w:left="2675" w:right="217" w:hanging="2436"/>
        <w:jc w:val="both"/>
        <w:rPr>
          <w:sz w:val="18"/>
        </w:rPr>
      </w:pPr>
      <w:r>
        <w:rPr>
          <w:b/>
          <w:spacing w:val="5"/>
          <w:sz w:val="18"/>
        </w:rPr>
        <w:t>肺泡蛋白质沉积症     </w:t>
      </w:r>
      <w:r>
        <w:rPr>
          <w:spacing w:val="-1"/>
          <w:sz w:val="18"/>
        </w:rPr>
        <w:t>指肺泡和细支气管腔内充满不可溶性富磷脂蛋白的疾病，胸部 </w:t>
      </w:r>
      <w:r>
        <w:rPr>
          <w:sz w:val="18"/>
        </w:rPr>
        <w:t>X</w:t>
      </w:r>
      <w:r>
        <w:rPr>
          <w:spacing w:val="-3"/>
          <w:sz w:val="18"/>
        </w:rPr>
        <w:t> 线呈双肺弥漫性肺部磨玻璃影，病理学检查肺泡内充满有过碘酸雪夫</w:t>
      </w:r>
      <w:r>
        <w:rPr>
          <w:sz w:val="18"/>
        </w:rPr>
        <w:t>（PAS）</w:t>
      </w:r>
      <w:r>
        <w:rPr>
          <w:spacing w:val="-1"/>
          <w:sz w:val="18"/>
        </w:rPr>
        <w:t>染色阳性的蛋白样物质，并且接受了肺灌洗治疗。</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19" w:hanging="2436"/>
        <w:jc w:val="both"/>
        <w:rPr>
          <w:sz w:val="18"/>
        </w:rPr>
      </w:pPr>
      <w:r>
        <w:rPr>
          <w:b/>
          <w:sz w:val="18"/>
        </w:rPr>
        <w:t>小肠移植</w:t>
        <w:tab/>
      </w:r>
      <w:r>
        <w:rPr>
          <w:sz w:val="18"/>
        </w:rPr>
        <w:t>指因肠道疾病或外伤，已经实施了在全身麻醉下进行的小肠的异体器官移植手术。此手 术必须由专科医生认为是医学上必需的情况下进行。</w:t>
      </w:r>
    </w:p>
    <w:p>
      <w:pPr>
        <w:pStyle w:val="BodyText"/>
        <w:spacing w:before="11"/>
        <w:rPr>
          <w:sz w:val="21"/>
        </w:rPr>
      </w:pPr>
    </w:p>
    <w:p>
      <w:pPr>
        <w:spacing w:after="0"/>
        <w:rPr>
          <w:sz w:val="21"/>
        </w:rPr>
        <w:sectPr>
          <w:headerReference w:type="default" r:id="rId14"/>
          <w:footerReference w:type="default" r:id="rId15"/>
          <w:pgSz w:w="11910" w:h="16840"/>
          <w:pgMar w:header="877" w:footer="0" w:top="1100" w:bottom="280" w:left="1160" w:right="940"/>
        </w:sectPr>
      </w:pPr>
    </w:p>
    <w:p>
      <w:pPr>
        <w:pStyle w:val="Heading3"/>
        <w:numPr>
          <w:ilvl w:val="0"/>
          <w:numId w:val="23"/>
        </w:numPr>
        <w:tabs>
          <w:tab w:pos="600" w:val="left" w:leader="none"/>
        </w:tabs>
        <w:spacing w:line="316" w:lineRule="auto" w:before="44" w:after="0"/>
        <w:ind w:left="599" w:right="0" w:hanging="360"/>
        <w:jc w:val="left"/>
      </w:pPr>
      <w:r>
        <w:rPr>
          <w:spacing w:val="5"/>
        </w:rPr>
        <w:t>自体造血干细胞移植手</w:t>
      </w:r>
      <w:r>
        <w:rPr/>
        <w:t>术</w:t>
      </w:r>
    </w:p>
    <w:p>
      <w:pPr>
        <w:pStyle w:val="BodyText"/>
        <w:spacing w:line="316" w:lineRule="auto" w:before="44"/>
        <w:ind w:left="168" w:right="219"/>
        <w:jc w:val="both"/>
      </w:pPr>
      <w:r>
        <w:rPr/>
        <w:br w:type="column"/>
      </w:r>
      <w:r>
        <w:rPr/>
        <w:t>指因患者自身骨髓造血功能异常或为了达到治疗肿瘤的目的，采集患者自己的一部分造血干细胞，分离并深低温保存，再回输给患者使患者的造血功能和免疫功能重新恢复的自体移植手术。</w:t>
      </w:r>
    </w:p>
    <w:p>
      <w:pPr>
        <w:spacing w:after="0" w:line="316" w:lineRule="auto"/>
        <w:jc w:val="both"/>
        <w:sectPr>
          <w:type w:val="continuous"/>
          <w:pgSz w:w="11910" w:h="16840"/>
          <w:pgMar w:top="1040" w:bottom="1180" w:left="1160" w:right="940"/>
          <w:cols w:num="2" w:equalWidth="0">
            <w:col w:w="2467" w:space="40"/>
            <w:col w:w="7303"/>
          </w:cols>
        </w:sectPr>
      </w:pPr>
    </w:p>
    <w:p>
      <w:pPr>
        <w:pStyle w:val="BodyText"/>
        <w:spacing w:before="10"/>
        <w:rPr>
          <w:sz w:val="21"/>
        </w:rPr>
      </w:pPr>
    </w:p>
    <w:p>
      <w:pPr>
        <w:pStyle w:val="ListParagraph"/>
        <w:numPr>
          <w:ilvl w:val="0"/>
          <w:numId w:val="23"/>
        </w:numPr>
        <w:tabs>
          <w:tab w:pos="600" w:val="left" w:leader="none"/>
        </w:tabs>
        <w:spacing w:line="316" w:lineRule="auto" w:before="45" w:after="0"/>
        <w:ind w:left="2675" w:right="218" w:hanging="2436"/>
        <w:jc w:val="both"/>
        <w:rPr>
          <w:sz w:val="18"/>
        </w:rPr>
      </w:pPr>
      <w:r>
        <w:rPr>
          <w:b/>
          <w:spacing w:val="2"/>
          <w:sz w:val="18"/>
        </w:rPr>
        <w:t>原发性骨髓纤维化      </w:t>
      </w:r>
      <w:r>
        <w:rPr>
          <w:sz w:val="18"/>
        </w:rPr>
        <w:t>原发性骨髓纤维化为原因不明的骨髓中成纤维细胞增殖，伴有髓外造血，表现为进行性贫血、脾肿大等症状。本病必须根据骨髓的活组织检查和周围血象检查由血液科专科医</w:t>
      </w:r>
      <w:r>
        <w:rPr>
          <w:spacing w:val="-1"/>
          <w:sz w:val="18"/>
        </w:rPr>
        <w:t>生明确诊断，并至少符合下列条件中的三项，且符合条件的状态持续 </w:t>
      </w:r>
      <w:r>
        <w:rPr>
          <w:sz w:val="18"/>
        </w:rPr>
        <w:t>180</w:t>
      </w:r>
      <w:r>
        <w:rPr>
          <w:spacing w:val="-3"/>
          <w:sz w:val="18"/>
        </w:rPr>
        <w:t> 天及以上，并已经实际接受了针对此症的治疗：</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血红蛋白&lt;100g/L；</w:t>
      </w:r>
    </w:p>
    <w:p>
      <w:pPr>
        <w:pStyle w:val="BodyText"/>
        <w:spacing w:before="9"/>
        <w:rPr>
          <w:sz w:val="12"/>
        </w:rPr>
      </w:pPr>
    </w:p>
    <w:p>
      <w:pPr>
        <w:pStyle w:val="BodyText"/>
        <w:spacing w:before="50"/>
        <w:ind w:left="3697" w:right="3690"/>
        <w:jc w:val="center"/>
      </w:pPr>
      <w:r>
        <w:rPr/>
        <w:t>第 </w:t>
      </w:r>
      <w:r>
        <w:rPr>
          <w:rFonts w:ascii="Times New Roman" w:eastAsia="Times New Roman"/>
        </w:rPr>
        <w:t>15 </w:t>
      </w:r>
      <w:r>
        <w:rPr/>
        <w:t>页</w:t>
      </w:r>
    </w:p>
    <w:p>
      <w:pPr>
        <w:spacing w:after="0"/>
        <w:jc w:val="center"/>
        <w:sectPr>
          <w:type w:val="continuous"/>
          <w:pgSz w:w="11910" w:h="16840"/>
          <w:pgMar w:top="1040" w:bottom="1180" w:left="1160" w:right="940"/>
        </w:sectPr>
      </w:pPr>
    </w:p>
    <w:p>
      <w:pPr>
        <w:pStyle w:val="BodyText"/>
        <w:spacing w:before="3"/>
        <w:rPr>
          <w:sz w:val="19"/>
        </w:rPr>
      </w:pPr>
    </w:p>
    <w:p>
      <w:pPr>
        <w:pStyle w:val="BodyText"/>
        <w:spacing w:before="57"/>
        <w:ind w:left="2675"/>
      </w:pPr>
      <w:r>
        <w:rPr/>
        <w:t>(2) 白细胞计数&gt;25×10</w:t>
      </w:r>
      <w:r>
        <w:rPr>
          <w:position w:val="9"/>
          <w:sz w:val="9"/>
        </w:rPr>
        <w:t>9</w:t>
      </w:r>
      <w:r>
        <w:rPr/>
        <w:t>/L；</w:t>
      </w:r>
    </w:p>
    <w:p>
      <w:pPr>
        <w:pStyle w:val="BodyText"/>
        <w:spacing w:before="75"/>
        <w:ind w:left="2675"/>
      </w:pPr>
      <w:r>
        <w:rPr/>
        <w:t>(3) 外周血原始细胞≥1%；</w:t>
      </w:r>
    </w:p>
    <w:p>
      <w:pPr>
        <w:pStyle w:val="BodyText"/>
        <w:spacing w:before="75"/>
        <w:ind w:left="2675"/>
      </w:pPr>
      <w:r>
        <w:rPr/>
        <w:t>(4) 血小板计数&lt;100×10</w:t>
      </w:r>
      <w:r>
        <w:rPr>
          <w:position w:val="9"/>
          <w:sz w:val="9"/>
        </w:rPr>
        <w:t>9</w:t>
      </w:r>
      <w:r>
        <w:rPr/>
        <w:t>/L。</w:t>
      </w:r>
    </w:p>
    <w:p>
      <w:pPr>
        <w:pStyle w:val="BodyText"/>
        <w:spacing w:before="75"/>
        <w:ind w:left="2675"/>
      </w:pPr>
      <w:r>
        <w:rPr/>
        <w:t>任何其它病因导致的继发性骨髓纤维化不在保障范围内。</w:t>
      </w:r>
    </w:p>
    <w:p>
      <w:pPr>
        <w:pStyle w:val="BodyText"/>
        <w:spacing w:before="3"/>
        <w:rPr>
          <w:sz w:val="26"/>
        </w:rPr>
      </w:pPr>
    </w:p>
    <w:p>
      <w:pPr>
        <w:spacing w:after="0"/>
        <w:rPr>
          <w:sz w:val="26"/>
        </w:rPr>
        <w:sectPr>
          <w:footerReference w:type="default" r:id="rId16"/>
          <w:pgSz w:w="11910" w:h="16840"/>
          <w:pgMar w:footer="981" w:header="877" w:top="1100" w:bottom="1180" w:left="1160" w:right="940"/>
          <w:pgNumType w:start="16"/>
        </w:sectPr>
      </w:pPr>
    </w:p>
    <w:p>
      <w:pPr>
        <w:pStyle w:val="Heading3"/>
        <w:numPr>
          <w:ilvl w:val="0"/>
          <w:numId w:val="23"/>
        </w:numPr>
        <w:tabs>
          <w:tab w:pos="600" w:val="left" w:leader="none"/>
        </w:tabs>
        <w:spacing w:line="316" w:lineRule="auto" w:before="44" w:after="0"/>
        <w:ind w:left="599" w:right="0" w:hanging="360"/>
        <w:jc w:val="left"/>
      </w:pPr>
      <w:r>
        <w:rPr>
          <w:spacing w:val="5"/>
        </w:rPr>
        <w:t>重症骨髓增生异常综合</w:t>
      </w:r>
      <w:r>
        <w:rPr/>
        <w:t>征</w:t>
      </w:r>
    </w:p>
    <w:p>
      <w:pPr>
        <w:pStyle w:val="BodyText"/>
        <w:spacing w:line="316" w:lineRule="auto" w:before="44"/>
        <w:ind w:left="168" w:right="220"/>
        <w:jc w:val="both"/>
      </w:pPr>
      <w:r>
        <w:rPr/>
        <w:br w:type="column"/>
      </w:r>
      <w:r>
        <w:rPr/>
        <w:t>骨髓增生异常综合征是一组异质性克隆性造血干细胞疾病，表现为进行性、难治性外周血红细胞、粒细胞及血小板减少，有转化为白血病的风险。本病必须根据骨髓的活组织检查和周围血象检查由血液科专科医生明确诊断，并且满足下列全部条件：</w:t>
      </w:r>
    </w:p>
    <w:p>
      <w:pPr>
        <w:pStyle w:val="BodyText"/>
        <w:spacing w:before="18"/>
        <w:ind w:left="168"/>
      </w:pPr>
      <w:r>
        <w:rPr/>
        <w:t>（1）FAB</w:t>
      </w:r>
      <w:r>
        <w:rPr>
          <w:spacing w:val="-7"/>
        </w:rPr>
        <w:t> 分型为难治性贫血伴原始细胞增多</w:t>
      </w:r>
      <w:r>
        <w:rPr/>
        <w:t>（RAEB</w:t>
      </w:r>
      <w:r>
        <w:rPr>
          <w:spacing w:val="-90"/>
        </w:rPr>
        <w:t>）</w:t>
      </w:r>
      <w:r>
        <w:rPr/>
        <w:t>；</w:t>
      </w:r>
    </w:p>
    <w:p>
      <w:pPr>
        <w:pStyle w:val="BodyText"/>
        <w:spacing w:line="316" w:lineRule="auto"/>
        <w:ind w:left="168" w:right="218"/>
        <w:jc w:val="both"/>
      </w:pPr>
      <w:r>
        <w:rPr>
          <w:spacing w:val="-6"/>
        </w:rPr>
        <w:t>（2）</w:t>
      </w:r>
      <w:r>
        <w:rPr>
          <w:spacing w:val="-1"/>
        </w:rPr>
        <w:t>根据骨髓增生异常综合征国际预后积分系统</w:t>
      </w:r>
      <w:r>
        <w:rPr>
          <w:spacing w:val="-3"/>
        </w:rPr>
        <w:t>（IPSS-R）</w:t>
      </w:r>
      <w:r>
        <w:rPr/>
        <w:t>修订版评分&gt;3</w:t>
      </w:r>
      <w:r>
        <w:rPr>
          <w:spacing w:val="-9"/>
        </w:rPr>
        <w:t> 分，属于中危及以上组；</w:t>
      </w:r>
    </w:p>
    <w:p>
      <w:pPr>
        <w:pStyle w:val="BodyText"/>
        <w:spacing w:before="18"/>
        <w:ind w:left="168"/>
        <w:jc w:val="both"/>
      </w:pPr>
      <w:r>
        <w:rPr/>
        <w:t>（3）已经实际接受了化学治疗或骨髓移植。</w:t>
      </w:r>
    </w:p>
    <w:p>
      <w:pPr>
        <w:spacing w:after="0"/>
        <w:jc w:val="both"/>
        <w:sectPr>
          <w:type w:val="continuous"/>
          <w:pgSz w:w="11910" w:h="16840"/>
          <w:pgMar w:top="1040" w:bottom="1180" w:left="1160" w:right="940"/>
          <w:cols w:num="2" w:equalWidth="0">
            <w:col w:w="2467" w:space="40"/>
            <w:col w:w="7303"/>
          </w:cols>
        </w:sectPr>
      </w:pPr>
    </w:p>
    <w:p>
      <w:pPr>
        <w:pStyle w:val="BodyText"/>
        <w:spacing w:before="2"/>
        <w:rPr>
          <w:sz w:val="26"/>
        </w:rPr>
      </w:pPr>
    </w:p>
    <w:p>
      <w:pPr>
        <w:pStyle w:val="ListParagraph"/>
        <w:numPr>
          <w:ilvl w:val="0"/>
          <w:numId w:val="23"/>
        </w:numPr>
        <w:tabs>
          <w:tab w:pos="600" w:val="left" w:leader="none"/>
        </w:tabs>
        <w:spacing w:line="316" w:lineRule="auto" w:before="45" w:after="0"/>
        <w:ind w:left="2675" w:right="216" w:hanging="2436"/>
        <w:jc w:val="both"/>
        <w:rPr>
          <w:sz w:val="18"/>
        </w:rPr>
      </w:pPr>
      <w:r>
        <w:rPr>
          <w:b/>
          <w:spacing w:val="5"/>
          <w:sz w:val="18"/>
        </w:rPr>
        <w:t>严重多发性硬化 </w:t>
      </w:r>
      <w:r>
        <w:rPr>
          <w:sz w:val="18"/>
        </w:rPr>
        <w:t>被保险人因脑及脊髓内的脱髓鞘病变而出现神经系统多灶性（多发性）多时相（</w:t>
      </w:r>
      <w:r>
        <w:rPr>
          <w:spacing w:val="1"/>
          <w:sz w:val="18"/>
        </w:rPr>
        <w:t>至少 </w:t>
      </w:r>
      <w:r>
        <w:rPr>
          <w:sz w:val="18"/>
        </w:rPr>
        <w:t>6 个月以</w:t>
      </w:r>
      <w:r>
        <w:rPr>
          <w:spacing w:val="-1"/>
          <w:sz w:val="18"/>
        </w:rPr>
        <w:t>内有一次以上</w:t>
      </w:r>
      <w:r>
        <w:rPr>
          <w:sz w:val="18"/>
        </w:rPr>
        <w:t>（不包含一次</w:t>
      </w:r>
      <w:r>
        <w:rPr>
          <w:spacing w:val="-4"/>
          <w:sz w:val="18"/>
        </w:rPr>
        <w:t>）</w:t>
      </w:r>
      <w:r>
        <w:rPr>
          <w:sz w:val="18"/>
        </w:rPr>
        <w:t>的发作</w:t>
      </w:r>
      <w:r>
        <w:rPr>
          <w:spacing w:val="-4"/>
          <w:sz w:val="18"/>
        </w:rPr>
        <w:t>）</w:t>
      </w:r>
      <w:r>
        <w:rPr>
          <w:spacing w:val="-2"/>
          <w:sz w:val="18"/>
        </w:rPr>
        <w:t>的病变，须由计算机断层扫描</w:t>
      </w:r>
      <w:r>
        <w:rPr>
          <w:sz w:val="18"/>
        </w:rPr>
        <w:t>（CT</w:t>
      </w:r>
      <w:r>
        <w:rPr>
          <w:spacing w:val="-90"/>
          <w:sz w:val="18"/>
        </w:rPr>
        <w:t>）</w:t>
      </w:r>
      <w:r>
        <w:rPr>
          <w:spacing w:val="-2"/>
          <w:sz w:val="18"/>
        </w:rPr>
        <w:t>、核磁共振检查（MRI）或正电子发射断层扫描（PET）等影像学检查证实，且已经造成自主生活能力完全丧失，无法独立完成六项基本日常生活活动中的三项或三项以上，持续至少</w:t>
      </w:r>
    </w:p>
    <w:p>
      <w:pPr>
        <w:pStyle w:val="BodyText"/>
        <w:spacing w:before="18"/>
        <w:ind w:left="2675"/>
      </w:pPr>
      <w:r>
        <w:rPr/>
        <w:t>180 天。</w:t>
      </w:r>
    </w:p>
    <w:p>
      <w:pPr>
        <w:pStyle w:val="BodyText"/>
        <w:spacing w:before="0"/>
      </w:pPr>
    </w:p>
    <w:p>
      <w:pPr>
        <w:pStyle w:val="ListParagraph"/>
        <w:numPr>
          <w:ilvl w:val="0"/>
          <w:numId w:val="23"/>
        </w:numPr>
        <w:tabs>
          <w:tab w:pos="600" w:val="left" w:leader="none"/>
          <w:tab w:pos="2675" w:val="left" w:leader="none"/>
        </w:tabs>
        <w:spacing w:line="316" w:lineRule="auto" w:before="152" w:after="0"/>
        <w:ind w:left="2675" w:right="218" w:hanging="2436"/>
        <w:jc w:val="both"/>
        <w:rPr>
          <w:sz w:val="18"/>
        </w:rPr>
      </w:pPr>
      <w:r>
        <w:rPr>
          <w:b/>
          <w:sz w:val="18"/>
        </w:rPr>
        <w:t>严重冠心病</w:t>
        <w:tab/>
      </w:r>
      <w:r>
        <w:rPr>
          <w:sz w:val="18"/>
        </w:rPr>
        <w:t>指经心脏科专科医生根据冠状动脉造影检查结果确诊的三支主要血管（左冠状动脉主干 和右冠状动脉，或前降支、左旋支和右冠状动脉）严重狭窄性病变（至少一支血管管腔直径减少</w:t>
      </w:r>
      <w:r>
        <w:rPr>
          <w:spacing w:val="-11"/>
          <w:sz w:val="18"/>
        </w:rPr>
        <w:t> </w:t>
      </w:r>
      <w:r>
        <w:rPr>
          <w:sz w:val="18"/>
        </w:rPr>
        <w:t>75％以上和其他两支血管管腔直径减少</w:t>
      </w:r>
      <w:r>
        <w:rPr>
          <w:spacing w:val="-11"/>
          <w:sz w:val="18"/>
        </w:rPr>
        <w:t> </w:t>
      </w:r>
      <w:r>
        <w:rPr>
          <w:sz w:val="18"/>
        </w:rPr>
        <w:t>60％以上</w:t>
      </w:r>
      <w:r>
        <w:rPr>
          <w:spacing w:val="-90"/>
          <w:sz w:val="18"/>
        </w:rPr>
        <w:t>）</w:t>
      </w:r>
      <w:r>
        <w:rPr>
          <w:sz w:val="18"/>
        </w:rPr>
        <w:t>。前降支、左旋支及右冠状动脉的分支血管的狭窄不作为本保障的衡量指标。</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20" w:hanging="2436"/>
        <w:jc w:val="both"/>
        <w:rPr>
          <w:sz w:val="18"/>
        </w:rPr>
      </w:pPr>
      <w:r>
        <w:rPr>
          <w:b/>
          <w:sz w:val="18"/>
        </w:rPr>
        <w:t>严重心肌炎</w:t>
        <w:tab/>
      </w:r>
      <w:r>
        <w:rPr>
          <w:sz w:val="18"/>
        </w:rPr>
        <w:t>指心肌局限性或弥漫性的急性或慢性炎症病变，导致心脏功能障碍，达到美国纽约心脏 学会心功能分级状态分</w:t>
      </w:r>
      <w:r>
        <w:rPr>
          <w:spacing w:val="42"/>
          <w:sz w:val="18"/>
        </w:rPr>
        <w:t>级</w:t>
      </w:r>
      <w:r>
        <w:rPr>
          <w:sz w:val="18"/>
        </w:rPr>
        <w:t>IV</w:t>
      </w:r>
      <w:r>
        <w:rPr>
          <w:spacing w:val="-45"/>
          <w:sz w:val="18"/>
        </w:rPr>
        <w:t> </w:t>
      </w:r>
      <w:r>
        <w:rPr>
          <w:sz w:val="18"/>
        </w:rPr>
        <w:t>级，且需持续至少</w:t>
      </w:r>
      <w:r>
        <w:rPr>
          <w:spacing w:val="-46"/>
          <w:sz w:val="18"/>
        </w:rPr>
        <w:t> </w:t>
      </w:r>
      <w:r>
        <w:rPr>
          <w:sz w:val="18"/>
        </w:rPr>
        <w:t>90</w:t>
      </w:r>
      <w:r>
        <w:rPr>
          <w:spacing w:val="-46"/>
          <w:sz w:val="18"/>
        </w:rPr>
        <w:t> </w:t>
      </w:r>
      <w:r>
        <w:rPr>
          <w:sz w:val="18"/>
        </w:rPr>
        <w:t>天。</w:t>
      </w:r>
    </w:p>
    <w:p>
      <w:pPr>
        <w:pStyle w:val="BodyText"/>
        <w:spacing w:before="3"/>
        <w:rPr>
          <w:sz w:val="25"/>
        </w:rPr>
      </w:pPr>
    </w:p>
    <w:p>
      <w:pPr>
        <w:pStyle w:val="ListParagraph"/>
        <w:numPr>
          <w:ilvl w:val="0"/>
          <w:numId w:val="23"/>
        </w:numPr>
        <w:tabs>
          <w:tab w:pos="600" w:val="left" w:leader="none"/>
        </w:tabs>
        <w:spacing w:line="316" w:lineRule="auto" w:before="0" w:after="0"/>
        <w:ind w:left="2675" w:right="220" w:hanging="2436"/>
        <w:jc w:val="both"/>
        <w:rPr>
          <w:sz w:val="18"/>
        </w:rPr>
      </w:pPr>
      <w:r>
        <w:rPr>
          <w:b/>
          <w:spacing w:val="2"/>
          <w:sz w:val="18"/>
        </w:rPr>
        <w:t>全身性重症肌无力      </w:t>
      </w:r>
      <w:r>
        <w:rPr>
          <w:sz w:val="18"/>
        </w:rPr>
        <w:t>重症肌无力是一种神经肌肉接头传递障碍所致的疾病，表现为局部或全身骨骼肌（特别是眼外肌）极易疲劳。疾病可以累及呼吸肌、上肢或下肢的近端肌群或全身肌肉，必须满足下列全部条件：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经药物治疗和胸腺切除治疗一年以上仍无法控制病情；</w:t>
      </w:r>
    </w:p>
    <w:p>
      <w:pPr>
        <w:pStyle w:val="ListParagraph"/>
        <w:numPr>
          <w:ilvl w:val="1"/>
          <w:numId w:val="23"/>
        </w:numPr>
        <w:tabs>
          <w:tab w:pos="3096" w:val="left" w:leader="none"/>
        </w:tabs>
        <w:spacing w:line="240" w:lineRule="auto" w:before="76" w:after="0"/>
        <w:ind w:left="3095" w:right="0" w:hanging="420"/>
        <w:jc w:val="left"/>
        <w:rPr>
          <w:sz w:val="18"/>
        </w:rPr>
      </w:pPr>
      <w:r>
        <w:rPr>
          <w:spacing w:val="-9"/>
          <w:sz w:val="18"/>
        </w:rPr>
        <w:t>自主生活能力完全丧失，无法独立完成六项基本日常生活活动中的三项或三项以上。</w:t>
      </w:r>
    </w:p>
    <w:p>
      <w:pPr>
        <w:pStyle w:val="BodyText"/>
        <w:spacing w:before="0"/>
      </w:pPr>
    </w:p>
    <w:p>
      <w:pPr>
        <w:pStyle w:val="ListParagraph"/>
        <w:numPr>
          <w:ilvl w:val="0"/>
          <w:numId w:val="23"/>
        </w:numPr>
        <w:tabs>
          <w:tab w:pos="600" w:val="left" w:leader="none"/>
          <w:tab w:pos="2675" w:val="left" w:leader="none"/>
        </w:tabs>
        <w:spacing w:line="316" w:lineRule="auto" w:before="153" w:after="0"/>
        <w:ind w:left="2675" w:right="217" w:hanging="2436"/>
        <w:jc w:val="both"/>
        <w:rPr>
          <w:sz w:val="18"/>
        </w:rPr>
      </w:pPr>
      <w:r>
        <w:rPr>
          <w:b/>
          <w:sz w:val="18"/>
        </w:rPr>
        <w:t>I</w:t>
      </w:r>
      <w:r>
        <w:rPr>
          <w:b/>
          <w:spacing w:val="-45"/>
          <w:sz w:val="18"/>
        </w:rPr>
        <w:t> </w:t>
      </w:r>
      <w:r>
        <w:rPr>
          <w:b/>
          <w:sz w:val="18"/>
        </w:rPr>
        <w:t>型糖尿病</w:t>
        <w:tab/>
      </w:r>
      <w:r>
        <w:rPr>
          <w:sz w:val="18"/>
        </w:rPr>
        <w:t>I</w:t>
      </w:r>
      <w:r>
        <w:rPr>
          <w:spacing w:val="55"/>
          <w:sz w:val="18"/>
        </w:rPr>
        <w:t> </w:t>
      </w:r>
      <w:r>
        <w:rPr>
          <w:sz w:val="18"/>
        </w:rPr>
        <w:t>型糖尿病的特征为由于胰岛素分泌绝对不足引起严重胰岛素缺乏导致慢性血糖升高，需要依赖外源性胰岛素进行机体的葡萄糖代谢和维持生命。被保险人的</w:t>
      </w:r>
      <w:r>
        <w:rPr>
          <w:spacing w:val="-11"/>
          <w:sz w:val="18"/>
        </w:rPr>
        <w:t> </w:t>
      </w:r>
      <w:r>
        <w:rPr>
          <w:sz w:val="18"/>
        </w:rPr>
        <w:t>I</w:t>
      </w:r>
      <w:r>
        <w:rPr>
          <w:spacing w:val="-11"/>
          <w:sz w:val="18"/>
        </w:rPr>
        <w:t> </w:t>
      </w:r>
      <w:r>
        <w:rPr>
          <w:sz w:val="18"/>
        </w:rPr>
        <w:t>型糖尿病必须明确诊断，而且有血胰岛素测定及血</w:t>
      </w:r>
      <w:r>
        <w:rPr>
          <w:spacing w:val="-28"/>
          <w:sz w:val="18"/>
        </w:rPr>
        <w:t> </w:t>
      </w:r>
      <w:r>
        <w:rPr>
          <w:sz w:val="18"/>
        </w:rPr>
        <w:t>C</w:t>
      </w:r>
      <w:r>
        <w:rPr>
          <w:spacing w:val="-28"/>
          <w:sz w:val="18"/>
        </w:rPr>
        <w:t> </w:t>
      </w:r>
      <w:r>
        <w:rPr>
          <w:sz w:val="18"/>
        </w:rPr>
        <w:t>肽或尿</w:t>
      </w:r>
      <w:r>
        <w:rPr>
          <w:spacing w:val="-28"/>
          <w:sz w:val="18"/>
        </w:rPr>
        <w:t> </w:t>
      </w:r>
      <w:r>
        <w:rPr>
          <w:sz w:val="18"/>
        </w:rPr>
        <w:t>C</w:t>
      </w:r>
      <w:r>
        <w:rPr>
          <w:spacing w:val="-28"/>
          <w:sz w:val="18"/>
        </w:rPr>
        <w:t> </w:t>
      </w:r>
      <w:r>
        <w:rPr>
          <w:sz w:val="18"/>
        </w:rPr>
        <w:t>肽测定结果支持诊断，并且满足下列全部条件：</w:t>
      </w:r>
    </w:p>
    <w:p>
      <w:pPr>
        <w:pStyle w:val="ListParagraph"/>
        <w:numPr>
          <w:ilvl w:val="1"/>
          <w:numId w:val="23"/>
        </w:numPr>
        <w:tabs>
          <w:tab w:pos="3096" w:val="left" w:leader="none"/>
        </w:tabs>
        <w:spacing w:line="240" w:lineRule="auto" w:before="19" w:after="0"/>
        <w:ind w:left="3095" w:right="0" w:hanging="420"/>
        <w:jc w:val="left"/>
        <w:rPr>
          <w:sz w:val="18"/>
        </w:rPr>
      </w:pPr>
      <w:r>
        <w:rPr>
          <w:spacing w:val="-3"/>
          <w:sz w:val="18"/>
        </w:rPr>
        <w:t>已经持续性地接受外源性胰岛素注射治疗连续 </w:t>
      </w:r>
      <w:r>
        <w:rPr>
          <w:sz w:val="18"/>
        </w:rPr>
        <w:t>180</w:t>
      </w:r>
      <w:r>
        <w:rPr>
          <w:spacing w:val="-10"/>
          <w:sz w:val="18"/>
        </w:rPr>
        <w:t> 天以上；</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因需要已经接受了下列治疗之一：</w:t>
      </w:r>
    </w:p>
    <w:p>
      <w:pPr>
        <w:pStyle w:val="BodyText"/>
        <w:ind w:left="2675"/>
      </w:pPr>
      <w:r>
        <w:rPr/>
        <w:t>①  因严重心律失常植入了心脏起搏器；</w:t>
      </w:r>
    </w:p>
    <w:p>
      <w:pPr>
        <w:pStyle w:val="BodyText"/>
        <w:ind w:left="2675"/>
      </w:pPr>
      <w:r>
        <w:rPr/>
        <w:t>②  因坏疽自跖趾关节或以上切除了一趾或多趾</w:t>
      </w:r>
    </w:p>
    <w:p>
      <w:pPr>
        <w:pStyle w:val="BodyText"/>
        <w:spacing w:before="0"/>
      </w:pPr>
    </w:p>
    <w:p>
      <w:pPr>
        <w:pStyle w:val="ListParagraph"/>
        <w:numPr>
          <w:ilvl w:val="0"/>
          <w:numId w:val="23"/>
        </w:numPr>
        <w:tabs>
          <w:tab w:pos="600" w:val="left" w:leader="none"/>
          <w:tab w:pos="2675" w:val="left" w:leader="none"/>
        </w:tabs>
        <w:spacing w:line="316" w:lineRule="auto" w:before="152" w:after="0"/>
        <w:ind w:left="2675" w:right="220" w:hanging="2436"/>
        <w:jc w:val="both"/>
        <w:rPr>
          <w:sz w:val="18"/>
        </w:rPr>
      </w:pPr>
      <w:r>
        <w:rPr>
          <w:b/>
          <w:sz w:val="18"/>
        </w:rPr>
        <w:t>植物人状态</w:t>
        <w:tab/>
      </w:r>
      <w:r>
        <w:rPr>
          <w:sz w:val="18"/>
        </w:rPr>
        <w:t>植物人状态系指由于严重颅脑外伤造成大脑严重损害导致完全永久性的对自身和环境的 意识丧失和中枢神经系统功能丧失，仅残存植物神经功能的疾病状态。诊断必须明确并且具有严重颅脑外伤和脑损害的证据。植物人状态必须持续</w:t>
      </w:r>
      <w:r>
        <w:rPr>
          <w:spacing w:val="-46"/>
          <w:sz w:val="18"/>
        </w:rPr>
        <w:t> </w:t>
      </w:r>
      <w:r>
        <w:rPr>
          <w:sz w:val="18"/>
        </w:rPr>
        <w:t>30</w:t>
      </w:r>
      <w:r>
        <w:rPr>
          <w:spacing w:val="-46"/>
          <w:sz w:val="18"/>
        </w:rPr>
        <w:t> </w:t>
      </w:r>
      <w:r>
        <w:rPr>
          <w:sz w:val="18"/>
        </w:rPr>
        <w:t>天以上方可申请理赔。</w:t>
      </w:r>
    </w:p>
    <w:p>
      <w:pPr>
        <w:spacing w:after="0" w:line="316" w:lineRule="auto"/>
        <w:jc w:val="both"/>
        <w:rPr>
          <w:sz w:val="18"/>
        </w:rPr>
        <w:sectPr>
          <w:type w:val="continuous"/>
          <w:pgSz w:w="11910" w:h="16840"/>
          <w:pgMar w:top="1040" w:bottom="1180" w:left="1160" w:right="940"/>
        </w:sectPr>
      </w:pPr>
    </w:p>
    <w:p>
      <w:pPr>
        <w:pStyle w:val="BodyText"/>
        <w:spacing w:before="0"/>
        <w:rPr>
          <w:sz w:val="20"/>
        </w:rPr>
      </w:pPr>
    </w:p>
    <w:p>
      <w:pPr>
        <w:pStyle w:val="BodyText"/>
        <w:spacing w:before="0"/>
        <w:rPr>
          <w:sz w:val="20"/>
        </w:rPr>
      </w:pPr>
    </w:p>
    <w:p>
      <w:pPr>
        <w:pStyle w:val="BodyText"/>
        <w:spacing w:before="0"/>
        <w:rPr>
          <w:sz w:val="22"/>
        </w:rPr>
      </w:pPr>
    </w:p>
    <w:p>
      <w:pPr>
        <w:pStyle w:val="ListParagraph"/>
        <w:numPr>
          <w:ilvl w:val="0"/>
          <w:numId w:val="23"/>
        </w:numPr>
        <w:tabs>
          <w:tab w:pos="600" w:val="left" w:leader="none"/>
          <w:tab w:pos="2675" w:val="left" w:leader="none"/>
        </w:tabs>
        <w:spacing w:line="316" w:lineRule="auto" w:before="45" w:after="0"/>
        <w:ind w:left="2675" w:right="219" w:hanging="2436"/>
        <w:jc w:val="left"/>
        <w:rPr>
          <w:sz w:val="18"/>
        </w:rPr>
      </w:pPr>
      <w:r>
        <w:rPr>
          <w:b/>
          <w:sz w:val="18"/>
        </w:rPr>
        <w:t>原发性心肌病</w:t>
        <w:tab/>
      </w:r>
      <w:r>
        <w:rPr>
          <w:sz w:val="18"/>
        </w:rPr>
        <w:t>指不明原因引起的一类心肌病变，包括原发性扩张型心肌病、原发性肥厚型心肌病及原 发性限制型心肌病三种，病变必须已造成事实上心室功能障碍而出现明显的心功能衰竭</w:t>
      </w:r>
    </w:p>
    <w:p>
      <w:pPr>
        <w:pStyle w:val="BodyText"/>
        <w:spacing w:line="316" w:lineRule="auto" w:before="18"/>
        <w:ind w:left="2675" w:right="218"/>
      </w:pPr>
      <w:r>
        <w:rPr/>
        <w:t>（</w:t>
      </w:r>
      <w:r>
        <w:rPr>
          <w:spacing w:val="-1"/>
        </w:rPr>
        <w:t>美国纽约心脏协会心功能分类标准心功能达 </w:t>
      </w:r>
      <w:r>
        <w:rPr/>
        <w:t>IV</w:t>
      </w:r>
      <w:r>
        <w:rPr>
          <w:spacing w:val="-6"/>
        </w:rPr>
        <w:t> 级</w:t>
      </w:r>
      <w:r>
        <w:rPr>
          <w:spacing w:val="-90"/>
        </w:rPr>
        <w:t>）</w:t>
      </w:r>
      <w:r>
        <w:rPr/>
        <w:t>，且有相关住院医疗记录显示四级</w:t>
      </w:r>
      <w:r>
        <w:rPr>
          <w:spacing w:val="-4"/>
        </w:rPr>
        <w:t>心功能衰竭状态持续至少 </w:t>
      </w:r>
      <w:r>
        <w:rPr/>
        <w:t>180</w:t>
      </w:r>
      <w:r>
        <w:rPr>
          <w:spacing w:val="-16"/>
        </w:rPr>
        <w:t> 天。</w:t>
      </w:r>
    </w:p>
    <w:p>
      <w:pPr>
        <w:pStyle w:val="BodyText"/>
        <w:spacing w:line="316" w:lineRule="auto" w:before="18"/>
        <w:ind w:left="2675" w:right="219"/>
      </w:pPr>
      <w:r>
        <w:rPr/>
        <w:t>本病须经专科医生明确诊断。继发于全身性疾病或其它器官系统疾病或酗酒或滥用药物造成的心肌病变除外。</w:t>
      </w:r>
    </w:p>
    <w:p>
      <w:pPr>
        <w:pStyle w:val="BodyText"/>
        <w:spacing w:line="316" w:lineRule="auto" w:before="18"/>
        <w:ind w:left="2675" w:right="187"/>
      </w:pPr>
      <w:r>
        <w:rPr/>
        <w:t>美国纽约心脏协会分类标准心功能IV 级是指有医院的医疗记录显示病人不能进行任何活动，休息时仍有心悸、呼吸困难等心力衰竭表现。</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20" w:hanging="2436"/>
        <w:jc w:val="left"/>
        <w:rPr>
          <w:sz w:val="18"/>
        </w:rPr>
      </w:pPr>
      <w:r>
        <w:rPr>
          <w:b/>
          <w:sz w:val="18"/>
        </w:rPr>
        <w:t>肌营养不良症</w:t>
        <w:tab/>
      </w:r>
      <w:r>
        <w:rPr>
          <w:sz w:val="18"/>
        </w:rPr>
        <w:t>指一组遗传性肌肉变性病变,</w:t>
      </w:r>
      <w:r>
        <w:rPr>
          <w:spacing w:val="55"/>
          <w:sz w:val="18"/>
        </w:rPr>
        <w:t> </w:t>
      </w:r>
      <w:r>
        <w:rPr>
          <w:sz w:val="18"/>
        </w:rPr>
        <w:t>临床特征为与神经系统无关的骨骼肌肉对称地进行性无力和萎缩。其诊断需满足下列全部条件：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肌电图显示典型肌营养不良症的阳性改变；</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肌肉活检的病理学诊断符合肌营养不良症的肌肉细胞变性\坏死等阳性改变；</w:t>
      </w:r>
    </w:p>
    <w:p>
      <w:pPr>
        <w:pStyle w:val="ListParagraph"/>
        <w:numPr>
          <w:ilvl w:val="1"/>
          <w:numId w:val="23"/>
        </w:numPr>
        <w:tabs>
          <w:tab w:pos="3096" w:val="left" w:leader="none"/>
        </w:tabs>
        <w:spacing w:line="316" w:lineRule="auto" w:before="75" w:after="0"/>
        <w:ind w:left="3095" w:right="221" w:hanging="420"/>
        <w:jc w:val="left"/>
        <w:rPr>
          <w:sz w:val="18"/>
        </w:rPr>
      </w:pPr>
      <w:r>
        <w:rPr>
          <w:sz w:val="18"/>
        </w:rPr>
        <w:t>已导致被保险人持续超过三个月无法独立完成六项基本日常生活活动中的三项获三项以上。</w:t>
      </w:r>
    </w:p>
    <w:p>
      <w:pPr>
        <w:pStyle w:val="BodyText"/>
        <w:spacing w:before="10"/>
        <w:rPr>
          <w:sz w:val="21"/>
        </w:rPr>
      </w:pPr>
    </w:p>
    <w:p>
      <w:pPr>
        <w:spacing w:after="0"/>
        <w:rPr>
          <w:sz w:val="21"/>
        </w:rPr>
        <w:sectPr>
          <w:pgSz w:w="11910" w:h="16840"/>
          <w:pgMar w:header="877" w:footer="981" w:top="1100" w:bottom="1180" w:left="1160" w:right="940"/>
        </w:sectPr>
      </w:pPr>
    </w:p>
    <w:p>
      <w:pPr>
        <w:pStyle w:val="Heading3"/>
        <w:numPr>
          <w:ilvl w:val="0"/>
          <w:numId w:val="23"/>
        </w:numPr>
        <w:tabs>
          <w:tab w:pos="600" w:val="left" w:leader="none"/>
        </w:tabs>
        <w:spacing w:line="316" w:lineRule="auto" w:before="45" w:after="0"/>
        <w:ind w:left="599" w:right="0" w:hanging="360"/>
        <w:jc w:val="left"/>
      </w:pPr>
      <w:r>
        <w:rPr>
          <w:spacing w:val="5"/>
        </w:rPr>
        <w:t>非阿尔茨海默病所致严</w:t>
      </w:r>
      <w:r>
        <w:rPr/>
        <w:t>重痴呆</w:t>
      </w:r>
    </w:p>
    <w:p>
      <w:pPr>
        <w:pStyle w:val="BodyText"/>
        <w:spacing w:line="316" w:lineRule="auto" w:before="45"/>
        <w:ind w:left="168" w:right="211"/>
        <w:jc w:val="both"/>
      </w:pPr>
      <w:r>
        <w:rPr/>
        <w:br w:type="column"/>
      </w:r>
      <w:r>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有完整的临床、实验室和影像学检查结果证实。</w:t>
      </w:r>
    </w:p>
    <w:p>
      <w:pPr>
        <w:pStyle w:val="BodyText"/>
        <w:spacing w:before="18"/>
        <w:ind w:left="168"/>
        <w:jc w:val="both"/>
      </w:pPr>
      <w:r>
        <w:rPr/>
        <w:t>神经官能症，精神疾病及酒精中毒所致脑损害不在保障范围内。</w:t>
      </w:r>
    </w:p>
    <w:p>
      <w:pPr>
        <w:spacing w:after="0"/>
        <w:jc w:val="both"/>
        <w:sectPr>
          <w:type w:val="continuous"/>
          <w:pgSz w:w="11910" w:h="16840"/>
          <w:pgMar w:top="1040" w:bottom="1180" w:left="1160" w:right="940"/>
          <w:cols w:num="2" w:equalWidth="0">
            <w:col w:w="2467" w:space="40"/>
            <w:col w:w="7303"/>
          </w:cols>
        </w:sectPr>
      </w:pPr>
    </w:p>
    <w:p>
      <w:pPr>
        <w:pStyle w:val="BodyText"/>
        <w:spacing w:before="3"/>
        <w:rPr>
          <w:sz w:val="26"/>
        </w:rPr>
      </w:pPr>
    </w:p>
    <w:p>
      <w:pPr>
        <w:pStyle w:val="ListParagraph"/>
        <w:numPr>
          <w:ilvl w:val="0"/>
          <w:numId w:val="23"/>
        </w:numPr>
        <w:tabs>
          <w:tab w:pos="600" w:val="left" w:leader="none"/>
        </w:tabs>
        <w:spacing w:line="316" w:lineRule="auto" w:before="44" w:after="0"/>
        <w:ind w:left="2675" w:right="219" w:hanging="2436"/>
        <w:jc w:val="both"/>
        <w:rPr>
          <w:sz w:val="18"/>
        </w:rPr>
      </w:pPr>
      <w:r>
        <w:rPr>
          <w:b/>
          <w:spacing w:val="2"/>
          <w:sz w:val="18"/>
        </w:rPr>
        <w:t>破裂脑动脉瘤夹闭手术  </w:t>
      </w:r>
      <w:r>
        <w:rPr>
          <w:sz w:val="18"/>
        </w:rPr>
        <w:t>指因脑动脉瘤破裂造成蛛网膜下腔出血，被保险人实际接受了在全麻下进行的开颅动脉瘤夹闭手术。</w:t>
      </w:r>
    </w:p>
    <w:p>
      <w:pPr>
        <w:pStyle w:val="BodyText"/>
        <w:spacing w:line="316" w:lineRule="auto" w:before="18"/>
        <w:ind w:left="2675" w:right="219"/>
      </w:pPr>
      <w:r>
        <w:rPr/>
        <w:t>脑动脉瘤（未破裂）预防性手术、颅骨打孔手术、动脉瘤栓塞手术、血管内手术及其他颅脑手术不在保障范围内。</w:t>
      </w:r>
    </w:p>
    <w:p>
      <w:pPr>
        <w:pStyle w:val="BodyText"/>
        <w:spacing w:before="3"/>
        <w:rPr>
          <w:sz w:val="25"/>
        </w:rPr>
      </w:pPr>
    </w:p>
    <w:p>
      <w:pPr>
        <w:pStyle w:val="ListParagraph"/>
        <w:numPr>
          <w:ilvl w:val="0"/>
          <w:numId w:val="23"/>
        </w:numPr>
        <w:tabs>
          <w:tab w:pos="600" w:val="left" w:leader="none"/>
          <w:tab w:pos="2675" w:val="left" w:leader="none"/>
        </w:tabs>
        <w:spacing w:line="319" w:lineRule="auto" w:before="0" w:after="0"/>
        <w:ind w:left="2675" w:right="219" w:hanging="2436"/>
        <w:jc w:val="both"/>
        <w:rPr>
          <w:sz w:val="18"/>
        </w:rPr>
      </w:pPr>
      <w:r>
        <w:rPr>
          <w:b/>
          <w:sz w:val="18"/>
        </w:rPr>
        <w:t>嗜铬细胞瘤</w:t>
        <w:tab/>
      </w:r>
      <w:r>
        <w:rPr>
          <w:sz w:val="18"/>
        </w:rPr>
        <w:t>是指肾上腺或嗜铬外组织出现神经内分泌肿瘤，并分泌过多的儿茶酚胺类，需要确实进 行手术以切除肿瘤。嗜铬细胞瘤的诊断必须由</w:t>
      </w:r>
      <w:r>
        <w:rPr>
          <w:sz w:val="18"/>
          <w:shd w:fill="D9D9D9" w:color="auto" w:val="clear"/>
        </w:rPr>
        <w:t>内分泌专科医生</w:t>
      </w:r>
      <w:r>
        <w:rPr>
          <w:sz w:val="18"/>
        </w:rPr>
        <w:t>确定。</w:t>
      </w:r>
    </w:p>
    <w:p>
      <w:pPr>
        <w:pStyle w:val="BodyText"/>
        <w:spacing w:before="1"/>
        <w:rPr>
          <w:sz w:val="25"/>
        </w:rPr>
      </w:pPr>
    </w:p>
    <w:p>
      <w:pPr>
        <w:pStyle w:val="ListParagraph"/>
        <w:numPr>
          <w:ilvl w:val="0"/>
          <w:numId w:val="23"/>
        </w:numPr>
        <w:tabs>
          <w:tab w:pos="600" w:val="left" w:leader="none"/>
          <w:tab w:pos="2675" w:val="left" w:leader="none"/>
        </w:tabs>
        <w:spacing w:line="316" w:lineRule="auto" w:before="0" w:after="0"/>
        <w:ind w:left="2675" w:right="220" w:hanging="2436"/>
        <w:jc w:val="both"/>
        <w:rPr>
          <w:sz w:val="18"/>
        </w:rPr>
      </w:pPr>
      <w:r>
        <w:rPr>
          <w:b/>
          <w:sz w:val="18"/>
        </w:rPr>
        <w:t>主动脉夹层瘤</w:t>
        <w:tab/>
      </w:r>
      <w:r>
        <w:rPr>
          <w:sz w:val="18"/>
        </w:rPr>
        <w:t>指主动脉腔内的血流通过主动脉内膜的破裂口进入主动脉内壁而形成血肿。被保险人需 </w:t>
      </w:r>
      <w:r>
        <w:rPr>
          <w:spacing w:val="1"/>
          <w:sz w:val="18"/>
        </w:rPr>
        <w:t>通过</w:t>
      </w:r>
      <w:r>
        <w:rPr>
          <w:spacing w:val="0"/>
          <w:sz w:val="18"/>
        </w:rPr>
        <w:t>断</w:t>
      </w:r>
      <w:r>
        <w:rPr>
          <w:spacing w:val="1"/>
          <w:sz w:val="18"/>
        </w:rPr>
        <w:t>层</w:t>
      </w:r>
      <w:r>
        <w:rPr>
          <w:spacing w:val="0"/>
          <w:sz w:val="18"/>
        </w:rPr>
        <w:t>扫描</w:t>
      </w:r>
      <w:r>
        <w:rPr>
          <w:spacing w:val="1"/>
          <w:sz w:val="18"/>
        </w:rPr>
        <w:t>（</w:t>
      </w:r>
      <w:r>
        <w:rPr>
          <w:sz w:val="18"/>
        </w:rPr>
        <w:t>C</w:t>
      </w:r>
      <w:r>
        <w:rPr>
          <w:spacing w:val="1"/>
          <w:sz w:val="18"/>
        </w:rPr>
        <w:t>T</w:t>
      </w:r>
      <w:r>
        <w:rPr>
          <w:spacing w:val="-89"/>
          <w:sz w:val="18"/>
        </w:rPr>
        <w:t>）</w:t>
      </w:r>
      <w:r>
        <w:rPr>
          <w:spacing w:val="1"/>
          <w:sz w:val="18"/>
        </w:rPr>
        <w:t>、</w:t>
      </w:r>
      <w:r>
        <w:rPr>
          <w:spacing w:val="0"/>
          <w:sz w:val="18"/>
        </w:rPr>
        <w:t>核</w:t>
      </w:r>
      <w:r>
        <w:rPr>
          <w:spacing w:val="1"/>
          <w:sz w:val="18"/>
        </w:rPr>
        <w:t>磁</w:t>
      </w:r>
      <w:r>
        <w:rPr>
          <w:spacing w:val="0"/>
          <w:sz w:val="18"/>
        </w:rPr>
        <w:t>共</w:t>
      </w:r>
      <w:r>
        <w:rPr>
          <w:spacing w:val="1"/>
          <w:sz w:val="18"/>
        </w:rPr>
        <w:t>振检</w:t>
      </w:r>
      <w:r>
        <w:rPr>
          <w:spacing w:val="0"/>
          <w:sz w:val="18"/>
        </w:rPr>
        <w:t>查</w:t>
      </w:r>
      <w:r>
        <w:rPr>
          <w:spacing w:val="1"/>
          <w:sz w:val="18"/>
        </w:rPr>
        <w:t>（</w:t>
      </w:r>
      <w:r>
        <w:rPr>
          <w:sz w:val="18"/>
        </w:rPr>
        <w:t>MR</w:t>
      </w:r>
      <w:r>
        <w:rPr>
          <w:spacing w:val="0"/>
          <w:sz w:val="18"/>
        </w:rPr>
        <w:t>I</w:t>
      </w:r>
      <w:r>
        <w:rPr>
          <w:spacing w:val="-89"/>
          <w:sz w:val="18"/>
        </w:rPr>
        <w:t>）</w:t>
      </w:r>
      <w:r>
        <w:rPr>
          <w:spacing w:val="1"/>
          <w:sz w:val="18"/>
        </w:rPr>
        <w:t>、磁</w:t>
      </w:r>
      <w:r>
        <w:rPr>
          <w:spacing w:val="0"/>
          <w:sz w:val="18"/>
        </w:rPr>
        <w:t>共</w:t>
      </w:r>
      <w:r>
        <w:rPr>
          <w:spacing w:val="1"/>
          <w:sz w:val="18"/>
        </w:rPr>
        <w:t>振</w:t>
      </w:r>
      <w:r>
        <w:rPr>
          <w:spacing w:val="0"/>
          <w:sz w:val="18"/>
        </w:rPr>
        <w:t>血管</w:t>
      </w:r>
      <w:r>
        <w:rPr>
          <w:spacing w:val="1"/>
          <w:sz w:val="18"/>
        </w:rPr>
        <w:t>检验</w:t>
      </w:r>
      <w:r>
        <w:rPr>
          <w:spacing w:val="0"/>
          <w:sz w:val="18"/>
        </w:rPr>
        <w:t>法</w:t>
      </w:r>
      <w:r>
        <w:rPr>
          <w:spacing w:val="1"/>
          <w:sz w:val="18"/>
        </w:rPr>
        <w:t>（</w:t>
      </w:r>
      <w:r>
        <w:rPr>
          <w:sz w:val="18"/>
        </w:rPr>
        <w:t>MR</w:t>
      </w:r>
      <w:r>
        <w:rPr>
          <w:spacing w:val="0"/>
          <w:sz w:val="18"/>
        </w:rPr>
        <w:t>A）</w:t>
      </w:r>
      <w:r>
        <w:rPr>
          <w:spacing w:val="1"/>
          <w:sz w:val="18"/>
        </w:rPr>
        <w:t>或血</w:t>
      </w:r>
      <w:r>
        <w:rPr>
          <w:spacing w:val="0"/>
          <w:sz w:val="18"/>
        </w:rPr>
        <w:t>管</w:t>
      </w:r>
      <w:r>
        <w:rPr>
          <w:spacing w:val="1"/>
          <w:sz w:val="18"/>
        </w:rPr>
        <w:t>扫</w:t>
      </w:r>
      <w:r>
        <w:rPr>
          <w:spacing w:val="0"/>
          <w:sz w:val="18"/>
        </w:rPr>
        <w:t>描等</w:t>
      </w:r>
      <w:r>
        <w:rPr>
          <w:sz w:val="18"/>
        </w:rPr>
        <w:t>检查，并且实施了胸腹切开的直视主动脉手术。</w:t>
      </w:r>
    </w:p>
    <w:p>
      <w:pPr>
        <w:pStyle w:val="BodyText"/>
        <w:spacing w:before="11"/>
        <w:rPr>
          <w:sz w:val="21"/>
        </w:rPr>
      </w:pPr>
    </w:p>
    <w:p>
      <w:pPr>
        <w:spacing w:after="0"/>
        <w:rPr>
          <w:sz w:val="21"/>
        </w:rPr>
        <w:sectPr>
          <w:type w:val="continuous"/>
          <w:pgSz w:w="11910" w:h="16840"/>
          <w:pgMar w:top="1040" w:bottom="1180" w:left="1160" w:right="940"/>
        </w:sectPr>
      </w:pPr>
    </w:p>
    <w:p>
      <w:pPr>
        <w:pStyle w:val="Heading3"/>
        <w:numPr>
          <w:ilvl w:val="0"/>
          <w:numId w:val="23"/>
        </w:numPr>
        <w:tabs>
          <w:tab w:pos="600" w:val="left" w:leader="none"/>
        </w:tabs>
        <w:spacing w:line="316" w:lineRule="auto" w:before="44" w:after="0"/>
        <w:ind w:left="599" w:right="0" w:hanging="360"/>
        <w:jc w:val="left"/>
      </w:pPr>
      <w:r>
        <w:rPr>
          <w:spacing w:val="-7"/>
        </w:rPr>
        <w:t>严重 </w:t>
      </w:r>
      <w:r>
        <w:rPr/>
        <w:t>III</w:t>
      </w:r>
      <w:r>
        <w:rPr>
          <w:spacing w:val="-5"/>
        </w:rPr>
        <w:t> 度房室传导阻滞</w:t>
      </w:r>
    </w:p>
    <w:p>
      <w:pPr>
        <w:pStyle w:val="BodyText"/>
        <w:spacing w:line="316" w:lineRule="auto" w:before="44"/>
        <w:ind w:left="175" w:right="220"/>
      </w:pPr>
      <w:r>
        <w:rPr/>
        <w:br w:type="column"/>
      </w:r>
      <w:r>
        <w:rPr/>
        <w:t>指心房激动在房室交界区、房室束及其分支内发生阻滞，不能正常地传到心室的心脏传导性疾病，须满足下列所有条件：</w:t>
      </w:r>
    </w:p>
    <w:p>
      <w:pPr>
        <w:pStyle w:val="ListParagraph"/>
        <w:numPr>
          <w:ilvl w:val="0"/>
          <w:numId w:val="29"/>
        </w:numPr>
        <w:tabs>
          <w:tab w:pos="596" w:val="left" w:leader="none"/>
        </w:tabs>
        <w:spacing w:line="240" w:lineRule="auto" w:before="18" w:after="0"/>
        <w:ind w:left="595" w:right="0" w:hanging="420"/>
        <w:jc w:val="left"/>
        <w:rPr>
          <w:sz w:val="18"/>
        </w:rPr>
      </w:pPr>
      <w:r>
        <w:rPr>
          <w:sz w:val="18"/>
        </w:rPr>
        <w:t>心电图显示房室搏动彼此独立，心室率&lt;40</w:t>
      </w:r>
      <w:r>
        <w:rPr>
          <w:spacing w:val="-23"/>
          <w:sz w:val="18"/>
        </w:rPr>
        <w:t> 次</w:t>
      </w:r>
      <w:r>
        <w:rPr>
          <w:sz w:val="18"/>
        </w:rPr>
        <w:t>/分钟；</w:t>
      </w:r>
    </w:p>
    <w:p>
      <w:pPr>
        <w:pStyle w:val="ListParagraph"/>
        <w:numPr>
          <w:ilvl w:val="0"/>
          <w:numId w:val="29"/>
        </w:numPr>
        <w:tabs>
          <w:tab w:pos="596" w:val="left" w:leader="none"/>
        </w:tabs>
        <w:spacing w:line="240" w:lineRule="auto" w:before="76" w:after="0"/>
        <w:ind w:left="595" w:right="0" w:hanging="420"/>
        <w:jc w:val="left"/>
        <w:rPr>
          <w:sz w:val="18"/>
        </w:rPr>
      </w:pPr>
      <w:r>
        <w:rPr>
          <w:spacing w:val="-5"/>
          <w:sz w:val="18"/>
        </w:rPr>
        <w:t>动态心电图显示至少 </w:t>
      </w:r>
      <w:r>
        <w:rPr>
          <w:sz w:val="18"/>
        </w:rPr>
        <w:t>3</w:t>
      </w:r>
      <w:r>
        <w:rPr>
          <w:spacing w:val="-1"/>
          <w:sz w:val="18"/>
        </w:rPr>
        <w:t> 秒的</w:t>
      </w:r>
      <w:r>
        <w:rPr>
          <w:sz w:val="18"/>
        </w:rPr>
        <w:t>RR</w:t>
      </w:r>
      <w:r>
        <w:rPr>
          <w:spacing w:val="-12"/>
          <w:sz w:val="18"/>
        </w:rPr>
        <w:t> 间期；</w:t>
      </w:r>
    </w:p>
    <w:p>
      <w:pPr>
        <w:pStyle w:val="ListParagraph"/>
        <w:numPr>
          <w:ilvl w:val="0"/>
          <w:numId w:val="29"/>
        </w:numPr>
        <w:tabs>
          <w:tab w:pos="596" w:val="left" w:leader="none"/>
        </w:tabs>
        <w:spacing w:line="240" w:lineRule="auto" w:before="76" w:after="0"/>
        <w:ind w:left="595" w:right="0" w:hanging="420"/>
        <w:jc w:val="left"/>
        <w:rPr>
          <w:sz w:val="18"/>
        </w:rPr>
      </w:pPr>
      <w:r>
        <w:rPr>
          <w:sz w:val="18"/>
        </w:rPr>
        <w:t>出现阿-斯综合征或心力衰竭的表现；</w:t>
      </w:r>
    </w:p>
    <w:p>
      <w:pPr>
        <w:pStyle w:val="ListParagraph"/>
        <w:numPr>
          <w:ilvl w:val="0"/>
          <w:numId w:val="29"/>
        </w:numPr>
        <w:tabs>
          <w:tab w:pos="596" w:val="left" w:leader="none"/>
        </w:tabs>
        <w:spacing w:line="240" w:lineRule="auto" w:before="76" w:after="0"/>
        <w:ind w:left="595" w:right="0" w:hanging="420"/>
        <w:jc w:val="left"/>
        <w:rPr>
          <w:sz w:val="18"/>
        </w:rPr>
      </w:pPr>
      <w:r>
        <w:rPr>
          <w:sz w:val="18"/>
        </w:rPr>
        <w:t>必须持续性依赖心脏起搏器维持心脏正常功能，且已经放置永久性心脏起搏器。</w:t>
      </w:r>
    </w:p>
    <w:p>
      <w:pPr>
        <w:spacing w:after="0" w:line="240" w:lineRule="auto"/>
        <w:jc w:val="left"/>
        <w:rPr>
          <w:sz w:val="18"/>
        </w:rPr>
        <w:sectPr>
          <w:type w:val="continuous"/>
          <w:pgSz w:w="11910" w:h="16840"/>
          <w:pgMar w:top="1040" w:bottom="1180" w:left="1160" w:right="940"/>
          <w:cols w:num="2" w:equalWidth="0">
            <w:col w:w="2460" w:space="40"/>
            <w:col w:w="7310"/>
          </w:cols>
        </w:sectPr>
      </w:pPr>
    </w:p>
    <w:p>
      <w:pPr>
        <w:pStyle w:val="BodyText"/>
        <w:spacing w:before="3"/>
        <w:rPr>
          <w:sz w:val="26"/>
        </w:rPr>
      </w:pPr>
    </w:p>
    <w:p>
      <w:pPr>
        <w:pStyle w:val="ListParagraph"/>
        <w:numPr>
          <w:ilvl w:val="0"/>
          <w:numId w:val="23"/>
        </w:numPr>
        <w:tabs>
          <w:tab w:pos="600" w:val="left" w:leader="none"/>
          <w:tab w:pos="2675" w:val="left" w:leader="none"/>
        </w:tabs>
        <w:spacing w:line="240" w:lineRule="auto" w:before="45" w:after="0"/>
        <w:ind w:left="599" w:right="0" w:hanging="360"/>
        <w:jc w:val="left"/>
        <w:rPr>
          <w:sz w:val="18"/>
        </w:rPr>
      </w:pPr>
      <w:r>
        <w:rPr>
          <w:b/>
          <w:sz w:val="18"/>
        </w:rPr>
        <w:t>严重传染性心内膜炎</w:t>
        <w:tab/>
      </w:r>
      <w:r>
        <w:rPr>
          <w:sz w:val="18"/>
        </w:rPr>
        <w:t>是指由感染性微生物引致的心脏内膜炎症，并须符合下</w:t>
      </w:r>
      <w:r>
        <w:rPr>
          <w:rFonts w:ascii="PMingLiU-ExtB" w:eastAsia="PMingLiU-ExtB"/>
          <w:position w:val="1"/>
          <w:sz w:val="18"/>
        </w:rPr>
        <w:t>列</w:t>
      </w:r>
      <w:r>
        <w:rPr>
          <w:sz w:val="18"/>
        </w:rPr>
        <w:t>所有准则：</w:t>
      </w:r>
    </w:p>
    <w:p>
      <w:pPr>
        <w:spacing w:after="0" w:line="240" w:lineRule="auto"/>
        <w:jc w:val="left"/>
        <w:rPr>
          <w:sz w:val="18"/>
        </w:rPr>
        <w:sectPr>
          <w:type w:val="continuous"/>
          <w:pgSz w:w="11910" w:h="16840"/>
          <w:pgMar w:top="1040" w:bottom="1180" w:left="1160" w:right="940"/>
        </w:sectPr>
      </w:pPr>
    </w:p>
    <w:p>
      <w:pPr>
        <w:pStyle w:val="BodyText"/>
        <w:spacing w:before="3"/>
        <w:rPr>
          <w:sz w:val="20"/>
        </w:rPr>
      </w:pPr>
    </w:p>
    <w:p>
      <w:pPr>
        <w:pStyle w:val="ListParagraph"/>
        <w:numPr>
          <w:ilvl w:val="1"/>
          <w:numId w:val="23"/>
        </w:numPr>
        <w:tabs>
          <w:tab w:pos="3096" w:val="left" w:leader="none"/>
        </w:tabs>
        <w:spacing w:line="240" w:lineRule="auto" w:before="44" w:after="0"/>
        <w:ind w:left="3095" w:right="0" w:hanging="420"/>
        <w:jc w:val="left"/>
        <w:rPr>
          <w:sz w:val="18"/>
        </w:rPr>
      </w:pPr>
      <w:r>
        <w:rPr>
          <w:sz w:val="18"/>
        </w:rPr>
        <w:t>血液培植结果呈阳性反应，证明存在感染病原体：</w:t>
      </w:r>
    </w:p>
    <w:p>
      <w:pPr>
        <w:pStyle w:val="BodyText"/>
        <w:tabs>
          <w:tab w:pos="3515" w:val="left" w:leader="none"/>
        </w:tabs>
        <w:spacing w:line="316" w:lineRule="auto"/>
        <w:ind w:left="3515" w:right="217" w:hanging="420"/>
      </w:pPr>
      <w:r>
        <w:rPr/>
        <w:t>①</w:t>
        <w:tab/>
      </w:r>
      <w:r>
        <w:rPr>
          <w:spacing w:val="-8"/>
        </w:rPr>
        <w:t>微生物：在赘生物、栓塞的赘生物或心脏内脓疡经培养或组织检查证实有微生物；</w:t>
      </w:r>
    </w:p>
    <w:p>
      <w:pPr>
        <w:pStyle w:val="BodyText"/>
        <w:tabs>
          <w:tab w:pos="3515" w:val="left" w:leader="none"/>
        </w:tabs>
        <w:spacing w:before="19"/>
        <w:ind w:left="3095"/>
      </w:pPr>
      <w:r>
        <w:rPr/>
        <w:t>②</w:t>
        <w:tab/>
        <w:t>病理性病灶：组织病理学检查证实赘生物或心脏内脓疡有活动性心内膜炎；</w:t>
      </w:r>
    </w:p>
    <w:p>
      <w:pPr>
        <w:pStyle w:val="BodyText"/>
        <w:tabs>
          <w:tab w:pos="3515" w:val="left" w:leader="none"/>
        </w:tabs>
        <w:ind w:left="3095"/>
      </w:pPr>
      <w:r>
        <w:rPr/>
        <w:t>③</w:t>
        <w:tab/>
        <w:t>分别两次血液培养证实有典型的病原体且与心内膜炎吻合；</w:t>
      </w:r>
    </w:p>
    <w:p>
      <w:pPr>
        <w:pStyle w:val="BodyText"/>
        <w:tabs>
          <w:tab w:pos="3515" w:val="left" w:leader="none"/>
        </w:tabs>
        <w:ind w:left="3095"/>
      </w:pPr>
      <w:r>
        <w:rPr/>
        <w:t>④</w:t>
        <w:tab/>
        <w:t>持续血液培养证实有病原体阳性反应，且与心内膜炎吻合；</w:t>
      </w:r>
    </w:p>
    <w:p>
      <w:pPr>
        <w:pStyle w:val="ListParagraph"/>
        <w:numPr>
          <w:ilvl w:val="1"/>
          <w:numId w:val="23"/>
        </w:numPr>
        <w:tabs>
          <w:tab w:pos="3096" w:val="left" w:leader="none"/>
        </w:tabs>
        <w:spacing w:line="316" w:lineRule="auto" w:before="76" w:after="0"/>
        <w:ind w:left="3095" w:right="137" w:hanging="420"/>
        <w:jc w:val="left"/>
        <w:rPr>
          <w:sz w:val="18"/>
        </w:rPr>
      </w:pPr>
      <w:r>
        <w:rPr>
          <w:sz w:val="18"/>
        </w:rPr>
        <w:t>出现最少中度之心脏瓣膜功能不全（即返流部份达百分之二十或以上）或中度之心脏瓣膜狭窄（即心脏瓣面积为正常值的百分之三十或以下</w:t>
      </w:r>
      <w:r>
        <w:rPr>
          <w:spacing w:val="-90"/>
          <w:sz w:val="18"/>
        </w:rPr>
        <w:t>）</w:t>
      </w:r>
      <w:r>
        <w:rPr>
          <w:sz w:val="18"/>
        </w:rPr>
        <w:t>，导致传染性心内膜炎；</w:t>
      </w:r>
    </w:p>
    <w:p>
      <w:pPr>
        <w:pStyle w:val="ListParagraph"/>
        <w:numPr>
          <w:ilvl w:val="1"/>
          <w:numId w:val="23"/>
        </w:numPr>
        <w:tabs>
          <w:tab w:pos="3096" w:val="left" w:leader="none"/>
        </w:tabs>
        <w:spacing w:line="316" w:lineRule="auto" w:before="18" w:after="0"/>
        <w:ind w:left="3095" w:right="221" w:hanging="420"/>
        <w:jc w:val="left"/>
        <w:rPr>
          <w:sz w:val="18"/>
        </w:rPr>
      </w:pPr>
      <w:r>
        <w:rPr>
          <w:sz w:val="18"/>
        </w:rPr>
        <w:t>感染性心内膜炎的诊断及瓣膜受损的严重程度必须由</w:t>
      </w:r>
      <w:r>
        <w:rPr>
          <w:sz w:val="18"/>
          <w:shd w:fill="D9D9D9" w:color="auto" w:val="clear"/>
        </w:rPr>
        <w:t>本公司认可医院的心脏专科医生</w:t>
      </w:r>
      <w:r>
        <w:rPr>
          <w:sz w:val="18"/>
        </w:rPr>
        <w:t>确定，并提供超声心动图或放射影像学检查结果报告以支持诊断。</w:t>
      </w:r>
    </w:p>
    <w:p>
      <w:pPr>
        <w:pStyle w:val="BodyText"/>
        <w:spacing w:before="3"/>
        <w:rPr>
          <w:sz w:val="25"/>
        </w:rPr>
      </w:pPr>
    </w:p>
    <w:p>
      <w:pPr>
        <w:pStyle w:val="ListParagraph"/>
        <w:numPr>
          <w:ilvl w:val="0"/>
          <w:numId w:val="23"/>
        </w:numPr>
        <w:tabs>
          <w:tab w:pos="600" w:val="left" w:leader="none"/>
        </w:tabs>
        <w:spacing w:line="316" w:lineRule="auto" w:before="0" w:after="0"/>
        <w:ind w:left="2675" w:right="221" w:hanging="2436"/>
        <w:jc w:val="both"/>
        <w:rPr>
          <w:sz w:val="18"/>
        </w:rPr>
      </w:pPr>
      <w:r>
        <w:rPr>
          <w:b/>
          <w:spacing w:val="2"/>
          <w:sz w:val="18"/>
        </w:rPr>
        <w:t>严重慢性缩窄型心包炎  </w:t>
      </w:r>
      <w:r>
        <w:rPr>
          <w:sz w:val="18"/>
        </w:rPr>
        <w:t>由于慢性心包炎症导致心包脏层和壁层广泛瘢痕粘连、增厚和钙化，心包腔闭塞，形成一个纤维瘢痕外壳，使心脏和大血管根部受压，阻碍心脏的舒张。被保险人被明确诊断为慢性缩窄性心包炎且必须满足下列全部条件：</w:t>
      </w:r>
    </w:p>
    <w:p>
      <w:pPr>
        <w:pStyle w:val="ListParagraph"/>
        <w:numPr>
          <w:ilvl w:val="1"/>
          <w:numId w:val="23"/>
        </w:numPr>
        <w:tabs>
          <w:tab w:pos="3096" w:val="left" w:leader="none"/>
        </w:tabs>
        <w:spacing w:line="240" w:lineRule="auto" w:before="18" w:after="0"/>
        <w:ind w:left="3095" w:right="0" w:hanging="420"/>
        <w:jc w:val="left"/>
        <w:rPr>
          <w:sz w:val="18"/>
        </w:rPr>
      </w:pPr>
      <w:r>
        <w:rPr>
          <w:spacing w:val="0"/>
          <w:sz w:val="18"/>
        </w:rPr>
        <w:t>心功能衰竭达到美国纽约心脏病学会心功能状态分级</w:t>
      </w:r>
      <w:r>
        <w:rPr>
          <w:sz w:val="18"/>
        </w:rPr>
        <w:t>IV</w:t>
      </w:r>
      <w:r>
        <w:rPr>
          <w:spacing w:val="-15"/>
          <w:sz w:val="18"/>
        </w:rPr>
        <w:t> 级，并持续 </w:t>
      </w:r>
      <w:r>
        <w:rPr>
          <w:sz w:val="18"/>
        </w:rPr>
        <w:t>180</w:t>
      </w:r>
      <w:r>
        <w:rPr>
          <w:spacing w:val="-10"/>
          <w:sz w:val="18"/>
        </w:rPr>
        <w:t> 天以上；</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已经接受了开胸进行的心包剥脱或心包切除手术。</w:t>
      </w:r>
    </w:p>
    <w:p>
      <w:pPr>
        <w:pStyle w:val="BodyText"/>
        <w:ind w:left="2675"/>
      </w:pPr>
      <w:r>
        <w:rPr/>
        <w:t>经胸腔镜、胸壁打孔进行的手术、心包粘连松解手术不在保障范围内。</w:t>
      </w:r>
    </w:p>
    <w:p>
      <w:pPr>
        <w:pStyle w:val="BodyText"/>
        <w:spacing w:before="0"/>
      </w:pPr>
    </w:p>
    <w:p>
      <w:pPr>
        <w:pStyle w:val="ListParagraph"/>
        <w:numPr>
          <w:ilvl w:val="0"/>
          <w:numId w:val="23"/>
        </w:numPr>
        <w:tabs>
          <w:tab w:pos="600" w:val="left" w:leader="none"/>
          <w:tab w:pos="2675" w:val="left" w:leader="none"/>
        </w:tabs>
        <w:spacing w:line="240" w:lineRule="auto" w:before="152" w:after="0"/>
        <w:ind w:left="599" w:right="0" w:hanging="360"/>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0"/>
      </w:pPr>
    </w:p>
    <w:p>
      <w:pPr>
        <w:pStyle w:val="ListParagraph"/>
        <w:numPr>
          <w:ilvl w:val="0"/>
          <w:numId w:val="23"/>
        </w:numPr>
        <w:tabs>
          <w:tab w:pos="600" w:val="left" w:leader="none"/>
          <w:tab w:pos="2675" w:val="left" w:leader="none"/>
        </w:tabs>
        <w:spacing w:line="316" w:lineRule="auto" w:before="152" w:after="0"/>
        <w:ind w:left="2675" w:right="218" w:hanging="2436"/>
        <w:jc w:val="both"/>
        <w:rPr>
          <w:sz w:val="18"/>
        </w:rPr>
      </w:pPr>
      <w:r>
        <w:rPr>
          <w:b/>
          <w:sz w:val="18"/>
        </w:rPr>
        <w:t>结核性脊髓炎</w:t>
        <w:tab/>
      </w:r>
      <w:r>
        <w:rPr>
          <w:sz w:val="18"/>
        </w:rPr>
        <w:t>因结核杆菌引起的脊髓炎</w:t>
      </w:r>
      <w:r>
        <w:rPr>
          <w:spacing w:val="-52"/>
          <w:sz w:val="18"/>
        </w:rPr>
        <w:t>，</w:t>
      </w:r>
      <w:r>
        <w:rPr>
          <w:sz w:val="18"/>
        </w:rPr>
        <w:t>导致永久性神经系统功能中度障碍</w:t>
      </w:r>
      <w:r>
        <w:rPr>
          <w:spacing w:val="-52"/>
          <w:sz w:val="18"/>
        </w:rPr>
        <w:t>，</w:t>
      </w:r>
      <w:r>
        <w:rPr>
          <w:sz w:val="18"/>
        </w:rPr>
        <w:t>即</w:t>
      </w:r>
      <w:r>
        <w:rPr>
          <w:spacing w:val="-52"/>
          <w:sz w:val="18"/>
        </w:rPr>
        <w:t>：</w:t>
      </w:r>
      <w:r>
        <w:rPr>
          <w:sz w:val="18"/>
        </w:rPr>
        <w:t>疾病首次确诊</w:t>
      </w:r>
      <w:r>
        <w:rPr>
          <w:spacing w:val="-47"/>
          <w:sz w:val="18"/>
        </w:rPr>
        <w:t> </w:t>
      </w:r>
      <w:r>
        <w:rPr>
          <w:sz w:val="18"/>
        </w:rPr>
        <w:t>180</w:t>
      </w:r>
      <w:r>
        <w:rPr>
          <w:spacing w:val="-2"/>
          <w:sz w:val="18"/>
        </w:rPr>
        <w:t> </w:t>
      </w:r>
      <w:r>
        <w:rPr>
          <w:sz w:val="18"/>
        </w:rPr>
        <w:t>天后，仍遗留下列一种或一种以上障碍：</w:t>
      </w:r>
    </w:p>
    <w:p>
      <w:pPr>
        <w:pStyle w:val="ListParagraph"/>
        <w:numPr>
          <w:ilvl w:val="1"/>
          <w:numId w:val="23"/>
        </w:numPr>
        <w:tabs>
          <w:tab w:pos="3096" w:val="left" w:leader="none"/>
        </w:tabs>
        <w:spacing w:line="240" w:lineRule="auto" w:before="18" w:after="0"/>
        <w:ind w:left="2675" w:right="0" w:firstLine="0"/>
        <w:jc w:val="left"/>
        <w:rPr>
          <w:sz w:val="18"/>
        </w:rPr>
      </w:pPr>
      <w:r>
        <w:rPr>
          <w:sz w:val="18"/>
        </w:rPr>
        <w:t>一肢或一肢以上肢体肌力Ⅲ级或Ⅲ级以下的运动功能障碍；</w:t>
      </w:r>
    </w:p>
    <w:p>
      <w:pPr>
        <w:pStyle w:val="ListParagraph"/>
        <w:numPr>
          <w:ilvl w:val="1"/>
          <w:numId w:val="23"/>
        </w:numPr>
        <w:tabs>
          <w:tab w:pos="3096" w:val="left" w:leader="none"/>
        </w:tabs>
        <w:spacing w:line="316" w:lineRule="auto" w:before="76" w:after="0"/>
        <w:ind w:left="2675" w:right="128" w:firstLine="0"/>
        <w:jc w:val="left"/>
        <w:rPr>
          <w:sz w:val="18"/>
        </w:rPr>
      </w:pPr>
      <w:r>
        <w:rPr>
          <w:spacing w:val="-8"/>
          <w:sz w:val="18"/>
        </w:rPr>
        <w:t>自主生活能力部分丧失，无法独立完成六项基本日常生活活动中的二项或二项以上。该诊断必须由本公司认可医院的神经专科医生证实，并必须由适当的检查证明为结核性脊髓炎。</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20" w:hanging="2436"/>
        <w:jc w:val="both"/>
        <w:rPr>
          <w:sz w:val="18"/>
        </w:rPr>
      </w:pPr>
      <w:r>
        <w:rPr>
          <w:b/>
          <w:sz w:val="18"/>
        </w:rPr>
        <w:t>库鲁病</w:t>
        <w:tab/>
      </w:r>
      <w:r>
        <w:rPr>
          <w:sz w:val="18"/>
        </w:rPr>
        <w:t>指一种亚急性传染性朊蛋白病。临床表现为共济失调、震颤、不自主运动，在病程晚期 出现进行性加重的痴呆，神经异常。该病必须由</w:t>
      </w:r>
      <w:r>
        <w:rPr>
          <w:sz w:val="18"/>
          <w:shd w:fill="D9D9D9" w:color="auto" w:val="clear"/>
        </w:rPr>
        <w:t>医疗机构的专科医生</w:t>
      </w:r>
      <w:r>
        <w:rPr>
          <w:sz w:val="18"/>
        </w:rPr>
        <w:t>根据致病蛋白的发现而明确诊断。</w:t>
      </w:r>
    </w:p>
    <w:p>
      <w:pPr>
        <w:pStyle w:val="BodyText"/>
        <w:spacing w:before="11"/>
        <w:rPr>
          <w:sz w:val="21"/>
        </w:rPr>
      </w:pPr>
    </w:p>
    <w:p>
      <w:pPr>
        <w:spacing w:after="0"/>
        <w:rPr>
          <w:sz w:val="21"/>
        </w:rPr>
        <w:sectPr>
          <w:pgSz w:w="11910" w:h="16840"/>
          <w:pgMar w:header="877" w:footer="981" w:top="1100" w:bottom="1180" w:left="1160" w:right="940"/>
        </w:sectPr>
      </w:pPr>
    </w:p>
    <w:p>
      <w:pPr>
        <w:pStyle w:val="Heading3"/>
        <w:numPr>
          <w:ilvl w:val="0"/>
          <w:numId w:val="23"/>
        </w:numPr>
        <w:tabs>
          <w:tab w:pos="600" w:val="left" w:leader="none"/>
        </w:tabs>
        <w:spacing w:line="316" w:lineRule="auto" w:before="44" w:after="0"/>
        <w:ind w:left="599" w:right="0" w:hanging="360"/>
        <w:jc w:val="left"/>
      </w:pPr>
      <w:r>
        <w:rPr>
          <w:spacing w:val="5"/>
        </w:rPr>
        <w:t>经输血导致的人类免疫</w:t>
      </w:r>
      <w:r>
        <w:rPr>
          <w:w w:val="95"/>
        </w:rPr>
        <w:t>缺陷病毒感染</w:t>
      </w:r>
    </w:p>
    <w:p>
      <w:pPr>
        <w:pStyle w:val="BodyText"/>
        <w:spacing w:before="44"/>
        <w:ind w:left="168"/>
      </w:pPr>
      <w:r>
        <w:rPr/>
        <w:br w:type="column"/>
      </w:r>
      <w:r>
        <w:rPr/>
        <w:t>被保险人感染上人类免疫缺陷病毒（HIV）并且满足下列全部条件：</w:t>
      </w:r>
    </w:p>
    <w:p>
      <w:pPr>
        <w:pStyle w:val="ListParagraph"/>
        <w:numPr>
          <w:ilvl w:val="0"/>
          <w:numId w:val="30"/>
        </w:numPr>
        <w:tabs>
          <w:tab w:pos="589" w:val="left" w:leader="none"/>
        </w:tabs>
        <w:spacing w:line="240" w:lineRule="auto" w:before="76" w:after="0"/>
        <w:ind w:left="588" w:right="0" w:hanging="420"/>
        <w:jc w:val="left"/>
        <w:rPr>
          <w:sz w:val="18"/>
        </w:rPr>
      </w:pPr>
      <w:r>
        <w:rPr>
          <w:sz w:val="18"/>
        </w:rPr>
        <w:t>造成感染的输血事件发生在保单有效期内；</w:t>
      </w:r>
    </w:p>
    <w:p>
      <w:pPr>
        <w:pStyle w:val="ListParagraph"/>
        <w:numPr>
          <w:ilvl w:val="0"/>
          <w:numId w:val="30"/>
        </w:numPr>
        <w:tabs>
          <w:tab w:pos="589" w:val="left" w:leader="none"/>
        </w:tabs>
        <w:spacing w:line="316" w:lineRule="auto" w:before="76" w:after="0"/>
        <w:ind w:left="588" w:right="221" w:hanging="420"/>
        <w:jc w:val="left"/>
        <w:rPr>
          <w:sz w:val="18"/>
        </w:rPr>
      </w:pPr>
      <w:r>
        <w:rPr>
          <w:sz w:val="18"/>
        </w:rPr>
        <w:t>提供输血治疗的输血中心或医院出具该项输血感染属医疗责任事故的报告，或者法院终审裁定为医疗责任；</w:t>
      </w:r>
    </w:p>
    <w:p>
      <w:pPr>
        <w:pStyle w:val="ListParagraph"/>
        <w:numPr>
          <w:ilvl w:val="0"/>
          <w:numId w:val="30"/>
        </w:numPr>
        <w:tabs>
          <w:tab w:pos="589" w:val="left" w:leader="none"/>
        </w:tabs>
        <w:spacing w:line="240" w:lineRule="auto" w:before="18" w:after="0"/>
        <w:ind w:left="588" w:right="0" w:hanging="420"/>
        <w:jc w:val="left"/>
        <w:rPr>
          <w:sz w:val="18"/>
        </w:rPr>
      </w:pPr>
      <w:r>
        <w:rPr>
          <w:sz w:val="18"/>
        </w:rPr>
        <w:t>提供输血治疗的输血中心或医院必须拥有合法经营执照；</w:t>
      </w:r>
    </w:p>
    <w:p>
      <w:pPr>
        <w:pStyle w:val="ListParagraph"/>
        <w:numPr>
          <w:ilvl w:val="0"/>
          <w:numId w:val="30"/>
        </w:numPr>
        <w:tabs>
          <w:tab w:pos="589" w:val="left" w:leader="none"/>
        </w:tabs>
        <w:spacing w:line="240" w:lineRule="auto" w:before="76" w:after="0"/>
        <w:ind w:left="588" w:right="0" w:hanging="420"/>
        <w:jc w:val="left"/>
        <w:rPr>
          <w:sz w:val="18"/>
        </w:rPr>
      </w:pPr>
      <w:r>
        <w:rPr>
          <w:sz w:val="18"/>
        </w:rPr>
        <w:t>受感染的被保险人不是血友病患者。</w:t>
      </w:r>
    </w:p>
    <w:p>
      <w:pPr>
        <w:pStyle w:val="BodyText"/>
        <w:spacing w:line="316" w:lineRule="auto"/>
        <w:ind w:left="168" w:right="181"/>
      </w:pPr>
      <w:r>
        <w:rPr/>
        <w:t>在任何治愈艾滋病（AIDS）或阻止HIV 病毒作用的疗法被发现以后，或能防止AIDS 发生的医疗方法被研究出来以后，本保障将不再予以赔付。</w:t>
      </w:r>
    </w:p>
    <w:p>
      <w:pPr>
        <w:pStyle w:val="BodyText"/>
        <w:spacing w:line="316" w:lineRule="auto" w:before="18"/>
        <w:ind w:left="168" w:right="218"/>
        <w:jc w:val="both"/>
      </w:pPr>
      <w:r>
        <w:rPr/>
        <w:t>任何因其他传播方式（包括：性传播或静脉注射毒品）</w:t>
      </w:r>
      <w:r>
        <w:rPr>
          <w:spacing w:val="-3"/>
        </w:rPr>
        <w:t>导致的 </w:t>
      </w:r>
      <w:r>
        <w:rPr/>
        <w:t>HIV</w:t>
      </w:r>
      <w:r>
        <w:rPr>
          <w:spacing w:val="-3"/>
        </w:rPr>
        <w:t> 感染不在本保单保障范围内。保险公司必须拥有获得使用被保险人的所有血液样本的权利和能够对这些样本进行独立检验的权利。</w:t>
      </w:r>
    </w:p>
    <w:p>
      <w:pPr>
        <w:pStyle w:val="BodyText"/>
        <w:spacing w:before="18"/>
        <w:ind w:left="168"/>
      </w:pPr>
      <w:r>
        <w:rPr/>
        <w:t>保单条款中一般除外责任中的HIV 规定，不适用于本条。</w:t>
      </w:r>
    </w:p>
    <w:p>
      <w:pPr>
        <w:spacing w:after="0"/>
        <w:sectPr>
          <w:type w:val="continuous"/>
          <w:pgSz w:w="11910" w:h="16840"/>
          <w:pgMar w:top="1040" w:bottom="1180" w:left="1160" w:right="940"/>
          <w:cols w:num="2" w:equalWidth="0">
            <w:col w:w="2467" w:space="40"/>
            <w:col w:w="7303"/>
          </w:cols>
        </w:sectPr>
      </w:pPr>
    </w:p>
    <w:p>
      <w:pPr>
        <w:pStyle w:val="BodyText"/>
        <w:spacing w:before="3"/>
        <w:rPr>
          <w:sz w:val="20"/>
        </w:rPr>
      </w:pPr>
    </w:p>
    <w:p>
      <w:pPr>
        <w:pStyle w:val="ListParagraph"/>
        <w:numPr>
          <w:ilvl w:val="0"/>
          <w:numId w:val="23"/>
        </w:numPr>
        <w:tabs>
          <w:tab w:pos="600" w:val="left" w:leader="none"/>
          <w:tab w:pos="2675" w:val="left" w:leader="none"/>
        </w:tabs>
        <w:spacing w:line="316" w:lineRule="auto" w:before="44" w:after="0"/>
        <w:ind w:left="2675" w:right="218" w:hanging="2436"/>
        <w:jc w:val="both"/>
        <w:rPr>
          <w:sz w:val="18"/>
        </w:rPr>
      </w:pPr>
      <w:r>
        <w:rPr>
          <w:b/>
          <w:sz w:val="18"/>
        </w:rPr>
        <w:t>脊髓灰质炎</w:t>
        <w:tab/>
      </w:r>
      <w:r>
        <w:rPr>
          <w:sz w:val="18"/>
        </w:rPr>
        <w:t>脊髓灰质炎是由于脊髓灰质炎病毒感染所致的瘫痪性疾病，临床表现为运动功能损害或 呼吸无力。脊髓灰质炎必须明确诊断。本保单仅对脊髓灰质炎造成的神经系统功能损害导致被保险人一肢或一肢以上肢体机能永久完全丧失的情况予以理赔。肢体机能永久完全丧失，指疾病确诊</w:t>
      </w:r>
      <w:r>
        <w:rPr>
          <w:spacing w:val="-11"/>
          <w:sz w:val="18"/>
        </w:rPr>
        <w:t> </w:t>
      </w:r>
      <w:r>
        <w:rPr>
          <w:sz w:val="18"/>
        </w:rPr>
        <w:t>180</w:t>
      </w:r>
      <w:r>
        <w:rPr>
          <w:spacing w:val="-11"/>
          <w:sz w:val="18"/>
        </w:rPr>
        <w:t> </w:t>
      </w:r>
      <w:r>
        <w:rPr>
          <w:sz w:val="18"/>
        </w:rPr>
        <w:t>天后，每肢三大关节中的两大关节仍然完全僵硬，或不能随意识活动。</w:t>
      </w:r>
    </w:p>
    <w:p>
      <w:pPr>
        <w:pStyle w:val="BodyText"/>
        <w:spacing w:before="3"/>
        <w:rPr>
          <w:sz w:val="25"/>
        </w:rPr>
      </w:pPr>
    </w:p>
    <w:p>
      <w:pPr>
        <w:pStyle w:val="ListParagraph"/>
        <w:numPr>
          <w:ilvl w:val="0"/>
          <w:numId w:val="23"/>
        </w:numPr>
        <w:tabs>
          <w:tab w:pos="600" w:val="left" w:leader="none"/>
          <w:tab w:pos="2675" w:val="left" w:leader="none"/>
        </w:tabs>
        <w:spacing w:line="316" w:lineRule="auto" w:before="0" w:after="0"/>
        <w:ind w:left="2675" w:right="219" w:hanging="2436"/>
        <w:jc w:val="both"/>
        <w:rPr>
          <w:sz w:val="18"/>
        </w:rPr>
      </w:pPr>
      <w:r>
        <w:rPr>
          <w:b/>
          <w:sz w:val="18"/>
        </w:rPr>
        <w:t>坏死性筋膜炎</w:t>
        <w:tab/>
      </w:r>
      <w:r>
        <w:rPr>
          <w:sz w:val="18"/>
        </w:rPr>
        <w:t>是一种由细菌侵入皮下组织和筋膜引起的急性坏死性软组织感染，可伴有毒血症、败血 症、中毒性休克、弥漫性血管内凝血及多器官衰竭。必须满足以下所有条件：</w:t>
      </w:r>
    </w:p>
    <w:p>
      <w:pPr>
        <w:pStyle w:val="ListParagraph"/>
        <w:numPr>
          <w:ilvl w:val="1"/>
          <w:numId w:val="23"/>
        </w:numPr>
        <w:tabs>
          <w:tab w:pos="3096" w:val="left" w:leader="none"/>
        </w:tabs>
        <w:spacing w:line="240" w:lineRule="auto" w:before="18" w:after="0"/>
        <w:ind w:left="3095" w:right="0" w:hanging="420"/>
        <w:jc w:val="left"/>
        <w:rPr>
          <w:sz w:val="18"/>
        </w:rPr>
      </w:pPr>
      <w:r>
        <w:rPr>
          <w:sz w:val="18"/>
        </w:rPr>
        <w:t>细菌培养和临床表现符合坏死性筋膜炎诊断标准；</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病情迅速恶化，有脓毒血症表现；</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受感染肢体被截肢（自腕关节或踝关节近端</w:t>
      </w:r>
      <w:r>
        <w:rPr>
          <w:spacing w:val="-90"/>
          <w:sz w:val="18"/>
        </w:rPr>
        <w:t>）</w:t>
      </w:r>
      <w:r>
        <w:rPr>
          <w:sz w:val="18"/>
        </w:rPr>
        <w:t>。</w:t>
      </w:r>
    </w:p>
    <w:p>
      <w:pPr>
        <w:pStyle w:val="BodyText"/>
        <w:spacing w:before="0"/>
      </w:pPr>
    </w:p>
    <w:p>
      <w:pPr>
        <w:pStyle w:val="ListParagraph"/>
        <w:numPr>
          <w:ilvl w:val="0"/>
          <w:numId w:val="23"/>
        </w:numPr>
        <w:tabs>
          <w:tab w:pos="600" w:val="left" w:leader="none"/>
          <w:tab w:pos="2675" w:val="left" w:leader="none"/>
        </w:tabs>
        <w:spacing w:line="316" w:lineRule="auto" w:before="152" w:after="0"/>
        <w:ind w:left="2675" w:right="128" w:hanging="2436"/>
        <w:jc w:val="both"/>
        <w:rPr>
          <w:sz w:val="18"/>
        </w:rPr>
      </w:pPr>
      <w:r>
        <w:rPr>
          <w:b/>
          <w:sz w:val="18"/>
        </w:rPr>
        <w:t>严重克隆病</w:t>
        <w:tab/>
      </w:r>
      <w:r>
        <w:rPr>
          <w:sz w:val="18"/>
        </w:rPr>
        <w:t>克隆病是一种慢性肉芽肿性肠炎，具有特征性的克隆病病理组织学变化。诊断必须由病 理检查结果证实</w:t>
      </w:r>
      <w:r>
        <w:rPr>
          <w:spacing w:val="-22"/>
          <w:sz w:val="18"/>
        </w:rPr>
        <w:t>。</w:t>
      </w:r>
      <w:r>
        <w:rPr>
          <w:sz w:val="18"/>
        </w:rPr>
        <w:t>被保险人所患的克隆病必须已经造成瘘管形成并伴有肠梗阻或肠穿孔。</w:t>
      </w:r>
    </w:p>
    <w:p>
      <w:pPr>
        <w:pStyle w:val="BodyText"/>
        <w:spacing w:before="3"/>
        <w:rPr>
          <w:sz w:val="25"/>
        </w:rPr>
      </w:pPr>
    </w:p>
    <w:p>
      <w:pPr>
        <w:pStyle w:val="ListParagraph"/>
        <w:numPr>
          <w:ilvl w:val="0"/>
          <w:numId w:val="23"/>
        </w:numPr>
        <w:tabs>
          <w:tab w:pos="600" w:val="left" w:leader="none"/>
          <w:tab w:pos="2675" w:val="left" w:leader="none"/>
        </w:tabs>
        <w:spacing w:line="240" w:lineRule="auto" w:before="0" w:after="0"/>
        <w:ind w:left="599" w:right="0" w:hanging="360"/>
        <w:jc w:val="left"/>
        <w:rPr>
          <w:sz w:val="18"/>
        </w:rPr>
      </w:pPr>
      <w:r>
        <w:rPr>
          <w:b/>
          <w:sz w:val="18"/>
        </w:rPr>
        <w:t>肺孢子菌肺炎</w:t>
        <w:tab/>
      </w:r>
      <w:r>
        <w:rPr>
          <w:sz w:val="18"/>
        </w:rPr>
        <w:t>指由肺孢子菌引起的间质性浆细胞性肺炎。并须满足下列全部条件：</w:t>
      </w:r>
    </w:p>
    <w:p>
      <w:pPr>
        <w:pStyle w:val="BodyText"/>
        <w:spacing w:line="316" w:lineRule="auto"/>
        <w:ind w:left="2675" w:right="3122"/>
      </w:pPr>
      <w:r>
        <w:rPr/>
        <w:t>(1)第一秒末用力呼气量（FEV1）</w:t>
      </w:r>
      <w:r>
        <w:rPr>
          <w:spacing w:val="22"/>
        </w:rPr>
        <w:t>小于 </w:t>
      </w:r>
      <w:r>
        <w:rPr/>
        <w:t>1</w:t>
      </w:r>
      <w:r>
        <w:rPr>
          <w:spacing w:val="22"/>
        </w:rPr>
        <w:t> 升； (2)</w:t>
      </w:r>
      <w:r>
        <w:rPr>
          <w:spacing w:val="25"/>
        </w:rPr>
        <w:t>气道内阻力增加，至少达到  </w:t>
      </w:r>
      <w:r>
        <w:rPr/>
        <w:t>0.5kPa/l/s； (3)残气容积占肺总量(TLC)</w:t>
      </w:r>
      <w:r>
        <w:rPr>
          <w:spacing w:val="6"/>
        </w:rPr>
        <w:t>的      </w:t>
      </w:r>
      <w:r>
        <w:rPr/>
        <w:t>60%以上； (4)</w:t>
      </w:r>
      <w:r>
        <w:rPr>
          <w:spacing w:val="-4"/>
        </w:rPr>
        <w:t>胸内气体容积升高，超过 </w:t>
      </w:r>
      <w:r>
        <w:rPr/>
        <w:t>170(基值的百分比)； (5)PaO2&lt;60mmHg，PaCO2&gt;50mmHg。</w:t>
      </w:r>
    </w:p>
    <w:p>
      <w:pPr>
        <w:pStyle w:val="BodyText"/>
        <w:spacing w:before="19"/>
        <w:ind w:left="2675"/>
      </w:pPr>
      <w:r>
        <w:rPr/>
        <w:t>感染艾滋病病毒或患艾滋病期间所患肺孢子菌肺炎不在保障范围内。</w:t>
      </w:r>
    </w:p>
    <w:p>
      <w:pPr>
        <w:pStyle w:val="BodyText"/>
        <w:spacing w:before="0"/>
      </w:pPr>
    </w:p>
    <w:p>
      <w:pPr>
        <w:pStyle w:val="ListParagraph"/>
        <w:numPr>
          <w:ilvl w:val="0"/>
          <w:numId w:val="23"/>
        </w:numPr>
        <w:tabs>
          <w:tab w:pos="600" w:val="left" w:leader="none"/>
        </w:tabs>
        <w:spacing w:line="316" w:lineRule="auto" w:before="153" w:after="0"/>
        <w:ind w:left="2675" w:right="219" w:hanging="2436"/>
        <w:jc w:val="both"/>
        <w:rPr>
          <w:sz w:val="18"/>
        </w:rPr>
      </w:pPr>
      <w:r>
        <w:rPr>
          <w:b/>
          <w:spacing w:val="2"/>
          <w:sz w:val="18"/>
        </w:rPr>
        <w:t>严重溃疡性结肠炎      </w:t>
      </w:r>
      <w:r>
        <w:rPr>
          <w:sz w:val="18"/>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11"/>
        <w:rPr>
          <w:sz w:val="21"/>
        </w:rPr>
      </w:pPr>
    </w:p>
    <w:p>
      <w:pPr>
        <w:spacing w:after="0"/>
        <w:rPr>
          <w:sz w:val="21"/>
        </w:rPr>
        <w:sectPr>
          <w:pgSz w:w="11910" w:h="16840"/>
          <w:pgMar w:header="877" w:footer="981" w:top="1100" w:bottom="1180" w:left="1160" w:right="940"/>
        </w:sectPr>
      </w:pPr>
    </w:p>
    <w:p>
      <w:pPr>
        <w:pStyle w:val="Heading3"/>
        <w:numPr>
          <w:ilvl w:val="0"/>
          <w:numId w:val="23"/>
        </w:numPr>
        <w:tabs>
          <w:tab w:pos="600" w:val="left" w:leader="none"/>
        </w:tabs>
        <w:spacing w:line="316" w:lineRule="auto" w:before="45" w:after="0"/>
        <w:ind w:left="599" w:right="0" w:hanging="360"/>
        <w:jc w:val="left"/>
      </w:pPr>
      <w:r>
        <w:rPr>
          <w:spacing w:val="5"/>
        </w:rPr>
        <w:t>因职业关系导致的人类</w:t>
      </w:r>
      <w:r>
        <w:rPr>
          <w:w w:val="95"/>
        </w:rPr>
        <w:t>免疫缺陷病毒感染</w:t>
      </w:r>
    </w:p>
    <w:p>
      <w:pPr>
        <w:pStyle w:val="BodyText"/>
        <w:spacing w:line="316" w:lineRule="auto" w:before="45"/>
        <w:ind w:left="168" w:right="219"/>
      </w:pPr>
      <w:r>
        <w:rPr/>
        <w:br w:type="column"/>
      </w:r>
      <w:r>
        <w:rPr/>
        <w:t>被保险人在其常规职业工作过程中遭遇外伤，或者职业需要处理血液或者其他体液时感染上人类免疫缺陷病毒（HIV</w:t>
      </w:r>
      <w:r>
        <w:rPr>
          <w:spacing w:val="-90"/>
        </w:rPr>
        <w:t>）</w:t>
      </w:r>
      <w:r>
        <w:rPr/>
        <w:t>。须满足下列全部条件：</w:t>
      </w:r>
    </w:p>
    <w:p>
      <w:pPr>
        <w:pStyle w:val="ListParagraph"/>
        <w:numPr>
          <w:ilvl w:val="0"/>
          <w:numId w:val="31"/>
        </w:numPr>
        <w:tabs>
          <w:tab w:pos="589" w:val="left" w:leader="none"/>
        </w:tabs>
        <w:spacing w:line="316" w:lineRule="auto" w:before="18" w:after="0"/>
        <w:ind w:left="588" w:right="221" w:hanging="420"/>
        <w:jc w:val="left"/>
        <w:rPr>
          <w:sz w:val="18"/>
        </w:rPr>
      </w:pPr>
      <w:r>
        <w:rPr>
          <w:sz w:val="18"/>
        </w:rPr>
        <w:t>感染必须是在被保险人正在从事其职业工作中发生，该职业必须属于以下列表内的职业；</w:t>
      </w:r>
    </w:p>
    <w:p>
      <w:pPr>
        <w:pStyle w:val="ListParagraph"/>
        <w:numPr>
          <w:ilvl w:val="0"/>
          <w:numId w:val="31"/>
        </w:numPr>
        <w:tabs>
          <w:tab w:pos="589" w:val="left" w:leader="none"/>
        </w:tabs>
        <w:spacing w:line="316" w:lineRule="auto" w:before="18" w:after="0"/>
        <w:ind w:left="588" w:right="218" w:hanging="420"/>
        <w:jc w:val="left"/>
        <w:rPr>
          <w:sz w:val="18"/>
        </w:rPr>
      </w:pPr>
      <w:r>
        <w:rPr>
          <w:spacing w:val="-3"/>
          <w:sz w:val="18"/>
        </w:rPr>
        <w:t>必须提供被保险人在所报事故发生后的 </w:t>
      </w:r>
      <w:r>
        <w:rPr>
          <w:sz w:val="18"/>
        </w:rPr>
        <w:t>5</w:t>
      </w:r>
      <w:r>
        <w:rPr>
          <w:spacing w:val="-7"/>
          <w:sz w:val="18"/>
        </w:rPr>
        <w:t> 天以内进行的检查报告，该报告必须显示被保险人血液 HIV 病毒阴性和/</w:t>
      </w:r>
      <w:r>
        <w:rPr>
          <w:spacing w:val="42"/>
          <w:sz w:val="18"/>
        </w:rPr>
        <w:t>或</w:t>
      </w:r>
      <w:r>
        <w:rPr>
          <w:sz w:val="18"/>
        </w:rPr>
        <w:t>HIV</w:t>
      </w:r>
      <w:r>
        <w:rPr>
          <w:spacing w:val="-9"/>
          <w:sz w:val="18"/>
        </w:rPr>
        <w:t> 抗体阴性；</w:t>
      </w:r>
    </w:p>
    <w:p>
      <w:pPr>
        <w:pStyle w:val="ListParagraph"/>
        <w:numPr>
          <w:ilvl w:val="0"/>
          <w:numId w:val="31"/>
        </w:numPr>
        <w:tabs>
          <w:tab w:pos="589" w:val="left" w:leader="none"/>
        </w:tabs>
        <w:spacing w:line="316" w:lineRule="auto" w:before="18" w:after="0"/>
        <w:ind w:left="588" w:right="218" w:hanging="420"/>
        <w:jc w:val="left"/>
        <w:rPr>
          <w:sz w:val="18"/>
        </w:rPr>
      </w:pPr>
      <w:r>
        <w:rPr>
          <w:spacing w:val="-5"/>
          <w:sz w:val="18"/>
        </w:rPr>
        <w:t>必须在事故发生后的 </w:t>
      </w:r>
      <w:r>
        <w:rPr>
          <w:sz w:val="18"/>
        </w:rPr>
        <w:t>6</w:t>
      </w:r>
      <w:r>
        <w:rPr>
          <w:spacing w:val="-10"/>
          <w:sz w:val="18"/>
        </w:rPr>
        <w:t> 个月内证实被保险人体内存在 </w:t>
      </w:r>
      <w:r>
        <w:rPr>
          <w:sz w:val="18"/>
        </w:rPr>
        <w:t>HIV</w:t>
      </w:r>
      <w:r>
        <w:rPr>
          <w:spacing w:val="-16"/>
          <w:sz w:val="18"/>
        </w:rPr>
        <w:t> 病毒或者 </w:t>
      </w:r>
      <w:r>
        <w:rPr>
          <w:sz w:val="18"/>
        </w:rPr>
        <w:t>HIV</w:t>
      </w:r>
      <w:r>
        <w:rPr>
          <w:spacing w:val="-9"/>
          <w:sz w:val="18"/>
        </w:rPr>
        <w:t> 抗体，即血液 HIV 病毒阳性和/</w:t>
      </w:r>
      <w:r>
        <w:rPr>
          <w:spacing w:val="42"/>
          <w:sz w:val="18"/>
        </w:rPr>
        <w:t>或</w:t>
      </w:r>
      <w:r>
        <w:rPr>
          <w:sz w:val="18"/>
        </w:rPr>
        <w:t>HIV</w:t>
      </w:r>
      <w:r>
        <w:rPr>
          <w:spacing w:val="-9"/>
          <w:sz w:val="18"/>
        </w:rPr>
        <w:t> 抗体阳性。</w:t>
      </w:r>
    </w:p>
    <w:p>
      <w:pPr>
        <w:pStyle w:val="BodyText"/>
        <w:spacing w:before="18"/>
        <w:ind w:left="168"/>
      </w:pPr>
      <w:r>
        <w:rPr/>
        <w:t>职业限制如下所示:</w:t>
      </w:r>
    </w:p>
    <w:p>
      <w:pPr>
        <w:spacing w:after="0"/>
        <w:sectPr>
          <w:type w:val="continuous"/>
          <w:pgSz w:w="11910" w:h="16840"/>
          <w:pgMar w:top="1040" w:bottom="1180" w:left="1160" w:right="940"/>
          <w:cols w:num="2" w:equalWidth="0">
            <w:col w:w="2467" w:space="40"/>
            <w:col w:w="7303"/>
          </w:cols>
        </w:sectPr>
      </w:pPr>
    </w:p>
    <w:p>
      <w:pPr>
        <w:pStyle w:val="BodyText"/>
        <w:spacing w:before="0"/>
        <w:rPr>
          <w:sz w:val="5"/>
        </w:rPr>
      </w:pPr>
    </w:p>
    <w:tbl>
      <w:tblPr>
        <w:tblW w:w="0" w:type="auto"/>
        <w:jc w:val="left"/>
        <w:tblInd w:w="2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2"/>
        <w:gridCol w:w="2422"/>
      </w:tblGrid>
      <w:tr>
        <w:trPr>
          <w:trHeight w:val="317" w:hRule="atLeast"/>
        </w:trPr>
        <w:tc>
          <w:tcPr>
            <w:tcW w:w="2402" w:type="dxa"/>
          </w:tcPr>
          <w:p>
            <w:pPr>
              <w:pStyle w:val="TableParagraph"/>
              <w:ind w:left="107"/>
              <w:rPr>
                <w:sz w:val="18"/>
              </w:rPr>
            </w:pPr>
            <w:r>
              <w:rPr>
                <w:sz w:val="18"/>
              </w:rPr>
              <w:t>医生</w:t>
            </w:r>
          </w:p>
        </w:tc>
        <w:tc>
          <w:tcPr>
            <w:tcW w:w="2422" w:type="dxa"/>
          </w:tcPr>
          <w:p>
            <w:pPr>
              <w:pStyle w:val="TableParagraph"/>
              <w:ind w:left="107"/>
              <w:rPr>
                <w:sz w:val="18"/>
              </w:rPr>
            </w:pPr>
            <w:r>
              <w:rPr>
                <w:sz w:val="18"/>
              </w:rPr>
              <w:t>护士</w:t>
            </w:r>
          </w:p>
        </w:tc>
      </w:tr>
      <w:tr>
        <w:trPr>
          <w:trHeight w:val="317" w:hRule="atLeast"/>
        </w:trPr>
        <w:tc>
          <w:tcPr>
            <w:tcW w:w="2402" w:type="dxa"/>
          </w:tcPr>
          <w:p>
            <w:pPr>
              <w:pStyle w:val="TableParagraph"/>
              <w:ind w:left="107"/>
              <w:rPr>
                <w:sz w:val="18"/>
              </w:rPr>
            </w:pPr>
            <w:r>
              <w:rPr>
                <w:sz w:val="18"/>
              </w:rPr>
              <w:t>医疗机构实验室工作人员</w:t>
            </w:r>
          </w:p>
        </w:tc>
        <w:tc>
          <w:tcPr>
            <w:tcW w:w="2422" w:type="dxa"/>
          </w:tcPr>
          <w:p>
            <w:pPr>
              <w:pStyle w:val="TableParagraph"/>
              <w:ind w:left="107"/>
              <w:rPr>
                <w:sz w:val="18"/>
              </w:rPr>
            </w:pPr>
            <w:r>
              <w:rPr>
                <w:sz w:val="18"/>
              </w:rPr>
              <w:t>医院护工</w:t>
            </w:r>
          </w:p>
        </w:tc>
      </w:tr>
      <w:tr>
        <w:trPr>
          <w:trHeight w:val="318" w:hRule="atLeast"/>
        </w:trPr>
        <w:tc>
          <w:tcPr>
            <w:tcW w:w="2402" w:type="dxa"/>
          </w:tcPr>
          <w:p>
            <w:pPr>
              <w:pStyle w:val="TableParagraph"/>
              <w:spacing w:before="11"/>
              <w:ind w:left="107"/>
              <w:rPr>
                <w:sz w:val="18"/>
              </w:rPr>
            </w:pPr>
            <w:r>
              <w:rPr>
                <w:sz w:val="18"/>
              </w:rPr>
              <w:t>助产士</w:t>
            </w:r>
          </w:p>
        </w:tc>
        <w:tc>
          <w:tcPr>
            <w:tcW w:w="2422" w:type="dxa"/>
          </w:tcPr>
          <w:p>
            <w:pPr>
              <w:pStyle w:val="TableParagraph"/>
              <w:spacing w:before="11"/>
              <w:ind w:left="107"/>
              <w:rPr>
                <w:sz w:val="18"/>
              </w:rPr>
            </w:pPr>
            <w:r>
              <w:rPr>
                <w:sz w:val="18"/>
              </w:rPr>
              <w:t>救护车工作人员</w:t>
            </w:r>
          </w:p>
        </w:tc>
      </w:tr>
      <w:tr>
        <w:trPr>
          <w:trHeight w:val="317" w:hRule="atLeast"/>
        </w:trPr>
        <w:tc>
          <w:tcPr>
            <w:tcW w:w="2402" w:type="dxa"/>
          </w:tcPr>
          <w:p>
            <w:pPr>
              <w:pStyle w:val="TableParagraph"/>
              <w:ind w:left="107"/>
              <w:rPr>
                <w:sz w:val="18"/>
              </w:rPr>
            </w:pPr>
            <w:r>
              <w:rPr>
                <w:sz w:val="18"/>
              </w:rPr>
              <w:t>警察</w:t>
            </w:r>
          </w:p>
        </w:tc>
        <w:tc>
          <w:tcPr>
            <w:tcW w:w="2422" w:type="dxa"/>
          </w:tcPr>
          <w:p>
            <w:pPr>
              <w:pStyle w:val="TableParagraph"/>
              <w:ind w:left="107"/>
              <w:rPr>
                <w:sz w:val="18"/>
              </w:rPr>
            </w:pPr>
            <w:r>
              <w:rPr>
                <w:sz w:val="18"/>
              </w:rPr>
              <w:t>消防队员</w:t>
            </w:r>
          </w:p>
        </w:tc>
      </w:tr>
    </w:tbl>
    <w:p>
      <w:pPr>
        <w:pStyle w:val="ListParagraph"/>
        <w:numPr>
          <w:ilvl w:val="0"/>
          <w:numId w:val="23"/>
        </w:numPr>
        <w:tabs>
          <w:tab w:pos="600" w:val="left" w:leader="none"/>
        </w:tabs>
        <w:spacing w:line="316" w:lineRule="auto" w:before="11" w:after="0"/>
        <w:ind w:left="2675" w:right="217" w:hanging="2436"/>
        <w:jc w:val="both"/>
        <w:rPr>
          <w:sz w:val="18"/>
        </w:rPr>
      </w:pPr>
      <w:r>
        <w:rPr>
          <w:b/>
          <w:spacing w:val="6"/>
          <w:sz w:val="18"/>
        </w:rPr>
        <w:t>严重类风湿性关节炎   </w:t>
      </w:r>
      <w:r>
        <w:rPr>
          <w:spacing w:val="-6"/>
          <w:sz w:val="18"/>
        </w:rPr>
        <w:t>指广泛分布的慢性进行性多关节病变，表现为关节严重变形，侵犯至少三个主要关节</w:t>
      </w:r>
      <w:r>
        <w:rPr>
          <w:sz w:val="18"/>
        </w:rPr>
        <w:t>（腕关节、肘关节、肩关节、踝关节、膝关节、髋关节）或关节组（如手的多个指间、掌指</w:t>
      </w:r>
      <w:r>
        <w:rPr>
          <w:spacing w:val="-3"/>
          <w:sz w:val="18"/>
        </w:rPr>
        <w:t>关节，足的多个足趾、跖趾关节等</w:t>
      </w:r>
      <w:r>
        <w:rPr>
          <w:spacing w:val="-90"/>
          <w:sz w:val="18"/>
        </w:rPr>
        <w:t>）</w:t>
      </w:r>
      <w:r>
        <w:rPr>
          <w:spacing w:val="-3"/>
          <w:sz w:val="18"/>
        </w:rPr>
        <w:t>。类风湿性关节炎须明确诊断，并已达到类风湿性关节炎功能活动分级（注）IV</w:t>
      </w:r>
      <w:r>
        <w:rPr>
          <w:spacing w:val="-7"/>
          <w:sz w:val="18"/>
        </w:rPr>
        <w:t> 级的永久不可逆性关节功能障碍，且须满足下列全部条件：</w:t>
      </w:r>
    </w:p>
    <w:p>
      <w:pPr>
        <w:pStyle w:val="ListParagraph"/>
        <w:numPr>
          <w:ilvl w:val="1"/>
          <w:numId w:val="23"/>
        </w:numPr>
        <w:tabs>
          <w:tab w:pos="3096" w:val="left" w:leader="none"/>
        </w:tabs>
        <w:spacing w:line="240" w:lineRule="auto" w:before="18" w:after="0"/>
        <w:ind w:left="2675" w:right="0" w:firstLine="0"/>
        <w:jc w:val="left"/>
        <w:rPr>
          <w:sz w:val="18"/>
        </w:rPr>
      </w:pPr>
      <w:r>
        <w:rPr>
          <w:sz w:val="18"/>
        </w:rPr>
        <w:t>晨僵；</w:t>
      </w:r>
    </w:p>
    <w:p>
      <w:pPr>
        <w:spacing w:after="0" w:line="240" w:lineRule="auto"/>
        <w:jc w:val="left"/>
        <w:rPr>
          <w:sz w:val="18"/>
        </w:rPr>
        <w:sectPr>
          <w:type w:val="continuous"/>
          <w:pgSz w:w="11910" w:h="16840"/>
          <w:pgMar w:top="1040" w:bottom="1180" w:left="1160" w:right="940"/>
        </w:sectPr>
      </w:pPr>
    </w:p>
    <w:p>
      <w:pPr>
        <w:pStyle w:val="BodyText"/>
        <w:spacing w:before="3"/>
        <w:rPr>
          <w:sz w:val="20"/>
        </w:rPr>
      </w:pPr>
    </w:p>
    <w:p>
      <w:pPr>
        <w:pStyle w:val="ListParagraph"/>
        <w:numPr>
          <w:ilvl w:val="1"/>
          <w:numId w:val="23"/>
        </w:numPr>
        <w:tabs>
          <w:tab w:pos="3096" w:val="left" w:leader="none"/>
        </w:tabs>
        <w:spacing w:line="240" w:lineRule="auto" w:before="44" w:after="0"/>
        <w:ind w:left="3095" w:right="0" w:hanging="420"/>
        <w:jc w:val="left"/>
        <w:rPr>
          <w:sz w:val="18"/>
        </w:rPr>
      </w:pPr>
      <w:r>
        <w:rPr>
          <w:sz w:val="18"/>
        </w:rPr>
        <w:t>对称性关节炎；</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类风湿性皮下结节；</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类风湿因子滴度升高；</w:t>
      </w:r>
    </w:p>
    <w:p>
      <w:pPr>
        <w:pStyle w:val="ListParagraph"/>
        <w:numPr>
          <w:ilvl w:val="1"/>
          <w:numId w:val="23"/>
        </w:numPr>
        <w:tabs>
          <w:tab w:pos="3096" w:val="left" w:leader="none"/>
        </w:tabs>
        <w:spacing w:line="316" w:lineRule="auto" w:before="76" w:after="0"/>
        <w:ind w:left="2675" w:right="2612" w:firstLine="0"/>
        <w:jc w:val="left"/>
        <w:rPr>
          <w:sz w:val="18"/>
        </w:rPr>
      </w:pPr>
      <w:r>
        <w:rPr>
          <w:sz w:val="18"/>
        </w:rPr>
        <w:t>X</w:t>
      </w:r>
      <w:r>
        <w:rPr>
          <w:spacing w:val="-7"/>
          <w:sz w:val="18"/>
        </w:rPr>
        <w:t> 线显示严重的关节</w:t>
      </w:r>
      <w:r>
        <w:rPr>
          <w:sz w:val="18"/>
        </w:rPr>
        <w:t>（软骨和骨）破坏和关节畸形。注：类风湿性关节炎功能活动分级：                 Ⅰ级：关节功能完整，一般活动无障碍。             Ⅱ级：有关节不适或障碍，但尚能完成一半活动。     Ⅲ级：功能活动明显受限，但大部分生活可自理。     Ⅳ级：生活不能自理或卧床。</w:t>
      </w:r>
    </w:p>
    <w:p>
      <w:pPr>
        <w:pStyle w:val="BodyText"/>
        <w:spacing w:before="3"/>
        <w:rPr>
          <w:sz w:val="25"/>
        </w:rPr>
      </w:pPr>
    </w:p>
    <w:p>
      <w:pPr>
        <w:pStyle w:val="ListParagraph"/>
        <w:numPr>
          <w:ilvl w:val="0"/>
          <w:numId w:val="23"/>
        </w:numPr>
        <w:tabs>
          <w:tab w:pos="600" w:val="left" w:leader="none"/>
          <w:tab w:pos="2675" w:val="left" w:leader="none"/>
        </w:tabs>
        <w:spacing w:line="240" w:lineRule="auto" w:before="1" w:after="0"/>
        <w:ind w:left="599" w:right="0" w:hanging="360"/>
        <w:jc w:val="left"/>
        <w:rPr>
          <w:sz w:val="18"/>
        </w:rPr>
      </w:pPr>
      <w:r>
        <w:rPr>
          <w:b/>
          <w:sz w:val="18"/>
        </w:rPr>
        <w:t>埃博拉病毒感染</w:t>
        <w:tab/>
      </w:r>
      <w:r>
        <w:rPr>
          <w:sz w:val="18"/>
        </w:rPr>
        <w:t>指埃博拉病毒感染导致的烈性传染病，并须满足下列全部条件：</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实验室检查证实埃博拉病毒的存在；</w:t>
      </w:r>
    </w:p>
    <w:p>
      <w:pPr>
        <w:pStyle w:val="ListParagraph"/>
        <w:numPr>
          <w:ilvl w:val="1"/>
          <w:numId w:val="23"/>
        </w:numPr>
        <w:tabs>
          <w:tab w:pos="3096" w:val="left" w:leader="none"/>
        </w:tabs>
        <w:spacing w:line="240" w:lineRule="auto" w:before="76" w:after="0"/>
        <w:ind w:left="3095" w:right="0" w:hanging="420"/>
        <w:jc w:val="left"/>
        <w:rPr>
          <w:sz w:val="18"/>
        </w:rPr>
      </w:pPr>
      <w:r>
        <w:rPr>
          <w:spacing w:val="-6"/>
          <w:sz w:val="18"/>
        </w:rPr>
        <w:t>从发病开始有超过 </w:t>
      </w:r>
      <w:r>
        <w:rPr>
          <w:sz w:val="18"/>
        </w:rPr>
        <w:t>30</w:t>
      </w:r>
      <w:r>
        <w:rPr>
          <w:spacing w:val="-7"/>
          <w:sz w:val="18"/>
        </w:rPr>
        <w:t> 天的进行性感染症状。</w:t>
      </w:r>
    </w:p>
    <w:p>
      <w:pPr>
        <w:pStyle w:val="BodyText"/>
        <w:spacing w:before="0"/>
      </w:pPr>
    </w:p>
    <w:p>
      <w:pPr>
        <w:pStyle w:val="ListParagraph"/>
        <w:numPr>
          <w:ilvl w:val="0"/>
          <w:numId w:val="23"/>
        </w:numPr>
        <w:tabs>
          <w:tab w:pos="600" w:val="left" w:leader="none"/>
        </w:tabs>
        <w:spacing w:line="316" w:lineRule="auto" w:before="153" w:after="0"/>
        <w:ind w:left="2675" w:right="219" w:hanging="2436"/>
        <w:jc w:val="both"/>
        <w:rPr>
          <w:sz w:val="18"/>
        </w:rPr>
      </w:pPr>
      <w:r>
        <w:rPr>
          <w:b/>
          <w:spacing w:val="2"/>
          <w:sz w:val="18"/>
        </w:rPr>
        <w:t>丝虫病所致象皮肿      </w:t>
      </w:r>
      <w:r>
        <w:rPr>
          <w:sz w:val="18"/>
        </w:rPr>
        <w:t>指末期丝虫病，按国际淋巴学会分级为三度淋巴液肿，其临床表现为肢体非凹陷性水肿伴畸形增大、硬皮症和疣状增生。此病症须经专科医生根据临床表现和微丝蚴的化验结果确诊。</w:t>
      </w:r>
    </w:p>
    <w:p>
      <w:pPr>
        <w:pStyle w:val="BodyText"/>
        <w:spacing w:before="3"/>
        <w:rPr>
          <w:sz w:val="25"/>
        </w:rPr>
      </w:pPr>
    </w:p>
    <w:p>
      <w:pPr>
        <w:pStyle w:val="ListParagraph"/>
        <w:numPr>
          <w:ilvl w:val="0"/>
          <w:numId w:val="23"/>
        </w:numPr>
        <w:tabs>
          <w:tab w:pos="600" w:val="left" w:leader="none"/>
        </w:tabs>
        <w:spacing w:line="316" w:lineRule="auto" w:before="0" w:after="0"/>
        <w:ind w:left="2675" w:right="217" w:hanging="2436"/>
        <w:jc w:val="left"/>
        <w:rPr>
          <w:sz w:val="18"/>
        </w:rPr>
      </w:pPr>
      <w:r>
        <w:rPr>
          <w:b/>
          <w:spacing w:val="-6"/>
          <w:sz w:val="18"/>
        </w:rPr>
        <w:t>系统性硬化病</w:t>
      </w:r>
      <w:r>
        <w:rPr>
          <w:b/>
          <w:sz w:val="18"/>
        </w:rPr>
        <w:t>（硬皮病）</w:t>
      </w:r>
      <w:r>
        <w:rPr>
          <w:b/>
          <w:spacing w:val="81"/>
          <w:sz w:val="18"/>
        </w:rPr>
        <w:t> </w:t>
      </w:r>
      <w:r>
        <w:rPr>
          <w:sz w:val="18"/>
        </w:rPr>
        <w:t>指一种以局限性或弥漫性皮肤增厚和皮肤\血管\内脏器官异常纤维化为特征的结缔组织病。本病须经专科医生明确诊断,并须满足下列至少一项为条件：</w:t>
      </w:r>
    </w:p>
    <w:p>
      <w:pPr>
        <w:pStyle w:val="BodyText"/>
        <w:spacing w:before="18"/>
        <w:ind w:left="2675"/>
      </w:pPr>
      <w:r>
        <w:rPr/>
        <w:t>肺脏：肺部病变进而发展为肺间质纤维化和肺动脉高压；</w:t>
      </w:r>
    </w:p>
    <w:p>
      <w:pPr>
        <w:pStyle w:val="BodyText"/>
        <w:spacing w:line="316" w:lineRule="auto"/>
        <w:ind w:left="2675" w:right="1998"/>
      </w:pPr>
      <w:r>
        <w:rPr>
          <w:spacing w:val="0"/>
        </w:rPr>
        <w:t>心脏：心功能受酸达到美国纽约心脏学会心功能状态分级</w:t>
      </w:r>
      <w:r>
        <w:rPr/>
        <w:t>IV</w:t>
      </w:r>
      <w:r>
        <w:rPr>
          <w:spacing w:val="-16"/>
        </w:rPr>
        <w:t> 级； 肾脏：肾脏受酸导致双肾功能慢性不可逆衰竭,达到尿毒症期。 下列疾病不在本险种保障范围内：</w:t>
      </w:r>
    </w:p>
    <w:p>
      <w:pPr>
        <w:pStyle w:val="ListParagraph"/>
        <w:numPr>
          <w:ilvl w:val="1"/>
          <w:numId w:val="23"/>
        </w:numPr>
        <w:tabs>
          <w:tab w:pos="3036" w:val="left" w:leader="none"/>
        </w:tabs>
        <w:spacing w:line="240" w:lineRule="auto" w:before="18" w:after="0"/>
        <w:ind w:left="3035" w:right="0" w:hanging="360"/>
        <w:jc w:val="left"/>
        <w:rPr>
          <w:sz w:val="18"/>
        </w:rPr>
      </w:pPr>
      <w:r>
        <w:rPr>
          <w:sz w:val="18"/>
        </w:rPr>
        <w:t>局部性硬皮病（如:带状硬皮病\硬斑病)；</w:t>
      </w:r>
    </w:p>
    <w:p>
      <w:pPr>
        <w:pStyle w:val="ListParagraph"/>
        <w:numPr>
          <w:ilvl w:val="1"/>
          <w:numId w:val="23"/>
        </w:numPr>
        <w:tabs>
          <w:tab w:pos="3036" w:val="left" w:leader="none"/>
        </w:tabs>
        <w:spacing w:line="240" w:lineRule="auto" w:before="76" w:after="0"/>
        <w:ind w:left="3035" w:right="0" w:hanging="360"/>
        <w:jc w:val="left"/>
        <w:rPr>
          <w:sz w:val="18"/>
        </w:rPr>
      </w:pPr>
      <w:r>
        <w:rPr>
          <w:sz w:val="18"/>
        </w:rPr>
        <w:t>嗜酸性粒细胞性筋膜炎；</w:t>
      </w:r>
    </w:p>
    <w:p>
      <w:pPr>
        <w:pStyle w:val="ListParagraph"/>
        <w:numPr>
          <w:ilvl w:val="1"/>
          <w:numId w:val="23"/>
        </w:numPr>
        <w:tabs>
          <w:tab w:pos="3036" w:val="left" w:leader="none"/>
        </w:tabs>
        <w:spacing w:line="240" w:lineRule="auto" w:before="76" w:after="0"/>
        <w:ind w:left="3035" w:right="0" w:hanging="360"/>
        <w:jc w:val="left"/>
        <w:rPr>
          <w:sz w:val="18"/>
        </w:rPr>
      </w:pPr>
      <w:r>
        <w:rPr>
          <w:sz w:val="18"/>
        </w:rPr>
        <w:t>CREST</w:t>
      </w:r>
      <w:r>
        <w:rPr>
          <w:spacing w:val="-10"/>
          <w:sz w:val="18"/>
        </w:rPr>
        <w:t> 综合征。</w:t>
      </w:r>
    </w:p>
    <w:p>
      <w:pPr>
        <w:pStyle w:val="BodyText"/>
        <w:spacing w:before="0"/>
      </w:pPr>
    </w:p>
    <w:p>
      <w:pPr>
        <w:pStyle w:val="ListParagraph"/>
        <w:numPr>
          <w:ilvl w:val="0"/>
          <w:numId w:val="23"/>
        </w:numPr>
        <w:tabs>
          <w:tab w:pos="600" w:val="left" w:leader="none"/>
          <w:tab w:pos="2675" w:val="left" w:leader="none"/>
        </w:tabs>
        <w:spacing w:line="240" w:lineRule="auto" w:before="152" w:after="0"/>
        <w:ind w:left="599" w:right="0" w:hanging="360"/>
        <w:jc w:val="left"/>
        <w:rPr>
          <w:sz w:val="18"/>
        </w:rPr>
      </w:pPr>
      <w:r>
        <w:rPr>
          <w:b/>
          <w:sz w:val="18"/>
        </w:rPr>
        <w:t>克雅氏病</w:t>
        <w:tab/>
      </w:r>
      <w:r>
        <w:rPr>
          <w:sz w:val="18"/>
        </w:rPr>
        <w:t>神经系统疾病及致命的成胶质状脑病，并有以下症状：</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不能控制的肌肉痉挛及震颤；</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逐渐痴呆；</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小脑功能不良，共济失调；</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手足徐动症。</w:t>
      </w:r>
    </w:p>
    <w:p>
      <w:pPr>
        <w:pStyle w:val="BodyText"/>
        <w:spacing w:line="316" w:lineRule="auto"/>
        <w:ind w:left="2675" w:right="219"/>
      </w:pPr>
      <w:r>
        <w:rPr/>
        <w:t>诊断必须由神经科专科医生基于以下检查报告作出：脑电图、脑脊液报告、电脑断层扫描（CT）及核磁共振（MRI</w:t>
      </w:r>
      <w:r>
        <w:rPr>
          <w:spacing w:val="-90"/>
        </w:rPr>
        <w:t>）</w:t>
      </w:r>
      <w:r>
        <w:rPr/>
        <w:t>。</w:t>
      </w:r>
    </w:p>
    <w:p>
      <w:pPr>
        <w:pStyle w:val="BodyText"/>
        <w:spacing w:before="3"/>
        <w:rPr>
          <w:sz w:val="25"/>
        </w:rPr>
      </w:pPr>
    </w:p>
    <w:p>
      <w:pPr>
        <w:pStyle w:val="ListParagraph"/>
        <w:numPr>
          <w:ilvl w:val="0"/>
          <w:numId w:val="23"/>
        </w:numPr>
        <w:tabs>
          <w:tab w:pos="600" w:val="left" w:leader="none"/>
          <w:tab w:pos="2675" w:val="left" w:leader="none"/>
        </w:tabs>
        <w:spacing w:line="240" w:lineRule="auto" w:before="0" w:after="0"/>
        <w:ind w:left="599" w:right="0" w:hanging="360"/>
        <w:jc w:val="left"/>
        <w:rPr>
          <w:sz w:val="18"/>
        </w:rPr>
      </w:pPr>
      <w:r>
        <w:rPr>
          <w:b/>
          <w:sz w:val="18"/>
        </w:rPr>
        <w:t>斯蒂尔病</w:t>
        <w:tab/>
      </w:r>
      <w:r>
        <w:rPr>
          <w:sz w:val="18"/>
        </w:rPr>
        <w:t>斯蒂尔病须满足下列全部条件：</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因该病引致广泛性关节破坏，以致需要进行髋及膝关节置换；</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由风湿病专科医生确定诊断。</w:t>
      </w:r>
    </w:p>
    <w:p>
      <w:pPr>
        <w:pStyle w:val="BodyText"/>
        <w:spacing w:before="3"/>
        <w:rPr>
          <w:sz w:val="26"/>
        </w:rPr>
      </w:pPr>
    </w:p>
    <w:p>
      <w:pPr>
        <w:spacing w:after="0"/>
        <w:rPr>
          <w:sz w:val="26"/>
        </w:rPr>
        <w:sectPr>
          <w:footerReference w:type="default" r:id="rId17"/>
          <w:pgSz w:w="11910" w:h="16840"/>
          <w:pgMar w:footer="981" w:header="877" w:top="1100" w:bottom="1180" w:left="1160" w:right="940"/>
          <w:pgNumType w:start="20"/>
        </w:sectPr>
      </w:pPr>
    </w:p>
    <w:p>
      <w:pPr>
        <w:pStyle w:val="Heading3"/>
        <w:numPr>
          <w:ilvl w:val="0"/>
          <w:numId w:val="23"/>
        </w:numPr>
        <w:tabs>
          <w:tab w:pos="600" w:val="left" w:leader="none"/>
        </w:tabs>
        <w:spacing w:line="316" w:lineRule="auto" w:before="44" w:after="0"/>
        <w:ind w:left="599" w:right="0" w:hanging="360"/>
        <w:jc w:val="left"/>
      </w:pPr>
      <w:r>
        <w:rPr>
          <w:spacing w:val="5"/>
        </w:rPr>
        <w:t>溶血性链球菌引起的坏</w:t>
      </w:r>
      <w:r>
        <w:rPr/>
        <w:t>疽</w:t>
      </w:r>
    </w:p>
    <w:p>
      <w:pPr>
        <w:pStyle w:val="BodyText"/>
        <w:spacing w:line="316" w:lineRule="auto" w:before="44"/>
        <w:ind w:left="168" w:right="219"/>
      </w:pPr>
      <w:r>
        <w:rPr/>
        <w:br w:type="column"/>
      </w:r>
      <w:r>
        <w:rPr/>
        <w:t>躯干或肢体的浅筋膜或涉及肌肉的深筋膜感染，呈暴发性进展，必须即刻手术清创。须在外科手术后进行组织培养证实溶血性链球菌坏疽并由专科医生确诊。</w:t>
      </w:r>
    </w:p>
    <w:p>
      <w:pPr>
        <w:spacing w:after="0" w:line="316" w:lineRule="auto"/>
        <w:sectPr>
          <w:type w:val="continuous"/>
          <w:pgSz w:w="11910" w:h="16840"/>
          <w:pgMar w:top="1040" w:bottom="1180" w:left="1160" w:right="940"/>
          <w:cols w:num="2" w:equalWidth="0">
            <w:col w:w="2467" w:space="40"/>
            <w:col w:w="7303"/>
          </w:cols>
        </w:sectPr>
      </w:pPr>
    </w:p>
    <w:p>
      <w:pPr>
        <w:pStyle w:val="BodyText"/>
        <w:spacing w:before="10"/>
        <w:rPr>
          <w:sz w:val="21"/>
        </w:rPr>
      </w:pPr>
    </w:p>
    <w:p>
      <w:pPr>
        <w:pStyle w:val="ListParagraph"/>
        <w:numPr>
          <w:ilvl w:val="0"/>
          <w:numId w:val="23"/>
        </w:numPr>
        <w:tabs>
          <w:tab w:pos="600" w:val="left" w:leader="none"/>
          <w:tab w:pos="2675" w:val="left" w:leader="none"/>
        </w:tabs>
        <w:spacing w:line="240" w:lineRule="auto" w:before="45" w:after="0"/>
        <w:ind w:left="599" w:right="0" w:hanging="360"/>
        <w:jc w:val="left"/>
        <w:rPr>
          <w:sz w:val="18"/>
        </w:rPr>
      </w:pPr>
      <w:r>
        <w:rPr>
          <w:b/>
          <w:sz w:val="18"/>
        </w:rPr>
        <w:t>严重肠道疾病并发症</w:t>
        <w:tab/>
      </w:r>
      <w:r>
        <w:rPr>
          <w:sz w:val="18"/>
        </w:rPr>
        <w:t>严重肠道疾病或外伤导致小肠损害并发症，满足以下所有条件：</w:t>
      </w:r>
    </w:p>
    <w:p>
      <w:pPr>
        <w:pStyle w:val="ListParagraph"/>
        <w:numPr>
          <w:ilvl w:val="1"/>
          <w:numId w:val="23"/>
        </w:numPr>
        <w:tabs>
          <w:tab w:pos="3096" w:val="left" w:leader="none"/>
        </w:tabs>
        <w:spacing w:line="240" w:lineRule="auto" w:before="76" w:after="0"/>
        <w:ind w:left="3095" w:right="0" w:hanging="420"/>
        <w:jc w:val="left"/>
        <w:rPr>
          <w:sz w:val="18"/>
        </w:rPr>
      </w:pPr>
      <w:r>
        <w:rPr>
          <w:sz w:val="18"/>
        </w:rPr>
        <w:t>至少切除了三分之二小肠；</w:t>
      </w:r>
    </w:p>
    <w:p>
      <w:pPr>
        <w:spacing w:after="0" w:line="240" w:lineRule="auto"/>
        <w:jc w:val="left"/>
        <w:rPr>
          <w:sz w:val="18"/>
        </w:rPr>
        <w:sectPr>
          <w:type w:val="continuous"/>
          <w:pgSz w:w="11910" w:h="16840"/>
          <w:pgMar w:top="1040" w:bottom="1180" w:left="1160" w:right="940"/>
        </w:sectPr>
      </w:pPr>
    </w:p>
    <w:p>
      <w:pPr>
        <w:pStyle w:val="BodyText"/>
        <w:spacing w:before="3"/>
        <w:rPr>
          <w:sz w:val="20"/>
        </w:rPr>
      </w:pPr>
    </w:p>
    <w:p>
      <w:pPr>
        <w:pStyle w:val="ListParagraph"/>
        <w:numPr>
          <w:ilvl w:val="1"/>
          <w:numId w:val="23"/>
        </w:numPr>
        <w:tabs>
          <w:tab w:pos="3096" w:val="left" w:leader="none"/>
        </w:tabs>
        <w:spacing w:line="240" w:lineRule="auto" w:before="44" w:after="0"/>
        <w:ind w:left="3095" w:right="0" w:hanging="420"/>
        <w:jc w:val="left"/>
        <w:rPr>
          <w:sz w:val="18"/>
        </w:rPr>
      </w:pPr>
      <w:r>
        <w:rPr>
          <w:sz w:val="18"/>
        </w:rPr>
        <w:t>完全肠外营养支持三个月以上。</w:t>
      </w:r>
    </w:p>
    <w:p>
      <w:pPr>
        <w:pStyle w:val="BodyText"/>
        <w:spacing w:before="0"/>
      </w:pPr>
    </w:p>
    <w:p>
      <w:pPr>
        <w:pStyle w:val="ListParagraph"/>
        <w:numPr>
          <w:ilvl w:val="0"/>
          <w:numId w:val="23"/>
        </w:numPr>
        <w:tabs>
          <w:tab w:pos="600" w:val="left" w:leader="none"/>
          <w:tab w:pos="2675" w:val="left" w:leader="none"/>
        </w:tabs>
        <w:spacing w:line="316" w:lineRule="auto" w:before="152" w:after="0"/>
        <w:ind w:left="2675" w:right="128" w:hanging="2436"/>
        <w:jc w:val="both"/>
        <w:rPr>
          <w:sz w:val="18"/>
        </w:rPr>
      </w:pPr>
      <w:r>
        <w:rPr>
          <w:b/>
          <w:sz w:val="18"/>
        </w:rPr>
        <w:t>范可尼综合征</w:t>
        <w:tab/>
      </w:r>
      <w:r>
        <w:rPr>
          <w:sz w:val="18"/>
        </w:rPr>
        <w:t>也</w:t>
      </w:r>
      <w:r>
        <w:rPr>
          <w:spacing w:val="42"/>
          <w:sz w:val="18"/>
        </w:rPr>
        <w:t>称</w:t>
      </w:r>
      <w:r>
        <w:rPr>
          <w:sz w:val="18"/>
        </w:rPr>
        <w:t>Fanconi</w:t>
      </w:r>
      <w:r>
        <w:rPr>
          <w:spacing w:val="-45"/>
          <w:sz w:val="18"/>
        </w:rPr>
        <w:t> </w:t>
      </w:r>
      <w:r>
        <w:rPr>
          <w:sz w:val="18"/>
        </w:rPr>
        <w:t>综合征</w:t>
      </w:r>
      <w:r>
        <w:rPr>
          <w:spacing w:val="-11"/>
          <w:sz w:val="18"/>
        </w:rPr>
        <w:t>，</w:t>
      </w:r>
      <w:r>
        <w:rPr>
          <w:sz w:val="18"/>
        </w:rPr>
        <w:t>指近端肾小管的功能异常引起的一组症候群</w:t>
      </w:r>
      <w:r>
        <w:rPr>
          <w:spacing w:val="-11"/>
          <w:sz w:val="18"/>
        </w:rPr>
        <w:t>。</w:t>
      </w:r>
      <w:r>
        <w:rPr>
          <w:sz w:val="18"/>
        </w:rPr>
        <w:t>须经专科医生诊断，且须满足下列至少两项条件：</w:t>
      </w:r>
    </w:p>
    <w:p>
      <w:pPr>
        <w:pStyle w:val="BodyText"/>
        <w:spacing w:line="316" w:lineRule="auto" w:before="18"/>
        <w:ind w:left="2675" w:right="557"/>
      </w:pPr>
      <w:r>
        <w:rPr/>
        <w:t>(1)尿液检查出现肾性糖尿、全氨基酸糖尿或磷酸盐尿；                      (2)血液检查出现低磷血症、低尿酸血症或近端肾小管酸中毒；                (3)出现骨质疏松、骨骼畸形或尿路结石；                                  (4)通过骨髓片、白细胞、直肠黏膜中的结晶分析或裂隙灯检查角膜有胱氨酸结晶。</w:t>
      </w:r>
    </w:p>
    <w:p>
      <w:pPr>
        <w:pStyle w:val="BodyText"/>
        <w:spacing w:before="3"/>
        <w:rPr>
          <w:sz w:val="25"/>
        </w:rPr>
      </w:pPr>
    </w:p>
    <w:p>
      <w:pPr>
        <w:pStyle w:val="ListParagraph"/>
        <w:numPr>
          <w:ilvl w:val="0"/>
          <w:numId w:val="23"/>
        </w:numPr>
        <w:tabs>
          <w:tab w:pos="600" w:val="left" w:leader="none"/>
        </w:tabs>
        <w:spacing w:line="316" w:lineRule="auto" w:before="0" w:after="0"/>
        <w:ind w:left="2675" w:right="219" w:hanging="2436"/>
        <w:jc w:val="both"/>
        <w:rPr>
          <w:sz w:val="18"/>
        </w:rPr>
      </w:pPr>
      <w:r>
        <w:rPr>
          <w:b/>
          <w:spacing w:val="2"/>
          <w:sz w:val="18"/>
        </w:rPr>
        <w:t>失去一肢及一眼        </w:t>
      </w:r>
      <w:r>
        <w:rPr>
          <w:sz w:val="18"/>
        </w:rPr>
        <w:t>因疾病或意外伤害导致单眼视力丧失及任何一肢自腕关节或踝关节近端（靠近躯干端） 以上完全性断离。</w:t>
      </w:r>
    </w:p>
    <w:p>
      <w:pPr>
        <w:pStyle w:val="BodyText"/>
        <w:spacing w:before="18"/>
        <w:ind w:left="2675"/>
      </w:pPr>
      <w:r>
        <w:rPr/>
        <w:t>单眼视力丧失指单眼视力永久不可逆性丧失，患眼须满足下列至少一项条件：</w:t>
      </w:r>
    </w:p>
    <w:p>
      <w:pPr>
        <w:pStyle w:val="ListParagraph"/>
        <w:numPr>
          <w:ilvl w:val="1"/>
          <w:numId w:val="23"/>
        </w:numPr>
        <w:tabs>
          <w:tab w:pos="3096" w:val="left" w:leader="none"/>
        </w:tabs>
        <w:spacing w:line="240" w:lineRule="auto" w:before="75" w:after="0"/>
        <w:ind w:left="3095" w:right="0" w:hanging="420"/>
        <w:jc w:val="left"/>
        <w:rPr>
          <w:sz w:val="18"/>
        </w:rPr>
      </w:pPr>
      <w:r>
        <w:rPr>
          <w:sz w:val="18"/>
        </w:rPr>
        <w:t>眼球缺失或摘除；</w:t>
      </w:r>
    </w:p>
    <w:p>
      <w:pPr>
        <w:pStyle w:val="ListParagraph"/>
        <w:numPr>
          <w:ilvl w:val="1"/>
          <w:numId w:val="23"/>
        </w:numPr>
        <w:tabs>
          <w:tab w:pos="3096" w:val="left" w:leader="none"/>
        </w:tabs>
        <w:spacing w:line="240" w:lineRule="auto" w:before="75" w:after="0"/>
        <w:ind w:left="3095" w:right="0" w:hanging="42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23"/>
        </w:numPr>
        <w:tabs>
          <w:tab w:pos="3096" w:val="left" w:leader="none"/>
        </w:tabs>
        <w:spacing w:line="240" w:lineRule="auto" w:before="75" w:after="0"/>
        <w:ind w:left="3095" w:right="0" w:hanging="420"/>
        <w:jc w:val="left"/>
        <w:rPr>
          <w:sz w:val="18"/>
        </w:rPr>
      </w:pPr>
      <w:r>
        <w:rPr>
          <w:spacing w:val="-7"/>
          <w:sz w:val="18"/>
        </w:rPr>
        <w:t>视野半径小于 </w:t>
      </w:r>
      <w:r>
        <w:rPr>
          <w:sz w:val="18"/>
        </w:rPr>
        <w:t>5</w:t>
      </w:r>
      <w:r>
        <w:rPr>
          <w:spacing w:val="-16"/>
          <w:sz w:val="18"/>
        </w:rPr>
        <w:t> 度。</w:t>
      </w:r>
    </w:p>
    <w:p>
      <w:pPr>
        <w:pStyle w:val="BodyText"/>
        <w:spacing w:before="75"/>
        <w:ind w:left="2675"/>
      </w:pPr>
      <w:r>
        <w:rPr/>
        <w:t>被保险人在 3 周岁之前因疾病导致单眼视力丧失不在保障范围内。</w:t>
      </w:r>
    </w:p>
    <w:p>
      <w:pPr>
        <w:pStyle w:val="BodyText"/>
        <w:spacing w:before="0"/>
      </w:pPr>
    </w:p>
    <w:p>
      <w:pPr>
        <w:pStyle w:val="ListParagraph"/>
        <w:numPr>
          <w:ilvl w:val="0"/>
          <w:numId w:val="23"/>
        </w:numPr>
        <w:tabs>
          <w:tab w:pos="600" w:val="left" w:leader="none"/>
        </w:tabs>
        <w:spacing w:line="316" w:lineRule="auto" w:before="152" w:after="0"/>
        <w:ind w:left="2675" w:right="219" w:hanging="2436"/>
        <w:jc w:val="both"/>
        <w:rPr>
          <w:sz w:val="18"/>
        </w:rPr>
      </w:pPr>
      <w:r>
        <w:rPr>
          <w:b/>
          <w:spacing w:val="2"/>
          <w:sz w:val="18"/>
        </w:rPr>
        <w:t>肾上腺脑白质营养不良  </w:t>
      </w:r>
      <w:r>
        <w:rPr>
          <w:sz w:val="18"/>
        </w:rPr>
        <w:t>指一种最常见的过氧化物酶体病，主要累及肾上腺和脑白质，主要表现为进行性的精神运动障碍，视力及听力下降和（或）肾上腺皮质功能低下等。须经专科医生诊断，且已经造成自主生活能力完全丧失，无法独立完成六项基本日常生活活动中的三项或三项以</w:t>
      </w:r>
      <w:r>
        <w:rPr>
          <w:spacing w:val="-7"/>
          <w:sz w:val="18"/>
        </w:rPr>
        <w:t>上，持续至少 </w:t>
      </w:r>
      <w:r>
        <w:rPr>
          <w:sz w:val="18"/>
        </w:rPr>
        <w:t>180</w:t>
      </w:r>
      <w:r>
        <w:rPr>
          <w:spacing w:val="-16"/>
          <w:sz w:val="18"/>
        </w:rPr>
        <w:t> 天。</w:t>
      </w:r>
    </w:p>
    <w:p>
      <w:pPr>
        <w:pStyle w:val="BodyText"/>
        <w:spacing w:before="11"/>
        <w:rPr>
          <w:sz w:val="21"/>
        </w:rPr>
      </w:pPr>
    </w:p>
    <w:p>
      <w:pPr>
        <w:spacing w:after="0"/>
        <w:rPr>
          <w:sz w:val="21"/>
        </w:rPr>
        <w:sectPr>
          <w:pgSz w:w="11910" w:h="16840"/>
          <w:pgMar w:header="877" w:footer="981" w:top="1100" w:bottom="1180" w:left="1160" w:right="940"/>
        </w:sectPr>
      </w:pPr>
    </w:p>
    <w:p>
      <w:pPr>
        <w:pStyle w:val="Heading3"/>
        <w:numPr>
          <w:ilvl w:val="0"/>
          <w:numId w:val="23"/>
        </w:numPr>
        <w:tabs>
          <w:tab w:pos="600" w:val="left" w:leader="none"/>
        </w:tabs>
        <w:spacing w:line="316" w:lineRule="auto" w:before="45" w:after="0"/>
        <w:ind w:left="599" w:right="0" w:hanging="360"/>
        <w:jc w:val="left"/>
      </w:pPr>
      <w:r>
        <w:rPr>
          <w:spacing w:val="-3"/>
        </w:rPr>
        <w:t>器官移植导致的 </w:t>
      </w:r>
      <w:r>
        <w:rPr/>
        <w:t>HIV</w:t>
      </w:r>
      <w:r>
        <w:rPr>
          <w:spacing w:val="-11"/>
        </w:rPr>
        <w:t> 感染</w:t>
      </w:r>
    </w:p>
    <w:p>
      <w:pPr>
        <w:pStyle w:val="BodyText"/>
        <w:spacing w:before="45"/>
        <w:ind w:left="177"/>
      </w:pPr>
      <w:r>
        <w:rPr/>
        <w:br w:type="column"/>
      </w:r>
      <w:r>
        <w:rPr/>
        <w:t>指因进行器官移植而感染上人类免疫缺陷病毒（HIV</w:t>
      </w:r>
      <w:r>
        <w:rPr>
          <w:spacing w:val="-90"/>
        </w:rPr>
        <w:t>）</w:t>
      </w:r>
      <w:r>
        <w:rPr/>
        <w:t>，且须满足下列全部条件：</w:t>
      </w:r>
    </w:p>
    <w:p>
      <w:pPr>
        <w:pStyle w:val="ListParagraph"/>
        <w:numPr>
          <w:ilvl w:val="0"/>
          <w:numId w:val="32"/>
        </w:numPr>
        <w:tabs>
          <w:tab w:pos="598" w:val="left" w:leader="none"/>
        </w:tabs>
        <w:spacing w:line="316" w:lineRule="auto" w:before="76" w:after="0"/>
        <w:ind w:left="597" w:right="221" w:hanging="420"/>
        <w:jc w:val="left"/>
        <w:rPr>
          <w:sz w:val="18"/>
        </w:rPr>
      </w:pPr>
      <w:r>
        <w:rPr>
          <w:sz w:val="18"/>
        </w:rPr>
        <w:t>在保障起始日或复效日之后，被保险人因治疗必需而实施器官移植，并且因器官移植而感染人类免疫缺陷病毒；</w:t>
      </w:r>
    </w:p>
    <w:p>
      <w:pPr>
        <w:pStyle w:val="ListParagraph"/>
        <w:numPr>
          <w:ilvl w:val="0"/>
          <w:numId w:val="32"/>
        </w:numPr>
        <w:tabs>
          <w:tab w:pos="598" w:val="left" w:leader="none"/>
        </w:tabs>
        <w:spacing w:line="316" w:lineRule="auto" w:before="18" w:after="0"/>
        <w:ind w:left="597" w:right="221" w:hanging="420"/>
        <w:jc w:val="left"/>
        <w:rPr>
          <w:sz w:val="18"/>
        </w:rPr>
      </w:pPr>
      <w:r>
        <w:rPr>
          <w:sz w:val="18"/>
        </w:rPr>
        <w:t>提供器官移植治疗的器官移植中心或医院出具该项器官移植感染，属于医疗责任事故的报告，或者法院终审裁定为医疗责任并且不准上诉；</w:t>
      </w:r>
    </w:p>
    <w:p>
      <w:pPr>
        <w:pStyle w:val="ListParagraph"/>
        <w:numPr>
          <w:ilvl w:val="0"/>
          <w:numId w:val="32"/>
        </w:numPr>
        <w:tabs>
          <w:tab w:pos="598" w:val="left" w:leader="none"/>
        </w:tabs>
        <w:spacing w:line="240" w:lineRule="auto" w:before="18" w:after="0"/>
        <w:ind w:left="597" w:right="0" w:hanging="420"/>
        <w:jc w:val="left"/>
        <w:rPr>
          <w:sz w:val="18"/>
        </w:rPr>
      </w:pPr>
      <w:r>
        <w:rPr>
          <w:sz w:val="18"/>
        </w:rPr>
        <w:t>供器官移植治疗的器官移植中心或医院必须拥有合法经营执照；</w:t>
      </w:r>
    </w:p>
    <w:p>
      <w:pPr>
        <w:pStyle w:val="BodyText"/>
        <w:ind w:left="177"/>
      </w:pPr>
      <w:r>
        <w:rPr/>
        <w:t>任何因其他传播方式（包括：性传播或静脉注射毒品）导致的HIV 感染不在保障范围内。</w:t>
      </w:r>
    </w:p>
    <w:p>
      <w:pPr>
        <w:spacing w:after="0"/>
        <w:sectPr>
          <w:type w:val="continuous"/>
          <w:pgSz w:w="11910" w:h="16840"/>
          <w:pgMar w:top="1040" w:bottom="1180" w:left="1160" w:right="940"/>
          <w:cols w:num="2" w:equalWidth="0">
            <w:col w:w="2459" w:space="40"/>
            <w:col w:w="7311"/>
          </w:cols>
        </w:sectPr>
      </w:pPr>
    </w:p>
    <w:p>
      <w:pPr>
        <w:pStyle w:val="BodyText"/>
        <w:spacing w:before="3"/>
        <w:rPr>
          <w:sz w:val="26"/>
        </w:rPr>
      </w:pPr>
    </w:p>
    <w:p>
      <w:pPr>
        <w:pStyle w:val="ListParagraph"/>
        <w:numPr>
          <w:ilvl w:val="0"/>
          <w:numId w:val="23"/>
        </w:numPr>
        <w:tabs>
          <w:tab w:pos="600" w:val="left" w:leader="none"/>
        </w:tabs>
        <w:spacing w:line="316" w:lineRule="auto" w:before="45" w:after="0"/>
        <w:ind w:left="2675" w:right="217" w:hanging="2436"/>
        <w:jc w:val="both"/>
        <w:rPr>
          <w:sz w:val="18"/>
        </w:rPr>
      </w:pPr>
      <w:r>
        <w:rPr>
          <w:b/>
          <w:spacing w:val="5"/>
          <w:sz w:val="18"/>
        </w:rPr>
        <w:t>进行性核上性麻痹     </w:t>
      </w:r>
      <w:r>
        <w:rPr>
          <w:sz w:val="18"/>
        </w:rPr>
        <w:t>进行性核上性麻痹(PSP)</w:t>
      </w:r>
      <w:r>
        <w:rPr>
          <w:spacing w:val="15"/>
          <w:sz w:val="18"/>
        </w:rPr>
        <w:t>又称</w:t>
      </w:r>
      <w:r>
        <w:rPr>
          <w:sz w:val="18"/>
        </w:rPr>
        <w:t>Steele-Rchardson-Olszewski</w:t>
      </w:r>
      <w:r>
        <w:rPr>
          <w:spacing w:val="-8"/>
          <w:sz w:val="18"/>
        </w:rPr>
        <w:t> 综合征,是一种神经系统变性疾病,以假球麻痹、垂直性核上性眼肌麻痹、锥体外系肌僵直、步态共济失调和轻度痴呆</w:t>
      </w:r>
      <w:r>
        <w:rPr>
          <w:spacing w:val="-12"/>
          <w:sz w:val="18"/>
        </w:rPr>
        <w:t>为主要临床特征。</w:t>
      </w:r>
      <w:r>
        <w:rPr>
          <w:sz w:val="18"/>
        </w:rPr>
        <w:t>PSP</w:t>
      </w:r>
      <w:r>
        <w:rPr>
          <w:spacing w:val="-9"/>
          <w:sz w:val="18"/>
        </w:rPr>
        <w:t> 必须由三级甲等医院的神经内科专科医生确诊，并且被保险人自主生活能力完全丧失，无法独立完成六项基本日常生活活动中的三项或三项以上。</w:t>
      </w:r>
    </w:p>
    <w:p>
      <w:pPr>
        <w:pStyle w:val="BodyText"/>
        <w:spacing w:before="11"/>
        <w:rPr>
          <w:sz w:val="21"/>
        </w:rPr>
      </w:pPr>
    </w:p>
    <w:p>
      <w:pPr>
        <w:spacing w:after="0"/>
        <w:rPr>
          <w:sz w:val="21"/>
        </w:rPr>
        <w:sectPr>
          <w:type w:val="continuous"/>
          <w:pgSz w:w="11910" w:h="16840"/>
          <w:pgMar w:top="1040" w:bottom="1180" w:left="1160" w:right="940"/>
        </w:sectPr>
      </w:pPr>
    </w:p>
    <w:p>
      <w:pPr>
        <w:pStyle w:val="Heading3"/>
        <w:numPr>
          <w:ilvl w:val="0"/>
          <w:numId w:val="23"/>
        </w:numPr>
        <w:tabs>
          <w:tab w:pos="600" w:val="left" w:leader="none"/>
        </w:tabs>
        <w:spacing w:line="316" w:lineRule="auto" w:before="44" w:after="0"/>
        <w:ind w:left="599" w:right="0" w:hanging="360"/>
        <w:jc w:val="left"/>
      </w:pPr>
      <w:r>
        <w:rPr>
          <w:spacing w:val="-7"/>
        </w:rPr>
        <w:t>严重 </w:t>
      </w:r>
      <w:r>
        <w:rPr/>
        <w:t>III</w:t>
      </w:r>
      <w:r>
        <w:rPr>
          <w:spacing w:val="-5"/>
        </w:rPr>
        <w:t> 度冻伤导致截肢</w:t>
      </w:r>
    </w:p>
    <w:p>
      <w:pPr>
        <w:pStyle w:val="BodyText"/>
        <w:spacing w:line="316" w:lineRule="auto" w:before="44"/>
        <w:ind w:left="175" w:right="171"/>
      </w:pPr>
      <w:r>
        <w:rPr/>
        <w:br w:type="column"/>
      </w:r>
      <w:r>
        <w:rPr/>
        <w:t>冻伤是由于寒冷潮湿作用引起的人体局部或全身损伤。指冻伤程度达到 III 度，且导致一个或一个以上肢体自腕关节或踝关节近端（靠近躯干端）以上完全性断离。</w:t>
      </w:r>
    </w:p>
    <w:p>
      <w:pPr>
        <w:spacing w:after="0" w:line="316" w:lineRule="auto"/>
        <w:sectPr>
          <w:type w:val="continuous"/>
          <w:pgSz w:w="11910" w:h="16840"/>
          <w:pgMar w:top="1040" w:bottom="1180" w:left="1160" w:right="940"/>
          <w:cols w:num="2" w:equalWidth="0">
            <w:col w:w="2460" w:space="40"/>
            <w:col w:w="7310"/>
          </w:cols>
        </w:sectPr>
      </w:pPr>
    </w:p>
    <w:p>
      <w:pPr>
        <w:pStyle w:val="BodyText"/>
        <w:spacing w:before="3"/>
        <w:rPr>
          <w:sz w:val="20"/>
        </w:rPr>
      </w:pPr>
    </w:p>
    <w:p>
      <w:pPr>
        <w:pStyle w:val="Heading3"/>
        <w:ind w:left="2452" w:firstLine="0"/>
      </w:pPr>
      <w:r>
        <w:rPr>
          <w:w w:val="95"/>
        </w:rPr>
        <w:t>附表三：《民生附加金生无忧提前给付重大疾病保险》年保障成本表</w:t>
      </w:r>
    </w:p>
    <w:p>
      <w:pPr>
        <w:pStyle w:val="BodyText"/>
        <w:spacing w:before="0"/>
        <w:rPr>
          <w:b/>
        </w:rPr>
      </w:pPr>
    </w:p>
    <w:p>
      <w:pPr>
        <w:spacing w:line="316" w:lineRule="auto" w:before="152" w:after="8"/>
        <w:ind w:left="4123" w:right="3690" w:firstLine="0"/>
        <w:jc w:val="center"/>
        <w:rPr>
          <w:sz w:val="18"/>
        </w:rPr>
      </w:pPr>
      <w:r>
        <w:rPr>
          <w:b/>
          <w:sz w:val="18"/>
        </w:rPr>
        <w:t>（每千元基本保险金额） </w:t>
      </w:r>
      <w:r>
        <w:rPr>
          <w:sz w:val="18"/>
        </w:rPr>
        <w:t>单位：人民币元</w:t>
      </w:r>
    </w:p>
    <w:tbl>
      <w:tblPr>
        <w:tblW w:w="0" w:type="auto"/>
        <w:jc w:val="left"/>
        <w:tblInd w:w="2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6"/>
        <w:gridCol w:w="1300"/>
        <w:gridCol w:w="1401"/>
        <w:gridCol w:w="1960"/>
        <w:gridCol w:w="1391"/>
        <w:gridCol w:w="1419"/>
      </w:tblGrid>
      <w:tr>
        <w:trPr>
          <w:trHeight w:val="311" w:hRule="atLeast"/>
        </w:trPr>
        <w:tc>
          <w:tcPr>
            <w:tcW w:w="1746" w:type="dxa"/>
          </w:tcPr>
          <w:p>
            <w:pPr>
              <w:pStyle w:val="TableParagraph"/>
              <w:ind w:left="239"/>
              <w:rPr>
                <w:b/>
                <w:sz w:val="18"/>
              </w:rPr>
            </w:pPr>
            <w:r>
              <w:rPr>
                <w:b/>
                <w:w w:val="95"/>
                <w:sz w:val="18"/>
              </w:rPr>
              <w:t>保单年度初年龄</w:t>
            </w:r>
          </w:p>
        </w:tc>
        <w:tc>
          <w:tcPr>
            <w:tcW w:w="1300" w:type="dxa"/>
          </w:tcPr>
          <w:p>
            <w:pPr>
              <w:pStyle w:val="TableParagraph"/>
              <w:ind w:left="456" w:right="450"/>
              <w:jc w:val="center"/>
              <w:rPr>
                <w:b/>
                <w:sz w:val="18"/>
              </w:rPr>
            </w:pPr>
            <w:r>
              <w:rPr>
                <w:b/>
                <w:w w:val="95"/>
                <w:sz w:val="18"/>
              </w:rPr>
              <w:t>男性</w:t>
            </w:r>
          </w:p>
        </w:tc>
        <w:tc>
          <w:tcPr>
            <w:tcW w:w="1401" w:type="dxa"/>
          </w:tcPr>
          <w:p>
            <w:pPr>
              <w:pStyle w:val="TableParagraph"/>
              <w:ind w:left="498" w:right="491"/>
              <w:jc w:val="center"/>
              <w:rPr>
                <w:b/>
                <w:sz w:val="18"/>
              </w:rPr>
            </w:pPr>
            <w:r>
              <w:rPr>
                <w:b/>
                <w:sz w:val="18"/>
              </w:rPr>
              <w:t>女性</w:t>
            </w:r>
          </w:p>
        </w:tc>
        <w:tc>
          <w:tcPr>
            <w:tcW w:w="1960" w:type="dxa"/>
          </w:tcPr>
          <w:p>
            <w:pPr>
              <w:pStyle w:val="TableParagraph"/>
              <w:ind w:left="344"/>
              <w:rPr>
                <w:b/>
                <w:sz w:val="18"/>
              </w:rPr>
            </w:pPr>
            <w:r>
              <w:rPr>
                <w:b/>
                <w:w w:val="95"/>
                <w:sz w:val="18"/>
              </w:rPr>
              <w:t>保单年度初年龄</w:t>
            </w:r>
          </w:p>
        </w:tc>
        <w:tc>
          <w:tcPr>
            <w:tcW w:w="1391" w:type="dxa"/>
          </w:tcPr>
          <w:p>
            <w:pPr>
              <w:pStyle w:val="TableParagraph"/>
              <w:ind w:left="500" w:right="496"/>
              <w:jc w:val="center"/>
              <w:rPr>
                <w:b/>
                <w:sz w:val="18"/>
              </w:rPr>
            </w:pPr>
            <w:r>
              <w:rPr>
                <w:b/>
                <w:w w:val="95"/>
                <w:sz w:val="18"/>
              </w:rPr>
              <w:t>男性</w:t>
            </w:r>
          </w:p>
        </w:tc>
        <w:tc>
          <w:tcPr>
            <w:tcW w:w="1419" w:type="dxa"/>
          </w:tcPr>
          <w:p>
            <w:pPr>
              <w:pStyle w:val="TableParagraph"/>
              <w:ind w:left="506" w:right="501"/>
              <w:jc w:val="center"/>
              <w:rPr>
                <w:b/>
                <w:sz w:val="18"/>
              </w:rPr>
            </w:pPr>
            <w:r>
              <w:rPr>
                <w:b/>
                <w:sz w:val="18"/>
              </w:rPr>
              <w:t>女性</w:t>
            </w:r>
          </w:p>
        </w:tc>
      </w:tr>
      <w:tr>
        <w:trPr>
          <w:trHeight w:val="311" w:hRule="atLeast"/>
        </w:trPr>
        <w:tc>
          <w:tcPr>
            <w:tcW w:w="1746" w:type="dxa"/>
          </w:tcPr>
          <w:p>
            <w:pPr>
              <w:pStyle w:val="TableParagraph"/>
              <w:ind w:left="992"/>
              <w:rPr>
                <w:sz w:val="18"/>
              </w:rPr>
            </w:pPr>
            <w:r>
              <w:rPr>
                <w:sz w:val="18"/>
              </w:rPr>
              <w:t>18</w:t>
            </w:r>
          </w:p>
        </w:tc>
        <w:tc>
          <w:tcPr>
            <w:tcW w:w="1300" w:type="dxa"/>
          </w:tcPr>
          <w:p>
            <w:pPr>
              <w:pStyle w:val="TableParagraph"/>
              <w:ind w:right="250"/>
              <w:jc w:val="right"/>
              <w:rPr>
                <w:sz w:val="18"/>
              </w:rPr>
            </w:pPr>
            <w:r>
              <w:rPr>
                <w:sz w:val="18"/>
              </w:rPr>
              <w:t>1.29</w:t>
            </w:r>
          </w:p>
        </w:tc>
        <w:tc>
          <w:tcPr>
            <w:tcW w:w="1401" w:type="dxa"/>
          </w:tcPr>
          <w:p>
            <w:pPr>
              <w:pStyle w:val="TableParagraph"/>
              <w:ind w:right="301"/>
              <w:jc w:val="right"/>
              <w:rPr>
                <w:sz w:val="18"/>
              </w:rPr>
            </w:pPr>
            <w:r>
              <w:rPr>
                <w:sz w:val="18"/>
              </w:rPr>
              <w:t>1.24</w:t>
            </w:r>
          </w:p>
        </w:tc>
        <w:tc>
          <w:tcPr>
            <w:tcW w:w="1960" w:type="dxa"/>
          </w:tcPr>
          <w:p>
            <w:pPr>
              <w:pStyle w:val="TableParagraph"/>
              <w:ind w:left="1076" w:right="653"/>
              <w:jc w:val="center"/>
              <w:rPr>
                <w:sz w:val="18"/>
              </w:rPr>
            </w:pPr>
            <w:r>
              <w:rPr>
                <w:sz w:val="18"/>
              </w:rPr>
              <w:t>42</w:t>
            </w:r>
          </w:p>
        </w:tc>
        <w:tc>
          <w:tcPr>
            <w:tcW w:w="1391" w:type="dxa"/>
          </w:tcPr>
          <w:p>
            <w:pPr>
              <w:pStyle w:val="TableParagraph"/>
              <w:ind w:right="297"/>
              <w:jc w:val="right"/>
              <w:rPr>
                <w:sz w:val="18"/>
              </w:rPr>
            </w:pPr>
            <w:r>
              <w:rPr>
                <w:sz w:val="18"/>
              </w:rPr>
              <w:t>7.64</w:t>
            </w:r>
          </w:p>
        </w:tc>
        <w:tc>
          <w:tcPr>
            <w:tcW w:w="1419" w:type="dxa"/>
          </w:tcPr>
          <w:p>
            <w:pPr>
              <w:pStyle w:val="TableParagraph"/>
              <w:ind w:right="309"/>
              <w:jc w:val="right"/>
              <w:rPr>
                <w:sz w:val="18"/>
              </w:rPr>
            </w:pPr>
            <w:r>
              <w:rPr>
                <w:sz w:val="18"/>
              </w:rPr>
              <w:t>7.36</w:t>
            </w:r>
          </w:p>
        </w:tc>
      </w:tr>
      <w:tr>
        <w:trPr>
          <w:trHeight w:val="312" w:hRule="atLeast"/>
        </w:trPr>
        <w:tc>
          <w:tcPr>
            <w:tcW w:w="1746" w:type="dxa"/>
          </w:tcPr>
          <w:p>
            <w:pPr>
              <w:pStyle w:val="TableParagraph"/>
              <w:spacing w:before="11"/>
              <w:ind w:left="992"/>
              <w:rPr>
                <w:sz w:val="18"/>
              </w:rPr>
            </w:pPr>
            <w:r>
              <w:rPr>
                <w:sz w:val="18"/>
              </w:rPr>
              <w:t>19</w:t>
            </w:r>
          </w:p>
        </w:tc>
        <w:tc>
          <w:tcPr>
            <w:tcW w:w="1300" w:type="dxa"/>
          </w:tcPr>
          <w:p>
            <w:pPr>
              <w:pStyle w:val="TableParagraph"/>
              <w:spacing w:before="11"/>
              <w:ind w:right="250"/>
              <w:jc w:val="right"/>
              <w:rPr>
                <w:sz w:val="18"/>
              </w:rPr>
            </w:pPr>
            <w:r>
              <w:rPr>
                <w:sz w:val="18"/>
              </w:rPr>
              <w:t>1.41</w:t>
            </w:r>
          </w:p>
        </w:tc>
        <w:tc>
          <w:tcPr>
            <w:tcW w:w="1401" w:type="dxa"/>
          </w:tcPr>
          <w:p>
            <w:pPr>
              <w:pStyle w:val="TableParagraph"/>
              <w:spacing w:before="11"/>
              <w:ind w:right="301"/>
              <w:jc w:val="right"/>
              <w:rPr>
                <w:sz w:val="18"/>
              </w:rPr>
            </w:pPr>
            <w:r>
              <w:rPr>
                <w:sz w:val="18"/>
              </w:rPr>
              <w:t>1.30</w:t>
            </w:r>
          </w:p>
        </w:tc>
        <w:tc>
          <w:tcPr>
            <w:tcW w:w="1960" w:type="dxa"/>
          </w:tcPr>
          <w:p>
            <w:pPr>
              <w:pStyle w:val="TableParagraph"/>
              <w:spacing w:before="11"/>
              <w:ind w:left="1076" w:right="653"/>
              <w:jc w:val="center"/>
              <w:rPr>
                <w:sz w:val="18"/>
              </w:rPr>
            </w:pPr>
            <w:r>
              <w:rPr>
                <w:sz w:val="18"/>
              </w:rPr>
              <w:t>43</w:t>
            </w:r>
          </w:p>
        </w:tc>
        <w:tc>
          <w:tcPr>
            <w:tcW w:w="1391" w:type="dxa"/>
          </w:tcPr>
          <w:p>
            <w:pPr>
              <w:pStyle w:val="TableParagraph"/>
              <w:spacing w:before="11"/>
              <w:ind w:right="297"/>
              <w:jc w:val="right"/>
              <w:rPr>
                <w:sz w:val="18"/>
              </w:rPr>
            </w:pPr>
            <w:r>
              <w:rPr>
                <w:sz w:val="18"/>
              </w:rPr>
              <w:t>8.55</w:t>
            </w:r>
          </w:p>
        </w:tc>
        <w:tc>
          <w:tcPr>
            <w:tcW w:w="1419" w:type="dxa"/>
          </w:tcPr>
          <w:p>
            <w:pPr>
              <w:pStyle w:val="TableParagraph"/>
              <w:spacing w:before="11"/>
              <w:ind w:right="309"/>
              <w:jc w:val="right"/>
              <w:rPr>
                <w:sz w:val="18"/>
              </w:rPr>
            </w:pPr>
            <w:r>
              <w:rPr>
                <w:sz w:val="18"/>
              </w:rPr>
              <w:t>8.00</w:t>
            </w:r>
          </w:p>
        </w:tc>
      </w:tr>
      <w:tr>
        <w:trPr>
          <w:trHeight w:val="311" w:hRule="atLeast"/>
        </w:trPr>
        <w:tc>
          <w:tcPr>
            <w:tcW w:w="1746" w:type="dxa"/>
          </w:tcPr>
          <w:p>
            <w:pPr>
              <w:pStyle w:val="TableParagraph"/>
              <w:ind w:left="992"/>
              <w:rPr>
                <w:sz w:val="18"/>
              </w:rPr>
            </w:pPr>
            <w:r>
              <w:rPr>
                <w:sz w:val="18"/>
              </w:rPr>
              <w:t>20</w:t>
            </w:r>
          </w:p>
        </w:tc>
        <w:tc>
          <w:tcPr>
            <w:tcW w:w="1300" w:type="dxa"/>
          </w:tcPr>
          <w:p>
            <w:pPr>
              <w:pStyle w:val="TableParagraph"/>
              <w:ind w:right="250"/>
              <w:jc w:val="right"/>
              <w:rPr>
                <w:sz w:val="18"/>
              </w:rPr>
            </w:pPr>
            <w:r>
              <w:rPr>
                <w:sz w:val="18"/>
              </w:rPr>
              <w:t>1.53</w:t>
            </w:r>
          </w:p>
        </w:tc>
        <w:tc>
          <w:tcPr>
            <w:tcW w:w="1401" w:type="dxa"/>
          </w:tcPr>
          <w:p>
            <w:pPr>
              <w:pStyle w:val="TableParagraph"/>
              <w:ind w:right="301"/>
              <w:jc w:val="right"/>
              <w:rPr>
                <w:sz w:val="18"/>
              </w:rPr>
            </w:pPr>
            <w:r>
              <w:rPr>
                <w:sz w:val="18"/>
              </w:rPr>
              <w:t>1.37</w:t>
            </w:r>
          </w:p>
        </w:tc>
        <w:tc>
          <w:tcPr>
            <w:tcW w:w="1960" w:type="dxa"/>
          </w:tcPr>
          <w:p>
            <w:pPr>
              <w:pStyle w:val="TableParagraph"/>
              <w:ind w:left="1076" w:right="653"/>
              <w:jc w:val="center"/>
              <w:rPr>
                <w:sz w:val="18"/>
              </w:rPr>
            </w:pPr>
            <w:r>
              <w:rPr>
                <w:sz w:val="18"/>
              </w:rPr>
              <w:t>44</w:t>
            </w:r>
          </w:p>
        </w:tc>
        <w:tc>
          <w:tcPr>
            <w:tcW w:w="1391" w:type="dxa"/>
          </w:tcPr>
          <w:p>
            <w:pPr>
              <w:pStyle w:val="TableParagraph"/>
              <w:ind w:right="297"/>
              <w:jc w:val="right"/>
              <w:rPr>
                <w:sz w:val="18"/>
              </w:rPr>
            </w:pPr>
            <w:r>
              <w:rPr>
                <w:sz w:val="18"/>
              </w:rPr>
              <w:t>9.57</w:t>
            </w:r>
          </w:p>
        </w:tc>
        <w:tc>
          <w:tcPr>
            <w:tcW w:w="1419" w:type="dxa"/>
          </w:tcPr>
          <w:p>
            <w:pPr>
              <w:pStyle w:val="TableParagraph"/>
              <w:ind w:right="309"/>
              <w:jc w:val="right"/>
              <w:rPr>
                <w:sz w:val="18"/>
              </w:rPr>
            </w:pPr>
            <w:r>
              <w:rPr>
                <w:sz w:val="18"/>
              </w:rPr>
              <w:t>8.69</w:t>
            </w:r>
          </w:p>
        </w:tc>
      </w:tr>
      <w:tr>
        <w:trPr>
          <w:trHeight w:val="311" w:hRule="atLeast"/>
        </w:trPr>
        <w:tc>
          <w:tcPr>
            <w:tcW w:w="1746" w:type="dxa"/>
          </w:tcPr>
          <w:p>
            <w:pPr>
              <w:pStyle w:val="TableParagraph"/>
              <w:ind w:left="992"/>
              <w:rPr>
                <w:sz w:val="18"/>
              </w:rPr>
            </w:pPr>
            <w:r>
              <w:rPr>
                <w:sz w:val="18"/>
              </w:rPr>
              <w:t>21</w:t>
            </w:r>
          </w:p>
        </w:tc>
        <w:tc>
          <w:tcPr>
            <w:tcW w:w="1300" w:type="dxa"/>
          </w:tcPr>
          <w:p>
            <w:pPr>
              <w:pStyle w:val="TableParagraph"/>
              <w:ind w:right="250"/>
              <w:jc w:val="right"/>
              <w:rPr>
                <w:sz w:val="18"/>
              </w:rPr>
            </w:pPr>
            <w:r>
              <w:rPr>
                <w:sz w:val="18"/>
              </w:rPr>
              <w:t>1.65</w:t>
            </w:r>
          </w:p>
        </w:tc>
        <w:tc>
          <w:tcPr>
            <w:tcW w:w="1401" w:type="dxa"/>
          </w:tcPr>
          <w:p>
            <w:pPr>
              <w:pStyle w:val="TableParagraph"/>
              <w:ind w:right="301"/>
              <w:jc w:val="right"/>
              <w:rPr>
                <w:sz w:val="18"/>
              </w:rPr>
            </w:pPr>
            <w:r>
              <w:rPr>
                <w:sz w:val="18"/>
              </w:rPr>
              <w:t>1.43</w:t>
            </w:r>
          </w:p>
        </w:tc>
        <w:tc>
          <w:tcPr>
            <w:tcW w:w="1960" w:type="dxa"/>
          </w:tcPr>
          <w:p>
            <w:pPr>
              <w:pStyle w:val="TableParagraph"/>
              <w:ind w:left="1076" w:right="653"/>
              <w:jc w:val="center"/>
              <w:rPr>
                <w:sz w:val="18"/>
              </w:rPr>
            </w:pPr>
            <w:r>
              <w:rPr>
                <w:sz w:val="18"/>
              </w:rPr>
              <w:t>45</w:t>
            </w:r>
          </w:p>
        </w:tc>
        <w:tc>
          <w:tcPr>
            <w:tcW w:w="1391" w:type="dxa"/>
          </w:tcPr>
          <w:p>
            <w:pPr>
              <w:pStyle w:val="TableParagraph"/>
              <w:ind w:right="251"/>
              <w:jc w:val="right"/>
              <w:rPr>
                <w:sz w:val="18"/>
              </w:rPr>
            </w:pPr>
            <w:r>
              <w:rPr>
                <w:sz w:val="18"/>
              </w:rPr>
              <w:t>10.72</w:t>
            </w:r>
          </w:p>
        </w:tc>
        <w:tc>
          <w:tcPr>
            <w:tcW w:w="1419" w:type="dxa"/>
          </w:tcPr>
          <w:p>
            <w:pPr>
              <w:pStyle w:val="TableParagraph"/>
              <w:ind w:right="309"/>
              <w:jc w:val="right"/>
              <w:rPr>
                <w:sz w:val="18"/>
              </w:rPr>
            </w:pPr>
            <w:r>
              <w:rPr>
                <w:sz w:val="18"/>
              </w:rPr>
              <w:t>9.42</w:t>
            </w:r>
          </w:p>
        </w:tc>
      </w:tr>
      <w:tr>
        <w:trPr>
          <w:trHeight w:val="312" w:hRule="atLeast"/>
        </w:trPr>
        <w:tc>
          <w:tcPr>
            <w:tcW w:w="1746" w:type="dxa"/>
          </w:tcPr>
          <w:p>
            <w:pPr>
              <w:pStyle w:val="TableParagraph"/>
              <w:spacing w:before="11"/>
              <w:ind w:left="992"/>
              <w:rPr>
                <w:sz w:val="18"/>
              </w:rPr>
            </w:pPr>
            <w:r>
              <w:rPr>
                <w:sz w:val="18"/>
              </w:rPr>
              <w:t>22</w:t>
            </w:r>
          </w:p>
        </w:tc>
        <w:tc>
          <w:tcPr>
            <w:tcW w:w="1300" w:type="dxa"/>
          </w:tcPr>
          <w:p>
            <w:pPr>
              <w:pStyle w:val="TableParagraph"/>
              <w:spacing w:before="11"/>
              <w:ind w:right="250"/>
              <w:jc w:val="right"/>
              <w:rPr>
                <w:sz w:val="18"/>
              </w:rPr>
            </w:pPr>
            <w:r>
              <w:rPr>
                <w:sz w:val="18"/>
              </w:rPr>
              <w:t>1.77</w:t>
            </w:r>
          </w:p>
        </w:tc>
        <w:tc>
          <w:tcPr>
            <w:tcW w:w="1401" w:type="dxa"/>
          </w:tcPr>
          <w:p>
            <w:pPr>
              <w:pStyle w:val="TableParagraph"/>
              <w:spacing w:before="11"/>
              <w:ind w:right="301"/>
              <w:jc w:val="right"/>
              <w:rPr>
                <w:sz w:val="18"/>
              </w:rPr>
            </w:pPr>
            <w:r>
              <w:rPr>
                <w:sz w:val="18"/>
              </w:rPr>
              <w:t>1.50</w:t>
            </w:r>
          </w:p>
        </w:tc>
        <w:tc>
          <w:tcPr>
            <w:tcW w:w="1960" w:type="dxa"/>
          </w:tcPr>
          <w:p>
            <w:pPr>
              <w:pStyle w:val="TableParagraph"/>
              <w:spacing w:before="11"/>
              <w:ind w:left="1076" w:right="653"/>
              <w:jc w:val="center"/>
              <w:rPr>
                <w:sz w:val="18"/>
              </w:rPr>
            </w:pPr>
            <w:r>
              <w:rPr>
                <w:sz w:val="18"/>
              </w:rPr>
              <w:t>46</w:t>
            </w:r>
          </w:p>
        </w:tc>
        <w:tc>
          <w:tcPr>
            <w:tcW w:w="1391" w:type="dxa"/>
          </w:tcPr>
          <w:p>
            <w:pPr>
              <w:pStyle w:val="TableParagraph"/>
              <w:spacing w:before="11"/>
              <w:ind w:right="251"/>
              <w:jc w:val="right"/>
              <w:rPr>
                <w:sz w:val="18"/>
              </w:rPr>
            </w:pPr>
            <w:r>
              <w:rPr>
                <w:sz w:val="18"/>
              </w:rPr>
              <w:t>11.99</w:t>
            </w:r>
          </w:p>
        </w:tc>
        <w:tc>
          <w:tcPr>
            <w:tcW w:w="1419" w:type="dxa"/>
          </w:tcPr>
          <w:p>
            <w:pPr>
              <w:pStyle w:val="TableParagraph"/>
              <w:spacing w:before="11"/>
              <w:ind w:right="265"/>
              <w:jc w:val="right"/>
              <w:rPr>
                <w:sz w:val="18"/>
              </w:rPr>
            </w:pPr>
            <w:r>
              <w:rPr>
                <w:sz w:val="18"/>
              </w:rPr>
              <w:t>10.20</w:t>
            </w:r>
          </w:p>
        </w:tc>
      </w:tr>
      <w:tr>
        <w:trPr>
          <w:trHeight w:val="311" w:hRule="atLeast"/>
        </w:trPr>
        <w:tc>
          <w:tcPr>
            <w:tcW w:w="1746" w:type="dxa"/>
          </w:tcPr>
          <w:p>
            <w:pPr>
              <w:pStyle w:val="TableParagraph"/>
              <w:ind w:left="992"/>
              <w:rPr>
                <w:sz w:val="18"/>
              </w:rPr>
            </w:pPr>
            <w:r>
              <w:rPr>
                <w:sz w:val="18"/>
              </w:rPr>
              <w:t>23</w:t>
            </w:r>
          </w:p>
        </w:tc>
        <w:tc>
          <w:tcPr>
            <w:tcW w:w="1300" w:type="dxa"/>
          </w:tcPr>
          <w:p>
            <w:pPr>
              <w:pStyle w:val="TableParagraph"/>
              <w:ind w:right="250"/>
              <w:jc w:val="right"/>
              <w:rPr>
                <w:sz w:val="18"/>
              </w:rPr>
            </w:pPr>
            <w:r>
              <w:rPr>
                <w:sz w:val="18"/>
              </w:rPr>
              <w:t>1.89</w:t>
            </w:r>
          </w:p>
        </w:tc>
        <w:tc>
          <w:tcPr>
            <w:tcW w:w="1401" w:type="dxa"/>
          </w:tcPr>
          <w:p>
            <w:pPr>
              <w:pStyle w:val="TableParagraph"/>
              <w:ind w:right="301"/>
              <w:jc w:val="right"/>
              <w:rPr>
                <w:sz w:val="18"/>
              </w:rPr>
            </w:pPr>
            <w:r>
              <w:rPr>
                <w:sz w:val="18"/>
              </w:rPr>
              <w:t>1.59</w:t>
            </w:r>
          </w:p>
        </w:tc>
        <w:tc>
          <w:tcPr>
            <w:tcW w:w="1960" w:type="dxa"/>
          </w:tcPr>
          <w:p>
            <w:pPr>
              <w:pStyle w:val="TableParagraph"/>
              <w:ind w:left="1076" w:right="653"/>
              <w:jc w:val="center"/>
              <w:rPr>
                <w:sz w:val="18"/>
              </w:rPr>
            </w:pPr>
            <w:r>
              <w:rPr>
                <w:sz w:val="18"/>
              </w:rPr>
              <w:t>47</w:t>
            </w:r>
          </w:p>
        </w:tc>
        <w:tc>
          <w:tcPr>
            <w:tcW w:w="1391" w:type="dxa"/>
          </w:tcPr>
          <w:p>
            <w:pPr>
              <w:pStyle w:val="TableParagraph"/>
              <w:ind w:right="251"/>
              <w:jc w:val="right"/>
              <w:rPr>
                <w:sz w:val="18"/>
              </w:rPr>
            </w:pPr>
            <w:r>
              <w:rPr>
                <w:sz w:val="18"/>
              </w:rPr>
              <w:t>13.37</w:t>
            </w:r>
          </w:p>
        </w:tc>
        <w:tc>
          <w:tcPr>
            <w:tcW w:w="1419" w:type="dxa"/>
          </w:tcPr>
          <w:p>
            <w:pPr>
              <w:pStyle w:val="TableParagraph"/>
              <w:ind w:right="265"/>
              <w:jc w:val="right"/>
              <w:rPr>
                <w:sz w:val="18"/>
              </w:rPr>
            </w:pPr>
            <w:r>
              <w:rPr>
                <w:sz w:val="18"/>
              </w:rPr>
              <w:t>10.97</w:t>
            </w:r>
          </w:p>
        </w:tc>
      </w:tr>
      <w:tr>
        <w:trPr>
          <w:trHeight w:val="311" w:hRule="atLeast"/>
        </w:trPr>
        <w:tc>
          <w:tcPr>
            <w:tcW w:w="1746" w:type="dxa"/>
          </w:tcPr>
          <w:p>
            <w:pPr>
              <w:pStyle w:val="TableParagraph"/>
              <w:ind w:left="992"/>
              <w:rPr>
                <w:sz w:val="18"/>
              </w:rPr>
            </w:pPr>
            <w:r>
              <w:rPr>
                <w:sz w:val="18"/>
              </w:rPr>
              <w:t>24</w:t>
            </w:r>
          </w:p>
        </w:tc>
        <w:tc>
          <w:tcPr>
            <w:tcW w:w="1300" w:type="dxa"/>
          </w:tcPr>
          <w:p>
            <w:pPr>
              <w:pStyle w:val="TableParagraph"/>
              <w:ind w:right="250"/>
              <w:jc w:val="right"/>
              <w:rPr>
                <w:sz w:val="18"/>
              </w:rPr>
            </w:pPr>
            <w:r>
              <w:rPr>
                <w:sz w:val="18"/>
              </w:rPr>
              <w:t>2.02</w:t>
            </w:r>
          </w:p>
        </w:tc>
        <w:tc>
          <w:tcPr>
            <w:tcW w:w="1401" w:type="dxa"/>
          </w:tcPr>
          <w:p>
            <w:pPr>
              <w:pStyle w:val="TableParagraph"/>
              <w:ind w:right="301"/>
              <w:jc w:val="right"/>
              <w:rPr>
                <w:sz w:val="18"/>
              </w:rPr>
            </w:pPr>
            <w:r>
              <w:rPr>
                <w:sz w:val="18"/>
              </w:rPr>
              <w:t>1.68</w:t>
            </w:r>
          </w:p>
        </w:tc>
        <w:tc>
          <w:tcPr>
            <w:tcW w:w="1960" w:type="dxa"/>
          </w:tcPr>
          <w:p>
            <w:pPr>
              <w:pStyle w:val="TableParagraph"/>
              <w:ind w:left="1076" w:right="653"/>
              <w:jc w:val="center"/>
              <w:rPr>
                <w:sz w:val="18"/>
              </w:rPr>
            </w:pPr>
            <w:r>
              <w:rPr>
                <w:sz w:val="18"/>
              </w:rPr>
              <w:t>48</w:t>
            </w:r>
          </w:p>
        </w:tc>
        <w:tc>
          <w:tcPr>
            <w:tcW w:w="1391" w:type="dxa"/>
          </w:tcPr>
          <w:p>
            <w:pPr>
              <w:pStyle w:val="TableParagraph"/>
              <w:ind w:right="251"/>
              <w:jc w:val="right"/>
              <w:rPr>
                <w:sz w:val="18"/>
              </w:rPr>
            </w:pPr>
            <w:r>
              <w:rPr>
                <w:sz w:val="18"/>
              </w:rPr>
              <w:t>14.86</w:t>
            </w:r>
          </w:p>
        </w:tc>
        <w:tc>
          <w:tcPr>
            <w:tcW w:w="1419" w:type="dxa"/>
          </w:tcPr>
          <w:p>
            <w:pPr>
              <w:pStyle w:val="TableParagraph"/>
              <w:ind w:right="265"/>
              <w:jc w:val="right"/>
              <w:rPr>
                <w:sz w:val="18"/>
              </w:rPr>
            </w:pPr>
            <w:r>
              <w:rPr>
                <w:sz w:val="18"/>
              </w:rPr>
              <w:t>11.72</w:t>
            </w:r>
          </w:p>
        </w:tc>
      </w:tr>
      <w:tr>
        <w:trPr>
          <w:trHeight w:val="312" w:hRule="atLeast"/>
        </w:trPr>
        <w:tc>
          <w:tcPr>
            <w:tcW w:w="1746" w:type="dxa"/>
          </w:tcPr>
          <w:p>
            <w:pPr>
              <w:pStyle w:val="TableParagraph"/>
              <w:spacing w:before="11"/>
              <w:ind w:left="992"/>
              <w:rPr>
                <w:sz w:val="18"/>
              </w:rPr>
            </w:pPr>
            <w:r>
              <w:rPr>
                <w:sz w:val="18"/>
              </w:rPr>
              <w:t>25</w:t>
            </w:r>
          </w:p>
        </w:tc>
        <w:tc>
          <w:tcPr>
            <w:tcW w:w="1300" w:type="dxa"/>
          </w:tcPr>
          <w:p>
            <w:pPr>
              <w:pStyle w:val="TableParagraph"/>
              <w:spacing w:before="11"/>
              <w:ind w:right="250"/>
              <w:jc w:val="right"/>
              <w:rPr>
                <w:sz w:val="18"/>
              </w:rPr>
            </w:pPr>
            <w:r>
              <w:rPr>
                <w:sz w:val="18"/>
              </w:rPr>
              <w:t>2.14</w:t>
            </w:r>
          </w:p>
        </w:tc>
        <w:tc>
          <w:tcPr>
            <w:tcW w:w="1401" w:type="dxa"/>
          </w:tcPr>
          <w:p>
            <w:pPr>
              <w:pStyle w:val="TableParagraph"/>
              <w:spacing w:before="11"/>
              <w:ind w:right="301"/>
              <w:jc w:val="right"/>
              <w:rPr>
                <w:sz w:val="18"/>
              </w:rPr>
            </w:pPr>
            <w:r>
              <w:rPr>
                <w:sz w:val="18"/>
              </w:rPr>
              <w:t>1.80</w:t>
            </w:r>
          </w:p>
        </w:tc>
        <w:tc>
          <w:tcPr>
            <w:tcW w:w="1960" w:type="dxa"/>
          </w:tcPr>
          <w:p>
            <w:pPr>
              <w:pStyle w:val="TableParagraph"/>
              <w:spacing w:before="11"/>
              <w:ind w:left="1076" w:right="653"/>
              <w:jc w:val="center"/>
              <w:rPr>
                <w:sz w:val="18"/>
              </w:rPr>
            </w:pPr>
            <w:r>
              <w:rPr>
                <w:sz w:val="18"/>
              </w:rPr>
              <w:t>49</w:t>
            </w:r>
          </w:p>
        </w:tc>
        <w:tc>
          <w:tcPr>
            <w:tcW w:w="1391" w:type="dxa"/>
          </w:tcPr>
          <w:p>
            <w:pPr>
              <w:pStyle w:val="TableParagraph"/>
              <w:spacing w:before="11"/>
              <w:ind w:right="251"/>
              <w:jc w:val="right"/>
              <w:rPr>
                <w:sz w:val="18"/>
              </w:rPr>
            </w:pPr>
            <w:r>
              <w:rPr>
                <w:sz w:val="18"/>
              </w:rPr>
              <w:t>16.47</w:t>
            </w:r>
          </w:p>
        </w:tc>
        <w:tc>
          <w:tcPr>
            <w:tcW w:w="1419" w:type="dxa"/>
          </w:tcPr>
          <w:p>
            <w:pPr>
              <w:pStyle w:val="TableParagraph"/>
              <w:spacing w:before="11"/>
              <w:ind w:right="265"/>
              <w:jc w:val="right"/>
              <w:rPr>
                <w:sz w:val="18"/>
              </w:rPr>
            </w:pPr>
            <w:r>
              <w:rPr>
                <w:sz w:val="18"/>
              </w:rPr>
              <w:t>12.45</w:t>
            </w:r>
          </w:p>
        </w:tc>
      </w:tr>
      <w:tr>
        <w:trPr>
          <w:trHeight w:val="311" w:hRule="atLeast"/>
        </w:trPr>
        <w:tc>
          <w:tcPr>
            <w:tcW w:w="1746" w:type="dxa"/>
          </w:tcPr>
          <w:p>
            <w:pPr>
              <w:pStyle w:val="TableParagraph"/>
              <w:ind w:left="992"/>
              <w:rPr>
                <w:sz w:val="18"/>
              </w:rPr>
            </w:pPr>
            <w:r>
              <w:rPr>
                <w:sz w:val="18"/>
              </w:rPr>
              <w:t>26</w:t>
            </w:r>
          </w:p>
        </w:tc>
        <w:tc>
          <w:tcPr>
            <w:tcW w:w="1300" w:type="dxa"/>
          </w:tcPr>
          <w:p>
            <w:pPr>
              <w:pStyle w:val="TableParagraph"/>
              <w:ind w:right="250"/>
              <w:jc w:val="right"/>
              <w:rPr>
                <w:sz w:val="18"/>
              </w:rPr>
            </w:pPr>
            <w:r>
              <w:rPr>
                <w:sz w:val="18"/>
              </w:rPr>
              <w:t>2.27</w:t>
            </w:r>
          </w:p>
        </w:tc>
        <w:tc>
          <w:tcPr>
            <w:tcW w:w="1401" w:type="dxa"/>
          </w:tcPr>
          <w:p>
            <w:pPr>
              <w:pStyle w:val="TableParagraph"/>
              <w:ind w:right="301"/>
              <w:jc w:val="right"/>
              <w:rPr>
                <w:sz w:val="18"/>
              </w:rPr>
            </w:pPr>
            <w:r>
              <w:rPr>
                <w:sz w:val="18"/>
              </w:rPr>
              <w:t>1.93</w:t>
            </w:r>
          </w:p>
        </w:tc>
        <w:tc>
          <w:tcPr>
            <w:tcW w:w="1960" w:type="dxa"/>
          </w:tcPr>
          <w:p>
            <w:pPr>
              <w:pStyle w:val="TableParagraph"/>
              <w:ind w:left="1076" w:right="653"/>
              <w:jc w:val="center"/>
              <w:rPr>
                <w:sz w:val="18"/>
              </w:rPr>
            </w:pPr>
            <w:r>
              <w:rPr>
                <w:sz w:val="18"/>
              </w:rPr>
              <w:t>50</w:t>
            </w:r>
          </w:p>
        </w:tc>
        <w:tc>
          <w:tcPr>
            <w:tcW w:w="1391" w:type="dxa"/>
          </w:tcPr>
          <w:p>
            <w:pPr>
              <w:pStyle w:val="TableParagraph"/>
              <w:ind w:right="251"/>
              <w:jc w:val="right"/>
              <w:rPr>
                <w:sz w:val="18"/>
              </w:rPr>
            </w:pPr>
            <w:r>
              <w:rPr>
                <w:sz w:val="18"/>
              </w:rPr>
              <w:t>18.18</w:t>
            </w:r>
          </w:p>
        </w:tc>
        <w:tc>
          <w:tcPr>
            <w:tcW w:w="1419" w:type="dxa"/>
          </w:tcPr>
          <w:p>
            <w:pPr>
              <w:pStyle w:val="TableParagraph"/>
              <w:ind w:right="265"/>
              <w:jc w:val="right"/>
              <w:rPr>
                <w:sz w:val="18"/>
              </w:rPr>
            </w:pPr>
            <w:r>
              <w:rPr>
                <w:sz w:val="18"/>
              </w:rPr>
              <w:t>13.20</w:t>
            </w:r>
          </w:p>
        </w:tc>
      </w:tr>
      <w:tr>
        <w:trPr>
          <w:trHeight w:val="311" w:hRule="atLeast"/>
        </w:trPr>
        <w:tc>
          <w:tcPr>
            <w:tcW w:w="1746" w:type="dxa"/>
          </w:tcPr>
          <w:p>
            <w:pPr>
              <w:pStyle w:val="TableParagraph"/>
              <w:ind w:left="992"/>
              <w:rPr>
                <w:sz w:val="18"/>
              </w:rPr>
            </w:pPr>
            <w:r>
              <w:rPr>
                <w:sz w:val="18"/>
              </w:rPr>
              <w:t>27</w:t>
            </w:r>
          </w:p>
        </w:tc>
        <w:tc>
          <w:tcPr>
            <w:tcW w:w="1300" w:type="dxa"/>
          </w:tcPr>
          <w:p>
            <w:pPr>
              <w:pStyle w:val="TableParagraph"/>
              <w:ind w:right="250"/>
              <w:jc w:val="right"/>
              <w:rPr>
                <w:sz w:val="18"/>
              </w:rPr>
            </w:pPr>
            <w:r>
              <w:rPr>
                <w:sz w:val="18"/>
              </w:rPr>
              <w:t>2.40</w:t>
            </w:r>
          </w:p>
        </w:tc>
        <w:tc>
          <w:tcPr>
            <w:tcW w:w="1401" w:type="dxa"/>
          </w:tcPr>
          <w:p>
            <w:pPr>
              <w:pStyle w:val="TableParagraph"/>
              <w:ind w:right="301"/>
              <w:jc w:val="right"/>
              <w:rPr>
                <w:sz w:val="18"/>
              </w:rPr>
            </w:pPr>
            <w:r>
              <w:rPr>
                <w:sz w:val="18"/>
              </w:rPr>
              <w:t>2.07</w:t>
            </w:r>
          </w:p>
        </w:tc>
        <w:tc>
          <w:tcPr>
            <w:tcW w:w="1960" w:type="dxa"/>
          </w:tcPr>
          <w:p>
            <w:pPr>
              <w:pStyle w:val="TableParagraph"/>
              <w:ind w:left="1076" w:right="653"/>
              <w:jc w:val="center"/>
              <w:rPr>
                <w:sz w:val="18"/>
              </w:rPr>
            </w:pPr>
            <w:r>
              <w:rPr>
                <w:sz w:val="18"/>
              </w:rPr>
              <w:t>51</w:t>
            </w:r>
          </w:p>
        </w:tc>
        <w:tc>
          <w:tcPr>
            <w:tcW w:w="1391" w:type="dxa"/>
          </w:tcPr>
          <w:p>
            <w:pPr>
              <w:pStyle w:val="TableParagraph"/>
              <w:ind w:right="251"/>
              <w:jc w:val="right"/>
              <w:rPr>
                <w:sz w:val="18"/>
              </w:rPr>
            </w:pPr>
            <w:r>
              <w:rPr>
                <w:sz w:val="18"/>
              </w:rPr>
              <w:t>19.99</w:t>
            </w:r>
          </w:p>
        </w:tc>
        <w:tc>
          <w:tcPr>
            <w:tcW w:w="1419" w:type="dxa"/>
          </w:tcPr>
          <w:p>
            <w:pPr>
              <w:pStyle w:val="TableParagraph"/>
              <w:ind w:right="265"/>
              <w:jc w:val="right"/>
              <w:rPr>
                <w:sz w:val="18"/>
              </w:rPr>
            </w:pPr>
            <w:r>
              <w:rPr>
                <w:sz w:val="18"/>
              </w:rPr>
              <w:t>14.00</w:t>
            </w:r>
          </w:p>
        </w:tc>
      </w:tr>
      <w:tr>
        <w:trPr>
          <w:trHeight w:val="312" w:hRule="atLeast"/>
        </w:trPr>
        <w:tc>
          <w:tcPr>
            <w:tcW w:w="1746" w:type="dxa"/>
          </w:tcPr>
          <w:p>
            <w:pPr>
              <w:pStyle w:val="TableParagraph"/>
              <w:spacing w:before="11"/>
              <w:ind w:left="992"/>
              <w:rPr>
                <w:sz w:val="18"/>
              </w:rPr>
            </w:pPr>
            <w:r>
              <w:rPr>
                <w:sz w:val="18"/>
              </w:rPr>
              <w:t>28</w:t>
            </w:r>
          </w:p>
        </w:tc>
        <w:tc>
          <w:tcPr>
            <w:tcW w:w="1300" w:type="dxa"/>
          </w:tcPr>
          <w:p>
            <w:pPr>
              <w:pStyle w:val="TableParagraph"/>
              <w:spacing w:before="11"/>
              <w:ind w:right="250"/>
              <w:jc w:val="right"/>
              <w:rPr>
                <w:sz w:val="18"/>
              </w:rPr>
            </w:pPr>
            <w:r>
              <w:rPr>
                <w:sz w:val="18"/>
              </w:rPr>
              <w:t>2.54</w:t>
            </w:r>
          </w:p>
        </w:tc>
        <w:tc>
          <w:tcPr>
            <w:tcW w:w="1401" w:type="dxa"/>
          </w:tcPr>
          <w:p>
            <w:pPr>
              <w:pStyle w:val="TableParagraph"/>
              <w:spacing w:before="11"/>
              <w:ind w:right="301"/>
              <w:jc w:val="right"/>
              <w:rPr>
                <w:sz w:val="18"/>
              </w:rPr>
            </w:pPr>
            <w:r>
              <w:rPr>
                <w:sz w:val="18"/>
              </w:rPr>
              <w:t>2.25</w:t>
            </w:r>
          </w:p>
        </w:tc>
        <w:tc>
          <w:tcPr>
            <w:tcW w:w="1960" w:type="dxa"/>
          </w:tcPr>
          <w:p>
            <w:pPr>
              <w:pStyle w:val="TableParagraph"/>
              <w:spacing w:before="11"/>
              <w:ind w:left="1076" w:right="653"/>
              <w:jc w:val="center"/>
              <w:rPr>
                <w:sz w:val="18"/>
              </w:rPr>
            </w:pPr>
            <w:r>
              <w:rPr>
                <w:sz w:val="18"/>
              </w:rPr>
              <w:t>52</w:t>
            </w:r>
          </w:p>
        </w:tc>
        <w:tc>
          <w:tcPr>
            <w:tcW w:w="1391" w:type="dxa"/>
          </w:tcPr>
          <w:p>
            <w:pPr>
              <w:pStyle w:val="TableParagraph"/>
              <w:spacing w:before="11"/>
              <w:ind w:right="251"/>
              <w:jc w:val="right"/>
              <w:rPr>
                <w:sz w:val="18"/>
              </w:rPr>
            </w:pPr>
            <w:r>
              <w:rPr>
                <w:sz w:val="18"/>
              </w:rPr>
              <w:t>21.94</w:t>
            </w:r>
          </w:p>
        </w:tc>
        <w:tc>
          <w:tcPr>
            <w:tcW w:w="1419" w:type="dxa"/>
          </w:tcPr>
          <w:p>
            <w:pPr>
              <w:pStyle w:val="TableParagraph"/>
              <w:spacing w:before="11"/>
              <w:ind w:right="265"/>
              <w:jc w:val="right"/>
              <w:rPr>
                <w:sz w:val="18"/>
              </w:rPr>
            </w:pPr>
            <w:r>
              <w:rPr>
                <w:sz w:val="18"/>
              </w:rPr>
              <w:t>14.83</w:t>
            </w:r>
          </w:p>
        </w:tc>
      </w:tr>
      <w:tr>
        <w:trPr>
          <w:trHeight w:val="311" w:hRule="atLeast"/>
        </w:trPr>
        <w:tc>
          <w:tcPr>
            <w:tcW w:w="1746" w:type="dxa"/>
          </w:tcPr>
          <w:p>
            <w:pPr>
              <w:pStyle w:val="TableParagraph"/>
              <w:ind w:left="992"/>
              <w:rPr>
                <w:sz w:val="18"/>
              </w:rPr>
            </w:pPr>
            <w:r>
              <w:rPr>
                <w:sz w:val="18"/>
              </w:rPr>
              <w:t>29</w:t>
            </w:r>
          </w:p>
        </w:tc>
        <w:tc>
          <w:tcPr>
            <w:tcW w:w="1300" w:type="dxa"/>
          </w:tcPr>
          <w:p>
            <w:pPr>
              <w:pStyle w:val="TableParagraph"/>
              <w:ind w:right="250"/>
              <w:jc w:val="right"/>
              <w:rPr>
                <w:sz w:val="18"/>
              </w:rPr>
            </w:pPr>
            <w:r>
              <w:rPr>
                <w:sz w:val="18"/>
              </w:rPr>
              <w:t>2.68</w:t>
            </w:r>
          </w:p>
        </w:tc>
        <w:tc>
          <w:tcPr>
            <w:tcW w:w="1401" w:type="dxa"/>
          </w:tcPr>
          <w:p>
            <w:pPr>
              <w:pStyle w:val="TableParagraph"/>
              <w:ind w:right="301"/>
              <w:jc w:val="right"/>
              <w:rPr>
                <w:sz w:val="18"/>
              </w:rPr>
            </w:pPr>
            <w:r>
              <w:rPr>
                <w:sz w:val="18"/>
              </w:rPr>
              <w:t>2.45</w:t>
            </w:r>
          </w:p>
        </w:tc>
        <w:tc>
          <w:tcPr>
            <w:tcW w:w="1960" w:type="dxa"/>
          </w:tcPr>
          <w:p>
            <w:pPr>
              <w:pStyle w:val="TableParagraph"/>
              <w:ind w:left="1076" w:right="653"/>
              <w:jc w:val="center"/>
              <w:rPr>
                <w:sz w:val="18"/>
              </w:rPr>
            </w:pPr>
            <w:r>
              <w:rPr>
                <w:sz w:val="18"/>
              </w:rPr>
              <w:t>53</w:t>
            </w:r>
          </w:p>
        </w:tc>
        <w:tc>
          <w:tcPr>
            <w:tcW w:w="1391" w:type="dxa"/>
          </w:tcPr>
          <w:p>
            <w:pPr>
              <w:pStyle w:val="TableParagraph"/>
              <w:ind w:right="251"/>
              <w:jc w:val="right"/>
              <w:rPr>
                <w:sz w:val="18"/>
              </w:rPr>
            </w:pPr>
            <w:r>
              <w:rPr>
                <w:sz w:val="18"/>
              </w:rPr>
              <w:t>24.04</w:t>
            </w:r>
          </w:p>
        </w:tc>
        <w:tc>
          <w:tcPr>
            <w:tcW w:w="1419" w:type="dxa"/>
          </w:tcPr>
          <w:p>
            <w:pPr>
              <w:pStyle w:val="TableParagraph"/>
              <w:ind w:right="265"/>
              <w:jc w:val="right"/>
              <w:rPr>
                <w:sz w:val="18"/>
              </w:rPr>
            </w:pPr>
            <w:r>
              <w:rPr>
                <w:sz w:val="18"/>
              </w:rPr>
              <w:t>15.74</w:t>
            </w:r>
          </w:p>
        </w:tc>
      </w:tr>
      <w:tr>
        <w:trPr>
          <w:trHeight w:val="311" w:hRule="atLeast"/>
        </w:trPr>
        <w:tc>
          <w:tcPr>
            <w:tcW w:w="1746" w:type="dxa"/>
          </w:tcPr>
          <w:p>
            <w:pPr>
              <w:pStyle w:val="TableParagraph"/>
              <w:ind w:left="992"/>
              <w:rPr>
                <w:sz w:val="18"/>
              </w:rPr>
            </w:pPr>
            <w:r>
              <w:rPr>
                <w:sz w:val="18"/>
              </w:rPr>
              <w:t>30</w:t>
            </w:r>
          </w:p>
        </w:tc>
        <w:tc>
          <w:tcPr>
            <w:tcW w:w="1300" w:type="dxa"/>
          </w:tcPr>
          <w:p>
            <w:pPr>
              <w:pStyle w:val="TableParagraph"/>
              <w:ind w:right="250"/>
              <w:jc w:val="right"/>
              <w:rPr>
                <w:sz w:val="18"/>
              </w:rPr>
            </w:pPr>
            <w:r>
              <w:rPr>
                <w:sz w:val="18"/>
              </w:rPr>
              <w:t>2.83</w:t>
            </w:r>
          </w:p>
        </w:tc>
        <w:tc>
          <w:tcPr>
            <w:tcW w:w="1401" w:type="dxa"/>
          </w:tcPr>
          <w:p>
            <w:pPr>
              <w:pStyle w:val="TableParagraph"/>
              <w:ind w:right="301"/>
              <w:jc w:val="right"/>
              <w:rPr>
                <w:sz w:val="18"/>
              </w:rPr>
            </w:pPr>
            <w:r>
              <w:rPr>
                <w:sz w:val="18"/>
              </w:rPr>
              <w:t>2.67</w:t>
            </w:r>
          </w:p>
        </w:tc>
        <w:tc>
          <w:tcPr>
            <w:tcW w:w="1960" w:type="dxa"/>
          </w:tcPr>
          <w:p>
            <w:pPr>
              <w:pStyle w:val="TableParagraph"/>
              <w:ind w:left="1076" w:right="653"/>
              <w:jc w:val="center"/>
              <w:rPr>
                <w:sz w:val="18"/>
              </w:rPr>
            </w:pPr>
            <w:r>
              <w:rPr>
                <w:sz w:val="18"/>
              </w:rPr>
              <w:t>54</w:t>
            </w:r>
          </w:p>
        </w:tc>
        <w:tc>
          <w:tcPr>
            <w:tcW w:w="1391" w:type="dxa"/>
          </w:tcPr>
          <w:p>
            <w:pPr>
              <w:pStyle w:val="TableParagraph"/>
              <w:ind w:right="251"/>
              <w:jc w:val="right"/>
              <w:rPr>
                <w:sz w:val="18"/>
              </w:rPr>
            </w:pPr>
            <w:r>
              <w:rPr>
                <w:sz w:val="18"/>
              </w:rPr>
              <w:t>26.29</w:t>
            </w:r>
          </w:p>
        </w:tc>
        <w:tc>
          <w:tcPr>
            <w:tcW w:w="1419" w:type="dxa"/>
          </w:tcPr>
          <w:p>
            <w:pPr>
              <w:pStyle w:val="TableParagraph"/>
              <w:ind w:right="265"/>
              <w:jc w:val="right"/>
              <w:rPr>
                <w:sz w:val="18"/>
              </w:rPr>
            </w:pPr>
            <w:r>
              <w:rPr>
                <w:sz w:val="18"/>
              </w:rPr>
              <w:t>16.74</w:t>
            </w:r>
          </w:p>
        </w:tc>
      </w:tr>
      <w:tr>
        <w:trPr>
          <w:trHeight w:val="312" w:hRule="atLeast"/>
        </w:trPr>
        <w:tc>
          <w:tcPr>
            <w:tcW w:w="1746" w:type="dxa"/>
          </w:tcPr>
          <w:p>
            <w:pPr>
              <w:pStyle w:val="TableParagraph"/>
              <w:spacing w:before="11"/>
              <w:ind w:left="992"/>
              <w:rPr>
                <w:sz w:val="18"/>
              </w:rPr>
            </w:pPr>
            <w:r>
              <w:rPr>
                <w:sz w:val="18"/>
              </w:rPr>
              <w:t>31</w:t>
            </w:r>
          </w:p>
        </w:tc>
        <w:tc>
          <w:tcPr>
            <w:tcW w:w="1300" w:type="dxa"/>
          </w:tcPr>
          <w:p>
            <w:pPr>
              <w:pStyle w:val="TableParagraph"/>
              <w:spacing w:before="11"/>
              <w:ind w:right="250"/>
              <w:jc w:val="right"/>
              <w:rPr>
                <w:sz w:val="18"/>
              </w:rPr>
            </w:pPr>
            <w:r>
              <w:rPr>
                <w:sz w:val="18"/>
              </w:rPr>
              <w:t>2.99</w:t>
            </w:r>
          </w:p>
        </w:tc>
        <w:tc>
          <w:tcPr>
            <w:tcW w:w="1401" w:type="dxa"/>
          </w:tcPr>
          <w:p>
            <w:pPr>
              <w:pStyle w:val="TableParagraph"/>
              <w:spacing w:before="11"/>
              <w:ind w:right="301"/>
              <w:jc w:val="right"/>
              <w:rPr>
                <w:sz w:val="18"/>
              </w:rPr>
            </w:pPr>
            <w:r>
              <w:rPr>
                <w:sz w:val="18"/>
              </w:rPr>
              <w:t>2.92</w:t>
            </w:r>
          </w:p>
        </w:tc>
        <w:tc>
          <w:tcPr>
            <w:tcW w:w="1960" w:type="dxa"/>
          </w:tcPr>
          <w:p>
            <w:pPr>
              <w:pStyle w:val="TableParagraph"/>
              <w:spacing w:before="11"/>
              <w:ind w:left="1076" w:right="653"/>
              <w:jc w:val="center"/>
              <w:rPr>
                <w:sz w:val="18"/>
              </w:rPr>
            </w:pPr>
            <w:r>
              <w:rPr>
                <w:sz w:val="18"/>
              </w:rPr>
              <w:t>55</w:t>
            </w:r>
          </w:p>
        </w:tc>
        <w:tc>
          <w:tcPr>
            <w:tcW w:w="1391" w:type="dxa"/>
          </w:tcPr>
          <w:p>
            <w:pPr>
              <w:pStyle w:val="TableParagraph"/>
              <w:spacing w:before="11"/>
              <w:ind w:right="251"/>
              <w:jc w:val="right"/>
              <w:rPr>
                <w:sz w:val="18"/>
              </w:rPr>
            </w:pPr>
            <w:r>
              <w:rPr>
                <w:sz w:val="18"/>
              </w:rPr>
              <w:t>28.68</w:t>
            </w:r>
          </w:p>
        </w:tc>
        <w:tc>
          <w:tcPr>
            <w:tcW w:w="1419" w:type="dxa"/>
          </w:tcPr>
          <w:p>
            <w:pPr>
              <w:pStyle w:val="TableParagraph"/>
              <w:spacing w:before="11"/>
              <w:ind w:right="265"/>
              <w:jc w:val="right"/>
              <w:rPr>
                <w:sz w:val="18"/>
              </w:rPr>
            </w:pPr>
            <w:r>
              <w:rPr>
                <w:sz w:val="18"/>
              </w:rPr>
              <w:t>17.85</w:t>
            </w:r>
          </w:p>
        </w:tc>
      </w:tr>
      <w:tr>
        <w:trPr>
          <w:trHeight w:val="311" w:hRule="atLeast"/>
        </w:trPr>
        <w:tc>
          <w:tcPr>
            <w:tcW w:w="1746" w:type="dxa"/>
          </w:tcPr>
          <w:p>
            <w:pPr>
              <w:pStyle w:val="TableParagraph"/>
              <w:ind w:left="992"/>
              <w:rPr>
                <w:sz w:val="18"/>
              </w:rPr>
            </w:pPr>
            <w:r>
              <w:rPr>
                <w:sz w:val="18"/>
              </w:rPr>
              <w:t>32</w:t>
            </w:r>
          </w:p>
        </w:tc>
        <w:tc>
          <w:tcPr>
            <w:tcW w:w="1300" w:type="dxa"/>
          </w:tcPr>
          <w:p>
            <w:pPr>
              <w:pStyle w:val="TableParagraph"/>
              <w:ind w:right="250"/>
              <w:jc w:val="right"/>
              <w:rPr>
                <w:sz w:val="18"/>
              </w:rPr>
            </w:pPr>
            <w:r>
              <w:rPr>
                <w:sz w:val="18"/>
              </w:rPr>
              <w:t>3.18</w:t>
            </w:r>
          </w:p>
        </w:tc>
        <w:tc>
          <w:tcPr>
            <w:tcW w:w="1401" w:type="dxa"/>
          </w:tcPr>
          <w:p>
            <w:pPr>
              <w:pStyle w:val="TableParagraph"/>
              <w:ind w:right="301"/>
              <w:jc w:val="right"/>
              <w:rPr>
                <w:sz w:val="18"/>
              </w:rPr>
            </w:pPr>
            <w:r>
              <w:rPr>
                <w:sz w:val="18"/>
              </w:rPr>
              <w:t>3.19</w:t>
            </w:r>
          </w:p>
        </w:tc>
        <w:tc>
          <w:tcPr>
            <w:tcW w:w="1960" w:type="dxa"/>
          </w:tcPr>
          <w:p>
            <w:pPr>
              <w:pStyle w:val="TableParagraph"/>
              <w:ind w:left="1076" w:right="653"/>
              <w:jc w:val="center"/>
              <w:rPr>
                <w:sz w:val="18"/>
              </w:rPr>
            </w:pPr>
            <w:r>
              <w:rPr>
                <w:sz w:val="18"/>
              </w:rPr>
              <w:t>56</w:t>
            </w:r>
          </w:p>
        </w:tc>
        <w:tc>
          <w:tcPr>
            <w:tcW w:w="1391" w:type="dxa"/>
          </w:tcPr>
          <w:p>
            <w:pPr>
              <w:pStyle w:val="TableParagraph"/>
              <w:ind w:right="251"/>
              <w:jc w:val="right"/>
              <w:rPr>
                <w:sz w:val="18"/>
              </w:rPr>
            </w:pPr>
            <w:r>
              <w:rPr>
                <w:sz w:val="18"/>
              </w:rPr>
              <w:t>31.19</w:t>
            </w:r>
          </w:p>
        </w:tc>
        <w:tc>
          <w:tcPr>
            <w:tcW w:w="1419" w:type="dxa"/>
          </w:tcPr>
          <w:p>
            <w:pPr>
              <w:pStyle w:val="TableParagraph"/>
              <w:ind w:right="265"/>
              <w:jc w:val="right"/>
              <w:rPr>
                <w:sz w:val="18"/>
              </w:rPr>
            </w:pPr>
            <w:r>
              <w:rPr>
                <w:sz w:val="18"/>
              </w:rPr>
              <w:t>19.07</w:t>
            </w:r>
          </w:p>
        </w:tc>
      </w:tr>
      <w:tr>
        <w:trPr>
          <w:trHeight w:val="311" w:hRule="atLeast"/>
        </w:trPr>
        <w:tc>
          <w:tcPr>
            <w:tcW w:w="1746" w:type="dxa"/>
          </w:tcPr>
          <w:p>
            <w:pPr>
              <w:pStyle w:val="TableParagraph"/>
              <w:ind w:left="992"/>
              <w:rPr>
                <w:sz w:val="18"/>
              </w:rPr>
            </w:pPr>
            <w:r>
              <w:rPr>
                <w:sz w:val="18"/>
              </w:rPr>
              <w:t>33</w:t>
            </w:r>
          </w:p>
        </w:tc>
        <w:tc>
          <w:tcPr>
            <w:tcW w:w="1300" w:type="dxa"/>
          </w:tcPr>
          <w:p>
            <w:pPr>
              <w:pStyle w:val="TableParagraph"/>
              <w:ind w:right="250"/>
              <w:jc w:val="right"/>
              <w:rPr>
                <w:sz w:val="18"/>
              </w:rPr>
            </w:pPr>
            <w:r>
              <w:rPr>
                <w:sz w:val="18"/>
              </w:rPr>
              <w:t>3.41</w:t>
            </w:r>
          </w:p>
        </w:tc>
        <w:tc>
          <w:tcPr>
            <w:tcW w:w="1401" w:type="dxa"/>
          </w:tcPr>
          <w:p>
            <w:pPr>
              <w:pStyle w:val="TableParagraph"/>
              <w:ind w:right="301"/>
              <w:jc w:val="right"/>
              <w:rPr>
                <w:sz w:val="18"/>
              </w:rPr>
            </w:pPr>
            <w:r>
              <w:rPr>
                <w:sz w:val="18"/>
              </w:rPr>
              <w:t>3.51</w:t>
            </w:r>
          </w:p>
        </w:tc>
        <w:tc>
          <w:tcPr>
            <w:tcW w:w="1960" w:type="dxa"/>
          </w:tcPr>
          <w:p>
            <w:pPr>
              <w:pStyle w:val="TableParagraph"/>
              <w:ind w:left="1076" w:right="653"/>
              <w:jc w:val="center"/>
              <w:rPr>
                <w:sz w:val="18"/>
              </w:rPr>
            </w:pPr>
            <w:r>
              <w:rPr>
                <w:sz w:val="18"/>
              </w:rPr>
              <w:t>57</w:t>
            </w:r>
          </w:p>
        </w:tc>
        <w:tc>
          <w:tcPr>
            <w:tcW w:w="1391" w:type="dxa"/>
          </w:tcPr>
          <w:p>
            <w:pPr>
              <w:pStyle w:val="TableParagraph"/>
              <w:ind w:right="251"/>
              <w:jc w:val="right"/>
              <w:rPr>
                <w:sz w:val="18"/>
              </w:rPr>
            </w:pPr>
            <w:r>
              <w:rPr>
                <w:sz w:val="18"/>
              </w:rPr>
              <w:t>33.80</w:t>
            </w:r>
          </w:p>
        </w:tc>
        <w:tc>
          <w:tcPr>
            <w:tcW w:w="1419" w:type="dxa"/>
          </w:tcPr>
          <w:p>
            <w:pPr>
              <w:pStyle w:val="TableParagraph"/>
              <w:ind w:right="265"/>
              <w:jc w:val="right"/>
              <w:rPr>
                <w:sz w:val="18"/>
              </w:rPr>
            </w:pPr>
            <w:r>
              <w:rPr>
                <w:sz w:val="18"/>
              </w:rPr>
              <w:t>20.42</w:t>
            </w:r>
          </w:p>
        </w:tc>
      </w:tr>
      <w:tr>
        <w:trPr>
          <w:trHeight w:val="312" w:hRule="atLeast"/>
        </w:trPr>
        <w:tc>
          <w:tcPr>
            <w:tcW w:w="1746" w:type="dxa"/>
          </w:tcPr>
          <w:p>
            <w:pPr>
              <w:pStyle w:val="TableParagraph"/>
              <w:spacing w:before="11"/>
              <w:ind w:left="992"/>
              <w:rPr>
                <w:sz w:val="18"/>
              </w:rPr>
            </w:pPr>
            <w:r>
              <w:rPr>
                <w:sz w:val="18"/>
              </w:rPr>
              <w:t>34</w:t>
            </w:r>
          </w:p>
        </w:tc>
        <w:tc>
          <w:tcPr>
            <w:tcW w:w="1300" w:type="dxa"/>
          </w:tcPr>
          <w:p>
            <w:pPr>
              <w:pStyle w:val="TableParagraph"/>
              <w:spacing w:before="11"/>
              <w:ind w:right="250"/>
              <w:jc w:val="right"/>
              <w:rPr>
                <w:sz w:val="18"/>
              </w:rPr>
            </w:pPr>
            <w:r>
              <w:rPr>
                <w:sz w:val="18"/>
              </w:rPr>
              <w:t>3.68</w:t>
            </w:r>
          </w:p>
        </w:tc>
        <w:tc>
          <w:tcPr>
            <w:tcW w:w="1401" w:type="dxa"/>
          </w:tcPr>
          <w:p>
            <w:pPr>
              <w:pStyle w:val="TableParagraph"/>
              <w:spacing w:before="11"/>
              <w:ind w:right="301"/>
              <w:jc w:val="right"/>
              <w:rPr>
                <w:sz w:val="18"/>
              </w:rPr>
            </w:pPr>
            <w:r>
              <w:rPr>
                <w:sz w:val="18"/>
              </w:rPr>
              <w:t>3.85</w:t>
            </w:r>
          </w:p>
        </w:tc>
        <w:tc>
          <w:tcPr>
            <w:tcW w:w="1960" w:type="dxa"/>
          </w:tcPr>
          <w:p>
            <w:pPr>
              <w:pStyle w:val="TableParagraph"/>
              <w:spacing w:before="11"/>
              <w:ind w:left="1076" w:right="653"/>
              <w:jc w:val="center"/>
              <w:rPr>
                <w:sz w:val="18"/>
              </w:rPr>
            </w:pPr>
            <w:r>
              <w:rPr>
                <w:sz w:val="18"/>
              </w:rPr>
              <w:t>58</w:t>
            </w:r>
          </w:p>
        </w:tc>
        <w:tc>
          <w:tcPr>
            <w:tcW w:w="1391" w:type="dxa"/>
          </w:tcPr>
          <w:p>
            <w:pPr>
              <w:pStyle w:val="TableParagraph"/>
              <w:spacing w:before="11"/>
              <w:ind w:right="251"/>
              <w:jc w:val="right"/>
              <w:rPr>
                <w:sz w:val="18"/>
              </w:rPr>
            </w:pPr>
            <w:r>
              <w:rPr>
                <w:sz w:val="18"/>
              </w:rPr>
              <w:t>36.50</w:t>
            </w:r>
          </w:p>
        </w:tc>
        <w:tc>
          <w:tcPr>
            <w:tcW w:w="1419" w:type="dxa"/>
          </w:tcPr>
          <w:p>
            <w:pPr>
              <w:pStyle w:val="TableParagraph"/>
              <w:spacing w:before="11"/>
              <w:ind w:right="265"/>
              <w:jc w:val="right"/>
              <w:rPr>
                <w:sz w:val="18"/>
              </w:rPr>
            </w:pPr>
            <w:r>
              <w:rPr>
                <w:sz w:val="18"/>
              </w:rPr>
              <w:t>21.89</w:t>
            </w:r>
          </w:p>
        </w:tc>
      </w:tr>
      <w:tr>
        <w:trPr>
          <w:trHeight w:val="311" w:hRule="atLeast"/>
        </w:trPr>
        <w:tc>
          <w:tcPr>
            <w:tcW w:w="1746" w:type="dxa"/>
          </w:tcPr>
          <w:p>
            <w:pPr>
              <w:pStyle w:val="TableParagraph"/>
              <w:ind w:left="992"/>
              <w:rPr>
                <w:sz w:val="18"/>
              </w:rPr>
            </w:pPr>
            <w:r>
              <w:rPr>
                <w:sz w:val="18"/>
              </w:rPr>
              <w:t>35</w:t>
            </w:r>
          </w:p>
        </w:tc>
        <w:tc>
          <w:tcPr>
            <w:tcW w:w="1300" w:type="dxa"/>
          </w:tcPr>
          <w:p>
            <w:pPr>
              <w:pStyle w:val="TableParagraph"/>
              <w:ind w:right="250"/>
              <w:jc w:val="right"/>
              <w:rPr>
                <w:sz w:val="18"/>
              </w:rPr>
            </w:pPr>
            <w:r>
              <w:rPr>
                <w:sz w:val="18"/>
              </w:rPr>
              <w:t>4.00</w:t>
            </w:r>
          </w:p>
        </w:tc>
        <w:tc>
          <w:tcPr>
            <w:tcW w:w="1401" w:type="dxa"/>
          </w:tcPr>
          <w:p>
            <w:pPr>
              <w:pStyle w:val="TableParagraph"/>
              <w:ind w:right="301"/>
              <w:jc w:val="right"/>
              <w:rPr>
                <w:sz w:val="18"/>
              </w:rPr>
            </w:pPr>
            <w:r>
              <w:rPr>
                <w:sz w:val="18"/>
              </w:rPr>
              <w:t>4.24</w:t>
            </w:r>
          </w:p>
        </w:tc>
        <w:tc>
          <w:tcPr>
            <w:tcW w:w="1960" w:type="dxa"/>
          </w:tcPr>
          <w:p>
            <w:pPr>
              <w:pStyle w:val="TableParagraph"/>
              <w:ind w:left="1076" w:right="653"/>
              <w:jc w:val="center"/>
              <w:rPr>
                <w:sz w:val="18"/>
              </w:rPr>
            </w:pPr>
            <w:r>
              <w:rPr>
                <w:sz w:val="18"/>
              </w:rPr>
              <w:t>59</w:t>
            </w:r>
          </w:p>
        </w:tc>
        <w:tc>
          <w:tcPr>
            <w:tcW w:w="1391" w:type="dxa"/>
          </w:tcPr>
          <w:p>
            <w:pPr>
              <w:pStyle w:val="TableParagraph"/>
              <w:ind w:right="251"/>
              <w:jc w:val="right"/>
              <w:rPr>
                <w:sz w:val="18"/>
              </w:rPr>
            </w:pPr>
            <w:r>
              <w:rPr>
                <w:sz w:val="18"/>
              </w:rPr>
              <w:t>39.26</w:t>
            </w:r>
          </w:p>
        </w:tc>
        <w:tc>
          <w:tcPr>
            <w:tcW w:w="1419" w:type="dxa"/>
          </w:tcPr>
          <w:p>
            <w:pPr>
              <w:pStyle w:val="TableParagraph"/>
              <w:ind w:right="265"/>
              <w:jc w:val="right"/>
              <w:rPr>
                <w:sz w:val="18"/>
              </w:rPr>
            </w:pPr>
            <w:r>
              <w:rPr>
                <w:sz w:val="18"/>
              </w:rPr>
              <w:t>23.51</w:t>
            </w:r>
          </w:p>
        </w:tc>
      </w:tr>
      <w:tr>
        <w:trPr>
          <w:trHeight w:val="311" w:hRule="atLeast"/>
        </w:trPr>
        <w:tc>
          <w:tcPr>
            <w:tcW w:w="1746" w:type="dxa"/>
          </w:tcPr>
          <w:p>
            <w:pPr>
              <w:pStyle w:val="TableParagraph"/>
              <w:ind w:left="992"/>
              <w:rPr>
                <w:sz w:val="18"/>
              </w:rPr>
            </w:pPr>
            <w:r>
              <w:rPr>
                <w:sz w:val="18"/>
              </w:rPr>
              <w:t>36</w:t>
            </w:r>
          </w:p>
        </w:tc>
        <w:tc>
          <w:tcPr>
            <w:tcW w:w="1300" w:type="dxa"/>
          </w:tcPr>
          <w:p>
            <w:pPr>
              <w:pStyle w:val="TableParagraph"/>
              <w:ind w:right="250"/>
              <w:jc w:val="right"/>
              <w:rPr>
                <w:sz w:val="18"/>
              </w:rPr>
            </w:pPr>
            <w:r>
              <w:rPr>
                <w:sz w:val="18"/>
              </w:rPr>
              <w:t>4.38</w:t>
            </w:r>
          </w:p>
        </w:tc>
        <w:tc>
          <w:tcPr>
            <w:tcW w:w="1401" w:type="dxa"/>
          </w:tcPr>
          <w:p>
            <w:pPr>
              <w:pStyle w:val="TableParagraph"/>
              <w:ind w:right="301"/>
              <w:jc w:val="right"/>
              <w:rPr>
                <w:sz w:val="18"/>
              </w:rPr>
            </w:pPr>
            <w:r>
              <w:rPr>
                <w:sz w:val="18"/>
              </w:rPr>
              <w:t>4.68</w:t>
            </w:r>
          </w:p>
        </w:tc>
        <w:tc>
          <w:tcPr>
            <w:tcW w:w="1960" w:type="dxa"/>
          </w:tcPr>
          <w:p>
            <w:pPr>
              <w:pStyle w:val="TableParagraph"/>
              <w:ind w:left="1076" w:right="653"/>
              <w:jc w:val="center"/>
              <w:rPr>
                <w:sz w:val="18"/>
              </w:rPr>
            </w:pPr>
            <w:r>
              <w:rPr>
                <w:sz w:val="18"/>
              </w:rPr>
              <w:t>60</w:t>
            </w:r>
          </w:p>
        </w:tc>
        <w:tc>
          <w:tcPr>
            <w:tcW w:w="1391" w:type="dxa"/>
          </w:tcPr>
          <w:p>
            <w:pPr>
              <w:pStyle w:val="TableParagraph"/>
              <w:ind w:right="251"/>
              <w:jc w:val="right"/>
              <w:rPr>
                <w:sz w:val="18"/>
              </w:rPr>
            </w:pPr>
            <w:r>
              <w:rPr>
                <w:sz w:val="18"/>
              </w:rPr>
              <w:t>42.07</w:t>
            </w:r>
          </w:p>
        </w:tc>
        <w:tc>
          <w:tcPr>
            <w:tcW w:w="1419" w:type="dxa"/>
          </w:tcPr>
          <w:p>
            <w:pPr>
              <w:pStyle w:val="TableParagraph"/>
              <w:ind w:right="265"/>
              <w:jc w:val="right"/>
              <w:rPr>
                <w:sz w:val="18"/>
              </w:rPr>
            </w:pPr>
            <w:r>
              <w:rPr>
                <w:sz w:val="18"/>
              </w:rPr>
              <w:t>25.26</w:t>
            </w:r>
          </w:p>
        </w:tc>
      </w:tr>
      <w:tr>
        <w:trPr>
          <w:trHeight w:val="312" w:hRule="atLeast"/>
        </w:trPr>
        <w:tc>
          <w:tcPr>
            <w:tcW w:w="1746" w:type="dxa"/>
          </w:tcPr>
          <w:p>
            <w:pPr>
              <w:pStyle w:val="TableParagraph"/>
              <w:spacing w:before="11"/>
              <w:ind w:left="992"/>
              <w:rPr>
                <w:sz w:val="18"/>
              </w:rPr>
            </w:pPr>
            <w:r>
              <w:rPr>
                <w:sz w:val="18"/>
              </w:rPr>
              <w:t>37</w:t>
            </w:r>
          </w:p>
        </w:tc>
        <w:tc>
          <w:tcPr>
            <w:tcW w:w="1300" w:type="dxa"/>
          </w:tcPr>
          <w:p>
            <w:pPr>
              <w:pStyle w:val="TableParagraph"/>
              <w:spacing w:before="11"/>
              <w:ind w:right="250"/>
              <w:jc w:val="right"/>
              <w:rPr>
                <w:sz w:val="18"/>
              </w:rPr>
            </w:pPr>
            <w:r>
              <w:rPr>
                <w:sz w:val="18"/>
              </w:rPr>
              <w:t>4.82</w:t>
            </w:r>
          </w:p>
        </w:tc>
        <w:tc>
          <w:tcPr>
            <w:tcW w:w="1401" w:type="dxa"/>
          </w:tcPr>
          <w:p>
            <w:pPr>
              <w:pStyle w:val="TableParagraph"/>
              <w:spacing w:before="11"/>
              <w:ind w:right="301"/>
              <w:jc w:val="right"/>
              <w:rPr>
                <w:sz w:val="18"/>
              </w:rPr>
            </w:pPr>
            <w:r>
              <w:rPr>
                <w:sz w:val="18"/>
              </w:rPr>
              <w:t>5.15</w:t>
            </w:r>
          </w:p>
        </w:tc>
        <w:tc>
          <w:tcPr>
            <w:tcW w:w="1960" w:type="dxa"/>
          </w:tcPr>
          <w:p>
            <w:pPr>
              <w:pStyle w:val="TableParagraph"/>
              <w:spacing w:before="11"/>
              <w:ind w:left="1076" w:right="653"/>
              <w:jc w:val="center"/>
              <w:rPr>
                <w:sz w:val="18"/>
              </w:rPr>
            </w:pPr>
            <w:r>
              <w:rPr>
                <w:sz w:val="18"/>
              </w:rPr>
              <w:t>61</w:t>
            </w:r>
          </w:p>
        </w:tc>
        <w:tc>
          <w:tcPr>
            <w:tcW w:w="1391" w:type="dxa"/>
          </w:tcPr>
          <w:p>
            <w:pPr>
              <w:pStyle w:val="TableParagraph"/>
              <w:spacing w:before="11"/>
              <w:ind w:right="251"/>
              <w:jc w:val="right"/>
              <w:rPr>
                <w:sz w:val="18"/>
              </w:rPr>
            </w:pPr>
            <w:r>
              <w:rPr>
                <w:sz w:val="18"/>
              </w:rPr>
              <w:t>44.96</w:t>
            </w:r>
          </w:p>
        </w:tc>
        <w:tc>
          <w:tcPr>
            <w:tcW w:w="1419" w:type="dxa"/>
          </w:tcPr>
          <w:p>
            <w:pPr>
              <w:pStyle w:val="TableParagraph"/>
              <w:spacing w:before="11"/>
              <w:ind w:right="265"/>
              <w:jc w:val="right"/>
              <w:rPr>
                <w:sz w:val="18"/>
              </w:rPr>
            </w:pPr>
            <w:r>
              <w:rPr>
                <w:sz w:val="18"/>
              </w:rPr>
              <w:t>27.26</w:t>
            </w:r>
          </w:p>
        </w:tc>
      </w:tr>
      <w:tr>
        <w:trPr>
          <w:trHeight w:val="311" w:hRule="atLeast"/>
        </w:trPr>
        <w:tc>
          <w:tcPr>
            <w:tcW w:w="1746" w:type="dxa"/>
          </w:tcPr>
          <w:p>
            <w:pPr>
              <w:pStyle w:val="TableParagraph"/>
              <w:ind w:left="992"/>
              <w:rPr>
                <w:sz w:val="18"/>
              </w:rPr>
            </w:pPr>
            <w:r>
              <w:rPr>
                <w:sz w:val="18"/>
              </w:rPr>
              <w:t>38</w:t>
            </w:r>
          </w:p>
        </w:tc>
        <w:tc>
          <w:tcPr>
            <w:tcW w:w="1300" w:type="dxa"/>
          </w:tcPr>
          <w:p>
            <w:pPr>
              <w:pStyle w:val="TableParagraph"/>
              <w:ind w:right="250"/>
              <w:jc w:val="right"/>
              <w:rPr>
                <w:sz w:val="18"/>
              </w:rPr>
            </w:pPr>
            <w:r>
              <w:rPr>
                <w:sz w:val="18"/>
              </w:rPr>
              <w:t>5.34</w:t>
            </w:r>
          </w:p>
        </w:tc>
        <w:tc>
          <w:tcPr>
            <w:tcW w:w="1401" w:type="dxa"/>
          </w:tcPr>
          <w:p>
            <w:pPr>
              <w:pStyle w:val="TableParagraph"/>
              <w:ind w:right="301"/>
              <w:jc w:val="right"/>
              <w:rPr>
                <w:sz w:val="18"/>
              </w:rPr>
            </w:pPr>
            <w:r>
              <w:rPr>
                <w:sz w:val="18"/>
              </w:rPr>
              <w:t>5.63</w:t>
            </w:r>
          </w:p>
        </w:tc>
        <w:tc>
          <w:tcPr>
            <w:tcW w:w="1960" w:type="dxa"/>
          </w:tcPr>
          <w:p>
            <w:pPr>
              <w:pStyle w:val="TableParagraph"/>
              <w:ind w:left="1076" w:right="653"/>
              <w:jc w:val="center"/>
              <w:rPr>
                <w:sz w:val="18"/>
              </w:rPr>
            </w:pPr>
            <w:r>
              <w:rPr>
                <w:sz w:val="18"/>
              </w:rPr>
              <w:t>62</w:t>
            </w:r>
          </w:p>
        </w:tc>
        <w:tc>
          <w:tcPr>
            <w:tcW w:w="1391" w:type="dxa"/>
          </w:tcPr>
          <w:p>
            <w:pPr>
              <w:pStyle w:val="TableParagraph"/>
              <w:ind w:right="251"/>
              <w:jc w:val="right"/>
              <w:rPr>
                <w:sz w:val="18"/>
              </w:rPr>
            </w:pPr>
            <w:r>
              <w:rPr>
                <w:sz w:val="18"/>
              </w:rPr>
              <w:t>47.94</w:t>
            </w:r>
          </w:p>
        </w:tc>
        <w:tc>
          <w:tcPr>
            <w:tcW w:w="1419" w:type="dxa"/>
          </w:tcPr>
          <w:p>
            <w:pPr>
              <w:pStyle w:val="TableParagraph"/>
              <w:ind w:right="265"/>
              <w:jc w:val="right"/>
              <w:rPr>
                <w:sz w:val="18"/>
              </w:rPr>
            </w:pPr>
            <w:r>
              <w:rPr>
                <w:sz w:val="18"/>
              </w:rPr>
              <w:t>29.53</w:t>
            </w:r>
          </w:p>
        </w:tc>
      </w:tr>
      <w:tr>
        <w:trPr>
          <w:trHeight w:val="311" w:hRule="atLeast"/>
        </w:trPr>
        <w:tc>
          <w:tcPr>
            <w:tcW w:w="1746" w:type="dxa"/>
          </w:tcPr>
          <w:p>
            <w:pPr>
              <w:pStyle w:val="TableParagraph"/>
              <w:ind w:left="992"/>
              <w:rPr>
                <w:sz w:val="18"/>
              </w:rPr>
            </w:pPr>
            <w:r>
              <w:rPr>
                <w:sz w:val="18"/>
              </w:rPr>
              <w:t>39</w:t>
            </w:r>
          </w:p>
        </w:tc>
        <w:tc>
          <w:tcPr>
            <w:tcW w:w="1300" w:type="dxa"/>
          </w:tcPr>
          <w:p>
            <w:pPr>
              <w:pStyle w:val="TableParagraph"/>
              <w:ind w:right="250"/>
              <w:jc w:val="right"/>
              <w:rPr>
                <w:sz w:val="18"/>
              </w:rPr>
            </w:pPr>
            <w:r>
              <w:rPr>
                <w:sz w:val="18"/>
              </w:rPr>
              <w:t>5.94</w:t>
            </w:r>
          </w:p>
        </w:tc>
        <w:tc>
          <w:tcPr>
            <w:tcW w:w="1401" w:type="dxa"/>
          </w:tcPr>
          <w:p>
            <w:pPr>
              <w:pStyle w:val="TableParagraph"/>
              <w:ind w:right="301"/>
              <w:jc w:val="right"/>
              <w:rPr>
                <w:sz w:val="18"/>
              </w:rPr>
            </w:pPr>
            <w:r>
              <w:rPr>
                <w:sz w:val="18"/>
              </w:rPr>
              <w:t>6.16</w:t>
            </w:r>
          </w:p>
        </w:tc>
        <w:tc>
          <w:tcPr>
            <w:tcW w:w="1960" w:type="dxa"/>
          </w:tcPr>
          <w:p>
            <w:pPr>
              <w:pStyle w:val="TableParagraph"/>
              <w:ind w:left="1076" w:right="653"/>
              <w:jc w:val="center"/>
              <w:rPr>
                <w:sz w:val="18"/>
              </w:rPr>
            </w:pPr>
            <w:r>
              <w:rPr>
                <w:sz w:val="18"/>
              </w:rPr>
              <w:t>63</w:t>
            </w:r>
          </w:p>
        </w:tc>
        <w:tc>
          <w:tcPr>
            <w:tcW w:w="1391" w:type="dxa"/>
          </w:tcPr>
          <w:p>
            <w:pPr>
              <w:pStyle w:val="TableParagraph"/>
              <w:ind w:right="251"/>
              <w:jc w:val="right"/>
              <w:rPr>
                <w:sz w:val="18"/>
              </w:rPr>
            </w:pPr>
            <w:r>
              <w:rPr>
                <w:sz w:val="18"/>
              </w:rPr>
              <w:t>51.05</w:t>
            </w:r>
          </w:p>
        </w:tc>
        <w:tc>
          <w:tcPr>
            <w:tcW w:w="1419" w:type="dxa"/>
          </w:tcPr>
          <w:p>
            <w:pPr>
              <w:pStyle w:val="TableParagraph"/>
              <w:ind w:right="265"/>
              <w:jc w:val="right"/>
              <w:rPr>
                <w:sz w:val="18"/>
              </w:rPr>
            </w:pPr>
            <w:r>
              <w:rPr>
                <w:sz w:val="18"/>
              </w:rPr>
              <w:t>32.14</w:t>
            </w:r>
          </w:p>
        </w:tc>
      </w:tr>
      <w:tr>
        <w:trPr>
          <w:trHeight w:val="312" w:hRule="atLeast"/>
        </w:trPr>
        <w:tc>
          <w:tcPr>
            <w:tcW w:w="1746" w:type="dxa"/>
          </w:tcPr>
          <w:p>
            <w:pPr>
              <w:pStyle w:val="TableParagraph"/>
              <w:spacing w:before="11"/>
              <w:ind w:left="992"/>
              <w:rPr>
                <w:sz w:val="18"/>
              </w:rPr>
            </w:pPr>
            <w:r>
              <w:rPr>
                <w:sz w:val="18"/>
              </w:rPr>
              <w:t>40</w:t>
            </w:r>
          </w:p>
        </w:tc>
        <w:tc>
          <w:tcPr>
            <w:tcW w:w="1300" w:type="dxa"/>
          </w:tcPr>
          <w:p>
            <w:pPr>
              <w:pStyle w:val="TableParagraph"/>
              <w:spacing w:before="11"/>
              <w:ind w:right="250"/>
              <w:jc w:val="right"/>
              <w:rPr>
                <w:sz w:val="18"/>
              </w:rPr>
            </w:pPr>
            <w:r>
              <w:rPr>
                <w:sz w:val="18"/>
              </w:rPr>
              <w:t>6.13</w:t>
            </w:r>
          </w:p>
        </w:tc>
        <w:tc>
          <w:tcPr>
            <w:tcW w:w="1401" w:type="dxa"/>
          </w:tcPr>
          <w:p>
            <w:pPr>
              <w:pStyle w:val="TableParagraph"/>
              <w:spacing w:before="11"/>
              <w:ind w:right="301"/>
              <w:jc w:val="right"/>
              <w:rPr>
                <w:sz w:val="18"/>
              </w:rPr>
            </w:pPr>
            <w:r>
              <w:rPr>
                <w:sz w:val="18"/>
              </w:rPr>
              <w:t>6.20</w:t>
            </w:r>
          </w:p>
        </w:tc>
        <w:tc>
          <w:tcPr>
            <w:tcW w:w="1960" w:type="dxa"/>
          </w:tcPr>
          <w:p>
            <w:pPr>
              <w:pStyle w:val="TableParagraph"/>
              <w:spacing w:before="11"/>
              <w:ind w:left="1076" w:right="653"/>
              <w:jc w:val="center"/>
              <w:rPr>
                <w:sz w:val="18"/>
              </w:rPr>
            </w:pPr>
            <w:r>
              <w:rPr>
                <w:sz w:val="18"/>
              </w:rPr>
              <w:t>64</w:t>
            </w:r>
          </w:p>
        </w:tc>
        <w:tc>
          <w:tcPr>
            <w:tcW w:w="1391" w:type="dxa"/>
          </w:tcPr>
          <w:p>
            <w:pPr>
              <w:pStyle w:val="TableParagraph"/>
              <w:spacing w:before="11"/>
              <w:ind w:right="251"/>
              <w:jc w:val="right"/>
              <w:rPr>
                <w:sz w:val="18"/>
              </w:rPr>
            </w:pPr>
            <w:r>
              <w:rPr>
                <w:sz w:val="18"/>
              </w:rPr>
              <w:t>54.34</w:t>
            </w:r>
          </w:p>
        </w:tc>
        <w:tc>
          <w:tcPr>
            <w:tcW w:w="1419" w:type="dxa"/>
          </w:tcPr>
          <w:p>
            <w:pPr>
              <w:pStyle w:val="TableParagraph"/>
              <w:spacing w:before="11"/>
              <w:ind w:right="265"/>
              <w:jc w:val="right"/>
              <w:rPr>
                <w:sz w:val="18"/>
              </w:rPr>
            </w:pPr>
            <w:r>
              <w:rPr>
                <w:sz w:val="18"/>
              </w:rPr>
              <w:t>35.15</w:t>
            </w:r>
          </w:p>
        </w:tc>
      </w:tr>
      <w:tr>
        <w:trPr>
          <w:trHeight w:val="311" w:hRule="atLeast"/>
        </w:trPr>
        <w:tc>
          <w:tcPr>
            <w:tcW w:w="1746" w:type="dxa"/>
          </w:tcPr>
          <w:p>
            <w:pPr>
              <w:pStyle w:val="TableParagraph"/>
              <w:ind w:left="992"/>
              <w:rPr>
                <w:sz w:val="18"/>
              </w:rPr>
            </w:pPr>
            <w:r>
              <w:rPr>
                <w:sz w:val="18"/>
              </w:rPr>
              <w:t>41</w:t>
            </w:r>
          </w:p>
        </w:tc>
        <w:tc>
          <w:tcPr>
            <w:tcW w:w="1300" w:type="dxa"/>
          </w:tcPr>
          <w:p>
            <w:pPr>
              <w:pStyle w:val="TableParagraph"/>
              <w:ind w:right="250"/>
              <w:jc w:val="right"/>
              <w:rPr>
                <w:sz w:val="18"/>
              </w:rPr>
            </w:pPr>
            <w:r>
              <w:rPr>
                <w:sz w:val="18"/>
              </w:rPr>
              <w:t>6.84</w:t>
            </w:r>
          </w:p>
        </w:tc>
        <w:tc>
          <w:tcPr>
            <w:tcW w:w="1401" w:type="dxa"/>
          </w:tcPr>
          <w:p>
            <w:pPr>
              <w:pStyle w:val="TableParagraph"/>
              <w:ind w:right="301"/>
              <w:jc w:val="right"/>
              <w:rPr>
                <w:sz w:val="18"/>
              </w:rPr>
            </w:pPr>
            <w:r>
              <w:rPr>
                <w:sz w:val="18"/>
              </w:rPr>
              <w:t>6.76</w:t>
            </w:r>
          </w:p>
        </w:tc>
        <w:tc>
          <w:tcPr>
            <w:tcW w:w="1960" w:type="dxa"/>
          </w:tcPr>
          <w:p>
            <w:pPr>
              <w:pStyle w:val="TableParagraph"/>
              <w:spacing w:before="0"/>
              <w:rPr>
                <w:rFonts w:ascii="Times New Roman"/>
                <w:sz w:val="18"/>
              </w:rPr>
            </w:pPr>
          </w:p>
        </w:tc>
        <w:tc>
          <w:tcPr>
            <w:tcW w:w="1391" w:type="dxa"/>
          </w:tcPr>
          <w:p>
            <w:pPr>
              <w:pStyle w:val="TableParagraph"/>
              <w:spacing w:before="0"/>
              <w:rPr>
                <w:rFonts w:ascii="Times New Roman"/>
                <w:sz w:val="18"/>
              </w:rPr>
            </w:pPr>
          </w:p>
        </w:tc>
        <w:tc>
          <w:tcPr>
            <w:tcW w:w="1419" w:type="dxa"/>
          </w:tcPr>
          <w:p>
            <w:pPr>
              <w:pStyle w:val="TableParagraph"/>
              <w:spacing w:before="0"/>
              <w:rPr>
                <w:rFonts w:ascii="Times New Roman"/>
                <w:sz w:val="18"/>
              </w:rPr>
            </w:pPr>
          </w:p>
        </w:tc>
      </w:tr>
    </w:tbl>
    <w:p>
      <w:pPr>
        <w:pStyle w:val="BodyText"/>
        <w:spacing w:before="10"/>
        <w:ind w:left="564"/>
      </w:pPr>
      <w:r>
        <w:rPr>
          <w:spacing w:val="-45"/>
        </w:rPr>
        <w:t>注：</w:t>
      </w:r>
      <w:r>
        <w:rPr/>
        <w:t>（1）保单年度初年龄指保单年度第一日被保险人当时的年龄；</w:t>
      </w:r>
    </w:p>
    <w:p>
      <w:pPr>
        <w:pStyle w:val="BodyText"/>
        <w:spacing w:line="316" w:lineRule="auto"/>
        <w:ind w:left="564" w:right="1319" w:firstLine="270"/>
      </w:pPr>
      <w:r>
        <w:rPr/>
        <w:t>（2）上表所载年保障成本仅适用于标准体，非标准体的年保障成本将根据其风险程度相应增加。非标准体年保障成本=标准体年保障成本×根据不同风险程度确定的加费因子</w:t>
      </w:r>
    </w:p>
    <w:p>
      <w:pPr>
        <w:pStyle w:val="BodyText"/>
        <w:spacing w:before="19"/>
        <w:ind w:left="564"/>
      </w:pPr>
      <w:r>
        <w:rPr/>
        <w:t>风险程度根据被保险人身体状况评定，分为以下五类（</w:t>
      </w:r>
      <w:r>
        <w:rPr>
          <w:spacing w:val="-7"/>
        </w:rPr>
        <w:t>其中风险程度 </w:t>
      </w:r>
      <w:r>
        <w:rPr/>
        <w:t>1</w:t>
      </w:r>
      <w:r>
        <w:rPr>
          <w:spacing w:val="-8"/>
        </w:rPr>
        <w:t> 类代表标准体</w:t>
      </w:r>
      <w:r>
        <w:rPr>
          <w:spacing w:val="-90"/>
        </w:rPr>
        <w:t>）</w:t>
      </w:r>
      <w:r>
        <w:rPr/>
        <w:t>：</w:t>
      </w:r>
    </w:p>
    <w:p>
      <w:pPr>
        <w:pStyle w:val="BodyText"/>
        <w:spacing w:before="0"/>
        <w:rPr>
          <w:sz w:val="5"/>
        </w:rPr>
      </w:pPr>
    </w:p>
    <w:tbl>
      <w:tblPr>
        <w:tblW w:w="0" w:type="auto"/>
        <w:jc w:val="left"/>
        <w:tblInd w:w="6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0"/>
        <w:gridCol w:w="1420"/>
        <w:gridCol w:w="1421"/>
        <w:gridCol w:w="1420"/>
        <w:gridCol w:w="1421"/>
        <w:gridCol w:w="1421"/>
      </w:tblGrid>
      <w:tr>
        <w:trPr>
          <w:trHeight w:val="312" w:hRule="atLeast"/>
        </w:trPr>
        <w:tc>
          <w:tcPr>
            <w:tcW w:w="1420" w:type="dxa"/>
          </w:tcPr>
          <w:p>
            <w:pPr>
              <w:pStyle w:val="TableParagraph"/>
              <w:spacing w:before="11"/>
              <w:ind w:left="344" w:right="339"/>
              <w:jc w:val="center"/>
              <w:rPr>
                <w:b/>
                <w:sz w:val="18"/>
              </w:rPr>
            </w:pPr>
            <w:r>
              <w:rPr>
                <w:b/>
                <w:w w:val="95"/>
                <w:sz w:val="18"/>
              </w:rPr>
              <w:t>风险程度</w:t>
            </w:r>
          </w:p>
        </w:tc>
        <w:tc>
          <w:tcPr>
            <w:tcW w:w="1420" w:type="dxa"/>
          </w:tcPr>
          <w:p>
            <w:pPr>
              <w:pStyle w:val="TableParagraph"/>
              <w:spacing w:before="11"/>
              <w:ind w:left="6"/>
              <w:jc w:val="center"/>
              <w:rPr>
                <w:sz w:val="18"/>
              </w:rPr>
            </w:pPr>
            <w:r>
              <w:rPr>
                <w:sz w:val="18"/>
              </w:rPr>
              <w:t>1</w:t>
            </w:r>
          </w:p>
        </w:tc>
        <w:tc>
          <w:tcPr>
            <w:tcW w:w="1421" w:type="dxa"/>
          </w:tcPr>
          <w:p>
            <w:pPr>
              <w:pStyle w:val="TableParagraph"/>
              <w:spacing w:before="11"/>
              <w:ind w:left="6"/>
              <w:jc w:val="center"/>
              <w:rPr>
                <w:sz w:val="18"/>
              </w:rPr>
            </w:pPr>
            <w:r>
              <w:rPr>
                <w:sz w:val="18"/>
              </w:rPr>
              <w:t>2</w:t>
            </w:r>
          </w:p>
        </w:tc>
        <w:tc>
          <w:tcPr>
            <w:tcW w:w="1420" w:type="dxa"/>
          </w:tcPr>
          <w:p>
            <w:pPr>
              <w:pStyle w:val="TableParagraph"/>
              <w:spacing w:before="11"/>
              <w:ind w:left="4"/>
              <w:jc w:val="center"/>
              <w:rPr>
                <w:sz w:val="18"/>
              </w:rPr>
            </w:pPr>
            <w:r>
              <w:rPr>
                <w:sz w:val="18"/>
              </w:rPr>
              <w:t>3</w:t>
            </w:r>
          </w:p>
        </w:tc>
        <w:tc>
          <w:tcPr>
            <w:tcW w:w="1421" w:type="dxa"/>
          </w:tcPr>
          <w:p>
            <w:pPr>
              <w:pStyle w:val="TableParagraph"/>
              <w:spacing w:before="11"/>
              <w:ind w:left="3"/>
              <w:jc w:val="center"/>
              <w:rPr>
                <w:sz w:val="18"/>
              </w:rPr>
            </w:pPr>
            <w:r>
              <w:rPr>
                <w:sz w:val="18"/>
              </w:rPr>
              <w:t>4</w:t>
            </w:r>
          </w:p>
        </w:tc>
        <w:tc>
          <w:tcPr>
            <w:tcW w:w="1421" w:type="dxa"/>
          </w:tcPr>
          <w:p>
            <w:pPr>
              <w:pStyle w:val="TableParagraph"/>
              <w:spacing w:before="11"/>
              <w:ind w:left="5"/>
              <w:jc w:val="center"/>
              <w:rPr>
                <w:sz w:val="18"/>
              </w:rPr>
            </w:pPr>
            <w:r>
              <w:rPr>
                <w:sz w:val="18"/>
              </w:rPr>
              <w:t>5</w:t>
            </w:r>
          </w:p>
        </w:tc>
      </w:tr>
      <w:tr>
        <w:trPr>
          <w:trHeight w:val="311" w:hRule="atLeast"/>
        </w:trPr>
        <w:tc>
          <w:tcPr>
            <w:tcW w:w="1420" w:type="dxa"/>
          </w:tcPr>
          <w:p>
            <w:pPr>
              <w:pStyle w:val="TableParagraph"/>
              <w:ind w:left="344" w:right="339"/>
              <w:jc w:val="center"/>
              <w:rPr>
                <w:b/>
                <w:sz w:val="18"/>
              </w:rPr>
            </w:pPr>
            <w:r>
              <w:rPr>
                <w:b/>
                <w:w w:val="95"/>
                <w:sz w:val="18"/>
              </w:rPr>
              <w:t>加费因子</w:t>
            </w:r>
          </w:p>
        </w:tc>
        <w:tc>
          <w:tcPr>
            <w:tcW w:w="1420" w:type="dxa"/>
          </w:tcPr>
          <w:p>
            <w:pPr>
              <w:pStyle w:val="TableParagraph"/>
              <w:ind w:left="343" w:right="339"/>
              <w:jc w:val="center"/>
              <w:rPr>
                <w:sz w:val="18"/>
              </w:rPr>
            </w:pPr>
            <w:r>
              <w:rPr>
                <w:sz w:val="18"/>
              </w:rPr>
              <w:t>1.00</w:t>
            </w:r>
          </w:p>
        </w:tc>
        <w:tc>
          <w:tcPr>
            <w:tcW w:w="1421" w:type="dxa"/>
          </w:tcPr>
          <w:p>
            <w:pPr>
              <w:pStyle w:val="TableParagraph"/>
              <w:ind w:left="507" w:right="502"/>
              <w:jc w:val="center"/>
              <w:rPr>
                <w:sz w:val="18"/>
              </w:rPr>
            </w:pPr>
            <w:r>
              <w:rPr>
                <w:sz w:val="18"/>
              </w:rPr>
              <w:t>1.25</w:t>
            </w:r>
          </w:p>
        </w:tc>
        <w:tc>
          <w:tcPr>
            <w:tcW w:w="1420" w:type="dxa"/>
          </w:tcPr>
          <w:p>
            <w:pPr>
              <w:pStyle w:val="TableParagraph"/>
              <w:ind w:left="342" w:right="339"/>
              <w:jc w:val="center"/>
              <w:rPr>
                <w:sz w:val="18"/>
              </w:rPr>
            </w:pPr>
            <w:r>
              <w:rPr>
                <w:sz w:val="18"/>
              </w:rPr>
              <w:t>1.50</w:t>
            </w:r>
          </w:p>
        </w:tc>
        <w:tc>
          <w:tcPr>
            <w:tcW w:w="1421" w:type="dxa"/>
          </w:tcPr>
          <w:p>
            <w:pPr>
              <w:pStyle w:val="TableParagraph"/>
              <w:ind w:left="506" w:right="502"/>
              <w:jc w:val="center"/>
              <w:rPr>
                <w:sz w:val="18"/>
              </w:rPr>
            </w:pPr>
            <w:r>
              <w:rPr>
                <w:sz w:val="18"/>
              </w:rPr>
              <w:t>1.75</w:t>
            </w:r>
          </w:p>
        </w:tc>
        <w:tc>
          <w:tcPr>
            <w:tcW w:w="1421" w:type="dxa"/>
          </w:tcPr>
          <w:p>
            <w:pPr>
              <w:pStyle w:val="TableParagraph"/>
              <w:ind w:left="507" w:right="501"/>
              <w:jc w:val="center"/>
              <w:rPr>
                <w:sz w:val="18"/>
              </w:rPr>
            </w:pPr>
            <w:r>
              <w:rPr>
                <w:sz w:val="18"/>
              </w:rPr>
              <w:t>2.00</w:t>
            </w:r>
          </w:p>
        </w:tc>
      </w:tr>
    </w:tbl>
    <w:sectPr>
      <w:pgSz w:w="11910" w:h="16840"/>
      <w:pgMar w:header="877" w:footer="981" w:top="1100" w:bottom="1180" w:left="11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微软雅黑">
    <w:altName w:val="微软雅黑"/>
    <w:charset w:val="86"/>
    <w:family w:val="swiss"/>
    <w:pitch w:val="variable"/>
  </w:font>
  <w:font w:name="宋体">
    <w:altName w:val="宋体"/>
    <w:charset w:val="86"/>
    <w:family w:val="auto"/>
    <w:pitch w:val="variable"/>
  </w:font>
  <w:font w:name="PMingLiU-ExtB">
    <w:altName w:val="PMingLiU-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4391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43816"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4</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43792"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4362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16</w:t>
                </w:r>
                <w:r>
                  <w:rPr/>
                  <w:fldChar w:fldCharType="end"/>
                </w:r>
                <w:r>
                  <w:rPr>
                    <w:rFonts w:ascii="Times New Roman" w:eastAsia="Times New Roman"/>
                  </w:rPr>
                  <w:t> </w:t>
                </w:r>
                <w:r>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43600"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20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82pt;height:11pt;mso-position-horizontal-relative:page;mso-position-vertical-relative:page;z-index:-43960" type="#_x0000_t202" filled="false" stroked="false">
          <v:textbox inset="0,0,0,0">
            <w:txbxContent>
              <w:p>
                <w:pPr>
                  <w:pStyle w:val="BodyText"/>
                  <w:spacing w:line="200" w:lineRule="exact" w:before="0"/>
                  <w:ind w:left="20"/>
                </w:pPr>
                <w:r>
                  <w:rPr/>
                  <w:t>民生附加金生无忧提前给付重大疾病保险条款</w:t>
                </w:r>
              </w:p>
            </w:txbxContent>
          </v:textbox>
          <w10:wrap type="none"/>
        </v:shape>
      </w:pict>
    </w:r>
    <w:r>
      <w:rPr/>
      <w:pict>
        <v:shape style="position:absolute;margin-left:428.720001pt;margin-top:42.865326pt;width:110pt;height:11pt;mso-position-horizontal-relative:page;mso-position-vertical-relative:page;z-index:-43936"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3888" from="63.720001pt,55.619984pt" to="543.000001pt,55.619984pt" stroked="true" strokeweight=".72003pt" strokecolor="#000000">
          <v:stroke dashstyle="solid"/>
          <w10:wrap type="none"/>
        </v:line>
      </w:pict>
    </w:r>
    <w:r>
      <w:rPr/>
      <w:pict>
        <v:shape style="position:absolute;margin-left:64.220001pt;margin-top:42.865326pt;width:182pt;height:11pt;mso-position-horizontal-relative:page;mso-position-vertical-relative:page;z-index:-43864" type="#_x0000_t202" filled="false" stroked="false">
          <v:textbox inset="0,0,0,0">
            <w:txbxContent>
              <w:p>
                <w:pPr>
                  <w:pStyle w:val="BodyText"/>
                  <w:spacing w:line="200" w:lineRule="exact" w:before="0"/>
                  <w:ind w:left="20"/>
                </w:pPr>
                <w:r>
                  <w:rPr/>
                  <w:t>民生附加金生无忧提前给付重大疾病保险条款</w:t>
                </w:r>
              </w:p>
            </w:txbxContent>
          </v:textbox>
          <w10:wrap type="none"/>
        </v:shape>
      </w:pict>
    </w:r>
    <w:r>
      <w:rPr/>
      <w:pict>
        <v:shape style="position:absolute;margin-left:428.720001pt;margin-top:42.865326pt;width:110pt;height:11pt;mso-position-horizontal-relative:page;mso-position-vertical-relative:page;z-index:-4384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3768" from="63.720001pt,55.619984pt" to="543.000001pt,55.619984pt" stroked="true" strokeweight=".72003pt" strokecolor="#000000">
          <v:stroke dashstyle="solid"/>
          <w10:wrap type="none"/>
        </v:line>
      </w:pict>
    </w:r>
    <w:r>
      <w:rPr/>
      <w:pict>
        <v:shape style="position:absolute;margin-left:64.220001pt;margin-top:42.865326pt;width:182pt;height:11pt;mso-position-horizontal-relative:page;mso-position-vertical-relative:page;z-index:-43744" type="#_x0000_t202" filled="false" stroked="false">
          <v:textbox inset="0,0,0,0">
            <w:txbxContent>
              <w:p>
                <w:pPr>
                  <w:pStyle w:val="BodyText"/>
                  <w:spacing w:line="200" w:lineRule="exact" w:before="0"/>
                  <w:ind w:left="20"/>
                </w:pPr>
                <w:r>
                  <w:rPr/>
                  <w:t>民生附加金生无忧提前给付重大疾病保险条款</w:t>
                </w:r>
              </w:p>
            </w:txbxContent>
          </v:textbox>
          <w10:wrap type="none"/>
        </v:shape>
      </w:pict>
    </w:r>
    <w:r>
      <w:rPr/>
      <w:pict>
        <v:shape style="position:absolute;margin-left:428.720001pt;margin-top:42.865326pt;width:110pt;height:11pt;mso-position-horizontal-relative:page;mso-position-vertical-relative:page;z-index:-43720"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43696" from="63.720001pt,55.619984pt" to="543.000001pt,55.619984pt" stroked="true" strokeweight=".72003pt" strokecolor="#000000">
          <v:stroke dashstyle="solid"/>
          <w10:wrap type="none"/>
        </v:line>
      </w:pict>
    </w:r>
    <w:r>
      <w:rPr/>
      <w:pict>
        <v:shape style="position:absolute;margin-left:64.220001pt;margin-top:42.865326pt;width:182pt;height:11pt;mso-position-horizontal-relative:page;mso-position-vertical-relative:page;z-index:-43672" type="#_x0000_t202" filled="false" stroked="false">
          <v:textbox inset="0,0,0,0">
            <w:txbxContent>
              <w:p>
                <w:pPr>
                  <w:pStyle w:val="BodyText"/>
                  <w:spacing w:line="200" w:lineRule="exact" w:before="0"/>
                  <w:ind w:left="20"/>
                </w:pPr>
                <w:r>
                  <w:rPr/>
                  <w:t>民生附加金生无忧提前给付重大疾病保险条款</w:t>
                </w:r>
              </w:p>
            </w:txbxContent>
          </v:textbox>
          <w10:wrap type="none"/>
        </v:shape>
      </w:pict>
    </w:r>
    <w:r>
      <w:rPr/>
      <w:pict>
        <v:shape style="position:absolute;margin-left:428.720001pt;margin-top:42.865326pt;width:110pt;height:11pt;mso-position-horizontal-relative:page;mso-position-vertical-relative:page;z-index:-4364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1">
    <w:multiLevelType w:val="hybridMultilevel"/>
    <w:lvl w:ilvl="0">
      <w:start w:val="1"/>
      <w:numFmt w:val="decimal"/>
      <w:lvlText w:val="(%1)"/>
      <w:lvlJc w:val="left"/>
      <w:pPr>
        <w:ind w:left="597" w:hanging="420"/>
        <w:jc w:val="left"/>
      </w:pPr>
      <w:rPr>
        <w:rFonts w:hint="default" w:ascii="宋体" w:hAnsi="宋体" w:eastAsia="宋体" w:cs="宋体"/>
        <w:spacing w:val="-31"/>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11" w:hanging="420"/>
      </w:pPr>
      <w:rPr>
        <w:rFonts w:hint="default"/>
      </w:rPr>
    </w:lvl>
    <w:lvl w:ilvl="4">
      <w:start w:val="0"/>
      <w:numFmt w:val="bullet"/>
      <w:lvlText w:val="•"/>
      <w:lvlJc w:val="left"/>
      <w:pPr>
        <w:ind w:left="3282" w:hanging="420"/>
      </w:pPr>
      <w:rPr>
        <w:rFonts w:hint="default"/>
      </w:rPr>
    </w:lvl>
    <w:lvl w:ilvl="5">
      <w:start w:val="0"/>
      <w:numFmt w:val="bullet"/>
      <w:lvlText w:val="•"/>
      <w:lvlJc w:val="left"/>
      <w:pPr>
        <w:ind w:left="3953" w:hanging="420"/>
      </w:pPr>
      <w:rPr>
        <w:rFonts w:hint="default"/>
      </w:rPr>
    </w:lvl>
    <w:lvl w:ilvl="6">
      <w:start w:val="0"/>
      <w:numFmt w:val="bullet"/>
      <w:lvlText w:val="•"/>
      <w:lvlJc w:val="left"/>
      <w:pPr>
        <w:ind w:left="4623" w:hanging="420"/>
      </w:pPr>
      <w:rPr>
        <w:rFonts w:hint="default"/>
      </w:rPr>
    </w:lvl>
    <w:lvl w:ilvl="7">
      <w:start w:val="0"/>
      <w:numFmt w:val="bullet"/>
      <w:lvlText w:val="•"/>
      <w:lvlJc w:val="left"/>
      <w:pPr>
        <w:ind w:left="5294" w:hanging="420"/>
      </w:pPr>
      <w:rPr>
        <w:rFonts w:hint="default"/>
      </w:rPr>
    </w:lvl>
    <w:lvl w:ilvl="8">
      <w:start w:val="0"/>
      <w:numFmt w:val="bullet"/>
      <w:lvlText w:val="•"/>
      <w:lvlJc w:val="left"/>
      <w:pPr>
        <w:ind w:left="5965" w:hanging="420"/>
      </w:pPr>
      <w:rPr>
        <w:rFonts w:hint="default"/>
      </w:rPr>
    </w:lvl>
  </w:abstractNum>
  <w:abstractNum w:abstractNumId="30">
    <w:multiLevelType w:val="hybridMultilevel"/>
    <w:lvl w:ilvl="0">
      <w:start w:val="1"/>
      <w:numFmt w:val="decimal"/>
      <w:lvlText w:val="(%1)"/>
      <w:lvlJc w:val="left"/>
      <w:pPr>
        <w:ind w:left="588" w:hanging="420"/>
        <w:jc w:val="left"/>
      </w:pPr>
      <w:rPr>
        <w:rFonts w:hint="default" w:ascii="宋体" w:hAnsi="宋体" w:eastAsia="宋体" w:cs="宋体"/>
        <w:spacing w:val="-31"/>
        <w:w w:val="100"/>
        <w:sz w:val="18"/>
        <w:szCs w:val="18"/>
      </w:rPr>
    </w:lvl>
    <w:lvl w:ilvl="1">
      <w:start w:val="0"/>
      <w:numFmt w:val="bullet"/>
      <w:lvlText w:val="•"/>
      <w:lvlJc w:val="left"/>
      <w:pPr>
        <w:ind w:left="1251" w:hanging="420"/>
      </w:pPr>
      <w:rPr>
        <w:rFonts w:hint="default"/>
      </w:rPr>
    </w:lvl>
    <w:lvl w:ilvl="2">
      <w:start w:val="0"/>
      <w:numFmt w:val="bullet"/>
      <w:lvlText w:val="•"/>
      <w:lvlJc w:val="left"/>
      <w:pPr>
        <w:ind w:left="1923" w:hanging="420"/>
      </w:pPr>
      <w:rPr>
        <w:rFonts w:hint="default"/>
      </w:rPr>
    </w:lvl>
    <w:lvl w:ilvl="3">
      <w:start w:val="0"/>
      <w:numFmt w:val="bullet"/>
      <w:lvlText w:val="•"/>
      <w:lvlJc w:val="left"/>
      <w:pPr>
        <w:ind w:left="2595" w:hanging="420"/>
      </w:pPr>
      <w:rPr>
        <w:rFonts w:hint="default"/>
      </w:rPr>
    </w:lvl>
    <w:lvl w:ilvl="4">
      <w:start w:val="0"/>
      <w:numFmt w:val="bullet"/>
      <w:lvlText w:val="•"/>
      <w:lvlJc w:val="left"/>
      <w:pPr>
        <w:ind w:left="3267" w:hanging="420"/>
      </w:pPr>
      <w:rPr>
        <w:rFonts w:hint="default"/>
      </w:rPr>
    </w:lvl>
    <w:lvl w:ilvl="5">
      <w:start w:val="0"/>
      <w:numFmt w:val="bullet"/>
      <w:lvlText w:val="•"/>
      <w:lvlJc w:val="left"/>
      <w:pPr>
        <w:ind w:left="3939" w:hanging="420"/>
      </w:pPr>
      <w:rPr>
        <w:rFonts w:hint="default"/>
      </w:rPr>
    </w:lvl>
    <w:lvl w:ilvl="6">
      <w:start w:val="0"/>
      <w:numFmt w:val="bullet"/>
      <w:lvlText w:val="•"/>
      <w:lvlJc w:val="left"/>
      <w:pPr>
        <w:ind w:left="4610" w:hanging="420"/>
      </w:pPr>
      <w:rPr>
        <w:rFonts w:hint="default"/>
      </w:rPr>
    </w:lvl>
    <w:lvl w:ilvl="7">
      <w:start w:val="0"/>
      <w:numFmt w:val="bullet"/>
      <w:lvlText w:val="•"/>
      <w:lvlJc w:val="left"/>
      <w:pPr>
        <w:ind w:left="5282" w:hanging="420"/>
      </w:pPr>
      <w:rPr>
        <w:rFonts w:hint="default"/>
      </w:rPr>
    </w:lvl>
    <w:lvl w:ilvl="8">
      <w:start w:val="0"/>
      <w:numFmt w:val="bullet"/>
      <w:lvlText w:val="•"/>
      <w:lvlJc w:val="left"/>
      <w:pPr>
        <w:ind w:left="5954" w:hanging="420"/>
      </w:pPr>
      <w:rPr>
        <w:rFonts w:hint="default"/>
      </w:rPr>
    </w:lvl>
  </w:abstractNum>
  <w:abstractNum w:abstractNumId="29">
    <w:multiLevelType w:val="hybridMultilevel"/>
    <w:lvl w:ilvl="0">
      <w:start w:val="1"/>
      <w:numFmt w:val="decimal"/>
      <w:lvlText w:val="(%1)"/>
      <w:lvlJc w:val="left"/>
      <w:pPr>
        <w:ind w:left="588" w:hanging="420"/>
        <w:jc w:val="left"/>
      </w:pPr>
      <w:rPr>
        <w:rFonts w:hint="default" w:ascii="宋体" w:hAnsi="宋体" w:eastAsia="宋体" w:cs="宋体"/>
        <w:spacing w:val="-31"/>
        <w:w w:val="100"/>
        <w:sz w:val="18"/>
        <w:szCs w:val="18"/>
      </w:rPr>
    </w:lvl>
    <w:lvl w:ilvl="1">
      <w:start w:val="0"/>
      <w:numFmt w:val="bullet"/>
      <w:lvlText w:val="•"/>
      <w:lvlJc w:val="left"/>
      <w:pPr>
        <w:ind w:left="1251" w:hanging="420"/>
      </w:pPr>
      <w:rPr>
        <w:rFonts w:hint="default"/>
      </w:rPr>
    </w:lvl>
    <w:lvl w:ilvl="2">
      <w:start w:val="0"/>
      <w:numFmt w:val="bullet"/>
      <w:lvlText w:val="•"/>
      <w:lvlJc w:val="left"/>
      <w:pPr>
        <w:ind w:left="1923" w:hanging="420"/>
      </w:pPr>
      <w:rPr>
        <w:rFonts w:hint="default"/>
      </w:rPr>
    </w:lvl>
    <w:lvl w:ilvl="3">
      <w:start w:val="0"/>
      <w:numFmt w:val="bullet"/>
      <w:lvlText w:val="•"/>
      <w:lvlJc w:val="left"/>
      <w:pPr>
        <w:ind w:left="2595" w:hanging="420"/>
      </w:pPr>
      <w:rPr>
        <w:rFonts w:hint="default"/>
      </w:rPr>
    </w:lvl>
    <w:lvl w:ilvl="4">
      <w:start w:val="0"/>
      <w:numFmt w:val="bullet"/>
      <w:lvlText w:val="•"/>
      <w:lvlJc w:val="left"/>
      <w:pPr>
        <w:ind w:left="3267" w:hanging="420"/>
      </w:pPr>
      <w:rPr>
        <w:rFonts w:hint="default"/>
      </w:rPr>
    </w:lvl>
    <w:lvl w:ilvl="5">
      <w:start w:val="0"/>
      <w:numFmt w:val="bullet"/>
      <w:lvlText w:val="•"/>
      <w:lvlJc w:val="left"/>
      <w:pPr>
        <w:ind w:left="3939" w:hanging="420"/>
      </w:pPr>
      <w:rPr>
        <w:rFonts w:hint="default"/>
      </w:rPr>
    </w:lvl>
    <w:lvl w:ilvl="6">
      <w:start w:val="0"/>
      <w:numFmt w:val="bullet"/>
      <w:lvlText w:val="•"/>
      <w:lvlJc w:val="left"/>
      <w:pPr>
        <w:ind w:left="4610" w:hanging="420"/>
      </w:pPr>
      <w:rPr>
        <w:rFonts w:hint="default"/>
      </w:rPr>
    </w:lvl>
    <w:lvl w:ilvl="7">
      <w:start w:val="0"/>
      <w:numFmt w:val="bullet"/>
      <w:lvlText w:val="•"/>
      <w:lvlJc w:val="left"/>
      <w:pPr>
        <w:ind w:left="5282" w:hanging="420"/>
      </w:pPr>
      <w:rPr>
        <w:rFonts w:hint="default"/>
      </w:rPr>
    </w:lvl>
    <w:lvl w:ilvl="8">
      <w:start w:val="0"/>
      <w:numFmt w:val="bullet"/>
      <w:lvlText w:val="•"/>
      <w:lvlJc w:val="left"/>
      <w:pPr>
        <w:ind w:left="5954" w:hanging="420"/>
      </w:pPr>
      <w:rPr>
        <w:rFonts w:hint="default"/>
      </w:rPr>
    </w:lvl>
  </w:abstractNum>
  <w:abstractNum w:abstractNumId="28">
    <w:multiLevelType w:val="hybridMultilevel"/>
    <w:lvl w:ilvl="0">
      <w:start w:val="1"/>
      <w:numFmt w:val="decimal"/>
      <w:lvlText w:val="(%1)"/>
      <w:lvlJc w:val="left"/>
      <w:pPr>
        <w:ind w:left="595" w:hanging="420"/>
        <w:jc w:val="left"/>
      </w:pPr>
      <w:rPr>
        <w:rFonts w:hint="default" w:ascii="宋体" w:hAnsi="宋体" w:eastAsia="宋体" w:cs="宋体"/>
        <w:spacing w:val="-46"/>
        <w:w w:val="100"/>
        <w:sz w:val="18"/>
        <w:szCs w:val="18"/>
      </w:rPr>
    </w:lvl>
    <w:lvl w:ilvl="1">
      <w:start w:val="0"/>
      <w:numFmt w:val="bullet"/>
      <w:lvlText w:val="•"/>
      <w:lvlJc w:val="left"/>
      <w:pPr>
        <w:ind w:left="1270" w:hanging="420"/>
      </w:pPr>
      <w:rPr>
        <w:rFonts w:hint="default"/>
      </w:rPr>
    </w:lvl>
    <w:lvl w:ilvl="2">
      <w:start w:val="0"/>
      <w:numFmt w:val="bullet"/>
      <w:lvlText w:val="•"/>
      <w:lvlJc w:val="left"/>
      <w:pPr>
        <w:ind w:left="1941" w:hanging="420"/>
      </w:pPr>
      <w:rPr>
        <w:rFonts w:hint="default"/>
      </w:rPr>
    </w:lvl>
    <w:lvl w:ilvl="3">
      <w:start w:val="0"/>
      <w:numFmt w:val="bullet"/>
      <w:lvlText w:val="•"/>
      <w:lvlJc w:val="left"/>
      <w:pPr>
        <w:ind w:left="2611" w:hanging="420"/>
      </w:pPr>
      <w:rPr>
        <w:rFonts w:hint="default"/>
      </w:rPr>
    </w:lvl>
    <w:lvl w:ilvl="4">
      <w:start w:val="0"/>
      <w:numFmt w:val="bullet"/>
      <w:lvlText w:val="•"/>
      <w:lvlJc w:val="left"/>
      <w:pPr>
        <w:ind w:left="3282" w:hanging="420"/>
      </w:pPr>
      <w:rPr>
        <w:rFonts w:hint="default"/>
      </w:rPr>
    </w:lvl>
    <w:lvl w:ilvl="5">
      <w:start w:val="0"/>
      <w:numFmt w:val="bullet"/>
      <w:lvlText w:val="•"/>
      <w:lvlJc w:val="left"/>
      <w:pPr>
        <w:ind w:left="3952" w:hanging="420"/>
      </w:pPr>
      <w:rPr>
        <w:rFonts w:hint="default"/>
      </w:rPr>
    </w:lvl>
    <w:lvl w:ilvl="6">
      <w:start w:val="0"/>
      <w:numFmt w:val="bullet"/>
      <w:lvlText w:val="•"/>
      <w:lvlJc w:val="left"/>
      <w:pPr>
        <w:ind w:left="4623" w:hanging="420"/>
      </w:pPr>
      <w:rPr>
        <w:rFonts w:hint="default"/>
      </w:rPr>
    </w:lvl>
    <w:lvl w:ilvl="7">
      <w:start w:val="0"/>
      <w:numFmt w:val="bullet"/>
      <w:lvlText w:val="•"/>
      <w:lvlJc w:val="left"/>
      <w:pPr>
        <w:ind w:left="5293" w:hanging="420"/>
      </w:pPr>
      <w:rPr>
        <w:rFonts w:hint="default"/>
      </w:rPr>
    </w:lvl>
    <w:lvl w:ilvl="8">
      <w:start w:val="0"/>
      <w:numFmt w:val="bullet"/>
      <w:lvlText w:val="•"/>
      <w:lvlJc w:val="left"/>
      <w:pPr>
        <w:ind w:left="5964" w:hanging="420"/>
      </w:pPr>
      <w:rPr>
        <w:rFonts w:hint="default"/>
      </w:rPr>
    </w:lvl>
  </w:abstractNum>
  <w:abstractNum w:abstractNumId="27">
    <w:multiLevelType w:val="hybridMultilevel"/>
    <w:lvl w:ilvl="0">
      <w:start w:val="1"/>
      <w:numFmt w:val="decimal"/>
      <w:lvlText w:val="(%1)"/>
      <w:lvlJc w:val="left"/>
      <w:pPr>
        <w:ind w:left="588" w:hanging="420"/>
        <w:jc w:val="right"/>
      </w:pPr>
      <w:rPr>
        <w:rFonts w:hint="default" w:ascii="宋体" w:hAnsi="宋体" w:eastAsia="宋体" w:cs="宋体"/>
        <w:spacing w:val="-31"/>
        <w:w w:val="100"/>
        <w:sz w:val="18"/>
        <w:szCs w:val="18"/>
      </w:rPr>
    </w:lvl>
    <w:lvl w:ilvl="1">
      <w:start w:val="0"/>
      <w:numFmt w:val="bullet"/>
      <w:lvlText w:val="•"/>
      <w:lvlJc w:val="left"/>
      <w:pPr>
        <w:ind w:left="1251" w:hanging="420"/>
      </w:pPr>
      <w:rPr>
        <w:rFonts w:hint="default"/>
      </w:rPr>
    </w:lvl>
    <w:lvl w:ilvl="2">
      <w:start w:val="0"/>
      <w:numFmt w:val="bullet"/>
      <w:lvlText w:val="•"/>
      <w:lvlJc w:val="left"/>
      <w:pPr>
        <w:ind w:left="1923" w:hanging="420"/>
      </w:pPr>
      <w:rPr>
        <w:rFonts w:hint="default"/>
      </w:rPr>
    </w:lvl>
    <w:lvl w:ilvl="3">
      <w:start w:val="0"/>
      <w:numFmt w:val="bullet"/>
      <w:lvlText w:val="•"/>
      <w:lvlJc w:val="left"/>
      <w:pPr>
        <w:ind w:left="2595" w:hanging="420"/>
      </w:pPr>
      <w:rPr>
        <w:rFonts w:hint="default"/>
      </w:rPr>
    </w:lvl>
    <w:lvl w:ilvl="4">
      <w:start w:val="0"/>
      <w:numFmt w:val="bullet"/>
      <w:lvlText w:val="•"/>
      <w:lvlJc w:val="left"/>
      <w:pPr>
        <w:ind w:left="3267" w:hanging="420"/>
      </w:pPr>
      <w:rPr>
        <w:rFonts w:hint="default"/>
      </w:rPr>
    </w:lvl>
    <w:lvl w:ilvl="5">
      <w:start w:val="0"/>
      <w:numFmt w:val="bullet"/>
      <w:lvlText w:val="•"/>
      <w:lvlJc w:val="left"/>
      <w:pPr>
        <w:ind w:left="3939" w:hanging="420"/>
      </w:pPr>
      <w:rPr>
        <w:rFonts w:hint="default"/>
      </w:rPr>
    </w:lvl>
    <w:lvl w:ilvl="6">
      <w:start w:val="0"/>
      <w:numFmt w:val="bullet"/>
      <w:lvlText w:val="•"/>
      <w:lvlJc w:val="left"/>
      <w:pPr>
        <w:ind w:left="4610" w:hanging="420"/>
      </w:pPr>
      <w:rPr>
        <w:rFonts w:hint="default"/>
      </w:rPr>
    </w:lvl>
    <w:lvl w:ilvl="7">
      <w:start w:val="0"/>
      <w:numFmt w:val="bullet"/>
      <w:lvlText w:val="•"/>
      <w:lvlJc w:val="left"/>
      <w:pPr>
        <w:ind w:left="5282" w:hanging="420"/>
      </w:pPr>
      <w:rPr>
        <w:rFonts w:hint="default"/>
      </w:rPr>
    </w:lvl>
    <w:lvl w:ilvl="8">
      <w:start w:val="0"/>
      <w:numFmt w:val="bullet"/>
      <w:lvlText w:val="•"/>
      <w:lvlJc w:val="left"/>
      <w:pPr>
        <w:ind w:left="5954" w:hanging="420"/>
      </w:pPr>
      <w:rPr>
        <w:rFonts w:hint="default"/>
      </w:rPr>
    </w:lvl>
  </w:abstractNum>
  <w:abstractNum w:abstractNumId="26">
    <w:multiLevelType w:val="hybridMultilevel"/>
    <w:lvl w:ilvl="0">
      <w:start w:val="1"/>
      <w:numFmt w:val="upperRoman"/>
      <w:lvlText w:val="%1"/>
      <w:lvlJc w:val="left"/>
      <w:pPr>
        <w:ind w:left="310" w:hanging="135"/>
        <w:jc w:val="left"/>
      </w:pPr>
      <w:rPr>
        <w:rFonts w:hint="default" w:ascii="宋体" w:hAnsi="宋体" w:eastAsia="宋体" w:cs="宋体"/>
        <w:w w:val="100"/>
        <w:sz w:val="18"/>
        <w:szCs w:val="18"/>
      </w:rPr>
    </w:lvl>
    <w:lvl w:ilvl="1">
      <w:start w:val="0"/>
      <w:numFmt w:val="bullet"/>
      <w:lvlText w:val="•"/>
      <w:lvlJc w:val="left"/>
      <w:pPr>
        <w:ind w:left="1018" w:hanging="135"/>
      </w:pPr>
      <w:rPr>
        <w:rFonts w:hint="default"/>
      </w:rPr>
    </w:lvl>
    <w:lvl w:ilvl="2">
      <w:start w:val="0"/>
      <w:numFmt w:val="bullet"/>
      <w:lvlText w:val="•"/>
      <w:lvlJc w:val="left"/>
      <w:pPr>
        <w:ind w:left="1717" w:hanging="135"/>
      </w:pPr>
      <w:rPr>
        <w:rFonts w:hint="default"/>
      </w:rPr>
    </w:lvl>
    <w:lvl w:ilvl="3">
      <w:start w:val="0"/>
      <w:numFmt w:val="bullet"/>
      <w:lvlText w:val="•"/>
      <w:lvlJc w:val="left"/>
      <w:pPr>
        <w:ind w:left="2415" w:hanging="135"/>
      </w:pPr>
      <w:rPr>
        <w:rFonts w:hint="default"/>
      </w:rPr>
    </w:lvl>
    <w:lvl w:ilvl="4">
      <w:start w:val="0"/>
      <w:numFmt w:val="bullet"/>
      <w:lvlText w:val="•"/>
      <w:lvlJc w:val="left"/>
      <w:pPr>
        <w:ind w:left="3114" w:hanging="135"/>
      </w:pPr>
      <w:rPr>
        <w:rFonts w:hint="default"/>
      </w:rPr>
    </w:lvl>
    <w:lvl w:ilvl="5">
      <w:start w:val="0"/>
      <w:numFmt w:val="bullet"/>
      <w:lvlText w:val="•"/>
      <w:lvlJc w:val="left"/>
      <w:pPr>
        <w:ind w:left="3812" w:hanging="135"/>
      </w:pPr>
      <w:rPr>
        <w:rFonts w:hint="default"/>
      </w:rPr>
    </w:lvl>
    <w:lvl w:ilvl="6">
      <w:start w:val="0"/>
      <w:numFmt w:val="bullet"/>
      <w:lvlText w:val="•"/>
      <w:lvlJc w:val="left"/>
      <w:pPr>
        <w:ind w:left="4511" w:hanging="135"/>
      </w:pPr>
      <w:rPr>
        <w:rFonts w:hint="default"/>
      </w:rPr>
    </w:lvl>
    <w:lvl w:ilvl="7">
      <w:start w:val="0"/>
      <w:numFmt w:val="bullet"/>
      <w:lvlText w:val="•"/>
      <w:lvlJc w:val="left"/>
      <w:pPr>
        <w:ind w:left="5209" w:hanging="135"/>
      </w:pPr>
      <w:rPr>
        <w:rFonts w:hint="default"/>
      </w:rPr>
    </w:lvl>
    <w:lvl w:ilvl="8">
      <w:start w:val="0"/>
      <w:numFmt w:val="bullet"/>
      <w:lvlText w:val="•"/>
      <w:lvlJc w:val="left"/>
      <w:pPr>
        <w:ind w:left="5908" w:hanging="135"/>
      </w:pPr>
      <w:rPr>
        <w:rFonts w:hint="default"/>
      </w:rPr>
    </w:lvl>
  </w:abstractNum>
  <w:abstractNum w:abstractNumId="25">
    <w:multiLevelType w:val="hybridMultilevel"/>
    <w:lvl w:ilvl="0">
      <w:start w:val="1"/>
      <w:numFmt w:val="decimal"/>
      <w:lvlText w:val="(%1)"/>
      <w:lvlJc w:val="left"/>
      <w:pPr>
        <w:ind w:left="588" w:hanging="420"/>
        <w:jc w:val="left"/>
      </w:pPr>
      <w:rPr>
        <w:rFonts w:hint="default" w:ascii="宋体" w:hAnsi="宋体" w:eastAsia="宋体" w:cs="宋体"/>
        <w:spacing w:val="-31"/>
        <w:w w:val="100"/>
        <w:sz w:val="18"/>
        <w:szCs w:val="18"/>
      </w:rPr>
    </w:lvl>
    <w:lvl w:ilvl="1">
      <w:start w:val="0"/>
      <w:numFmt w:val="bullet"/>
      <w:lvlText w:val="•"/>
      <w:lvlJc w:val="left"/>
      <w:pPr>
        <w:ind w:left="1251" w:hanging="420"/>
      </w:pPr>
      <w:rPr>
        <w:rFonts w:hint="default"/>
      </w:rPr>
    </w:lvl>
    <w:lvl w:ilvl="2">
      <w:start w:val="0"/>
      <w:numFmt w:val="bullet"/>
      <w:lvlText w:val="•"/>
      <w:lvlJc w:val="left"/>
      <w:pPr>
        <w:ind w:left="1923" w:hanging="420"/>
      </w:pPr>
      <w:rPr>
        <w:rFonts w:hint="default"/>
      </w:rPr>
    </w:lvl>
    <w:lvl w:ilvl="3">
      <w:start w:val="0"/>
      <w:numFmt w:val="bullet"/>
      <w:lvlText w:val="•"/>
      <w:lvlJc w:val="left"/>
      <w:pPr>
        <w:ind w:left="2595" w:hanging="420"/>
      </w:pPr>
      <w:rPr>
        <w:rFonts w:hint="default"/>
      </w:rPr>
    </w:lvl>
    <w:lvl w:ilvl="4">
      <w:start w:val="0"/>
      <w:numFmt w:val="bullet"/>
      <w:lvlText w:val="•"/>
      <w:lvlJc w:val="left"/>
      <w:pPr>
        <w:ind w:left="3267" w:hanging="420"/>
      </w:pPr>
      <w:rPr>
        <w:rFonts w:hint="default"/>
      </w:rPr>
    </w:lvl>
    <w:lvl w:ilvl="5">
      <w:start w:val="0"/>
      <w:numFmt w:val="bullet"/>
      <w:lvlText w:val="•"/>
      <w:lvlJc w:val="left"/>
      <w:pPr>
        <w:ind w:left="3939" w:hanging="420"/>
      </w:pPr>
      <w:rPr>
        <w:rFonts w:hint="default"/>
      </w:rPr>
    </w:lvl>
    <w:lvl w:ilvl="6">
      <w:start w:val="0"/>
      <w:numFmt w:val="bullet"/>
      <w:lvlText w:val="•"/>
      <w:lvlJc w:val="left"/>
      <w:pPr>
        <w:ind w:left="4610" w:hanging="420"/>
      </w:pPr>
      <w:rPr>
        <w:rFonts w:hint="default"/>
      </w:rPr>
    </w:lvl>
    <w:lvl w:ilvl="7">
      <w:start w:val="0"/>
      <w:numFmt w:val="bullet"/>
      <w:lvlText w:val="•"/>
      <w:lvlJc w:val="left"/>
      <w:pPr>
        <w:ind w:left="5282" w:hanging="420"/>
      </w:pPr>
      <w:rPr>
        <w:rFonts w:hint="default"/>
      </w:rPr>
    </w:lvl>
    <w:lvl w:ilvl="8">
      <w:start w:val="0"/>
      <w:numFmt w:val="bullet"/>
      <w:lvlText w:val="•"/>
      <w:lvlJc w:val="left"/>
      <w:pPr>
        <w:ind w:left="5954" w:hanging="420"/>
      </w:pPr>
      <w:rPr>
        <w:rFonts w:hint="default"/>
      </w:rPr>
    </w:lvl>
  </w:abstractNum>
  <w:abstractNum w:abstractNumId="24">
    <w:multiLevelType w:val="hybridMultilevel"/>
    <w:lvl w:ilvl="0">
      <w:start w:val="1"/>
      <w:numFmt w:val="decimal"/>
      <w:lvlText w:val="(%1)"/>
      <w:lvlJc w:val="left"/>
      <w:pPr>
        <w:ind w:left="168" w:hanging="420"/>
        <w:jc w:val="left"/>
      </w:pPr>
      <w:rPr>
        <w:rFonts w:hint="default" w:ascii="宋体" w:hAnsi="宋体" w:eastAsia="宋体" w:cs="宋体"/>
        <w:spacing w:val="-31"/>
        <w:w w:val="100"/>
        <w:sz w:val="18"/>
        <w:szCs w:val="18"/>
      </w:rPr>
    </w:lvl>
    <w:lvl w:ilvl="1">
      <w:start w:val="0"/>
      <w:numFmt w:val="bullet"/>
      <w:lvlText w:val="•"/>
      <w:lvlJc w:val="left"/>
      <w:pPr>
        <w:ind w:left="873" w:hanging="420"/>
      </w:pPr>
      <w:rPr>
        <w:rFonts w:hint="default"/>
      </w:rPr>
    </w:lvl>
    <w:lvl w:ilvl="2">
      <w:start w:val="0"/>
      <w:numFmt w:val="bullet"/>
      <w:lvlText w:val="•"/>
      <w:lvlJc w:val="left"/>
      <w:pPr>
        <w:ind w:left="1587" w:hanging="420"/>
      </w:pPr>
      <w:rPr>
        <w:rFonts w:hint="default"/>
      </w:rPr>
    </w:lvl>
    <w:lvl w:ilvl="3">
      <w:start w:val="0"/>
      <w:numFmt w:val="bullet"/>
      <w:lvlText w:val="•"/>
      <w:lvlJc w:val="left"/>
      <w:pPr>
        <w:ind w:left="2301" w:hanging="420"/>
      </w:pPr>
      <w:rPr>
        <w:rFonts w:hint="default"/>
      </w:rPr>
    </w:lvl>
    <w:lvl w:ilvl="4">
      <w:start w:val="0"/>
      <w:numFmt w:val="bullet"/>
      <w:lvlText w:val="•"/>
      <w:lvlJc w:val="left"/>
      <w:pPr>
        <w:ind w:left="3015" w:hanging="420"/>
      </w:pPr>
      <w:rPr>
        <w:rFonts w:hint="default"/>
      </w:rPr>
    </w:lvl>
    <w:lvl w:ilvl="5">
      <w:start w:val="0"/>
      <w:numFmt w:val="bullet"/>
      <w:lvlText w:val="•"/>
      <w:lvlJc w:val="left"/>
      <w:pPr>
        <w:ind w:left="3729" w:hanging="420"/>
      </w:pPr>
      <w:rPr>
        <w:rFonts w:hint="default"/>
      </w:rPr>
    </w:lvl>
    <w:lvl w:ilvl="6">
      <w:start w:val="0"/>
      <w:numFmt w:val="bullet"/>
      <w:lvlText w:val="•"/>
      <w:lvlJc w:val="left"/>
      <w:pPr>
        <w:ind w:left="4442" w:hanging="420"/>
      </w:pPr>
      <w:rPr>
        <w:rFonts w:hint="default"/>
      </w:rPr>
    </w:lvl>
    <w:lvl w:ilvl="7">
      <w:start w:val="0"/>
      <w:numFmt w:val="bullet"/>
      <w:lvlText w:val="•"/>
      <w:lvlJc w:val="left"/>
      <w:pPr>
        <w:ind w:left="5156" w:hanging="420"/>
      </w:pPr>
      <w:rPr>
        <w:rFonts w:hint="default"/>
      </w:rPr>
    </w:lvl>
    <w:lvl w:ilvl="8">
      <w:start w:val="0"/>
      <w:numFmt w:val="bullet"/>
      <w:lvlText w:val="•"/>
      <w:lvlJc w:val="left"/>
      <w:pPr>
        <w:ind w:left="5870" w:hanging="420"/>
      </w:pPr>
      <w:rPr>
        <w:rFonts w:hint="default"/>
      </w:rPr>
    </w:lvl>
  </w:abstractNum>
  <w:abstractNum w:abstractNumId="23">
    <w:multiLevelType w:val="hybridMultilevel"/>
    <w:lvl w:ilvl="0">
      <w:start w:val="4"/>
      <w:numFmt w:val="decimal"/>
      <w:lvlText w:val="(%1)"/>
      <w:lvlJc w:val="left"/>
      <w:pPr>
        <w:ind w:left="3035" w:hanging="360"/>
        <w:jc w:val="left"/>
      </w:pPr>
      <w:rPr>
        <w:rFonts w:hint="default"/>
        <w:spacing w:val="-90"/>
        <w:highlight w:val="lightGray"/>
      </w:rPr>
    </w:lvl>
    <w:lvl w:ilvl="1">
      <w:start w:val="0"/>
      <w:numFmt w:val="bullet"/>
      <w:lvlText w:val="•"/>
      <w:lvlJc w:val="left"/>
      <w:pPr>
        <w:ind w:left="3724" w:hanging="360"/>
      </w:pPr>
      <w:rPr>
        <w:rFonts w:hint="default"/>
      </w:rPr>
    </w:lvl>
    <w:lvl w:ilvl="2">
      <w:start w:val="0"/>
      <w:numFmt w:val="bullet"/>
      <w:lvlText w:val="•"/>
      <w:lvlJc w:val="left"/>
      <w:pPr>
        <w:ind w:left="4408" w:hanging="360"/>
      </w:pPr>
      <w:rPr>
        <w:rFonts w:hint="default"/>
      </w:rPr>
    </w:lvl>
    <w:lvl w:ilvl="3">
      <w:start w:val="0"/>
      <w:numFmt w:val="bullet"/>
      <w:lvlText w:val="•"/>
      <w:lvlJc w:val="left"/>
      <w:pPr>
        <w:ind w:left="5093" w:hanging="360"/>
      </w:pPr>
      <w:rPr>
        <w:rFonts w:hint="default"/>
      </w:rPr>
    </w:lvl>
    <w:lvl w:ilvl="4">
      <w:start w:val="0"/>
      <w:numFmt w:val="bullet"/>
      <w:lvlText w:val="•"/>
      <w:lvlJc w:val="left"/>
      <w:pPr>
        <w:ind w:left="5777" w:hanging="360"/>
      </w:pPr>
      <w:rPr>
        <w:rFonts w:hint="default"/>
      </w:rPr>
    </w:lvl>
    <w:lvl w:ilvl="5">
      <w:start w:val="0"/>
      <w:numFmt w:val="bullet"/>
      <w:lvlText w:val="•"/>
      <w:lvlJc w:val="left"/>
      <w:pPr>
        <w:ind w:left="6462" w:hanging="360"/>
      </w:pPr>
      <w:rPr>
        <w:rFonts w:hint="default"/>
      </w:rPr>
    </w:lvl>
    <w:lvl w:ilvl="6">
      <w:start w:val="0"/>
      <w:numFmt w:val="bullet"/>
      <w:lvlText w:val="•"/>
      <w:lvlJc w:val="left"/>
      <w:pPr>
        <w:ind w:left="7146" w:hanging="360"/>
      </w:pPr>
      <w:rPr>
        <w:rFonts w:hint="default"/>
      </w:rPr>
    </w:lvl>
    <w:lvl w:ilvl="7">
      <w:start w:val="0"/>
      <w:numFmt w:val="bullet"/>
      <w:lvlText w:val="•"/>
      <w:lvlJc w:val="left"/>
      <w:pPr>
        <w:ind w:left="7831" w:hanging="360"/>
      </w:pPr>
      <w:rPr>
        <w:rFonts w:hint="default"/>
      </w:rPr>
    </w:lvl>
    <w:lvl w:ilvl="8">
      <w:start w:val="0"/>
      <w:numFmt w:val="bullet"/>
      <w:lvlText w:val="•"/>
      <w:lvlJc w:val="left"/>
      <w:pPr>
        <w:ind w:left="8515" w:hanging="360"/>
      </w:pPr>
      <w:rPr>
        <w:rFonts w:hint="default"/>
      </w:rPr>
    </w:lvl>
  </w:abstractNum>
  <w:abstractNum w:abstractNumId="22">
    <w:multiLevelType w:val="hybridMultilevel"/>
    <w:lvl w:ilvl="0">
      <w:start w:val="1"/>
      <w:numFmt w:val="decimal"/>
      <w:lvlText w:val="%1."/>
      <w:lvlJc w:val="left"/>
      <w:pPr>
        <w:ind w:left="2675" w:hanging="360"/>
        <w:jc w:val="left"/>
      </w:pPr>
      <w:rPr>
        <w:rFonts w:hint="default" w:ascii="宋体" w:hAnsi="宋体" w:eastAsia="宋体" w:cs="宋体"/>
        <w:b/>
        <w:bCs/>
        <w:spacing w:val="0"/>
        <w:w w:val="99"/>
        <w:sz w:val="18"/>
        <w:szCs w:val="18"/>
      </w:rPr>
    </w:lvl>
    <w:lvl w:ilvl="1">
      <w:start w:val="1"/>
      <w:numFmt w:val="decimal"/>
      <w:lvlText w:val="(%2)"/>
      <w:lvlJc w:val="left"/>
      <w:pPr>
        <w:ind w:left="3095" w:hanging="420"/>
        <w:jc w:val="left"/>
      </w:pPr>
      <w:rPr>
        <w:rFonts w:hint="default" w:ascii="宋体" w:hAnsi="宋体" w:eastAsia="宋体" w:cs="宋体"/>
        <w:spacing w:val="-31"/>
        <w:w w:val="100"/>
        <w:sz w:val="18"/>
        <w:szCs w:val="18"/>
      </w:rPr>
    </w:lvl>
    <w:lvl w:ilvl="2">
      <w:start w:val="0"/>
      <w:numFmt w:val="bullet"/>
      <w:lvlText w:val="•"/>
      <w:lvlJc w:val="left"/>
      <w:pPr>
        <w:ind w:left="3100" w:hanging="420"/>
      </w:pPr>
      <w:rPr>
        <w:rFonts w:hint="default"/>
      </w:rPr>
    </w:lvl>
    <w:lvl w:ilvl="3">
      <w:start w:val="0"/>
      <w:numFmt w:val="bullet"/>
      <w:lvlText w:val="•"/>
      <w:lvlJc w:val="left"/>
      <w:pPr>
        <w:ind w:left="3938" w:hanging="420"/>
      </w:pPr>
      <w:rPr>
        <w:rFonts w:hint="default"/>
      </w:rPr>
    </w:lvl>
    <w:lvl w:ilvl="4">
      <w:start w:val="0"/>
      <w:numFmt w:val="bullet"/>
      <w:lvlText w:val="•"/>
      <w:lvlJc w:val="left"/>
      <w:pPr>
        <w:ind w:left="4776" w:hanging="420"/>
      </w:pPr>
      <w:rPr>
        <w:rFonts w:hint="default"/>
      </w:rPr>
    </w:lvl>
    <w:lvl w:ilvl="5">
      <w:start w:val="0"/>
      <w:numFmt w:val="bullet"/>
      <w:lvlText w:val="•"/>
      <w:lvlJc w:val="left"/>
      <w:pPr>
        <w:ind w:left="5614" w:hanging="420"/>
      </w:pPr>
      <w:rPr>
        <w:rFonts w:hint="default"/>
      </w:rPr>
    </w:lvl>
    <w:lvl w:ilvl="6">
      <w:start w:val="0"/>
      <w:numFmt w:val="bullet"/>
      <w:lvlText w:val="•"/>
      <w:lvlJc w:val="left"/>
      <w:pPr>
        <w:ind w:left="6452" w:hanging="420"/>
      </w:pPr>
      <w:rPr>
        <w:rFonts w:hint="default"/>
      </w:rPr>
    </w:lvl>
    <w:lvl w:ilvl="7">
      <w:start w:val="0"/>
      <w:numFmt w:val="bullet"/>
      <w:lvlText w:val="•"/>
      <w:lvlJc w:val="left"/>
      <w:pPr>
        <w:ind w:left="7290" w:hanging="420"/>
      </w:pPr>
      <w:rPr>
        <w:rFonts w:hint="default"/>
      </w:rPr>
    </w:lvl>
    <w:lvl w:ilvl="8">
      <w:start w:val="0"/>
      <w:numFmt w:val="bullet"/>
      <w:lvlText w:val="•"/>
      <w:lvlJc w:val="left"/>
      <w:pPr>
        <w:ind w:left="8128" w:hanging="420"/>
      </w:pPr>
      <w:rPr>
        <w:rFonts w:hint="default"/>
      </w:rPr>
    </w:lvl>
  </w:abstractNum>
  <w:abstractNum w:abstractNumId="21">
    <w:multiLevelType w:val="hybridMultilevel"/>
    <w:lvl w:ilvl="0">
      <w:start w:val="1"/>
      <w:numFmt w:val="decimal"/>
      <w:lvlText w:val="(%1)"/>
      <w:lvlJc w:val="left"/>
      <w:pPr>
        <w:ind w:left="564" w:hanging="420"/>
        <w:jc w:val="left"/>
      </w:pPr>
      <w:rPr>
        <w:rFonts w:hint="default" w:ascii="宋体" w:hAnsi="宋体" w:eastAsia="宋体" w:cs="宋体"/>
        <w:spacing w:val="-90"/>
        <w:w w:val="100"/>
        <w:sz w:val="18"/>
        <w:szCs w:val="18"/>
      </w:rPr>
    </w:lvl>
    <w:lvl w:ilvl="1">
      <w:start w:val="1"/>
      <w:numFmt w:val="decimal"/>
      <w:lvlText w:val="(%2)"/>
      <w:lvlJc w:val="left"/>
      <w:pPr>
        <w:ind w:left="2940" w:hanging="420"/>
        <w:jc w:val="left"/>
      </w:pPr>
      <w:rPr>
        <w:rFonts w:hint="default" w:ascii="宋体" w:hAnsi="宋体" w:eastAsia="宋体" w:cs="宋体"/>
        <w:spacing w:val="-31"/>
        <w:w w:val="100"/>
        <w:sz w:val="18"/>
        <w:szCs w:val="18"/>
      </w:rPr>
    </w:lvl>
    <w:lvl w:ilvl="2">
      <w:start w:val="0"/>
      <w:numFmt w:val="bullet"/>
      <w:lvlText w:val="•"/>
      <w:lvlJc w:val="left"/>
      <w:pPr>
        <w:ind w:left="2940" w:hanging="420"/>
      </w:pPr>
      <w:rPr>
        <w:rFonts w:hint="default"/>
      </w:rPr>
    </w:lvl>
    <w:lvl w:ilvl="3">
      <w:start w:val="0"/>
      <w:numFmt w:val="bullet"/>
      <w:lvlText w:val="•"/>
      <w:lvlJc w:val="left"/>
      <w:pPr>
        <w:ind w:left="3511" w:hanging="420"/>
      </w:pPr>
      <w:rPr>
        <w:rFonts w:hint="default"/>
      </w:rPr>
    </w:lvl>
    <w:lvl w:ilvl="4">
      <w:start w:val="0"/>
      <w:numFmt w:val="bullet"/>
      <w:lvlText w:val="•"/>
      <w:lvlJc w:val="left"/>
      <w:pPr>
        <w:ind w:left="4082" w:hanging="420"/>
      </w:pPr>
      <w:rPr>
        <w:rFonts w:hint="default"/>
      </w:rPr>
    </w:lvl>
    <w:lvl w:ilvl="5">
      <w:start w:val="0"/>
      <w:numFmt w:val="bullet"/>
      <w:lvlText w:val="•"/>
      <w:lvlJc w:val="left"/>
      <w:pPr>
        <w:ind w:left="4653" w:hanging="420"/>
      </w:pPr>
      <w:rPr>
        <w:rFonts w:hint="default"/>
      </w:rPr>
    </w:lvl>
    <w:lvl w:ilvl="6">
      <w:start w:val="0"/>
      <w:numFmt w:val="bullet"/>
      <w:lvlText w:val="•"/>
      <w:lvlJc w:val="left"/>
      <w:pPr>
        <w:ind w:left="5224" w:hanging="420"/>
      </w:pPr>
      <w:rPr>
        <w:rFonts w:hint="default"/>
      </w:rPr>
    </w:lvl>
    <w:lvl w:ilvl="7">
      <w:start w:val="0"/>
      <w:numFmt w:val="bullet"/>
      <w:lvlText w:val="•"/>
      <w:lvlJc w:val="left"/>
      <w:pPr>
        <w:ind w:left="5795" w:hanging="420"/>
      </w:pPr>
      <w:rPr>
        <w:rFonts w:hint="default"/>
      </w:rPr>
    </w:lvl>
    <w:lvl w:ilvl="8">
      <w:start w:val="0"/>
      <w:numFmt w:val="bullet"/>
      <w:lvlText w:val="•"/>
      <w:lvlJc w:val="left"/>
      <w:pPr>
        <w:ind w:left="6366" w:hanging="420"/>
      </w:pPr>
      <w:rPr>
        <w:rFonts w:hint="default"/>
      </w:rPr>
    </w:lvl>
  </w:abstractNum>
  <w:abstractNum w:abstractNumId="20">
    <w:multiLevelType w:val="hybridMultilevel"/>
    <w:lvl w:ilvl="0">
      <w:start w:val="1"/>
      <w:numFmt w:val="decimal"/>
      <w:lvlText w:val="(%1)"/>
      <w:lvlJc w:val="left"/>
      <w:pPr>
        <w:ind w:left="2940" w:hanging="420"/>
        <w:jc w:val="left"/>
      </w:pPr>
      <w:rPr>
        <w:rFonts w:hint="default" w:ascii="宋体" w:hAnsi="宋体" w:eastAsia="宋体" w:cs="宋体"/>
        <w:spacing w:val="-46"/>
        <w:w w:val="100"/>
        <w:sz w:val="18"/>
        <w:szCs w:val="18"/>
      </w:rPr>
    </w:lvl>
    <w:lvl w:ilvl="1">
      <w:start w:val="0"/>
      <w:numFmt w:val="bullet"/>
      <w:lvlText w:val="•"/>
      <w:lvlJc w:val="left"/>
      <w:pPr>
        <w:ind w:left="3634" w:hanging="420"/>
      </w:pPr>
      <w:rPr>
        <w:rFonts w:hint="default"/>
      </w:rPr>
    </w:lvl>
    <w:lvl w:ilvl="2">
      <w:start w:val="0"/>
      <w:numFmt w:val="bullet"/>
      <w:lvlText w:val="•"/>
      <w:lvlJc w:val="left"/>
      <w:pPr>
        <w:ind w:left="4328" w:hanging="420"/>
      </w:pPr>
      <w:rPr>
        <w:rFonts w:hint="default"/>
      </w:rPr>
    </w:lvl>
    <w:lvl w:ilvl="3">
      <w:start w:val="0"/>
      <w:numFmt w:val="bullet"/>
      <w:lvlText w:val="•"/>
      <w:lvlJc w:val="left"/>
      <w:pPr>
        <w:ind w:left="5023" w:hanging="420"/>
      </w:pPr>
      <w:rPr>
        <w:rFonts w:hint="default"/>
      </w:rPr>
    </w:lvl>
    <w:lvl w:ilvl="4">
      <w:start w:val="0"/>
      <w:numFmt w:val="bullet"/>
      <w:lvlText w:val="•"/>
      <w:lvlJc w:val="left"/>
      <w:pPr>
        <w:ind w:left="5717" w:hanging="420"/>
      </w:pPr>
      <w:rPr>
        <w:rFonts w:hint="default"/>
      </w:rPr>
    </w:lvl>
    <w:lvl w:ilvl="5">
      <w:start w:val="0"/>
      <w:numFmt w:val="bullet"/>
      <w:lvlText w:val="•"/>
      <w:lvlJc w:val="left"/>
      <w:pPr>
        <w:ind w:left="6412" w:hanging="420"/>
      </w:pPr>
      <w:rPr>
        <w:rFonts w:hint="default"/>
      </w:rPr>
    </w:lvl>
    <w:lvl w:ilvl="6">
      <w:start w:val="0"/>
      <w:numFmt w:val="bullet"/>
      <w:lvlText w:val="•"/>
      <w:lvlJc w:val="left"/>
      <w:pPr>
        <w:ind w:left="7106" w:hanging="420"/>
      </w:pPr>
      <w:rPr>
        <w:rFonts w:hint="default"/>
      </w:rPr>
    </w:lvl>
    <w:lvl w:ilvl="7">
      <w:start w:val="0"/>
      <w:numFmt w:val="bullet"/>
      <w:lvlText w:val="•"/>
      <w:lvlJc w:val="left"/>
      <w:pPr>
        <w:ind w:left="7801" w:hanging="420"/>
      </w:pPr>
      <w:rPr>
        <w:rFonts w:hint="default"/>
      </w:rPr>
    </w:lvl>
    <w:lvl w:ilvl="8">
      <w:start w:val="0"/>
      <w:numFmt w:val="bullet"/>
      <w:lvlText w:val="•"/>
      <w:lvlJc w:val="left"/>
      <w:pPr>
        <w:ind w:left="8495" w:hanging="420"/>
      </w:pPr>
      <w:rPr>
        <w:rFonts w:hint="default"/>
      </w:rPr>
    </w:lvl>
  </w:abstractNum>
  <w:abstractNum w:abstractNumId="19">
    <w:multiLevelType w:val="hybridMultilevel"/>
    <w:lvl w:ilvl="0">
      <w:start w:val="1"/>
      <w:numFmt w:val="decimal"/>
      <w:lvlText w:val="（%1）"/>
      <w:lvlJc w:val="left"/>
      <w:pPr>
        <w:ind w:left="750" w:hanging="540"/>
        <w:jc w:val="left"/>
      </w:pPr>
      <w:rPr>
        <w:rFonts w:hint="default" w:ascii="宋体" w:hAnsi="宋体" w:eastAsia="宋体" w:cs="宋体"/>
        <w:w w:val="100"/>
        <w:sz w:val="18"/>
        <w:szCs w:val="18"/>
      </w:rPr>
    </w:lvl>
    <w:lvl w:ilvl="1">
      <w:start w:val="0"/>
      <w:numFmt w:val="bullet"/>
      <w:lvlText w:val="•"/>
      <w:lvlJc w:val="left"/>
      <w:pPr>
        <w:ind w:left="1441" w:hanging="540"/>
      </w:pPr>
      <w:rPr>
        <w:rFonts w:hint="default"/>
      </w:rPr>
    </w:lvl>
    <w:lvl w:ilvl="2">
      <w:start w:val="0"/>
      <w:numFmt w:val="bullet"/>
      <w:lvlText w:val="•"/>
      <w:lvlJc w:val="left"/>
      <w:pPr>
        <w:ind w:left="2122" w:hanging="540"/>
      </w:pPr>
      <w:rPr>
        <w:rFonts w:hint="default"/>
      </w:rPr>
    </w:lvl>
    <w:lvl w:ilvl="3">
      <w:start w:val="0"/>
      <w:numFmt w:val="bullet"/>
      <w:lvlText w:val="•"/>
      <w:lvlJc w:val="left"/>
      <w:pPr>
        <w:ind w:left="2804" w:hanging="540"/>
      </w:pPr>
      <w:rPr>
        <w:rFonts w:hint="default"/>
      </w:rPr>
    </w:lvl>
    <w:lvl w:ilvl="4">
      <w:start w:val="0"/>
      <w:numFmt w:val="bullet"/>
      <w:lvlText w:val="•"/>
      <w:lvlJc w:val="left"/>
      <w:pPr>
        <w:ind w:left="3485" w:hanging="540"/>
      </w:pPr>
      <w:rPr>
        <w:rFonts w:hint="default"/>
      </w:rPr>
    </w:lvl>
    <w:lvl w:ilvl="5">
      <w:start w:val="0"/>
      <w:numFmt w:val="bullet"/>
      <w:lvlText w:val="•"/>
      <w:lvlJc w:val="left"/>
      <w:pPr>
        <w:ind w:left="4167" w:hanging="540"/>
      </w:pPr>
      <w:rPr>
        <w:rFonts w:hint="default"/>
      </w:rPr>
    </w:lvl>
    <w:lvl w:ilvl="6">
      <w:start w:val="0"/>
      <w:numFmt w:val="bullet"/>
      <w:lvlText w:val="•"/>
      <w:lvlJc w:val="left"/>
      <w:pPr>
        <w:ind w:left="4848" w:hanging="540"/>
      </w:pPr>
      <w:rPr>
        <w:rFonts w:hint="default"/>
      </w:rPr>
    </w:lvl>
    <w:lvl w:ilvl="7">
      <w:start w:val="0"/>
      <w:numFmt w:val="bullet"/>
      <w:lvlText w:val="•"/>
      <w:lvlJc w:val="left"/>
      <w:pPr>
        <w:ind w:left="5530" w:hanging="540"/>
      </w:pPr>
      <w:rPr>
        <w:rFonts w:hint="default"/>
      </w:rPr>
    </w:lvl>
    <w:lvl w:ilvl="8">
      <w:start w:val="0"/>
      <w:numFmt w:val="bullet"/>
      <w:lvlText w:val="•"/>
      <w:lvlJc w:val="left"/>
      <w:pPr>
        <w:ind w:left="6211" w:hanging="540"/>
      </w:pPr>
      <w:rPr>
        <w:rFonts w:hint="default"/>
      </w:rPr>
    </w:lvl>
  </w:abstractNum>
  <w:abstractNum w:abstractNumId="18">
    <w:multiLevelType w:val="hybridMultilevel"/>
    <w:lvl w:ilvl="0">
      <w:start w:val="1"/>
      <w:numFmt w:val="decimal"/>
      <w:lvlText w:val="(%1)"/>
      <w:lvlJc w:val="left"/>
      <w:pPr>
        <w:ind w:left="666" w:hanging="420"/>
        <w:jc w:val="left"/>
      </w:pPr>
      <w:rPr>
        <w:rFonts w:hint="default" w:ascii="宋体" w:hAnsi="宋体" w:eastAsia="宋体" w:cs="宋体"/>
        <w:spacing w:val="-31"/>
        <w:w w:val="100"/>
        <w:sz w:val="18"/>
        <w:szCs w:val="18"/>
      </w:rPr>
    </w:lvl>
    <w:lvl w:ilvl="1">
      <w:start w:val="0"/>
      <w:numFmt w:val="bullet"/>
      <w:lvlText w:val="•"/>
      <w:lvlJc w:val="left"/>
      <w:pPr>
        <w:ind w:left="1347" w:hanging="420"/>
      </w:pPr>
      <w:rPr>
        <w:rFonts w:hint="default"/>
      </w:rPr>
    </w:lvl>
    <w:lvl w:ilvl="2">
      <w:start w:val="0"/>
      <w:numFmt w:val="bullet"/>
      <w:lvlText w:val="•"/>
      <w:lvlJc w:val="left"/>
      <w:pPr>
        <w:ind w:left="2035" w:hanging="420"/>
      </w:pPr>
      <w:rPr>
        <w:rFonts w:hint="default"/>
      </w:rPr>
    </w:lvl>
    <w:lvl w:ilvl="3">
      <w:start w:val="0"/>
      <w:numFmt w:val="bullet"/>
      <w:lvlText w:val="•"/>
      <w:lvlJc w:val="left"/>
      <w:pPr>
        <w:ind w:left="2722" w:hanging="420"/>
      </w:pPr>
      <w:rPr>
        <w:rFonts w:hint="default"/>
      </w:rPr>
    </w:lvl>
    <w:lvl w:ilvl="4">
      <w:start w:val="0"/>
      <w:numFmt w:val="bullet"/>
      <w:lvlText w:val="•"/>
      <w:lvlJc w:val="left"/>
      <w:pPr>
        <w:ind w:left="3410" w:hanging="420"/>
      </w:pPr>
      <w:rPr>
        <w:rFonts w:hint="default"/>
      </w:rPr>
    </w:lvl>
    <w:lvl w:ilvl="5">
      <w:start w:val="0"/>
      <w:numFmt w:val="bullet"/>
      <w:lvlText w:val="•"/>
      <w:lvlJc w:val="left"/>
      <w:pPr>
        <w:ind w:left="4097" w:hanging="420"/>
      </w:pPr>
      <w:rPr>
        <w:rFonts w:hint="default"/>
      </w:rPr>
    </w:lvl>
    <w:lvl w:ilvl="6">
      <w:start w:val="0"/>
      <w:numFmt w:val="bullet"/>
      <w:lvlText w:val="•"/>
      <w:lvlJc w:val="left"/>
      <w:pPr>
        <w:ind w:left="4785" w:hanging="420"/>
      </w:pPr>
      <w:rPr>
        <w:rFonts w:hint="default"/>
      </w:rPr>
    </w:lvl>
    <w:lvl w:ilvl="7">
      <w:start w:val="0"/>
      <w:numFmt w:val="bullet"/>
      <w:lvlText w:val="•"/>
      <w:lvlJc w:val="left"/>
      <w:pPr>
        <w:ind w:left="5472" w:hanging="420"/>
      </w:pPr>
      <w:rPr>
        <w:rFonts w:hint="default"/>
      </w:rPr>
    </w:lvl>
    <w:lvl w:ilvl="8">
      <w:start w:val="0"/>
      <w:numFmt w:val="bullet"/>
      <w:lvlText w:val="•"/>
      <w:lvlJc w:val="left"/>
      <w:pPr>
        <w:ind w:left="6160" w:hanging="420"/>
      </w:pPr>
      <w:rPr>
        <w:rFonts w:hint="default"/>
      </w:rPr>
    </w:lvl>
  </w:abstractNum>
  <w:abstractNum w:abstractNumId="17">
    <w:multiLevelType w:val="hybridMultilevel"/>
    <w:lvl w:ilvl="0">
      <w:start w:val="1"/>
      <w:numFmt w:val="decimal"/>
      <w:lvlText w:val="%1."/>
      <w:lvlJc w:val="left"/>
      <w:pPr>
        <w:ind w:left="642" w:hanging="420"/>
        <w:jc w:val="left"/>
      </w:pPr>
      <w:rPr>
        <w:rFonts w:hint="default"/>
        <w:b/>
        <w:bCs/>
        <w:w w:val="99"/>
      </w:rPr>
    </w:lvl>
    <w:lvl w:ilvl="1">
      <w:start w:val="1"/>
      <w:numFmt w:val="decimal"/>
      <w:lvlText w:val="（%2）"/>
      <w:lvlJc w:val="left"/>
      <w:pPr>
        <w:ind w:left="2520" w:hanging="540"/>
        <w:jc w:val="left"/>
      </w:pPr>
      <w:rPr>
        <w:rFonts w:hint="default" w:ascii="宋体" w:hAnsi="宋体" w:eastAsia="宋体" w:cs="宋体"/>
        <w:spacing w:val="-46"/>
        <w:w w:val="100"/>
        <w:sz w:val="18"/>
        <w:szCs w:val="18"/>
      </w:rPr>
    </w:lvl>
    <w:lvl w:ilvl="2">
      <w:start w:val="0"/>
      <w:numFmt w:val="bullet"/>
      <w:lvlText w:val="•"/>
      <w:lvlJc w:val="left"/>
      <w:pPr>
        <w:ind w:left="2496" w:hanging="540"/>
      </w:pPr>
      <w:rPr>
        <w:rFonts w:hint="default"/>
      </w:rPr>
    </w:lvl>
    <w:lvl w:ilvl="3">
      <w:start w:val="0"/>
      <w:numFmt w:val="bullet"/>
      <w:lvlText w:val="•"/>
      <w:lvlJc w:val="left"/>
      <w:pPr>
        <w:ind w:left="2473" w:hanging="540"/>
      </w:pPr>
      <w:rPr>
        <w:rFonts w:hint="default"/>
      </w:rPr>
    </w:lvl>
    <w:lvl w:ilvl="4">
      <w:start w:val="0"/>
      <w:numFmt w:val="bullet"/>
      <w:lvlText w:val="•"/>
      <w:lvlJc w:val="left"/>
      <w:pPr>
        <w:ind w:left="2449" w:hanging="540"/>
      </w:pPr>
      <w:rPr>
        <w:rFonts w:hint="default"/>
      </w:rPr>
    </w:lvl>
    <w:lvl w:ilvl="5">
      <w:start w:val="0"/>
      <w:numFmt w:val="bullet"/>
      <w:lvlText w:val="•"/>
      <w:lvlJc w:val="left"/>
      <w:pPr>
        <w:ind w:left="2426" w:hanging="540"/>
      </w:pPr>
      <w:rPr>
        <w:rFonts w:hint="default"/>
      </w:rPr>
    </w:lvl>
    <w:lvl w:ilvl="6">
      <w:start w:val="0"/>
      <w:numFmt w:val="bullet"/>
      <w:lvlText w:val="•"/>
      <w:lvlJc w:val="left"/>
      <w:pPr>
        <w:ind w:left="2402" w:hanging="540"/>
      </w:pPr>
      <w:rPr>
        <w:rFonts w:hint="default"/>
      </w:rPr>
    </w:lvl>
    <w:lvl w:ilvl="7">
      <w:start w:val="0"/>
      <w:numFmt w:val="bullet"/>
      <w:lvlText w:val="•"/>
      <w:lvlJc w:val="left"/>
      <w:pPr>
        <w:ind w:left="2379" w:hanging="540"/>
      </w:pPr>
      <w:rPr>
        <w:rFonts w:hint="default"/>
      </w:rPr>
    </w:lvl>
    <w:lvl w:ilvl="8">
      <w:start w:val="0"/>
      <w:numFmt w:val="bullet"/>
      <w:lvlText w:val="•"/>
      <w:lvlJc w:val="left"/>
      <w:pPr>
        <w:ind w:left="2356" w:hanging="540"/>
      </w:pPr>
      <w:rPr>
        <w:rFonts w:hint="default"/>
      </w:rPr>
    </w:lvl>
  </w:abstractNum>
  <w:abstractNum w:abstractNumId="16">
    <w:multiLevelType w:val="hybridMultilevel"/>
    <w:lvl w:ilvl="0">
      <w:start w:val="1"/>
      <w:numFmt w:val="decimal"/>
      <w:lvlText w:val="(%1)"/>
      <w:lvlJc w:val="left"/>
      <w:pPr>
        <w:ind w:left="541" w:hanging="398"/>
        <w:jc w:val="left"/>
      </w:pPr>
      <w:rPr>
        <w:rFonts w:hint="default" w:ascii="宋体" w:hAnsi="宋体" w:eastAsia="宋体" w:cs="宋体"/>
        <w:w w:val="100"/>
        <w:sz w:val="18"/>
        <w:szCs w:val="18"/>
      </w:rPr>
    </w:lvl>
    <w:lvl w:ilvl="1">
      <w:start w:val="0"/>
      <w:numFmt w:val="bullet"/>
      <w:lvlText w:val="•"/>
      <w:lvlJc w:val="left"/>
      <w:pPr>
        <w:ind w:left="1237" w:hanging="398"/>
      </w:pPr>
      <w:rPr>
        <w:rFonts w:hint="default"/>
      </w:rPr>
    </w:lvl>
    <w:lvl w:ilvl="2">
      <w:start w:val="0"/>
      <w:numFmt w:val="bullet"/>
      <w:lvlText w:val="•"/>
      <w:lvlJc w:val="left"/>
      <w:pPr>
        <w:ind w:left="1935" w:hanging="398"/>
      </w:pPr>
      <w:rPr>
        <w:rFonts w:hint="default"/>
      </w:rPr>
    </w:lvl>
    <w:lvl w:ilvl="3">
      <w:start w:val="0"/>
      <w:numFmt w:val="bullet"/>
      <w:lvlText w:val="•"/>
      <w:lvlJc w:val="left"/>
      <w:pPr>
        <w:ind w:left="2632" w:hanging="398"/>
      </w:pPr>
      <w:rPr>
        <w:rFonts w:hint="default"/>
      </w:rPr>
    </w:lvl>
    <w:lvl w:ilvl="4">
      <w:start w:val="0"/>
      <w:numFmt w:val="bullet"/>
      <w:lvlText w:val="•"/>
      <w:lvlJc w:val="left"/>
      <w:pPr>
        <w:ind w:left="3330" w:hanging="398"/>
      </w:pPr>
      <w:rPr>
        <w:rFonts w:hint="default"/>
      </w:rPr>
    </w:lvl>
    <w:lvl w:ilvl="5">
      <w:start w:val="0"/>
      <w:numFmt w:val="bullet"/>
      <w:lvlText w:val="•"/>
      <w:lvlJc w:val="left"/>
      <w:pPr>
        <w:ind w:left="4027" w:hanging="398"/>
      </w:pPr>
      <w:rPr>
        <w:rFonts w:hint="default"/>
      </w:rPr>
    </w:lvl>
    <w:lvl w:ilvl="6">
      <w:start w:val="0"/>
      <w:numFmt w:val="bullet"/>
      <w:lvlText w:val="•"/>
      <w:lvlJc w:val="left"/>
      <w:pPr>
        <w:ind w:left="4725" w:hanging="398"/>
      </w:pPr>
      <w:rPr>
        <w:rFonts w:hint="default"/>
      </w:rPr>
    </w:lvl>
    <w:lvl w:ilvl="7">
      <w:start w:val="0"/>
      <w:numFmt w:val="bullet"/>
      <w:lvlText w:val="•"/>
      <w:lvlJc w:val="left"/>
      <w:pPr>
        <w:ind w:left="5422" w:hanging="398"/>
      </w:pPr>
      <w:rPr>
        <w:rFonts w:hint="default"/>
      </w:rPr>
    </w:lvl>
    <w:lvl w:ilvl="8">
      <w:start w:val="0"/>
      <w:numFmt w:val="bullet"/>
      <w:lvlText w:val="•"/>
      <w:lvlJc w:val="left"/>
      <w:pPr>
        <w:ind w:left="6120" w:hanging="398"/>
      </w:pPr>
      <w:rPr>
        <w:rFonts w:hint="default"/>
      </w:rPr>
    </w:lvl>
  </w:abstractNum>
  <w:abstractNum w:abstractNumId="15">
    <w:multiLevelType w:val="hybridMultilevel"/>
    <w:lvl w:ilvl="0">
      <w:start w:val="7"/>
      <w:numFmt w:val="decimal"/>
      <w:lvlText w:val="%1"/>
      <w:lvlJc w:val="left"/>
      <w:pPr>
        <w:ind w:left="2533" w:hanging="683"/>
        <w:jc w:val="left"/>
      </w:pPr>
      <w:rPr>
        <w:rFonts w:hint="default"/>
      </w:rPr>
    </w:lvl>
    <w:lvl w:ilvl="1">
      <w:start w:val="4"/>
      <w:numFmt w:val="decimal"/>
      <w:lvlText w:val="%1.%2"/>
      <w:lvlJc w:val="left"/>
      <w:pPr>
        <w:ind w:left="2533" w:hanging="683"/>
        <w:jc w:val="left"/>
      </w:pPr>
      <w:rPr>
        <w:rFonts w:hint="default" w:ascii="宋体" w:hAnsi="宋体" w:eastAsia="宋体" w:cs="宋体"/>
        <w:b/>
        <w:bCs/>
        <w:spacing w:val="0"/>
        <w:w w:val="99"/>
        <w:sz w:val="21"/>
        <w:szCs w:val="21"/>
      </w:rPr>
    </w:lvl>
    <w:lvl w:ilvl="2">
      <w:start w:val="1"/>
      <w:numFmt w:val="decimal"/>
      <w:lvlText w:val="(%3)"/>
      <w:lvlJc w:val="left"/>
      <w:pPr>
        <w:ind w:left="2930" w:hanging="398"/>
        <w:jc w:val="left"/>
      </w:pPr>
      <w:rPr>
        <w:rFonts w:hint="default" w:ascii="宋体" w:hAnsi="宋体" w:eastAsia="宋体" w:cs="宋体"/>
        <w:w w:val="100"/>
        <w:sz w:val="18"/>
        <w:szCs w:val="18"/>
      </w:rPr>
    </w:lvl>
    <w:lvl w:ilvl="3">
      <w:start w:val="0"/>
      <w:numFmt w:val="bullet"/>
      <w:lvlText w:val="•"/>
      <w:lvlJc w:val="left"/>
      <w:pPr>
        <w:ind w:left="4487" w:hanging="398"/>
      </w:pPr>
      <w:rPr>
        <w:rFonts w:hint="default"/>
      </w:rPr>
    </w:lvl>
    <w:lvl w:ilvl="4">
      <w:start w:val="0"/>
      <w:numFmt w:val="bullet"/>
      <w:lvlText w:val="•"/>
      <w:lvlJc w:val="left"/>
      <w:pPr>
        <w:ind w:left="5261" w:hanging="398"/>
      </w:pPr>
      <w:rPr>
        <w:rFonts w:hint="default"/>
      </w:rPr>
    </w:lvl>
    <w:lvl w:ilvl="5">
      <w:start w:val="0"/>
      <w:numFmt w:val="bullet"/>
      <w:lvlText w:val="•"/>
      <w:lvlJc w:val="left"/>
      <w:pPr>
        <w:ind w:left="6035" w:hanging="398"/>
      </w:pPr>
      <w:rPr>
        <w:rFonts w:hint="default"/>
      </w:rPr>
    </w:lvl>
    <w:lvl w:ilvl="6">
      <w:start w:val="0"/>
      <w:numFmt w:val="bullet"/>
      <w:lvlText w:val="•"/>
      <w:lvlJc w:val="left"/>
      <w:pPr>
        <w:ind w:left="6809" w:hanging="398"/>
      </w:pPr>
      <w:rPr>
        <w:rFonts w:hint="default"/>
      </w:rPr>
    </w:lvl>
    <w:lvl w:ilvl="7">
      <w:start w:val="0"/>
      <w:numFmt w:val="bullet"/>
      <w:lvlText w:val="•"/>
      <w:lvlJc w:val="left"/>
      <w:pPr>
        <w:ind w:left="7582" w:hanging="398"/>
      </w:pPr>
      <w:rPr>
        <w:rFonts w:hint="default"/>
      </w:rPr>
    </w:lvl>
    <w:lvl w:ilvl="8">
      <w:start w:val="0"/>
      <w:numFmt w:val="bullet"/>
      <w:lvlText w:val="•"/>
      <w:lvlJc w:val="left"/>
      <w:pPr>
        <w:ind w:left="8356" w:hanging="398"/>
      </w:pPr>
      <w:rPr>
        <w:rFonts w:hint="default"/>
      </w:rPr>
    </w:lvl>
  </w:abstractNum>
  <w:abstractNum w:abstractNumId="14">
    <w:multiLevelType w:val="hybridMultilevel"/>
    <w:lvl w:ilvl="0">
      <w:start w:val="6"/>
      <w:numFmt w:val="decimal"/>
      <w:lvlText w:val="%1"/>
      <w:lvlJc w:val="left"/>
      <w:pPr>
        <w:ind w:left="907" w:hanging="683"/>
        <w:jc w:val="left"/>
      </w:pPr>
      <w:rPr>
        <w:rFonts w:hint="default"/>
      </w:rPr>
    </w:lvl>
    <w:lvl w:ilvl="1">
      <w:start w:val="1"/>
      <w:numFmt w:val="decimal"/>
      <w:lvlText w:val="%1.%2"/>
      <w:lvlJc w:val="left"/>
      <w:pPr>
        <w:ind w:left="907" w:hanging="683"/>
        <w:jc w:val="left"/>
      </w:pPr>
      <w:rPr>
        <w:rFonts w:hint="default" w:ascii="宋体" w:hAnsi="宋体" w:eastAsia="宋体" w:cs="宋体"/>
        <w:b/>
        <w:bCs/>
        <w:spacing w:val="0"/>
        <w:w w:val="99"/>
        <w:sz w:val="21"/>
        <w:szCs w:val="21"/>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13">
    <w:multiLevelType w:val="hybridMultilevel"/>
    <w:lvl w:ilvl="0">
      <w:start w:val="4"/>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spacing w:val="0"/>
        <w:w w:val="99"/>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12">
    <w:multiLevelType w:val="hybridMultilevel"/>
    <w:lvl w:ilvl="0">
      <w:start w:val="1"/>
      <w:numFmt w:val="decimal"/>
      <w:lvlText w:val="(%1)"/>
      <w:lvlJc w:val="left"/>
      <w:pPr>
        <w:ind w:left="2953" w:hanging="340"/>
        <w:jc w:val="left"/>
      </w:pPr>
      <w:rPr>
        <w:rFonts w:hint="default" w:ascii="宋体" w:hAnsi="宋体" w:eastAsia="宋体" w:cs="宋体"/>
        <w:w w:val="100"/>
        <w:sz w:val="18"/>
        <w:szCs w:val="18"/>
      </w:rPr>
    </w:lvl>
    <w:lvl w:ilvl="1">
      <w:start w:val="0"/>
      <w:numFmt w:val="bullet"/>
      <w:lvlText w:val="•"/>
      <w:lvlJc w:val="left"/>
      <w:pPr>
        <w:ind w:left="3674" w:hanging="340"/>
      </w:pPr>
      <w:rPr>
        <w:rFonts w:hint="default"/>
      </w:rPr>
    </w:lvl>
    <w:lvl w:ilvl="2">
      <w:start w:val="0"/>
      <w:numFmt w:val="bullet"/>
      <w:lvlText w:val="•"/>
      <w:lvlJc w:val="left"/>
      <w:pPr>
        <w:ind w:left="4388" w:hanging="340"/>
      </w:pPr>
      <w:rPr>
        <w:rFonts w:hint="default"/>
      </w:rPr>
    </w:lvl>
    <w:lvl w:ilvl="3">
      <w:start w:val="0"/>
      <w:numFmt w:val="bullet"/>
      <w:lvlText w:val="•"/>
      <w:lvlJc w:val="left"/>
      <w:pPr>
        <w:ind w:left="5103" w:hanging="340"/>
      </w:pPr>
      <w:rPr>
        <w:rFonts w:hint="default"/>
      </w:rPr>
    </w:lvl>
    <w:lvl w:ilvl="4">
      <w:start w:val="0"/>
      <w:numFmt w:val="bullet"/>
      <w:lvlText w:val="•"/>
      <w:lvlJc w:val="left"/>
      <w:pPr>
        <w:ind w:left="5817" w:hanging="340"/>
      </w:pPr>
      <w:rPr>
        <w:rFonts w:hint="default"/>
      </w:rPr>
    </w:lvl>
    <w:lvl w:ilvl="5">
      <w:start w:val="0"/>
      <w:numFmt w:val="bullet"/>
      <w:lvlText w:val="•"/>
      <w:lvlJc w:val="left"/>
      <w:pPr>
        <w:ind w:left="6532" w:hanging="340"/>
      </w:pPr>
      <w:rPr>
        <w:rFonts w:hint="default"/>
      </w:rPr>
    </w:lvl>
    <w:lvl w:ilvl="6">
      <w:start w:val="0"/>
      <w:numFmt w:val="bullet"/>
      <w:lvlText w:val="•"/>
      <w:lvlJc w:val="left"/>
      <w:pPr>
        <w:ind w:left="7246" w:hanging="340"/>
      </w:pPr>
      <w:rPr>
        <w:rFonts w:hint="default"/>
      </w:rPr>
    </w:lvl>
    <w:lvl w:ilvl="7">
      <w:start w:val="0"/>
      <w:numFmt w:val="bullet"/>
      <w:lvlText w:val="•"/>
      <w:lvlJc w:val="left"/>
      <w:pPr>
        <w:ind w:left="7961" w:hanging="340"/>
      </w:pPr>
      <w:rPr>
        <w:rFonts w:hint="default"/>
      </w:rPr>
    </w:lvl>
    <w:lvl w:ilvl="8">
      <w:start w:val="0"/>
      <w:numFmt w:val="bullet"/>
      <w:lvlText w:val="•"/>
      <w:lvlJc w:val="left"/>
      <w:pPr>
        <w:ind w:left="8675" w:hanging="340"/>
      </w:pPr>
      <w:rPr>
        <w:rFonts w:hint="default"/>
      </w:rPr>
    </w:lvl>
  </w:abstractNum>
  <w:abstractNum w:abstractNumId="11">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1"/>
      <w:numFmt w:val="decimal"/>
      <w:lvlText w:val="(%3)"/>
      <w:lvlJc w:val="left"/>
      <w:pPr>
        <w:ind w:left="2953" w:hanging="340"/>
        <w:jc w:val="left"/>
      </w:pPr>
      <w:rPr>
        <w:rFonts w:hint="default" w:ascii="宋体" w:hAnsi="宋体" w:eastAsia="宋体" w:cs="宋体"/>
        <w:w w:val="100"/>
        <w:sz w:val="18"/>
        <w:szCs w:val="18"/>
      </w:rPr>
    </w:lvl>
    <w:lvl w:ilvl="3">
      <w:start w:val="0"/>
      <w:numFmt w:val="bullet"/>
      <w:lvlText w:val="•"/>
      <w:lvlJc w:val="left"/>
      <w:pPr>
        <w:ind w:left="2890" w:hanging="340"/>
      </w:pPr>
      <w:rPr>
        <w:rFonts w:hint="default"/>
      </w:rPr>
    </w:lvl>
    <w:lvl w:ilvl="4">
      <w:start w:val="0"/>
      <w:numFmt w:val="bullet"/>
      <w:lvlText w:val="•"/>
      <w:lvlJc w:val="left"/>
      <w:pPr>
        <w:ind w:left="2820" w:hanging="340"/>
      </w:pPr>
      <w:rPr>
        <w:rFonts w:hint="default"/>
      </w:rPr>
    </w:lvl>
    <w:lvl w:ilvl="5">
      <w:start w:val="0"/>
      <w:numFmt w:val="bullet"/>
      <w:lvlText w:val="•"/>
      <w:lvlJc w:val="left"/>
      <w:pPr>
        <w:ind w:left="2750" w:hanging="340"/>
      </w:pPr>
      <w:rPr>
        <w:rFonts w:hint="default"/>
      </w:rPr>
    </w:lvl>
    <w:lvl w:ilvl="6">
      <w:start w:val="0"/>
      <w:numFmt w:val="bullet"/>
      <w:lvlText w:val="•"/>
      <w:lvlJc w:val="left"/>
      <w:pPr>
        <w:ind w:left="2680" w:hanging="340"/>
      </w:pPr>
      <w:rPr>
        <w:rFonts w:hint="default"/>
      </w:rPr>
    </w:lvl>
    <w:lvl w:ilvl="7">
      <w:start w:val="0"/>
      <w:numFmt w:val="bullet"/>
      <w:lvlText w:val="•"/>
      <w:lvlJc w:val="left"/>
      <w:pPr>
        <w:ind w:left="2610" w:hanging="340"/>
      </w:pPr>
      <w:rPr>
        <w:rFonts w:hint="default"/>
      </w:rPr>
    </w:lvl>
    <w:lvl w:ilvl="8">
      <w:start w:val="0"/>
      <w:numFmt w:val="bullet"/>
      <w:lvlText w:val="•"/>
      <w:lvlJc w:val="left"/>
      <w:pPr>
        <w:ind w:left="2540" w:hanging="340"/>
      </w:pPr>
      <w:rPr>
        <w:rFonts w:hint="default"/>
      </w:rPr>
    </w:lvl>
  </w:abstractNum>
  <w:abstractNum w:abstractNumId="10">
    <w:multiLevelType w:val="hybridMultilevel"/>
    <w:lvl w:ilvl="0">
      <w:start w:val="1"/>
      <w:numFmt w:val="decimal"/>
      <w:lvlText w:val="(%1)"/>
      <w:lvlJc w:val="left"/>
      <w:pPr>
        <w:ind w:left="172" w:hanging="420"/>
        <w:jc w:val="left"/>
      </w:pPr>
      <w:rPr>
        <w:rFonts w:hint="default" w:ascii="宋体" w:hAnsi="宋体" w:eastAsia="宋体" w:cs="宋体"/>
        <w:spacing w:val="-31"/>
        <w:w w:val="100"/>
        <w:sz w:val="18"/>
        <w:szCs w:val="18"/>
      </w:rPr>
    </w:lvl>
    <w:lvl w:ilvl="1">
      <w:start w:val="0"/>
      <w:numFmt w:val="bullet"/>
      <w:lvlText w:val="•"/>
      <w:lvlJc w:val="left"/>
      <w:pPr>
        <w:ind w:left="928" w:hanging="420"/>
      </w:pPr>
      <w:rPr>
        <w:rFonts w:hint="default"/>
      </w:rPr>
    </w:lvl>
    <w:lvl w:ilvl="2">
      <w:start w:val="0"/>
      <w:numFmt w:val="bullet"/>
      <w:lvlText w:val="•"/>
      <w:lvlJc w:val="left"/>
      <w:pPr>
        <w:ind w:left="1676" w:hanging="420"/>
      </w:pPr>
      <w:rPr>
        <w:rFonts w:hint="default"/>
      </w:rPr>
    </w:lvl>
    <w:lvl w:ilvl="3">
      <w:start w:val="0"/>
      <w:numFmt w:val="bullet"/>
      <w:lvlText w:val="•"/>
      <w:lvlJc w:val="left"/>
      <w:pPr>
        <w:ind w:left="2424" w:hanging="420"/>
      </w:pPr>
      <w:rPr>
        <w:rFonts w:hint="default"/>
      </w:rPr>
    </w:lvl>
    <w:lvl w:ilvl="4">
      <w:start w:val="0"/>
      <w:numFmt w:val="bullet"/>
      <w:lvlText w:val="•"/>
      <w:lvlJc w:val="left"/>
      <w:pPr>
        <w:ind w:left="3173" w:hanging="420"/>
      </w:pPr>
      <w:rPr>
        <w:rFonts w:hint="default"/>
      </w:rPr>
    </w:lvl>
    <w:lvl w:ilvl="5">
      <w:start w:val="0"/>
      <w:numFmt w:val="bullet"/>
      <w:lvlText w:val="•"/>
      <w:lvlJc w:val="left"/>
      <w:pPr>
        <w:ind w:left="3921" w:hanging="420"/>
      </w:pPr>
      <w:rPr>
        <w:rFonts w:hint="default"/>
      </w:rPr>
    </w:lvl>
    <w:lvl w:ilvl="6">
      <w:start w:val="0"/>
      <w:numFmt w:val="bullet"/>
      <w:lvlText w:val="•"/>
      <w:lvlJc w:val="left"/>
      <w:pPr>
        <w:ind w:left="4669" w:hanging="420"/>
      </w:pPr>
      <w:rPr>
        <w:rFonts w:hint="default"/>
      </w:rPr>
    </w:lvl>
    <w:lvl w:ilvl="7">
      <w:start w:val="0"/>
      <w:numFmt w:val="bullet"/>
      <w:lvlText w:val="•"/>
      <w:lvlJc w:val="left"/>
      <w:pPr>
        <w:ind w:left="5418" w:hanging="420"/>
      </w:pPr>
      <w:rPr>
        <w:rFonts w:hint="default"/>
      </w:rPr>
    </w:lvl>
    <w:lvl w:ilvl="8">
      <w:start w:val="0"/>
      <w:numFmt w:val="bullet"/>
      <w:lvlText w:val="•"/>
      <w:lvlJc w:val="left"/>
      <w:pPr>
        <w:ind w:left="6166" w:hanging="420"/>
      </w:pPr>
      <w:rPr>
        <w:rFonts w:hint="default"/>
      </w:rPr>
    </w:lvl>
  </w:abstractNum>
  <w:abstractNum w:abstractNumId="9">
    <w:multiLevelType w:val="hybridMultilevel"/>
    <w:lvl w:ilvl="0">
      <w:start w:val="1"/>
      <w:numFmt w:val="decimal"/>
      <w:lvlText w:val="(%1)"/>
      <w:lvlJc w:val="left"/>
      <w:pPr>
        <w:ind w:left="172" w:hanging="420"/>
        <w:jc w:val="left"/>
      </w:pPr>
      <w:rPr>
        <w:rFonts w:hint="default" w:ascii="宋体" w:hAnsi="宋体" w:eastAsia="宋体" w:cs="宋体"/>
        <w:spacing w:val="-31"/>
        <w:w w:val="100"/>
        <w:sz w:val="18"/>
        <w:szCs w:val="18"/>
      </w:rPr>
    </w:lvl>
    <w:lvl w:ilvl="1">
      <w:start w:val="0"/>
      <w:numFmt w:val="bullet"/>
      <w:lvlText w:val="•"/>
      <w:lvlJc w:val="left"/>
      <w:pPr>
        <w:ind w:left="928" w:hanging="420"/>
      </w:pPr>
      <w:rPr>
        <w:rFonts w:hint="default"/>
      </w:rPr>
    </w:lvl>
    <w:lvl w:ilvl="2">
      <w:start w:val="0"/>
      <w:numFmt w:val="bullet"/>
      <w:lvlText w:val="•"/>
      <w:lvlJc w:val="left"/>
      <w:pPr>
        <w:ind w:left="1676" w:hanging="420"/>
      </w:pPr>
      <w:rPr>
        <w:rFonts w:hint="default"/>
      </w:rPr>
    </w:lvl>
    <w:lvl w:ilvl="3">
      <w:start w:val="0"/>
      <w:numFmt w:val="bullet"/>
      <w:lvlText w:val="•"/>
      <w:lvlJc w:val="left"/>
      <w:pPr>
        <w:ind w:left="2424" w:hanging="420"/>
      </w:pPr>
      <w:rPr>
        <w:rFonts w:hint="default"/>
      </w:rPr>
    </w:lvl>
    <w:lvl w:ilvl="4">
      <w:start w:val="0"/>
      <w:numFmt w:val="bullet"/>
      <w:lvlText w:val="•"/>
      <w:lvlJc w:val="left"/>
      <w:pPr>
        <w:ind w:left="3173" w:hanging="420"/>
      </w:pPr>
      <w:rPr>
        <w:rFonts w:hint="default"/>
      </w:rPr>
    </w:lvl>
    <w:lvl w:ilvl="5">
      <w:start w:val="0"/>
      <w:numFmt w:val="bullet"/>
      <w:lvlText w:val="•"/>
      <w:lvlJc w:val="left"/>
      <w:pPr>
        <w:ind w:left="3921" w:hanging="420"/>
      </w:pPr>
      <w:rPr>
        <w:rFonts w:hint="default"/>
      </w:rPr>
    </w:lvl>
    <w:lvl w:ilvl="6">
      <w:start w:val="0"/>
      <w:numFmt w:val="bullet"/>
      <w:lvlText w:val="•"/>
      <w:lvlJc w:val="left"/>
      <w:pPr>
        <w:ind w:left="4669" w:hanging="420"/>
      </w:pPr>
      <w:rPr>
        <w:rFonts w:hint="default"/>
      </w:rPr>
    </w:lvl>
    <w:lvl w:ilvl="7">
      <w:start w:val="0"/>
      <w:numFmt w:val="bullet"/>
      <w:lvlText w:val="•"/>
      <w:lvlJc w:val="left"/>
      <w:pPr>
        <w:ind w:left="5418" w:hanging="420"/>
      </w:pPr>
      <w:rPr>
        <w:rFonts w:hint="default"/>
      </w:rPr>
    </w:lvl>
    <w:lvl w:ilvl="8">
      <w:start w:val="0"/>
      <w:numFmt w:val="bullet"/>
      <w:lvlText w:val="•"/>
      <w:lvlJc w:val="left"/>
      <w:pPr>
        <w:ind w:left="6166" w:hanging="420"/>
      </w:pPr>
      <w:rPr>
        <w:rFonts w:hint="default"/>
      </w:rPr>
    </w:lvl>
  </w:abstractNum>
  <w:abstractNum w:abstractNumId="8">
    <w:multiLevelType w:val="hybridMultilevel"/>
    <w:lvl w:ilvl="0">
      <w:start w:val="2"/>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spacing w:val="0"/>
        <w:w w:val="99"/>
        <w:sz w:val="21"/>
        <w:szCs w:val="21"/>
      </w:rPr>
    </w:lvl>
    <w:lvl w:ilvl="2">
      <w:start w:val="1"/>
      <w:numFmt w:val="decimal"/>
      <w:lvlText w:val="(%3)"/>
      <w:lvlJc w:val="left"/>
      <w:pPr>
        <w:ind w:left="3033" w:hanging="420"/>
        <w:jc w:val="left"/>
      </w:pPr>
      <w:rPr>
        <w:rFonts w:hint="default" w:ascii="宋体" w:hAnsi="宋体" w:eastAsia="宋体" w:cs="宋体"/>
        <w:spacing w:val="-31"/>
        <w:w w:val="100"/>
        <w:sz w:val="18"/>
        <w:szCs w:val="18"/>
      </w:rPr>
    </w:lvl>
    <w:lvl w:ilvl="3">
      <w:start w:val="0"/>
      <w:numFmt w:val="bullet"/>
      <w:lvlText w:val="•"/>
      <w:lvlJc w:val="left"/>
      <w:pPr>
        <w:ind w:left="4609" w:hanging="420"/>
      </w:pPr>
      <w:rPr>
        <w:rFonts w:hint="default"/>
      </w:rPr>
    </w:lvl>
    <w:lvl w:ilvl="4">
      <w:start w:val="0"/>
      <w:numFmt w:val="bullet"/>
      <w:lvlText w:val="•"/>
      <w:lvlJc w:val="left"/>
      <w:pPr>
        <w:ind w:left="5394" w:hanging="420"/>
      </w:pPr>
      <w:rPr>
        <w:rFonts w:hint="default"/>
      </w:rPr>
    </w:lvl>
    <w:lvl w:ilvl="5">
      <w:start w:val="0"/>
      <w:numFmt w:val="bullet"/>
      <w:lvlText w:val="•"/>
      <w:lvlJc w:val="left"/>
      <w:pPr>
        <w:ind w:left="6179" w:hanging="420"/>
      </w:pPr>
      <w:rPr>
        <w:rFonts w:hint="default"/>
      </w:rPr>
    </w:lvl>
    <w:lvl w:ilvl="6">
      <w:start w:val="0"/>
      <w:numFmt w:val="bullet"/>
      <w:lvlText w:val="•"/>
      <w:lvlJc w:val="left"/>
      <w:pPr>
        <w:ind w:left="6964" w:hanging="420"/>
      </w:pPr>
      <w:rPr>
        <w:rFonts w:hint="default"/>
      </w:rPr>
    </w:lvl>
    <w:lvl w:ilvl="7">
      <w:start w:val="0"/>
      <w:numFmt w:val="bullet"/>
      <w:lvlText w:val="•"/>
      <w:lvlJc w:val="left"/>
      <w:pPr>
        <w:ind w:left="7749" w:hanging="420"/>
      </w:pPr>
      <w:rPr>
        <w:rFonts w:hint="default"/>
      </w:rPr>
    </w:lvl>
    <w:lvl w:ilvl="8">
      <w:start w:val="0"/>
      <w:numFmt w:val="bullet"/>
      <w:lvlText w:val="•"/>
      <w:lvlJc w:val="left"/>
      <w:pPr>
        <w:ind w:left="8534" w:hanging="420"/>
      </w:pPr>
      <w:rPr>
        <w:rFonts w:hint="default"/>
      </w:rPr>
    </w:lvl>
  </w:abstractNum>
  <w:abstractNum w:abstractNumId="7">
    <w:multiLevelType w:val="hybridMultilevel"/>
    <w:lvl w:ilvl="0">
      <w:start w:val="1"/>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spacing w:val="0"/>
        <w:w w:val="99"/>
        <w:sz w:val="21"/>
        <w:szCs w:val="21"/>
      </w:rPr>
    </w:lvl>
    <w:lvl w:ilvl="2">
      <w:start w:val="0"/>
      <w:numFmt w:val="bullet"/>
      <w:lvlText w:val="•"/>
      <w:lvlJc w:val="left"/>
      <w:pPr>
        <w:ind w:left="4116" w:hanging="684"/>
      </w:pPr>
      <w:rPr>
        <w:rFonts w:hint="default"/>
      </w:rPr>
    </w:lvl>
    <w:lvl w:ilvl="3">
      <w:start w:val="0"/>
      <w:numFmt w:val="bullet"/>
      <w:lvlText w:val="•"/>
      <w:lvlJc w:val="left"/>
      <w:pPr>
        <w:ind w:left="4865" w:hanging="684"/>
      </w:pPr>
      <w:rPr>
        <w:rFonts w:hint="default"/>
      </w:rPr>
    </w:lvl>
    <w:lvl w:ilvl="4">
      <w:start w:val="0"/>
      <w:numFmt w:val="bullet"/>
      <w:lvlText w:val="•"/>
      <w:lvlJc w:val="left"/>
      <w:pPr>
        <w:ind w:left="5613" w:hanging="684"/>
      </w:pPr>
      <w:rPr>
        <w:rFonts w:hint="default"/>
      </w:rPr>
    </w:lvl>
    <w:lvl w:ilvl="5">
      <w:start w:val="0"/>
      <w:numFmt w:val="bullet"/>
      <w:lvlText w:val="•"/>
      <w:lvlJc w:val="left"/>
      <w:pPr>
        <w:ind w:left="6362" w:hanging="684"/>
      </w:pPr>
      <w:rPr>
        <w:rFonts w:hint="default"/>
      </w:rPr>
    </w:lvl>
    <w:lvl w:ilvl="6">
      <w:start w:val="0"/>
      <w:numFmt w:val="bullet"/>
      <w:lvlText w:val="•"/>
      <w:lvlJc w:val="left"/>
      <w:pPr>
        <w:ind w:left="7110" w:hanging="684"/>
      </w:pPr>
      <w:rPr>
        <w:rFonts w:hint="default"/>
      </w:rPr>
    </w:lvl>
    <w:lvl w:ilvl="7">
      <w:start w:val="0"/>
      <w:numFmt w:val="bullet"/>
      <w:lvlText w:val="•"/>
      <w:lvlJc w:val="left"/>
      <w:pPr>
        <w:ind w:left="7859" w:hanging="684"/>
      </w:pPr>
      <w:rPr>
        <w:rFonts w:hint="default"/>
      </w:rPr>
    </w:lvl>
    <w:lvl w:ilvl="8">
      <w:start w:val="0"/>
      <w:numFmt w:val="bullet"/>
      <w:lvlText w:val="•"/>
      <w:lvlJc w:val="left"/>
      <w:pPr>
        <w:ind w:left="8607" w:hanging="684"/>
      </w:pPr>
      <w:rPr>
        <w:rFonts w:hint="default"/>
      </w:rPr>
    </w:lvl>
  </w:abstractNum>
  <w:abstractNum w:abstractNumId="6">
    <w:multiLevelType w:val="hybridMultilevel"/>
    <w:lvl w:ilvl="0">
      <w:start w:val="7"/>
      <w:numFmt w:val="decimal"/>
      <w:lvlText w:val="%1"/>
      <w:lvlJc w:val="left"/>
      <w:pPr>
        <w:ind w:left="900" w:hanging="369"/>
        <w:jc w:val="left"/>
      </w:pPr>
      <w:rPr>
        <w:rFonts w:hint="default"/>
      </w:rPr>
    </w:lvl>
    <w:lvl w:ilvl="1">
      <w:start w:val="1"/>
      <w:numFmt w:val="decimal"/>
      <w:lvlText w:val="%1.%2"/>
      <w:lvlJc w:val="left"/>
      <w:pPr>
        <w:ind w:left="1058" w:hanging="369"/>
        <w:jc w:val="left"/>
      </w:pPr>
      <w:rPr>
        <w:rFonts w:hint="default" w:ascii="宋体" w:hAnsi="宋体" w:eastAsia="宋体" w:cs="宋体"/>
        <w:w w:val="100"/>
        <w:sz w:val="21"/>
        <w:szCs w:val="21"/>
      </w:rPr>
    </w:lvl>
    <w:lvl w:ilvl="2">
      <w:start w:val="0"/>
      <w:numFmt w:val="bullet"/>
      <w:lvlText w:val="•"/>
      <w:lvlJc w:val="left"/>
      <w:pPr>
        <w:ind w:left="1347" w:hanging="369"/>
      </w:pPr>
      <w:rPr>
        <w:rFonts w:hint="default"/>
      </w:rPr>
    </w:lvl>
    <w:lvl w:ilvl="3">
      <w:start w:val="0"/>
      <w:numFmt w:val="bullet"/>
      <w:lvlText w:val="•"/>
      <w:lvlJc w:val="left"/>
      <w:pPr>
        <w:ind w:left="1635" w:hanging="369"/>
      </w:pPr>
      <w:rPr>
        <w:rFonts w:hint="default"/>
      </w:rPr>
    </w:lvl>
    <w:lvl w:ilvl="4">
      <w:start w:val="0"/>
      <w:numFmt w:val="bullet"/>
      <w:lvlText w:val="•"/>
      <w:lvlJc w:val="left"/>
      <w:pPr>
        <w:ind w:left="1922" w:hanging="369"/>
      </w:pPr>
      <w:rPr>
        <w:rFonts w:hint="default"/>
      </w:rPr>
    </w:lvl>
    <w:lvl w:ilvl="5">
      <w:start w:val="0"/>
      <w:numFmt w:val="bullet"/>
      <w:lvlText w:val="•"/>
      <w:lvlJc w:val="left"/>
      <w:pPr>
        <w:ind w:left="2210" w:hanging="369"/>
      </w:pPr>
      <w:rPr>
        <w:rFonts w:hint="default"/>
      </w:rPr>
    </w:lvl>
    <w:lvl w:ilvl="6">
      <w:start w:val="0"/>
      <w:numFmt w:val="bullet"/>
      <w:lvlText w:val="•"/>
      <w:lvlJc w:val="left"/>
      <w:pPr>
        <w:ind w:left="2498" w:hanging="369"/>
      </w:pPr>
      <w:rPr>
        <w:rFonts w:hint="default"/>
      </w:rPr>
    </w:lvl>
    <w:lvl w:ilvl="7">
      <w:start w:val="0"/>
      <w:numFmt w:val="bullet"/>
      <w:lvlText w:val="•"/>
      <w:lvlJc w:val="left"/>
      <w:pPr>
        <w:ind w:left="2785" w:hanging="369"/>
      </w:pPr>
      <w:rPr>
        <w:rFonts w:hint="default"/>
      </w:rPr>
    </w:lvl>
    <w:lvl w:ilvl="8">
      <w:start w:val="0"/>
      <w:numFmt w:val="bullet"/>
      <w:lvlText w:val="•"/>
      <w:lvlJc w:val="left"/>
      <w:pPr>
        <w:ind w:left="3073" w:hanging="369"/>
      </w:pPr>
      <w:rPr>
        <w:rFonts w:hint="default"/>
      </w:rPr>
    </w:lvl>
  </w:abstractNum>
  <w:abstractNum w:abstractNumId="5">
    <w:multiLevelType w:val="hybridMultilevel"/>
    <w:lvl w:ilvl="0">
      <w:start w:val="6"/>
      <w:numFmt w:val="decimal"/>
      <w:lvlText w:val="%1"/>
      <w:lvlJc w:val="left"/>
      <w:pPr>
        <w:ind w:left="936" w:hanging="421"/>
        <w:jc w:val="left"/>
      </w:pPr>
      <w:rPr>
        <w:rFonts w:hint="default"/>
      </w:rPr>
    </w:lvl>
    <w:lvl w:ilvl="1">
      <w:start w:val="1"/>
      <w:numFmt w:val="decimal"/>
      <w:lvlText w:val="%1.%2"/>
      <w:lvlJc w:val="left"/>
      <w:pPr>
        <w:ind w:left="1022" w:hanging="421"/>
        <w:jc w:val="left"/>
      </w:pPr>
      <w:rPr>
        <w:rFonts w:hint="default" w:ascii="宋体" w:hAnsi="宋体" w:eastAsia="宋体" w:cs="宋体"/>
        <w:spacing w:val="-2"/>
        <w:w w:val="100"/>
        <w:sz w:val="21"/>
        <w:szCs w:val="21"/>
      </w:rPr>
    </w:lvl>
    <w:lvl w:ilvl="2">
      <w:start w:val="0"/>
      <w:numFmt w:val="bullet"/>
      <w:lvlText w:val="•"/>
      <w:lvlJc w:val="left"/>
      <w:pPr>
        <w:ind w:left="1213" w:hanging="421"/>
      </w:pPr>
      <w:rPr>
        <w:rFonts w:hint="default"/>
      </w:rPr>
    </w:lvl>
    <w:lvl w:ilvl="3">
      <w:start w:val="0"/>
      <w:numFmt w:val="bullet"/>
      <w:lvlText w:val="•"/>
      <w:lvlJc w:val="left"/>
      <w:pPr>
        <w:ind w:left="1407" w:hanging="421"/>
      </w:pPr>
      <w:rPr>
        <w:rFonts w:hint="default"/>
      </w:rPr>
    </w:lvl>
    <w:lvl w:ilvl="4">
      <w:start w:val="0"/>
      <w:numFmt w:val="bullet"/>
      <w:lvlText w:val="•"/>
      <w:lvlJc w:val="left"/>
      <w:pPr>
        <w:ind w:left="1601" w:hanging="421"/>
      </w:pPr>
      <w:rPr>
        <w:rFonts w:hint="default"/>
      </w:rPr>
    </w:lvl>
    <w:lvl w:ilvl="5">
      <w:start w:val="0"/>
      <w:numFmt w:val="bullet"/>
      <w:lvlText w:val="•"/>
      <w:lvlJc w:val="left"/>
      <w:pPr>
        <w:ind w:left="1794" w:hanging="421"/>
      </w:pPr>
      <w:rPr>
        <w:rFonts w:hint="default"/>
      </w:rPr>
    </w:lvl>
    <w:lvl w:ilvl="6">
      <w:start w:val="0"/>
      <w:numFmt w:val="bullet"/>
      <w:lvlText w:val="•"/>
      <w:lvlJc w:val="left"/>
      <w:pPr>
        <w:ind w:left="1988" w:hanging="421"/>
      </w:pPr>
      <w:rPr>
        <w:rFonts w:hint="default"/>
      </w:rPr>
    </w:lvl>
    <w:lvl w:ilvl="7">
      <w:start w:val="0"/>
      <w:numFmt w:val="bullet"/>
      <w:lvlText w:val="•"/>
      <w:lvlJc w:val="left"/>
      <w:pPr>
        <w:ind w:left="2182" w:hanging="421"/>
      </w:pPr>
      <w:rPr>
        <w:rFonts w:hint="default"/>
      </w:rPr>
    </w:lvl>
    <w:lvl w:ilvl="8">
      <w:start w:val="0"/>
      <w:numFmt w:val="bullet"/>
      <w:lvlText w:val="•"/>
      <w:lvlJc w:val="left"/>
      <w:pPr>
        <w:ind w:left="2375" w:hanging="421"/>
      </w:pPr>
      <w:rPr>
        <w:rFonts w:hint="default"/>
      </w:rPr>
    </w:lvl>
  </w:abstractNum>
  <w:abstractNum w:abstractNumId="4">
    <w:multiLevelType w:val="hybridMultilevel"/>
    <w:lvl w:ilvl="0">
      <w:start w:val="4"/>
      <w:numFmt w:val="decimal"/>
      <w:lvlText w:val="%1"/>
      <w:lvlJc w:val="left"/>
      <w:pPr>
        <w:ind w:left="936" w:hanging="421"/>
        <w:jc w:val="left"/>
      </w:pPr>
      <w:rPr>
        <w:rFonts w:hint="default"/>
      </w:rPr>
    </w:lvl>
    <w:lvl w:ilvl="1">
      <w:start w:val="1"/>
      <w:numFmt w:val="decimal"/>
      <w:lvlText w:val="%1.%2"/>
      <w:lvlJc w:val="left"/>
      <w:pPr>
        <w:ind w:left="936" w:hanging="421"/>
        <w:jc w:val="left"/>
      </w:pPr>
      <w:rPr>
        <w:rFonts w:hint="default" w:ascii="宋体" w:hAnsi="宋体" w:eastAsia="宋体" w:cs="宋体"/>
        <w:spacing w:val="-2"/>
        <w:w w:val="100"/>
        <w:sz w:val="21"/>
        <w:szCs w:val="21"/>
      </w:rPr>
    </w:lvl>
    <w:lvl w:ilvl="2">
      <w:start w:val="0"/>
      <w:numFmt w:val="bullet"/>
      <w:lvlText w:val="•"/>
      <w:lvlJc w:val="left"/>
      <w:pPr>
        <w:ind w:left="1304" w:hanging="421"/>
      </w:pPr>
      <w:rPr>
        <w:rFonts w:hint="default"/>
      </w:rPr>
    </w:lvl>
    <w:lvl w:ilvl="3">
      <w:start w:val="0"/>
      <w:numFmt w:val="bullet"/>
      <w:lvlText w:val="•"/>
      <w:lvlJc w:val="left"/>
      <w:pPr>
        <w:ind w:left="1487" w:hanging="421"/>
      </w:pPr>
      <w:rPr>
        <w:rFonts w:hint="default"/>
      </w:rPr>
    </w:lvl>
    <w:lvl w:ilvl="4">
      <w:start w:val="0"/>
      <w:numFmt w:val="bullet"/>
      <w:lvlText w:val="•"/>
      <w:lvlJc w:val="left"/>
      <w:pPr>
        <w:ind w:left="1669" w:hanging="421"/>
      </w:pPr>
      <w:rPr>
        <w:rFonts w:hint="default"/>
      </w:rPr>
    </w:lvl>
    <w:lvl w:ilvl="5">
      <w:start w:val="0"/>
      <w:numFmt w:val="bullet"/>
      <w:lvlText w:val="•"/>
      <w:lvlJc w:val="left"/>
      <w:pPr>
        <w:ind w:left="1851" w:hanging="421"/>
      </w:pPr>
      <w:rPr>
        <w:rFonts w:hint="default"/>
      </w:rPr>
    </w:lvl>
    <w:lvl w:ilvl="6">
      <w:start w:val="0"/>
      <w:numFmt w:val="bullet"/>
      <w:lvlText w:val="•"/>
      <w:lvlJc w:val="left"/>
      <w:pPr>
        <w:ind w:left="2034" w:hanging="421"/>
      </w:pPr>
      <w:rPr>
        <w:rFonts w:hint="default"/>
      </w:rPr>
    </w:lvl>
    <w:lvl w:ilvl="7">
      <w:start w:val="0"/>
      <w:numFmt w:val="bullet"/>
      <w:lvlText w:val="•"/>
      <w:lvlJc w:val="left"/>
      <w:pPr>
        <w:ind w:left="2216" w:hanging="421"/>
      </w:pPr>
      <w:rPr>
        <w:rFonts w:hint="default"/>
      </w:rPr>
    </w:lvl>
    <w:lvl w:ilvl="8">
      <w:start w:val="0"/>
      <w:numFmt w:val="bullet"/>
      <w:lvlText w:val="•"/>
      <w:lvlJc w:val="left"/>
      <w:pPr>
        <w:ind w:left="2398" w:hanging="421"/>
      </w:pPr>
      <w:rPr>
        <w:rFonts w:hint="default"/>
      </w:rPr>
    </w:lvl>
  </w:abstractNum>
  <w:abstractNum w:abstractNumId="3">
    <w:multiLevelType w:val="hybridMultilevel"/>
    <w:lvl w:ilvl="0">
      <w:start w:val="3"/>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2">
    <w:multiLevelType w:val="hybridMultilevel"/>
    <w:lvl w:ilvl="0">
      <w:start w:val="2"/>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1">
    <w:multiLevelType w:val="hybridMultilevel"/>
    <w:lvl w:ilvl="0">
      <w:start w:val="1"/>
      <w:numFmt w:val="decimal"/>
      <w:lvlText w:val="%1"/>
      <w:lvlJc w:val="left"/>
      <w:pPr>
        <w:ind w:left="1570" w:hanging="369"/>
        <w:jc w:val="left"/>
      </w:pPr>
      <w:rPr>
        <w:rFonts w:hint="default"/>
      </w:rPr>
    </w:lvl>
    <w:lvl w:ilvl="1">
      <w:start w:val="1"/>
      <w:numFmt w:val="decimal"/>
      <w:lvlText w:val="%1.%2"/>
      <w:lvlJc w:val="left"/>
      <w:pPr>
        <w:ind w:left="1570" w:hanging="369"/>
        <w:jc w:val="left"/>
      </w:pPr>
      <w:rPr>
        <w:rFonts w:hint="default" w:ascii="宋体" w:hAnsi="宋体" w:eastAsia="宋体" w:cs="宋体"/>
        <w:w w:val="100"/>
        <w:sz w:val="21"/>
        <w:szCs w:val="21"/>
      </w:rPr>
    </w:lvl>
    <w:lvl w:ilvl="2">
      <w:start w:val="0"/>
      <w:numFmt w:val="bullet"/>
      <w:lvlText w:val="•"/>
      <w:lvlJc w:val="left"/>
      <w:pPr>
        <w:ind w:left="1966" w:hanging="369"/>
      </w:pPr>
      <w:rPr>
        <w:rFonts w:hint="default"/>
      </w:rPr>
    </w:lvl>
    <w:lvl w:ilvl="3">
      <w:start w:val="0"/>
      <w:numFmt w:val="bullet"/>
      <w:lvlText w:val="•"/>
      <w:lvlJc w:val="left"/>
      <w:pPr>
        <w:ind w:left="2159" w:hanging="369"/>
      </w:pPr>
      <w:rPr>
        <w:rFonts w:hint="default"/>
      </w:rPr>
    </w:lvl>
    <w:lvl w:ilvl="4">
      <w:start w:val="0"/>
      <w:numFmt w:val="bullet"/>
      <w:lvlText w:val="•"/>
      <w:lvlJc w:val="left"/>
      <w:pPr>
        <w:ind w:left="2352" w:hanging="369"/>
      </w:pPr>
      <w:rPr>
        <w:rFonts w:hint="default"/>
      </w:rPr>
    </w:lvl>
    <w:lvl w:ilvl="5">
      <w:start w:val="0"/>
      <w:numFmt w:val="bullet"/>
      <w:lvlText w:val="•"/>
      <w:lvlJc w:val="left"/>
      <w:pPr>
        <w:ind w:left="2546" w:hanging="369"/>
      </w:pPr>
      <w:rPr>
        <w:rFonts w:hint="default"/>
      </w:rPr>
    </w:lvl>
    <w:lvl w:ilvl="6">
      <w:start w:val="0"/>
      <w:numFmt w:val="bullet"/>
      <w:lvlText w:val="•"/>
      <w:lvlJc w:val="left"/>
      <w:pPr>
        <w:ind w:left="2739" w:hanging="369"/>
      </w:pPr>
      <w:rPr>
        <w:rFonts w:hint="default"/>
      </w:rPr>
    </w:lvl>
    <w:lvl w:ilvl="7">
      <w:start w:val="0"/>
      <w:numFmt w:val="bullet"/>
      <w:lvlText w:val="•"/>
      <w:lvlJc w:val="left"/>
      <w:pPr>
        <w:ind w:left="2932" w:hanging="369"/>
      </w:pPr>
      <w:rPr>
        <w:rFonts w:hint="default"/>
      </w:rPr>
    </w:lvl>
    <w:lvl w:ilvl="8">
      <w:start w:val="0"/>
      <w:numFmt w:val="bullet"/>
      <w:lvlText w:val="•"/>
      <w:lvlJc w:val="left"/>
      <w:pPr>
        <w:ind w:left="3125" w:hanging="369"/>
      </w:pPr>
      <w:rPr>
        <w:rFonts w:hint="default"/>
      </w:rPr>
    </w:lvl>
  </w:abstractNum>
  <w:abstractNum w:abstractNumId="0">
    <w:multiLevelType w:val="hybridMultilevel"/>
    <w:lvl w:ilvl="0">
      <w:start w:val="0"/>
      <w:numFmt w:val="bullet"/>
      <w:lvlText w:val=""/>
      <w:lvlJc w:val="left"/>
      <w:pPr>
        <w:ind w:left="1677" w:hanging="334"/>
      </w:pPr>
      <w:rPr>
        <w:rFonts w:hint="default" w:ascii="Wingdings" w:hAnsi="Wingdings" w:eastAsia="Wingdings" w:cs="Wingdings"/>
        <w:w w:val="100"/>
        <w:sz w:val="21"/>
        <w:szCs w:val="21"/>
      </w:rPr>
    </w:lvl>
    <w:lvl w:ilvl="1">
      <w:start w:val="0"/>
      <w:numFmt w:val="bullet"/>
      <w:lvlText w:val="•"/>
      <w:lvlJc w:val="left"/>
      <w:pPr>
        <w:ind w:left="2512" w:hanging="334"/>
      </w:pPr>
      <w:rPr>
        <w:rFonts w:hint="default"/>
      </w:rPr>
    </w:lvl>
    <w:lvl w:ilvl="2">
      <w:start w:val="0"/>
      <w:numFmt w:val="bullet"/>
      <w:lvlText w:val="•"/>
      <w:lvlJc w:val="left"/>
      <w:pPr>
        <w:ind w:left="3344" w:hanging="334"/>
      </w:pPr>
      <w:rPr>
        <w:rFonts w:hint="default"/>
      </w:rPr>
    </w:lvl>
    <w:lvl w:ilvl="3">
      <w:start w:val="0"/>
      <w:numFmt w:val="bullet"/>
      <w:lvlText w:val="•"/>
      <w:lvlJc w:val="left"/>
      <w:pPr>
        <w:ind w:left="4177" w:hanging="334"/>
      </w:pPr>
      <w:rPr>
        <w:rFonts w:hint="default"/>
      </w:rPr>
    </w:lvl>
    <w:lvl w:ilvl="4">
      <w:start w:val="0"/>
      <w:numFmt w:val="bullet"/>
      <w:lvlText w:val="•"/>
      <w:lvlJc w:val="left"/>
      <w:pPr>
        <w:ind w:left="5009" w:hanging="334"/>
      </w:pPr>
      <w:rPr>
        <w:rFonts w:hint="default"/>
      </w:rPr>
    </w:lvl>
    <w:lvl w:ilvl="5">
      <w:start w:val="0"/>
      <w:numFmt w:val="bullet"/>
      <w:lvlText w:val="•"/>
      <w:lvlJc w:val="left"/>
      <w:pPr>
        <w:ind w:left="5842" w:hanging="334"/>
      </w:pPr>
      <w:rPr>
        <w:rFonts w:hint="default"/>
      </w:rPr>
    </w:lvl>
    <w:lvl w:ilvl="6">
      <w:start w:val="0"/>
      <w:numFmt w:val="bullet"/>
      <w:lvlText w:val="•"/>
      <w:lvlJc w:val="left"/>
      <w:pPr>
        <w:ind w:left="6674" w:hanging="334"/>
      </w:pPr>
      <w:rPr>
        <w:rFonts w:hint="default"/>
      </w:rPr>
    </w:lvl>
    <w:lvl w:ilvl="7">
      <w:start w:val="0"/>
      <w:numFmt w:val="bullet"/>
      <w:lvlText w:val="•"/>
      <w:lvlJc w:val="left"/>
      <w:pPr>
        <w:ind w:left="7507" w:hanging="334"/>
      </w:pPr>
      <w:rPr>
        <w:rFonts w:hint="default"/>
      </w:rPr>
    </w:lvl>
    <w:lvl w:ilvl="8">
      <w:start w:val="0"/>
      <w:numFmt w:val="bullet"/>
      <w:lvlText w:val="•"/>
      <w:lvlJc w:val="left"/>
      <w:pPr>
        <w:ind w:left="8339" w:hanging="334"/>
      </w:pPr>
      <w:rPr>
        <w:rFonts w:hint="default"/>
      </w:rPr>
    </w:lvl>
  </w:abstract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24"/>
      <w:outlineLvl w:val="1"/>
    </w:pPr>
    <w:rPr>
      <w:rFonts w:ascii="宋体" w:hAnsi="宋体" w:eastAsia="宋体" w:cs="宋体"/>
      <w:b/>
      <w:bCs/>
      <w:sz w:val="24"/>
      <w:szCs w:val="24"/>
    </w:rPr>
  </w:style>
  <w:style w:styleId="Heading2" w:type="paragraph">
    <w:name w:val="Heading 2"/>
    <w:basedOn w:val="Normal"/>
    <w:uiPriority w:val="1"/>
    <w:qFormat/>
    <w:pPr>
      <w:spacing w:before="35"/>
      <w:ind w:left="1677"/>
      <w:outlineLvl w:val="2"/>
    </w:pPr>
    <w:rPr>
      <w:rFonts w:ascii="宋体" w:hAnsi="宋体" w:eastAsia="宋体" w:cs="宋体"/>
      <w:b/>
      <w:bCs/>
      <w:sz w:val="21"/>
      <w:szCs w:val="21"/>
    </w:rPr>
  </w:style>
  <w:style w:styleId="Heading3" w:type="paragraph">
    <w:name w:val="Heading 3"/>
    <w:basedOn w:val="Normal"/>
    <w:uiPriority w:val="1"/>
    <w:qFormat/>
    <w:pPr>
      <w:spacing w:before="44"/>
      <w:ind w:left="599" w:hanging="360"/>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3095" w:hanging="420"/>
    </w:pPr>
    <w:rPr>
      <w:rFonts w:ascii="宋体" w:hAnsi="宋体" w:eastAsia="宋体" w:cs="宋体"/>
    </w:rPr>
  </w:style>
  <w:style w:styleId="TableParagraph" w:type="paragraph">
    <w:name w:val="Table Paragraph"/>
    <w:basedOn w:val="Normal"/>
    <w:uiPriority w:val="1"/>
    <w:qFormat/>
    <w:pPr>
      <w:spacing w:before="1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eader" Target="header3.xml"/><Relationship Id="rId13" Type="http://schemas.openxmlformats.org/officeDocument/2006/relationships/footer" Target="footer4.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&lt;4D6963726F736F667420576F7264202D20B8BDBCFE322D3220C3F1C9FAB8BDBCD3BDF0C9FACEDED3C7CCE1C7B0B8F8B8B6D6D8B4F3BCB2B2A1B1A3CFD5CCF5BFEE&gt;</dc:title>
  <dcterms:created xsi:type="dcterms:W3CDTF">2018-10-20T08:21:34Z</dcterms:created>
  <dcterms:modified xsi:type="dcterms:W3CDTF">2018-10-20T08:21:34Z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PScript5.dll Version 5.2.2</vt:lpwstr>
  </property>
  <property fmtid="{D5CDD505-2E9C-101B-9397-08002B2CF9AE}" pid="4" name="LastSaved">
    <vt:filetime>2018-10-20T00:00:00Z</vt:filetime>
  </property>
</Properties>
</file>