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188" w:firstLine="0"/>
        <w:jc w:val="right"/>
        <w:rPr>
          <w:sz w:val="18"/>
        </w:rPr>
      </w:pPr>
      <w:r>
        <w:rPr/>
        <w:drawing>
          <wp:anchor distT="0" distB="0" distL="0" distR="0" allowOverlap="1" layoutInCell="1" locked="0" behindDoc="0" simplePos="0" relativeHeight="0">
            <wp:simplePos x="0" y="0"/>
            <wp:positionH relativeFrom="page">
              <wp:posOffset>5782309</wp:posOffset>
            </wp:positionH>
            <wp:positionV relativeFrom="paragraph">
              <wp:posOffset>172614</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sz w:val="18"/>
        </w:rPr>
        <w:t>吉祥人寿[2015]疾病保险003号</w:t>
      </w:r>
    </w:p>
    <w:p>
      <w:pPr>
        <w:spacing w:line="163" w:lineRule="exact" w:before="0"/>
        <w:ind w:left="0" w:right="505" w:firstLine="0"/>
        <w:jc w:val="right"/>
        <w:rPr>
          <w:sz w:val="18"/>
        </w:rPr>
      </w:pPr>
      <w:r>
        <w:rPr>
          <w:sz w:val="18"/>
        </w:rPr>
        <w:t>请扫描以查询验证条款</w:t>
      </w:r>
    </w:p>
    <w:p>
      <w:pPr>
        <w:spacing w:line="455" w:lineRule="exact" w:before="0"/>
        <w:ind w:left="2404" w:right="2404" w:firstLine="0"/>
        <w:jc w:val="center"/>
        <w:rPr>
          <w:sz w:val="36"/>
        </w:rPr>
      </w:pPr>
      <w:r>
        <w:rPr>
          <w:sz w:val="36"/>
        </w:rPr>
        <w:t>吉祥人寿保险股份有限公司</w:t>
      </w:r>
    </w:p>
    <w:p>
      <w:pPr>
        <w:spacing w:before="4"/>
        <w:ind w:left="2404" w:right="2404" w:firstLine="0"/>
        <w:jc w:val="center"/>
        <w:rPr>
          <w:b/>
          <w:sz w:val="30"/>
        </w:rPr>
      </w:pPr>
      <w:r>
        <w:rPr>
          <w:b/>
          <w:sz w:val="30"/>
        </w:rPr>
        <w:t>吉祥人寿附加学生儿童重大疾病保险条款</w:t>
      </w:r>
    </w:p>
    <w:p>
      <w:pPr>
        <w:pStyle w:val="BodyText"/>
        <w:ind w:left="0"/>
        <w:rPr>
          <w:b/>
          <w:sz w:val="30"/>
        </w:rPr>
      </w:pPr>
    </w:p>
    <w:p>
      <w:pPr>
        <w:pStyle w:val="BodyText"/>
        <w:ind w:left="0"/>
        <w:rPr>
          <w:b/>
          <w:sz w:val="30"/>
        </w:rPr>
      </w:pPr>
    </w:p>
    <w:p>
      <w:pPr>
        <w:pStyle w:val="BodyText"/>
        <w:spacing w:before="8"/>
        <w:ind w:left="0"/>
        <w:rPr>
          <w:b/>
          <w:sz w:val="27"/>
        </w:rPr>
      </w:pPr>
    </w:p>
    <w:p>
      <w:pPr>
        <w:spacing w:before="0"/>
        <w:ind w:left="2404" w:right="2404" w:firstLine="0"/>
        <w:jc w:val="center"/>
        <w:rPr>
          <w:rFonts w:ascii="微软雅黑" w:eastAsia="微软雅黑" w:hint="eastAsia"/>
          <w:b/>
          <w:sz w:val="24"/>
        </w:rPr>
      </w:pPr>
      <w:r>
        <w:rPr>
          <w:rFonts w:ascii="微软雅黑" w:eastAsia="微软雅黑" w:hint="eastAsia"/>
          <w:b/>
          <w:sz w:val="24"/>
        </w:rPr>
        <w:t>特别提示</w:t>
      </w:r>
    </w:p>
    <w:p>
      <w:pPr>
        <w:pStyle w:val="BodyText"/>
        <w:spacing w:before="14"/>
        <w:ind w:left="0"/>
        <w:rPr>
          <w:rFonts w:ascii="微软雅黑"/>
          <w:b/>
          <w:sz w:val="14"/>
        </w:rPr>
      </w:pPr>
    </w:p>
    <w:p>
      <w:pPr>
        <w:pStyle w:val="BodyText"/>
        <w:spacing w:line="237" w:lineRule="auto" w:before="31"/>
        <w:ind w:left="200" w:right="195"/>
      </w:pPr>
      <w:r>
        <w:rPr/>
        <w:t>在本条款中，“您”指投保人，“我们”、“本公司”均指吉祥人寿保险股份有限公司，“本附加合同”指您与我们之间订立的“吉祥人寿附加学生儿童重大疾病保险合同”。</w:t>
      </w:r>
    </w:p>
    <w:p>
      <w:pPr>
        <w:pStyle w:val="BodyText"/>
        <w:spacing w:before="9"/>
        <w:ind w:left="0"/>
        <w:rPr>
          <w:sz w:val="23"/>
        </w:rPr>
      </w:pPr>
    </w:p>
    <w:p>
      <w:pPr>
        <w:pStyle w:val="BodyText"/>
        <w:spacing w:line="453" w:lineRule="auto"/>
        <w:ind w:left="200" w:right="3338"/>
        <w:rPr>
          <w:rFonts w:ascii="微软雅黑" w:eastAsia="微软雅黑" w:hint="eastAsia"/>
          <w:b/>
        </w:rPr>
      </w:pPr>
      <w:r>
        <w:rPr/>
        <w:pict>
          <v:shape style="position:absolute;margin-left:46.424pt;margin-top:46.441174pt;width:502.5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1"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01" w:type="dxa"/>
                      </w:tcPr>
                      <w:p>
                        <w:pPr>
                          <w:pStyle w:val="TableParagraph"/>
                          <w:spacing w:line="203" w:lineRule="exact"/>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8" w:lineRule="exact"/>
                          <w:ind w:left="0" w:right="91"/>
                          <w:jc w:val="right"/>
                          <w:rPr>
                            <w:rFonts w:ascii="微软雅黑" w:eastAsia="微软雅黑" w:hint="eastAsia"/>
                            <w:b/>
                            <w:sz w:val="21"/>
                          </w:rPr>
                        </w:pPr>
                        <w:r>
                          <w:rPr>
                            <w:rFonts w:ascii="微软雅黑" w:eastAsia="微软雅黑" w:hint="eastAsia"/>
                            <w:b/>
                            <w:sz w:val="21"/>
                          </w:rPr>
                          <w:t>被保险人：</w:t>
                        </w:r>
                      </w:p>
                    </w:tc>
                    <w:tc>
                      <w:tcPr>
                        <w:tcW w:w="8701"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4" w:lineRule="exact"/>
                          <w:rPr>
                            <w:sz w:val="21"/>
                          </w:rPr>
                        </w:pPr>
                        <w:r>
                          <w:rPr>
                            <w:sz w:val="21"/>
                          </w:rPr>
                          <w:t>投保，成为被保险人。</w:t>
                        </w:r>
                      </w:p>
                    </w:tc>
                  </w:tr>
                  <w:tr>
                    <w:trPr>
                      <w:trHeight w:val="241"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01" w:type="dxa"/>
                      </w:tcPr>
                      <w:p>
                        <w:pPr>
                          <w:pStyle w:val="TableParagraph"/>
                          <w:rPr>
                            <w:sz w:val="21"/>
                          </w:rPr>
                        </w:pPr>
                        <w:r>
                          <w:rPr>
                            <w:sz w:val="21"/>
                          </w:rPr>
                          <w:t>是指人身保险合同中，由被保险人或者投保人指定的，享有保险金请求权的人。</w:t>
                        </w:r>
                      </w:p>
                    </w:tc>
                  </w:tr>
                </w:tbl>
                <w:p>
                  <w:pPr>
                    <w:pStyle w:val="BodyText"/>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ind w:left="0"/>
        <w:rPr>
          <w:rFonts w:ascii="微软雅黑"/>
          <w:b/>
          <w:sz w:val="20"/>
        </w:rPr>
      </w:pPr>
    </w:p>
    <w:p>
      <w:pPr>
        <w:pStyle w:val="BodyText"/>
        <w:ind w:left="0"/>
        <w:rPr>
          <w:rFonts w:ascii="微软雅黑"/>
          <w:b/>
          <w:sz w:val="20"/>
        </w:rPr>
      </w:pPr>
    </w:p>
    <w:p>
      <w:pPr>
        <w:pStyle w:val="BodyText"/>
        <w:spacing w:before="5"/>
        <w:ind w:left="0"/>
        <w:rPr>
          <w:rFonts w:ascii="微软雅黑"/>
          <w:b/>
          <w:sz w:val="24"/>
        </w:rPr>
      </w:pPr>
    </w:p>
    <w:p>
      <w:pPr>
        <w:tabs>
          <w:tab w:pos="951" w:val="left" w:leader="none"/>
        </w:tabs>
        <w:spacing w:before="1"/>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z w:val="21"/>
        </w:rPr>
        <w:t>您拥有的重要权益</w:t>
      </w:r>
    </w:p>
    <w:p>
      <w:pPr>
        <w:pStyle w:val="ListParagraph"/>
        <w:numPr>
          <w:ilvl w:val="0"/>
          <w:numId w:val="1"/>
        </w:numPr>
        <w:tabs>
          <w:tab w:pos="1040" w:val="left" w:leader="none"/>
          <w:tab w:pos="1041" w:val="left" w:leader="none"/>
        </w:tabs>
        <w:spacing w:line="240" w:lineRule="auto" w:before="300" w:after="0"/>
        <w:ind w:left="1040" w:right="0" w:hanging="413"/>
        <w:jc w:val="left"/>
        <w:rPr>
          <w:sz w:val="21"/>
        </w:rPr>
      </w:pPr>
      <w:r>
        <w:rPr>
          <w:spacing w:val="-3"/>
          <w:sz w:val="21"/>
        </w:rPr>
        <w:t>被保险人可以享受本附加合同提供的保障...........................................第六条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您有解除本附加合同的权利.....................................................第十五条</w:t>
      </w:r>
    </w:p>
    <w:p>
      <w:pPr>
        <w:pStyle w:val="BodyText"/>
        <w:spacing w:before="7"/>
        <w:ind w:left="0"/>
        <w:rPr>
          <w:sz w:val="22"/>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040" w:val="left" w:leader="none"/>
          <w:tab w:pos="1041" w:val="left" w:leader="none"/>
        </w:tabs>
        <w:spacing w:line="240" w:lineRule="auto" w:before="301" w:after="0"/>
        <w:ind w:left="1040" w:right="0" w:hanging="413"/>
        <w:jc w:val="left"/>
        <w:rPr>
          <w:sz w:val="21"/>
        </w:rPr>
      </w:pPr>
      <w:r>
        <w:rPr>
          <w:spacing w:val="-3"/>
          <w:sz w:val="21"/>
        </w:rPr>
        <w:t>发生责任免除情形之一的，我们不承担保险责任.....................................第七条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您应当如何交纳保险费...........................................................第八条</w:t>
      </w:r>
    </w:p>
    <w:p>
      <w:pPr>
        <w:pStyle w:val="ListParagraph"/>
        <w:numPr>
          <w:ilvl w:val="0"/>
          <w:numId w:val="1"/>
        </w:numPr>
        <w:tabs>
          <w:tab w:pos="1040" w:val="left" w:leader="none"/>
          <w:tab w:pos="1041" w:val="left" w:leader="none"/>
        </w:tabs>
        <w:spacing w:line="240" w:lineRule="auto" w:before="23" w:after="0"/>
        <w:ind w:left="1040" w:right="0" w:hanging="413"/>
        <w:jc w:val="left"/>
        <w:rPr>
          <w:sz w:val="21"/>
        </w:rPr>
      </w:pPr>
      <w:r>
        <w:rPr>
          <w:spacing w:val="-3"/>
          <w:sz w:val="21"/>
        </w:rPr>
        <w:t>您有及时向我们通知保险事故的责任...............................................第十条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解除本附加合同会给您造成一定损失，请您慎重决策...............................第十五条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主合同中部分条款适用于本附加合同，请您仔细阅读...............................第十七条</w:t>
      </w:r>
    </w:p>
    <w:p>
      <w:pPr>
        <w:pStyle w:val="BodyText"/>
        <w:spacing w:before="4"/>
        <w:ind w:left="0"/>
        <w:rPr>
          <w:sz w:val="24"/>
        </w:rPr>
      </w:pPr>
    </w:p>
    <w:p>
      <w:pPr>
        <w:pStyle w:val="BodyText"/>
        <w:spacing w:line="208" w:lineRule="auto" w:before="1"/>
        <w:ind w:left="200" w:right="193"/>
        <w:rPr>
          <w:rFonts w:ascii="微软雅黑" w:eastAsia="微软雅黑" w:hint="eastAsia"/>
          <w:b/>
        </w:rPr>
      </w:pPr>
      <w:r>
        <w:rPr>
          <w:spacing w:val="-3"/>
        </w:rPr>
        <w:t>此外，在您阅读本条款正文之前，请先浏览一下</w:t>
      </w:r>
      <w:r>
        <w:rPr>
          <w:rFonts w:ascii="微软雅黑" w:eastAsia="微软雅黑" w:hint="eastAsia"/>
          <w:b/>
        </w:rPr>
        <w:t>目录</w:t>
      </w:r>
      <w:r>
        <w:rPr>
          <w:spacing w:val="-4"/>
        </w:rPr>
        <w:t>，以便对条款结构有一个大致的了解。本条款中的每一</w:t>
      </w:r>
      <w:r>
        <w:rPr>
          <w:spacing w:val="-3"/>
        </w:rPr>
        <w:t>部分都关乎到您的切身利益，请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52"/>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52"/>
        </w:rPr>
        <w:t>读</w:t>
      </w:r>
      <w:r>
        <w:rPr>
          <w:spacing w:val="-63"/>
          <w:position w:val="-7"/>
        </w:rPr>
        <w:t>．</w:t>
      </w:r>
      <w:r>
        <w:rPr>
          <w:rFonts w:ascii="微软雅黑" w:eastAsia="微软雅黑" w:hint="eastAsia"/>
          <w:b/>
          <w:spacing w:val="-149"/>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806" w:top="1360" w:bottom="1000" w:left="820" w:right="820"/>
          <w:pgNumType w:start="1"/>
        </w:sectPr>
      </w:pPr>
    </w:p>
    <w:p>
      <w:pPr>
        <w:tabs>
          <w:tab w:pos="1057" w:val="left" w:leader="none"/>
        </w:tabs>
        <w:spacing w:line="353" w:lineRule="exact" w:before="0"/>
        <w:ind w:left="217"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175" w:val="right" w:leader="dot"/>
            </w:tabs>
            <w:spacing w:line="382" w:lineRule="exact" w:before="60"/>
            <w:rPr>
              <w:rFonts w:ascii="Calibri" w:eastAsia="Calibri"/>
            </w:rPr>
          </w:pPr>
          <w:hyperlink w:history="true" w:anchor="_TOC_250021">
            <w:r>
              <w:rPr/>
              <w:t>第一部分</w:t>
              <w:tab/>
              <w:t>您与我们订立的合同</w:t>
              <w:tab/>
            </w:r>
            <w:r>
              <w:rPr>
                <w:rFonts w:ascii="Calibri" w:eastAsia="Calibri"/>
              </w:rPr>
              <w:t>3</w:t>
            </w:r>
          </w:hyperlink>
        </w:p>
        <w:p>
          <w:pPr>
            <w:pStyle w:val="TOC2"/>
            <w:tabs>
              <w:tab w:pos="1371" w:val="left" w:leader="none"/>
              <w:tab w:pos="10178" w:val="right" w:leader="dot"/>
            </w:tabs>
            <w:spacing w:line="304" w:lineRule="exact"/>
            <w:rPr>
              <w:rFonts w:ascii="Calibri" w:eastAsia="Calibri"/>
              <w:b w:val="0"/>
            </w:rPr>
          </w:pPr>
          <w:hyperlink w:history="true" w:anchor="_TOC_250020">
            <w:r>
              <w:rPr/>
              <w:t>第一条</w:t>
              <w:tab/>
              <w:t>保险合同构成</w:t>
              <w:tab/>
            </w:r>
            <w:r>
              <w:rPr>
                <w:rFonts w:ascii="Calibri" w:eastAsia="Calibri"/>
                <w:b w:val="0"/>
              </w:rPr>
              <w:t>3</w:t>
            </w:r>
          </w:hyperlink>
        </w:p>
        <w:p>
          <w:pPr>
            <w:pStyle w:val="TOC2"/>
            <w:tabs>
              <w:tab w:pos="1371" w:val="left" w:leader="none"/>
              <w:tab w:pos="10178" w:val="right" w:leader="dot"/>
            </w:tabs>
            <w:rPr>
              <w:rFonts w:ascii="Calibri" w:eastAsia="Calibri"/>
              <w:b w:val="0"/>
            </w:rPr>
          </w:pPr>
          <w:hyperlink w:history="true" w:anchor="_TOC_250019">
            <w:r>
              <w:rPr/>
              <w:t>第二条</w:t>
              <w:tab/>
              <w:t>投保范围</w:t>
              <w:tab/>
            </w:r>
            <w:r>
              <w:rPr>
                <w:rFonts w:ascii="Calibri" w:eastAsia="Calibri"/>
                <w:b w:val="0"/>
              </w:rPr>
              <w:t>3</w:t>
            </w:r>
          </w:hyperlink>
        </w:p>
        <w:p>
          <w:pPr>
            <w:pStyle w:val="TOC2"/>
            <w:tabs>
              <w:tab w:pos="1371" w:val="left" w:leader="none"/>
              <w:tab w:pos="10178" w:val="right" w:leader="dot"/>
            </w:tabs>
            <w:rPr>
              <w:rFonts w:ascii="Calibri" w:eastAsia="Calibri"/>
              <w:b w:val="0"/>
            </w:rPr>
          </w:pPr>
          <w:hyperlink w:history="true" w:anchor="_TOC_250018">
            <w:r>
              <w:rPr/>
              <w:t>第三条</w:t>
              <w:tab/>
              <w:t>保险合同成立、生</w:t>
            </w:r>
            <w:r>
              <w:rPr>
                <w:spacing w:val="-3"/>
              </w:rPr>
              <w:t>效</w:t>
            </w:r>
            <w:r>
              <w:rPr/>
              <w:t>和</w:t>
            </w:r>
            <w:r>
              <w:rPr>
                <w:spacing w:val="-3"/>
              </w:rPr>
              <w:t>保</w:t>
            </w:r>
            <w:r>
              <w:rPr/>
              <w:t>险责任开始</w:t>
              <w:tab/>
            </w:r>
            <w:r>
              <w:rPr>
                <w:rFonts w:ascii="Calibri" w:eastAsia="Calibri"/>
                <w:b w:val="0"/>
              </w:rPr>
              <w:t>3</w:t>
            </w:r>
          </w:hyperlink>
        </w:p>
        <w:p>
          <w:pPr>
            <w:pStyle w:val="TOC2"/>
            <w:tabs>
              <w:tab w:pos="1371" w:val="left" w:leader="none"/>
              <w:tab w:pos="10178" w:val="right" w:leader="dot"/>
            </w:tabs>
            <w:spacing w:line="294" w:lineRule="exact"/>
            <w:rPr>
              <w:rFonts w:ascii="Calibri" w:eastAsia="Calibri"/>
              <w:b w:val="0"/>
            </w:rPr>
          </w:pPr>
          <w:hyperlink w:history="true" w:anchor="_TOC_250017">
            <w:r>
              <w:rPr/>
              <w:t>第四条</w:t>
              <w:tab/>
              <w:t>保险期间和续保</w:t>
              <w:tab/>
            </w:r>
            <w:r>
              <w:rPr>
                <w:rFonts w:ascii="Calibri" w:eastAsia="Calibri"/>
                <w:b w:val="0"/>
              </w:rPr>
              <w:t>3</w:t>
            </w:r>
          </w:hyperlink>
        </w:p>
        <w:p>
          <w:pPr>
            <w:pStyle w:val="TOC1"/>
            <w:tabs>
              <w:tab w:pos="1371" w:val="left" w:leader="none"/>
              <w:tab w:pos="10175" w:val="right" w:leader="dot"/>
            </w:tabs>
            <w:rPr>
              <w:rFonts w:ascii="Calibri" w:eastAsia="Calibri"/>
            </w:rPr>
          </w:pPr>
          <w:hyperlink w:history="true" w:anchor="_TOC_250016">
            <w:r>
              <w:rPr/>
              <w:t>第二部分</w:t>
              <w:tab/>
              <w:t>我们提供哪些保障利益</w:t>
              <w:tab/>
            </w:r>
            <w:r>
              <w:rPr>
                <w:rFonts w:ascii="Calibri" w:eastAsia="Calibri"/>
              </w:rPr>
              <w:t>3</w:t>
            </w:r>
          </w:hyperlink>
        </w:p>
        <w:p>
          <w:pPr>
            <w:pStyle w:val="TOC2"/>
            <w:tabs>
              <w:tab w:pos="1371" w:val="left" w:leader="none"/>
              <w:tab w:pos="10178" w:val="right" w:leader="dot"/>
            </w:tabs>
            <w:spacing w:line="304" w:lineRule="exact"/>
            <w:rPr>
              <w:rFonts w:ascii="Calibri" w:eastAsia="Calibri"/>
              <w:b w:val="0"/>
            </w:rPr>
          </w:pPr>
          <w:hyperlink w:history="true" w:anchor="_TOC_250015">
            <w:r>
              <w:rPr/>
              <w:t>第五条</w:t>
              <w:tab/>
              <w:t>基本保险金额</w:t>
              <w:tab/>
            </w:r>
            <w:r>
              <w:rPr>
                <w:rFonts w:ascii="Calibri" w:eastAsia="Calibri"/>
                <w:b w:val="0"/>
              </w:rPr>
              <w:t>3</w:t>
            </w:r>
          </w:hyperlink>
        </w:p>
        <w:p>
          <w:pPr>
            <w:pStyle w:val="TOC2"/>
            <w:tabs>
              <w:tab w:pos="1371" w:val="left" w:leader="none"/>
              <w:tab w:pos="10178" w:val="right" w:leader="dot"/>
            </w:tabs>
            <w:rPr>
              <w:rFonts w:ascii="Calibri" w:eastAsia="Calibri"/>
              <w:b w:val="0"/>
            </w:rPr>
          </w:pPr>
          <w:hyperlink w:history="true" w:anchor="_TOC_250014">
            <w:r>
              <w:rPr/>
              <w:t>第六条</w:t>
              <w:tab/>
              <w:t>保险责任</w:t>
              <w:tab/>
            </w:r>
            <w:r>
              <w:rPr>
                <w:rFonts w:ascii="Calibri" w:eastAsia="Calibri"/>
                <w:b w:val="0"/>
              </w:rPr>
              <w:t>3</w:t>
            </w:r>
          </w:hyperlink>
        </w:p>
        <w:p>
          <w:pPr>
            <w:pStyle w:val="TOC2"/>
            <w:tabs>
              <w:tab w:pos="1371" w:val="left" w:leader="none"/>
              <w:tab w:pos="10178" w:val="right" w:leader="dot"/>
            </w:tabs>
            <w:spacing w:line="294" w:lineRule="exact"/>
            <w:rPr>
              <w:rFonts w:ascii="Calibri" w:eastAsia="Calibri"/>
              <w:b w:val="0"/>
            </w:rPr>
          </w:pPr>
          <w:hyperlink w:history="true" w:anchor="_TOC_250013">
            <w:r>
              <w:rPr/>
              <w:t>第七条</w:t>
              <w:tab/>
              <w:t>责任免除</w:t>
              <w:tab/>
            </w:r>
            <w:r>
              <w:rPr>
                <w:rFonts w:ascii="Calibri" w:eastAsia="Calibri"/>
                <w:b w:val="0"/>
              </w:rPr>
              <w:t>4</w:t>
            </w:r>
          </w:hyperlink>
        </w:p>
        <w:p>
          <w:pPr>
            <w:pStyle w:val="TOC1"/>
            <w:tabs>
              <w:tab w:pos="1371" w:val="left" w:leader="none"/>
              <w:tab w:pos="10175" w:val="right" w:leader="dot"/>
            </w:tabs>
            <w:rPr>
              <w:rFonts w:ascii="Calibri" w:eastAsia="Calibri"/>
            </w:rPr>
          </w:pPr>
          <w:hyperlink w:history="true" w:anchor="_TOC_250012">
            <w:r>
              <w:rPr/>
              <w:t>第三部分</w:t>
              <w:tab/>
              <w:t>如何交纳保险费</w:t>
              <w:tab/>
            </w:r>
            <w:r>
              <w:rPr>
                <w:rFonts w:ascii="Calibri" w:eastAsia="Calibri"/>
              </w:rPr>
              <w:t>4</w:t>
            </w:r>
          </w:hyperlink>
        </w:p>
        <w:p>
          <w:pPr>
            <w:pStyle w:val="TOC2"/>
            <w:tabs>
              <w:tab w:pos="1371" w:val="left" w:leader="none"/>
              <w:tab w:pos="10178" w:val="right" w:leader="dot"/>
            </w:tabs>
            <w:spacing w:line="286" w:lineRule="exact"/>
            <w:rPr>
              <w:rFonts w:ascii="Calibri" w:eastAsia="Calibri"/>
              <w:b w:val="0"/>
            </w:rPr>
          </w:pPr>
          <w:hyperlink w:history="true" w:anchor="_TOC_250011">
            <w:r>
              <w:rPr/>
              <w:t>第八条</w:t>
              <w:tab/>
              <w:t>保险费的交付</w:t>
              <w:tab/>
            </w:r>
            <w:r>
              <w:rPr>
                <w:rFonts w:ascii="Calibri" w:eastAsia="Calibri"/>
                <w:b w:val="0"/>
              </w:rPr>
              <w:t>4</w:t>
            </w:r>
          </w:hyperlink>
        </w:p>
        <w:p>
          <w:pPr>
            <w:pStyle w:val="TOC1"/>
            <w:tabs>
              <w:tab w:pos="1371" w:val="left" w:leader="none"/>
              <w:tab w:pos="10175" w:val="right" w:leader="dot"/>
            </w:tabs>
            <w:rPr>
              <w:rFonts w:ascii="Calibri" w:eastAsia="Calibri"/>
            </w:rPr>
          </w:pPr>
          <w:hyperlink w:history="true" w:anchor="_TOC_250010">
            <w:r>
              <w:rPr/>
              <w:t>第四部分</w:t>
              <w:tab/>
              <w:t>如何申请保险金</w:t>
              <w:tab/>
            </w:r>
            <w:r>
              <w:rPr>
                <w:rFonts w:ascii="Calibri" w:eastAsia="Calibri"/>
              </w:rPr>
              <w:t>5</w:t>
            </w:r>
          </w:hyperlink>
        </w:p>
        <w:p>
          <w:pPr>
            <w:pStyle w:val="TOC2"/>
            <w:tabs>
              <w:tab w:pos="1371" w:val="left" w:leader="none"/>
              <w:tab w:pos="10178" w:val="right" w:leader="dot"/>
            </w:tabs>
            <w:spacing w:line="304" w:lineRule="exact"/>
            <w:rPr>
              <w:rFonts w:ascii="Calibri" w:eastAsia="Calibri"/>
              <w:b w:val="0"/>
            </w:rPr>
          </w:pPr>
          <w:hyperlink w:history="true" w:anchor="_TOC_250009">
            <w:r>
              <w:rPr/>
              <w:t>第九条</w:t>
              <w:tab/>
              <w:t>受益人</w:t>
              <w:tab/>
            </w:r>
            <w:r>
              <w:rPr>
                <w:rFonts w:ascii="Calibri" w:eastAsia="Calibri"/>
                <w:b w:val="0"/>
              </w:rPr>
              <w:t>5</w:t>
            </w:r>
          </w:hyperlink>
        </w:p>
        <w:p>
          <w:pPr>
            <w:pStyle w:val="TOC2"/>
            <w:tabs>
              <w:tab w:pos="1371" w:val="left" w:leader="none"/>
              <w:tab w:pos="10178" w:val="right" w:leader="dot"/>
            </w:tabs>
            <w:rPr>
              <w:rFonts w:ascii="Calibri" w:eastAsia="Calibri"/>
              <w:b w:val="0"/>
            </w:rPr>
          </w:pPr>
          <w:hyperlink w:history="true" w:anchor="_TOC_250008">
            <w:r>
              <w:rPr/>
              <w:t>第十条</w:t>
              <w:tab/>
              <w:t>保险事故的通知</w:t>
              <w:tab/>
            </w:r>
            <w:r>
              <w:rPr>
                <w:rFonts w:ascii="Calibri" w:eastAsia="Calibri"/>
                <w:b w:val="0"/>
              </w:rPr>
              <w:t>5</w:t>
            </w:r>
          </w:hyperlink>
        </w:p>
        <w:p>
          <w:pPr>
            <w:pStyle w:val="TOC2"/>
            <w:tabs>
              <w:tab w:pos="1580" w:val="left" w:leader="none"/>
              <w:tab w:pos="10178" w:val="right" w:leader="dot"/>
            </w:tabs>
            <w:rPr>
              <w:rFonts w:ascii="Calibri" w:eastAsia="Calibri"/>
              <w:b w:val="0"/>
            </w:rPr>
          </w:pPr>
          <w:hyperlink w:history="true" w:anchor="_TOC_250007">
            <w:r>
              <w:rPr/>
              <w:t>第十一条</w:t>
              <w:tab/>
              <w:t>诉讼时效</w:t>
              <w:tab/>
            </w:r>
            <w:r>
              <w:rPr>
                <w:rFonts w:ascii="Calibri" w:eastAsia="Calibri"/>
                <w:b w:val="0"/>
              </w:rPr>
              <w:t>5</w:t>
            </w:r>
          </w:hyperlink>
        </w:p>
        <w:p>
          <w:pPr>
            <w:pStyle w:val="TOC2"/>
            <w:tabs>
              <w:tab w:pos="1580" w:val="left" w:leader="none"/>
              <w:tab w:pos="10178" w:val="right" w:leader="dot"/>
            </w:tabs>
            <w:rPr>
              <w:rFonts w:ascii="Calibri" w:eastAsia="Calibri"/>
              <w:b w:val="0"/>
            </w:rPr>
          </w:pPr>
          <w:r>
            <w:rPr/>
            <w:t>第十二条</w:t>
            <w:tab/>
            <w:t>保险金申请</w:t>
            <w:tab/>
          </w:r>
          <w:r>
            <w:rPr>
              <w:rFonts w:ascii="Calibri" w:eastAsia="Calibri"/>
              <w:b w:val="0"/>
            </w:rPr>
            <w:t>5</w:t>
          </w:r>
        </w:p>
        <w:p>
          <w:pPr>
            <w:pStyle w:val="TOC2"/>
            <w:tabs>
              <w:tab w:pos="1580" w:val="left" w:leader="none"/>
              <w:tab w:pos="10178" w:val="right" w:leader="dot"/>
            </w:tabs>
            <w:spacing w:line="294" w:lineRule="exact"/>
            <w:rPr>
              <w:rFonts w:ascii="Calibri" w:eastAsia="Calibri"/>
              <w:b w:val="0"/>
            </w:rPr>
          </w:pPr>
          <w:r>
            <w:rPr/>
            <w:t>第十三条</w:t>
            <w:tab/>
            <w:t>保险金给付</w:t>
            <w:tab/>
          </w:r>
          <w:r>
            <w:rPr>
              <w:rFonts w:ascii="Calibri" w:eastAsia="Calibri"/>
              <w:b w:val="0"/>
            </w:rPr>
            <w:t>5</w:t>
          </w:r>
        </w:p>
        <w:p>
          <w:pPr>
            <w:pStyle w:val="TOC1"/>
            <w:tabs>
              <w:tab w:pos="1371" w:val="left" w:leader="none"/>
              <w:tab w:pos="10175" w:val="right" w:leader="dot"/>
            </w:tabs>
            <w:rPr>
              <w:rFonts w:ascii="Calibri" w:eastAsia="Calibri"/>
            </w:rPr>
          </w:pPr>
          <w:hyperlink w:history="true" w:anchor="_TOC_250006">
            <w:r>
              <w:rPr/>
              <w:t>第五部分</w:t>
              <w:tab/>
              <w:t>您还享有哪些权益</w:t>
              <w:tab/>
            </w:r>
            <w:r>
              <w:rPr>
                <w:rFonts w:ascii="Calibri" w:eastAsia="Calibri"/>
              </w:rPr>
              <w:t>6</w:t>
            </w:r>
          </w:hyperlink>
        </w:p>
        <w:p>
          <w:pPr>
            <w:pStyle w:val="TOC2"/>
            <w:tabs>
              <w:tab w:pos="1580" w:val="left" w:leader="none"/>
              <w:tab w:pos="10178" w:val="right" w:leader="dot"/>
            </w:tabs>
            <w:spacing w:line="304" w:lineRule="exact"/>
            <w:rPr>
              <w:rFonts w:ascii="Calibri" w:eastAsia="Calibri"/>
              <w:b w:val="0"/>
            </w:rPr>
          </w:pPr>
          <w:hyperlink w:history="true" w:anchor="_TOC_250005">
            <w:r>
              <w:rPr/>
              <w:t>第十四条</w:t>
              <w:tab/>
              <w:t>合同内容变更</w:t>
              <w:tab/>
            </w:r>
            <w:r>
              <w:rPr>
                <w:rFonts w:ascii="Calibri" w:eastAsia="Calibri"/>
                <w:b w:val="0"/>
              </w:rPr>
              <w:t>6</w:t>
            </w:r>
          </w:hyperlink>
        </w:p>
        <w:p>
          <w:pPr>
            <w:pStyle w:val="TOC2"/>
            <w:tabs>
              <w:tab w:pos="1580" w:val="left" w:leader="none"/>
              <w:tab w:pos="10178" w:val="right" w:leader="dot"/>
            </w:tabs>
            <w:spacing w:line="294" w:lineRule="exact"/>
            <w:rPr>
              <w:rFonts w:ascii="Calibri" w:eastAsia="Calibri"/>
              <w:b w:val="0"/>
            </w:rPr>
          </w:pPr>
          <w:hyperlink w:history="true" w:anchor="_TOC_250004">
            <w:r>
              <w:rPr/>
              <w:t>第十五条</w:t>
              <w:tab/>
              <w:t>您解除合同的手续</w:t>
            </w:r>
            <w:r>
              <w:rPr>
                <w:spacing w:val="-3"/>
              </w:rPr>
              <w:t>及</w:t>
            </w:r>
            <w:r>
              <w:rPr/>
              <w:t>风险</w:t>
              <w:tab/>
            </w:r>
            <w:r>
              <w:rPr>
                <w:rFonts w:ascii="Calibri" w:eastAsia="Calibri"/>
                <w:b w:val="0"/>
              </w:rPr>
              <w:t>6</w:t>
            </w:r>
          </w:hyperlink>
        </w:p>
        <w:p>
          <w:pPr>
            <w:pStyle w:val="TOC1"/>
            <w:tabs>
              <w:tab w:pos="1371" w:val="left" w:leader="none"/>
              <w:tab w:pos="10175" w:val="right" w:leader="dot"/>
            </w:tabs>
            <w:rPr>
              <w:rFonts w:ascii="Calibri" w:eastAsia="Calibri"/>
            </w:rPr>
          </w:pPr>
          <w:hyperlink w:history="true" w:anchor="_TOC_250003">
            <w:r>
              <w:rPr/>
              <w:t>第六部分</w:t>
              <w:tab/>
              <w:t>您需要了解的其它事项</w:t>
              <w:tab/>
            </w:r>
            <w:r>
              <w:rPr>
                <w:rFonts w:ascii="Calibri" w:eastAsia="Calibri"/>
              </w:rPr>
              <w:t>6</w:t>
            </w:r>
          </w:hyperlink>
        </w:p>
        <w:p>
          <w:pPr>
            <w:pStyle w:val="TOC2"/>
            <w:tabs>
              <w:tab w:pos="1580" w:val="left" w:leader="none"/>
              <w:tab w:pos="10178" w:val="right" w:leader="dot"/>
            </w:tabs>
            <w:spacing w:line="305" w:lineRule="exact"/>
            <w:rPr>
              <w:rFonts w:ascii="Calibri" w:eastAsia="Calibri"/>
              <w:b w:val="0"/>
            </w:rPr>
          </w:pPr>
          <w:hyperlink w:history="true" w:anchor="_TOC_250002">
            <w:r>
              <w:rPr/>
              <w:t>第十六条</w:t>
              <w:tab/>
              <w:t>效力终止、无效</w:t>
              <w:tab/>
            </w:r>
            <w:r>
              <w:rPr>
                <w:rFonts w:ascii="Calibri" w:eastAsia="Calibri"/>
                <w:b w:val="0"/>
              </w:rPr>
              <w:t>6</w:t>
            </w:r>
          </w:hyperlink>
        </w:p>
        <w:p>
          <w:pPr>
            <w:pStyle w:val="TOC2"/>
            <w:tabs>
              <w:tab w:pos="1580" w:val="left" w:leader="none"/>
              <w:tab w:pos="10178" w:val="right" w:leader="dot"/>
            </w:tabs>
            <w:rPr>
              <w:rFonts w:ascii="Calibri" w:eastAsia="Calibri"/>
              <w:b w:val="0"/>
            </w:rPr>
          </w:pPr>
          <w:hyperlink w:history="true" w:anchor="_TOC_250001">
            <w:r>
              <w:rPr/>
              <w:t>第十七条</w:t>
              <w:tab/>
              <w:t>适用主合同条款</w:t>
              <w:tab/>
            </w:r>
            <w:r>
              <w:rPr>
                <w:rFonts w:ascii="Calibri" w:eastAsia="Calibri"/>
                <w:b w:val="0"/>
              </w:rPr>
              <w:t>6</w:t>
            </w:r>
          </w:hyperlink>
        </w:p>
        <w:p>
          <w:pPr>
            <w:pStyle w:val="TOC2"/>
            <w:tabs>
              <w:tab w:pos="1580" w:val="left" w:leader="none"/>
              <w:tab w:pos="10178" w:val="right" w:leader="dot"/>
            </w:tabs>
            <w:spacing w:line="338" w:lineRule="exact"/>
            <w:rPr>
              <w:rFonts w:ascii="Calibri" w:eastAsia="Calibri"/>
              <w:b w:val="0"/>
            </w:rPr>
          </w:pPr>
          <w:hyperlink w:history="true" w:anchor="_TOC_250000">
            <w:r>
              <w:rPr/>
              <w:t>第十八条</w:t>
              <w:tab/>
              <w:t>重大疾病的种类及</w:t>
            </w:r>
            <w:r>
              <w:rPr>
                <w:spacing w:val="-3"/>
              </w:rPr>
              <w:t>定</w:t>
            </w:r>
            <w:r>
              <w:rPr/>
              <w:t>义</w:t>
              <w:tab/>
            </w:r>
            <w:r>
              <w:rPr>
                <w:rFonts w:ascii="Calibri" w:eastAsia="Calibri"/>
                <w:b w:val="0"/>
              </w:rPr>
              <w:t>6</w:t>
            </w:r>
          </w:hyperlink>
        </w:p>
      </w:sdtContent>
    </w:sdt>
    <w:p>
      <w:pPr>
        <w:spacing w:after="0" w:line="338" w:lineRule="exact"/>
        <w:rPr>
          <w:rFonts w:ascii="Calibri" w:eastAsia="Calibri"/>
        </w:rPr>
        <w:sectPr>
          <w:pgSz w:w="11910" w:h="16840"/>
          <w:pgMar w:header="0" w:footer="806" w:top="1500" w:bottom="1000" w:left="700" w:right="920"/>
        </w:sectPr>
      </w:pPr>
    </w:p>
    <w:p>
      <w:pPr>
        <w:pStyle w:val="Heading1"/>
        <w:spacing w:before="361"/>
        <w:ind w:left="3420" w:right="3438"/>
      </w:pPr>
      <w:bookmarkStart w:name="_TOC_250021" w:id="1"/>
      <w:bookmarkEnd w:id="1"/>
      <w:r>
        <w:rPr/>
        <w:t>第一部分 您与我们订立的合同</w:t>
      </w:r>
    </w:p>
    <w:p>
      <w:pPr>
        <w:pStyle w:val="BodyText"/>
        <w:spacing w:before="14"/>
        <w:ind w:left="0"/>
        <w:rPr>
          <w:rFonts w:ascii="微软雅黑"/>
          <w:b/>
          <w:sz w:val="12"/>
        </w:rPr>
      </w:pPr>
    </w:p>
    <w:p>
      <w:pPr>
        <w:pStyle w:val="Heading2"/>
        <w:tabs>
          <w:tab w:pos="940" w:val="left" w:leader="none"/>
        </w:tabs>
      </w:pPr>
      <w:bookmarkStart w:name="_TOC_250020" w:id="2"/>
      <w:bookmarkEnd w:id="2"/>
      <w:r>
        <w:rPr/>
        <w:t>第一条</w:t>
        <w:tab/>
        <w:t>保险合同构成</w:t>
      </w:r>
    </w:p>
    <w:p>
      <w:pPr>
        <w:pStyle w:val="BodyText"/>
        <w:spacing w:before="8"/>
        <w:ind w:left="0"/>
        <w:rPr>
          <w:rFonts w:ascii="微软雅黑"/>
          <w:b/>
          <w:sz w:val="16"/>
        </w:rPr>
      </w:pPr>
    </w:p>
    <w:p>
      <w:pPr>
        <w:pStyle w:val="BodyText"/>
        <w:spacing w:line="273" w:lineRule="exact"/>
      </w:pPr>
      <w:r>
        <w:rPr/>
        <w:t>本附加合同由主合同投保人申请，经我们同意，附加于主合同。</w:t>
      </w:r>
    </w:p>
    <w:p>
      <w:pPr>
        <w:pStyle w:val="BodyText"/>
        <w:ind w:left="100" w:right="115" w:firstLine="420"/>
      </w:pPr>
      <w:r>
        <w:rPr/>
        <w:t>本附加合同由本保险条款、保险单或其它保险凭证、投保单、与本附加合同有关的投保文件、合法有效的声明、批注、批单及其它您与我们共同认可的书面协议共同构成。</w:t>
      </w:r>
    </w:p>
    <w:p>
      <w:pPr>
        <w:pStyle w:val="BodyText"/>
        <w:ind w:left="100" w:right="116" w:firstLine="420"/>
      </w:pPr>
      <w:r>
        <w:rPr>
          <w:spacing w:val="-5"/>
        </w:rPr>
        <w:t>本附加合同未约定事项，以主合同为准。若主合同的规定与本附加合同的规定相抵触，以本附加合同的</w:t>
      </w:r>
      <w:r>
        <w:rPr>
          <w:spacing w:val="-4"/>
        </w:rPr>
        <w:t>规定为准。</w:t>
      </w:r>
    </w:p>
    <w:p>
      <w:pPr>
        <w:pStyle w:val="BodyText"/>
        <w:spacing w:before="11"/>
        <w:ind w:left="0"/>
        <w:rPr>
          <w:sz w:val="18"/>
        </w:rPr>
      </w:pPr>
    </w:p>
    <w:p>
      <w:pPr>
        <w:pStyle w:val="Heading2"/>
        <w:tabs>
          <w:tab w:pos="940" w:val="left" w:leader="none"/>
        </w:tabs>
      </w:pPr>
      <w:bookmarkStart w:name="_TOC_250019" w:id="3"/>
      <w:bookmarkEnd w:id="3"/>
      <w:r>
        <w:rPr/>
        <w:t>第二条</w:t>
        <w:tab/>
        <w:t>投保范围</w:t>
      </w:r>
    </w:p>
    <w:p>
      <w:pPr>
        <w:pStyle w:val="BodyText"/>
        <w:spacing w:before="11"/>
        <w:ind w:left="0"/>
        <w:rPr>
          <w:rFonts w:ascii="微软雅黑"/>
          <w:b/>
          <w:sz w:val="16"/>
        </w:rPr>
      </w:pPr>
    </w:p>
    <w:p>
      <w:pPr>
        <w:pStyle w:val="BodyText"/>
        <w:spacing w:line="237" w:lineRule="auto"/>
        <w:ind w:left="100" w:right="115" w:firstLine="425"/>
      </w:pPr>
      <w:r>
        <w:rPr>
          <w:spacing w:val="-5"/>
        </w:rPr>
        <w:t>被保险人范围：身体健康，能正常学习和生活，在学校或者幼儿园注册的大、中、小学学生或幼儿，均</w:t>
      </w:r>
      <w:r>
        <w:rPr>
          <w:spacing w:val="-4"/>
        </w:rPr>
        <w:t>可作为被保险人参加本保险。</w:t>
      </w:r>
    </w:p>
    <w:p>
      <w:pPr>
        <w:pStyle w:val="BodyText"/>
        <w:spacing w:line="237" w:lineRule="auto" w:before="1"/>
        <w:ind w:left="100" w:right="100" w:firstLine="425"/>
      </w:pPr>
      <w:r>
        <w:rPr/>
        <w:t>投保人范围：具有完全民事行为能力的被保险人本人或对被保险人有保险利益的其他人可作为投保人向我们投保本保险。</w:t>
      </w:r>
    </w:p>
    <w:p>
      <w:pPr>
        <w:pStyle w:val="BodyText"/>
        <w:spacing w:before="12"/>
        <w:ind w:left="0"/>
        <w:rPr>
          <w:sz w:val="18"/>
        </w:rPr>
      </w:pPr>
    </w:p>
    <w:p>
      <w:pPr>
        <w:pStyle w:val="Heading2"/>
        <w:tabs>
          <w:tab w:pos="940" w:val="left" w:leader="none"/>
        </w:tabs>
        <w:spacing w:before="1"/>
      </w:pPr>
      <w:bookmarkStart w:name="_TOC_250018" w:id="4"/>
      <w:r>
        <w:rPr/>
        <w:t>第三条</w:t>
        <w:tab/>
        <w:t>保险合同成立、生</w:t>
      </w:r>
      <w:r>
        <w:rPr>
          <w:spacing w:val="-3"/>
        </w:rPr>
        <w:t>效</w:t>
      </w:r>
      <w:r>
        <w:rPr/>
        <w:t>和</w:t>
      </w:r>
      <w:r>
        <w:rPr>
          <w:spacing w:val="-3"/>
        </w:rPr>
        <w:t>保</w:t>
      </w:r>
      <w:bookmarkEnd w:id="4"/>
      <w:r>
        <w:rPr/>
        <w:t>险责任开始</w:t>
      </w:r>
    </w:p>
    <w:p>
      <w:pPr>
        <w:pStyle w:val="BodyText"/>
        <w:spacing w:before="6"/>
        <w:ind w:left="0"/>
        <w:rPr>
          <w:rFonts w:ascii="微软雅黑"/>
          <w:b/>
          <w:sz w:val="16"/>
        </w:rPr>
      </w:pPr>
    </w:p>
    <w:p>
      <w:pPr>
        <w:pStyle w:val="BodyText"/>
        <w:spacing w:line="274" w:lineRule="exact"/>
      </w:pPr>
      <w:r>
        <w:rPr/>
        <w:t>您提出保险申请、我们同意承保，本附加合同成立，合同成立日期在保险单上载明。</w:t>
      </w:r>
    </w:p>
    <w:p>
      <w:pPr>
        <w:pStyle w:val="BodyText"/>
        <w:spacing w:line="237" w:lineRule="auto" w:before="1"/>
        <w:ind w:left="100" w:right="115" w:firstLine="420"/>
      </w:pPr>
      <w:r>
        <w:rPr/>
        <w:t>自本附加合同成立、我们收取保险费并签发保险单的次日零时起本附加合同生效，合同生效日期在保险单上载明。</w:t>
      </w:r>
    </w:p>
    <w:p>
      <w:pPr>
        <w:pStyle w:val="BodyText"/>
        <w:spacing w:line="272" w:lineRule="exact"/>
      </w:pPr>
      <w:r>
        <w:rPr/>
        <w:t>除另有约定外，本附加合同生效的日期为我们开始承担保险责任的日期。</w:t>
      </w:r>
    </w:p>
    <w:p>
      <w:pPr>
        <w:pStyle w:val="BodyText"/>
        <w:spacing w:line="237" w:lineRule="auto" w:before="1"/>
        <w:ind w:left="100" w:right="115" w:firstLine="420"/>
      </w:pPr>
      <w:r>
        <w:rPr/>
        <w:t>若您在投保主合同时，同时投保本附加合同，则本附加合同的成立日和生效日与主合同相同；若您在主合同有效期内投保本附加合同，则本附加合同的成立日和生效日以我们在保险单中批注的为准。</w:t>
      </w:r>
    </w:p>
    <w:p>
      <w:pPr>
        <w:pStyle w:val="BodyText"/>
        <w:spacing w:before="12"/>
        <w:ind w:left="0"/>
        <w:rPr>
          <w:sz w:val="18"/>
        </w:rPr>
      </w:pPr>
    </w:p>
    <w:p>
      <w:pPr>
        <w:pStyle w:val="Heading2"/>
        <w:tabs>
          <w:tab w:pos="940" w:val="left" w:leader="none"/>
        </w:tabs>
      </w:pPr>
      <w:bookmarkStart w:name="_TOC_250017" w:id="5"/>
      <w:r>
        <w:rPr/>
        <w:t>第四条</w:t>
        <w:tab/>
      </w:r>
      <w:r>
        <w:rPr>
          <w:spacing w:val="-1"/>
        </w:rPr>
        <w:t>保</w:t>
      </w:r>
      <w:bookmarkEnd w:id="5"/>
      <w:r>
        <w:rPr/>
        <w:t>险期间和续保</w:t>
      </w:r>
    </w:p>
    <w:p>
      <w:pPr>
        <w:pStyle w:val="BodyText"/>
        <w:spacing w:before="6"/>
        <w:ind w:left="0"/>
        <w:rPr>
          <w:rFonts w:ascii="微软雅黑"/>
          <w:b/>
          <w:sz w:val="16"/>
        </w:rPr>
      </w:pPr>
    </w:p>
    <w:p>
      <w:pPr>
        <w:pStyle w:val="BodyText"/>
        <w:ind w:right="4098"/>
      </w:pPr>
      <w:r>
        <w:rPr/>
        <w:t>本附加合同的保险期间与主合同相同，并在保险单上载明。本附加合同的续保与主合同相同。</w:t>
      </w:r>
    </w:p>
    <w:p>
      <w:pPr>
        <w:pStyle w:val="BodyText"/>
        <w:spacing w:before="7"/>
        <w:ind w:left="0"/>
        <w:rPr>
          <w:sz w:val="17"/>
        </w:rPr>
      </w:pPr>
    </w:p>
    <w:p>
      <w:pPr>
        <w:pStyle w:val="Heading1"/>
        <w:spacing w:before="1"/>
        <w:ind w:left="3302" w:right="0"/>
        <w:jc w:val="left"/>
      </w:pPr>
      <w:bookmarkStart w:name="_TOC_250016" w:id="6"/>
      <w:bookmarkEnd w:id="6"/>
      <w:r>
        <w:rPr/>
        <w:t>第二部分 我们提供哪些保障利益</w:t>
      </w:r>
    </w:p>
    <w:p>
      <w:pPr>
        <w:pStyle w:val="BodyText"/>
        <w:ind w:left="0"/>
        <w:rPr>
          <w:rFonts w:ascii="微软雅黑"/>
          <w:b/>
          <w:sz w:val="13"/>
        </w:rPr>
      </w:pPr>
    </w:p>
    <w:p>
      <w:pPr>
        <w:pStyle w:val="Heading2"/>
        <w:tabs>
          <w:tab w:pos="940" w:val="left" w:leader="none"/>
        </w:tabs>
      </w:pPr>
      <w:bookmarkStart w:name="_TOC_250015" w:id="7"/>
      <w:bookmarkEnd w:id="7"/>
      <w:r>
        <w:rPr/>
        <w:t>第五条</w:t>
        <w:tab/>
        <w:t>基本保险金额</w:t>
      </w:r>
    </w:p>
    <w:p>
      <w:pPr>
        <w:pStyle w:val="BodyText"/>
        <w:spacing w:before="12"/>
        <w:ind w:left="0"/>
        <w:rPr>
          <w:rFonts w:ascii="微软雅黑"/>
          <w:b/>
          <w:sz w:val="16"/>
        </w:rPr>
      </w:pPr>
    </w:p>
    <w:p>
      <w:pPr>
        <w:pStyle w:val="BodyText"/>
        <w:spacing w:line="237" w:lineRule="auto"/>
        <w:ind w:left="100" w:right="115" w:firstLine="420"/>
      </w:pPr>
      <w:r>
        <w:rPr>
          <w:spacing w:val="-5"/>
        </w:rPr>
        <w:t>本附加合同的基本保险金额由您和我们约定，并在保险单上载明。如果该金额发生变更，则以变更后的</w:t>
      </w:r>
      <w:r>
        <w:rPr>
          <w:spacing w:val="-4"/>
        </w:rPr>
        <w:t>金额为基本保险金额。</w:t>
      </w:r>
    </w:p>
    <w:p>
      <w:pPr>
        <w:pStyle w:val="BodyText"/>
        <w:spacing w:before="12"/>
        <w:ind w:left="0"/>
        <w:rPr>
          <w:sz w:val="18"/>
        </w:rPr>
      </w:pPr>
    </w:p>
    <w:p>
      <w:pPr>
        <w:pStyle w:val="Heading2"/>
        <w:tabs>
          <w:tab w:pos="940" w:val="left" w:leader="none"/>
        </w:tabs>
      </w:pPr>
      <w:bookmarkStart w:name="_TOC_250014" w:id="8"/>
      <w:bookmarkEnd w:id="8"/>
      <w:r>
        <w:rPr/>
        <w:t>第六条</w:t>
        <w:tab/>
        <w:t>保险责任</w:t>
      </w:r>
    </w:p>
    <w:p>
      <w:pPr>
        <w:pStyle w:val="BodyText"/>
        <w:spacing w:before="5"/>
        <w:ind w:left="0"/>
        <w:rPr>
          <w:rFonts w:ascii="微软雅黑"/>
          <w:b/>
          <w:sz w:val="16"/>
        </w:rPr>
      </w:pPr>
    </w:p>
    <w:p>
      <w:pPr>
        <w:pStyle w:val="BodyText"/>
        <w:spacing w:line="242" w:lineRule="exact" w:before="1"/>
      </w:pPr>
      <w:r>
        <w:rPr/>
        <w:t>在本附加合同保险期间内，我们承担以下保险责任:</w:t>
      </w:r>
    </w:p>
    <w:p>
      <w:pPr>
        <w:spacing w:line="180" w:lineRule="auto" w:before="57"/>
        <w:ind w:left="100" w:right="113" w:firstLine="422"/>
        <w:jc w:val="left"/>
        <w:rPr>
          <w:sz w:val="21"/>
        </w:rPr>
      </w:pPr>
      <w:r>
        <w:rPr>
          <w:rFonts w:ascii="微软雅黑" w:eastAsia="微软雅黑" w:hint="eastAsia"/>
          <w:b/>
          <w:spacing w:val="-1"/>
          <w:sz w:val="21"/>
        </w:rPr>
        <w:t>被保险人在本附加合同生效 </w:t>
      </w:r>
      <w:r>
        <w:rPr>
          <w:rFonts w:ascii="微软雅黑" w:eastAsia="微软雅黑" w:hint="eastAsia"/>
          <w:b/>
          <w:sz w:val="21"/>
        </w:rPr>
        <w:t>30</w:t>
      </w:r>
      <w:r>
        <w:rPr>
          <w:rFonts w:ascii="微软雅黑" w:eastAsia="微软雅黑" w:hint="eastAsia"/>
          <w:b/>
          <w:spacing w:val="5"/>
          <w:sz w:val="21"/>
        </w:rPr>
        <w:t> 日后</w:t>
      </w:r>
      <w:r>
        <w:rPr>
          <w:rFonts w:ascii="微软雅黑" w:eastAsia="微软雅黑" w:hint="eastAsia"/>
          <w:b/>
          <w:sz w:val="21"/>
        </w:rPr>
        <w:t>（</w:t>
      </w:r>
      <w:r>
        <w:rPr>
          <w:rFonts w:ascii="微软雅黑" w:eastAsia="微软雅黑" w:hint="eastAsia"/>
          <w:b/>
          <w:spacing w:val="-3"/>
          <w:sz w:val="21"/>
        </w:rPr>
        <w:t>按照我们相关规定续保的，续保保险期间内不受前述 </w:t>
      </w:r>
      <w:r>
        <w:rPr>
          <w:rFonts w:ascii="微软雅黑" w:eastAsia="微软雅黑" w:hint="eastAsia"/>
          <w:b/>
          <w:sz w:val="21"/>
        </w:rPr>
        <w:t>30</w:t>
      </w:r>
      <w:r>
        <w:rPr>
          <w:rFonts w:ascii="微软雅黑" w:eastAsia="微软雅黑" w:hint="eastAsia"/>
          <w:b/>
          <w:spacing w:val="1"/>
          <w:sz w:val="21"/>
        </w:rPr>
        <w:t> 日的限</w:t>
      </w:r>
      <w:r>
        <w:rPr>
          <w:rFonts w:ascii="微软雅黑" w:eastAsia="微软雅黑" w:hint="eastAsia"/>
          <w:b/>
          <w:spacing w:val="1"/>
          <w:w w:val="100"/>
          <w:sz w:val="21"/>
        </w:rPr>
        <w:t>制</w:t>
      </w:r>
      <w:r>
        <w:rPr>
          <w:rFonts w:ascii="微软雅黑" w:eastAsia="微软雅黑" w:hint="eastAsia"/>
          <w:b/>
          <w:spacing w:val="-92"/>
          <w:w w:val="100"/>
          <w:sz w:val="21"/>
        </w:rPr>
        <w:t>）</w:t>
      </w:r>
      <w:r>
        <w:rPr>
          <w:rFonts w:ascii="微软雅黑" w:eastAsia="微软雅黑" w:hint="eastAsia"/>
          <w:b/>
          <w:w w:val="100"/>
          <w:sz w:val="21"/>
        </w:rPr>
        <w:t>，初次发生并经</w:t>
      </w:r>
      <w:r>
        <w:rPr>
          <w:rFonts w:ascii="黑体" w:eastAsia="黑体" w:hint="eastAsia"/>
          <w:b/>
          <w:spacing w:val="-1"/>
          <w:w w:val="100"/>
          <w:sz w:val="21"/>
        </w:rPr>
        <w:t>专科医</w:t>
      </w:r>
      <w:r>
        <w:rPr>
          <w:rFonts w:ascii="黑体" w:eastAsia="黑体" w:hint="eastAsia"/>
          <w:b/>
          <w:w w:val="99"/>
          <w:sz w:val="21"/>
        </w:rPr>
        <w:t>Th</w:t>
      </w:r>
      <w:r>
        <w:rPr>
          <w:rFonts w:ascii="微软雅黑" w:eastAsia="微软雅黑" w:hint="eastAsia"/>
          <w:b/>
          <w:spacing w:val="1"/>
          <w:w w:val="81"/>
          <w:position w:val="11"/>
          <w:sz w:val="11"/>
        </w:rPr>
        <w:t>1</w:t>
      </w:r>
      <w:r>
        <w:rPr>
          <w:rFonts w:ascii="微软雅黑" w:eastAsia="微软雅黑" w:hint="eastAsia"/>
          <w:b/>
          <w:spacing w:val="-3"/>
          <w:w w:val="100"/>
          <w:sz w:val="21"/>
        </w:rPr>
        <w:t>明确诊断患本附加合同第十八条所定义的重大疾病</w:t>
      </w:r>
      <w:r>
        <w:rPr>
          <w:spacing w:val="-3"/>
          <w:w w:val="100"/>
          <w:sz w:val="21"/>
        </w:rPr>
        <w:t>，我们按保险单载明的保险</w:t>
      </w:r>
    </w:p>
    <w:p>
      <w:pPr>
        <w:pStyle w:val="BodyText"/>
        <w:spacing w:before="8"/>
        <w:ind w:left="0"/>
        <w:rPr>
          <w:sz w:val="15"/>
        </w:rPr>
      </w:pPr>
      <w:r>
        <w:rPr/>
        <w:pict>
          <v:line style="position:absolute;mso-position-horizontal-relative:page;mso-position-vertical-relative:paragraph;z-index:1072;mso-wrap-distance-left:0;mso-wrap-distance-right:0" from="51pt,12.456442pt" to="195.05pt,12.456442pt" stroked="true" strokeweight=".47998pt" strokecolor="#000000">
            <v:stroke dashstyle="solid"/>
            <w10:wrap type="topAndBottom"/>
          </v:line>
        </w:pict>
      </w:r>
    </w:p>
    <w:p>
      <w:pPr>
        <w:spacing w:line="282" w:lineRule="exact" w:before="0"/>
        <w:ind w:left="100" w:right="0" w:firstLine="0"/>
        <w:jc w:val="left"/>
        <w:rPr>
          <w:sz w:val="18"/>
        </w:rPr>
      </w:pPr>
      <w:r>
        <w:rPr>
          <w:rFonts w:ascii="Times New Roman" w:eastAsia="Times New Roman"/>
          <w:position w:val="8"/>
          <w:sz w:val="12"/>
        </w:rPr>
        <w:t>1</w:t>
      </w:r>
      <w:r>
        <w:rPr>
          <w:rFonts w:ascii="微软雅黑" w:eastAsia="微软雅黑" w:hint="eastAsia"/>
          <w:b/>
          <w:sz w:val="18"/>
        </w:rPr>
        <w:t>专科医生</w:t>
      </w:r>
      <w:r>
        <w:rPr>
          <w:sz w:val="18"/>
        </w:rPr>
        <w:t>：应当同时满足以下四项资格条件：</w:t>
      </w:r>
    </w:p>
    <w:p>
      <w:pPr>
        <w:spacing w:line="223" w:lineRule="exact" w:before="0"/>
        <w:ind w:left="100" w:right="0" w:firstLine="0"/>
        <w:jc w:val="left"/>
        <w:rPr>
          <w:sz w:val="18"/>
        </w:rPr>
      </w:pPr>
      <w:r>
        <w:rPr>
          <w:sz w:val="18"/>
        </w:rPr>
        <w:t>（1） 具有有效的中华人民共和国《医师资格证书》；</w:t>
      </w:r>
    </w:p>
    <w:p>
      <w:pPr>
        <w:spacing w:before="0"/>
        <w:ind w:left="100" w:right="0" w:firstLine="0"/>
        <w:jc w:val="left"/>
        <w:rPr>
          <w:sz w:val="18"/>
        </w:rPr>
      </w:pPr>
      <w:r>
        <w:rPr>
          <w:sz w:val="18"/>
        </w:rPr>
        <w:t>（2）具有有效的中华人民共和国《医师执业证书》，并按期到相关部门登记注册；</w:t>
      </w:r>
    </w:p>
    <w:p>
      <w:pPr>
        <w:spacing w:after="0"/>
        <w:jc w:val="left"/>
        <w:rPr>
          <w:sz w:val="18"/>
        </w:rPr>
        <w:sectPr>
          <w:pgSz w:w="11910" w:h="16840"/>
          <w:pgMar w:header="0" w:footer="806" w:top="1580" w:bottom="1000" w:left="920" w:right="900"/>
        </w:sectPr>
      </w:pPr>
    </w:p>
    <w:p>
      <w:pPr>
        <w:pStyle w:val="BodyText"/>
        <w:spacing w:line="216" w:lineRule="auto"/>
        <w:ind w:left="100" w:right="120"/>
      </w:pPr>
      <w:r>
        <w:rPr/>
        <w:t>金额给付保险金，本附加合同终止。若被保险人因</w:t>
      </w:r>
      <w:r>
        <w:rPr>
          <w:rFonts w:ascii="微软雅黑" w:eastAsia="微软雅黑" w:hint="eastAsia"/>
          <w:b/>
        </w:rPr>
        <w:t>意外伤害</w:t>
      </w:r>
      <w:r>
        <w:rPr>
          <w:rFonts w:ascii="微软雅黑" w:eastAsia="微软雅黑" w:hint="eastAsia"/>
          <w:b/>
          <w:position w:val="11"/>
          <w:sz w:val="11"/>
        </w:rPr>
        <w:t>2</w:t>
      </w:r>
      <w:r>
        <w:rPr/>
        <w:t>导致发生本附加合同约定的重大疾病，不受前述 30 日的限制。</w:t>
      </w:r>
    </w:p>
    <w:p>
      <w:pPr>
        <w:pStyle w:val="BodyText"/>
        <w:spacing w:before="13"/>
        <w:ind w:left="0"/>
        <w:rPr>
          <w:sz w:val="18"/>
        </w:rPr>
      </w:pPr>
    </w:p>
    <w:p>
      <w:pPr>
        <w:pStyle w:val="Heading2"/>
        <w:tabs>
          <w:tab w:pos="940" w:val="left" w:leader="none"/>
        </w:tabs>
      </w:pPr>
      <w:bookmarkStart w:name="_TOC_250013" w:id="9"/>
      <w:r>
        <w:rPr/>
        <w:t>第七条</w:t>
        <w:tab/>
      </w:r>
      <w:r>
        <w:rPr>
          <w:spacing w:val="-1"/>
        </w:rPr>
        <w:t>责</w:t>
      </w:r>
      <w:bookmarkEnd w:id="9"/>
      <w:r>
        <w:rPr/>
        <w:t>任免除</w:t>
      </w:r>
    </w:p>
    <w:p>
      <w:pPr>
        <w:pStyle w:val="BodyText"/>
        <w:ind w:left="0"/>
        <w:rPr>
          <w:rFonts w:ascii="微软雅黑"/>
          <w:b/>
          <w:sz w:val="18"/>
        </w:rPr>
      </w:pPr>
    </w:p>
    <w:p>
      <w:pPr>
        <w:spacing w:line="180" w:lineRule="auto" w:before="0"/>
        <w:ind w:left="100" w:right="118" w:firstLine="422"/>
        <w:jc w:val="left"/>
        <w:rPr>
          <w:rFonts w:ascii="微软雅黑" w:eastAsia="微软雅黑" w:hint="eastAsia"/>
          <w:b/>
          <w:sz w:val="21"/>
        </w:rPr>
      </w:pPr>
      <w:r>
        <w:rPr>
          <w:rFonts w:ascii="微软雅黑" w:eastAsia="微软雅黑" w:hint="eastAsia"/>
          <w:b/>
          <w:spacing w:val="-5"/>
          <w:sz w:val="21"/>
        </w:rPr>
        <w:t>因下列任何情形之一导致被保险人患本附加合同第十八条所定义的重大疾病，我们不承担给付保险金的保险责任：</w:t>
      </w:r>
    </w:p>
    <w:p>
      <w:pPr>
        <w:tabs>
          <w:tab w:pos="1151" w:val="left" w:leader="none"/>
        </w:tabs>
        <w:spacing w:line="180" w:lineRule="auto" w:before="0"/>
        <w:ind w:left="520" w:right="4504" w:firstLine="0"/>
        <w:jc w:val="left"/>
        <w:rPr>
          <w:rFonts w:ascii="微软雅黑" w:eastAsia="微软雅黑" w:hint="eastAsia"/>
          <w:b/>
          <w:sz w:val="21"/>
        </w:rPr>
      </w:pPr>
      <w:r>
        <w:rPr>
          <w:rFonts w:ascii="微软雅黑" w:eastAsia="微软雅黑" w:hint="eastAsia"/>
          <w:b/>
          <w:sz w:val="21"/>
        </w:rPr>
        <w:t>一、</w:t>
        <w:tab/>
        <w:t>保险单中特别约定</w:t>
      </w:r>
      <w:r>
        <w:rPr>
          <w:rFonts w:ascii="微软雅黑" w:eastAsia="微软雅黑" w:hint="eastAsia"/>
          <w:b/>
          <w:spacing w:val="-3"/>
          <w:sz w:val="21"/>
        </w:rPr>
        <w:t>我</w:t>
      </w:r>
      <w:r>
        <w:rPr>
          <w:rFonts w:ascii="微软雅黑" w:eastAsia="微软雅黑" w:hint="eastAsia"/>
          <w:b/>
          <w:sz w:val="21"/>
        </w:rPr>
        <w:t>们</w:t>
      </w:r>
      <w:r>
        <w:rPr>
          <w:rFonts w:ascii="微软雅黑" w:eastAsia="微软雅黑" w:hint="eastAsia"/>
          <w:b/>
          <w:spacing w:val="-3"/>
          <w:sz w:val="21"/>
        </w:rPr>
        <w:t>不</w:t>
      </w:r>
      <w:r>
        <w:rPr>
          <w:rFonts w:ascii="微软雅黑" w:eastAsia="微软雅黑" w:hint="eastAsia"/>
          <w:b/>
          <w:sz w:val="21"/>
        </w:rPr>
        <w:t>承担保险责任的事</w:t>
      </w:r>
      <w:r>
        <w:rPr>
          <w:rFonts w:ascii="微软雅黑" w:eastAsia="微软雅黑" w:hint="eastAsia"/>
          <w:b/>
          <w:spacing w:val="-3"/>
          <w:sz w:val="21"/>
        </w:rPr>
        <w:t>项</w:t>
      </w:r>
      <w:r>
        <w:rPr>
          <w:rFonts w:ascii="微软雅黑" w:eastAsia="微软雅黑" w:hint="eastAsia"/>
          <w:b/>
          <w:sz w:val="21"/>
        </w:rPr>
        <w:t>； 二、</w:t>
        <w:tab/>
        <w:t>投保人对被保险人</w:t>
      </w:r>
      <w:r>
        <w:rPr>
          <w:rFonts w:ascii="微软雅黑" w:eastAsia="微软雅黑" w:hint="eastAsia"/>
          <w:b/>
          <w:spacing w:val="-3"/>
          <w:sz w:val="21"/>
        </w:rPr>
        <w:t>的</w:t>
      </w:r>
      <w:r>
        <w:rPr>
          <w:rFonts w:ascii="微软雅黑" w:eastAsia="微软雅黑" w:hint="eastAsia"/>
          <w:b/>
          <w:sz w:val="21"/>
        </w:rPr>
        <w:t>故</w:t>
      </w:r>
      <w:r>
        <w:rPr>
          <w:rFonts w:ascii="微软雅黑" w:eastAsia="微软雅黑" w:hint="eastAsia"/>
          <w:b/>
          <w:spacing w:val="-3"/>
          <w:sz w:val="21"/>
        </w:rPr>
        <w:t>意</w:t>
      </w:r>
      <w:r>
        <w:rPr>
          <w:rFonts w:ascii="微软雅黑" w:eastAsia="微软雅黑" w:hint="eastAsia"/>
          <w:b/>
          <w:sz w:val="21"/>
        </w:rPr>
        <w:t>杀害、故意伤害；</w:t>
      </w:r>
    </w:p>
    <w:p>
      <w:pPr>
        <w:tabs>
          <w:tab w:pos="1151" w:val="left" w:leader="none"/>
        </w:tabs>
        <w:spacing w:line="227" w:lineRule="exact" w:before="1"/>
        <w:ind w:left="520" w:right="0" w:firstLine="0"/>
        <w:jc w:val="left"/>
        <w:rPr>
          <w:rFonts w:ascii="微软雅黑" w:eastAsia="微软雅黑" w:hint="eastAsia"/>
          <w:b/>
          <w:sz w:val="21"/>
        </w:rPr>
      </w:pPr>
      <w:r>
        <w:rPr>
          <w:rFonts w:ascii="微软雅黑" w:eastAsia="微软雅黑" w:hint="eastAsia"/>
          <w:b/>
          <w:sz w:val="21"/>
        </w:rPr>
        <w:t>三、</w:t>
        <w:tab/>
        <w:t>被保险人故意犯罪</w:t>
      </w:r>
      <w:r>
        <w:rPr>
          <w:rFonts w:ascii="微软雅黑" w:eastAsia="微软雅黑" w:hint="eastAsia"/>
          <w:b/>
          <w:spacing w:val="-3"/>
          <w:sz w:val="21"/>
        </w:rPr>
        <w:t>或</w:t>
      </w:r>
      <w:r>
        <w:rPr>
          <w:rFonts w:ascii="微软雅黑" w:eastAsia="微软雅黑" w:hint="eastAsia"/>
          <w:b/>
          <w:sz w:val="21"/>
        </w:rPr>
        <w:t>抗</w:t>
      </w:r>
      <w:r>
        <w:rPr>
          <w:rFonts w:ascii="微软雅黑" w:eastAsia="微软雅黑" w:hint="eastAsia"/>
          <w:b/>
          <w:spacing w:val="-3"/>
          <w:sz w:val="21"/>
        </w:rPr>
        <w:t>拒</w:t>
      </w:r>
      <w:r>
        <w:rPr>
          <w:rFonts w:ascii="微软雅黑" w:eastAsia="微软雅黑" w:hint="eastAsia"/>
          <w:b/>
          <w:sz w:val="21"/>
        </w:rPr>
        <w:t>依法采取的刑事强</w:t>
      </w:r>
      <w:r>
        <w:rPr>
          <w:rFonts w:ascii="微软雅黑" w:eastAsia="微软雅黑" w:hint="eastAsia"/>
          <w:b/>
          <w:spacing w:val="-3"/>
          <w:sz w:val="21"/>
        </w:rPr>
        <w:t>制</w:t>
      </w:r>
      <w:r>
        <w:rPr>
          <w:rFonts w:ascii="微软雅黑" w:eastAsia="微软雅黑" w:hint="eastAsia"/>
          <w:b/>
          <w:sz w:val="21"/>
        </w:rPr>
        <w:t>措</w:t>
      </w:r>
      <w:r>
        <w:rPr>
          <w:rFonts w:ascii="微软雅黑" w:eastAsia="微软雅黑" w:hint="eastAsia"/>
          <w:b/>
          <w:spacing w:val="-3"/>
          <w:sz w:val="21"/>
        </w:rPr>
        <w:t>施</w:t>
      </w:r>
      <w:r>
        <w:rPr>
          <w:rFonts w:ascii="微软雅黑" w:eastAsia="微软雅黑" w:hint="eastAsia"/>
          <w:b/>
          <w:sz w:val="21"/>
        </w:rPr>
        <w:t>；</w:t>
      </w:r>
    </w:p>
    <w:p>
      <w:pPr>
        <w:tabs>
          <w:tab w:pos="1151" w:val="left" w:leader="none"/>
        </w:tabs>
        <w:spacing w:line="180" w:lineRule="auto" w:before="46"/>
        <w:ind w:left="520" w:right="921" w:firstLine="0"/>
        <w:jc w:val="left"/>
        <w:rPr>
          <w:rFonts w:ascii="微软雅黑" w:eastAsia="微软雅黑" w:hint="eastAsia"/>
          <w:b/>
          <w:sz w:val="21"/>
        </w:rPr>
      </w:pPr>
      <w:r>
        <w:rPr>
          <w:rFonts w:ascii="微软雅黑" w:eastAsia="微软雅黑" w:hint="eastAsia"/>
          <w:b/>
          <w:sz w:val="21"/>
        </w:rPr>
        <w:t>四、</w:t>
        <w:tab/>
        <w:t>被保险人自杀或故</w:t>
      </w:r>
      <w:r>
        <w:rPr>
          <w:rFonts w:ascii="微软雅黑" w:eastAsia="微软雅黑" w:hint="eastAsia"/>
          <w:b/>
          <w:spacing w:val="-3"/>
          <w:sz w:val="21"/>
        </w:rPr>
        <w:t>意</w:t>
      </w:r>
      <w:r>
        <w:rPr>
          <w:rFonts w:ascii="微软雅黑" w:eastAsia="微软雅黑" w:hint="eastAsia"/>
          <w:b/>
          <w:sz w:val="21"/>
        </w:rPr>
        <w:t>自</w:t>
      </w:r>
      <w:r>
        <w:rPr>
          <w:rFonts w:ascii="微软雅黑" w:eastAsia="微软雅黑" w:hint="eastAsia"/>
          <w:b/>
          <w:spacing w:val="-3"/>
          <w:sz w:val="21"/>
        </w:rPr>
        <w:t>伤</w:t>
      </w:r>
      <w:r>
        <w:rPr>
          <w:rFonts w:ascii="微软雅黑" w:eastAsia="微软雅黑" w:hint="eastAsia"/>
          <w:b/>
          <w:sz w:val="21"/>
        </w:rPr>
        <w:t>，但被保险人自杀</w:t>
      </w:r>
      <w:r>
        <w:rPr>
          <w:rFonts w:ascii="微软雅黑" w:eastAsia="微软雅黑" w:hint="eastAsia"/>
          <w:b/>
          <w:spacing w:val="-3"/>
          <w:sz w:val="21"/>
        </w:rPr>
        <w:t>或</w:t>
      </w:r>
      <w:r>
        <w:rPr>
          <w:rFonts w:ascii="微软雅黑" w:eastAsia="微软雅黑" w:hint="eastAsia"/>
          <w:b/>
          <w:sz w:val="21"/>
        </w:rPr>
        <w:t>故</w:t>
      </w:r>
      <w:r>
        <w:rPr>
          <w:rFonts w:ascii="微软雅黑" w:eastAsia="微软雅黑" w:hint="eastAsia"/>
          <w:b/>
          <w:spacing w:val="-3"/>
          <w:sz w:val="21"/>
        </w:rPr>
        <w:t>意</w:t>
      </w:r>
      <w:r>
        <w:rPr>
          <w:rFonts w:ascii="微软雅黑" w:eastAsia="微软雅黑" w:hint="eastAsia"/>
          <w:b/>
          <w:sz w:val="21"/>
        </w:rPr>
        <w:t>自伤时为无民事行</w:t>
      </w:r>
      <w:r>
        <w:rPr>
          <w:rFonts w:ascii="微软雅黑" w:eastAsia="微软雅黑" w:hint="eastAsia"/>
          <w:b/>
          <w:spacing w:val="-3"/>
          <w:sz w:val="21"/>
        </w:rPr>
        <w:t>为</w:t>
      </w:r>
      <w:r>
        <w:rPr>
          <w:rFonts w:ascii="微软雅黑" w:eastAsia="微软雅黑" w:hint="eastAsia"/>
          <w:b/>
          <w:sz w:val="21"/>
        </w:rPr>
        <w:t>能</w:t>
      </w:r>
      <w:r>
        <w:rPr>
          <w:rFonts w:ascii="微软雅黑" w:eastAsia="微软雅黑" w:hint="eastAsia"/>
          <w:b/>
          <w:spacing w:val="-3"/>
          <w:sz w:val="21"/>
        </w:rPr>
        <w:t>力</w:t>
      </w:r>
      <w:r>
        <w:rPr>
          <w:rFonts w:ascii="微软雅黑" w:eastAsia="微软雅黑" w:hint="eastAsia"/>
          <w:b/>
          <w:sz w:val="21"/>
        </w:rPr>
        <w:t>人的除外； 五、</w:t>
        <w:tab/>
      </w:r>
      <w:r>
        <w:rPr>
          <w:rFonts w:ascii="微软雅黑" w:eastAsia="微软雅黑" w:hint="eastAsia"/>
          <w:b/>
          <w:spacing w:val="-1"/>
          <w:sz w:val="21"/>
        </w:rPr>
        <w:t>被</w:t>
      </w:r>
      <w:r>
        <w:rPr>
          <w:rFonts w:ascii="微软雅黑" w:eastAsia="微软雅黑" w:hint="eastAsia"/>
          <w:b/>
          <w:sz w:val="21"/>
        </w:rPr>
        <w:t>保险人殴斗、醉</w:t>
      </w:r>
      <w:r>
        <w:rPr>
          <w:rFonts w:ascii="微软雅黑" w:eastAsia="微软雅黑" w:hint="eastAsia"/>
          <w:b/>
          <w:spacing w:val="-3"/>
          <w:sz w:val="21"/>
        </w:rPr>
        <w:t>酒</w:t>
      </w:r>
      <w:r>
        <w:rPr>
          <w:rFonts w:ascii="微软雅黑" w:eastAsia="微软雅黑" w:hint="eastAsia"/>
          <w:b/>
          <w:sz w:val="21"/>
        </w:rPr>
        <w:t>，</w:t>
      </w:r>
      <w:r>
        <w:rPr>
          <w:rFonts w:ascii="微软雅黑" w:eastAsia="微软雅黑" w:hint="eastAsia"/>
          <w:b/>
          <w:spacing w:val="-3"/>
          <w:sz w:val="21"/>
        </w:rPr>
        <w:t>主</w:t>
      </w:r>
      <w:r>
        <w:rPr>
          <w:rFonts w:ascii="微软雅黑" w:eastAsia="微软雅黑" w:hint="eastAsia"/>
          <w:b/>
          <w:sz w:val="21"/>
        </w:rPr>
        <w:t>动服用、吸食或注射</w:t>
      </w:r>
      <w:r>
        <w:rPr>
          <w:rFonts w:ascii="黑体" w:eastAsia="黑体" w:hint="eastAsia"/>
          <w:b/>
          <w:sz w:val="21"/>
        </w:rPr>
        <w:t>毒</w:t>
      </w:r>
      <w:r>
        <w:rPr>
          <w:rFonts w:ascii="黑体" w:eastAsia="黑体" w:hint="eastAsia"/>
          <w:b/>
          <w:spacing w:val="-3"/>
          <w:sz w:val="21"/>
        </w:rPr>
        <w:t>品</w:t>
      </w:r>
      <w:r>
        <w:rPr>
          <w:rFonts w:ascii="黑体" w:eastAsia="黑体" w:hint="eastAsia"/>
          <w:b/>
          <w:position w:val="11"/>
          <w:sz w:val="11"/>
        </w:rPr>
        <w:t>3</w:t>
      </w:r>
      <w:r>
        <w:rPr>
          <w:rFonts w:ascii="微软雅黑" w:eastAsia="微软雅黑" w:hint="eastAsia"/>
          <w:b/>
          <w:sz w:val="21"/>
        </w:rPr>
        <w:t>；</w:t>
      </w:r>
    </w:p>
    <w:p>
      <w:pPr>
        <w:tabs>
          <w:tab w:pos="1151" w:val="left" w:leader="none"/>
        </w:tabs>
        <w:spacing w:line="180" w:lineRule="auto" w:before="1"/>
        <w:ind w:left="520" w:right="1745" w:firstLine="0"/>
        <w:jc w:val="left"/>
        <w:rPr>
          <w:rFonts w:ascii="微软雅黑" w:eastAsia="微软雅黑" w:hint="eastAsia"/>
          <w:b/>
          <w:sz w:val="21"/>
        </w:rPr>
      </w:pPr>
      <w:r>
        <w:rPr>
          <w:rFonts w:ascii="微软雅黑" w:eastAsia="微软雅黑" w:hint="eastAsia"/>
          <w:b/>
          <w:sz w:val="21"/>
        </w:rPr>
        <w:t>六、</w:t>
        <w:tab/>
        <w:t>被保险人</w:t>
      </w:r>
      <w:r>
        <w:rPr>
          <w:rFonts w:ascii="黑体" w:eastAsia="黑体" w:hint="eastAsia"/>
          <w:b/>
          <w:sz w:val="21"/>
        </w:rPr>
        <w:t>酒后驾驶</w:t>
      </w:r>
      <w:r>
        <w:rPr>
          <w:rFonts w:ascii="黑体" w:eastAsia="黑体" w:hint="eastAsia"/>
          <w:b/>
          <w:position w:val="11"/>
          <w:sz w:val="11"/>
        </w:rPr>
        <w:t>4</w:t>
      </w:r>
      <w:r>
        <w:rPr>
          <w:rFonts w:ascii="微软雅黑" w:eastAsia="微软雅黑" w:hint="eastAsia"/>
          <w:b/>
          <w:sz w:val="21"/>
        </w:rPr>
        <w:t>、</w:t>
      </w:r>
      <w:r>
        <w:rPr>
          <w:rFonts w:ascii="黑体" w:eastAsia="黑体" w:hint="eastAsia"/>
          <w:b/>
          <w:sz w:val="21"/>
        </w:rPr>
        <w:t>无</w:t>
      </w:r>
      <w:r>
        <w:rPr>
          <w:rFonts w:ascii="黑体" w:eastAsia="黑体" w:hint="eastAsia"/>
          <w:b/>
          <w:spacing w:val="-3"/>
          <w:sz w:val="21"/>
        </w:rPr>
        <w:t>合</w:t>
      </w:r>
      <w:r>
        <w:rPr>
          <w:rFonts w:ascii="黑体" w:eastAsia="黑体" w:hint="eastAsia"/>
          <w:b/>
          <w:sz w:val="21"/>
        </w:rPr>
        <w:t>法有效驾驶证驾</w:t>
      </w:r>
      <w:r>
        <w:rPr>
          <w:rFonts w:ascii="黑体" w:eastAsia="黑体" w:hint="eastAsia"/>
          <w:b/>
          <w:spacing w:val="-3"/>
          <w:sz w:val="21"/>
        </w:rPr>
        <w:t>驶</w:t>
      </w:r>
      <w:r>
        <w:rPr>
          <w:rFonts w:ascii="黑体" w:eastAsia="黑体" w:hint="eastAsia"/>
          <w:b/>
          <w:position w:val="11"/>
          <w:sz w:val="11"/>
        </w:rPr>
        <w:t>5</w:t>
      </w:r>
      <w:r>
        <w:rPr>
          <w:rFonts w:ascii="微软雅黑" w:eastAsia="微软雅黑" w:hint="eastAsia"/>
          <w:b/>
          <w:sz w:val="21"/>
        </w:rPr>
        <w:t>或驾</w:t>
      </w:r>
      <w:r>
        <w:rPr>
          <w:rFonts w:ascii="微软雅黑" w:eastAsia="微软雅黑" w:hint="eastAsia"/>
          <w:b/>
          <w:spacing w:val="-3"/>
          <w:sz w:val="21"/>
        </w:rPr>
        <w:t>驶</w:t>
      </w:r>
      <w:r>
        <w:rPr>
          <w:rFonts w:ascii="黑体" w:eastAsia="黑体" w:hint="eastAsia"/>
          <w:b/>
          <w:sz w:val="21"/>
        </w:rPr>
        <w:t>无有效行驶证</w:t>
      </w:r>
      <w:r>
        <w:rPr>
          <w:rFonts w:ascii="黑体" w:eastAsia="黑体" w:hint="eastAsia"/>
          <w:b/>
          <w:position w:val="11"/>
          <w:sz w:val="11"/>
        </w:rPr>
        <w:t>6</w:t>
      </w:r>
      <w:r>
        <w:rPr>
          <w:rFonts w:ascii="微软雅黑" w:eastAsia="微软雅黑" w:hint="eastAsia"/>
          <w:b/>
          <w:sz w:val="21"/>
        </w:rPr>
        <w:t>的</w:t>
      </w:r>
      <w:r>
        <w:rPr>
          <w:rFonts w:ascii="黑体" w:eastAsia="黑体" w:hint="eastAsia"/>
          <w:b/>
          <w:sz w:val="21"/>
        </w:rPr>
        <w:t>机动</w:t>
      </w:r>
      <w:r>
        <w:rPr>
          <w:rFonts w:ascii="黑体" w:eastAsia="黑体" w:hint="eastAsia"/>
          <w:b/>
          <w:spacing w:val="-3"/>
          <w:sz w:val="21"/>
        </w:rPr>
        <w:t>车</w:t>
      </w:r>
      <w:r>
        <w:rPr>
          <w:rFonts w:ascii="黑体" w:eastAsia="黑体" w:hint="eastAsia"/>
          <w:b/>
          <w:position w:val="11"/>
          <w:sz w:val="11"/>
        </w:rPr>
        <w:t>7</w:t>
      </w:r>
      <w:r>
        <w:rPr>
          <w:rFonts w:ascii="微软雅黑" w:eastAsia="微软雅黑" w:hint="eastAsia"/>
          <w:b/>
          <w:sz w:val="21"/>
        </w:rPr>
        <w:t>； 七、</w:t>
        <w:tab/>
        <w:t>被保险人的</w:t>
      </w:r>
      <w:r>
        <w:rPr>
          <w:rFonts w:ascii="黑体" w:eastAsia="黑体" w:hint="eastAsia"/>
          <w:b/>
          <w:sz w:val="21"/>
        </w:rPr>
        <w:t>遗传性</w:t>
      </w:r>
      <w:r>
        <w:rPr>
          <w:rFonts w:ascii="黑体" w:eastAsia="黑体" w:hint="eastAsia"/>
          <w:b/>
          <w:spacing w:val="-3"/>
          <w:sz w:val="21"/>
        </w:rPr>
        <w:t>疾</w:t>
      </w:r>
      <w:r>
        <w:rPr>
          <w:rFonts w:ascii="黑体" w:eastAsia="黑体" w:hint="eastAsia"/>
          <w:b/>
          <w:sz w:val="21"/>
        </w:rPr>
        <w:t>病</w:t>
      </w:r>
      <w:r>
        <w:rPr>
          <w:rFonts w:ascii="黑体" w:eastAsia="黑体" w:hint="eastAsia"/>
          <w:b/>
          <w:position w:val="11"/>
          <w:sz w:val="11"/>
        </w:rPr>
        <w:t>8</w:t>
      </w:r>
      <w:r>
        <w:rPr>
          <w:rFonts w:ascii="微软雅黑" w:eastAsia="微软雅黑" w:hint="eastAsia"/>
          <w:b/>
          <w:sz w:val="21"/>
        </w:rPr>
        <w:t>，</w:t>
      </w:r>
      <w:r>
        <w:rPr>
          <w:rFonts w:ascii="黑体" w:eastAsia="黑体" w:hint="eastAsia"/>
          <w:b/>
          <w:sz w:val="21"/>
        </w:rPr>
        <w:t>先天性畸形、变形</w:t>
      </w:r>
      <w:r>
        <w:rPr>
          <w:rFonts w:ascii="黑体" w:eastAsia="黑体" w:hint="eastAsia"/>
          <w:b/>
          <w:spacing w:val="-3"/>
          <w:sz w:val="21"/>
        </w:rPr>
        <w:t>或</w:t>
      </w:r>
      <w:r>
        <w:rPr>
          <w:rFonts w:ascii="黑体" w:eastAsia="黑体" w:hint="eastAsia"/>
          <w:b/>
          <w:sz w:val="21"/>
        </w:rPr>
        <w:t>染</w:t>
      </w:r>
      <w:r>
        <w:rPr>
          <w:rFonts w:ascii="黑体" w:eastAsia="黑体" w:hint="eastAsia"/>
          <w:b/>
          <w:spacing w:val="-3"/>
          <w:sz w:val="21"/>
        </w:rPr>
        <w:t>色</w:t>
      </w:r>
      <w:r>
        <w:rPr>
          <w:rFonts w:ascii="黑体" w:eastAsia="黑体" w:hint="eastAsia"/>
          <w:b/>
          <w:sz w:val="21"/>
        </w:rPr>
        <w:t>体异常</w:t>
      </w:r>
      <w:r>
        <w:rPr>
          <w:rFonts w:ascii="黑体" w:eastAsia="黑体" w:hint="eastAsia"/>
          <w:b/>
          <w:position w:val="11"/>
          <w:sz w:val="11"/>
        </w:rPr>
        <w:t>9</w:t>
      </w:r>
      <w:r>
        <w:rPr>
          <w:rFonts w:ascii="微软雅黑" w:eastAsia="微软雅黑" w:hint="eastAsia"/>
          <w:b/>
          <w:sz w:val="21"/>
        </w:rPr>
        <w:t>；</w:t>
      </w:r>
    </w:p>
    <w:p>
      <w:pPr>
        <w:tabs>
          <w:tab w:pos="1151" w:val="left" w:leader="none"/>
        </w:tabs>
        <w:spacing w:line="180" w:lineRule="auto" w:before="1"/>
        <w:ind w:left="520" w:right="5212" w:firstLine="0"/>
        <w:jc w:val="left"/>
        <w:rPr>
          <w:rFonts w:ascii="微软雅黑" w:eastAsia="微软雅黑" w:hint="eastAsia"/>
          <w:b/>
          <w:sz w:val="21"/>
        </w:rPr>
      </w:pPr>
      <w:r>
        <w:rPr>
          <w:rFonts w:ascii="微软雅黑" w:eastAsia="微软雅黑" w:hint="eastAsia"/>
          <w:b/>
          <w:sz w:val="21"/>
        </w:rPr>
        <w:t>八、</w:t>
        <w:tab/>
      </w:r>
      <w:r>
        <w:rPr>
          <w:rFonts w:ascii="黑体" w:eastAsia="黑体" w:hint="eastAsia"/>
          <w:b/>
          <w:sz w:val="21"/>
        </w:rPr>
        <w:t>战争</w:t>
      </w:r>
      <w:r>
        <w:rPr>
          <w:rFonts w:ascii="黑体" w:eastAsia="黑体" w:hint="eastAsia"/>
          <w:b/>
          <w:position w:val="11"/>
          <w:sz w:val="11"/>
        </w:rPr>
        <w:t>10</w:t>
      </w:r>
      <w:r>
        <w:rPr>
          <w:rFonts w:ascii="微软雅黑" w:eastAsia="微软雅黑" w:hint="eastAsia"/>
          <w:b/>
          <w:sz w:val="21"/>
        </w:rPr>
        <w:t>、</w:t>
      </w:r>
      <w:r>
        <w:rPr>
          <w:rFonts w:ascii="黑体" w:eastAsia="黑体" w:hint="eastAsia"/>
          <w:b/>
          <w:sz w:val="21"/>
        </w:rPr>
        <w:t>军事冲突</w:t>
      </w:r>
      <w:r>
        <w:rPr>
          <w:rFonts w:ascii="黑体" w:eastAsia="黑体" w:hint="eastAsia"/>
          <w:b/>
          <w:position w:val="11"/>
          <w:sz w:val="11"/>
        </w:rPr>
        <w:t>11</w:t>
      </w:r>
      <w:r>
        <w:rPr>
          <w:rFonts w:ascii="微软雅黑" w:eastAsia="微软雅黑" w:hint="eastAsia"/>
          <w:b/>
          <w:sz w:val="21"/>
        </w:rPr>
        <w:t>、</w:t>
      </w:r>
      <w:r>
        <w:rPr>
          <w:rFonts w:ascii="黑体" w:eastAsia="黑体" w:hint="eastAsia"/>
          <w:b/>
          <w:sz w:val="21"/>
        </w:rPr>
        <w:t>暴</w:t>
      </w:r>
      <w:r>
        <w:rPr>
          <w:rFonts w:ascii="黑体" w:eastAsia="黑体" w:hint="eastAsia"/>
          <w:b/>
          <w:spacing w:val="-3"/>
          <w:sz w:val="21"/>
        </w:rPr>
        <w:t>乱</w:t>
      </w:r>
      <w:r>
        <w:rPr>
          <w:rFonts w:ascii="黑体" w:eastAsia="黑体" w:hint="eastAsia"/>
          <w:b/>
          <w:position w:val="11"/>
          <w:sz w:val="11"/>
        </w:rPr>
        <w:t>12</w:t>
      </w:r>
      <w:r>
        <w:rPr>
          <w:rFonts w:ascii="微软雅黑" w:eastAsia="微软雅黑" w:hint="eastAsia"/>
          <w:b/>
          <w:sz w:val="21"/>
        </w:rPr>
        <w:t>或武装叛乱； 九、</w:t>
        <w:tab/>
        <w:t>核爆炸、核辐射或</w:t>
      </w:r>
      <w:r>
        <w:rPr>
          <w:rFonts w:ascii="微软雅黑" w:eastAsia="微软雅黑" w:hint="eastAsia"/>
          <w:b/>
          <w:spacing w:val="-3"/>
          <w:sz w:val="21"/>
        </w:rPr>
        <w:t>核</w:t>
      </w:r>
      <w:r>
        <w:rPr>
          <w:rFonts w:ascii="微软雅黑" w:eastAsia="微软雅黑" w:hint="eastAsia"/>
          <w:b/>
          <w:sz w:val="21"/>
        </w:rPr>
        <w:t>污</w:t>
      </w:r>
      <w:r>
        <w:rPr>
          <w:rFonts w:ascii="微软雅黑" w:eastAsia="微软雅黑" w:hint="eastAsia"/>
          <w:b/>
          <w:spacing w:val="-3"/>
          <w:sz w:val="21"/>
        </w:rPr>
        <w:t>染</w:t>
      </w:r>
      <w:r>
        <w:rPr>
          <w:rFonts w:ascii="微软雅黑" w:eastAsia="微软雅黑" w:hint="eastAsia"/>
          <w:b/>
          <w:sz w:val="21"/>
        </w:rPr>
        <w:t>。</w:t>
      </w:r>
    </w:p>
    <w:p>
      <w:pPr>
        <w:spacing w:line="180" w:lineRule="auto" w:before="1"/>
        <w:ind w:left="100" w:right="118" w:firstLine="422"/>
        <w:jc w:val="left"/>
        <w:rPr>
          <w:rFonts w:ascii="微软雅黑" w:eastAsia="微软雅黑" w:hint="eastAsia"/>
          <w:b/>
          <w:sz w:val="21"/>
        </w:rPr>
      </w:pPr>
      <w:r>
        <w:rPr>
          <w:rFonts w:ascii="微软雅黑" w:eastAsia="微软雅黑" w:hint="eastAsia"/>
          <w:b/>
          <w:spacing w:val="-5"/>
          <w:sz w:val="21"/>
        </w:rPr>
        <w:t>发生上述第二项情形导致被保险人发生本附加合同第十八条所定义的重大疾病的，本附加合同终止，我们向其他权利人退还本附加合同的</w:t>
      </w:r>
      <w:r>
        <w:rPr>
          <w:rFonts w:ascii="黑体" w:eastAsia="黑体" w:hint="eastAsia"/>
          <w:b/>
          <w:spacing w:val="-2"/>
          <w:sz w:val="21"/>
        </w:rPr>
        <w:t>未满期净保险费</w:t>
      </w:r>
      <w:r>
        <w:rPr>
          <w:rFonts w:ascii="黑体" w:eastAsia="黑体" w:hint="eastAsia"/>
          <w:b/>
          <w:position w:val="11"/>
          <w:sz w:val="11"/>
        </w:rPr>
        <w:t>13</w:t>
      </w:r>
      <w:r>
        <w:rPr>
          <w:rFonts w:ascii="微软雅黑" w:eastAsia="微软雅黑" w:hint="eastAsia"/>
          <w:b/>
          <w:sz w:val="21"/>
        </w:rPr>
        <w:t>。</w:t>
      </w:r>
    </w:p>
    <w:p>
      <w:pPr>
        <w:spacing w:line="180" w:lineRule="auto" w:before="0"/>
        <w:ind w:left="100" w:right="118" w:firstLine="422"/>
        <w:jc w:val="left"/>
        <w:rPr>
          <w:rFonts w:ascii="微软雅黑" w:eastAsia="微软雅黑" w:hint="eastAsia"/>
          <w:b/>
          <w:sz w:val="21"/>
        </w:rPr>
      </w:pPr>
      <w:r>
        <w:rPr>
          <w:rFonts w:ascii="微软雅黑" w:eastAsia="微软雅黑" w:hint="eastAsia"/>
          <w:b/>
          <w:spacing w:val="-5"/>
          <w:sz w:val="21"/>
        </w:rPr>
        <w:t>发生上述其他情形导致被保险人发生本附加合同第十八条所定义的重大疾病的，本附加合同终止，我们向您退还本附加合同的未满期净保险费。</w:t>
      </w:r>
    </w:p>
    <w:p>
      <w:pPr>
        <w:pStyle w:val="BodyText"/>
        <w:spacing w:before="16"/>
        <w:ind w:left="0"/>
        <w:rPr>
          <w:rFonts w:ascii="微软雅黑"/>
          <w:b/>
          <w:sz w:val="11"/>
        </w:rPr>
      </w:pPr>
    </w:p>
    <w:p>
      <w:pPr>
        <w:pStyle w:val="Heading1"/>
        <w:ind w:left="3417" w:right="3438"/>
      </w:pPr>
      <w:bookmarkStart w:name="_TOC_250012" w:id="10"/>
      <w:bookmarkEnd w:id="10"/>
      <w:r>
        <w:rPr/>
        <w:t>第三部分 如何交纳保险费</w:t>
      </w:r>
    </w:p>
    <w:p>
      <w:pPr>
        <w:pStyle w:val="BodyText"/>
        <w:ind w:left="0"/>
        <w:rPr>
          <w:rFonts w:ascii="微软雅黑"/>
          <w:b/>
          <w:sz w:val="13"/>
        </w:rPr>
      </w:pPr>
    </w:p>
    <w:p>
      <w:pPr>
        <w:pStyle w:val="Heading2"/>
        <w:tabs>
          <w:tab w:pos="940" w:val="left" w:leader="none"/>
        </w:tabs>
      </w:pPr>
      <w:bookmarkStart w:name="_TOC_250011" w:id="11"/>
      <w:r>
        <w:rPr/>
        <w:t>第八条</w:t>
        <w:tab/>
      </w:r>
      <w:r>
        <w:rPr>
          <w:spacing w:val="-1"/>
        </w:rPr>
        <w:t>保</w:t>
      </w:r>
      <w:bookmarkEnd w:id="11"/>
      <w:r>
        <w:rPr/>
        <w:t>险费的交付</w:t>
      </w:r>
    </w:p>
    <w:p>
      <w:pPr>
        <w:pStyle w:val="BodyText"/>
        <w:spacing w:before="9"/>
        <w:ind w:left="0"/>
        <w:rPr>
          <w:rFonts w:ascii="微软雅黑"/>
          <w:b/>
          <w:sz w:val="16"/>
        </w:rPr>
      </w:pPr>
    </w:p>
    <w:p>
      <w:pPr>
        <w:pStyle w:val="BodyText"/>
      </w:pPr>
      <w:r>
        <w:rPr/>
        <w:t>本附加合同的保险费由您在投保或续保时一次交清。</w:t>
      </w:r>
    </w:p>
    <w:p>
      <w:pPr>
        <w:pStyle w:val="BodyText"/>
        <w:spacing w:before="3"/>
        <w:ind w:left="0"/>
        <w:rPr>
          <w:sz w:val="20"/>
        </w:rPr>
      </w:pPr>
      <w:r>
        <w:rPr/>
        <w:pict>
          <v:line style="position:absolute;mso-position-horizontal-relative:page;mso-position-vertical-relative:paragraph;z-index:1096;mso-wrap-distance-left:0;mso-wrap-distance-right:0" from="51pt,15.463383pt" to="502.32pt,15.463383pt" stroked="true" strokeweight=".48001pt" strokecolor="#000000">
            <v:stroke dashstyle="solid"/>
            <w10:wrap type="topAndBottom"/>
          </v:line>
        </w:pict>
      </w:r>
    </w:p>
    <w:p>
      <w:pPr>
        <w:spacing w:line="234" w:lineRule="exact" w:before="39"/>
        <w:ind w:left="100" w:right="0" w:firstLine="0"/>
        <w:jc w:val="left"/>
        <w:rPr>
          <w:sz w:val="18"/>
        </w:rPr>
      </w:pPr>
      <w:r>
        <w:rPr>
          <w:sz w:val="18"/>
        </w:rPr>
        <w:t>（3）具有有效的中华人民共和国主治医师或者主治医师以上职称的《医师职称证书》；</w:t>
      </w:r>
    </w:p>
    <w:p>
      <w:pPr>
        <w:spacing w:line="206" w:lineRule="exact" w:before="0"/>
        <w:ind w:left="100" w:right="0" w:firstLine="0"/>
        <w:jc w:val="left"/>
        <w:rPr>
          <w:sz w:val="18"/>
        </w:rPr>
      </w:pPr>
      <w:r>
        <w:rPr>
          <w:sz w:val="18"/>
        </w:rPr>
        <w:t>（4）在二级或者二级以上医院的相应科室从事临床工作三年以上。</w:t>
      </w:r>
    </w:p>
    <w:p>
      <w:pPr>
        <w:spacing w:line="245" w:lineRule="exact" w:before="0"/>
        <w:ind w:left="100" w:right="0" w:firstLine="0"/>
        <w:jc w:val="left"/>
        <w:rPr>
          <w:sz w:val="18"/>
        </w:rPr>
      </w:pPr>
      <w:r>
        <w:rPr>
          <w:rFonts w:ascii="Times New Roman" w:eastAsia="Times New Roman"/>
          <w:position w:val="8"/>
          <w:sz w:val="12"/>
        </w:rPr>
        <w:t>2</w:t>
      </w:r>
      <w:r>
        <w:rPr>
          <w:rFonts w:ascii="微软雅黑" w:eastAsia="微软雅黑" w:hint="eastAsia"/>
          <w:b/>
          <w:sz w:val="18"/>
        </w:rPr>
        <w:t>意外伤害</w:t>
      </w:r>
      <w:r>
        <w:rPr>
          <w:sz w:val="18"/>
        </w:rPr>
        <w:t>：指遭受外来的、突然的、非本意的、非疾病的客观事件，并以此客观事件为直接且单独原因导致被保险人身体蒙</w:t>
      </w:r>
    </w:p>
    <w:p>
      <w:pPr>
        <w:spacing w:line="261" w:lineRule="exact" w:before="0"/>
        <w:ind w:left="100" w:right="0" w:firstLine="0"/>
        <w:jc w:val="left"/>
        <w:rPr>
          <w:sz w:val="18"/>
        </w:rPr>
      </w:pPr>
      <w:r>
        <w:rPr>
          <w:sz w:val="18"/>
        </w:rPr>
        <w:t>受伤害或身故。</w:t>
      </w:r>
      <w:r>
        <w:rPr>
          <w:rFonts w:ascii="微软雅黑" w:eastAsia="微软雅黑" w:hint="eastAsia"/>
          <w:b/>
          <w:sz w:val="18"/>
        </w:rPr>
        <w:t>猝死不属于意外伤害</w:t>
      </w:r>
      <w:r>
        <w:rPr>
          <w:sz w:val="18"/>
        </w:rPr>
        <w:t>。</w:t>
      </w:r>
    </w:p>
    <w:p>
      <w:pPr>
        <w:spacing w:line="222" w:lineRule="exact" w:before="0"/>
        <w:ind w:left="100" w:right="0" w:firstLine="0"/>
        <w:jc w:val="left"/>
        <w:rPr>
          <w:sz w:val="18"/>
        </w:rPr>
      </w:pPr>
      <w:r>
        <w:rPr>
          <w:rFonts w:ascii="Times New Roman" w:eastAsia="Times New Roman"/>
          <w:position w:val="8"/>
          <w:sz w:val="12"/>
        </w:rPr>
        <w:t>3</w:t>
      </w:r>
      <w:r>
        <w:rPr>
          <w:rFonts w:ascii="黑体" w:eastAsia="黑体" w:hint="eastAsia"/>
          <w:b/>
          <w:sz w:val="18"/>
        </w:rPr>
        <w:t>毒品</w:t>
      </w:r>
      <w:r>
        <w:rPr>
          <w:sz w:val="18"/>
        </w:rPr>
        <w:t>：指中华人民共和国刑法规定的鸦片、海洛因、甲基苯丙胺（冰毒）、吗啡、大麻、可卡因以及国家规定管制的其他能</w:t>
      </w:r>
    </w:p>
    <w:p>
      <w:pPr>
        <w:spacing w:line="233" w:lineRule="exact" w:before="0"/>
        <w:ind w:left="100" w:right="0" w:firstLine="0"/>
        <w:jc w:val="left"/>
        <w:rPr>
          <w:sz w:val="18"/>
        </w:rPr>
      </w:pPr>
      <w:r>
        <w:rPr>
          <w:sz w:val="18"/>
        </w:rPr>
        <w:t>够使人形成瘾癖的麻醉药品和精神药品，但不包括由医生开具并遵医嘱使用的用于治疗疾病但含有毒品成分的处方药品。</w:t>
      </w:r>
    </w:p>
    <w:p>
      <w:pPr>
        <w:spacing w:line="234" w:lineRule="exact" w:before="0"/>
        <w:ind w:left="100" w:right="0" w:firstLine="0"/>
        <w:jc w:val="left"/>
        <w:rPr>
          <w:sz w:val="18"/>
        </w:rPr>
      </w:pPr>
      <w:r>
        <w:rPr>
          <w:rFonts w:ascii="Times New Roman" w:eastAsia="Times New Roman"/>
          <w:w w:val="95"/>
          <w:position w:val="8"/>
          <w:sz w:val="12"/>
        </w:rPr>
        <w:t>4</w:t>
      </w:r>
      <w:r>
        <w:rPr>
          <w:rFonts w:ascii="黑体" w:eastAsia="黑体" w:hint="eastAsia"/>
          <w:b/>
          <w:w w:val="95"/>
          <w:sz w:val="18"/>
        </w:rPr>
        <w:t>酒后驾驶</w:t>
      </w:r>
      <w:r>
        <w:rPr>
          <w:w w:val="95"/>
          <w:sz w:val="18"/>
        </w:rPr>
        <w:t>：指经检测或鉴定，发生事故时车辆驾驶人员每百毫升血液中的酒精含量达到或超过一定的标准，公安机关交通管</w:t>
      </w:r>
    </w:p>
    <w:p>
      <w:pPr>
        <w:spacing w:line="234" w:lineRule="exact" w:before="0"/>
        <w:ind w:left="100" w:right="0" w:firstLine="0"/>
        <w:jc w:val="left"/>
        <w:rPr>
          <w:sz w:val="18"/>
        </w:rPr>
      </w:pPr>
      <w:r>
        <w:rPr>
          <w:sz w:val="18"/>
        </w:rPr>
        <w:t>理部门依据《道路交通安全法》的规定认定为饮酒后驾驶或醉酒后驾驶。</w:t>
      </w:r>
    </w:p>
    <w:p>
      <w:pPr>
        <w:spacing w:line="233" w:lineRule="exact" w:before="0"/>
        <w:ind w:left="100" w:right="0" w:firstLine="0"/>
        <w:jc w:val="left"/>
        <w:rPr>
          <w:sz w:val="18"/>
        </w:rPr>
      </w:pPr>
      <w:r>
        <w:rPr>
          <w:rFonts w:ascii="Times New Roman" w:eastAsia="Times New Roman"/>
          <w:w w:val="95"/>
          <w:position w:val="8"/>
          <w:sz w:val="12"/>
        </w:rPr>
        <w:t>5</w:t>
      </w:r>
      <w:r>
        <w:rPr>
          <w:rFonts w:ascii="黑体" w:eastAsia="黑体" w:hint="eastAsia"/>
          <w:b/>
          <w:w w:val="95"/>
          <w:sz w:val="18"/>
        </w:rPr>
        <w:t>无合法有效驾驶证驾驶</w:t>
      </w:r>
      <w:r>
        <w:rPr>
          <w:w w:val="95"/>
          <w:sz w:val="18"/>
        </w:rPr>
        <w:t>：指下列情形之一：</w:t>
      </w:r>
    </w:p>
    <w:p>
      <w:pPr>
        <w:spacing w:line="233" w:lineRule="exact" w:before="0"/>
        <w:ind w:left="100" w:right="0" w:firstLine="0"/>
        <w:jc w:val="left"/>
        <w:rPr>
          <w:sz w:val="18"/>
        </w:rPr>
      </w:pPr>
      <w:r>
        <w:rPr>
          <w:sz w:val="18"/>
        </w:rPr>
        <w:t>（1）没有取得驾驶资格；</w:t>
      </w:r>
    </w:p>
    <w:p>
      <w:pPr>
        <w:spacing w:line="234" w:lineRule="exact" w:before="0"/>
        <w:ind w:left="100" w:right="0" w:firstLine="0"/>
        <w:jc w:val="left"/>
        <w:rPr>
          <w:sz w:val="18"/>
        </w:rPr>
      </w:pPr>
      <w:r>
        <w:rPr>
          <w:sz w:val="18"/>
        </w:rPr>
        <w:t>（2）驾驶与驾驶证准驾车型不相符合的车辆；</w:t>
      </w:r>
    </w:p>
    <w:p>
      <w:pPr>
        <w:spacing w:line="234" w:lineRule="exact" w:before="0"/>
        <w:ind w:left="100" w:right="0" w:firstLine="0"/>
        <w:jc w:val="left"/>
        <w:rPr>
          <w:sz w:val="18"/>
        </w:rPr>
      </w:pPr>
      <w:r>
        <w:rPr>
          <w:sz w:val="18"/>
        </w:rPr>
        <w:t>（3）持审验不合格的驾驶证驾驶；</w:t>
      </w:r>
    </w:p>
    <w:p>
      <w:pPr>
        <w:spacing w:line="233" w:lineRule="exact" w:before="0"/>
        <w:ind w:left="100" w:right="0" w:firstLine="0"/>
        <w:jc w:val="left"/>
        <w:rPr>
          <w:sz w:val="18"/>
        </w:rPr>
      </w:pPr>
      <w:r>
        <w:rPr>
          <w:sz w:val="18"/>
        </w:rPr>
        <w:t>（4）持学习驾驶证学习驾车时，无教练员随车指导，或不按指定时间、路线学习驾车。</w:t>
      </w:r>
    </w:p>
    <w:p>
      <w:pPr>
        <w:spacing w:line="234" w:lineRule="exact" w:before="0"/>
        <w:ind w:left="100" w:right="0" w:firstLine="0"/>
        <w:jc w:val="left"/>
        <w:rPr>
          <w:sz w:val="18"/>
        </w:rPr>
      </w:pPr>
      <w:r>
        <w:rPr>
          <w:rFonts w:ascii="Times New Roman" w:eastAsia="Times New Roman"/>
          <w:w w:val="95"/>
          <w:position w:val="8"/>
          <w:sz w:val="12"/>
        </w:rPr>
        <w:t>6</w:t>
      </w:r>
      <w:r>
        <w:rPr>
          <w:rFonts w:ascii="黑体" w:eastAsia="黑体" w:hint="eastAsia"/>
          <w:b/>
          <w:w w:val="95"/>
          <w:sz w:val="18"/>
        </w:rPr>
        <w:t>无有效行驶证</w:t>
      </w:r>
      <w:r>
        <w:rPr>
          <w:w w:val="95"/>
          <w:sz w:val="18"/>
        </w:rPr>
        <w:t>：指下列情形之一：</w:t>
      </w:r>
    </w:p>
    <w:p>
      <w:pPr>
        <w:spacing w:line="234" w:lineRule="exact" w:before="0"/>
        <w:ind w:left="100" w:right="0" w:firstLine="0"/>
        <w:jc w:val="left"/>
        <w:rPr>
          <w:sz w:val="18"/>
        </w:rPr>
      </w:pPr>
      <w:r>
        <w:rPr>
          <w:sz w:val="18"/>
        </w:rPr>
        <w:t>（1）机动车被依法注销登记的；</w:t>
      </w:r>
    </w:p>
    <w:p>
      <w:pPr>
        <w:spacing w:line="233" w:lineRule="exact" w:before="0"/>
        <w:ind w:left="100" w:right="0" w:firstLine="0"/>
        <w:jc w:val="left"/>
        <w:rPr>
          <w:sz w:val="18"/>
        </w:rPr>
      </w:pPr>
      <w:r>
        <w:rPr>
          <w:sz w:val="18"/>
        </w:rPr>
        <w:t>（2）未依法按时进行或通过机动车安全技术检验。</w:t>
      </w:r>
    </w:p>
    <w:p>
      <w:pPr>
        <w:spacing w:line="233" w:lineRule="exact" w:before="0"/>
        <w:ind w:left="100" w:right="0" w:firstLine="0"/>
        <w:jc w:val="left"/>
        <w:rPr>
          <w:sz w:val="18"/>
        </w:rPr>
      </w:pPr>
      <w:r>
        <w:rPr>
          <w:rFonts w:ascii="Times New Roman" w:eastAsia="Times New Roman"/>
          <w:w w:val="95"/>
          <w:position w:val="8"/>
          <w:sz w:val="12"/>
        </w:rPr>
        <w:t>7</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4" w:lineRule="exact" w:before="0"/>
        <w:ind w:left="100" w:right="0" w:firstLine="0"/>
        <w:jc w:val="left"/>
        <w:rPr>
          <w:sz w:val="18"/>
        </w:rPr>
      </w:pPr>
      <w:r>
        <w:rPr>
          <w:rFonts w:ascii="Times New Roman" w:eastAsia="Times New Roman"/>
          <w:position w:val="8"/>
          <w:sz w:val="12"/>
        </w:rPr>
        <w:t>8</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4" w:lineRule="exact" w:before="0"/>
        <w:ind w:left="100" w:right="0" w:firstLine="0"/>
        <w:jc w:val="left"/>
        <w:rPr>
          <w:sz w:val="18"/>
        </w:rPr>
      </w:pPr>
      <w:r>
        <w:rPr>
          <w:sz w:val="18"/>
        </w:rPr>
        <w:t>垂直传递的特征。</w:t>
      </w:r>
    </w:p>
    <w:p>
      <w:pPr>
        <w:spacing w:line="233" w:lineRule="exact" w:before="0"/>
        <w:ind w:left="100" w:right="0" w:firstLine="0"/>
        <w:jc w:val="left"/>
        <w:rPr>
          <w:sz w:val="18"/>
        </w:rPr>
      </w:pPr>
      <w:r>
        <w:rPr>
          <w:rFonts w:ascii="Times New Roman" w:eastAsia="Times New Roman"/>
          <w:position w:val="8"/>
          <w:sz w:val="12"/>
        </w:rPr>
        <w:t>9</w:t>
      </w:r>
      <w:r>
        <w:rPr>
          <w:rFonts w:ascii="黑体" w:eastAsia="黑体" w:hint="eastAsia"/>
          <w:b/>
          <w:sz w:val="18"/>
        </w:rPr>
        <w:t>先天性畸形、变形或染色体异常</w:t>
      </w:r>
      <w:r>
        <w:rPr>
          <w:sz w:val="18"/>
        </w:rPr>
        <w:t>：指被保险人出生时就具有的畸形、变形或染色体异常。先天性畸形、变形和染色体异常依</w:t>
      </w:r>
    </w:p>
    <w:p>
      <w:pPr>
        <w:spacing w:line="233" w:lineRule="exact" w:before="0"/>
        <w:ind w:left="100" w:right="0" w:firstLine="0"/>
        <w:jc w:val="left"/>
        <w:rPr>
          <w:sz w:val="18"/>
        </w:rPr>
      </w:pPr>
      <w:r>
        <w:rPr>
          <w:sz w:val="18"/>
        </w:rPr>
        <w:t>照世界卫生组织《疾病和有关健康问题的国际统计分类》（ICD-10）确定。</w:t>
      </w:r>
    </w:p>
    <w:p>
      <w:pPr>
        <w:spacing w:line="234" w:lineRule="exact" w:before="0"/>
        <w:ind w:left="100" w:right="0" w:firstLine="0"/>
        <w:jc w:val="left"/>
        <w:rPr>
          <w:sz w:val="18"/>
        </w:rPr>
      </w:pPr>
      <w:r>
        <w:rPr>
          <w:rFonts w:ascii="Times New Roman" w:eastAsia="Times New Roman"/>
          <w:position w:val="8"/>
          <w:sz w:val="12"/>
        </w:rPr>
        <w:t>10</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4" w:lineRule="exact" w:before="0"/>
        <w:ind w:left="100" w:right="0" w:firstLine="0"/>
        <w:jc w:val="left"/>
        <w:rPr>
          <w:sz w:val="18"/>
        </w:rPr>
      </w:pPr>
      <w:r>
        <w:rPr>
          <w:sz w:val="18"/>
        </w:rPr>
        <w:t>准。</w:t>
      </w:r>
    </w:p>
    <w:p>
      <w:pPr>
        <w:spacing w:line="233" w:lineRule="exact" w:before="0"/>
        <w:ind w:left="100" w:right="0" w:firstLine="0"/>
        <w:jc w:val="left"/>
        <w:rPr>
          <w:sz w:val="18"/>
        </w:rPr>
      </w:pPr>
      <w:r>
        <w:rPr>
          <w:rFonts w:ascii="Times New Roman" w:eastAsia="Times New Roman"/>
          <w:w w:val="95"/>
          <w:position w:val="8"/>
          <w:sz w:val="12"/>
        </w:rPr>
        <w:t>11</w:t>
      </w:r>
      <w:r>
        <w:rPr>
          <w:rFonts w:ascii="黑体" w:eastAsia="黑体" w:hint="eastAsia"/>
          <w:b/>
          <w:w w:val="95"/>
          <w:sz w:val="18"/>
        </w:rPr>
        <w:t>军事冲突</w:t>
      </w:r>
      <w:r>
        <w:rPr>
          <w:w w:val="95"/>
          <w:sz w:val="18"/>
        </w:rPr>
        <w:t>：指国家或民族之间在一定范围内的武装对抗，以政府宣布为准。</w:t>
      </w:r>
    </w:p>
    <w:p>
      <w:pPr>
        <w:spacing w:line="233" w:lineRule="exact" w:before="0"/>
        <w:ind w:left="100" w:right="0" w:firstLine="0"/>
        <w:jc w:val="left"/>
        <w:rPr>
          <w:sz w:val="18"/>
        </w:rPr>
      </w:pPr>
      <w:r>
        <w:rPr>
          <w:rFonts w:ascii="Times New Roman" w:eastAsia="Times New Roman"/>
          <w:w w:val="95"/>
          <w:position w:val="8"/>
          <w:sz w:val="12"/>
        </w:rPr>
        <w:t>12</w:t>
      </w:r>
      <w:r>
        <w:rPr>
          <w:rFonts w:ascii="黑体" w:eastAsia="黑体" w:hint="eastAsia"/>
          <w:b/>
          <w:w w:val="95"/>
          <w:sz w:val="18"/>
        </w:rPr>
        <w:t>暴乱</w:t>
      </w:r>
      <w:r>
        <w:rPr>
          <w:w w:val="95"/>
          <w:sz w:val="18"/>
        </w:rPr>
        <w:t>：指破坏社会秩序的武装骚动，以政府宣布为准。</w:t>
      </w:r>
    </w:p>
    <w:p>
      <w:pPr>
        <w:spacing w:line="234" w:lineRule="exact" w:before="0"/>
        <w:ind w:left="100" w:right="0" w:firstLine="0"/>
        <w:jc w:val="left"/>
        <w:rPr>
          <w:sz w:val="18"/>
        </w:rPr>
      </w:pPr>
      <w:r>
        <w:rPr>
          <w:rFonts w:ascii="Times New Roman" w:hAnsi="Times New Roman" w:eastAsia="Times New Roman"/>
          <w:position w:val="8"/>
          <w:sz w:val="12"/>
        </w:rPr>
        <w:t>13</w:t>
      </w:r>
      <w:r>
        <w:rPr>
          <w:rFonts w:ascii="黑体" w:hAnsi="黑体" w:eastAsia="黑体" w:hint="eastAsia"/>
          <w:b/>
          <w:sz w:val="18"/>
        </w:rPr>
        <w:t>未满期净保险费</w:t>
      </w:r>
      <w:r>
        <w:rPr>
          <w:sz w:val="18"/>
        </w:rPr>
        <w:t>：指最后一期已交付保险费×（1-35%）×（1－该保险费所保障的已经过日数/该保险费所保障的日数）。经</w:t>
      </w:r>
    </w:p>
    <w:p>
      <w:pPr>
        <w:spacing w:before="0"/>
        <w:ind w:left="100" w:right="0" w:firstLine="0"/>
        <w:jc w:val="left"/>
        <w:rPr>
          <w:sz w:val="18"/>
        </w:rPr>
      </w:pPr>
      <w:r>
        <w:rPr>
          <w:sz w:val="18"/>
        </w:rPr>
        <w:t>过日数不足一日的按一日计算。</w:t>
      </w:r>
    </w:p>
    <w:p>
      <w:pPr>
        <w:spacing w:after="0"/>
        <w:jc w:val="left"/>
        <w:rPr>
          <w:sz w:val="18"/>
        </w:rPr>
        <w:sectPr>
          <w:pgSz w:w="11910" w:h="16840"/>
          <w:pgMar w:header="0" w:footer="806" w:top="1340" w:bottom="1000" w:left="920" w:right="900"/>
        </w:sectPr>
      </w:pPr>
    </w:p>
    <w:p>
      <w:pPr>
        <w:pStyle w:val="Heading1"/>
        <w:spacing w:line="343" w:lineRule="exact"/>
      </w:pPr>
      <w:bookmarkStart w:name="_TOC_250010" w:id="12"/>
      <w:bookmarkEnd w:id="12"/>
      <w:r>
        <w:rPr/>
        <w:t>第四部分 如何申请保险金</w:t>
      </w:r>
    </w:p>
    <w:p>
      <w:pPr>
        <w:pStyle w:val="BodyText"/>
        <w:ind w:left="0"/>
        <w:rPr>
          <w:rFonts w:ascii="微软雅黑"/>
          <w:b/>
          <w:sz w:val="15"/>
        </w:rPr>
      </w:pPr>
    </w:p>
    <w:p>
      <w:pPr>
        <w:pStyle w:val="Heading2"/>
        <w:tabs>
          <w:tab w:pos="940" w:val="left" w:leader="none"/>
        </w:tabs>
        <w:spacing w:line="329" w:lineRule="exact"/>
      </w:pPr>
      <w:bookmarkStart w:name="_TOC_250009" w:id="13"/>
      <w:bookmarkEnd w:id="13"/>
      <w:r>
        <w:rPr/>
        <w:t>第九条</w:t>
        <w:tab/>
        <w:t>受益人</w:t>
      </w:r>
    </w:p>
    <w:p>
      <w:pPr>
        <w:pStyle w:val="BodyText"/>
        <w:spacing w:before="6"/>
        <w:ind w:left="0"/>
        <w:rPr>
          <w:rFonts w:ascii="微软雅黑"/>
          <w:b/>
          <w:sz w:val="16"/>
        </w:rPr>
      </w:pPr>
    </w:p>
    <w:p>
      <w:pPr>
        <w:pStyle w:val="BodyText"/>
        <w:spacing w:line="273" w:lineRule="exact"/>
      </w:pPr>
      <w:r>
        <w:rPr/>
        <w:t>您或者被保险人可以指定一人或多人为身故保险金受益人。</w:t>
      </w:r>
    </w:p>
    <w:p>
      <w:pPr>
        <w:pStyle w:val="BodyText"/>
        <w:ind w:left="100" w:right="225" w:firstLine="420"/>
      </w:pPr>
      <w:r>
        <w:rPr/>
        <w:t>身故保险金受益人为多人时，可以确定受益顺序和受益份额；如果没有确定份额，各受益人按照相等份额享有受益权。</w:t>
      </w:r>
    </w:p>
    <w:p>
      <w:pPr>
        <w:pStyle w:val="BodyText"/>
        <w:spacing w:line="271" w:lineRule="exact" w:before="2"/>
      </w:pPr>
      <w:r>
        <w:rPr/>
        <w:t>被保险人为无民事行为能力人或限制民事行为能力人的，可以由其监护人指定受益人。</w:t>
      </w:r>
    </w:p>
    <w:p>
      <w:pPr>
        <w:pStyle w:val="BodyText"/>
        <w:spacing w:line="237" w:lineRule="auto" w:before="1"/>
        <w:ind w:left="100" w:right="229" w:firstLine="420"/>
      </w:pPr>
      <w:r>
        <w:rPr/>
        <w:t>您或者被保险人可以变更身故保险金受益人并书面通知我们。我们收到变更受益人的书面通知后，在保险单或其他保险凭证上批注或附贴批单。</w:t>
      </w:r>
    </w:p>
    <w:p>
      <w:pPr>
        <w:pStyle w:val="BodyText"/>
        <w:spacing w:line="272" w:lineRule="exact"/>
      </w:pPr>
      <w:r>
        <w:rPr/>
        <w:t>您在指定和变更身故保险金受益人时，必须经过被保险人同意。</w:t>
      </w:r>
    </w:p>
    <w:p>
      <w:pPr>
        <w:pStyle w:val="BodyText"/>
        <w:ind w:left="100" w:right="215" w:firstLine="420"/>
      </w:pPr>
      <w:r>
        <w:rPr/>
        <w:t>被保险人身故后，有下列情形之一的，保险金作为被保险人的遗产，由我们依照《中华人民共和国继承法》的规定履行给付保险金的义务：</w:t>
      </w:r>
    </w:p>
    <w:p>
      <w:pPr>
        <w:pStyle w:val="BodyText"/>
        <w:spacing w:line="271" w:lineRule="exact" w:before="1"/>
      </w:pPr>
      <w:r>
        <w:rPr/>
        <w:t>（1）没有指定受益人，或者受益人指定不明无法确定的；</w:t>
      </w:r>
    </w:p>
    <w:p>
      <w:pPr>
        <w:pStyle w:val="BodyText"/>
        <w:spacing w:line="272" w:lineRule="exact"/>
      </w:pPr>
      <w:r>
        <w:rPr/>
        <w:t>（2）受益人先于被保险人身故，没有其它受益人的；</w:t>
      </w:r>
    </w:p>
    <w:p>
      <w:pPr>
        <w:pStyle w:val="BodyText"/>
        <w:spacing w:line="272" w:lineRule="exact"/>
      </w:pPr>
      <w:r>
        <w:rPr/>
        <w:t>（3）受益人依法丧失受益权或者放弃受益权，没有其它受益人的。</w:t>
      </w:r>
    </w:p>
    <w:p>
      <w:pPr>
        <w:pStyle w:val="BodyText"/>
        <w:spacing w:line="241" w:lineRule="exact"/>
      </w:pPr>
      <w:r>
        <w:rPr/>
        <w:t>受益人与被保险人在同一事件中身故，且不能确定身故先后顺序的，推定受益人身故在先。</w:t>
      </w:r>
    </w:p>
    <w:p>
      <w:pPr>
        <w:spacing w:line="330" w:lineRule="exact" w:before="0"/>
        <w:ind w:left="522" w:right="0" w:firstLine="0"/>
        <w:jc w:val="left"/>
        <w:rPr>
          <w:rFonts w:ascii="微软雅黑" w:eastAsia="微软雅黑" w:hint="eastAsia"/>
          <w:b/>
          <w:sz w:val="21"/>
        </w:rPr>
      </w:pPr>
      <w:r>
        <w:rPr>
          <w:rFonts w:ascii="微软雅黑" w:eastAsia="微软雅黑" w:hint="eastAsia"/>
          <w:b/>
          <w:sz w:val="21"/>
        </w:rPr>
        <w:t>受益人故意造成被保险人身故、伤残、疾病的，或者故意杀害被保险人未遂的，该受益人丧失受益</w:t>
      </w:r>
    </w:p>
    <w:p>
      <w:pPr>
        <w:spacing w:line="259" w:lineRule="exact" w:before="0"/>
        <w:ind w:left="100" w:right="0" w:firstLine="0"/>
        <w:jc w:val="left"/>
        <w:rPr>
          <w:rFonts w:ascii="微软雅黑" w:eastAsia="微软雅黑" w:hint="eastAsia"/>
          <w:b/>
          <w:sz w:val="21"/>
        </w:rPr>
      </w:pPr>
      <w:r>
        <w:rPr>
          <w:rFonts w:ascii="微软雅黑" w:eastAsia="微软雅黑" w:hint="eastAsia"/>
          <w:b/>
          <w:sz w:val="21"/>
        </w:rPr>
        <w:t>权。</w:t>
      </w:r>
    </w:p>
    <w:p>
      <w:pPr>
        <w:pStyle w:val="BodyText"/>
        <w:spacing w:line="260" w:lineRule="exact"/>
      </w:pPr>
      <w:r>
        <w:rPr/>
        <w:t>除另有约定，重大疾病保险金的受益人为被保险人本人。</w:t>
      </w:r>
    </w:p>
    <w:p>
      <w:pPr>
        <w:pStyle w:val="BodyText"/>
        <w:spacing w:before="12"/>
        <w:ind w:left="0"/>
        <w:rPr>
          <w:sz w:val="18"/>
        </w:rPr>
      </w:pPr>
    </w:p>
    <w:p>
      <w:pPr>
        <w:pStyle w:val="Heading2"/>
        <w:tabs>
          <w:tab w:pos="940" w:val="left" w:leader="none"/>
        </w:tabs>
      </w:pPr>
      <w:bookmarkStart w:name="_TOC_250008" w:id="14"/>
      <w:r>
        <w:rPr/>
        <w:t>第十条</w:t>
        <w:tab/>
      </w:r>
      <w:r>
        <w:rPr>
          <w:spacing w:val="-1"/>
        </w:rPr>
        <w:t>保</w:t>
      </w:r>
      <w:bookmarkEnd w:id="14"/>
      <w:r>
        <w:rPr/>
        <w:t>险事故的通知</w:t>
      </w:r>
    </w:p>
    <w:p>
      <w:pPr>
        <w:pStyle w:val="BodyText"/>
        <w:spacing w:before="16"/>
        <w:ind w:left="0"/>
        <w:rPr>
          <w:rFonts w:ascii="微软雅黑"/>
          <w:b/>
          <w:sz w:val="17"/>
        </w:rPr>
      </w:pPr>
    </w:p>
    <w:p>
      <w:pPr>
        <w:spacing w:line="180" w:lineRule="auto" w:before="0"/>
        <w:ind w:left="100" w:right="218" w:firstLine="420"/>
        <w:jc w:val="both"/>
        <w:rPr>
          <w:sz w:val="21"/>
        </w:rPr>
      </w:pPr>
      <w:r>
        <w:rPr>
          <w:sz w:val="21"/>
        </w:rPr>
        <w:t>您、被保险人或受益人知道保险事故发生后，应当在 10 日内通知我们。</w:t>
      </w:r>
      <w:r>
        <w:rPr>
          <w:rFonts w:ascii="微软雅黑" w:eastAsia="微软雅黑" w:hint="eastAsia"/>
          <w:b/>
          <w:sz w:val="21"/>
        </w:rPr>
        <w:t>若您、被保险人或受益人故意或者因重大过失未及时通知，致使保险事故的性质、原因、损失程度等难以确定的，我们对无法确定的部分，不承担给付保险金的责任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，但我们通过其他途径已经及时知道或者应当及时知道保险事故发生的除</w:t>
      </w:r>
    </w:p>
    <w:p>
      <w:pPr>
        <w:pStyle w:val="BodyText"/>
        <w:spacing w:line="249" w:lineRule="exact"/>
        <w:ind w:left="100"/>
      </w:pPr>
      <w:r>
        <w:rPr/>
        <w:t>外。</w:t>
      </w:r>
    </w:p>
    <w:p>
      <w:pPr>
        <w:pStyle w:val="BodyText"/>
        <w:spacing w:before="11"/>
        <w:ind w:left="0"/>
        <w:rPr>
          <w:sz w:val="18"/>
        </w:rPr>
      </w:pPr>
    </w:p>
    <w:p>
      <w:pPr>
        <w:pStyle w:val="Heading2"/>
        <w:tabs>
          <w:tab w:pos="1151" w:val="left" w:leader="none"/>
        </w:tabs>
      </w:pPr>
      <w:bookmarkStart w:name="_TOC_250007" w:id="15"/>
      <w:bookmarkEnd w:id="15"/>
      <w:r>
        <w:rPr/>
        <w:t>第十一条</w:t>
        <w:tab/>
        <w:t>诉讼时效</w:t>
      </w:r>
    </w:p>
    <w:p>
      <w:pPr>
        <w:pStyle w:val="BodyText"/>
        <w:spacing w:before="6"/>
        <w:ind w:left="0"/>
        <w:rPr>
          <w:rFonts w:ascii="微软雅黑"/>
          <w:b/>
          <w:sz w:val="16"/>
        </w:rPr>
      </w:pPr>
    </w:p>
    <w:p>
      <w:pPr>
        <w:pStyle w:val="BodyText"/>
        <w:tabs>
          <w:tab w:pos="1151" w:val="left" w:leader="none"/>
        </w:tabs>
        <w:spacing w:line="456" w:lineRule="auto"/>
        <w:ind w:left="100" w:right="110" w:firstLine="420"/>
        <w:rPr>
          <w:rFonts w:ascii="微软雅黑" w:eastAsia="微软雅黑" w:hint="eastAsia"/>
          <w:b/>
        </w:rPr>
      </w:pPr>
      <w:r>
        <w:rPr/>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
        </w:rPr>
        <w:t>2年</w:t>
      </w:r>
      <w:r>
        <w:rPr>
          <w:spacing w:val="-8"/>
        </w:rPr>
        <w:t>，</w:t>
      </w:r>
      <w:r>
        <w:rPr/>
        <w:t>自其</w:t>
      </w:r>
      <w:r>
        <w:rPr>
          <w:spacing w:val="-3"/>
        </w:rPr>
        <w:t>知</w:t>
      </w:r>
      <w:r>
        <w:rPr/>
        <w:t>道</w:t>
      </w:r>
      <w:r>
        <w:rPr>
          <w:spacing w:val="-3"/>
        </w:rPr>
        <w:t>或</w:t>
      </w:r>
      <w:r>
        <w:rPr/>
        <w:t>者</w:t>
      </w:r>
      <w:r>
        <w:rPr>
          <w:spacing w:val="-3"/>
        </w:rPr>
        <w:t>应</w:t>
      </w:r>
      <w:r>
        <w:rPr/>
        <w:t>当</w:t>
      </w:r>
      <w:r>
        <w:rPr>
          <w:spacing w:val="-3"/>
        </w:rPr>
        <w:t>知道</w:t>
      </w:r>
      <w:r>
        <w:rPr/>
        <w:t>保险</w:t>
      </w:r>
      <w:r>
        <w:rPr>
          <w:spacing w:val="-3"/>
        </w:rPr>
        <w:t>事</w:t>
      </w:r>
      <w:r>
        <w:rPr/>
        <w:t>故</w:t>
      </w:r>
      <w:r>
        <w:rPr>
          <w:spacing w:val="-3"/>
        </w:rPr>
        <w:t>发</w:t>
      </w:r>
      <w:r>
        <w:rPr/>
        <w:t>生</w:t>
      </w:r>
      <w:r>
        <w:rPr>
          <w:spacing w:val="-3"/>
        </w:rPr>
        <w:t>之</w:t>
      </w:r>
      <w:r>
        <w:rPr/>
        <w:t>日</w:t>
      </w:r>
      <w:r>
        <w:rPr>
          <w:spacing w:val="-3"/>
        </w:rPr>
        <w:t>起</w:t>
      </w:r>
      <w:r>
        <w:rPr/>
        <w:t>计</w:t>
      </w:r>
      <w:r>
        <w:rPr>
          <w:spacing w:val="-3"/>
        </w:rPr>
        <w:t>算</w:t>
      </w:r>
      <w:r>
        <w:rPr/>
        <w:t>。</w:t>
      </w:r>
      <w:r>
        <w:rPr>
          <w:rFonts w:ascii="微软雅黑" w:eastAsia="微软雅黑" w:hint="eastAsia"/>
          <w:b/>
        </w:rPr>
        <w:t>第十二条</w:t>
        <w:tab/>
        <w:t>保险金申请</w:t>
      </w:r>
    </w:p>
    <w:p>
      <w:pPr>
        <w:pStyle w:val="BodyText"/>
        <w:spacing w:line="274" w:lineRule="exact" w:before="33"/>
      </w:pPr>
      <w:r>
        <w:rPr/>
        <w:t>在申请保险金时，请按照下列方式办理：</w:t>
      </w:r>
    </w:p>
    <w:p>
      <w:pPr>
        <w:pStyle w:val="BodyText"/>
        <w:spacing w:line="237" w:lineRule="auto" w:before="2"/>
        <w:ind w:left="100" w:right="215" w:firstLine="420"/>
      </w:pPr>
      <w:r>
        <w:rPr/>
        <w:t>在申请重大疾病保险金时，由受益人作为申请人，申请人须填写保险金给付申请书，并提供下列证明和资料：</w:t>
      </w:r>
    </w:p>
    <w:p>
      <w:pPr>
        <w:pStyle w:val="BodyText"/>
        <w:spacing w:line="241" w:lineRule="exact"/>
      </w:pPr>
      <w:r>
        <w:rPr/>
        <w:t>（1）本附加合同；</w:t>
      </w:r>
    </w:p>
    <w:p>
      <w:pPr>
        <w:spacing w:line="317" w:lineRule="exact" w:before="0"/>
        <w:ind w:left="520" w:right="0" w:firstLine="0"/>
        <w:jc w:val="left"/>
        <w:rPr>
          <w:sz w:val="21"/>
        </w:rPr>
      </w:pPr>
      <w:r>
        <w:rPr>
          <w:sz w:val="21"/>
        </w:rPr>
        <w:t>（2）申请人的</w:t>
      </w:r>
      <w:r>
        <w:rPr>
          <w:rFonts w:ascii="微软雅黑" w:eastAsia="微软雅黑" w:hint="eastAsia"/>
          <w:b/>
          <w:sz w:val="21"/>
        </w:rPr>
        <w:t>有效身份证件</w:t>
      </w:r>
      <w:r>
        <w:rPr>
          <w:rFonts w:ascii="黑体" w:eastAsia="黑体" w:hint="eastAsia"/>
          <w:b/>
          <w:position w:val="11"/>
          <w:sz w:val="11"/>
        </w:rPr>
        <w:t>14</w:t>
      </w:r>
      <w:r>
        <w:rPr>
          <w:sz w:val="21"/>
        </w:rPr>
        <w:t>；</w:t>
      </w:r>
    </w:p>
    <w:p>
      <w:pPr>
        <w:pStyle w:val="BodyText"/>
        <w:spacing w:line="237" w:lineRule="auto"/>
        <w:ind w:left="100" w:right="311" w:firstLine="420"/>
      </w:pPr>
      <w:r>
        <w:rPr/>
        <w:t>（3）由专科医生出具的被保险人的疾病诊断证明书，以及由医院出具的与该疾病诊断证明书相关的病理显微镜检查、血液检验及其他科学方法检验报告；</w:t>
      </w:r>
    </w:p>
    <w:p>
      <w:pPr>
        <w:pStyle w:val="BodyText"/>
        <w:spacing w:line="274" w:lineRule="exact" w:before="10"/>
        <w:ind w:left="518"/>
      </w:pPr>
      <w:r>
        <w:rPr/>
        <w:t>（4）与确认保险事故的性质、原因等有关的其它证明和资料。</w:t>
      </w:r>
    </w:p>
    <w:p>
      <w:pPr>
        <w:tabs>
          <w:tab w:pos="1151" w:val="left" w:leader="none"/>
        </w:tabs>
        <w:spacing w:line="456" w:lineRule="auto" w:before="151"/>
        <w:ind w:left="100" w:right="1881" w:firstLine="425"/>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第十三条</w:t>
        <w:tab/>
        <w:t>保险金给付</w:t>
      </w:r>
    </w:p>
    <w:p>
      <w:pPr>
        <w:pStyle w:val="BodyText"/>
        <w:spacing w:before="9"/>
        <w:ind w:left="0"/>
        <w:rPr>
          <w:rFonts w:ascii="微软雅黑"/>
          <w:b/>
          <w:sz w:val="19"/>
        </w:rPr>
      </w:pPr>
      <w:r>
        <w:rPr/>
        <w:pict>
          <v:line style="position:absolute;mso-position-horizontal-relative:page;mso-position-vertical-relative:paragraph;z-index:1120;mso-wrap-distance-left:0;mso-wrap-distance-right:0" from="51pt,19.058510pt" to="195.05pt,19.058510pt" stroked="true" strokeweight=".47998pt" strokecolor="#000000">
            <v:stroke dashstyle="solid"/>
            <w10:wrap type="topAndBottom"/>
          </v:line>
        </w:pict>
      </w:r>
    </w:p>
    <w:p>
      <w:pPr>
        <w:spacing w:line="283" w:lineRule="exact" w:before="0"/>
        <w:ind w:left="100" w:right="0" w:firstLine="0"/>
        <w:jc w:val="left"/>
        <w:rPr>
          <w:sz w:val="18"/>
        </w:rPr>
      </w:pPr>
      <w:r>
        <w:rPr>
          <w:rFonts w:ascii="Times New Roman" w:eastAsia="Times New Roman"/>
          <w:position w:val="8"/>
          <w:sz w:val="12"/>
        </w:rPr>
        <w:t>14</w:t>
      </w:r>
      <w:r>
        <w:rPr>
          <w:rFonts w:ascii="微软雅黑" w:eastAsia="微软雅黑" w:hint="eastAsia"/>
          <w:b/>
          <w:sz w:val="18"/>
        </w:rPr>
        <w:t>有效身份证件</w:t>
      </w:r>
      <w:r>
        <w:rPr>
          <w:sz w:val="18"/>
        </w:rPr>
        <w:t>：指依据法律规定，由政府相关部门制作颁发的证明身份的证件、文件等，如居民身份证、户口簿、护照、军</w:t>
      </w:r>
    </w:p>
    <w:p>
      <w:pPr>
        <w:spacing w:line="224" w:lineRule="exact" w:before="0"/>
        <w:ind w:left="100" w:right="0" w:firstLine="0"/>
        <w:jc w:val="left"/>
        <w:rPr>
          <w:sz w:val="18"/>
        </w:rPr>
      </w:pPr>
      <w:r>
        <w:rPr>
          <w:sz w:val="18"/>
        </w:rPr>
        <w:t>人证等。</w:t>
      </w:r>
    </w:p>
    <w:p>
      <w:pPr>
        <w:spacing w:after="0" w:line="224" w:lineRule="exact"/>
        <w:jc w:val="left"/>
        <w:rPr>
          <w:sz w:val="18"/>
        </w:rPr>
        <w:sectPr>
          <w:pgSz w:w="11910" w:h="16840"/>
          <w:pgMar w:header="0" w:footer="806" w:top="1360" w:bottom="1000" w:left="920" w:right="800"/>
        </w:sectPr>
      </w:pPr>
    </w:p>
    <w:p>
      <w:pPr>
        <w:pStyle w:val="BodyText"/>
        <w:spacing w:line="237" w:lineRule="auto" w:before="8"/>
        <w:ind w:left="100" w:right="213" w:firstLine="420"/>
      </w:pPr>
      <w:r>
        <w:rPr>
          <w:spacing w:val="-3"/>
        </w:rPr>
        <w:t>我们在收到保险金给付申请书及本附加合同约定的有关证明和资料后，将在5日内作出核定；情形复杂</w:t>
      </w:r>
      <w:r>
        <w:rPr>
          <w:spacing w:val="-2"/>
        </w:rPr>
        <w:t>的，在</w:t>
      </w:r>
      <w:r>
        <w:rPr/>
        <w:t>30</w:t>
      </w:r>
      <w:r>
        <w:rPr>
          <w:spacing w:val="-5"/>
        </w:rPr>
        <w:t>日内作出核定。对属于保险责任的，我们在与受益人达成给付保险金的协议后</w:t>
      </w:r>
      <w:r>
        <w:rPr/>
        <w:t>10</w:t>
      </w:r>
      <w:r>
        <w:rPr>
          <w:spacing w:val="-3"/>
        </w:rPr>
        <w:t>日内，履行给付保险金义务。</w:t>
      </w:r>
    </w:p>
    <w:p>
      <w:pPr>
        <w:pStyle w:val="BodyText"/>
        <w:spacing w:line="271" w:lineRule="exact"/>
      </w:pPr>
      <w:r>
        <w:rPr/>
        <w:t>我们未及时履行前款规定义务的，除支付保险金外，应当赔偿受益人因此受到的损失。</w:t>
      </w:r>
    </w:p>
    <w:p>
      <w:pPr>
        <w:pStyle w:val="BodyText"/>
        <w:spacing w:line="237" w:lineRule="auto" w:before="3"/>
        <w:ind w:left="100" w:right="216" w:firstLine="420"/>
      </w:pPr>
      <w:r>
        <w:rPr/>
        <w:t>赔偿损失范围和损失计算方法：按最近一次中国人民银行公布的金融机构人民币一年期定期存款基准利率以单利方式计算逾期给付保险金的利息损失。</w:t>
      </w:r>
    </w:p>
    <w:p>
      <w:pPr>
        <w:pStyle w:val="BodyText"/>
        <w:spacing w:line="237" w:lineRule="auto" w:before="1"/>
        <w:ind w:right="215"/>
      </w:pPr>
      <w:r>
        <w:rPr>
          <w:spacing w:val="-3"/>
        </w:rPr>
        <w:t>对不属于保险责任的，我们自作出核定之日起</w:t>
      </w:r>
      <w:r>
        <w:rPr/>
        <w:t>3</w:t>
      </w:r>
      <w:r>
        <w:rPr>
          <w:spacing w:val="-3"/>
        </w:rPr>
        <w:t>日内向受益人发出拒绝给付保险金通知书并说明理由。我们在收到保险金给付申请书及有关证明和资料之日起</w:t>
      </w:r>
      <w:r>
        <w:rPr/>
        <w:t>60</w:t>
      </w:r>
      <w:r>
        <w:rPr>
          <w:spacing w:val="-3"/>
        </w:rPr>
        <w:t>日内，对属于保险责任而给付保险金的数额不</w:t>
      </w:r>
    </w:p>
    <w:p>
      <w:pPr>
        <w:pStyle w:val="BodyText"/>
        <w:spacing w:line="237" w:lineRule="auto" w:before="1"/>
        <w:ind w:left="100" w:right="214"/>
      </w:pPr>
      <w:r>
        <w:rPr/>
        <w:t>能确定的，根据已有证明和资料可以确定的数额先予支付；我们最终确定给付保险金的数额后，将支付相应的差额。</w:t>
      </w:r>
    </w:p>
    <w:p>
      <w:pPr>
        <w:pStyle w:val="BodyText"/>
        <w:spacing w:before="10"/>
        <w:ind w:left="0"/>
        <w:rPr>
          <w:sz w:val="17"/>
        </w:rPr>
      </w:pPr>
    </w:p>
    <w:p>
      <w:pPr>
        <w:pStyle w:val="Heading1"/>
        <w:spacing w:before="1"/>
      </w:pPr>
      <w:bookmarkStart w:name="_TOC_250006" w:id="16"/>
      <w:bookmarkEnd w:id="16"/>
      <w:r>
        <w:rPr/>
        <w:t>第五部分 您还享有哪些权益</w:t>
      </w:r>
    </w:p>
    <w:p>
      <w:pPr>
        <w:pStyle w:val="BodyText"/>
        <w:spacing w:before="15"/>
        <w:ind w:left="0"/>
        <w:rPr>
          <w:rFonts w:ascii="微软雅黑"/>
          <w:b/>
          <w:sz w:val="12"/>
        </w:rPr>
      </w:pPr>
    </w:p>
    <w:p>
      <w:pPr>
        <w:pStyle w:val="Heading2"/>
        <w:tabs>
          <w:tab w:pos="1151" w:val="left" w:leader="none"/>
        </w:tabs>
      </w:pPr>
      <w:bookmarkStart w:name="_TOC_250005" w:id="17"/>
      <w:bookmarkEnd w:id="17"/>
      <w:r>
        <w:rPr/>
        <w:t>第十四条</w:t>
        <w:tab/>
        <w:t>合同内容变更</w:t>
      </w:r>
    </w:p>
    <w:p>
      <w:pPr>
        <w:pStyle w:val="BodyText"/>
        <w:spacing w:before="11"/>
        <w:ind w:left="0"/>
        <w:rPr>
          <w:rFonts w:ascii="微软雅黑"/>
          <w:b/>
          <w:sz w:val="16"/>
        </w:rPr>
      </w:pPr>
    </w:p>
    <w:p>
      <w:pPr>
        <w:pStyle w:val="BodyText"/>
        <w:spacing w:line="237" w:lineRule="auto"/>
        <w:ind w:left="100" w:right="218" w:firstLine="420"/>
      </w:pPr>
      <w:r>
        <w:rPr/>
        <w:t>您和我们可以协商变更本附加合同的内容。变更本附加合同时，您应填写变更合同申请书，经我们审核同意后，由我们在保险单或者其他保险凭证上批注或者附贴批单，或者由您和我们订立变更的书面协议。</w:t>
      </w:r>
    </w:p>
    <w:p>
      <w:pPr>
        <w:pStyle w:val="BodyText"/>
        <w:spacing w:before="12"/>
        <w:ind w:left="0"/>
        <w:rPr>
          <w:sz w:val="18"/>
        </w:rPr>
      </w:pPr>
    </w:p>
    <w:p>
      <w:pPr>
        <w:pStyle w:val="Heading2"/>
        <w:tabs>
          <w:tab w:pos="1151" w:val="left" w:leader="none"/>
        </w:tabs>
      </w:pPr>
      <w:bookmarkStart w:name="_TOC_250004" w:id="18"/>
      <w:r>
        <w:rPr/>
        <w:t>第十五条</w:t>
        <w:tab/>
        <w:t>您解除合同的手续</w:t>
      </w:r>
      <w:r>
        <w:rPr>
          <w:spacing w:val="-3"/>
        </w:rPr>
        <w:t>及</w:t>
      </w:r>
      <w:bookmarkEnd w:id="18"/>
      <w:r>
        <w:rPr/>
        <w:t>风险</w:t>
      </w:r>
    </w:p>
    <w:p>
      <w:pPr>
        <w:pStyle w:val="BodyText"/>
        <w:spacing w:before="5"/>
        <w:ind w:left="0"/>
        <w:rPr>
          <w:rFonts w:ascii="微软雅黑"/>
          <w:b/>
          <w:sz w:val="16"/>
        </w:rPr>
      </w:pPr>
    </w:p>
    <w:p>
      <w:pPr>
        <w:pStyle w:val="BodyText"/>
        <w:spacing w:line="274" w:lineRule="exact" w:before="1"/>
      </w:pPr>
      <w:r>
        <w:rPr/>
        <w:t>若被保险人未发生保险事故，且您申请解除本附加合同，请填写解除合同申请书并向我们提供下列资料：</w:t>
      </w:r>
    </w:p>
    <w:p>
      <w:pPr>
        <w:pStyle w:val="BodyText"/>
        <w:spacing w:line="272" w:lineRule="exact"/>
      </w:pPr>
      <w:r>
        <w:rPr/>
        <w:t>（1）本附加合同；</w:t>
      </w:r>
    </w:p>
    <w:p>
      <w:pPr>
        <w:pStyle w:val="BodyText"/>
        <w:spacing w:line="272" w:lineRule="exact"/>
      </w:pPr>
      <w:r>
        <w:rPr/>
        <w:t>（2）您的有效身份证件。</w:t>
      </w:r>
    </w:p>
    <w:p>
      <w:pPr>
        <w:pStyle w:val="BodyText"/>
        <w:spacing w:line="237" w:lineRule="auto" w:before="2"/>
        <w:ind w:left="100" w:right="215" w:firstLine="420"/>
      </w:pPr>
      <w:r>
        <w:rPr/>
        <w:t>自我们收到解除合同申请书之日起，本附加合同终止。我们自收到解除合同申请书之日起30日内向您退还本附加合同的未满期净保险费。</w:t>
      </w:r>
    </w:p>
    <w:p>
      <w:pPr>
        <w:pStyle w:val="BodyText"/>
        <w:spacing w:line="274" w:lineRule="exact"/>
      </w:pPr>
      <w:r>
        <w:rPr/>
        <w:t>您解除合同会遭受一定损失。</w:t>
      </w:r>
    </w:p>
    <w:p>
      <w:pPr>
        <w:pStyle w:val="BodyText"/>
        <w:spacing w:before="8"/>
        <w:ind w:left="0"/>
        <w:rPr>
          <w:sz w:val="17"/>
        </w:rPr>
      </w:pPr>
    </w:p>
    <w:p>
      <w:pPr>
        <w:pStyle w:val="Heading1"/>
        <w:tabs>
          <w:tab w:pos="1173" w:val="left" w:leader="none"/>
        </w:tabs>
        <w:spacing w:before="1"/>
        <w:ind w:right="118"/>
      </w:pPr>
      <w:bookmarkStart w:name="_TOC_250003" w:id="19"/>
      <w:bookmarkEnd w:id="19"/>
      <w:r>
        <w:rPr/>
        <w:t>第六部分</w:t>
        <w:tab/>
        <w:t>您需要了解的其它事项</w:t>
      </w:r>
    </w:p>
    <w:p>
      <w:pPr>
        <w:pStyle w:val="BodyText"/>
        <w:ind w:left="0"/>
        <w:rPr>
          <w:rFonts w:ascii="微软雅黑"/>
          <w:b/>
          <w:sz w:val="13"/>
        </w:rPr>
      </w:pPr>
    </w:p>
    <w:p>
      <w:pPr>
        <w:pStyle w:val="Heading2"/>
        <w:tabs>
          <w:tab w:pos="1151" w:val="left" w:leader="none"/>
        </w:tabs>
      </w:pPr>
      <w:bookmarkStart w:name="_TOC_250002" w:id="20"/>
      <w:bookmarkEnd w:id="20"/>
      <w:r>
        <w:rPr/>
        <w:t>第十六条</w:t>
        <w:tab/>
        <w:t>效力终止、无效</w:t>
      </w:r>
    </w:p>
    <w:p>
      <w:pPr>
        <w:pStyle w:val="BodyText"/>
        <w:spacing w:before="6"/>
        <w:ind w:left="0"/>
        <w:rPr>
          <w:rFonts w:ascii="微软雅黑"/>
          <w:b/>
          <w:sz w:val="16"/>
        </w:rPr>
      </w:pPr>
    </w:p>
    <w:p>
      <w:pPr>
        <w:pStyle w:val="BodyText"/>
        <w:spacing w:line="274" w:lineRule="exact"/>
      </w:pPr>
      <w:r>
        <w:rPr/>
        <w:t>发生下列情况之一时，本附加合同效力终止：</w:t>
      </w:r>
    </w:p>
    <w:p>
      <w:pPr>
        <w:pStyle w:val="BodyText"/>
        <w:spacing w:line="272" w:lineRule="exact"/>
      </w:pPr>
      <w:r>
        <w:rPr/>
        <w:t>（1）主合同效力终止；</w:t>
      </w:r>
    </w:p>
    <w:p>
      <w:pPr>
        <w:pStyle w:val="BodyText"/>
        <w:ind w:right="5566"/>
      </w:pPr>
      <w:r>
        <w:rPr/>
        <w:t>（2）本附加合同约定的合同效力终止情况。主合同无效，本附加合同亦无效。</w:t>
      </w:r>
    </w:p>
    <w:p>
      <w:pPr>
        <w:pStyle w:val="BodyText"/>
        <w:spacing w:before="11"/>
        <w:ind w:left="0"/>
        <w:rPr>
          <w:sz w:val="18"/>
        </w:rPr>
      </w:pPr>
    </w:p>
    <w:p>
      <w:pPr>
        <w:pStyle w:val="Heading2"/>
        <w:tabs>
          <w:tab w:pos="1151" w:val="left" w:leader="none"/>
        </w:tabs>
      </w:pPr>
      <w:bookmarkStart w:name="_TOC_250001" w:id="21"/>
      <w:bookmarkEnd w:id="21"/>
      <w:r>
        <w:rPr/>
        <w:t>第十七条</w:t>
        <w:tab/>
        <w:t>适用主合同条款</w:t>
      </w:r>
    </w:p>
    <w:p>
      <w:pPr>
        <w:pStyle w:val="BodyText"/>
        <w:spacing w:before="8"/>
        <w:ind w:left="0"/>
        <w:rPr>
          <w:rFonts w:ascii="微软雅黑"/>
          <w:b/>
          <w:sz w:val="16"/>
        </w:rPr>
      </w:pPr>
    </w:p>
    <w:p>
      <w:pPr>
        <w:pStyle w:val="BodyText"/>
        <w:spacing w:line="273" w:lineRule="exact" w:before="1"/>
      </w:pPr>
      <w:r>
        <w:rPr/>
        <w:t>主合同订立的下列各项条款适用于本附加合同：</w:t>
      </w:r>
    </w:p>
    <w:p>
      <w:pPr>
        <w:pStyle w:val="BodyText"/>
        <w:spacing w:line="272" w:lineRule="exact"/>
      </w:pPr>
      <w:r>
        <w:rPr/>
        <w:t>（1）明确说明与如实告知；</w:t>
      </w:r>
    </w:p>
    <w:p>
      <w:pPr>
        <w:pStyle w:val="BodyText"/>
        <w:spacing w:line="272" w:lineRule="exact"/>
      </w:pPr>
      <w:r>
        <w:rPr/>
        <w:t>（2）年龄计算及错误处理；</w:t>
      </w:r>
    </w:p>
    <w:p>
      <w:pPr>
        <w:pStyle w:val="BodyText"/>
        <w:spacing w:line="272" w:lineRule="exact"/>
      </w:pPr>
      <w:r>
        <w:rPr/>
        <w:t>（3）住所或通讯地址变更；</w:t>
      </w:r>
    </w:p>
    <w:p>
      <w:pPr>
        <w:pStyle w:val="BodyText"/>
        <w:spacing w:line="274" w:lineRule="exact"/>
      </w:pPr>
      <w:r>
        <w:rPr/>
        <w:t>（4）争议处理。</w:t>
      </w:r>
    </w:p>
    <w:p>
      <w:pPr>
        <w:pStyle w:val="BodyText"/>
        <w:spacing w:before="10"/>
        <w:ind w:left="0"/>
        <w:rPr>
          <w:sz w:val="18"/>
        </w:rPr>
      </w:pPr>
    </w:p>
    <w:p>
      <w:pPr>
        <w:pStyle w:val="Heading2"/>
        <w:tabs>
          <w:tab w:pos="1151" w:val="left" w:leader="none"/>
        </w:tabs>
      </w:pPr>
      <w:bookmarkStart w:name="_TOC_250000" w:id="22"/>
      <w:r>
        <w:rPr/>
        <w:t>第十八条</w:t>
        <w:tab/>
        <w:t>重大疾病的种类及</w:t>
      </w:r>
      <w:r>
        <w:rPr>
          <w:spacing w:val="-3"/>
        </w:rPr>
        <w:t>定</w:t>
      </w:r>
      <w:bookmarkEnd w:id="22"/>
      <w:r>
        <w:rPr/>
        <w:t>义</w:t>
      </w:r>
    </w:p>
    <w:p>
      <w:pPr>
        <w:pStyle w:val="BodyText"/>
        <w:spacing w:before="6"/>
        <w:ind w:left="0"/>
        <w:rPr>
          <w:rFonts w:ascii="微软雅黑"/>
          <w:b/>
          <w:sz w:val="16"/>
        </w:rPr>
      </w:pPr>
    </w:p>
    <w:p>
      <w:pPr>
        <w:pStyle w:val="BodyText"/>
        <w:ind w:left="100" w:right="218" w:firstLine="420"/>
      </w:pPr>
      <w:r>
        <w:rPr/>
        <w:t>本附加合同所指重大疾病，是被保险人发生符合以下定义所述条件的疾病、疾病状态或手术，共计十五种。重大疾病的名称及定义如下：</w:t>
      </w:r>
    </w:p>
    <w:p>
      <w:pPr>
        <w:pStyle w:val="BodyText"/>
        <w:spacing w:line="271" w:lineRule="exact"/>
        <w:ind w:left="100"/>
      </w:pPr>
      <w:r>
        <w:rPr/>
        <w:t>一、恶性肿瘤</w:t>
      </w:r>
    </w:p>
    <w:p>
      <w:pPr>
        <w:spacing w:after="0" w:line="271" w:lineRule="exact"/>
        <w:sectPr>
          <w:pgSz w:w="11910" w:h="16840"/>
          <w:pgMar w:header="0" w:footer="806" w:top="1360" w:bottom="1000" w:left="920" w:right="800"/>
        </w:sectPr>
      </w:pPr>
    </w:p>
    <w:p>
      <w:pPr>
        <w:pStyle w:val="BodyText"/>
        <w:spacing w:line="237" w:lineRule="auto" w:before="8"/>
        <w:ind w:left="100" w:right="213"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line="180" w:lineRule="auto" w:before="24"/>
        <w:ind w:left="522" w:right="7128"/>
      </w:pPr>
      <w:r>
        <w:rPr/>
        <w:t>下列疾病不在保障范围内： </w:t>
      </w:r>
      <w:r>
        <w:rPr>
          <w:w w:val="95"/>
        </w:rPr>
        <w:t>1．原位癌；</w:t>
      </w:r>
    </w:p>
    <w:p>
      <w:pPr>
        <w:spacing w:line="227"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72"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9"/>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72" w:lineRule="exact" w:before="0"/>
        <w:ind w:left="522" w:right="0" w:firstLine="0"/>
        <w:jc w:val="left"/>
        <w:rPr>
          <w:rFonts w:ascii="微软雅黑" w:eastAsia="微软雅黑" w:hint="eastAsia"/>
          <w:b/>
          <w:sz w:val="21"/>
        </w:rPr>
      </w:pP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72" w:lineRule="exact" w:before="0"/>
        <w:ind w:left="522" w:right="0" w:firstLine="0"/>
        <w:jc w:val="left"/>
        <w:rPr>
          <w:rFonts w:ascii="微软雅黑" w:eastAsia="微软雅黑" w:hint="eastAsia"/>
          <w:b/>
          <w:sz w:val="21"/>
        </w:rPr>
      </w:pPr>
      <w:r>
        <w:rPr>
          <w:rFonts w:ascii="微软雅黑" w:eastAsia="微软雅黑" w:hint="eastAsia"/>
          <w:b/>
          <w:w w:val="90"/>
          <w:position w:val="1"/>
          <w:sz w:val="21"/>
        </w:rPr>
        <w:t>5.  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期或者更轻分期的前列腺癌；</w:t>
      </w:r>
    </w:p>
    <w:p>
      <w:pPr>
        <w:spacing w:line="218" w:lineRule="auto" w:before="0"/>
        <w:ind w:left="100" w:right="4916" w:firstLine="422"/>
        <w:jc w:val="left"/>
        <w:rPr>
          <w:sz w:val="21"/>
        </w:rPr>
      </w:pPr>
      <w:r>
        <w:rPr>
          <w:rFonts w:ascii="微软雅黑" w:eastAsia="微软雅黑" w:hint="eastAsia"/>
          <w:b/>
          <w:sz w:val="21"/>
        </w:rPr>
        <w:t>6．感染艾滋病病毒或患艾滋病期间所患恶性肿瘤。</w:t>
      </w:r>
      <w:r>
        <w:rPr>
          <w:sz w:val="21"/>
        </w:rPr>
        <w:t>二、重大器官移植术或造血干细胞移植术</w:t>
      </w:r>
    </w:p>
    <w:p>
      <w:pPr>
        <w:pStyle w:val="BodyText"/>
        <w:spacing w:line="271" w:lineRule="exact" w:before="13"/>
      </w:pPr>
      <w:r>
        <w:rPr/>
        <w:t>重大器官移植术，指因相应器官功能衰竭，已经实施了肾脏、肝脏、心脏或肺脏的异体移植手术。</w:t>
      </w:r>
    </w:p>
    <w:p>
      <w:pPr>
        <w:pStyle w:val="BodyText"/>
        <w:spacing w:line="237" w:lineRule="auto" w:before="2"/>
        <w:ind w:left="100" w:right="216" w:firstLine="420"/>
      </w:pPr>
      <w:r>
        <w:rPr>
          <w:spacing w:val="-5"/>
        </w:rPr>
        <w:t>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2" w:lineRule="exact"/>
        <w:ind w:left="100"/>
      </w:pPr>
      <w:r>
        <w:rPr/>
        <w:t>三、终末期肾病（或称慢性肾功能衰竭尿毒症期）</w:t>
      </w:r>
    </w:p>
    <w:p>
      <w:pPr>
        <w:pStyle w:val="BodyText"/>
        <w:spacing w:line="237" w:lineRule="auto" w:before="1"/>
        <w:ind w:left="100" w:right="215" w:firstLine="420"/>
      </w:pPr>
      <w:r>
        <w:rPr/>
        <w:t>指双肾功能慢性不可逆性衰竭，达到尿毒症期，经诊断后已经进行了至少 90 天的规律性透析治疗或实施了肾脏移植手术。</w:t>
      </w:r>
    </w:p>
    <w:p>
      <w:pPr>
        <w:pStyle w:val="BodyText"/>
        <w:spacing w:line="272" w:lineRule="exact"/>
        <w:ind w:left="100"/>
      </w:pPr>
      <w:r>
        <w:rPr/>
        <w:t>四、急性或亚急性重症肝炎</w:t>
      </w:r>
    </w:p>
    <w:p>
      <w:pPr>
        <w:pStyle w:val="BodyText"/>
        <w:ind w:left="100" w:right="216" w:firstLine="420"/>
      </w:pPr>
      <w:r>
        <w:rPr>
          <w:spacing w:val="-5"/>
        </w:rPr>
        <w:t>指因肝炎病毒感染引起肝脏组织弥漫性坏死，导致急性肝功能衰竭，且经血清学或病毒学检查证实，并</w:t>
      </w:r>
      <w:r>
        <w:rPr>
          <w:spacing w:val="-4"/>
        </w:rPr>
        <w:t>须满足下列全部条件：</w:t>
      </w:r>
    </w:p>
    <w:p>
      <w:pPr>
        <w:pStyle w:val="BodyText"/>
        <w:spacing w:line="271" w:lineRule="exact" w:before="1"/>
      </w:pPr>
      <w:r>
        <w:rPr/>
        <w:t>1．重度黄疸或黄疸迅速加重；</w:t>
      </w:r>
    </w:p>
    <w:p>
      <w:pPr>
        <w:pStyle w:val="BodyText"/>
        <w:spacing w:line="272" w:lineRule="exact"/>
      </w:pPr>
      <w:r>
        <w:rPr/>
        <w:t>2．肝性脑病；</w:t>
      </w:r>
    </w:p>
    <w:p>
      <w:pPr>
        <w:pStyle w:val="BodyText"/>
        <w:spacing w:line="272" w:lineRule="exact"/>
      </w:pPr>
      <w:r>
        <w:rPr/>
        <w:t>3．B 超或其它影像学检查显示肝脏体积急速萎缩；</w:t>
      </w:r>
    </w:p>
    <w:p>
      <w:pPr>
        <w:pStyle w:val="BodyText"/>
        <w:spacing w:line="237" w:lineRule="auto" w:before="1"/>
        <w:ind w:left="100" w:right="7037" w:firstLine="420"/>
      </w:pPr>
      <w:r>
        <w:rPr/>
        <w:t>4．肝功能指标进行性恶化。五、良性脑肿瘤</w:t>
      </w:r>
    </w:p>
    <w:p>
      <w:pPr>
        <w:pStyle w:val="BodyText"/>
        <w:spacing w:line="237" w:lineRule="auto" w:before="1"/>
        <w:ind w:left="100" w:right="216" w:firstLine="420"/>
        <w:jc w:val="both"/>
      </w:pPr>
      <w:r>
        <w:rPr>
          <w:spacing w:val="-5"/>
        </w:rPr>
        <w:t>指脑的良性肿瘤，已经引起颅内压增高，临床表现为视神经乳头水肿、精神症状、癫痫及运动感觉障碍</w:t>
      </w:r>
      <w:r>
        <w:rPr>
          <w:w w:val="100"/>
        </w:rPr>
        <w:t>等，并危及生命。须由头颅断层扫描</w:t>
      </w:r>
      <w:r>
        <w:rPr>
          <w:spacing w:val="2"/>
          <w:w w:val="100"/>
        </w:rPr>
        <w:t>（</w:t>
      </w:r>
      <w:r>
        <w:rPr>
          <w:w w:val="100"/>
        </w:rPr>
        <w:t>C</w:t>
      </w:r>
      <w:r>
        <w:rPr>
          <w:spacing w:val="1"/>
          <w:w w:val="100"/>
        </w:rPr>
        <w:t>T</w:t>
      </w:r>
      <w:r>
        <w:rPr>
          <w:spacing w:val="-106"/>
          <w:w w:val="100"/>
        </w:rPr>
        <w:t>）</w:t>
      </w:r>
      <w:r>
        <w:rPr>
          <w:w w:val="100"/>
        </w:rPr>
        <w:t>、核磁共振检查</w:t>
      </w:r>
      <w:r>
        <w:rPr>
          <w:spacing w:val="0"/>
          <w:w w:val="100"/>
        </w:rPr>
        <w:t>（</w:t>
      </w:r>
      <w:r>
        <w:rPr>
          <w:w w:val="100"/>
        </w:rPr>
        <w:t>MRI</w:t>
      </w:r>
      <w:r>
        <w:rPr>
          <w:spacing w:val="1"/>
          <w:w w:val="100"/>
        </w:rPr>
        <w:t>）</w:t>
      </w:r>
      <w:r>
        <w:rPr>
          <w:w w:val="100"/>
        </w:rPr>
        <w:t>或正电子发射断层扫描</w:t>
      </w:r>
      <w:r>
        <w:rPr>
          <w:spacing w:val="1"/>
          <w:w w:val="100"/>
        </w:rPr>
        <w:t>（</w:t>
      </w:r>
      <w:r>
        <w:rPr>
          <w:w w:val="100"/>
        </w:rPr>
        <w:t>PET</w:t>
      </w:r>
      <w:r>
        <w:rPr>
          <w:spacing w:val="1"/>
          <w:w w:val="100"/>
        </w:rPr>
        <w:t>）</w:t>
      </w:r>
      <w:r>
        <w:rPr>
          <w:w w:val="100"/>
        </w:rPr>
        <w:t>等影像学</w:t>
      </w:r>
      <w:r>
        <w:rPr>
          <w:spacing w:val="-3"/>
        </w:rPr>
        <w:t>检查证实，并须满足下列至少一项条件：</w:t>
      </w:r>
    </w:p>
    <w:p>
      <w:pPr>
        <w:pStyle w:val="BodyText"/>
        <w:spacing w:line="271" w:lineRule="exact"/>
      </w:pPr>
      <w:r>
        <w:rPr/>
        <w:t>1．实际实施了开颅进行的脑肿瘤完全切除或部分切除的手术；</w:t>
      </w:r>
    </w:p>
    <w:p>
      <w:pPr>
        <w:pStyle w:val="BodyText"/>
        <w:spacing w:line="241" w:lineRule="exact"/>
      </w:pPr>
      <w:r>
        <w:rPr/>
        <w:t>2．实际实施了对脑肿瘤进行的放射治疗。</w:t>
      </w:r>
    </w:p>
    <w:p>
      <w:pPr>
        <w:spacing w:line="218" w:lineRule="auto" w:before="0"/>
        <w:ind w:left="100" w:right="4817" w:firstLine="418"/>
        <w:jc w:val="left"/>
        <w:rPr>
          <w:sz w:val="21"/>
        </w:rPr>
      </w:pPr>
      <w:r>
        <w:rPr>
          <w:rFonts w:ascii="微软雅黑" w:eastAsia="微软雅黑" w:hint="eastAsia"/>
          <w:b/>
          <w:sz w:val="21"/>
        </w:rPr>
        <w:t>脑垂体瘤、脑囊肿、脑血管性疾病不在保障范围内。</w:t>
      </w:r>
      <w:r>
        <w:rPr>
          <w:sz w:val="21"/>
        </w:rPr>
        <w:t>六、脑炎后遗症或脑膜炎后遗症</w:t>
      </w:r>
    </w:p>
    <w:p>
      <w:pPr>
        <w:pStyle w:val="BodyText"/>
        <w:ind w:left="100" w:right="218" w:firstLine="420"/>
      </w:pPr>
      <w:r>
        <w:rPr/>
        <w:t>指因患脑炎或脑膜炎导致的神经系统永久性的功能障碍。神经系统永久性的功能障碍，指疾病确诊 180 天后，仍遗留下列一种或一种以上障碍：</w:t>
      </w:r>
    </w:p>
    <w:p>
      <w:pPr>
        <w:pStyle w:val="BodyText"/>
        <w:spacing w:line="271" w:lineRule="exact" w:before="3"/>
      </w:pPr>
      <w:r>
        <w:rPr>
          <w:w w:val="100"/>
        </w:rPr>
        <w:t>1．</w:t>
      </w:r>
      <w:r>
        <w:rPr>
          <w:spacing w:val="-3"/>
          <w:w w:val="100"/>
        </w:rPr>
        <w:t>一肢或一肢以上肢体机能完全丧失（</w:t>
      </w:r>
      <w:r>
        <w:rPr>
          <w:w w:val="100"/>
        </w:rPr>
        <w:t>注</w:t>
      </w:r>
      <w:r>
        <w:rPr>
          <w:spacing w:val="-53"/>
        </w:rPr>
        <w:t> </w:t>
      </w:r>
      <w:r>
        <w:rPr>
          <w:w w:val="100"/>
        </w:rPr>
        <w:t>1</w:t>
      </w:r>
      <w:r>
        <w:rPr>
          <w:spacing w:val="-108"/>
          <w:w w:val="100"/>
        </w:rPr>
        <w:t>）；</w:t>
      </w:r>
    </w:p>
    <w:p>
      <w:pPr>
        <w:pStyle w:val="BodyText"/>
        <w:spacing w:line="272" w:lineRule="exact"/>
      </w:pPr>
      <w:r>
        <w:rPr>
          <w:w w:val="100"/>
        </w:rPr>
        <w:t>2．</w:t>
      </w:r>
      <w:r>
        <w:rPr>
          <w:spacing w:val="-3"/>
          <w:w w:val="100"/>
        </w:rPr>
        <w:t>语言能力或咀嚼吞咽能力完全丧失（</w:t>
      </w:r>
      <w:r>
        <w:rPr>
          <w:w w:val="100"/>
        </w:rPr>
        <w:t>注</w:t>
      </w:r>
      <w:r>
        <w:rPr>
          <w:spacing w:val="-53"/>
        </w:rPr>
        <w:t> </w:t>
      </w:r>
      <w:r>
        <w:rPr>
          <w:w w:val="100"/>
        </w:rPr>
        <w:t>2</w:t>
      </w:r>
      <w:r>
        <w:rPr>
          <w:spacing w:val="-108"/>
          <w:w w:val="100"/>
        </w:rPr>
        <w:t>）；</w:t>
      </w:r>
    </w:p>
    <w:p>
      <w:pPr>
        <w:pStyle w:val="BodyText"/>
        <w:spacing w:line="237" w:lineRule="auto" w:before="1"/>
        <w:ind w:left="100" w:right="724" w:firstLine="420"/>
      </w:pPr>
      <w:r>
        <w:rPr/>
        <w:t>3．自主生活能力完全丧失，无法独立完成六项基本日常生活活动（注 3）中的三项或三项以上。七、深度昏迷</w:t>
      </w:r>
    </w:p>
    <w:p>
      <w:pPr>
        <w:pStyle w:val="BodyText"/>
        <w:spacing w:line="272" w:lineRule="exact"/>
      </w:pPr>
      <w:r>
        <w:rPr/>
        <w:t>指因疾病或意外伤害导致意识丧失,对外界刺激和体内需求均无反应,昏迷程度按照格拉斯哥昏迷分级</w:t>
      </w:r>
    </w:p>
    <w:p>
      <w:pPr>
        <w:spacing w:line="194" w:lineRule="auto" w:before="50"/>
        <w:ind w:left="522" w:right="109" w:hanging="423"/>
        <w:jc w:val="left"/>
        <w:rPr>
          <w:rFonts w:ascii="微软雅黑" w:eastAsia="微软雅黑" w:hint="eastAsia"/>
          <w:b/>
          <w:sz w:val="21"/>
        </w:rPr>
      </w:pPr>
      <w:r>
        <w:rPr>
          <w:sz w:val="21"/>
        </w:rPr>
        <w:t>（Glasgow coma scale）</w:t>
      </w:r>
      <w:r>
        <w:rPr>
          <w:spacing w:val="-13"/>
          <w:sz w:val="21"/>
        </w:rPr>
        <w:t>结果为 </w:t>
      </w:r>
      <w:r>
        <w:rPr>
          <w:sz w:val="21"/>
        </w:rPr>
        <w:t>5</w:t>
      </w:r>
      <w:r>
        <w:rPr>
          <w:spacing w:val="-26"/>
          <w:sz w:val="21"/>
        </w:rPr>
        <w:t> 分或 </w:t>
      </w:r>
      <w:r>
        <w:rPr>
          <w:sz w:val="21"/>
        </w:rPr>
        <w:t>5</w:t>
      </w:r>
      <w:r>
        <w:rPr>
          <w:spacing w:val="-11"/>
          <w:sz w:val="21"/>
        </w:rPr>
        <w:t> 分以下，且已经持续使用呼吸机及其它生命维持系统 </w:t>
      </w:r>
      <w:r>
        <w:rPr>
          <w:sz w:val="21"/>
        </w:rPr>
        <w:t>96</w:t>
      </w:r>
      <w:r>
        <w:rPr>
          <w:spacing w:val="-11"/>
          <w:sz w:val="21"/>
        </w:rPr>
        <w:t> 小时以上。</w:t>
      </w:r>
      <w:r>
        <w:rPr>
          <w:rFonts w:ascii="微软雅黑" w:eastAsia="微软雅黑" w:hint="eastAsia"/>
          <w:b/>
          <w:spacing w:val="-10"/>
          <w:sz w:val="21"/>
        </w:rPr>
        <w:t>因酗酒或药物滥用导致的深度昏迷不在保障范围内。</w:t>
      </w:r>
    </w:p>
    <w:p>
      <w:pPr>
        <w:pStyle w:val="BodyText"/>
        <w:spacing w:line="245" w:lineRule="exact"/>
        <w:ind w:left="100"/>
      </w:pPr>
      <w:r>
        <w:rPr/>
        <w:t>八、双耳失聪</w:t>
      </w:r>
    </w:p>
    <w:p>
      <w:pPr>
        <w:pStyle w:val="BodyText"/>
        <w:spacing w:line="272" w:lineRule="exact"/>
      </w:pPr>
      <w:r>
        <w:rPr>
          <w:spacing w:val="-7"/>
        </w:rPr>
        <w:t>指因疾病或意外伤害导致双耳听力永久不可逆性丧失，在 </w:t>
      </w:r>
      <w:r>
        <w:rPr/>
        <w:t>500</w:t>
      </w:r>
      <w:r>
        <w:rPr>
          <w:spacing w:val="-20"/>
        </w:rPr>
        <w:t> 赫兹、</w:t>
      </w:r>
      <w:r>
        <w:rPr/>
        <w:t>1000</w:t>
      </w:r>
      <w:r>
        <w:rPr>
          <w:spacing w:val="-19"/>
        </w:rPr>
        <w:t> 赫兹和 </w:t>
      </w:r>
      <w:r>
        <w:rPr/>
        <w:t>2000</w:t>
      </w:r>
      <w:r>
        <w:rPr>
          <w:spacing w:val="-8"/>
        </w:rPr>
        <w:t> 赫兹语音频率下，</w:t>
      </w:r>
    </w:p>
    <w:p>
      <w:pPr>
        <w:pStyle w:val="BodyText"/>
        <w:ind w:left="100" w:right="2203"/>
      </w:pPr>
      <w:r>
        <w:rPr>
          <w:spacing w:val="-7"/>
        </w:rPr>
        <w:t>平均听阈大于 </w:t>
      </w:r>
      <w:r>
        <w:rPr/>
        <w:t>90</w:t>
      </w:r>
      <w:r>
        <w:rPr>
          <w:spacing w:val="-8"/>
        </w:rPr>
        <w:t> 分贝，且经纯音听力测试、声导抗检测或听觉诱发电位检测等证实。</w:t>
      </w:r>
      <w:r>
        <w:rPr>
          <w:spacing w:val="-5"/>
        </w:rPr>
        <w:t>九、双目失明</w:t>
      </w:r>
    </w:p>
    <w:p>
      <w:pPr>
        <w:pStyle w:val="BodyText"/>
        <w:spacing w:line="271" w:lineRule="exact" w:before="2"/>
      </w:pPr>
      <w:r>
        <w:rPr/>
        <w:t>指因疾病或意外伤害导致双眼视力永久不可逆（注 4）性丧失，双眼中较好眼须满足下列至少一项条件：</w:t>
      </w:r>
    </w:p>
    <w:p>
      <w:pPr>
        <w:pStyle w:val="BodyText"/>
        <w:spacing w:line="272" w:lineRule="exact"/>
      </w:pPr>
      <w:r>
        <w:rPr/>
        <w:t>1．眼球缺失或摘除；</w:t>
      </w:r>
    </w:p>
    <w:p>
      <w:pPr>
        <w:pStyle w:val="BodyText"/>
        <w:spacing w:line="272" w:lineRule="exact"/>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（采用国际标准视力表，如果使用其它视力表应进行换算</w:t>
      </w:r>
      <w:r>
        <w:rPr>
          <w:spacing w:val="-108"/>
          <w:w w:val="100"/>
        </w:rPr>
        <w:t>）</w:t>
      </w:r>
      <w:r>
        <w:rPr>
          <w:w w:val="100"/>
        </w:rPr>
        <w:t>；</w:t>
      </w:r>
    </w:p>
    <w:p>
      <w:pPr>
        <w:pStyle w:val="BodyText"/>
        <w:spacing w:line="241" w:lineRule="exact"/>
      </w:pPr>
      <w:r>
        <w:rPr/>
        <w:t>3．视野半径小于 5 度。</w:t>
      </w:r>
    </w:p>
    <w:p>
      <w:pPr>
        <w:spacing w:line="218" w:lineRule="auto" w:before="0"/>
        <w:ind w:left="100" w:right="3923" w:firstLine="418"/>
        <w:jc w:val="left"/>
        <w:rPr>
          <w:sz w:val="21"/>
        </w:rPr>
      </w:pPr>
      <w:r>
        <w:rPr>
          <w:rFonts w:ascii="微软雅黑" w:eastAsia="微软雅黑" w:hint="eastAsia"/>
          <w:b/>
          <w:sz w:val="21"/>
        </w:rPr>
        <w:t>被保险人在年满 3 周岁之前发生的双目失明不在保障范围内。</w:t>
      </w:r>
      <w:r>
        <w:rPr>
          <w:sz w:val="21"/>
        </w:rPr>
        <w:t>十、瘫痪</w:t>
      </w:r>
    </w:p>
    <w:p>
      <w:pPr>
        <w:spacing w:after="0" w:line="218" w:lineRule="auto"/>
        <w:jc w:val="left"/>
        <w:rPr>
          <w:sz w:val="21"/>
        </w:rPr>
        <w:sectPr>
          <w:pgSz w:w="11910" w:h="16840"/>
          <w:pgMar w:header="0" w:footer="806" w:top="1360" w:bottom="1000" w:left="920" w:right="800"/>
        </w:sectPr>
      </w:pPr>
    </w:p>
    <w:p>
      <w:pPr>
        <w:pStyle w:val="BodyText"/>
        <w:spacing w:line="273" w:lineRule="exact" w:before="6"/>
      </w:pPr>
      <w:r>
        <w:rPr/>
        <w:t>指因疾病或意外伤害导致两肢或两肢以上肢体机能永久完全丧失。肢体机能永久完全丧失，指疾病确诊</w:t>
      </w:r>
    </w:p>
    <w:p>
      <w:pPr>
        <w:pStyle w:val="BodyText"/>
        <w:ind w:left="100" w:right="892"/>
      </w:pPr>
      <w:r>
        <w:rPr/>
        <w:t>180</w:t>
      </w:r>
      <w:r>
        <w:rPr>
          <w:spacing w:val="-12"/>
        </w:rPr>
        <w:t> 天后或意外伤害发生 </w:t>
      </w:r>
      <w:r>
        <w:rPr/>
        <w:t>180</w:t>
      </w:r>
      <w:r>
        <w:rPr>
          <w:spacing w:val="-8"/>
        </w:rPr>
        <w:t> 天后，每肢三大关节中的两大关节仍然完全僵硬，或不能随意识活动。</w:t>
      </w:r>
      <w:r>
        <w:rPr>
          <w:spacing w:val="-5"/>
        </w:rPr>
        <w:t>十一、严重脑损伤</w:t>
      </w:r>
    </w:p>
    <w:p>
      <w:pPr>
        <w:pStyle w:val="BodyText"/>
        <w:spacing w:line="271" w:lineRule="exact" w:before="1"/>
      </w:pPr>
      <w:r>
        <w:rPr/>
        <w:t>指因头部遭受机械性外力，引起脑重要部位损伤，导致神经系统永久性的功能障碍。须由头颅断层扫描</w:t>
      </w:r>
    </w:p>
    <w:p>
      <w:pPr>
        <w:pStyle w:val="BodyText"/>
        <w:spacing w:line="237" w:lineRule="auto" w:before="1"/>
        <w:ind w:left="100" w:right="221"/>
      </w:pPr>
      <w:r>
        <w:rPr>
          <w:spacing w:val="1"/>
          <w:w w:val="100"/>
        </w:rPr>
        <w:t>（</w:t>
      </w:r>
      <w:r>
        <w:rPr>
          <w:w w:val="100"/>
        </w:rPr>
        <w:t>C</w:t>
      </w:r>
      <w:r>
        <w:rPr>
          <w:spacing w:val="1"/>
          <w:w w:val="100"/>
        </w:rPr>
        <w:t>T</w:t>
      </w:r>
      <w:r>
        <w:rPr>
          <w:spacing w:val="-106"/>
          <w:w w:val="100"/>
        </w:rPr>
        <w:t>）</w:t>
      </w:r>
      <w:r>
        <w:rPr>
          <w:w w:val="100"/>
        </w:rPr>
        <w:t>、核磁共振检查</w:t>
      </w:r>
      <w:r>
        <w:rPr>
          <w:spacing w:val="2"/>
          <w:w w:val="100"/>
        </w:rPr>
        <w:t>（</w:t>
      </w:r>
      <w:r>
        <w:rPr>
          <w:spacing w:val="-3"/>
          <w:w w:val="100"/>
        </w:rPr>
        <w:t>MR</w:t>
      </w:r>
      <w:r>
        <w:rPr>
          <w:spacing w:val="2"/>
          <w:w w:val="100"/>
        </w:rPr>
        <w:t>I</w:t>
      </w:r>
      <w:r>
        <w:rPr>
          <w:spacing w:val="1"/>
          <w:w w:val="100"/>
        </w:rPr>
        <w:t>）</w:t>
      </w:r>
      <w:r>
        <w:rPr>
          <w:w w:val="100"/>
        </w:rPr>
        <w:t>或正电子发射断层扫描</w:t>
      </w:r>
      <w:r>
        <w:rPr>
          <w:spacing w:val="2"/>
          <w:w w:val="100"/>
        </w:rPr>
        <w:t>（</w:t>
      </w:r>
      <w:r>
        <w:rPr>
          <w:w w:val="100"/>
        </w:rPr>
        <w:t>PET）等影像学检查证实。神经系统永久性的功能障</w:t>
      </w:r>
      <w:r>
        <w:rPr>
          <w:spacing w:val="-8"/>
        </w:rPr>
        <w:t>碍，指脑损伤 </w:t>
      </w:r>
      <w:r>
        <w:rPr/>
        <w:t>180</w:t>
      </w:r>
      <w:r>
        <w:rPr>
          <w:spacing w:val="-8"/>
        </w:rPr>
        <w:t> 天后，仍遗留下列一种或一种以上障碍：</w:t>
      </w:r>
    </w:p>
    <w:p>
      <w:pPr>
        <w:pStyle w:val="BodyText"/>
        <w:spacing w:line="272" w:lineRule="exact"/>
      </w:pPr>
      <w:r>
        <w:rPr/>
        <w:t>1．一肢或一肢以上肢体机能完全丧失；</w:t>
      </w:r>
    </w:p>
    <w:p>
      <w:pPr>
        <w:pStyle w:val="BodyText"/>
        <w:spacing w:line="272" w:lineRule="exact"/>
      </w:pPr>
      <w:r>
        <w:rPr/>
        <w:t>2．语言能力或咀嚼吞咽能力完全丧失；</w:t>
      </w:r>
    </w:p>
    <w:p>
      <w:pPr>
        <w:pStyle w:val="BodyText"/>
        <w:spacing w:line="237" w:lineRule="auto" w:before="1"/>
        <w:ind w:left="100" w:right="1572" w:firstLine="420"/>
      </w:pPr>
      <w:r>
        <w:rPr/>
        <w:t>3．自主生活能力完全丧失，无法独立完成六项基本日常生活活动中的三项或三项以上。十二、严重Ⅲ度烧伤</w:t>
      </w:r>
    </w:p>
    <w:p>
      <w:pPr>
        <w:pStyle w:val="BodyText"/>
        <w:spacing w:line="237" w:lineRule="auto" w:before="1"/>
        <w:ind w:left="100" w:right="215" w:firstLine="420"/>
      </w:pPr>
      <w:r>
        <w:rPr/>
        <w:t>指烧伤程度为Ⅲ度，且Ⅲ度烧伤的面积达到全身体表面积的 20％或 20％以上。体表面积根据《中国新九分法》计算。</w:t>
      </w:r>
    </w:p>
    <w:p>
      <w:pPr>
        <w:pStyle w:val="BodyText"/>
        <w:spacing w:line="272" w:lineRule="exact"/>
        <w:ind w:left="100"/>
      </w:pPr>
      <w:r>
        <w:rPr/>
        <w:t>十三、重型再生障碍性贫血</w:t>
      </w:r>
    </w:p>
    <w:p>
      <w:pPr>
        <w:pStyle w:val="BodyText"/>
        <w:spacing w:line="273" w:lineRule="exact"/>
      </w:pPr>
      <w:r>
        <w:rPr/>
        <w:t>指因骨髓造血功能慢性持续性衰竭导致的贫血、中性粒细胞减少及血小板减少。须满足下列全部条件：</w:t>
      </w:r>
    </w:p>
    <w:p>
      <w:pPr>
        <w:pStyle w:val="BodyText"/>
        <w:spacing w:line="273" w:lineRule="exact"/>
      </w:pPr>
      <w:r>
        <w:rPr/>
        <w:t>1．骨髓穿刺检查或骨髓活检结果支持诊断；</w:t>
      </w:r>
    </w:p>
    <w:p>
      <w:pPr>
        <w:pStyle w:val="BodyText"/>
        <w:spacing w:line="271" w:lineRule="exact"/>
      </w:pPr>
      <w:r>
        <w:rPr/>
        <w:t>2．外周血象须具备以下三项条件：</w:t>
      </w:r>
    </w:p>
    <w:p>
      <w:pPr>
        <w:pStyle w:val="BodyText"/>
        <w:spacing w:line="272" w:lineRule="exact"/>
      </w:pPr>
      <w:r>
        <w:rPr/>
        <w:t>（1）中性粒细胞绝对值≤0.5×10</w:t>
      </w:r>
      <w:r>
        <w:rPr>
          <w:position w:val="11"/>
          <w:sz w:val="11"/>
        </w:rPr>
        <w:t>9</w:t>
      </w:r>
      <w:r>
        <w:rPr/>
        <w:t>/L ；</w:t>
      </w:r>
    </w:p>
    <w:p>
      <w:pPr>
        <w:pStyle w:val="BodyText"/>
        <w:spacing w:line="272" w:lineRule="exact"/>
      </w:pPr>
      <w:r>
        <w:rPr/>
        <w:t>（2）网织红细胞＜1%；</w:t>
      </w:r>
    </w:p>
    <w:p>
      <w:pPr>
        <w:pStyle w:val="BodyText"/>
        <w:ind w:left="100" w:right="6562" w:firstLine="420"/>
      </w:pPr>
      <w:r>
        <w:rPr/>
        <w:t>（3）血小板绝对值≤20×10</w:t>
      </w:r>
      <w:r>
        <w:rPr>
          <w:position w:val="11"/>
          <w:sz w:val="11"/>
        </w:rPr>
        <w:t>9</w:t>
      </w:r>
      <w:r>
        <w:rPr/>
        <w:t>/L。十四、重症心肌炎伴充血性心力衰竭</w:t>
      </w:r>
    </w:p>
    <w:p>
      <w:pPr>
        <w:pStyle w:val="BodyText"/>
        <w:ind w:left="100" w:right="215" w:firstLine="420"/>
      </w:pPr>
      <w:r>
        <w:rPr/>
        <w:t>指心肌的局限性或弥漫性炎性病变，心肌纤维发生变性和坏死，导致心脏功能衰竭，但先天性疾病造成的除外。其诊断标准必须同时符合下列条件：</w:t>
      </w:r>
    </w:p>
    <w:p>
      <w:pPr>
        <w:pStyle w:val="BodyText"/>
        <w:spacing w:line="271" w:lineRule="exact" w:before="1"/>
      </w:pPr>
      <w:r>
        <w:rPr/>
        <w:t>1．明确的心肌炎诊断，须同时具备下列临床表现及检查结果：</w:t>
      </w:r>
    </w:p>
    <w:p>
      <w:pPr>
        <w:pStyle w:val="BodyText"/>
        <w:spacing w:line="272" w:lineRule="exact"/>
      </w:pPr>
      <w:r>
        <w:rPr/>
        <w:t>（1）胸痛、心悸、全身乏力的症状；</w:t>
      </w:r>
    </w:p>
    <w:p>
      <w:pPr>
        <w:pStyle w:val="BodyText"/>
        <w:spacing w:line="272" w:lineRule="exact"/>
      </w:pPr>
      <w:r>
        <w:rPr/>
        <w:t>（2）新近的心电图改变提显示心肌炎；</w:t>
      </w:r>
    </w:p>
    <w:p>
      <w:pPr>
        <w:pStyle w:val="BodyText"/>
        <w:spacing w:line="272" w:lineRule="exact"/>
      </w:pPr>
      <w:r>
        <w:rPr/>
        <w:t>（3）体检有心脏扩大、心音减弱、心动过速或过缓等体征；</w:t>
      </w:r>
    </w:p>
    <w:p>
      <w:pPr>
        <w:pStyle w:val="BodyText"/>
        <w:spacing w:line="273" w:lineRule="exact"/>
      </w:pPr>
      <w:r>
        <w:rPr/>
        <w:t>2．心力衰竭诊断，下列临床表现及检查结果呈阳性达 4 项者：</w:t>
      </w:r>
    </w:p>
    <w:p>
      <w:pPr>
        <w:pStyle w:val="BodyText"/>
        <w:spacing w:line="273" w:lineRule="exact"/>
      </w:pPr>
      <w:r>
        <w:rPr/>
        <w:t>（1）突发呼吸困难；</w:t>
      </w:r>
    </w:p>
    <w:p>
      <w:pPr>
        <w:pStyle w:val="BodyText"/>
        <w:spacing w:line="272" w:lineRule="exact"/>
      </w:pPr>
      <w:r>
        <w:rPr/>
        <w:t>（2）心动过速、室性奔马律；</w:t>
      </w:r>
    </w:p>
    <w:p>
      <w:pPr>
        <w:pStyle w:val="BodyText"/>
        <w:spacing w:line="272" w:lineRule="exact"/>
      </w:pPr>
      <w:r>
        <w:rPr/>
        <w:t>（3）心脏肿大、肺部罗音；</w:t>
      </w:r>
    </w:p>
    <w:p>
      <w:pPr>
        <w:pStyle w:val="BodyText"/>
        <w:spacing w:line="272" w:lineRule="exact"/>
      </w:pPr>
      <w:r>
        <w:rPr/>
        <w:t>（4）颈静脉压&gt;2.1KPa 并有肝肿大或身体水肿；</w:t>
      </w:r>
    </w:p>
    <w:p>
      <w:pPr>
        <w:pStyle w:val="BodyText"/>
        <w:spacing w:line="272" w:lineRule="exact"/>
      </w:pPr>
      <w:r>
        <w:rPr/>
        <w:t>（5）新近的心电图改变提示心力衰竭；</w:t>
      </w:r>
    </w:p>
    <w:p>
      <w:pPr>
        <w:pStyle w:val="BodyText"/>
        <w:spacing w:line="272" w:lineRule="exact"/>
      </w:pPr>
      <w:r>
        <w:rPr/>
        <w:t>（6）X 线胸片：肺淤血或心影扩大；</w:t>
      </w:r>
    </w:p>
    <w:p>
      <w:pPr>
        <w:pStyle w:val="BodyText"/>
        <w:spacing w:line="237" w:lineRule="auto" w:before="1"/>
        <w:ind w:left="100" w:right="220" w:firstLine="420"/>
      </w:pPr>
      <w:r>
        <w:rPr/>
        <w:t>（7）超声心动图检查：心脏及大血管的解剖结构改变、血液动力学改变、心功能情况改变提示心力衰竭。</w:t>
      </w:r>
    </w:p>
    <w:p>
      <w:pPr>
        <w:pStyle w:val="BodyText"/>
        <w:spacing w:line="272" w:lineRule="exact"/>
        <w:ind w:left="100"/>
      </w:pPr>
      <w:r>
        <w:rPr/>
        <w:t>十五、脊髓灰质炎</w:t>
      </w:r>
    </w:p>
    <w:p>
      <w:pPr>
        <w:pStyle w:val="BodyText"/>
        <w:spacing w:line="240" w:lineRule="exact"/>
      </w:pPr>
      <w:r>
        <w:rPr/>
        <w:t>指因脊髓灰质炎病毒感染导致的呼吸功能减弱麻痹性瘫痪或运动功能障碍。</w:t>
      </w:r>
    </w:p>
    <w:p>
      <w:pPr>
        <w:spacing w:line="180" w:lineRule="auto" w:before="57"/>
        <w:ind w:left="100" w:right="208" w:firstLine="422"/>
        <w:jc w:val="left"/>
        <w:rPr>
          <w:rFonts w:ascii="微软雅黑" w:eastAsia="微软雅黑" w:hint="eastAsia"/>
          <w:b/>
          <w:sz w:val="21"/>
        </w:rPr>
      </w:pPr>
      <w:r>
        <w:rPr>
          <w:rFonts w:ascii="微软雅黑" w:eastAsia="微软雅黑" w:hint="eastAsia"/>
          <w:b/>
          <w:w w:val="100"/>
          <w:sz w:val="21"/>
        </w:rPr>
        <w:t>非脊髓灰质炎病毒感染导致的麻痹性瘫痪，以及其他病因导致的麻痹（例如格林巴利综合征</w:t>
      </w:r>
      <w:r>
        <w:rPr>
          <w:rFonts w:ascii="微软雅黑" w:eastAsia="微软雅黑" w:hint="eastAsia"/>
          <w:b/>
          <w:spacing w:val="-104"/>
          <w:w w:val="100"/>
          <w:sz w:val="21"/>
        </w:rPr>
        <w:t>）</w:t>
      </w:r>
      <w:r>
        <w:rPr>
          <w:rFonts w:ascii="微软雅黑" w:eastAsia="微软雅黑" w:hint="eastAsia"/>
          <w:b/>
          <w:spacing w:val="1"/>
          <w:w w:val="100"/>
          <w:sz w:val="21"/>
        </w:rPr>
        <w:t>，不在保</w:t>
      </w:r>
      <w:r>
        <w:rPr>
          <w:rFonts w:ascii="微软雅黑" w:eastAsia="微软雅黑" w:hint="eastAsia"/>
          <w:b/>
          <w:sz w:val="21"/>
        </w:rPr>
        <w:t>障范围内。</w:t>
      </w:r>
    </w:p>
    <w:p>
      <w:pPr>
        <w:pStyle w:val="BodyText"/>
        <w:spacing w:before="6"/>
        <w:ind w:left="0"/>
        <w:rPr>
          <w:rFonts w:ascii="微软雅黑"/>
          <w:b/>
          <w:sz w:val="16"/>
        </w:rPr>
      </w:pPr>
    </w:p>
    <w:p>
      <w:pPr>
        <w:pStyle w:val="BodyText"/>
        <w:spacing w:line="274" w:lineRule="exact" w:before="1"/>
        <w:ind w:left="100"/>
      </w:pPr>
      <w:r>
        <w:rPr/>
        <w:t>注：</w:t>
      </w:r>
    </w:p>
    <w:p>
      <w:pPr>
        <w:pStyle w:val="BodyText"/>
        <w:spacing w:line="237" w:lineRule="auto" w:before="2"/>
        <w:ind w:left="731" w:right="216" w:hanging="212"/>
      </w:pPr>
      <w:r>
        <w:rPr/>
        <w:t>1.</w:t>
      </w:r>
      <w:r>
        <w:rPr>
          <w:spacing w:val="-5"/>
        </w:rPr>
        <w:t>肢体机能完全丧失：指肢体的三大关节中的两大关节僵硬，或不能随意识活动。肢体是指包括肩关节</w:t>
      </w:r>
      <w:r>
        <w:rPr>
          <w:spacing w:val="-4"/>
        </w:rPr>
        <w:t>的整个上肢或包括髋关节的整个下肢。</w:t>
      </w:r>
    </w:p>
    <w:p>
      <w:pPr>
        <w:pStyle w:val="BodyText"/>
        <w:spacing w:line="237" w:lineRule="auto" w:before="1"/>
        <w:ind w:left="731" w:right="110" w:hanging="212"/>
      </w:pPr>
      <w:r>
        <w:rPr/>
        <w:t>2.</w:t>
      </w:r>
      <w:r>
        <w:rPr>
          <w:spacing w:val="-7"/>
        </w:rPr>
        <w:t>语言能力或咀嚼吞咽能力完全丧失：语言能力完全丧失，指无法发出四种语音</w:t>
      </w:r>
      <w:r>
        <w:rPr>
          <w:spacing w:val="-3"/>
        </w:rPr>
        <w:t>（</w:t>
      </w:r>
      <w:r>
        <w:rPr>
          <w:spacing w:val="-8"/>
        </w:rPr>
        <w:t>包括口唇音、齿舌音、</w:t>
      </w:r>
      <w:r>
        <w:rPr>
          <w:spacing w:val="-5"/>
        </w:rPr>
        <w:t>口盖音和喉头音</w:t>
      </w:r>
      <w:r>
        <w:rPr>
          <w:spacing w:val="-3"/>
        </w:rPr>
        <w:t>）</w:t>
      </w:r>
      <w:r>
        <w:rPr>
          <w:spacing w:val="-4"/>
        </w:rPr>
        <w:t>中的任何三种、或声带全部切除，或因大脑语言中枢受伤害而患失语症。咀嚼吞咽</w:t>
      </w:r>
      <w:r>
        <w:rPr>
          <w:spacing w:val="-5"/>
        </w:rPr>
        <w:t>能力完全丧失，指因牙齿以外的原因导致器质障碍或机能障碍，以致不能作咀嚼吞咽运动，除流质食</w:t>
      </w:r>
      <w:r>
        <w:rPr>
          <w:spacing w:val="-4"/>
        </w:rPr>
        <w:t>物外不能摄取或吞咽的状态。</w:t>
      </w:r>
    </w:p>
    <w:p>
      <w:pPr>
        <w:pStyle w:val="BodyText"/>
        <w:spacing w:line="237" w:lineRule="auto" w:before="1"/>
        <w:ind w:left="731" w:right="213" w:hanging="212"/>
      </w:pPr>
      <w:r>
        <w:rPr>
          <w:w w:val="100"/>
        </w:rPr>
        <w:t>3.</w:t>
      </w:r>
      <w:r>
        <w:rPr>
          <w:spacing w:val="-3"/>
          <w:w w:val="100"/>
        </w:rPr>
        <w:t>六项基本日常生活活动：是指</w:t>
      </w:r>
      <w:r>
        <w:rPr>
          <w:w w:val="100"/>
        </w:rPr>
        <w:t>（</w:t>
      </w:r>
      <w:r>
        <w:rPr>
          <w:spacing w:val="-3"/>
          <w:w w:val="100"/>
        </w:rPr>
        <w:t>1</w:t>
      </w:r>
      <w:r>
        <w:rPr>
          <w:w w:val="100"/>
        </w:rPr>
        <w:t>）</w:t>
      </w:r>
      <w:r>
        <w:rPr>
          <w:spacing w:val="-12"/>
          <w:w w:val="100"/>
        </w:rPr>
        <w:t>穿衣：自己能够穿衣及脱衣；</w:t>
      </w:r>
      <w:r>
        <w:rPr>
          <w:w w:val="100"/>
        </w:rPr>
        <w:t>（2</w:t>
      </w:r>
      <w:r>
        <w:rPr>
          <w:spacing w:val="-3"/>
          <w:w w:val="100"/>
        </w:rPr>
        <w:t>）移动：自己从一个房间到另一</w:t>
      </w:r>
      <w:r>
        <w:rPr>
          <w:spacing w:val="-29"/>
          <w:w w:val="100"/>
        </w:rPr>
        <w:t>个房间；</w:t>
      </w:r>
      <w:r>
        <w:rPr>
          <w:spacing w:val="-3"/>
          <w:w w:val="100"/>
        </w:rPr>
        <w:t>（3</w:t>
      </w:r>
      <w:r>
        <w:rPr>
          <w:w w:val="100"/>
        </w:rPr>
        <w:t>）</w:t>
      </w:r>
      <w:r>
        <w:rPr>
          <w:spacing w:val="-11"/>
          <w:w w:val="100"/>
        </w:rPr>
        <w:t>行动：自己上下床或上下轮椅；</w:t>
      </w:r>
      <w:r>
        <w:rPr>
          <w:w w:val="100"/>
        </w:rPr>
        <w:t>（</w:t>
      </w:r>
      <w:r>
        <w:rPr>
          <w:spacing w:val="-3"/>
          <w:w w:val="100"/>
        </w:rPr>
        <w:t>4）</w:t>
      </w:r>
      <w:r>
        <w:rPr>
          <w:spacing w:val="-12"/>
          <w:w w:val="100"/>
        </w:rPr>
        <w:t>如厕：自己控制进行大小便；</w:t>
      </w:r>
      <w:r>
        <w:rPr>
          <w:spacing w:val="-1"/>
          <w:w w:val="100"/>
        </w:rPr>
        <w:t>（</w:t>
      </w:r>
      <w:r>
        <w:rPr>
          <w:spacing w:val="-3"/>
          <w:w w:val="100"/>
        </w:rPr>
        <w:t>5</w:t>
      </w:r>
      <w:r>
        <w:rPr>
          <w:w w:val="100"/>
        </w:rPr>
        <w:t>）</w:t>
      </w:r>
      <w:r>
        <w:rPr>
          <w:spacing w:val="-3"/>
          <w:w w:val="100"/>
        </w:rPr>
        <w:t>进食：自己从已</w:t>
      </w:r>
      <w:r>
        <w:rPr>
          <w:spacing w:val="-10"/>
          <w:w w:val="100"/>
        </w:rPr>
        <w:t>准备好的碗或碟中取食物放入口中；</w:t>
      </w:r>
      <w:r>
        <w:rPr>
          <w:spacing w:val="-1"/>
          <w:w w:val="100"/>
        </w:rPr>
        <w:t>（</w:t>
      </w:r>
      <w:r>
        <w:rPr>
          <w:w w:val="100"/>
        </w:rPr>
        <w:t>6</w:t>
      </w:r>
      <w:r>
        <w:rPr>
          <w:spacing w:val="-3"/>
          <w:w w:val="100"/>
        </w:rPr>
        <w:t>）洗澡：自己进行淋浴或盆浴。</w:t>
      </w:r>
    </w:p>
    <w:p>
      <w:pPr>
        <w:pStyle w:val="BodyText"/>
        <w:spacing w:line="271" w:lineRule="exact"/>
      </w:pPr>
      <w:r>
        <w:rPr/>
        <w:t>4.永久不可逆：指自疾病确诊或意外伤害发生之日起，经过积极治疗 180 天后，仍无法通过现有医疗手</w:t>
      </w:r>
    </w:p>
    <w:p>
      <w:pPr>
        <w:spacing w:after="0" w:line="271" w:lineRule="exact"/>
        <w:sectPr>
          <w:pgSz w:w="11910" w:h="16840"/>
          <w:pgMar w:header="0" w:footer="806" w:top="1360" w:bottom="1000" w:left="920" w:right="800"/>
        </w:sectPr>
      </w:pPr>
    </w:p>
    <w:p>
      <w:pPr>
        <w:pStyle w:val="BodyText"/>
        <w:spacing w:before="6"/>
        <w:ind w:left="731"/>
      </w:pPr>
      <w:r>
        <w:rPr/>
        <w:t>段恢复。</w:t>
      </w:r>
    </w:p>
    <w:sectPr>
      <w:pgSz w:w="11910" w:h="16840"/>
      <w:pgMar w:header="0" w:footer="806" w:top="1360" w:bottom="100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0pt;margin-top:790.625549pt;width:147.85pt;height:9.2pt;mso-position-horizontal-relative:page;mso-position-vertical-relative:page;z-index:-11152" type="#_x0000_t202" filled="false" stroked="false">
          <v:textbox inset="0,0,0,0">
            <w:txbxContent>
              <w:p>
                <w:pPr>
                  <w:spacing w:line="164" w:lineRule="exact" w:before="0"/>
                  <w:ind w:left="20" w:right="0" w:firstLine="0"/>
                  <w:jc w:val="left"/>
                  <w:rPr>
                    <w:sz w:val="13"/>
                  </w:rPr>
                </w:pPr>
                <w:r>
                  <w:rPr>
                    <w:w w:val="95"/>
                    <w:sz w:val="13"/>
                  </w:rPr>
                  <w:t>吉祥人寿附加学生儿童重大疾病保险条款（第</w:t>
                </w:r>
                <w:r>
                  <w:rPr/>
                  <w:fldChar w:fldCharType="begin"/>
                </w:r>
                <w:r>
                  <w:rPr>
                    <w:rFonts w:ascii="Times New Roman" w:eastAsia="Times New Roman"/>
                    <w:w w:val="95"/>
                    <w:sz w:val="13"/>
                  </w:rPr>
                  <w:instrText> PAGE </w:instrText>
                </w:r>
                <w:r>
                  <w:rPr/>
                  <w:fldChar w:fldCharType="separate"/>
                </w:r>
                <w:r>
                  <w:rPr/>
                  <w:t>1</w:t>
                </w:r>
                <w:r>
                  <w:rPr/>
                  <w:fldChar w:fldCharType="end"/>
                </w:r>
                <w:r>
                  <w:rPr>
                    <w:w w:val="95"/>
                    <w:sz w:val="13"/>
                  </w:rPr>
                  <w:t>页）</w:t>
                </w:r>
              </w:p>
            </w:txbxContent>
          </v:textbox>
          <w10:wrap type="none"/>
        </v:shape>
      </w:pict>
    </w:r>
    <w:r>
      <w:rPr/>
      <w:pict>
        <v:shape style="position:absolute;margin-left:465.299988pt;margin-top:791.084351pt;width:80pt;height:8.5pt;mso-position-horizontal-relative:page;mso-position-vertical-relative:page;z-index:-11128"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62" w:hanging="413"/>
      </w:pPr>
      <w:rPr>
        <w:rFonts w:hint="default"/>
      </w:rPr>
    </w:lvl>
    <w:lvl w:ilvl="2">
      <w:start w:val="0"/>
      <w:numFmt w:val="bullet"/>
      <w:lvlText w:val="•"/>
      <w:lvlJc w:val="left"/>
      <w:pPr>
        <w:ind w:left="2885" w:hanging="413"/>
      </w:pPr>
      <w:rPr>
        <w:rFonts w:hint="default"/>
      </w:rPr>
    </w:lvl>
    <w:lvl w:ilvl="3">
      <w:start w:val="0"/>
      <w:numFmt w:val="bullet"/>
      <w:lvlText w:val="•"/>
      <w:lvlJc w:val="left"/>
      <w:pPr>
        <w:ind w:left="3807" w:hanging="413"/>
      </w:pPr>
      <w:rPr>
        <w:rFonts w:hint="default"/>
      </w:rPr>
    </w:lvl>
    <w:lvl w:ilvl="4">
      <w:start w:val="0"/>
      <w:numFmt w:val="bullet"/>
      <w:lvlText w:val="•"/>
      <w:lvlJc w:val="left"/>
      <w:pPr>
        <w:ind w:left="4730" w:hanging="413"/>
      </w:pPr>
      <w:rPr>
        <w:rFonts w:hint="default"/>
      </w:rPr>
    </w:lvl>
    <w:lvl w:ilvl="5">
      <w:start w:val="0"/>
      <w:numFmt w:val="bullet"/>
      <w:lvlText w:val="•"/>
      <w:lvlJc w:val="left"/>
      <w:pPr>
        <w:ind w:left="5653" w:hanging="413"/>
      </w:pPr>
      <w:rPr>
        <w:rFonts w:hint="default"/>
      </w:rPr>
    </w:lvl>
    <w:lvl w:ilvl="6">
      <w:start w:val="0"/>
      <w:numFmt w:val="bullet"/>
      <w:lvlText w:val="•"/>
      <w:lvlJc w:val="left"/>
      <w:pPr>
        <w:ind w:left="6575" w:hanging="413"/>
      </w:pPr>
      <w:rPr>
        <w:rFonts w:hint="default"/>
      </w:rPr>
    </w:lvl>
    <w:lvl w:ilvl="7">
      <w:start w:val="0"/>
      <w:numFmt w:val="bullet"/>
      <w:lvlText w:val="•"/>
      <w:lvlJc w:val="left"/>
      <w:pPr>
        <w:ind w:left="7498" w:hanging="413"/>
      </w:pPr>
      <w:rPr>
        <w:rFonts w:hint="default"/>
      </w:rPr>
    </w:lvl>
    <w:lvl w:ilvl="8">
      <w:start w:val="0"/>
      <w:numFmt w:val="bullet"/>
      <w:lvlText w:val="•"/>
      <w:lvlJc w:val="left"/>
      <w:pPr>
        <w:ind w:left="8421" w:hanging="4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ind w:left="520"/>
    </w:pPr>
    <w:rPr>
      <w:rFonts w:ascii="宋体" w:hAnsi="宋体" w:eastAsia="宋体" w:cs="宋体"/>
      <w:sz w:val="21"/>
      <w:szCs w:val="21"/>
    </w:rPr>
  </w:style>
  <w:style w:styleId="Heading1" w:type="paragraph">
    <w:name w:val="Heading 1"/>
    <w:basedOn w:val="Normal"/>
    <w:uiPriority w:val="1"/>
    <w:qFormat/>
    <w:pPr>
      <w:ind w:right="121"/>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0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2"/>
      <w:ind w:left="1040" w:hanging="413"/>
    </w:pPr>
    <w:rPr>
      <w:rFonts w:ascii="宋体" w:hAnsi="宋体" w:eastAsia="宋体" w:cs="宋体"/>
    </w:rPr>
  </w:style>
  <w:style w:styleId="TableParagraph" w:type="paragraph">
    <w:name w:val="Table Paragraph"/>
    <w:basedOn w:val="Normal"/>
    <w:uiPriority w:val="1"/>
    <w:qFormat/>
    <w:pPr>
      <w:spacing w:line="221" w:lineRule="exact"/>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hewei</dc:creator>
  <dc:title>阅读指引</dc:title>
  <dcterms:created xsi:type="dcterms:W3CDTF">2018-10-20T08:22:03Z</dcterms:created>
  <dcterms:modified xsi:type="dcterms:W3CDTF">2018-10-20T08:22:03Z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2015-01-12T00:00:00Z</vt:filetime>
  </property>
  <property fmtid="{D5CDD505-2E9C-101B-9397-08002B2CF9AE}" pid="3" name="Creator">
    <vt:lpwstr>Microsoft® Office Word 2007</vt:lpwstr>
  </property>
  <property fmtid="{D5CDD505-2E9C-101B-9397-08002B2CF9AE}" pid="4" name="LastSaved">
    <vt:filetime>2018-10-20T00:00:00Z</vt:filetime>
  </property>
</Properties>
</file>