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31"/>
        <w:ind w:firstLine="0"/>
      </w:pPr>
      <w:r>
        <w:rPr>
          <w:w w:val="95"/>
        </w:rPr>
        <w:t>中国太平洋人寿保险股份有限公司附加福安康重大疾病保险条款</w:t>
      </w:r>
    </w:p>
    <w:p>
      <w:pPr>
        <w:spacing w:before="146"/>
        <w:ind w:left="114" w:right="0" w:firstLine="0"/>
        <w:jc w:val="left"/>
        <w:rPr>
          <w:rFonts w:ascii="黑体" w:eastAsia="黑体" w:hint="eastAsia"/>
          <w:sz w:val="24"/>
        </w:rPr>
      </w:pPr>
      <w:r>
        <w:rPr>
          <w:rFonts w:ascii="黑体" w:eastAsia="黑体" w:hint="eastAsia"/>
          <w:sz w:val="24"/>
        </w:rPr>
        <w:t>阅 读 指 引</w:t>
      </w:r>
    </w:p>
    <w:p>
      <w:pPr>
        <w:spacing w:before="17"/>
        <w:ind w:left="114"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pacing w:val="-11"/>
          <w:sz w:val="18"/>
        </w:rPr>
        <w:t>。</w:t>
      </w:r>
    </w:p>
    <w:p>
      <w:pPr>
        <w:pStyle w:val="Heading2"/>
        <w:tabs>
          <w:tab w:pos="1179" w:val="left" w:leader="none"/>
        </w:tabs>
        <w:spacing w:line="525" w:lineRule="exact" w:before="123"/>
        <w:ind w:left="307"/>
      </w:pPr>
      <w:r>
        <w:rPr>
          <w:rFonts w:ascii="Arial" w:hAnsi="Arial" w:eastAsia="Arial"/>
          <w:w w:val="150"/>
          <w:position w:val="-11"/>
          <w:sz w:val="48"/>
        </w:rPr>
        <w:t>¤</w:t>
        <w:tab/>
      </w:r>
      <w:r>
        <w:rPr>
          <w:w w:val="95"/>
        </w:rPr>
        <w:t>您拥有的重要权益</w:t>
      </w:r>
    </w:p>
    <w:p>
      <w:pPr>
        <w:spacing w:before="27"/>
        <w:ind w:left="60" w:right="502" w:firstLine="0"/>
        <w:jc w:val="center"/>
        <w:rPr>
          <w:sz w:val="15"/>
        </w:rPr>
      </w:pPr>
      <w:r>
        <w:rPr/>
        <w:br w:type="column"/>
      </w:r>
      <w:r>
        <w:rPr>
          <w:sz w:val="15"/>
        </w:rPr>
        <w:t>太平洋人寿[2009]疾病保险 049 号</w:t>
      </w:r>
    </w:p>
    <w:p>
      <w:pPr>
        <w:pStyle w:val="BodyText"/>
        <w:rPr>
          <w:sz w:val="9"/>
        </w:rPr>
      </w:pPr>
      <w:r>
        <w:rPr/>
        <w:drawing>
          <wp:anchor distT="0" distB="0" distL="0" distR="0" allowOverlap="1" layoutInCell="1" locked="0" behindDoc="0" simplePos="0" relativeHeight="0">
            <wp:simplePos x="0" y="0"/>
            <wp:positionH relativeFrom="page">
              <wp:posOffset>5534405</wp:posOffset>
            </wp:positionH>
            <wp:positionV relativeFrom="paragraph">
              <wp:posOffset>99766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
        <w:ind w:left="60" w:right="496" w:firstLine="0"/>
        <w:jc w:val="center"/>
        <w:rPr>
          <w:sz w:val="15"/>
        </w:rPr>
      </w:pPr>
      <w:r>
        <w:rPr>
          <w:sz w:val="15"/>
        </w:rPr>
        <w:t>请扫描以查询验证条款</w:t>
      </w:r>
    </w:p>
    <w:p>
      <w:pPr>
        <w:spacing w:after="0"/>
        <w:jc w:val="center"/>
        <w:rPr>
          <w:sz w:val="15"/>
        </w:rPr>
        <w:sectPr>
          <w:type w:val="continuous"/>
          <w:pgSz w:w="11910" w:h="16840"/>
          <w:pgMar w:top="1260" w:bottom="280" w:left="1020" w:right="960"/>
          <w:cols w:num="2" w:equalWidth="0">
            <w:col w:w="5875" w:space="1127"/>
            <w:col w:w="2928"/>
          </w:cols>
        </w:sectPr>
      </w:pPr>
    </w:p>
    <w:p>
      <w:pPr>
        <w:pStyle w:val="ListParagraph"/>
        <w:numPr>
          <w:ilvl w:val="0"/>
          <w:numId w:val="1"/>
        </w:numPr>
        <w:tabs>
          <w:tab w:pos="1030" w:val="left" w:leader="none"/>
          <w:tab w:pos="9579" w:val="right" w:leader="dot"/>
        </w:tabs>
        <w:spacing w:line="187" w:lineRule="exact" w:before="0" w:after="0"/>
        <w:ind w:left="1029" w:right="0" w:hanging="360"/>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1.5</w:t>
      </w:r>
    </w:p>
    <w:p>
      <w:pPr>
        <w:pStyle w:val="ListParagraph"/>
        <w:numPr>
          <w:ilvl w:val="0"/>
          <w:numId w:val="1"/>
        </w:numPr>
        <w:tabs>
          <w:tab w:pos="1030" w:val="left" w:leader="none"/>
          <w:tab w:pos="9579" w:val="right" w:leader="dot"/>
        </w:tabs>
        <w:spacing w:line="240" w:lineRule="auto" w:before="85" w:after="0"/>
        <w:ind w:left="1029" w:right="0" w:hanging="360"/>
        <w:jc w:val="left"/>
        <w:rPr>
          <w:sz w:val="18"/>
        </w:rPr>
      </w:pPr>
      <w:r>
        <w:rPr>
          <w:sz w:val="18"/>
        </w:rPr>
        <w:t>本附加险合同提供的保障在保险责任条款中列明…</w:t>
        <w:tab/>
        <w:t>2.3</w:t>
      </w:r>
    </w:p>
    <w:p>
      <w:pPr>
        <w:pStyle w:val="ListParagraph"/>
        <w:numPr>
          <w:ilvl w:val="0"/>
          <w:numId w:val="1"/>
        </w:numPr>
        <w:tabs>
          <w:tab w:pos="1030" w:val="left" w:leader="none"/>
          <w:tab w:pos="9579" w:val="right" w:leader="dot"/>
        </w:tabs>
        <w:spacing w:line="228" w:lineRule="exact" w:before="100" w:after="0"/>
        <w:ind w:left="1029" w:right="0" w:hanging="360"/>
        <w:jc w:val="left"/>
        <w:rPr>
          <w:sz w:val="18"/>
        </w:rPr>
      </w:pPr>
      <w:r>
        <w:rPr>
          <w:sz w:val="18"/>
        </w:rPr>
        <w:t>您有退保的权利…</w:t>
        <w:tab/>
        <w:t>5.2</w:t>
      </w:r>
    </w:p>
    <w:p>
      <w:pPr>
        <w:pStyle w:val="Heading2"/>
        <w:tabs>
          <w:tab w:pos="1179" w:val="left" w:leader="none"/>
        </w:tabs>
        <w:spacing w:line="490" w:lineRule="exact" w:before="0"/>
        <w:ind w:left="307"/>
      </w:pPr>
      <w:r>
        <w:rPr>
          <w:rFonts w:ascii="Arial" w:hAnsi="Arial" w:eastAsia="Arial"/>
          <w:w w:val="150"/>
          <w:position w:val="-11"/>
          <w:sz w:val="48"/>
        </w:rPr>
        <w:t>¤</w:t>
        <w:tab/>
      </w:r>
      <w:r>
        <w:rPr>
          <w:w w:val="95"/>
        </w:rPr>
        <w:t>您应当特别注意的事项</w:t>
      </w:r>
    </w:p>
    <w:p>
      <w:pPr>
        <w:pStyle w:val="ListParagraph"/>
        <w:numPr>
          <w:ilvl w:val="0"/>
          <w:numId w:val="1"/>
        </w:numPr>
        <w:tabs>
          <w:tab w:pos="1030" w:val="left" w:leader="none"/>
          <w:tab w:pos="9579" w:val="right" w:leader="dot"/>
        </w:tabs>
        <w:spacing w:line="181" w:lineRule="exact" w:before="0" w:after="0"/>
        <w:ind w:left="1029" w:right="0" w:hanging="360"/>
        <w:jc w:val="left"/>
        <w:rPr>
          <w:sz w:val="18"/>
        </w:rPr>
      </w:pPr>
      <w:r>
        <w:rPr>
          <w:sz w:val="18"/>
        </w:rPr>
        <w:t>本附加险合同有责任免除条款，请您注意…</w:t>
        <w:tab/>
        <w:t>2.4</w:t>
      </w:r>
    </w:p>
    <w:p>
      <w:pPr>
        <w:pStyle w:val="ListParagraph"/>
        <w:numPr>
          <w:ilvl w:val="0"/>
          <w:numId w:val="1"/>
        </w:numPr>
        <w:tabs>
          <w:tab w:pos="1030" w:val="left" w:leader="none"/>
          <w:tab w:pos="9579" w:val="right" w:leader="dot"/>
        </w:tabs>
        <w:spacing w:line="240" w:lineRule="auto" w:before="84" w:after="0"/>
        <w:ind w:left="1029" w:right="0" w:hanging="360"/>
        <w:jc w:val="left"/>
        <w:rPr>
          <w:sz w:val="18"/>
        </w:rPr>
      </w:pPr>
      <w:r>
        <w:rPr>
          <w:sz w:val="18"/>
        </w:rPr>
        <w:t>主险合同终止时，本附加险合同同时终止…</w:t>
        <w:tab/>
        <w:t>5.1</w:t>
      </w:r>
    </w:p>
    <w:p>
      <w:pPr>
        <w:pStyle w:val="ListParagraph"/>
        <w:numPr>
          <w:ilvl w:val="0"/>
          <w:numId w:val="1"/>
        </w:numPr>
        <w:tabs>
          <w:tab w:pos="1030" w:val="left" w:leader="none"/>
          <w:tab w:pos="9579" w:val="right" w:leader="dot"/>
        </w:tabs>
        <w:spacing w:line="240" w:lineRule="auto" w:before="83" w:after="0"/>
        <w:ind w:left="1029" w:right="0" w:hanging="360"/>
        <w:jc w:val="left"/>
        <w:rPr>
          <w:sz w:val="18"/>
        </w:rPr>
      </w:pPr>
      <w:r>
        <w:rPr>
          <w:sz w:val="18"/>
        </w:rPr>
        <w:t>退保会给您造成一定的损失，请您慎重决策…</w:t>
        <w:tab/>
        <w:t>5.2</w:t>
      </w:r>
    </w:p>
    <w:p>
      <w:pPr>
        <w:pStyle w:val="ListParagraph"/>
        <w:numPr>
          <w:ilvl w:val="0"/>
          <w:numId w:val="1"/>
        </w:numPr>
        <w:tabs>
          <w:tab w:pos="1030" w:val="left" w:leader="none"/>
          <w:tab w:pos="9579" w:val="right" w:leader="dot"/>
        </w:tabs>
        <w:spacing w:line="240" w:lineRule="auto" w:before="84" w:after="0"/>
        <w:ind w:left="1029" w:right="0" w:hanging="360"/>
        <w:jc w:val="left"/>
        <w:rPr>
          <w:sz w:val="18"/>
        </w:rPr>
      </w:pPr>
      <w:r>
        <w:rPr>
          <w:sz w:val="18"/>
        </w:rPr>
        <w:t>本附加险合同的某些事项适用主险合同条款，请您注意…</w:t>
        <w:tab/>
        <w:t>6.2</w:t>
      </w:r>
    </w:p>
    <w:p>
      <w:pPr>
        <w:pStyle w:val="ListParagraph"/>
        <w:numPr>
          <w:ilvl w:val="0"/>
          <w:numId w:val="1"/>
        </w:numPr>
        <w:tabs>
          <w:tab w:pos="1030" w:val="left" w:leader="none"/>
          <w:tab w:pos="9399" w:val="right" w:leader="dot"/>
        </w:tabs>
        <w:spacing w:line="226" w:lineRule="exact" w:before="84" w:after="0"/>
        <w:ind w:left="1029" w:right="0" w:hanging="360"/>
        <w:jc w:val="left"/>
        <w:rPr>
          <w:sz w:val="18"/>
        </w:rPr>
      </w:pPr>
      <w:r>
        <w:rPr>
          <w:sz w:val="18"/>
        </w:rPr>
        <w:t>我们对一些重要术语进行了解释，并作了显著标识，请您注意…</w:t>
        <w:tab/>
        <w:t>8</w:t>
      </w:r>
    </w:p>
    <w:p>
      <w:pPr>
        <w:pStyle w:val="Heading2"/>
        <w:tabs>
          <w:tab w:pos="1179" w:val="left" w:leader="none"/>
        </w:tabs>
        <w:spacing w:line="437" w:lineRule="exact" w:before="0"/>
        <w:ind w:left="307"/>
      </w:pPr>
      <w:r>
        <w:rPr>
          <w:rFonts w:ascii="Arial" w:hAnsi="Arial" w:eastAsia="Arial"/>
          <w:w w:val="150"/>
          <w:position w:val="-11"/>
          <w:sz w:val="48"/>
        </w:rPr>
        <w:t>¤</w:t>
        <w:tab/>
      </w:r>
      <w:r>
        <w:rPr>
          <w:w w:val="95"/>
        </w:rPr>
        <w:t>保险条款是保险合同的重要内容，为充分保障您的权益，请您仔细阅读本附加险条款。</w:t>
      </w:r>
    </w:p>
    <w:p>
      <w:pPr>
        <w:tabs>
          <w:tab w:pos="1179" w:val="left" w:leader="none"/>
        </w:tabs>
        <w:spacing w:line="446" w:lineRule="exact" w:before="0"/>
        <w:ind w:left="307"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74.639999pt;margin-top:18.25288pt;width:467pt;height:267.6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3816"/>
                    <w:gridCol w:w="3094"/>
                  </w:tblGrid>
                  <w:tr>
                    <w:trPr>
                      <w:trHeight w:val="235" w:hRule="atLeast"/>
                    </w:trPr>
                    <w:tc>
                      <w:tcPr>
                        <w:tcW w:w="2430" w:type="dxa"/>
                        <w:shd w:val="clear" w:color="auto" w:fill="D9D9D9"/>
                      </w:tcPr>
                      <w:p>
                        <w:pPr>
                          <w:pStyle w:val="TableParagraph"/>
                          <w:spacing w:line="208" w:lineRule="exact"/>
                          <w:rPr>
                            <w:rFonts w:ascii="黑体" w:eastAsia="黑体" w:hint="eastAsia"/>
                            <w:sz w:val="18"/>
                          </w:rPr>
                        </w:pPr>
                        <w:r>
                          <w:rPr>
                            <w:rFonts w:ascii="黑体" w:eastAsia="黑体" w:hint="eastAsia"/>
                            <w:sz w:val="18"/>
                          </w:rPr>
                          <w:t>1．您与我们订立的合同</w:t>
                        </w:r>
                      </w:p>
                    </w:tc>
                    <w:tc>
                      <w:tcPr>
                        <w:tcW w:w="3816" w:type="dxa"/>
                      </w:tcPr>
                      <w:p>
                        <w:pPr>
                          <w:pStyle w:val="TableParagraph"/>
                          <w:spacing w:line="215" w:lineRule="exact"/>
                          <w:ind w:left="923"/>
                          <w:rPr>
                            <w:rFonts w:ascii="微软雅黑" w:eastAsia="微软雅黑" w:hint="eastAsia"/>
                            <w:sz w:val="18"/>
                          </w:rPr>
                        </w:pPr>
                        <w:r>
                          <w:rPr>
                            <w:rFonts w:ascii="微软雅黑" w:eastAsia="微软雅黑" w:hint="eastAsia"/>
                            <w:sz w:val="18"/>
                          </w:rPr>
                          <w:t>4.1 保险费的支付</w:t>
                        </w:r>
                      </w:p>
                    </w:tc>
                    <w:tc>
                      <w:tcPr>
                        <w:tcW w:w="3094" w:type="dxa"/>
                      </w:tcPr>
                      <w:p>
                        <w:pPr>
                          <w:pStyle w:val="TableParagraph"/>
                          <w:spacing w:line="215" w:lineRule="exact"/>
                          <w:ind w:left="461"/>
                          <w:rPr>
                            <w:rFonts w:ascii="微软雅黑" w:eastAsia="微软雅黑" w:hint="eastAsia"/>
                            <w:sz w:val="18"/>
                          </w:rPr>
                        </w:pPr>
                        <w:r>
                          <w:rPr>
                            <w:rFonts w:ascii="微软雅黑" w:eastAsia="微软雅黑" w:hint="eastAsia"/>
                            <w:sz w:val="18"/>
                          </w:rPr>
                          <w:t>8.7 无有效行驶证</w:t>
                        </w:r>
                      </w:p>
                    </w:tc>
                  </w:tr>
                  <w:tr>
                    <w:trPr>
                      <w:trHeight w:val="355" w:hRule="atLeast"/>
                    </w:trPr>
                    <w:tc>
                      <w:tcPr>
                        <w:tcW w:w="2430" w:type="dxa"/>
                      </w:tcPr>
                      <w:p>
                        <w:pPr>
                          <w:pStyle w:val="TableParagraph"/>
                          <w:spacing w:before="4"/>
                          <w:rPr>
                            <w:rFonts w:ascii="微软雅黑" w:eastAsia="微软雅黑" w:hint="eastAsia"/>
                            <w:sz w:val="18"/>
                          </w:rPr>
                        </w:pPr>
                        <w:r>
                          <w:rPr>
                            <w:rFonts w:ascii="微软雅黑" w:eastAsia="微软雅黑" w:hint="eastAsia"/>
                            <w:sz w:val="18"/>
                          </w:rPr>
                          <w:t>1.1 合同订立</w:t>
                        </w:r>
                      </w:p>
                    </w:tc>
                    <w:tc>
                      <w:tcPr>
                        <w:tcW w:w="3816" w:type="dxa"/>
                      </w:tcPr>
                      <w:p>
                        <w:pPr>
                          <w:pStyle w:val="TableParagraph"/>
                          <w:tabs>
                            <w:tab w:pos="3353" w:val="left" w:leader="none"/>
                          </w:tabs>
                          <w:spacing w:before="57"/>
                          <w:ind w:left="924"/>
                          <w:rPr>
                            <w:rFonts w:ascii="黑体" w:eastAsia="黑体" w:hint="eastAsia"/>
                            <w:sz w:val="18"/>
                          </w:rPr>
                        </w:pPr>
                        <w:r>
                          <w:rPr>
                            <w:rFonts w:ascii="黑体" w:eastAsia="黑体" w:hint="eastAsia"/>
                            <w:sz w:val="18"/>
                            <w:shd w:fill="D9D9D9" w:color="auto" w:val="clear"/>
                          </w:rPr>
                          <w:t>5．合同终止与解除</w:t>
                          <w:tab/>
                        </w:r>
                      </w:p>
                    </w:tc>
                    <w:tc>
                      <w:tcPr>
                        <w:tcW w:w="3094" w:type="dxa"/>
                      </w:tcPr>
                      <w:p>
                        <w:pPr>
                          <w:pStyle w:val="TableParagraph"/>
                          <w:spacing w:before="4"/>
                          <w:ind w:left="461"/>
                          <w:rPr>
                            <w:rFonts w:ascii="微软雅黑" w:eastAsia="微软雅黑" w:hint="eastAsia"/>
                            <w:sz w:val="18"/>
                          </w:rPr>
                        </w:pPr>
                        <w:r>
                          <w:rPr>
                            <w:rFonts w:ascii="微软雅黑" w:eastAsia="微软雅黑" w:hint="eastAsia"/>
                            <w:sz w:val="18"/>
                          </w:rPr>
                          <w:t>8.8 机动车</w:t>
                        </w:r>
                      </w:p>
                    </w:tc>
                  </w:tr>
                  <w:tr>
                    <w:trPr>
                      <w:trHeight w:val="319" w:hRule="atLeast"/>
                    </w:trPr>
                    <w:tc>
                      <w:tcPr>
                        <w:tcW w:w="2430" w:type="dxa"/>
                      </w:tcPr>
                      <w:p>
                        <w:pPr>
                          <w:pStyle w:val="TableParagraph"/>
                          <w:spacing w:line="279" w:lineRule="exact"/>
                          <w:rPr>
                            <w:rFonts w:ascii="微软雅黑" w:eastAsia="微软雅黑" w:hint="eastAsia"/>
                            <w:sz w:val="18"/>
                          </w:rPr>
                        </w:pPr>
                        <w:r>
                          <w:rPr>
                            <w:rFonts w:ascii="微软雅黑" w:eastAsia="微软雅黑" w:hint="eastAsia"/>
                            <w:sz w:val="18"/>
                          </w:rPr>
                          <w:t>1.2 合同构成</w:t>
                        </w:r>
                      </w:p>
                    </w:tc>
                    <w:tc>
                      <w:tcPr>
                        <w:tcW w:w="3816" w:type="dxa"/>
                      </w:tcPr>
                      <w:p>
                        <w:pPr>
                          <w:pStyle w:val="TableParagraph"/>
                          <w:spacing w:line="279" w:lineRule="exact"/>
                          <w:ind w:left="924"/>
                          <w:rPr>
                            <w:rFonts w:ascii="微软雅黑" w:eastAsia="微软雅黑" w:hint="eastAsia"/>
                            <w:sz w:val="18"/>
                          </w:rPr>
                        </w:pPr>
                        <w:r>
                          <w:rPr>
                            <w:rFonts w:ascii="微软雅黑" w:eastAsia="微软雅黑" w:hint="eastAsia"/>
                            <w:sz w:val="18"/>
                          </w:rPr>
                          <w:t>5.1 合同终止</w:t>
                        </w:r>
                      </w:p>
                    </w:tc>
                    <w:tc>
                      <w:tcPr>
                        <w:tcW w:w="3094" w:type="dxa"/>
                      </w:tcPr>
                      <w:p>
                        <w:pPr>
                          <w:pStyle w:val="TableParagraph"/>
                          <w:spacing w:line="279" w:lineRule="exact"/>
                          <w:ind w:left="461"/>
                          <w:rPr>
                            <w:rFonts w:ascii="微软雅黑" w:eastAsia="微软雅黑" w:hint="eastAsia"/>
                            <w:sz w:val="18"/>
                          </w:rPr>
                        </w:pPr>
                        <w:r>
                          <w:rPr>
                            <w:rFonts w:ascii="微软雅黑" w:eastAsia="微软雅黑" w:hint="eastAsia"/>
                            <w:sz w:val="18"/>
                          </w:rPr>
                          <w:t>8.9 感染艾滋病病毒或患艾滋病</w:t>
                        </w:r>
                      </w:p>
                    </w:tc>
                  </w:tr>
                  <w:tr>
                    <w:trPr>
                      <w:trHeight w:val="320" w:hRule="atLeast"/>
                    </w:trPr>
                    <w:tc>
                      <w:tcPr>
                        <w:tcW w:w="2430" w:type="dxa"/>
                      </w:tcPr>
                      <w:p>
                        <w:pPr>
                          <w:pStyle w:val="TableParagraph"/>
                          <w:spacing w:line="279" w:lineRule="exact"/>
                          <w:rPr>
                            <w:rFonts w:ascii="微软雅黑" w:eastAsia="微软雅黑" w:hint="eastAsia"/>
                            <w:sz w:val="18"/>
                          </w:rPr>
                        </w:pPr>
                        <w:r>
                          <w:rPr>
                            <w:rFonts w:ascii="微软雅黑" w:eastAsia="微软雅黑" w:hint="eastAsia"/>
                            <w:sz w:val="18"/>
                          </w:rPr>
                          <w:t>1.3 合同成立与生效</w:t>
                        </w:r>
                      </w:p>
                    </w:tc>
                    <w:tc>
                      <w:tcPr>
                        <w:tcW w:w="3816" w:type="dxa"/>
                      </w:tcPr>
                      <w:p>
                        <w:pPr>
                          <w:pStyle w:val="TableParagraph"/>
                          <w:spacing w:line="279" w:lineRule="exact"/>
                          <w:ind w:left="924"/>
                          <w:rPr>
                            <w:rFonts w:ascii="微软雅黑" w:eastAsia="微软雅黑" w:hint="eastAsia"/>
                            <w:sz w:val="18"/>
                          </w:rPr>
                        </w:pPr>
                        <w:r>
                          <w:rPr>
                            <w:rFonts w:ascii="微软雅黑" w:eastAsia="微软雅黑" w:hint="eastAsia"/>
                            <w:sz w:val="18"/>
                          </w:rPr>
                          <w:t>5.2 您解除合同的手续及风险</w:t>
                        </w:r>
                      </w:p>
                    </w:tc>
                    <w:tc>
                      <w:tcPr>
                        <w:tcW w:w="3094" w:type="dxa"/>
                      </w:tcPr>
                      <w:p>
                        <w:pPr>
                          <w:pStyle w:val="TableParagraph"/>
                          <w:spacing w:line="279" w:lineRule="exact"/>
                          <w:ind w:left="461"/>
                          <w:rPr>
                            <w:rFonts w:ascii="微软雅黑" w:eastAsia="微软雅黑" w:hint="eastAsia"/>
                            <w:sz w:val="18"/>
                          </w:rPr>
                        </w:pPr>
                        <w:r>
                          <w:rPr>
                            <w:rFonts w:ascii="微软雅黑" w:eastAsia="微软雅黑" w:hint="eastAsia"/>
                            <w:sz w:val="18"/>
                          </w:rPr>
                          <w:t>8.10 遗传性疾病</w:t>
                        </w:r>
                      </w:p>
                    </w:tc>
                  </w:tr>
                  <w:tr>
                    <w:trPr>
                      <w:trHeight w:val="319" w:hRule="atLeast"/>
                    </w:trPr>
                    <w:tc>
                      <w:tcPr>
                        <w:tcW w:w="2430" w:type="dxa"/>
                      </w:tcPr>
                      <w:p>
                        <w:pPr>
                          <w:pStyle w:val="TableParagraph"/>
                          <w:spacing w:line="279" w:lineRule="exact"/>
                          <w:rPr>
                            <w:rFonts w:ascii="微软雅黑" w:eastAsia="微软雅黑" w:hint="eastAsia"/>
                            <w:sz w:val="18"/>
                          </w:rPr>
                        </w:pPr>
                        <w:r>
                          <w:rPr>
                            <w:rFonts w:ascii="微软雅黑" w:eastAsia="微软雅黑" w:hint="eastAsia"/>
                            <w:sz w:val="18"/>
                          </w:rPr>
                          <w:t>1.4 投保年龄</w:t>
                        </w:r>
                      </w:p>
                    </w:tc>
                    <w:tc>
                      <w:tcPr>
                        <w:tcW w:w="3816" w:type="dxa"/>
                      </w:tcPr>
                      <w:p>
                        <w:pPr>
                          <w:pStyle w:val="TableParagraph"/>
                          <w:tabs>
                            <w:tab w:pos="3353" w:val="left" w:leader="none"/>
                          </w:tabs>
                          <w:spacing w:before="21"/>
                          <w:ind w:left="924"/>
                          <w:rPr>
                            <w:rFonts w:ascii="黑体" w:eastAsia="黑体" w:hint="eastAsia"/>
                            <w:sz w:val="18"/>
                          </w:rPr>
                        </w:pPr>
                        <w:r>
                          <w:rPr>
                            <w:rFonts w:ascii="黑体" w:eastAsia="黑体" w:hint="eastAsia"/>
                            <w:sz w:val="18"/>
                            <w:shd w:fill="D9D9D9" w:color="auto" w:val="clear"/>
                          </w:rPr>
                          <w:t>6．其他需要关注的事项</w:t>
                          <w:tab/>
                        </w:r>
                      </w:p>
                    </w:tc>
                    <w:tc>
                      <w:tcPr>
                        <w:tcW w:w="3094" w:type="dxa"/>
                      </w:tcPr>
                      <w:p>
                        <w:pPr>
                          <w:pStyle w:val="TableParagraph"/>
                          <w:spacing w:line="279" w:lineRule="exact"/>
                          <w:ind w:left="461"/>
                          <w:rPr>
                            <w:rFonts w:ascii="微软雅黑" w:eastAsia="微软雅黑" w:hint="eastAsia"/>
                            <w:sz w:val="18"/>
                          </w:rPr>
                        </w:pPr>
                        <w:r>
                          <w:rPr>
                            <w:rFonts w:ascii="微软雅黑" w:eastAsia="微软雅黑" w:hint="eastAsia"/>
                            <w:sz w:val="18"/>
                          </w:rPr>
                          <w:t>8.11 先天性畸形、变形或染色体</w:t>
                        </w:r>
                      </w:p>
                    </w:tc>
                  </w:tr>
                  <w:tr>
                    <w:trPr>
                      <w:trHeight w:val="319" w:hRule="atLeast"/>
                    </w:trPr>
                    <w:tc>
                      <w:tcPr>
                        <w:tcW w:w="2430" w:type="dxa"/>
                      </w:tcPr>
                      <w:p>
                        <w:pPr>
                          <w:pStyle w:val="TableParagraph"/>
                          <w:spacing w:line="279" w:lineRule="exact"/>
                          <w:rPr>
                            <w:rFonts w:ascii="微软雅黑" w:eastAsia="微软雅黑" w:hint="eastAsia"/>
                            <w:sz w:val="18"/>
                          </w:rPr>
                        </w:pPr>
                        <w:r>
                          <w:rPr>
                            <w:rFonts w:ascii="微软雅黑" w:eastAsia="微软雅黑" w:hint="eastAsia"/>
                            <w:sz w:val="18"/>
                          </w:rPr>
                          <w:t>1.5 犹豫期</w:t>
                        </w:r>
                      </w:p>
                    </w:tc>
                    <w:tc>
                      <w:tcPr>
                        <w:tcW w:w="3816" w:type="dxa"/>
                      </w:tcPr>
                      <w:p>
                        <w:pPr>
                          <w:pStyle w:val="TableParagraph"/>
                          <w:spacing w:line="279" w:lineRule="exact"/>
                          <w:ind w:left="924"/>
                          <w:rPr>
                            <w:rFonts w:ascii="微软雅黑" w:eastAsia="微软雅黑" w:hint="eastAsia"/>
                            <w:sz w:val="18"/>
                          </w:rPr>
                        </w:pPr>
                        <w:r>
                          <w:rPr>
                            <w:rFonts w:ascii="微软雅黑" w:eastAsia="微软雅黑" w:hint="eastAsia"/>
                            <w:sz w:val="18"/>
                          </w:rPr>
                          <w:t>6.1 年龄错误</w:t>
                        </w:r>
                      </w:p>
                    </w:tc>
                    <w:tc>
                      <w:tcPr>
                        <w:tcW w:w="3094" w:type="dxa"/>
                      </w:tcPr>
                      <w:p>
                        <w:pPr>
                          <w:pStyle w:val="TableParagraph"/>
                          <w:spacing w:line="279" w:lineRule="exact"/>
                          <w:ind w:left="821"/>
                          <w:rPr>
                            <w:rFonts w:ascii="微软雅黑" w:eastAsia="微软雅黑" w:hint="eastAsia"/>
                            <w:sz w:val="18"/>
                          </w:rPr>
                        </w:pPr>
                        <w:r>
                          <w:rPr>
                            <w:rFonts w:ascii="微软雅黑" w:eastAsia="微软雅黑" w:hint="eastAsia"/>
                            <w:sz w:val="18"/>
                          </w:rPr>
                          <w:t>异常</w:t>
                        </w:r>
                      </w:p>
                    </w:tc>
                  </w:tr>
                  <w:tr>
                    <w:trPr>
                      <w:trHeight w:val="320" w:hRule="atLeast"/>
                    </w:trPr>
                    <w:tc>
                      <w:tcPr>
                        <w:tcW w:w="2430" w:type="dxa"/>
                      </w:tcPr>
                      <w:p>
                        <w:pPr>
                          <w:pStyle w:val="TableParagraph"/>
                          <w:tabs>
                            <w:tab w:pos="2429" w:val="left" w:leader="none"/>
                          </w:tabs>
                          <w:spacing w:before="21"/>
                          <w:rPr>
                            <w:rFonts w:ascii="黑体" w:eastAsia="黑体" w:hint="eastAsia"/>
                            <w:sz w:val="18"/>
                          </w:rPr>
                        </w:pPr>
                        <w:r>
                          <w:rPr>
                            <w:rFonts w:ascii="黑体" w:eastAsia="黑体" w:hint="eastAsia"/>
                            <w:sz w:val="18"/>
                            <w:shd w:fill="D9D9D9" w:color="auto" w:val="clear"/>
                          </w:rPr>
                          <w:t>2．我们提供的保障</w:t>
                          <w:tab/>
                        </w:r>
                      </w:p>
                    </w:tc>
                    <w:tc>
                      <w:tcPr>
                        <w:tcW w:w="3816" w:type="dxa"/>
                      </w:tcPr>
                      <w:p>
                        <w:pPr>
                          <w:pStyle w:val="TableParagraph"/>
                          <w:spacing w:line="279" w:lineRule="exact"/>
                          <w:ind w:left="924"/>
                          <w:rPr>
                            <w:rFonts w:ascii="微软雅黑" w:eastAsia="微软雅黑" w:hint="eastAsia"/>
                            <w:sz w:val="18"/>
                          </w:rPr>
                        </w:pPr>
                        <w:r>
                          <w:rPr>
                            <w:rFonts w:ascii="微软雅黑" w:eastAsia="微软雅黑" w:hint="eastAsia"/>
                            <w:sz w:val="18"/>
                          </w:rPr>
                          <w:t>6.2 适用主险合同条款</w:t>
                        </w:r>
                      </w:p>
                    </w:tc>
                    <w:tc>
                      <w:tcPr>
                        <w:tcW w:w="3094" w:type="dxa"/>
                      </w:tcPr>
                      <w:p>
                        <w:pPr>
                          <w:pStyle w:val="TableParagraph"/>
                          <w:spacing w:line="279" w:lineRule="exact"/>
                          <w:ind w:left="461"/>
                          <w:rPr>
                            <w:rFonts w:ascii="微软雅黑" w:eastAsia="微软雅黑" w:hint="eastAsia"/>
                            <w:sz w:val="18"/>
                          </w:rPr>
                        </w:pPr>
                        <w:r>
                          <w:rPr>
                            <w:rFonts w:ascii="微软雅黑" w:eastAsia="微软雅黑" w:hint="eastAsia"/>
                            <w:sz w:val="18"/>
                          </w:rPr>
                          <w:t>8.12 现金价值</w:t>
                        </w:r>
                      </w:p>
                    </w:tc>
                  </w:tr>
                  <w:tr>
                    <w:trPr>
                      <w:trHeight w:val="319" w:hRule="atLeast"/>
                    </w:trPr>
                    <w:tc>
                      <w:tcPr>
                        <w:tcW w:w="2430" w:type="dxa"/>
                      </w:tcPr>
                      <w:p>
                        <w:pPr>
                          <w:pStyle w:val="TableParagraph"/>
                          <w:spacing w:line="279" w:lineRule="exact"/>
                          <w:rPr>
                            <w:rFonts w:ascii="微软雅黑" w:eastAsia="微软雅黑" w:hint="eastAsia"/>
                            <w:sz w:val="18"/>
                          </w:rPr>
                        </w:pPr>
                        <w:r>
                          <w:rPr>
                            <w:rFonts w:ascii="微软雅黑" w:eastAsia="微软雅黑" w:hint="eastAsia"/>
                            <w:sz w:val="18"/>
                          </w:rPr>
                          <w:t>2.1 保险金额</w:t>
                        </w:r>
                      </w:p>
                    </w:tc>
                    <w:tc>
                      <w:tcPr>
                        <w:tcW w:w="3816" w:type="dxa"/>
                      </w:tcPr>
                      <w:p>
                        <w:pPr>
                          <w:pStyle w:val="TableParagraph"/>
                          <w:tabs>
                            <w:tab w:pos="3353" w:val="left" w:leader="none"/>
                          </w:tabs>
                          <w:spacing w:before="21"/>
                          <w:ind w:left="924"/>
                          <w:rPr>
                            <w:rFonts w:ascii="黑体" w:eastAsia="黑体" w:hint="eastAsia"/>
                            <w:sz w:val="18"/>
                          </w:rPr>
                        </w:pPr>
                        <w:r>
                          <w:rPr>
                            <w:rFonts w:ascii="黑体" w:eastAsia="黑体" w:hint="eastAsia"/>
                            <w:sz w:val="18"/>
                            <w:shd w:fill="D9D9D9" w:color="auto" w:val="clear"/>
                          </w:rPr>
                          <w:t>7．重大疾病的定义</w:t>
                          <w:tab/>
                        </w:r>
                      </w:p>
                    </w:tc>
                    <w:tc>
                      <w:tcPr>
                        <w:tcW w:w="3094" w:type="dxa"/>
                      </w:tcPr>
                      <w:p>
                        <w:pPr>
                          <w:pStyle w:val="TableParagraph"/>
                          <w:spacing w:line="279" w:lineRule="exact"/>
                          <w:ind w:left="461"/>
                          <w:rPr>
                            <w:rFonts w:ascii="微软雅黑" w:eastAsia="微软雅黑" w:hint="eastAsia"/>
                            <w:sz w:val="18"/>
                          </w:rPr>
                        </w:pPr>
                        <w:r>
                          <w:rPr>
                            <w:rFonts w:ascii="微软雅黑" w:eastAsia="微软雅黑" w:hint="eastAsia"/>
                            <w:sz w:val="18"/>
                          </w:rPr>
                          <w:t>8.13 情形复杂</w:t>
                        </w:r>
                      </w:p>
                    </w:tc>
                  </w:tr>
                  <w:tr>
                    <w:trPr>
                      <w:trHeight w:val="319" w:hRule="atLeast"/>
                    </w:trPr>
                    <w:tc>
                      <w:tcPr>
                        <w:tcW w:w="2430" w:type="dxa"/>
                      </w:tcPr>
                      <w:p>
                        <w:pPr>
                          <w:pStyle w:val="TableParagraph"/>
                          <w:spacing w:line="279" w:lineRule="exact"/>
                          <w:rPr>
                            <w:rFonts w:ascii="微软雅黑" w:eastAsia="微软雅黑" w:hint="eastAsia"/>
                            <w:sz w:val="18"/>
                          </w:rPr>
                        </w:pPr>
                        <w:r>
                          <w:rPr>
                            <w:rFonts w:ascii="微软雅黑" w:eastAsia="微软雅黑" w:hint="eastAsia"/>
                            <w:sz w:val="18"/>
                          </w:rPr>
                          <w:t>2.2 保险期间</w:t>
                        </w:r>
                      </w:p>
                    </w:tc>
                    <w:tc>
                      <w:tcPr>
                        <w:tcW w:w="3816" w:type="dxa"/>
                      </w:tcPr>
                      <w:p>
                        <w:pPr>
                          <w:pStyle w:val="TableParagraph"/>
                          <w:spacing w:line="279" w:lineRule="exact"/>
                          <w:ind w:left="924"/>
                          <w:rPr>
                            <w:rFonts w:ascii="微软雅黑" w:eastAsia="微软雅黑" w:hint="eastAsia"/>
                            <w:sz w:val="18"/>
                          </w:rPr>
                        </w:pPr>
                        <w:r>
                          <w:rPr>
                            <w:rFonts w:ascii="微软雅黑" w:eastAsia="微软雅黑" w:hint="eastAsia"/>
                            <w:sz w:val="18"/>
                          </w:rPr>
                          <w:t>7.1 重大疾病的定义</w:t>
                        </w:r>
                      </w:p>
                    </w:tc>
                    <w:tc>
                      <w:tcPr>
                        <w:tcW w:w="3094" w:type="dxa"/>
                      </w:tcPr>
                      <w:p>
                        <w:pPr>
                          <w:pStyle w:val="TableParagraph"/>
                          <w:spacing w:line="278" w:lineRule="exact"/>
                          <w:ind w:left="461"/>
                          <w:rPr>
                            <w:rFonts w:ascii="微软雅黑" w:eastAsia="微软雅黑" w:hint="eastAsia"/>
                            <w:sz w:val="18"/>
                          </w:rPr>
                        </w:pPr>
                        <w:r>
                          <w:rPr>
                            <w:rFonts w:ascii="微软雅黑" w:eastAsia="微软雅黑" w:hint="eastAsia"/>
                            <w:sz w:val="18"/>
                          </w:rPr>
                          <w:t>8.14 专科医生</w:t>
                        </w:r>
                      </w:p>
                    </w:tc>
                  </w:tr>
                  <w:tr>
                    <w:trPr>
                      <w:trHeight w:val="320" w:hRule="atLeast"/>
                    </w:trPr>
                    <w:tc>
                      <w:tcPr>
                        <w:tcW w:w="2430" w:type="dxa"/>
                      </w:tcPr>
                      <w:p>
                        <w:pPr>
                          <w:pStyle w:val="TableParagraph"/>
                          <w:spacing w:line="279" w:lineRule="exact"/>
                          <w:rPr>
                            <w:rFonts w:ascii="微软雅黑" w:eastAsia="微软雅黑" w:hint="eastAsia"/>
                            <w:sz w:val="18"/>
                          </w:rPr>
                        </w:pPr>
                        <w:r>
                          <w:rPr>
                            <w:rFonts w:ascii="微软雅黑" w:eastAsia="微软雅黑" w:hint="eastAsia"/>
                            <w:sz w:val="18"/>
                          </w:rPr>
                          <w:t>2.3 保险责任</w:t>
                        </w:r>
                      </w:p>
                    </w:tc>
                    <w:tc>
                      <w:tcPr>
                        <w:tcW w:w="3816" w:type="dxa"/>
                      </w:tcPr>
                      <w:p>
                        <w:pPr>
                          <w:pStyle w:val="TableParagraph"/>
                          <w:spacing w:line="279" w:lineRule="exact"/>
                          <w:ind w:left="924"/>
                          <w:rPr>
                            <w:rFonts w:ascii="微软雅黑" w:eastAsia="微软雅黑" w:hint="eastAsia"/>
                            <w:sz w:val="18"/>
                          </w:rPr>
                        </w:pPr>
                        <w:r>
                          <w:rPr>
                            <w:rFonts w:ascii="微软雅黑" w:eastAsia="微软雅黑" w:hint="eastAsia"/>
                            <w:sz w:val="18"/>
                          </w:rPr>
                          <w:t>7.2 定义来源及确诊医院范围</w:t>
                        </w:r>
                      </w:p>
                    </w:tc>
                    <w:tc>
                      <w:tcPr>
                        <w:tcW w:w="3094" w:type="dxa"/>
                      </w:tcPr>
                      <w:p>
                        <w:pPr>
                          <w:pStyle w:val="TableParagraph"/>
                          <w:spacing w:line="279" w:lineRule="exact"/>
                          <w:ind w:left="461"/>
                          <w:rPr>
                            <w:rFonts w:ascii="微软雅黑" w:eastAsia="微软雅黑" w:hint="eastAsia"/>
                            <w:sz w:val="18"/>
                          </w:rPr>
                        </w:pPr>
                        <w:r>
                          <w:rPr>
                            <w:rFonts w:ascii="微软雅黑" w:eastAsia="微软雅黑" w:hint="eastAsia"/>
                            <w:sz w:val="18"/>
                          </w:rPr>
                          <w:t>8.15 肢体机能完全丧失</w:t>
                        </w:r>
                      </w:p>
                    </w:tc>
                  </w:tr>
                  <w:tr>
                    <w:trPr>
                      <w:trHeight w:val="319" w:hRule="atLeast"/>
                    </w:trPr>
                    <w:tc>
                      <w:tcPr>
                        <w:tcW w:w="2430" w:type="dxa"/>
                      </w:tcPr>
                      <w:p>
                        <w:pPr>
                          <w:pStyle w:val="TableParagraph"/>
                          <w:spacing w:line="279" w:lineRule="exact"/>
                          <w:rPr>
                            <w:rFonts w:ascii="微软雅黑" w:eastAsia="微软雅黑" w:hint="eastAsia"/>
                            <w:sz w:val="18"/>
                          </w:rPr>
                        </w:pPr>
                        <w:r>
                          <w:rPr>
                            <w:rFonts w:ascii="微软雅黑" w:eastAsia="微软雅黑" w:hint="eastAsia"/>
                            <w:sz w:val="18"/>
                          </w:rPr>
                          <w:t>2.4 责任免除</w:t>
                        </w:r>
                      </w:p>
                    </w:tc>
                    <w:tc>
                      <w:tcPr>
                        <w:tcW w:w="3816" w:type="dxa"/>
                      </w:tcPr>
                      <w:p>
                        <w:pPr>
                          <w:pStyle w:val="TableParagraph"/>
                          <w:tabs>
                            <w:tab w:pos="3353" w:val="left" w:leader="none"/>
                          </w:tabs>
                          <w:spacing w:before="21"/>
                          <w:ind w:left="924"/>
                          <w:rPr>
                            <w:rFonts w:ascii="黑体" w:eastAsia="黑体" w:hint="eastAsia"/>
                            <w:sz w:val="18"/>
                          </w:rPr>
                        </w:pPr>
                        <w:r>
                          <w:rPr>
                            <w:rFonts w:ascii="黑体" w:eastAsia="黑体" w:hint="eastAsia"/>
                            <w:sz w:val="18"/>
                            <w:shd w:fill="D9D9D9" w:color="auto" w:val="clear"/>
                          </w:rPr>
                          <w:t>8．释义</w:t>
                          <w:tab/>
                        </w:r>
                      </w:p>
                    </w:tc>
                    <w:tc>
                      <w:tcPr>
                        <w:tcW w:w="3094" w:type="dxa"/>
                      </w:tcPr>
                      <w:p>
                        <w:pPr>
                          <w:pStyle w:val="TableParagraph"/>
                          <w:spacing w:line="279" w:lineRule="exact"/>
                          <w:ind w:left="461"/>
                          <w:rPr>
                            <w:rFonts w:ascii="微软雅黑" w:eastAsia="微软雅黑" w:hint="eastAsia"/>
                            <w:sz w:val="18"/>
                          </w:rPr>
                        </w:pPr>
                        <w:r>
                          <w:rPr>
                            <w:rFonts w:ascii="微软雅黑" w:eastAsia="微软雅黑" w:hint="eastAsia"/>
                            <w:sz w:val="18"/>
                          </w:rPr>
                          <w:t>8.16 语言能力或咀嚼吞咽能力</w:t>
                        </w:r>
                      </w:p>
                    </w:tc>
                  </w:tr>
                  <w:tr>
                    <w:trPr>
                      <w:trHeight w:val="319" w:hRule="atLeast"/>
                    </w:trPr>
                    <w:tc>
                      <w:tcPr>
                        <w:tcW w:w="2430" w:type="dxa"/>
                      </w:tcPr>
                      <w:p>
                        <w:pPr>
                          <w:pStyle w:val="TableParagraph"/>
                          <w:tabs>
                            <w:tab w:pos="2429" w:val="left" w:leader="none"/>
                          </w:tabs>
                          <w:spacing w:before="21"/>
                          <w:rPr>
                            <w:rFonts w:ascii="黑体" w:eastAsia="黑体" w:hint="eastAsia"/>
                            <w:sz w:val="18"/>
                          </w:rPr>
                        </w:pPr>
                        <w:r>
                          <w:rPr>
                            <w:rFonts w:ascii="黑体" w:eastAsia="黑体" w:hint="eastAsia"/>
                            <w:sz w:val="18"/>
                            <w:shd w:fill="D9D9D9" w:color="auto" w:val="clear"/>
                          </w:rPr>
                          <w:t>3．保险金的申请</w:t>
                          <w:tab/>
                        </w:r>
                      </w:p>
                    </w:tc>
                    <w:tc>
                      <w:tcPr>
                        <w:tcW w:w="3816" w:type="dxa"/>
                      </w:tcPr>
                      <w:p>
                        <w:pPr>
                          <w:pStyle w:val="TableParagraph"/>
                          <w:spacing w:line="279" w:lineRule="exact"/>
                          <w:ind w:left="924"/>
                          <w:rPr>
                            <w:rFonts w:ascii="微软雅黑" w:eastAsia="微软雅黑" w:hint="eastAsia"/>
                            <w:sz w:val="18"/>
                          </w:rPr>
                        </w:pPr>
                        <w:r>
                          <w:rPr>
                            <w:rFonts w:ascii="微软雅黑" w:eastAsia="微软雅黑" w:hint="eastAsia"/>
                            <w:sz w:val="18"/>
                          </w:rPr>
                          <w:t>8.1 保险费约定支付日</w:t>
                        </w:r>
                      </w:p>
                    </w:tc>
                    <w:tc>
                      <w:tcPr>
                        <w:tcW w:w="3094" w:type="dxa"/>
                      </w:tcPr>
                      <w:p>
                        <w:pPr>
                          <w:pStyle w:val="TableParagraph"/>
                          <w:spacing w:line="278" w:lineRule="exact"/>
                          <w:ind w:left="821"/>
                          <w:rPr>
                            <w:rFonts w:ascii="微软雅黑" w:eastAsia="微软雅黑" w:hint="eastAsia"/>
                            <w:sz w:val="18"/>
                          </w:rPr>
                        </w:pPr>
                        <w:r>
                          <w:rPr>
                            <w:rFonts w:ascii="微软雅黑" w:eastAsia="微软雅黑" w:hint="eastAsia"/>
                            <w:sz w:val="18"/>
                          </w:rPr>
                          <w:t>完全丧失</w:t>
                        </w:r>
                      </w:p>
                    </w:tc>
                  </w:tr>
                  <w:tr>
                    <w:trPr>
                      <w:trHeight w:val="320" w:hRule="atLeast"/>
                    </w:trPr>
                    <w:tc>
                      <w:tcPr>
                        <w:tcW w:w="2430" w:type="dxa"/>
                      </w:tcPr>
                      <w:p>
                        <w:pPr>
                          <w:pStyle w:val="TableParagraph"/>
                          <w:spacing w:line="279" w:lineRule="exact"/>
                          <w:rPr>
                            <w:rFonts w:ascii="微软雅黑" w:eastAsia="微软雅黑" w:hint="eastAsia"/>
                            <w:sz w:val="18"/>
                          </w:rPr>
                        </w:pPr>
                        <w:r>
                          <w:rPr>
                            <w:rFonts w:ascii="微软雅黑" w:eastAsia="微软雅黑" w:hint="eastAsia"/>
                            <w:sz w:val="18"/>
                          </w:rPr>
                          <w:t>3.1 受益人</w:t>
                        </w:r>
                      </w:p>
                    </w:tc>
                    <w:tc>
                      <w:tcPr>
                        <w:tcW w:w="3816" w:type="dxa"/>
                      </w:tcPr>
                      <w:p>
                        <w:pPr>
                          <w:pStyle w:val="TableParagraph"/>
                          <w:spacing w:line="279" w:lineRule="exact"/>
                          <w:ind w:left="924"/>
                          <w:rPr>
                            <w:rFonts w:ascii="微软雅黑" w:eastAsia="微软雅黑" w:hint="eastAsia"/>
                            <w:sz w:val="18"/>
                          </w:rPr>
                        </w:pPr>
                        <w:r>
                          <w:rPr>
                            <w:rFonts w:ascii="微软雅黑" w:eastAsia="微软雅黑" w:hint="eastAsia"/>
                            <w:sz w:val="18"/>
                          </w:rPr>
                          <w:t>8.2 有效身份证件</w:t>
                        </w:r>
                      </w:p>
                    </w:tc>
                    <w:tc>
                      <w:tcPr>
                        <w:tcW w:w="3094" w:type="dxa"/>
                      </w:tcPr>
                      <w:p>
                        <w:pPr>
                          <w:pStyle w:val="TableParagraph"/>
                          <w:spacing w:line="279" w:lineRule="exact"/>
                          <w:ind w:left="462"/>
                          <w:rPr>
                            <w:rFonts w:ascii="微软雅黑" w:eastAsia="微软雅黑" w:hint="eastAsia"/>
                            <w:sz w:val="18"/>
                          </w:rPr>
                        </w:pPr>
                        <w:r>
                          <w:rPr>
                            <w:rFonts w:ascii="微软雅黑" w:eastAsia="微软雅黑" w:hint="eastAsia"/>
                            <w:sz w:val="18"/>
                          </w:rPr>
                          <w:t>8.17 六项基本日常生活活动</w:t>
                        </w:r>
                      </w:p>
                    </w:tc>
                  </w:tr>
                  <w:tr>
                    <w:trPr>
                      <w:trHeight w:val="319" w:hRule="atLeast"/>
                    </w:trPr>
                    <w:tc>
                      <w:tcPr>
                        <w:tcW w:w="2430" w:type="dxa"/>
                      </w:tcPr>
                      <w:p>
                        <w:pPr>
                          <w:pStyle w:val="TableParagraph"/>
                          <w:spacing w:line="279" w:lineRule="exact"/>
                          <w:rPr>
                            <w:rFonts w:ascii="微软雅黑" w:eastAsia="微软雅黑" w:hint="eastAsia"/>
                            <w:sz w:val="18"/>
                          </w:rPr>
                        </w:pPr>
                        <w:r>
                          <w:rPr>
                            <w:rFonts w:ascii="微软雅黑" w:eastAsia="微软雅黑" w:hint="eastAsia"/>
                            <w:sz w:val="18"/>
                          </w:rPr>
                          <w:t>3.2 保险金申请</w:t>
                        </w:r>
                      </w:p>
                    </w:tc>
                    <w:tc>
                      <w:tcPr>
                        <w:tcW w:w="3816" w:type="dxa"/>
                      </w:tcPr>
                      <w:p>
                        <w:pPr>
                          <w:pStyle w:val="TableParagraph"/>
                          <w:spacing w:line="279" w:lineRule="exact"/>
                          <w:ind w:left="924"/>
                          <w:rPr>
                            <w:rFonts w:ascii="微软雅黑" w:eastAsia="微软雅黑" w:hint="eastAsia"/>
                            <w:sz w:val="18"/>
                          </w:rPr>
                        </w:pPr>
                        <w:r>
                          <w:rPr>
                            <w:rFonts w:ascii="微软雅黑" w:eastAsia="微软雅黑" w:hint="eastAsia"/>
                            <w:sz w:val="18"/>
                          </w:rPr>
                          <w:t>8.3 意外伤害</w:t>
                        </w:r>
                      </w:p>
                    </w:tc>
                    <w:tc>
                      <w:tcPr>
                        <w:tcW w:w="3094" w:type="dxa"/>
                      </w:tcPr>
                      <w:p>
                        <w:pPr>
                          <w:pStyle w:val="TableParagraph"/>
                          <w:spacing w:line="279" w:lineRule="exact"/>
                          <w:ind w:left="462"/>
                          <w:rPr>
                            <w:rFonts w:ascii="微软雅黑" w:eastAsia="微软雅黑" w:hint="eastAsia"/>
                            <w:sz w:val="18"/>
                          </w:rPr>
                        </w:pPr>
                        <w:r>
                          <w:rPr>
                            <w:rFonts w:ascii="微软雅黑" w:eastAsia="微软雅黑" w:hint="eastAsia"/>
                            <w:sz w:val="18"/>
                          </w:rPr>
                          <w:t>8.18 永久不可逆</w:t>
                        </w:r>
                      </w:p>
                    </w:tc>
                  </w:tr>
                  <w:tr>
                    <w:trPr>
                      <w:trHeight w:val="319" w:hRule="atLeast"/>
                    </w:trPr>
                    <w:tc>
                      <w:tcPr>
                        <w:tcW w:w="2430" w:type="dxa"/>
                      </w:tcPr>
                      <w:p>
                        <w:pPr>
                          <w:pStyle w:val="TableParagraph"/>
                          <w:spacing w:line="279" w:lineRule="exact"/>
                          <w:rPr>
                            <w:rFonts w:ascii="微软雅黑" w:eastAsia="微软雅黑" w:hint="eastAsia"/>
                            <w:sz w:val="18"/>
                          </w:rPr>
                        </w:pPr>
                        <w:r>
                          <w:rPr>
                            <w:rFonts w:ascii="微软雅黑" w:eastAsia="微软雅黑" w:hint="eastAsia"/>
                            <w:sz w:val="18"/>
                          </w:rPr>
                          <w:t>3.3 保险金给付</w:t>
                        </w:r>
                      </w:p>
                    </w:tc>
                    <w:tc>
                      <w:tcPr>
                        <w:tcW w:w="3816" w:type="dxa"/>
                      </w:tcPr>
                      <w:p>
                        <w:pPr>
                          <w:pStyle w:val="TableParagraph"/>
                          <w:spacing w:line="279" w:lineRule="exact"/>
                          <w:ind w:left="924"/>
                          <w:rPr>
                            <w:rFonts w:ascii="微软雅黑" w:eastAsia="微软雅黑" w:hint="eastAsia"/>
                            <w:sz w:val="18"/>
                          </w:rPr>
                        </w:pPr>
                        <w:r>
                          <w:rPr>
                            <w:rFonts w:ascii="微软雅黑" w:eastAsia="微软雅黑" w:hint="eastAsia"/>
                            <w:sz w:val="18"/>
                          </w:rPr>
                          <w:t>8.4 毒 品</w:t>
                        </w:r>
                      </w:p>
                    </w:tc>
                    <w:tc>
                      <w:tcPr>
                        <w:tcW w:w="3094" w:type="dxa"/>
                      </w:tcPr>
                      <w:p>
                        <w:pPr>
                          <w:pStyle w:val="TableParagraph"/>
                          <w:spacing w:line="279" w:lineRule="exact"/>
                          <w:ind w:left="462"/>
                          <w:rPr>
                            <w:rFonts w:ascii="微软雅黑" w:eastAsia="微软雅黑" w:hint="eastAsia"/>
                            <w:sz w:val="18"/>
                          </w:rPr>
                        </w:pPr>
                        <w:r>
                          <w:rPr>
                            <w:rFonts w:ascii="微软雅黑" w:eastAsia="微软雅黑" w:hint="eastAsia"/>
                            <w:sz w:val="18"/>
                          </w:rPr>
                          <w:t>8.19 周岁</w:t>
                        </w:r>
                      </w:p>
                    </w:tc>
                  </w:tr>
                  <w:tr>
                    <w:trPr>
                      <w:trHeight w:val="320" w:hRule="atLeast"/>
                    </w:trPr>
                    <w:tc>
                      <w:tcPr>
                        <w:tcW w:w="2430" w:type="dxa"/>
                      </w:tcPr>
                      <w:p>
                        <w:pPr>
                          <w:pStyle w:val="TableParagraph"/>
                          <w:spacing w:line="279" w:lineRule="exact"/>
                          <w:rPr>
                            <w:rFonts w:ascii="微软雅黑" w:eastAsia="微软雅黑" w:hint="eastAsia"/>
                            <w:sz w:val="18"/>
                          </w:rPr>
                        </w:pPr>
                        <w:r>
                          <w:rPr>
                            <w:rFonts w:ascii="微软雅黑" w:eastAsia="微软雅黑" w:hint="eastAsia"/>
                            <w:sz w:val="18"/>
                          </w:rPr>
                          <w:t>3.4 诉讼时效</w:t>
                        </w:r>
                      </w:p>
                    </w:tc>
                    <w:tc>
                      <w:tcPr>
                        <w:tcW w:w="3816" w:type="dxa"/>
                      </w:tcPr>
                      <w:p>
                        <w:pPr>
                          <w:pStyle w:val="TableParagraph"/>
                          <w:spacing w:line="279" w:lineRule="exact"/>
                          <w:ind w:left="924"/>
                          <w:rPr>
                            <w:rFonts w:ascii="微软雅黑" w:eastAsia="微软雅黑" w:hint="eastAsia"/>
                            <w:sz w:val="18"/>
                          </w:rPr>
                        </w:pPr>
                        <w:r>
                          <w:rPr>
                            <w:rFonts w:ascii="微软雅黑" w:eastAsia="微软雅黑" w:hint="eastAsia"/>
                            <w:sz w:val="18"/>
                          </w:rPr>
                          <w:t>8.5 酒后驾驶</w:t>
                        </w:r>
                      </w:p>
                    </w:tc>
                    <w:tc>
                      <w:tcPr>
                        <w:tcW w:w="3094" w:type="dxa"/>
                      </w:tcPr>
                      <w:p>
                        <w:pPr>
                          <w:pStyle w:val="TableParagraph"/>
                          <w:rPr>
                            <w:rFonts w:ascii="Times New Roman"/>
                            <w:sz w:val="18"/>
                          </w:rPr>
                        </w:pPr>
                      </w:p>
                    </w:tc>
                  </w:tr>
                  <w:tr>
                    <w:trPr>
                      <w:trHeight w:val="280" w:hRule="atLeast"/>
                    </w:trPr>
                    <w:tc>
                      <w:tcPr>
                        <w:tcW w:w="2430" w:type="dxa"/>
                      </w:tcPr>
                      <w:p>
                        <w:pPr>
                          <w:pStyle w:val="TableParagraph"/>
                          <w:tabs>
                            <w:tab w:pos="2429" w:val="left" w:leader="none"/>
                          </w:tabs>
                          <w:spacing w:before="21"/>
                          <w:rPr>
                            <w:rFonts w:ascii="黑体" w:eastAsia="黑体" w:hint="eastAsia"/>
                            <w:sz w:val="18"/>
                          </w:rPr>
                        </w:pPr>
                        <w:r>
                          <w:rPr>
                            <w:rFonts w:ascii="黑体" w:eastAsia="黑体" w:hint="eastAsia"/>
                            <w:sz w:val="18"/>
                            <w:shd w:fill="D9D9D9" w:color="auto" w:val="clear"/>
                          </w:rPr>
                          <w:t>4. 保险费的支付</w:t>
                          <w:tab/>
                        </w:r>
                      </w:p>
                    </w:tc>
                    <w:tc>
                      <w:tcPr>
                        <w:tcW w:w="3816" w:type="dxa"/>
                      </w:tcPr>
                      <w:p>
                        <w:pPr>
                          <w:pStyle w:val="TableParagraph"/>
                          <w:spacing w:line="261" w:lineRule="exact"/>
                          <w:ind w:left="924"/>
                          <w:rPr>
                            <w:rFonts w:ascii="微软雅黑" w:eastAsia="微软雅黑" w:hint="eastAsia"/>
                            <w:sz w:val="18"/>
                          </w:rPr>
                        </w:pPr>
                        <w:r>
                          <w:rPr>
                            <w:rFonts w:ascii="微软雅黑" w:eastAsia="微软雅黑" w:hint="eastAsia"/>
                            <w:sz w:val="18"/>
                          </w:rPr>
                          <w:t>8.6 无合法有效驾驶证驾驶</w:t>
                        </w:r>
                      </w:p>
                    </w:tc>
                    <w:tc>
                      <w:tcPr>
                        <w:tcW w:w="3094" w:type="dxa"/>
                      </w:tcPr>
                      <w:p>
                        <w:pPr>
                          <w:pStyle w:val="TableParagraph"/>
                          <w:rPr>
                            <w:rFonts w:ascii="Times New Roman"/>
                            <w:sz w:val="18"/>
                          </w:rPr>
                        </w:pPr>
                      </w:p>
                    </w:tc>
                  </w:tr>
                </w:tbl>
                <w:p>
                  <w:pPr>
                    <w:pStyle w:val="BodyText"/>
                  </w:pPr>
                </w:p>
              </w:txbxContent>
            </v:textbox>
            <w10:wrap type="none"/>
          </v:shape>
        </w:pict>
      </w:r>
      <w:r>
        <w:rPr>
          <w:rFonts w:ascii="Arial" w:hAnsi="Arial" w:eastAsia="Arial"/>
          <w:b/>
          <w:w w:val="150"/>
          <w:position w:val="-11"/>
          <w:sz w:val="48"/>
        </w:rPr>
        <w:t>¤</w:t>
        <w:tab/>
      </w:r>
      <w:r>
        <w:rPr>
          <w:rFonts w:ascii="黑体" w:hAnsi="黑体" w:eastAsia="黑体" w:hint="eastAsia"/>
          <w:b/>
          <w:w w:val="95"/>
          <w:sz w:val="21"/>
        </w:rPr>
        <w:t>条款目录（不含三级目录）</w:t>
      </w:r>
    </w:p>
    <w:p>
      <w:pPr>
        <w:spacing w:after="0" w:line="446" w:lineRule="exact"/>
        <w:jc w:val="left"/>
        <w:rPr>
          <w:rFonts w:ascii="黑体" w:hAnsi="黑体" w:eastAsia="黑体" w:hint="eastAsia"/>
          <w:sz w:val="21"/>
        </w:rPr>
        <w:sectPr>
          <w:type w:val="continuous"/>
          <w:pgSz w:w="11910" w:h="16840"/>
          <w:pgMar w:top="1260" w:bottom="280" w:left="1020" w:right="960"/>
        </w:sectPr>
      </w:pPr>
    </w:p>
    <w:p>
      <w:pPr>
        <w:spacing w:line="211" w:lineRule="auto" w:before="35"/>
        <w:ind w:left="2845" w:right="2520" w:hanging="322"/>
        <w:jc w:val="left"/>
        <w:rPr>
          <w:rFonts w:ascii="黑体" w:eastAsia="黑体" w:hint="eastAsia"/>
          <w:b/>
          <w:sz w:val="32"/>
        </w:rPr>
      </w:pPr>
      <w:r>
        <w:rPr>
          <w:rFonts w:ascii="黑体" w:eastAsia="黑体" w:hint="eastAsia"/>
          <w:b/>
          <w:sz w:val="32"/>
        </w:rPr>
        <w:t>中国太平洋人寿保险股份有限公司</w:t>
      </w:r>
      <w:r>
        <w:rPr>
          <w:rFonts w:ascii="黑体" w:eastAsia="黑体" w:hint="eastAsia"/>
          <w:b/>
          <w:w w:val="95"/>
          <w:sz w:val="32"/>
        </w:rPr>
        <w:t>附加福安康重大疾病保险条款</w:t>
      </w:r>
    </w:p>
    <w:p>
      <w:pPr>
        <w:pStyle w:val="BodyText"/>
        <w:spacing w:before="69"/>
        <w:ind w:left="2596"/>
      </w:pPr>
      <w:r>
        <w:rPr/>
        <w:t>（2009 年 8 月呈报中国保险监督管理委员会备案）</w:t>
      </w:r>
    </w:p>
    <w:p>
      <w:pPr>
        <w:pStyle w:val="BodyText"/>
        <w:spacing w:before="6"/>
        <w:rPr>
          <w:sz w:val="28"/>
        </w:rPr>
      </w:pPr>
    </w:p>
    <w:p>
      <w:pPr>
        <w:pStyle w:val="BodyText"/>
        <w:spacing w:line="278" w:lineRule="auto"/>
        <w:ind w:left="114" w:right="102" w:firstLine="419"/>
      </w:pPr>
      <w:r>
        <w:rPr>
          <w:spacing w:val="-10"/>
        </w:rPr>
        <w:t>“附加福安康重大疾病保险”简称“附加福安康重疾”。在本附加险条款中</w:t>
      </w:r>
      <w:r>
        <w:rPr>
          <w:spacing w:val="-24"/>
        </w:rPr>
        <w:t>，“您”指投保人，“我们”</w:t>
      </w:r>
      <w:r>
        <w:rPr>
          <w:spacing w:val="-23"/>
        </w:rPr>
        <w:t>指中国太平洋人寿保险股份有限公司，“本附加险合同”指您与我们之间订立的“附加福安康重大疾病保</w:t>
      </w:r>
      <w:r>
        <w:rPr>
          <w:spacing w:val="-36"/>
        </w:rPr>
        <w:t>险合同”。</w:t>
      </w:r>
    </w:p>
    <w:p>
      <w:pPr>
        <w:pStyle w:val="BodyText"/>
        <w:spacing w:before="2"/>
        <w:rPr>
          <w:sz w:val="10"/>
        </w:rPr>
      </w:pPr>
      <w:r>
        <w:rPr/>
        <w:pict>
          <v:shape style="position:absolute;margin-left:56.700001pt;margin-top:7.865476pt;width:477.1pt;height:15.6pt;mso-position-horizontal-relative:page;mso-position-vertical-relative:paragraph;z-index:1072;mso-wrap-distance-left:0;mso-wrap-distance-right:0" type="#_x0000_t202" filled="true" fillcolor="#d3d3d3" stroked="false">
            <v:textbox inset="0,0,0,0">
              <w:txbxContent>
                <w:p>
                  <w:pPr>
                    <w:tabs>
                      <w:tab w:pos="981"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095" w:val="left" w:leader="none"/>
          <w:tab w:pos="1096" w:val="left" w:leader="none"/>
          <w:tab w:pos="2740" w:val="left" w:leader="none"/>
        </w:tabs>
        <w:spacing w:line="240" w:lineRule="auto" w:before="35" w:after="0"/>
        <w:ind w:left="2740" w:right="0" w:hanging="2519"/>
        <w:jc w:val="left"/>
        <w:rPr>
          <w:sz w:val="21"/>
        </w:rPr>
      </w:pPr>
      <w:r>
        <w:rPr>
          <w:rFonts w:ascii="黑体" w:eastAsia="黑体" w:hint="eastAsia"/>
          <w:sz w:val="21"/>
        </w:rPr>
        <w:t>合同订立</w:t>
        <w:tab/>
      </w:r>
      <w:r>
        <w:rPr>
          <w:sz w:val="21"/>
        </w:rPr>
        <w:t>本附加险合同由主险合同投保人与我们订立。</w:t>
      </w:r>
    </w:p>
    <w:p>
      <w:pPr>
        <w:pStyle w:val="BodyText"/>
        <w:spacing w:before="3"/>
        <w:rPr>
          <w:sz w:val="14"/>
        </w:rPr>
      </w:pPr>
    </w:p>
    <w:p>
      <w:pPr>
        <w:pStyle w:val="ListParagraph"/>
        <w:numPr>
          <w:ilvl w:val="1"/>
          <w:numId w:val="2"/>
        </w:numPr>
        <w:tabs>
          <w:tab w:pos="1096" w:val="left" w:leader="none"/>
        </w:tabs>
        <w:spacing w:line="278" w:lineRule="auto" w:before="0" w:after="0"/>
        <w:ind w:left="2740" w:right="311" w:hanging="2519"/>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80" w:bottom="280" w:left="1020" w:right="1020"/>
        </w:sectPr>
      </w:pPr>
    </w:p>
    <w:p>
      <w:pPr>
        <w:pStyle w:val="ListParagraph"/>
        <w:numPr>
          <w:ilvl w:val="1"/>
          <w:numId w:val="2"/>
        </w:numPr>
        <w:tabs>
          <w:tab w:pos="1095" w:val="left" w:leader="none"/>
          <w:tab w:pos="1096" w:val="left" w:leader="none"/>
        </w:tabs>
        <w:spacing w:line="280" w:lineRule="auto" w:before="35" w:after="0"/>
        <w:ind w:left="1095" w:right="0" w:hanging="874"/>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line="266" w:lineRule="exact" w:before="35"/>
        <w:ind w:left="221"/>
      </w:pPr>
      <w:r>
        <w:rPr/>
        <w:br w:type="column"/>
      </w:r>
      <w:r>
        <w:rPr/>
        <w:t>您提出保险申请、我们同意承保，本附加险合同成立。</w:t>
      </w:r>
    </w:p>
    <w:p>
      <w:pPr>
        <w:spacing w:line="254" w:lineRule="auto" w:before="0"/>
        <w:ind w:left="221" w:right="312" w:firstLine="0"/>
        <w:jc w:val="left"/>
        <w:rPr>
          <w:sz w:val="21"/>
        </w:rPr>
      </w:pPr>
      <w:r>
        <w:rPr>
          <w:sz w:val="21"/>
        </w:rPr>
        <w:t>合同生效日期在保险单上载明。保单年度、</w:t>
      </w:r>
      <w:r>
        <w:rPr>
          <w:rFonts w:ascii="微软雅黑" w:eastAsia="微软雅黑" w:hint="eastAsia"/>
          <w:b/>
          <w:sz w:val="21"/>
        </w:rPr>
        <w:t>保险费约定支付日</w:t>
      </w:r>
      <w:r>
        <w:rPr>
          <w:sz w:val="21"/>
        </w:rPr>
        <w:t>均以该日期计算。</w:t>
      </w:r>
    </w:p>
    <w:p>
      <w:pPr>
        <w:spacing w:after="0" w:line="254" w:lineRule="auto"/>
        <w:jc w:val="left"/>
        <w:rPr>
          <w:sz w:val="21"/>
        </w:rPr>
        <w:sectPr>
          <w:type w:val="continuous"/>
          <w:pgSz w:w="11910" w:h="16840"/>
          <w:pgMar w:top="1260" w:bottom="280" w:left="1020" w:right="1020"/>
          <w:cols w:num="2" w:equalWidth="0">
            <w:col w:w="2356" w:space="163"/>
            <w:col w:w="7351"/>
          </w:cols>
        </w:sectPr>
      </w:pPr>
    </w:p>
    <w:p>
      <w:pPr>
        <w:pStyle w:val="BodyText"/>
        <w:spacing w:before="4"/>
        <w:rPr>
          <w:sz w:val="11"/>
        </w:rPr>
      </w:pPr>
    </w:p>
    <w:p>
      <w:pPr>
        <w:pStyle w:val="ListParagraph"/>
        <w:numPr>
          <w:ilvl w:val="1"/>
          <w:numId w:val="2"/>
        </w:numPr>
        <w:tabs>
          <w:tab w:pos="1095" w:val="left" w:leader="none"/>
          <w:tab w:pos="1096" w:val="left" w:leader="none"/>
          <w:tab w:pos="2740" w:val="left" w:leader="none"/>
        </w:tabs>
        <w:spacing w:line="240" w:lineRule="auto" w:before="35" w:after="0"/>
        <w:ind w:left="1095" w:right="0" w:hanging="874"/>
        <w:jc w:val="left"/>
        <w:rPr>
          <w:sz w:val="21"/>
        </w:rPr>
      </w:pPr>
      <w:r>
        <w:rPr>
          <w:rFonts w:ascii="黑体" w:eastAsia="黑体" w:hint="eastAsia"/>
          <w:sz w:val="21"/>
        </w:rPr>
        <w:t>投保年龄</w:t>
        <w:tab/>
      </w:r>
      <w:r>
        <w:rPr>
          <w:sz w:val="21"/>
        </w:rPr>
        <w:t>本附加险合同接受的被保险人的投保年龄范围同主险合同。</w:t>
      </w:r>
    </w:p>
    <w:p>
      <w:pPr>
        <w:pStyle w:val="BodyText"/>
        <w:spacing w:before="3"/>
        <w:rPr>
          <w:sz w:val="14"/>
        </w:rPr>
      </w:pPr>
    </w:p>
    <w:p>
      <w:pPr>
        <w:pStyle w:val="ListParagraph"/>
        <w:numPr>
          <w:ilvl w:val="1"/>
          <w:numId w:val="2"/>
        </w:numPr>
        <w:tabs>
          <w:tab w:pos="1096" w:val="left" w:leader="none"/>
        </w:tabs>
        <w:spacing w:line="278" w:lineRule="auto" w:before="0" w:after="0"/>
        <w:ind w:left="2740" w:right="311" w:hanging="2519"/>
        <w:jc w:val="both"/>
        <w:rPr>
          <w:sz w:val="21"/>
        </w:rPr>
      </w:pPr>
      <w:r>
        <w:rPr>
          <w:rFonts w:ascii="黑体" w:eastAsia="黑体" w:hint="eastAsia"/>
          <w:spacing w:val="5"/>
          <w:sz w:val="21"/>
        </w:rPr>
        <w:t>犹豫期        </w:t>
      </w:r>
      <w:r>
        <w:rPr>
          <w:spacing w:val="-5"/>
          <w:sz w:val="21"/>
        </w:rPr>
        <w:t>自您签收本附加险合同之日起，有 </w:t>
      </w:r>
      <w:r>
        <w:rPr>
          <w:sz w:val="21"/>
        </w:rPr>
        <w:t>10</w:t>
      </w:r>
      <w:r>
        <w:rPr>
          <w:spacing w:val="-8"/>
          <w:sz w:val="21"/>
        </w:rPr>
        <w:t> 日的犹豫期。在此期间，请您认真审视本附加险合同，如果您认为本附加险合同与您的需求不相符，您可以在</w:t>
      </w:r>
      <w:r>
        <w:rPr>
          <w:spacing w:val="-12"/>
          <w:sz w:val="21"/>
        </w:rPr>
        <w:t>此期间提出解除本附加险合同，我们将在扣除人民币 </w:t>
      </w:r>
      <w:r>
        <w:rPr>
          <w:sz w:val="21"/>
        </w:rPr>
        <w:t>10</w:t>
      </w:r>
      <w:r>
        <w:rPr>
          <w:spacing w:val="-9"/>
          <w:sz w:val="21"/>
        </w:rPr>
        <w:t> 元的工本费后退还您所支付的保险费。</w:t>
      </w:r>
    </w:p>
    <w:p>
      <w:pPr>
        <w:pStyle w:val="BodyText"/>
        <w:spacing w:line="311" w:lineRule="exact"/>
        <w:ind w:left="2740"/>
      </w:pPr>
      <w:r>
        <w:rPr/>
        <w:t>解除合同时，您需要填写申请书，并提供您的保险合同及</w:t>
      </w:r>
      <w:r>
        <w:rPr>
          <w:rFonts w:ascii="微软雅黑" w:eastAsia="微软雅黑" w:hint="eastAsia"/>
          <w:b/>
        </w:rPr>
        <w:t>有效身份证件</w:t>
      </w:r>
      <w:r>
        <w:rPr/>
        <w:t>。</w:t>
      </w:r>
    </w:p>
    <w:p>
      <w:pPr>
        <w:pStyle w:val="BodyText"/>
        <w:spacing w:line="280" w:lineRule="auto" w:before="21"/>
        <w:ind w:left="2740" w:right="311"/>
      </w:pPr>
      <w:r>
        <w:rPr/>
        <w:t>自我们收到您解除合同的书面申请时起，本附加险合同即被解除，对于合同解除前发生的事故，我们不承担保险责任。</w:t>
      </w:r>
    </w:p>
    <w:p>
      <w:pPr>
        <w:pStyle w:val="BodyText"/>
        <w:spacing w:before="12"/>
        <w:rPr>
          <w:sz w:val="8"/>
        </w:rPr>
      </w:pPr>
      <w:r>
        <w:rPr/>
        <w:pict>
          <v:shape style="position:absolute;margin-left:56.700001pt;margin-top:7.067922pt;width:477.1pt;height:15.6pt;mso-position-horizontal-relative:page;mso-position-vertical-relative:paragraph;z-index:1096;mso-wrap-distance-left:0;mso-wrap-distance-right:0" type="#_x0000_t202" filled="true" fillcolor="#d3d3d3" stroked="false">
            <v:textbox inset="0,0,0,0">
              <w:txbxContent>
                <w:p>
                  <w:pPr>
                    <w:tabs>
                      <w:tab w:pos="981"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095" w:val="left" w:leader="none"/>
          <w:tab w:pos="1096" w:val="left" w:leader="none"/>
          <w:tab w:pos="2740" w:val="left" w:leader="none"/>
        </w:tabs>
        <w:spacing w:line="280" w:lineRule="auto" w:before="35" w:after="0"/>
        <w:ind w:left="2740" w:right="311" w:hanging="2518"/>
        <w:jc w:val="left"/>
        <w:rPr>
          <w:sz w:val="21"/>
        </w:rPr>
      </w:pPr>
      <w:r>
        <w:rPr>
          <w:rFonts w:ascii="黑体" w:eastAsia="黑体" w:hint="eastAsia"/>
          <w:sz w:val="21"/>
        </w:rPr>
        <w:t>保险金额</w:t>
        <w:tab/>
      </w:r>
      <w:r>
        <w:rPr>
          <w:sz w:val="21"/>
        </w:rPr>
        <w:t>本附加险合同的保险金额根据被保险人的投保年龄、性别、交费方式、投 保份数等确定，并在保险单上载明。</w:t>
      </w:r>
    </w:p>
    <w:p>
      <w:pPr>
        <w:pStyle w:val="ListParagraph"/>
        <w:numPr>
          <w:ilvl w:val="1"/>
          <w:numId w:val="3"/>
        </w:numPr>
        <w:tabs>
          <w:tab w:pos="1095" w:val="left" w:leader="none"/>
          <w:tab w:pos="1096" w:val="left" w:leader="none"/>
          <w:tab w:pos="2740" w:val="left" w:leader="none"/>
        </w:tabs>
        <w:spacing w:line="240" w:lineRule="auto" w:before="151" w:after="0"/>
        <w:ind w:left="2740" w:right="0" w:hanging="2518"/>
        <w:jc w:val="left"/>
        <w:rPr>
          <w:sz w:val="21"/>
        </w:rPr>
      </w:pPr>
      <w:r>
        <w:rPr>
          <w:rFonts w:ascii="黑体" w:eastAsia="黑体" w:hint="eastAsia"/>
          <w:sz w:val="21"/>
        </w:rPr>
        <w:t>保险期间</w:t>
        <w:tab/>
      </w:r>
      <w:r>
        <w:rPr>
          <w:sz w:val="21"/>
        </w:rPr>
        <w:t>本附加险合同的保险期间为</w:t>
      </w:r>
      <w:r>
        <w:rPr>
          <w:spacing w:val="-65"/>
          <w:sz w:val="21"/>
        </w:rPr>
        <w:t> </w:t>
      </w:r>
      <w:r>
        <w:rPr>
          <w:sz w:val="21"/>
        </w:rPr>
        <w:t>10</w:t>
      </w:r>
      <w:r>
        <w:rPr>
          <w:spacing w:val="-65"/>
          <w:sz w:val="21"/>
        </w:rPr>
        <w:t> </w:t>
      </w:r>
      <w:r>
        <w:rPr>
          <w:sz w:val="21"/>
        </w:rPr>
        <w:t>年，以保险单所载为准。</w:t>
      </w:r>
    </w:p>
    <w:p>
      <w:pPr>
        <w:pStyle w:val="BodyText"/>
        <w:spacing w:before="3"/>
        <w:rPr>
          <w:sz w:val="14"/>
        </w:rPr>
      </w:pPr>
    </w:p>
    <w:p>
      <w:pPr>
        <w:pStyle w:val="ListParagraph"/>
        <w:numPr>
          <w:ilvl w:val="1"/>
          <w:numId w:val="3"/>
        </w:numPr>
        <w:tabs>
          <w:tab w:pos="1095" w:val="left" w:leader="none"/>
          <w:tab w:pos="1096" w:val="left" w:leader="none"/>
          <w:tab w:pos="2740" w:val="left" w:leader="none"/>
        </w:tabs>
        <w:spacing w:line="278" w:lineRule="auto" w:before="1" w:after="0"/>
        <w:ind w:left="2740" w:right="210" w:hanging="2518"/>
        <w:jc w:val="left"/>
        <w:rPr>
          <w:sz w:val="21"/>
        </w:rPr>
      </w:pPr>
      <w:r>
        <w:rPr>
          <w:rFonts w:ascii="黑体" w:eastAsia="黑体" w:hint="eastAsia"/>
          <w:sz w:val="21"/>
        </w:rPr>
        <w:t>保险责任</w:t>
        <w:tab/>
      </w:r>
      <w:r>
        <w:rPr>
          <w:sz w:val="21"/>
        </w:rPr>
        <w:t>在本附加险合同保险期间内</w:t>
      </w:r>
      <w:r>
        <w:rPr>
          <w:spacing w:val="-20"/>
          <w:sz w:val="21"/>
        </w:rPr>
        <w:t>，</w:t>
      </w:r>
      <w:r>
        <w:rPr>
          <w:sz w:val="21"/>
        </w:rPr>
        <w:t>且主险合同及本附加险合同均有效的前提下，我们按以下约定承担保险责任：</w:t>
      </w:r>
    </w:p>
    <w:p>
      <w:pPr>
        <w:spacing w:after="0" w:line="278" w:lineRule="auto"/>
        <w:jc w:val="left"/>
        <w:rPr>
          <w:sz w:val="21"/>
        </w:rPr>
        <w:sectPr>
          <w:type w:val="continuous"/>
          <w:pgSz w:w="11910" w:h="16840"/>
          <w:pgMar w:top="1260" w:bottom="280" w:left="1020" w:right="1020"/>
        </w:sectPr>
      </w:pPr>
    </w:p>
    <w:p>
      <w:pPr>
        <w:pStyle w:val="BodyText"/>
        <w:spacing w:line="211" w:lineRule="auto" w:before="135"/>
        <w:ind w:left="1095"/>
        <w:rPr>
          <w:rFonts w:ascii="微软雅黑" w:eastAsia="微软雅黑" w:hint="eastAsia"/>
        </w:rPr>
      </w:pPr>
      <w:r>
        <w:rPr>
          <w:rFonts w:ascii="微软雅黑" w:eastAsia="微软雅黑" w:hint="eastAsia"/>
        </w:rPr>
        <w:t>重大疾病保险金</w:t>
      </w:r>
    </w:p>
    <w:p>
      <w:pPr>
        <w:pStyle w:val="BodyText"/>
        <w:spacing w:line="280" w:lineRule="auto" w:before="153"/>
        <w:ind w:left="345" w:right="311"/>
        <w:jc w:val="both"/>
      </w:pPr>
      <w:r>
        <w:rPr/>
        <w:br w:type="column"/>
      </w:r>
      <w:r>
        <w:rPr/>
        <w:t>被保险人在本附加险合同生效或最后一次复效（以较迟者为准）之日起 1 年内被确诊初次患本附加险合同约定的重大疾病（无论一种或多种）的， 我们向您返还您已支付的保险费，本附加险合同终止。</w:t>
      </w:r>
    </w:p>
    <w:p>
      <w:pPr>
        <w:pStyle w:val="BodyText"/>
        <w:spacing w:line="278" w:lineRule="auto" w:before="8"/>
        <w:ind w:left="345" w:right="210"/>
      </w:pPr>
      <w:r>
        <w:rPr/>
        <w:t>被保险人在本附加险合同生效或最后一次复效（以较迟者为准）</w:t>
      </w:r>
      <w:r>
        <w:rPr>
          <w:spacing w:val="7"/>
        </w:rPr>
        <w:t>之日起 </w:t>
      </w:r>
      <w:r>
        <w:rPr/>
        <w:t>1 </w:t>
      </w:r>
      <w:r>
        <w:rPr>
          <w:spacing w:val="-1"/>
        </w:rPr>
        <w:t>年后被确诊初次患本附加险合同约定的第一类重大疾病</w:t>
      </w:r>
      <w:r>
        <w:rPr/>
        <w:t>（无论一种或多种） 的，我们按本附加险合同保险金额给付重大疾病保险金，本附加险合同终止。</w:t>
      </w:r>
    </w:p>
    <w:p>
      <w:pPr>
        <w:pStyle w:val="BodyText"/>
        <w:spacing w:line="280" w:lineRule="auto" w:before="12"/>
        <w:ind w:left="345" w:right="183"/>
      </w:pPr>
      <w:r>
        <w:rPr/>
        <w:t>被保险人在本附加险合同生效或最后一次复效（以较迟者为准）之日起 1 年后被确诊初次患本附加险合同约定的第二类重大疾病（无论一种或多种）</w:t>
      </w:r>
    </w:p>
    <w:p>
      <w:pPr>
        <w:spacing w:after="0" w:line="280" w:lineRule="auto"/>
        <w:sectPr>
          <w:type w:val="continuous"/>
          <w:pgSz w:w="11910" w:h="16840"/>
          <w:pgMar w:top="1260" w:bottom="280" w:left="1020" w:right="1020"/>
          <w:cols w:num="2" w:equalWidth="0">
            <w:col w:w="2356" w:space="40"/>
            <w:col w:w="7474"/>
          </w:cols>
        </w:sectPr>
      </w:pPr>
    </w:p>
    <w:p>
      <w:pPr>
        <w:pStyle w:val="BodyText"/>
        <w:spacing w:line="278" w:lineRule="auto" w:before="8"/>
        <w:ind w:left="2740" w:right="215"/>
      </w:pPr>
      <w:r>
        <w:rPr>
          <w:spacing w:val="-7"/>
        </w:rPr>
        <w:t>且自确诊之日起 </w:t>
      </w:r>
      <w:r>
        <w:rPr/>
        <w:t>30</w:t>
      </w:r>
      <w:r>
        <w:rPr>
          <w:spacing w:val="-38"/>
        </w:rPr>
        <w:t> 天</w:t>
      </w:r>
      <w:r>
        <w:rPr/>
        <w:t>（30</w:t>
      </w:r>
      <w:r>
        <w:rPr>
          <w:spacing w:val="-10"/>
        </w:rPr>
        <w:t> 天为生存期</w:t>
      </w:r>
      <w:r>
        <w:rPr>
          <w:spacing w:val="-25"/>
        </w:rPr>
        <w:t>）</w:t>
      </w:r>
      <w:r>
        <w:rPr>
          <w:spacing w:val="-5"/>
        </w:rPr>
        <w:t>后仍生存的，我们按本附加险合同保险金额给付重大疾病保险金，本附加险合同终止。</w:t>
      </w:r>
    </w:p>
    <w:p>
      <w:pPr>
        <w:pStyle w:val="BodyText"/>
        <w:spacing w:line="278" w:lineRule="auto" w:before="11"/>
        <w:ind w:left="2740" w:right="211"/>
        <w:jc w:val="both"/>
      </w:pPr>
      <w:r>
        <w:rPr>
          <w:spacing w:val="-3"/>
        </w:rPr>
        <w:t>第二类重大疾病指本附加险条款“</w:t>
      </w:r>
      <w:r>
        <w:rPr/>
        <w:t>7.1</w:t>
      </w:r>
      <w:r>
        <w:rPr>
          <w:spacing w:val="-11"/>
        </w:rPr>
        <w:t> 重大疾病的定义”所列的急性心肌梗塞、慢性肝功能衰竭失代偿期、原发性心肌病以及终末期肺病；该条所列的其他疾病、疾病状态或手术为第一类重大疾病。</w:t>
      </w:r>
    </w:p>
    <w:p>
      <w:pPr>
        <w:pStyle w:val="BodyText"/>
        <w:spacing w:line="291" w:lineRule="exact"/>
        <w:ind w:left="2740"/>
        <w:rPr>
          <w:rFonts w:ascii="微软雅黑" w:eastAsia="微软雅黑" w:hint="eastAsia"/>
          <w:b/>
        </w:rPr>
      </w:pPr>
      <w:r>
        <w:rPr/>
        <w:t>若被保险人被确诊的重大疾病是以其在本附加险合同有效期内遭受的</w:t>
      </w:r>
      <w:r>
        <w:rPr>
          <w:rFonts w:ascii="微软雅黑" w:eastAsia="微软雅黑" w:hint="eastAsia"/>
          <w:b/>
        </w:rPr>
        <w:t>意外</w:t>
      </w:r>
    </w:p>
    <w:p>
      <w:pPr>
        <w:pStyle w:val="BodyText"/>
        <w:spacing w:line="320" w:lineRule="exact" w:before="31"/>
        <w:ind w:left="2740" w:right="170"/>
      </w:pPr>
      <w:r>
        <w:rPr>
          <w:rFonts w:ascii="微软雅黑" w:eastAsia="微软雅黑" w:hint="eastAsia"/>
          <w:b/>
        </w:rPr>
        <w:t>伤害</w:t>
      </w:r>
      <w:r>
        <w:rPr/>
        <w:t>为直接且单独的原因所致，则不受前述 1 年的限制，我们按本附加险合同保险金额给付重大疾病保险金，本附加险合同终止。</w:t>
      </w:r>
    </w:p>
    <w:p>
      <w:pPr>
        <w:pStyle w:val="BodyText"/>
        <w:spacing w:line="280" w:lineRule="auto" w:before="11"/>
        <w:ind w:left="2740" w:right="217"/>
      </w:pPr>
      <w:r>
        <w:rPr>
          <w:spacing w:val="-3"/>
        </w:rPr>
        <w:t>上述重大疾病保障须符合本附加险条款“</w:t>
      </w:r>
      <w:r>
        <w:rPr/>
        <w:t>7.1</w:t>
      </w:r>
      <w:r>
        <w:rPr>
          <w:spacing w:val="-11"/>
        </w:rPr>
        <w:t> 重大疾病的定义”中规定的相关定义。</w:t>
      </w:r>
    </w:p>
    <w:p>
      <w:pPr>
        <w:pStyle w:val="ListParagraph"/>
        <w:numPr>
          <w:ilvl w:val="1"/>
          <w:numId w:val="3"/>
        </w:numPr>
        <w:tabs>
          <w:tab w:pos="1096" w:val="left" w:leader="none"/>
          <w:tab w:pos="1097" w:val="left" w:leader="none"/>
          <w:tab w:pos="2741" w:val="left" w:leader="none"/>
        </w:tabs>
        <w:spacing w:line="278" w:lineRule="auto" w:before="151" w:after="0"/>
        <w:ind w:left="2740" w:right="288" w:hanging="2519"/>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因下列情形之一，导致被</w:t>
      </w:r>
      <w:r>
        <w:rPr>
          <w:rFonts w:ascii="黑体" w:eastAsia="黑体" w:hint="eastAsia"/>
          <w:sz w:val="21"/>
        </w:rPr>
        <w:t>保险人发Th疾病、达到疾病状态或进行手术的，我们不承担给付保险金的责任：                                  (1)投保人对被保险人的故意杀害、故意伤害；                     </w:t>
      </w:r>
      <w:r>
        <w:rPr>
          <w:rFonts w:ascii="黑体" w:eastAsia="黑体" w:hint="eastAsia"/>
          <w:spacing w:val="-1"/>
          <w:sz w:val="21"/>
        </w:rPr>
        <w:t>(2)被保险人故意自伤、故意犯罪或抗拒依法采取的刑事强制措施；</w:t>
      </w:r>
    </w:p>
    <w:p>
      <w:pPr>
        <w:pStyle w:val="BodyText"/>
        <w:spacing w:before="10"/>
        <w:ind w:left="2740"/>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5"/>
        <w:ind w:left="3056" w:right="290"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line="280" w:lineRule="auto" w:before="8"/>
        <w:ind w:left="2740" w:right="3115"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 (6)战争、军事冲突、暴乱或武装叛乱； (7)核爆炸、核辐射或核污染；</w:t>
      </w:r>
    </w:p>
    <w:p>
      <w:pPr>
        <w:spacing w:before="8"/>
        <w:ind w:left="2740"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78" w:lineRule="auto" w:before="45"/>
        <w:ind w:left="2740" w:right="215"/>
        <w:jc w:val="both"/>
        <w:rPr>
          <w:rFonts w:ascii="黑体" w:eastAsia="黑体" w:hint="eastAsia"/>
        </w:rPr>
      </w:pPr>
      <w:r>
        <w:rPr>
          <w:rFonts w:ascii="黑体" w:eastAsia="黑体" w:hint="eastAsia"/>
        </w:rPr>
        <w:t>因上述第(1)项情形导致被保险人被确诊发Th本附加险合同约定的重大疾病的，本附加险合同终止，您已交足 2 年以上保险费的，我们向被保险人</w:t>
      </w:r>
      <w:r>
        <w:rPr>
          <w:rFonts w:ascii="黑体" w:eastAsia="黑体" w:hint="eastAsia"/>
          <w:w w:val="95"/>
        </w:rPr>
        <w:t>退还保险单的</w:t>
      </w:r>
      <w:r>
        <w:rPr>
          <w:rFonts w:ascii="黑体" w:eastAsia="黑体" w:hint="eastAsia"/>
          <w:b/>
          <w:w w:val="95"/>
        </w:rPr>
        <w:t>现金价值</w:t>
      </w:r>
      <w:r>
        <w:rPr>
          <w:rFonts w:ascii="黑体" w:eastAsia="黑体" w:hint="eastAsia"/>
          <w:w w:val="95"/>
        </w:rPr>
        <w:t>。</w:t>
      </w:r>
    </w:p>
    <w:p>
      <w:pPr>
        <w:pStyle w:val="BodyText"/>
        <w:spacing w:line="280" w:lineRule="auto" w:before="11"/>
        <w:ind w:left="2740" w:right="211"/>
        <w:rPr>
          <w:rFonts w:ascii="黑体" w:eastAsia="黑体" w:hint="eastAsia"/>
        </w:rPr>
      </w:pPr>
      <w:r>
        <w:rPr>
          <w:rFonts w:ascii="黑体" w:eastAsia="黑体" w:hint="eastAsia"/>
        </w:rPr>
        <w:t>因上述其他情形导致被保险人被确诊发Th本附加险合同约定的重大疾病， 本附加险合同终止，我们向您退还保险单的现金价值。</w:t>
      </w:r>
    </w:p>
    <w:p>
      <w:pPr>
        <w:pStyle w:val="BodyText"/>
        <w:spacing w:before="12"/>
        <w:rPr>
          <w:rFonts w:ascii="黑体"/>
          <w:sz w:val="8"/>
        </w:rPr>
      </w:pPr>
      <w:r>
        <w:rPr/>
        <w:pict>
          <v:shape style="position:absolute;margin-left:56.700001pt;margin-top:7.039837pt;width:477.1pt;height:15.6pt;mso-position-horizontal-relative:page;mso-position-vertical-relative:paragraph;z-index:1120;mso-wrap-distance-left:0;mso-wrap-distance-right:0" type="#_x0000_t202" filled="true" fillcolor="#d3d3d3" stroked="false">
            <v:textbox inset="0,0,0,0">
              <w:txbxContent>
                <w:p>
                  <w:pPr>
                    <w:tabs>
                      <w:tab w:pos="981"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ListParagraph"/>
        <w:numPr>
          <w:ilvl w:val="1"/>
          <w:numId w:val="4"/>
        </w:numPr>
        <w:tabs>
          <w:tab w:pos="1095" w:val="left" w:leader="none"/>
          <w:tab w:pos="1096" w:val="left" w:leader="none"/>
          <w:tab w:pos="2740" w:val="left" w:leader="none"/>
        </w:tabs>
        <w:spacing w:line="240" w:lineRule="auto" w:before="35" w:after="0"/>
        <w:ind w:left="2740" w:right="0" w:hanging="2518"/>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3"/>
        <w:rPr>
          <w:sz w:val="14"/>
        </w:rPr>
      </w:pPr>
    </w:p>
    <w:p>
      <w:pPr>
        <w:pStyle w:val="ListParagraph"/>
        <w:numPr>
          <w:ilvl w:val="1"/>
          <w:numId w:val="4"/>
        </w:numPr>
        <w:tabs>
          <w:tab w:pos="1095" w:val="left" w:leader="none"/>
          <w:tab w:pos="1096" w:val="left" w:leader="none"/>
          <w:tab w:pos="2740" w:val="left" w:leader="none"/>
        </w:tabs>
        <w:spacing w:line="280" w:lineRule="auto" w:before="0" w:after="0"/>
        <w:ind w:left="2740" w:right="211" w:hanging="2518"/>
        <w:jc w:val="left"/>
        <w:rPr>
          <w:sz w:val="21"/>
        </w:rPr>
      </w:pPr>
      <w:r>
        <w:rPr>
          <w:rFonts w:ascii="黑体" w:eastAsia="黑体" w:hint="eastAsia"/>
          <w:sz w:val="21"/>
        </w:rPr>
        <w:t>保险金申请</w:t>
        <w:tab/>
      </w:r>
      <w:r>
        <w:rPr>
          <w:sz w:val="21"/>
        </w:rPr>
        <w:t>在申请重大疾病保险金时，申请人须填写保险金给付申请书，并提供下列 证明和资料：</w:t>
      </w:r>
    </w:p>
    <w:p>
      <w:pPr>
        <w:pStyle w:val="BodyText"/>
        <w:spacing w:line="280" w:lineRule="auto" w:before="8"/>
        <w:ind w:left="2740" w:right="4397"/>
      </w:pPr>
      <w:r>
        <w:rPr/>
        <w:t>(1)保险合同；          </w:t>
      </w:r>
      <w:r>
        <w:rPr>
          <w:spacing w:val="-1"/>
        </w:rPr>
        <w:t>(2)申请人的有效身份证件；</w:t>
      </w:r>
    </w:p>
    <w:p>
      <w:pPr>
        <w:pStyle w:val="BodyText"/>
        <w:spacing w:line="278" w:lineRule="auto" w:before="10"/>
        <w:ind w:left="3056" w:right="214" w:hanging="316"/>
        <w:jc w:val="both"/>
      </w:pPr>
      <w:r>
        <w:rPr>
          <w:spacing w:val="-1"/>
        </w:rPr>
        <w:t>(3)</w:t>
      </w:r>
      <w:r>
        <w:rPr>
          <w:spacing w:val="-2"/>
        </w:rPr>
        <w:t>卫生行政部门认定的二级以上</w:t>
      </w:r>
      <w:r>
        <w:rPr/>
        <w:t>（含二级</w:t>
      </w:r>
      <w:r>
        <w:rPr>
          <w:spacing w:val="-10"/>
        </w:rPr>
        <w:t>）</w:t>
      </w:r>
      <w:r>
        <w:rPr/>
        <w:t>医院出具的含病理显微镜检查</w:t>
      </w:r>
      <w:r>
        <w:rPr>
          <w:spacing w:val="-4"/>
        </w:rPr>
        <w:t>报告、血液检查报告、以其它科学方法作出的检验报告及疾病诊断情况</w:t>
      </w:r>
      <w:r>
        <w:rPr>
          <w:spacing w:val="-6"/>
        </w:rPr>
        <w:t>的病历资料；但原发性心肌病的理赔须由三级以上</w:t>
      </w:r>
      <w:r>
        <w:rPr/>
        <w:t>（含三级</w:t>
      </w:r>
      <w:r>
        <w:rPr>
          <w:spacing w:val="-7"/>
        </w:rPr>
        <w:t>）</w:t>
      </w:r>
      <w:r>
        <w:rPr/>
        <w:t>医院出具</w:t>
      </w:r>
      <w:r>
        <w:rPr>
          <w:spacing w:val="-4"/>
        </w:rPr>
        <w:t>前述资料；如有必要，我们有权对被保险人进行复检，复检费用由我们承担；</w:t>
      </w:r>
    </w:p>
    <w:p>
      <w:pPr>
        <w:pStyle w:val="BodyText"/>
        <w:spacing w:line="280" w:lineRule="auto" w:before="12"/>
        <w:ind w:left="3056" w:right="216" w:hanging="316"/>
        <w:jc w:val="both"/>
      </w:pPr>
      <w:r>
        <w:rPr>
          <w:spacing w:val="-1"/>
        </w:rPr>
        <w:t>(4)</w:t>
      </w:r>
      <w:r>
        <w:rPr>
          <w:spacing w:val="-3"/>
        </w:rPr>
        <w:t>所能提供的与确认保险事故的性质、原因、伤害程度等有关的其他证明和资料。</w:t>
      </w:r>
    </w:p>
    <w:p>
      <w:pPr>
        <w:pStyle w:val="BodyText"/>
        <w:spacing w:line="280" w:lineRule="auto" w:before="8"/>
        <w:ind w:left="2740" w:right="211"/>
      </w:pPr>
      <w:r>
        <w:rPr/>
        <w:t>以上证明和资料不完整的，我们将一次性通知申请人补充提供有关证明和资料。</w:t>
      </w:r>
    </w:p>
    <w:p>
      <w:pPr>
        <w:spacing w:after="0" w:line="280" w:lineRule="auto"/>
        <w:sectPr>
          <w:pgSz w:w="11910" w:h="16840"/>
          <w:pgMar w:top="1420" w:bottom="280" w:left="1020" w:right="11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839"/>
        <w:gridCol w:w="7000"/>
      </w:tblGrid>
      <w:tr>
        <w:trPr>
          <w:trHeight w:val="3535" w:hRule="atLeast"/>
        </w:trPr>
        <w:tc>
          <w:tcPr>
            <w:tcW w:w="703" w:type="dxa"/>
          </w:tcPr>
          <w:p>
            <w:pPr>
              <w:pStyle w:val="TableParagraph"/>
              <w:spacing w:line="204" w:lineRule="exact"/>
              <w:ind w:left="107"/>
              <w:rPr>
                <w:rFonts w:ascii="黑体"/>
                <w:sz w:val="21"/>
              </w:rPr>
            </w:pPr>
            <w:r>
              <w:rPr>
                <w:rFonts w:ascii="黑体"/>
                <w:sz w:val="21"/>
              </w:rPr>
              <w:t>3.3</w:t>
            </w:r>
          </w:p>
        </w:tc>
        <w:tc>
          <w:tcPr>
            <w:tcW w:w="1839" w:type="dxa"/>
          </w:tcPr>
          <w:p>
            <w:pPr>
              <w:pStyle w:val="TableParagraph"/>
              <w:spacing w:line="204" w:lineRule="exact"/>
              <w:ind w:left="279"/>
              <w:rPr>
                <w:rFonts w:ascii="黑体" w:eastAsia="黑体" w:hint="eastAsia"/>
                <w:sz w:val="21"/>
              </w:rPr>
            </w:pPr>
            <w:r>
              <w:rPr>
                <w:rFonts w:ascii="黑体" w:eastAsia="黑体" w:hint="eastAsia"/>
                <w:sz w:val="21"/>
              </w:rPr>
              <w:t>保险金给付</w:t>
            </w:r>
          </w:p>
        </w:tc>
        <w:tc>
          <w:tcPr>
            <w:tcW w:w="7000" w:type="dxa"/>
          </w:tcPr>
          <w:p>
            <w:pPr>
              <w:pStyle w:val="TableParagraph"/>
              <w:spacing w:line="194" w:lineRule="exact"/>
              <w:ind w:left="84"/>
              <w:rPr>
                <w:sz w:val="21"/>
              </w:rPr>
            </w:pPr>
            <w:r>
              <w:rPr>
                <w:sz w:val="21"/>
              </w:rPr>
              <w:t>我们在收到保险金给付申请书及合同约定的证明和资料后，将在 5 日内作</w:t>
            </w:r>
          </w:p>
          <w:p>
            <w:pPr>
              <w:pStyle w:val="TableParagraph"/>
              <w:spacing w:line="354" w:lineRule="exact"/>
              <w:ind w:left="84"/>
              <w:rPr>
                <w:sz w:val="21"/>
              </w:rPr>
            </w:pPr>
            <w:r>
              <w:rPr>
                <w:spacing w:val="-2"/>
                <w:sz w:val="21"/>
              </w:rPr>
              <w:t>出核定；</w:t>
            </w:r>
            <w:r>
              <w:rPr>
                <w:rFonts w:ascii="微软雅黑" w:eastAsia="微软雅黑" w:hint="eastAsia"/>
                <w:b/>
                <w:sz w:val="21"/>
              </w:rPr>
              <w:t>情形复杂</w:t>
            </w:r>
            <w:r>
              <w:rPr>
                <w:spacing w:val="-15"/>
                <w:sz w:val="21"/>
              </w:rPr>
              <w:t>的，在 </w:t>
            </w:r>
            <w:r>
              <w:rPr>
                <w:sz w:val="21"/>
              </w:rPr>
              <w:t>30</w:t>
            </w:r>
            <w:r>
              <w:rPr>
                <w:spacing w:val="-8"/>
                <w:sz w:val="21"/>
              </w:rPr>
              <w:t> 日内作出核定。对属于保险责任的，我们在与</w:t>
            </w:r>
          </w:p>
          <w:p>
            <w:pPr>
              <w:pStyle w:val="TableParagraph"/>
              <w:spacing w:before="20"/>
              <w:ind w:left="84"/>
              <w:rPr>
                <w:sz w:val="21"/>
              </w:rPr>
            </w:pPr>
            <w:r>
              <w:rPr>
                <w:sz w:val="21"/>
              </w:rPr>
              <w:t>受益人达成给付保险金的协议后 10 日内，履行给付保险金义务。</w:t>
            </w:r>
          </w:p>
          <w:p>
            <w:pPr>
              <w:pStyle w:val="TableParagraph"/>
              <w:spacing w:line="278" w:lineRule="auto" w:before="45"/>
              <w:ind w:left="84" w:right="103"/>
              <w:jc w:val="both"/>
              <w:rPr>
                <w:sz w:val="21"/>
              </w:rPr>
            </w:pPr>
            <w:r>
              <w:rPr>
                <w:sz w:val="21"/>
              </w:rPr>
              <w:t>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78" w:lineRule="auto" w:before="11"/>
              <w:ind w:left="84" w:right="106"/>
              <w:jc w:val="both"/>
              <w:rPr>
                <w:sz w:val="21"/>
              </w:rPr>
            </w:pPr>
            <w:r>
              <w:rPr>
                <w:spacing w:val="-1"/>
                <w:sz w:val="21"/>
              </w:rPr>
              <w:t>对不属于保险责任的，我们自作出核定之日起 </w:t>
            </w:r>
            <w:r>
              <w:rPr>
                <w:sz w:val="21"/>
              </w:rPr>
              <w:t>3</w:t>
            </w:r>
            <w:r>
              <w:rPr>
                <w:spacing w:val="-3"/>
                <w:sz w:val="21"/>
              </w:rPr>
              <w:t> 日内向受益人发出拒绝给付保险金通知书并说明理由。</w:t>
            </w:r>
          </w:p>
          <w:p>
            <w:pPr>
              <w:pStyle w:val="TableParagraph"/>
              <w:spacing w:line="278" w:lineRule="auto" w:before="11"/>
              <w:ind w:left="84" w:right="103"/>
              <w:jc w:val="both"/>
              <w:rPr>
                <w:sz w:val="21"/>
              </w:rPr>
            </w:pPr>
            <w:r>
              <w:rPr>
                <w:spacing w:val="-3"/>
                <w:sz w:val="21"/>
              </w:rPr>
              <w:t>我们在收到保险金给付申请书及有关证明和资料之日起 </w:t>
            </w:r>
            <w:r>
              <w:rPr>
                <w:sz w:val="21"/>
              </w:rPr>
              <w:t>60</w:t>
            </w:r>
            <w:r>
              <w:rPr>
                <w:spacing w:val="-12"/>
                <w:sz w:val="21"/>
              </w:rPr>
              <w:t> 日内，对给付保险金的数额不能确定的，根据已有证明和资料可以确定的数额先予支付； 我们最终确定给付保险金的数额后，将支付相应的差额。</w:t>
            </w:r>
          </w:p>
        </w:tc>
      </w:tr>
      <w:tr>
        <w:trPr>
          <w:trHeight w:val="833" w:hRule="atLeast"/>
        </w:trPr>
        <w:tc>
          <w:tcPr>
            <w:tcW w:w="703" w:type="dxa"/>
          </w:tcPr>
          <w:p>
            <w:pPr>
              <w:pStyle w:val="TableParagraph"/>
              <w:spacing w:before="54"/>
              <w:ind w:left="107"/>
              <w:rPr>
                <w:rFonts w:ascii="黑体"/>
                <w:sz w:val="21"/>
              </w:rPr>
            </w:pPr>
            <w:r>
              <w:rPr>
                <w:rFonts w:ascii="黑体"/>
                <w:sz w:val="21"/>
              </w:rPr>
              <w:t>3.4</w:t>
            </w:r>
          </w:p>
        </w:tc>
        <w:tc>
          <w:tcPr>
            <w:tcW w:w="1839" w:type="dxa"/>
          </w:tcPr>
          <w:p>
            <w:pPr>
              <w:pStyle w:val="TableParagraph"/>
              <w:spacing w:before="54"/>
              <w:ind w:left="278"/>
              <w:rPr>
                <w:rFonts w:ascii="黑体" w:eastAsia="黑体" w:hint="eastAsia"/>
                <w:sz w:val="21"/>
              </w:rPr>
            </w:pPr>
            <w:r>
              <w:rPr>
                <w:rFonts w:ascii="黑体" w:eastAsia="黑体" w:hint="eastAsia"/>
                <w:sz w:val="21"/>
              </w:rPr>
              <w:t>诉讼时效</w:t>
            </w:r>
          </w:p>
        </w:tc>
        <w:tc>
          <w:tcPr>
            <w:tcW w:w="7000" w:type="dxa"/>
          </w:tcPr>
          <w:p>
            <w:pPr>
              <w:pStyle w:val="TableParagraph"/>
              <w:spacing w:line="280" w:lineRule="auto" w:before="54"/>
              <w:ind w:left="84" w:right="58"/>
              <w:rPr>
                <w:sz w:val="21"/>
              </w:rPr>
            </w:pPr>
            <w:r>
              <w:rPr>
                <w:sz w:val="21"/>
              </w:rPr>
              <w:t>受益人向我们请求给付保险金的诉讼时效期间为 2 年，自其知道或应当知道保险事故发生之日起计算。</w:t>
            </w:r>
          </w:p>
        </w:tc>
      </w:tr>
      <w:tr>
        <w:trPr>
          <w:trHeight w:val="311"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839" w:type="dxa"/>
            <w:shd w:val="clear" w:color="auto" w:fill="D3D3D3"/>
          </w:tcPr>
          <w:p>
            <w:pPr>
              <w:pStyle w:val="TableParagraph"/>
              <w:spacing w:before="4"/>
              <w:ind w:left="278"/>
              <w:rPr>
                <w:rFonts w:ascii="黑体" w:eastAsia="黑体" w:hint="eastAsia"/>
                <w:b/>
                <w:sz w:val="21"/>
              </w:rPr>
            </w:pPr>
            <w:r>
              <w:rPr>
                <w:rFonts w:ascii="黑体" w:eastAsia="黑体" w:hint="eastAsia"/>
                <w:b/>
                <w:w w:val="95"/>
                <w:sz w:val="21"/>
              </w:rPr>
              <w:t>保险费的支付</w:t>
            </w:r>
          </w:p>
        </w:tc>
        <w:tc>
          <w:tcPr>
            <w:tcW w:w="7000" w:type="dxa"/>
            <w:shd w:val="clear" w:color="auto" w:fill="D3D3D3"/>
          </w:tcPr>
          <w:p>
            <w:pPr>
              <w:pStyle w:val="TableParagraph"/>
              <w:rPr>
                <w:rFonts w:ascii="Times New Roman"/>
                <w:sz w:val="20"/>
              </w:rPr>
            </w:pPr>
          </w:p>
        </w:tc>
      </w:tr>
      <w:tr>
        <w:trPr>
          <w:trHeight w:val="2523" w:hRule="atLeast"/>
        </w:trPr>
        <w:tc>
          <w:tcPr>
            <w:tcW w:w="703" w:type="dxa"/>
          </w:tcPr>
          <w:p>
            <w:pPr>
              <w:pStyle w:val="TableParagraph"/>
              <w:spacing w:before="145"/>
              <w:ind w:left="108"/>
              <w:rPr>
                <w:rFonts w:ascii="黑体"/>
                <w:sz w:val="21"/>
              </w:rPr>
            </w:pPr>
            <w:r>
              <w:rPr>
                <w:rFonts w:ascii="黑体"/>
                <w:sz w:val="21"/>
              </w:rPr>
              <w:t>4.1</w:t>
            </w:r>
          </w:p>
        </w:tc>
        <w:tc>
          <w:tcPr>
            <w:tcW w:w="1839" w:type="dxa"/>
          </w:tcPr>
          <w:p>
            <w:pPr>
              <w:pStyle w:val="TableParagraph"/>
              <w:spacing w:before="145"/>
              <w:ind w:left="278"/>
              <w:rPr>
                <w:rFonts w:ascii="黑体" w:eastAsia="黑体" w:hint="eastAsia"/>
                <w:sz w:val="21"/>
              </w:rPr>
            </w:pPr>
            <w:r>
              <w:rPr>
                <w:rFonts w:ascii="黑体" w:eastAsia="黑体" w:hint="eastAsia"/>
                <w:sz w:val="21"/>
              </w:rPr>
              <w:t>保险费的支付</w:t>
            </w:r>
          </w:p>
        </w:tc>
        <w:tc>
          <w:tcPr>
            <w:tcW w:w="7000" w:type="dxa"/>
          </w:tcPr>
          <w:p>
            <w:pPr>
              <w:pStyle w:val="TableParagraph"/>
              <w:spacing w:line="280" w:lineRule="auto" w:before="145"/>
              <w:ind w:left="84" w:right="105"/>
              <w:rPr>
                <w:sz w:val="21"/>
              </w:rPr>
            </w:pPr>
            <w:r>
              <w:rPr>
                <w:sz w:val="21"/>
              </w:rPr>
              <w:t>本附加险合同的保险费采用趸交(即一次性支付)或限期年交（即在交费期间内每年支付一次保险费</w:t>
            </w:r>
            <w:r>
              <w:rPr>
                <w:spacing w:val="-7"/>
                <w:sz w:val="21"/>
              </w:rPr>
              <w:t>）的交费方式。本合同的交费期间为 </w:t>
            </w:r>
            <w:r>
              <w:rPr>
                <w:sz w:val="21"/>
              </w:rPr>
              <w:t>10</w:t>
            </w:r>
            <w:r>
              <w:rPr>
                <w:spacing w:val="-16"/>
                <w:sz w:val="21"/>
              </w:rPr>
              <w:t> 年。采用</w:t>
            </w:r>
          </w:p>
          <w:p>
            <w:pPr>
              <w:pStyle w:val="TableParagraph"/>
              <w:spacing w:before="9"/>
              <w:ind w:left="84"/>
              <w:rPr>
                <w:sz w:val="21"/>
              </w:rPr>
            </w:pPr>
            <w:r>
              <w:rPr>
                <w:sz w:val="21"/>
              </w:rPr>
              <w:t>趸交方式的，每份保险的保险费为人民币 100 元，采用限期年交方式的，</w:t>
            </w:r>
          </w:p>
          <w:p>
            <w:pPr>
              <w:pStyle w:val="TableParagraph"/>
              <w:spacing w:line="280" w:lineRule="auto" w:before="44"/>
              <w:ind w:left="84" w:right="107"/>
              <w:rPr>
                <w:sz w:val="21"/>
              </w:rPr>
            </w:pPr>
            <w:r>
              <w:rPr>
                <w:spacing w:val="-5"/>
                <w:sz w:val="21"/>
              </w:rPr>
              <w:t>每份保险的保险费为人民币 </w:t>
            </w:r>
            <w:r>
              <w:rPr>
                <w:sz w:val="21"/>
              </w:rPr>
              <w:t>10</w:t>
            </w:r>
            <w:r>
              <w:rPr>
                <w:spacing w:val="-10"/>
                <w:sz w:val="21"/>
              </w:rPr>
              <w:t> 元。交费方式由您和我们约定，并在保险单上载明。</w:t>
            </w:r>
          </w:p>
          <w:p>
            <w:pPr>
              <w:pStyle w:val="TableParagraph"/>
              <w:spacing w:line="278" w:lineRule="auto" w:before="10"/>
              <w:ind w:left="84" w:right="103"/>
              <w:rPr>
                <w:sz w:val="21"/>
              </w:rPr>
            </w:pPr>
            <w:r>
              <w:rPr>
                <w:sz w:val="21"/>
              </w:rPr>
              <w:t>选择限期年交交费方式的，在支付首期保险费后，您应当按照约定，在每个保险费约定支付日支付其余各期的保险费。</w:t>
            </w:r>
          </w:p>
        </w:tc>
      </w:tr>
      <w:tr>
        <w:trPr>
          <w:trHeight w:val="312"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1839" w:type="dxa"/>
            <w:shd w:val="clear" w:color="auto" w:fill="D3D3D3"/>
          </w:tcPr>
          <w:p>
            <w:pPr>
              <w:pStyle w:val="TableParagraph"/>
              <w:spacing w:before="4"/>
              <w:ind w:left="278"/>
              <w:rPr>
                <w:rFonts w:ascii="黑体" w:eastAsia="黑体" w:hint="eastAsia"/>
                <w:b/>
                <w:sz w:val="21"/>
              </w:rPr>
            </w:pPr>
            <w:r>
              <w:rPr>
                <w:rFonts w:ascii="黑体" w:eastAsia="黑体" w:hint="eastAsia"/>
                <w:b/>
                <w:w w:val="95"/>
                <w:sz w:val="21"/>
              </w:rPr>
              <w:t>合同终止与解除</w:t>
            </w:r>
          </w:p>
        </w:tc>
        <w:tc>
          <w:tcPr>
            <w:tcW w:w="7000" w:type="dxa"/>
            <w:shd w:val="clear" w:color="auto" w:fill="D3D3D3"/>
          </w:tcPr>
          <w:p>
            <w:pPr>
              <w:pStyle w:val="TableParagraph"/>
              <w:rPr>
                <w:rFonts w:ascii="Times New Roman"/>
                <w:sz w:val="20"/>
              </w:rPr>
            </w:pPr>
          </w:p>
        </w:tc>
      </w:tr>
      <w:tr>
        <w:trPr>
          <w:trHeight w:val="1193" w:hRule="atLeast"/>
        </w:trPr>
        <w:tc>
          <w:tcPr>
            <w:tcW w:w="703" w:type="dxa"/>
          </w:tcPr>
          <w:p>
            <w:pPr>
              <w:pStyle w:val="TableParagraph"/>
              <w:spacing w:before="146"/>
              <w:ind w:left="108"/>
              <w:rPr>
                <w:rFonts w:ascii="黑体"/>
                <w:sz w:val="21"/>
              </w:rPr>
            </w:pPr>
            <w:r>
              <w:rPr>
                <w:rFonts w:ascii="黑体"/>
                <w:sz w:val="21"/>
              </w:rPr>
              <w:t>5.1</w:t>
            </w:r>
          </w:p>
        </w:tc>
        <w:tc>
          <w:tcPr>
            <w:tcW w:w="1839" w:type="dxa"/>
          </w:tcPr>
          <w:p>
            <w:pPr>
              <w:pStyle w:val="TableParagraph"/>
              <w:spacing w:before="146"/>
              <w:ind w:left="278"/>
              <w:rPr>
                <w:rFonts w:ascii="黑体" w:eastAsia="黑体" w:hint="eastAsia"/>
                <w:sz w:val="21"/>
              </w:rPr>
            </w:pPr>
            <w:r>
              <w:rPr>
                <w:rFonts w:ascii="黑体" w:eastAsia="黑体" w:hint="eastAsia"/>
                <w:sz w:val="21"/>
              </w:rPr>
              <w:t>合同终止</w:t>
            </w:r>
          </w:p>
        </w:tc>
        <w:tc>
          <w:tcPr>
            <w:tcW w:w="7000" w:type="dxa"/>
          </w:tcPr>
          <w:p>
            <w:pPr>
              <w:pStyle w:val="TableParagraph"/>
              <w:spacing w:line="278" w:lineRule="auto" w:before="146"/>
              <w:ind w:left="84" w:right="2923"/>
              <w:rPr>
                <w:sz w:val="21"/>
              </w:rPr>
            </w:pPr>
            <w:r>
              <w:rPr>
                <w:sz w:val="21"/>
              </w:rPr>
              <w:t>发生下列情形之一时，本附加险合同终止： (1)主险合同终止；                   </w:t>
            </w:r>
            <w:r>
              <w:rPr>
                <w:spacing w:val="-1"/>
                <w:sz w:val="21"/>
              </w:rPr>
              <w:t>(2)因本附加险合同的其他约定而终止。</w:t>
            </w:r>
          </w:p>
        </w:tc>
      </w:tr>
      <w:tr>
        <w:trPr>
          <w:trHeight w:val="2255" w:hRule="atLeast"/>
        </w:trPr>
        <w:tc>
          <w:tcPr>
            <w:tcW w:w="703" w:type="dxa"/>
          </w:tcPr>
          <w:p>
            <w:pPr>
              <w:pStyle w:val="TableParagraph"/>
              <w:spacing w:before="54"/>
              <w:ind w:left="108"/>
              <w:rPr>
                <w:rFonts w:ascii="黑体"/>
                <w:sz w:val="21"/>
              </w:rPr>
            </w:pPr>
            <w:r>
              <w:rPr>
                <w:rFonts w:ascii="黑体"/>
                <w:sz w:val="21"/>
              </w:rPr>
              <w:t>5.2</w:t>
            </w:r>
          </w:p>
        </w:tc>
        <w:tc>
          <w:tcPr>
            <w:tcW w:w="1839" w:type="dxa"/>
          </w:tcPr>
          <w:p>
            <w:pPr>
              <w:pStyle w:val="TableParagraph"/>
              <w:spacing w:line="280" w:lineRule="auto" w:before="54"/>
              <w:ind w:left="278" w:right="298"/>
              <w:rPr>
                <w:rFonts w:ascii="黑体" w:eastAsia="黑体" w:hint="eastAsia"/>
                <w:sz w:val="21"/>
              </w:rPr>
            </w:pPr>
            <w:r>
              <w:rPr>
                <w:rFonts w:ascii="黑体" w:eastAsia="黑体" w:hint="eastAsia"/>
                <w:sz w:val="21"/>
              </w:rPr>
              <w:t>您解除合同的手续及风险</w:t>
            </w:r>
          </w:p>
        </w:tc>
        <w:tc>
          <w:tcPr>
            <w:tcW w:w="7000" w:type="dxa"/>
          </w:tcPr>
          <w:p>
            <w:pPr>
              <w:pStyle w:val="TableParagraph"/>
              <w:spacing w:line="280" w:lineRule="auto" w:before="54"/>
              <w:ind w:left="84" w:right="103"/>
              <w:rPr>
                <w:sz w:val="21"/>
              </w:rPr>
            </w:pPr>
            <w:r>
              <w:rPr>
                <w:sz w:val="21"/>
              </w:rPr>
              <w:t>如您在犹豫期后申请解除本附加险合同，请填写解除合同申请书并向我们提供下列资料：</w:t>
            </w:r>
          </w:p>
          <w:p>
            <w:pPr>
              <w:pStyle w:val="TableParagraph"/>
              <w:spacing w:line="280" w:lineRule="auto" w:before="8"/>
              <w:ind w:left="84" w:right="4708"/>
              <w:rPr>
                <w:sz w:val="21"/>
              </w:rPr>
            </w:pPr>
            <w:r>
              <w:rPr>
                <w:sz w:val="21"/>
              </w:rPr>
              <w:t>(1)保险合同；      </w:t>
            </w:r>
            <w:r>
              <w:rPr>
                <w:spacing w:val="-1"/>
                <w:sz w:val="21"/>
              </w:rPr>
              <w:t>(2)您的有效身份证件。</w:t>
            </w:r>
          </w:p>
          <w:p>
            <w:pPr>
              <w:pStyle w:val="TableParagraph"/>
              <w:spacing w:line="278" w:lineRule="auto" w:before="10"/>
              <w:ind w:left="84" w:right="103"/>
              <w:rPr>
                <w:sz w:val="21"/>
              </w:rPr>
            </w:pPr>
            <w:r>
              <w:rPr>
                <w:sz w:val="21"/>
              </w:rPr>
              <w:t>自我们收到解除合同申请书时起，本附加险合同终止，我们自收到解除合同申请书之日起 30 日内向您退还保险单的现金价值。</w:t>
            </w:r>
          </w:p>
          <w:p>
            <w:pPr>
              <w:pStyle w:val="TableParagraph"/>
              <w:spacing w:line="261" w:lineRule="exact" w:before="12"/>
              <w:ind w:left="84"/>
              <w:rPr>
                <w:sz w:val="21"/>
              </w:rPr>
            </w:pPr>
            <w:r>
              <w:rPr>
                <w:sz w:val="21"/>
              </w:rPr>
              <w:t>您犹豫期后解除合同会遭受一定损失。</w:t>
            </w:r>
          </w:p>
        </w:tc>
      </w:tr>
    </w:tbl>
    <w:p>
      <w:pPr>
        <w:pStyle w:val="BodyText"/>
        <w:spacing w:before="2"/>
        <w:rPr>
          <w:sz w:val="11"/>
        </w:rPr>
      </w:pPr>
      <w:r>
        <w:rPr/>
        <w:pict>
          <v:shape style="position:absolute;margin-left:56.700001pt;margin-top:8.520900pt;width:477.1pt;height:15.6pt;mso-position-horizontal-relative:page;mso-position-vertical-relative:paragraph;z-index:1144;mso-wrap-distance-left:0;mso-wrap-distance-right:0" type="#_x0000_t202" filled="true" fillcolor="#d3d3d3" stroked="false">
            <v:textbox inset="0,0,0,0">
              <w:txbxContent>
                <w:p>
                  <w:pPr>
                    <w:tabs>
                      <w:tab w:pos="981"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BodyText"/>
        <w:tabs>
          <w:tab w:pos="1095" w:val="left" w:leader="none"/>
          <w:tab w:pos="2740" w:val="left" w:leader="none"/>
        </w:tabs>
        <w:spacing w:line="280" w:lineRule="auto" w:before="35"/>
        <w:ind w:left="2740" w:right="211" w:hanging="2519"/>
      </w:pPr>
      <w:r>
        <w:rPr>
          <w:rFonts w:ascii="黑体" w:eastAsia="黑体" w:hint="eastAsia"/>
        </w:rPr>
        <w:t>6.1</w:t>
        <w:tab/>
        <w:t>年龄错误</w:t>
        <w:tab/>
      </w:r>
      <w:r>
        <w:rPr/>
        <w:t>您在申请投保时，应将与有效身份证件相符的被保险人的出生日期在投保 单上填明，如果发生错误按照下列方式办理：</w:t>
      </w:r>
    </w:p>
    <w:p>
      <w:pPr>
        <w:pStyle w:val="BodyText"/>
        <w:spacing w:line="278" w:lineRule="auto" w:before="9"/>
        <w:ind w:left="3056" w:right="214" w:hanging="316"/>
        <w:jc w:val="both"/>
      </w:pPr>
      <w:r>
        <w:rPr>
          <w:spacing w:val="-1"/>
        </w:rPr>
        <w:t>(1)</w:t>
      </w:r>
      <w:r>
        <w:rPr>
          <w:spacing w:val="-3"/>
        </w:rPr>
        <w:t>您申报的被保险人年龄不真实，并且其真实年龄不符合本附加险合同约</w:t>
      </w:r>
      <w:r>
        <w:rPr>
          <w:spacing w:val="-5"/>
        </w:rPr>
        <w:t>定投保年龄限制的，在保险事故发生之前我们有权解除合同，并向您退</w:t>
      </w:r>
      <w:r>
        <w:rPr>
          <w:spacing w:val="-7"/>
        </w:rPr>
        <w:t>还保险单的现金价值。本条规定的合同解除权，自我们知道有解除事由</w:t>
      </w:r>
      <w:r>
        <w:rPr>
          <w:spacing w:val="-9"/>
        </w:rPr>
        <w:t>之日起，超过 </w:t>
      </w:r>
      <w:r>
        <w:rPr/>
        <w:t>30</w:t>
      </w:r>
      <w:r>
        <w:rPr>
          <w:spacing w:val="-5"/>
        </w:rPr>
        <w:t> 日不行使而消灭。自本附加险合同成立之日起超过 </w:t>
      </w:r>
      <w:r>
        <w:rPr/>
        <w:t>2 </w:t>
      </w:r>
      <w:r>
        <w:rPr>
          <w:spacing w:val="-5"/>
        </w:rPr>
        <w:t>年的，我们不得解除合同；发生保险事故的，我们承担给付保险金的责</w:t>
      </w:r>
    </w:p>
    <w:p>
      <w:pPr>
        <w:spacing w:after="0" w:line="278" w:lineRule="auto"/>
        <w:jc w:val="both"/>
        <w:sectPr>
          <w:pgSz w:w="11910" w:h="16840"/>
          <w:pgMar w:top="1500" w:bottom="280" w:left="1020" w:right="1120"/>
        </w:sectPr>
      </w:pPr>
    </w:p>
    <w:p>
      <w:pPr>
        <w:pStyle w:val="BodyText"/>
        <w:spacing w:before="8"/>
        <w:ind w:left="3056"/>
      </w:pPr>
      <w:r>
        <w:rPr/>
        <w:t>任。</w:t>
      </w:r>
    </w:p>
    <w:p>
      <w:pPr>
        <w:pStyle w:val="BodyText"/>
        <w:spacing w:line="278" w:lineRule="auto" w:before="43"/>
        <w:ind w:left="3056" w:right="215" w:hanging="316"/>
        <w:jc w:val="both"/>
      </w:pPr>
      <w:r>
        <w:rPr>
          <w:spacing w:val="-1"/>
        </w:rPr>
        <w:t>(2)</w:t>
      </w:r>
      <w:r>
        <w:rPr>
          <w:spacing w:val="-3"/>
        </w:rPr>
        <w:t>您申报的被保险人年龄不真实，致使保险单上约定的保险金额与根据实</w:t>
      </w:r>
      <w:r>
        <w:rPr>
          <w:spacing w:val="-5"/>
        </w:rPr>
        <w:t>际年龄确定的保险金额不符，我们有权根据被保险人的实际年龄调整保</w:t>
      </w:r>
      <w:r>
        <w:rPr>
          <w:spacing w:val="-6"/>
        </w:rPr>
        <w:t>险金额。若已经发生保险事故，我们按根据被保险人实际年龄确定的保险金额计算相应的保险金。</w:t>
      </w:r>
    </w:p>
    <w:p>
      <w:pPr>
        <w:pStyle w:val="BodyText"/>
        <w:spacing w:before="8"/>
        <w:rPr>
          <w:sz w:val="1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734"/>
        <w:gridCol w:w="7000"/>
      </w:tblGrid>
      <w:tr>
        <w:trPr>
          <w:trHeight w:val="265" w:hRule="atLeast"/>
        </w:trPr>
        <w:tc>
          <w:tcPr>
            <w:tcW w:w="807" w:type="dxa"/>
          </w:tcPr>
          <w:p>
            <w:pPr>
              <w:pStyle w:val="TableParagraph"/>
              <w:spacing w:line="210" w:lineRule="exact"/>
              <w:ind w:left="108"/>
              <w:rPr>
                <w:rFonts w:ascii="黑体"/>
                <w:sz w:val="21"/>
              </w:rPr>
            </w:pPr>
            <w:r>
              <w:rPr>
                <w:rFonts w:ascii="黑体"/>
                <w:sz w:val="21"/>
              </w:rPr>
              <w:t>6.2</w:t>
            </w:r>
          </w:p>
        </w:tc>
        <w:tc>
          <w:tcPr>
            <w:tcW w:w="1734" w:type="dxa"/>
          </w:tcPr>
          <w:p>
            <w:pPr>
              <w:pStyle w:val="TableParagraph"/>
              <w:spacing w:line="210" w:lineRule="exact"/>
              <w:ind w:left="174"/>
              <w:rPr>
                <w:rFonts w:ascii="黑体" w:eastAsia="黑体" w:hint="eastAsia"/>
                <w:sz w:val="21"/>
              </w:rPr>
            </w:pPr>
            <w:r>
              <w:rPr>
                <w:rFonts w:ascii="黑体" w:eastAsia="黑体" w:hint="eastAsia"/>
                <w:sz w:val="21"/>
              </w:rPr>
              <w:t>适用主险合同</w:t>
            </w:r>
          </w:p>
        </w:tc>
        <w:tc>
          <w:tcPr>
            <w:tcW w:w="7000" w:type="dxa"/>
          </w:tcPr>
          <w:p>
            <w:pPr>
              <w:pStyle w:val="TableParagraph"/>
              <w:spacing w:line="210" w:lineRule="exact"/>
              <w:ind w:left="85"/>
              <w:rPr>
                <w:sz w:val="21"/>
              </w:rPr>
            </w:pPr>
            <w:r>
              <w:rPr>
                <w:sz w:val="21"/>
              </w:rPr>
              <w:t>下列事项，适用主险合同条款：</w:t>
            </w:r>
          </w:p>
        </w:tc>
      </w:tr>
      <w:tr>
        <w:trPr>
          <w:trHeight w:val="320" w:hRule="atLeast"/>
        </w:trPr>
        <w:tc>
          <w:tcPr>
            <w:tcW w:w="807" w:type="dxa"/>
          </w:tcPr>
          <w:p>
            <w:pPr>
              <w:pStyle w:val="TableParagraph"/>
              <w:rPr>
                <w:rFonts w:ascii="Times New Roman"/>
                <w:sz w:val="20"/>
              </w:rPr>
            </w:pPr>
          </w:p>
        </w:tc>
        <w:tc>
          <w:tcPr>
            <w:tcW w:w="1734" w:type="dxa"/>
          </w:tcPr>
          <w:p>
            <w:pPr>
              <w:pStyle w:val="TableParagraph"/>
              <w:spacing w:line="265" w:lineRule="exact"/>
              <w:ind w:left="174"/>
              <w:rPr>
                <w:rFonts w:ascii="黑体" w:eastAsia="黑体" w:hint="eastAsia"/>
                <w:sz w:val="21"/>
              </w:rPr>
            </w:pPr>
            <w:r>
              <w:rPr>
                <w:rFonts w:ascii="黑体" w:eastAsia="黑体" w:hint="eastAsia"/>
                <w:sz w:val="21"/>
              </w:rPr>
              <w:t>条款</w:t>
            </w:r>
          </w:p>
        </w:tc>
        <w:tc>
          <w:tcPr>
            <w:tcW w:w="7000" w:type="dxa"/>
          </w:tcPr>
          <w:p>
            <w:pPr>
              <w:pStyle w:val="TableParagraph"/>
              <w:spacing w:line="265" w:lineRule="exact"/>
              <w:ind w:left="85"/>
              <w:rPr>
                <w:sz w:val="21"/>
              </w:rPr>
            </w:pPr>
            <w:r>
              <w:rPr>
                <w:sz w:val="21"/>
              </w:rPr>
              <w:t>(1)明确说明与如实告知；</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(2)我们合同解除权的限制；</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(3)保险事故通知；</w:t>
            </w:r>
          </w:p>
        </w:tc>
      </w:tr>
      <w:tr>
        <w:trPr>
          <w:trHeight w:val="320"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(4)宽限期；</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(5)效力中止；</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(6)效力恢复；</w:t>
            </w:r>
          </w:p>
        </w:tc>
      </w:tr>
      <w:tr>
        <w:trPr>
          <w:trHeight w:val="320"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(7)未还款项；</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(8)联系方式变更；</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(9)合同内容变更；</w:t>
            </w:r>
          </w:p>
        </w:tc>
      </w:tr>
      <w:tr>
        <w:trPr>
          <w:trHeight w:val="442"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(10)争议处理。</w:t>
            </w:r>
          </w:p>
        </w:tc>
      </w:tr>
      <w:tr>
        <w:trPr>
          <w:trHeight w:val="312" w:hRule="atLeast"/>
        </w:trPr>
        <w:tc>
          <w:tcPr>
            <w:tcW w:w="807"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7．</w:t>
            </w:r>
          </w:p>
        </w:tc>
        <w:tc>
          <w:tcPr>
            <w:tcW w:w="1734" w:type="dxa"/>
            <w:shd w:val="clear" w:color="auto" w:fill="D3D3D3"/>
          </w:tcPr>
          <w:p>
            <w:pPr>
              <w:pStyle w:val="TableParagraph"/>
              <w:spacing w:before="10"/>
              <w:ind w:left="174"/>
              <w:rPr>
                <w:rFonts w:ascii="黑体" w:eastAsia="黑体" w:hint="eastAsia"/>
                <w:b/>
                <w:sz w:val="21"/>
              </w:rPr>
            </w:pPr>
            <w:r>
              <w:rPr>
                <w:rFonts w:ascii="黑体" w:eastAsia="黑体" w:hint="eastAsia"/>
                <w:b/>
                <w:w w:val="95"/>
                <w:sz w:val="21"/>
              </w:rPr>
              <w:t>重大疾病的定义</w:t>
            </w:r>
          </w:p>
        </w:tc>
        <w:tc>
          <w:tcPr>
            <w:tcW w:w="7000" w:type="dxa"/>
            <w:shd w:val="clear" w:color="auto" w:fill="D3D3D3"/>
          </w:tcPr>
          <w:p>
            <w:pPr>
              <w:pStyle w:val="TableParagraph"/>
              <w:rPr>
                <w:rFonts w:ascii="Times New Roman"/>
                <w:sz w:val="20"/>
              </w:rPr>
            </w:pPr>
          </w:p>
        </w:tc>
      </w:tr>
      <w:tr>
        <w:trPr>
          <w:trHeight w:val="481" w:hRule="atLeast"/>
        </w:trPr>
        <w:tc>
          <w:tcPr>
            <w:tcW w:w="807" w:type="dxa"/>
          </w:tcPr>
          <w:p>
            <w:pPr>
              <w:pStyle w:val="TableParagraph"/>
              <w:spacing w:before="152"/>
              <w:ind w:left="108"/>
              <w:rPr>
                <w:rFonts w:ascii="黑体"/>
                <w:sz w:val="21"/>
              </w:rPr>
            </w:pPr>
            <w:r>
              <w:rPr>
                <w:rFonts w:ascii="黑体"/>
                <w:sz w:val="21"/>
              </w:rPr>
              <w:t>7.1</w:t>
            </w:r>
          </w:p>
        </w:tc>
        <w:tc>
          <w:tcPr>
            <w:tcW w:w="1734" w:type="dxa"/>
          </w:tcPr>
          <w:p>
            <w:pPr>
              <w:pStyle w:val="TableParagraph"/>
              <w:spacing w:before="152"/>
              <w:ind w:left="174"/>
              <w:rPr>
                <w:rFonts w:ascii="黑体" w:eastAsia="黑体" w:hint="eastAsia"/>
                <w:sz w:val="21"/>
              </w:rPr>
            </w:pPr>
            <w:r>
              <w:rPr>
                <w:rFonts w:ascii="黑体" w:eastAsia="黑体" w:hint="eastAsia"/>
                <w:sz w:val="21"/>
              </w:rPr>
              <w:t>重大疾病的定</w:t>
            </w:r>
          </w:p>
        </w:tc>
        <w:tc>
          <w:tcPr>
            <w:tcW w:w="7000" w:type="dxa"/>
          </w:tcPr>
          <w:p>
            <w:pPr>
              <w:pStyle w:val="TableParagraph"/>
              <w:spacing w:before="152"/>
              <w:ind w:left="85"/>
              <w:rPr>
                <w:sz w:val="21"/>
              </w:rPr>
            </w:pPr>
            <w:r>
              <w:rPr>
                <w:sz w:val="21"/>
              </w:rPr>
              <w:t>本附加险合同所保障的重大疾病，是指被保险人在主险合同有效且本附加</w:t>
            </w:r>
          </w:p>
        </w:tc>
      </w:tr>
      <w:tr>
        <w:trPr>
          <w:trHeight w:val="320" w:hRule="atLeast"/>
        </w:trPr>
        <w:tc>
          <w:tcPr>
            <w:tcW w:w="807" w:type="dxa"/>
          </w:tcPr>
          <w:p>
            <w:pPr>
              <w:pStyle w:val="TableParagraph"/>
              <w:rPr>
                <w:rFonts w:ascii="Times New Roman"/>
                <w:sz w:val="20"/>
              </w:rPr>
            </w:pPr>
          </w:p>
        </w:tc>
        <w:tc>
          <w:tcPr>
            <w:tcW w:w="1734" w:type="dxa"/>
          </w:tcPr>
          <w:p>
            <w:pPr>
              <w:pStyle w:val="TableParagraph"/>
              <w:spacing w:line="265" w:lineRule="exact"/>
              <w:ind w:left="174"/>
              <w:rPr>
                <w:rFonts w:ascii="黑体" w:eastAsia="黑体" w:hint="eastAsia"/>
                <w:sz w:val="21"/>
              </w:rPr>
            </w:pPr>
            <w:r>
              <w:rPr>
                <w:rFonts w:ascii="黑体" w:eastAsia="黑体" w:hint="eastAsia"/>
                <w:sz w:val="21"/>
              </w:rPr>
              <w:t>义</w:t>
            </w:r>
          </w:p>
        </w:tc>
        <w:tc>
          <w:tcPr>
            <w:tcW w:w="7000" w:type="dxa"/>
          </w:tcPr>
          <w:p>
            <w:pPr>
              <w:pStyle w:val="TableParagraph"/>
              <w:spacing w:line="291" w:lineRule="exact"/>
              <w:ind w:left="85"/>
              <w:rPr>
                <w:sz w:val="21"/>
              </w:rPr>
            </w:pPr>
            <w:r>
              <w:rPr>
                <w:sz w:val="21"/>
              </w:rPr>
              <w:t>险合同有效期间内经</w:t>
            </w:r>
            <w:r>
              <w:rPr>
                <w:rFonts w:ascii="微软雅黑" w:eastAsia="微软雅黑" w:hint="eastAsia"/>
                <w:b/>
                <w:sz w:val="21"/>
              </w:rPr>
              <w:t>专科医生</w:t>
            </w:r>
            <w:r>
              <w:rPr>
                <w:sz w:val="21"/>
              </w:rPr>
              <w:t>明确诊断初次患下列疾病或初次达到下列疾</w:t>
            </w:r>
          </w:p>
        </w:tc>
      </w:tr>
      <w:tr>
        <w:trPr>
          <w:trHeight w:val="36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病状态或在医院初次接受下列手术：</w:t>
            </w:r>
          </w:p>
        </w:tc>
      </w:tr>
      <w:tr>
        <w:trPr>
          <w:trHeight w:val="732" w:hRule="atLeast"/>
        </w:trPr>
        <w:tc>
          <w:tcPr>
            <w:tcW w:w="807" w:type="dxa"/>
          </w:tcPr>
          <w:p>
            <w:pPr>
              <w:pStyle w:val="TableParagraph"/>
              <w:spacing w:before="83"/>
              <w:ind w:left="108"/>
              <w:rPr>
                <w:rFonts w:ascii="黑体"/>
                <w:sz w:val="21"/>
              </w:rPr>
            </w:pPr>
            <w:r>
              <w:rPr>
                <w:rFonts w:ascii="黑体"/>
                <w:sz w:val="21"/>
              </w:rPr>
              <w:t>7.1.1</w:t>
            </w:r>
          </w:p>
        </w:tc>
        <w:tc>
          <w:tcPr>
            <w:tcW w:w="1734" w:type="dxa"/>
          </w:tcPr>
          <w:p>
            <w:pPr>
              <w:pStyle w:val="TableParagraph"/>
              <w:spacing w:before="20"/>
              <w:ind w:left="174"/>
              <w:rPr>
                <w:rFonts w:ascii="微软雅黑" w:eastAsia="微软雅黑" w:hint="eastAsia"/>
                <w:sz w:val="21"/>
              </w:rPr>
            </w:pPr>
            <w:r>
              <w:rPr>
                <w:rFonts w:ascii="微软雅黑" w:eastAsia="微软雅黑" w:hint="eastAsia"/>
                <w:sz w:val="21"/>
              </w:rPr>
              <w:t>恶性肿瘤</w:t>
            </w:r>
          </w:p>
        </w:tc>
        <w:tc>
          <w:tcPr>
            <w:tcW w:w="7000" w:type="dxa"/>
          </w:tcPr>
          <w:p>
            <w:pPr>
              <w:pStyle w:val="TableParagraph"/>
              <w:spacing w:line="278" w:lineRule="auto" w:before="83"/>
              <w:ind w:left="85" w:right="102"/>
              <w:rPr>
                <w:sz w:val="21"/>
              </w:rPr>
            </w:pPr>
            <w:r>
              <w:rPr>
                <w:sz w:val="21"/>
              </w:rPr>
              <w:t>指恶性细胞不受控制的进行性增长和扩散，浸润和破坏周围正常组织，可以经血管、淋巴管和体腔扩散转移到身体其他部位的疾病。经病理学检查</w:t>
            </w:r>
          </w:p>
        </w:tc>
      </w:tr>
      <w:tr>
        <w:trPr>
          <w:trHeight w:val="320"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结果明确诊断，临床诊断属于世界卫生组织《疾病和有关健康问题的国际</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统计分类》（ICD-10）的恶性肿瘤范畴。</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下列疾病不在保障范围内：</w:t>
            </w:r>
          </w:p>
        </w:tc>
      </w:tr>
      <w:tr>
        <w:trPr>
          <w:trHeight w:val="320"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(1)原位癌；</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(2)相当于 Binet 分期方案 A 期程度的慢性淋巴细胞白血病；</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(3)相当于 Ann Arbor 分期方案 I 期程度的何杰金氏病；</w:t>
            </w:r>
          </w:p>
        </w:tc>
      </w:tr>
      <w:tr>
        <w:trPr>
          <w:trHeight w:val="320"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pacing w:val="-1"/>
                <w:sz w:val="21"/>
              </w:rPr>
              <w:t>(4)皮肤癌（不包括恶性黑色素瘤及已发生转移的皮肤癌</w:t>
            </w:r>
            <w:r>
              <w:rPr>
                <w:spacing w:val="-105"/>
                <w:sz w:val="21"/>
              </w:rPr>
              <w:t>）</w:t>
            </w:r>
            <w:r>
              <w:rPr>
                <w:sz w:val="21"/>
              </w:rPr>
              <w:t>；</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68"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(6)感染艾滋病病毒或患艾滋病期间所患恶性肿瘤。</w:t>
            </w:r>
          </w:p>
        </w:tc>
      </w:tr>
      <w:tr>
        <w:trPr>
          <w:trHeight w:val="733" w:hRule="atLeast"/>
        </w:trPr>
        <w:tc>
          <w:tcPr>
            <w:tcW w:w="807" w:type="dxa"/>
          </w:tcPr>
          <w:p>
            <w:pPr>
              <w:pStyle w:val="TableParagraph"/>
              <w:spacing w:before="83"/>
              <w:ind w:left="107"/>
              <w:rPr>
                <w:rFonts w:ascii="黑体"/>
                <w:sz w:val="21"/>
              </w:rPr>
            </w:pPr>
            <w:r>
              <w:rPr>
                <w:rFonts w:ascii="黑体"/>
                <w:sz w:val="21"/>
              </w:rPr>
              <w:t>7.1.2</w:t>
            </w:r>
          </w:p>
        </w:tc>
        <w:tc>
          <w:tcPr>
            <w:tcW w:w="1734" w:type="dxa"/>
          </w:tcPr>
          <w:p>
            <w:pPr>
              <w:pStyle w:val="TableParagraph"/>
              <w:spacing w:before="20"/>
              <w:ind w:left="174"/>
              <w:rPr>
                <w:rFonts w:ascii="微软雅黑" w:eastAsia="微软雅黑" w:hint="eastAsia"/>
                <w:sz w:val="21"/>
              </w:rPr>
            </w:pPr>
            <w:r>
              <w:rPr>
                <w:rFonts w:ascii="微软雅黑" w:eastAsia="微软雅黑" w:hint="eastAsia"/>
                <w:sz w:val="21"/>
              </w:rPr>
              <w:t>急性心肌梗塞</w:t>
            </w:r>
          </w:p>
        </w:tc>
        <w:tc>
          <w:tcPr>
            <w:tcW w:w="7000" w:type="dxa"/>
          </w:tcPr>
          <w:p>
            <w:pPr>
              <w:pStyle w:val="TableParagraph"/>
              <w:spacing w:line="320" w:lineRule="atLeast" w:before="38"/>
              <w:ind w:left="85" w:right="102"/>
              <w:rPr>
                <w:sz w:val="21"/>
              </w:rPr>
            </w:pPr>
            <w:r>
              <w:rPr>
                <w:sz w:val="21"/>
              </w:rPr>
              <w:t>指因冠状动脉阻塞导致的相应区域供血不足造成部分心肌坏死。须满足下列至少三项条件：</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(1)典型临床表现，例如急性胸痛等；</w:t>
            </w:r>
          </w:p>
        </w:tc>
      </w:tr>
      <w:tr>
        <w:trPr>
          <w:trHeight w:val="319" w:hRule="atLeast"/>
        </w:trPr>
        <w:tc>
          <w:tcPr>
            <w:tcW w:w="807" w:type="dxa"/>
          </w:tcPr>
          <w:p>
            <w:pPr>
              <w:pStyle w:val="TableParagraph"/>
              <w:rPr>
                <w:rFonts w:ascii="Times New Roman"/>
                <w:sz w:val="20"/>
              </w:rPr>
            </w:pPr>
          </w:p>
        </w:tc>
        <w:tc>
          <w:tcPr>
            <w:tcW w:w="1734" w:type="dxa"/>
          </w:tcPr>
          <w:p>
            <w:pPr>
              <w:pStyle w:val="TableParagraph"/>
              <w:rPr>
                <w:rFonts w:ascii="Times New Roman"/>
                <w:sz w:val="20"/>
              </w:rPr>
            </w:pPr>
          </w:p>
        </w:tc>
        <w:tc>
          <w:tcPr>
            <w:tcW w:w="7000" w:type="dxa"/>
          </w:tcPr>
          <w:p>
            <w:pPr>
              <w:pStyle w:val="TableParagraph"/>
              <w:spacing w:line="265" w:lineRule="exact"/>
              <w:ind w:left="85"/>
              <w:rPr>
                <w:sz w:val="21"/>
              </w:rPr>
            </w:pPr>
            <w:r>
              <w:rPr>
                <w:sz w:val="21"/>
              </w:rPr>
              <w:t>(2)新近的心电图改变提示急性心肌梗塞；</w:t>
            </w:r>
          </w:p>
        </w:tc>
      </w:tr>
      <w:tr>
        <w:trPr>
          <w:trHeight w:val="265" w:hRule="atLeast"/>
        </w:trPr>
        <w:tc>
          <w:tcPr>
            <w:tcW w:w="807" w:type="dxa"/>
          </w:tcPr>
          <w:p>
            <w:pPr>
              <w:pStyle w:val="TableParagraph"/>
              <w:rPr>
                <w:rFonts w:ascii="Times New Roman"/>
                <w:sz w:val="18"/>
              </w:rPr>
            </w:pPr>
          </w:p>
        </w:tc>
        <w:tc>
          <w:tcPr>
            <w:tcW w:w="1734" w:type="dxa"/>
          </w:tcPr>
          <w:p>
            <w:pPr>
              <w:pStyle w:val="TableParagraph"/>
              <w:rPr>
                <w:rFonts w:ascii="Times New Roman"/>
                <w:sz w:val="18"/>
              </w:rPr>
            </w:pPr>
          </w:p>
        </w:tc>
        <w:tc>
          <w:tcPr>
            <w:tcW w:w="7000" w:type="dxa"/>
          </w:tcPr>
          <w:p>
            <w:pPr>
              <w:pStyle w:val="TableParagraph"/>
              <w:spacing w:line="245" w:lineRule="exact"/>
              <w:ind w:left="85"/>
              <w:rPr>
                <w:sz w:val="21"/>
              </w:rPr>
            </w:pPr>
            <w:r>
              <w:rPr>
                <w:sz w:val="21"/>
              </w:rPr>
              <w:t>(3)心肌酶或肌钙蛋白有诊断意义的升高，或呈符合急性心肌梗塞的动态性</w:t>
            </w:r>
          </w:p>
        </w:tc>
      </w:tr>
    </w:tbl>
    <w:p>
      <w:pPr>
        <w:pStyle w:val="BodyText"/>
        <w:spacing w:before="45"/>
        <w:ind w:left="3056"/>
      </w:pPr>
      <w:r>
        <w:rPr/>
        <w:t>变化；</w:t>
      </w:r>
    </w:p>
    <w:p>
      <w:pPr>
        <w:pStyle w:val="BodyText"/>
        <w:spacing w:before="49"/>
        <w:ind w:left="2740"/>
      </w:pPr>
      <w:r>
        <w:rPr/>
        <w:t>(4)发病</w:t>
      </w:r>
      <w:r>
        <w:rPr>
          <w:spacing w:val="-55"/>
        </w:rPr>
        <w:t> </w:t>
      </w:r>
      <w:r>
        <w:rPr/>
        <w:t>90</w:t>
      </w:r>
      <w:r>
        <w:rPr>
          <w:spacing w:val="-56"/>
        </w:rPr>
        <w:t> </w:t>
      </w:r>
      <w:r>
        <w:rPr/>
        <w:t>天后</w:t>
      </w:r>
      <w:r>
        <w:rPr>
          <w:spacing w:val="-89"/>
        </w:rPr>
        <w:t>，</w:t>
      </w:r>
      <w:r>
        <w:rPr/>
        <w:t>经检查证实左心室功能降低</w:t>
      </w:r>
      <w:r>
        <w:rPr>
          <w:spacing w:val="-89"/>
        </w:rPr>
        <w:t>，</w:t>
      </w:r>
      <w:r>
        <w:rPr/>
        <w:t>如左心室射血分数低于</w:t>
      </w:r>
      <w:r>
        <w:rPr>
          <w:spacing w:val="-53"/>
        </w:rPr>
        <w:t> </w:t>
      </w:r>
      <w:r>
        <w:rPr>
          <w:spacing w:val="5"/>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line="264" w:lineRule="auto" w:before="120"/>
        <w:ind w:left="2740" w:right="211" w:hanging="2519"/>
        <w:jc w:val="both"/>
      </w:pPr>
      <w:r>
        <w:rPr>
          <w:rFonts w:ascii="黑体" w:eastAsia="黑体" w:hint="eastAsia"/>
        </w:rPr>
        <w:t>7.1.3</w:t>
      </w:r>
      <w:r>
        <w:rPr>
          <w:rFonts w:ascii="黑体" w:eastAsia="黑体" w:hint="eastAsia"/>
          <w:spacing w:val="20"/>
        </w:rPr>
        <w:t>   </w:t>
      </w:r>
      <w:r>
        <w:rPr>
          <w:rFonts w:ascii="微软雅黑" w:eastAsia="微软雅黑" w:hint="eastAsia"/>
          <w:spacing w:val="3"/>
        </w:rPr>
        <w:t>脑中风后遗症    </w:t>
      </w:r>
      <w:r>
        <w:rPr/>
        <w:t>指因脑血管的突发病变引起脑血管出血、栓塞或梗塞，并导致神经系统永</w:t>
      </w:r>
      <w:r>
        <w:rPr>
          <w:spacing w:val="-1"/>
        </w:rPr>
        <w:t>久性的功能障碍。神经系统永久性的功能障碍，指疾病确诊 </w:t>
      </w:r>
      <w:r>
        <w:rPr/>
        <w:t>180</w:t>
      </w:r>
      <w:r>
        <w:rPr>
          <w:spacing w:val="-3"/>
        </w:rPr>
        <w:t> 天后，仍遗留下列一种或一种以上障碍：</w:t>
      </w:r>
    </w:p>
    <w:p>
      <w:pPr>
        <w:spacing w:after="0" w:line="264" w:lineRule="auto"/>
        <w:jc w:val="both"/>
        <w:sectPr>
          <w:pgSz w:w="11910" w:h="16840"/>
          <w:pgMar w:top="1420" w:bottom="280" w:left="1020" w:right="1120"/>
        </w:sectPr>
      </w:pPr>
    </w:p>
    <w:p>
      <w:pPr>
        <w:spacing w:line="287" w:lineRule="exact" w:before="0"/>
        <w:ind w:left="2680"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80"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996" w:right="210"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2" w:after="1"/>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732"/>
        <w:gridCol w:w="7049"/>
      </w:tblGrid>
      <w:tr>
        <w:trPr>
          <w:trHeight w:val="962" w:hRule="atLeast"/>
        </w:trPr>
        <w:tc>
          <w:tcPr>
            <w:tcW w:w="749" w:type="dxa"/>
          </w:tcPr>
          <w:p>
            <w:pPr>
              <w:pStyle w:val="TableParagraph"/>
              <w:spacing w:line="254" w:lineRule="exact"/>
              <w:ind w:left="50"/>
              <w:rPr>
                <w:rFonts w:ascii="黑体"/>
                <w:sz w:val="21"/>
              </w:rPr>
            </w:pPr>
            <w:r>
              <w:rPr>
                <w:rFonts w:ascii="黑体"/>
                <w:sz w:val="21"/>
              </w:rPr>
              <w:t>7.1.4</w:t>
            </w:r>
          </w:p>
        </w:tc>
        <w:tc>
          <w:tcPr>
            <w:tcW w:w="1732" w:type="dxa"/>
          </w:tcPr>
          <w:p>
            <w:pPr>
              <w:pStyle w:val="TableParagraph"/>
              <w:spacing w:line="258" w:lineRule="exact"/>
              <w:ind w:left="174"/>
              <w:rPr>
                <w:rFonts w:ascii="微软雅黑" w:eastAsia="微软雅黑" w:hint="eastAsia"/>
                <w:sz w:val="21"/>
              </w:rPr>
            </w:pPr>
            <w:r>
              <w:rPr>
                <w:rFonts w:ascii="微软雅黑" w:eastAsia="微软雅黑" w:hint="eastAsia"/>
                <w:sz w:val="21"/>
              </w:rPr>
              <w:t>重大器官移植</w:t>
            </w:r>
          </w:p>
          <w:p>
            <w:pPr>
              <w:pStyle w:val="TableParagraph"/>
              <w:spacing w:line="211" w:lineRule="auto" w:before="21"/>
              <w:ind w:left="174" w:right="295"/>
              <w:rPr>
                <w:rFonts w:ascii="微软雅黑" w:eastAsia="微软雅黑" w:hint="eastAsia"/>
                <w:sz w:val="21"/>
              </w:rPr>
            </w:pPr>
            <w:r>
              <w:rPr>
                <w:rFonts w:ascii="微软雅黑" w:eastAsia="微软雅黑" w:hint="eastAsia"/>
                <w:sz w:val="21"/>
              </w:rPr>
              <w:t>术或造血干细胞移植术</w:t>
            </w:r>
          </w:p>
        </w:tc>
        <w:tc>
          <w:tcPr>
            <w:tcW w:w="7049" w:type="dxa"/>
          </w:tcPr>
          <w:p>
            <w:pPr>
              <w:pStyle w:val="TableParagraph"/>
              <w:spacing w:line="254" w:lineRule="exact"/>
              <w:ind w:left="87"/>
              <w:rPr>
                <w:sz w:val="21"/>
              </w:rPr>
            </w:pPr>
            <w:r>
              <w:rPr>
                <w:sz w:val="21"/>
              </w:rPr>
              <w:t>重大器官移植术，指因相应器官功能衰竭，已经实施了肾脏、肝脏、心脏</w:t>
            </w:r>
          </w:p>
          <w:p>
            <w:pPr>
              <w:pStyle w:val="TableParagraph"/>
              <w:spacing w:before="44"/>
              <w:ind w:left="87"/>
              <w:rPr>
                <w:sz w:val="21"/>
              </w:rPr>
            </w:pPr>
            <w:r>
              <w:rPr>
                <w:sz w:val="21"/>
              </w:rPr>
              <w:t>或肺脏的异体移植手术。</w:t>
            </w:r>
          </w:p>
          <w:p>
            <w:pPr>
              <w:pStyle w:val="TableParagraph"/>
              <w:spacing w:before="45"/>
              <w:ind w:left="87"/>
              <w:rPr>
                <w:sz w:val="21"/>
              </w:rPr>
            </w:pPr>
            <w:r>
              <w:rPr>
                <w:sz w:val="21"/>
              </w:rPr>
              <w:t>造血干细胞移植术，指因造血功能损害或造血系统恶性肿瘤，已经实施了</w:t>
            </w:r>
          </w:p>
        </w:tc>
      </w:tr>
      <w:tr>
        <w:trPr>
          <w:trHeight w:val="306" w:hRule="atLeast"/>
        </w:trPr>
        <w:tc>
          <w:tcPr>
            <w:tcW w:w="749" w:type="dxa"/>
          </w:tcPr>
          <w:p>
            <w:pPr>
              <w:pStyle w:val="TableParagraph"/>
              <w:rPr>
                <w:rFonts w:ascii="Times New Roman"/>
                <w:sz w:val="20"/>
              </w:rPr>
            </w:pPr>
          </w:p>
        </w:tc>
        <w:tc>
          <w:tcPr>
            <w:tcW w:w="1732" w:type="dxa"/>
          </w:tcPr>
          <w:p>
            <w:pPr>
              <w:pStyle w:val="TableParagraph"/>
              <w:rPr>
                <w:rFonts w:ascii="Times New Roman"/>
                <w:sz w:val="20"/>
              </w:rPr>
            </w:pPr>
          </w:p>
        </w:tc>
        <w:tc>
          <w:tcPr>
            <w:tcW w:w="7049" w:type="dxa"/>
          </w:tcPr>
          <w:p>
            <w:pPr>
              <w:pStyle w:val="TableParagraph"/>
              <w:spacing w:line="252" w:lineRule="exact"/>
              <w:ind w:left="87"/>
              <w:rPr>
                <w:sz w:val="21"/>
              </w:rPr>
            </w:pPr>
            <w:r>
              <w:rPr>
                <w:sz w:val="21"/>
              </w:rPr>
              <w:t>造血干细胞（包括骨髓造血干细胞、外周血造血干细胞和脐血造血干细胞）</w:t>
            </w:r>
          </w:p>
        </w:tc>
      </w:tr>
      <w:tr>
        <w:trPr>
          <w:trHeight w:val="368" w:hRule="atLeast"/>
        </w:trPr>
        <w:tc>
          <w:tcPr>
            <w:tcW w:w="749" w:type="dxa"/>
          </w:tcPr>
          <w:p>
            <w:pPr>
              <w:pStyle w:val="TableParagraph"/>
              <w:rPr>
                <w:rFonts w:ascii="Times New Roman"/>
                <w:sz w:val="20"/>
              </w:rPr>
            </w:pPr>
          </w:p>
        </w:tc>
        <w:tc>
          <w:tcPr>
            <w:tcW w:w="1732" w:type="dxa"/>
          </w:tcPr>
          <w:p>
            <w:pPr>
              <w:pStyle w:val="TableParagraph"/>
              <w:rPr>
                <w:rFonts w:ascii="Times New Roman"/>
                <w:sz w:val="20"/>
              </w:rPr>
            </w:pPr>
          </w:p>
        </w:tc>
        <w:tc>
          <w:tcPr>
            <w:tcW w:w="7049" w:type="dxa"/>
          </w:tcPr>
          <w:p>
            <w:pPr>
              <w:pStyle w:val="TableParagraph"/>
              <w:spacing w:line="265" w:lineRule="exact"/>
              <w:ind w:left="87"/>
              <w:rPr>
                <w:sz w:val="21"/>
              </w:rPr>
            </w:pPr>
            <w:r>
              <w:rPr>
                <w:sz w:val="21"/>
              </w:rPr>
              <w:t>的异体移植手术。</w:t>
            </w:r>
          </w:p>
        </w:tc>
      </w:tr>
      <w:tr>
        <w:trPr>
          <w:trHeight w:val="1067" w:hRule="atLeast"/>
        </w:trPr>
        <w:tc>
          <w:tcPr>
            <w:tcW w:w="749" w:type="dxa"/>
          </w:tcPr>
          <w:p>
            <w:pPr>
              <w:pStyle w:val="TableParagraph"/>
              <w:spacing w:before="83"/>
              <w:ind w:left="50"/>
              <w:rPr>
                <w:rFonts w:ascii="黑体"/>
                <w:sz w:val="21"/>
              </w:rPr>
            </w:pPr>
            <w:r>
              <w:rPr>
                <w:rFonts w:ascii="黑体"/>
                <w:sz w:val="21"/>
              </w:rPr>
              <w:t>7.1.5</w:t>
            </w:r>
          </w:p>
        </w:tc>
        <w:tc>
          <w:tcPr>
            <w:tcW w:w="1732" w:type="dxa"/>
          </w:tcPr>
          <w:p>
            <w:pPr>
              <w:pStyle w:val="TableParagraph"/>
              <w:spacing w:line="211" w:lineRule="auto" w:before="64"/>
              <w:ind w:left="174" w:right="85"/>
              <w:rPr>
                <w:rFonts w:ascii="微软雅黑" w:eastAsia="微软雅黑" w:hint="eastAsia"/>
                <w:sz w:val="21"/>
              </w:rPr>
            </w:pPr>
            <w:r>
              <w:rPr>
                <w:rFonts w:ascii="微软雅黑" w:eastAsia="微软雅黑" w:hint="eastAsia"/>
                <w:sz w:val="21"/>
              </w:rPr>
              <w:t>冠状动脉搭桥 </w:t>
            </w:r>
            <w:r>
              <w:rPr>
                <w:rFonts w:ascii="微软雅黑" w:eastAsia="微软雅黑" w:hint="eastAsia"/>
                <w:spacing w:val="-41"/>
                <w:sz w:val="21"/>
              </w:rPr>
              <w:t>术</w:t>
            </w:r>
            <w:r>
              <w:rPr>
                <w:rFonts w:ascii="微软雅黑" w:eastAsia="微软雅黑" w:hint="eastAsia"/>
                <w:sz w:val="21"/>
              </w:rPr>
              <w:t>（或称冠状动脉旁路移植术）</w:t>
            </w:r>
          </w:p>
        </w:tc>
        <w:tc>
          <w:tcPr>
            <w:tcW w:w="7049" w:type="dxa"/>
          </w:tcPr>
          <w:p>
            <w:pPr>
              <w:pStyle w:val="TableParagraph"/>
              <w:spacing w:line="280" w:lineRule="auto" w:before="83"/>
              <w:ind w:left="87" w:right="149"/>
              <w:rPr>
                <w:sz w:val="21"/>
              </w:rPr>
            </w:pPr>
            <w:r>
              <w:rPr>
                <w:sz w:val="21"/>
              </w:rPr>
              <w:t>指为治疗严重的冠心病，实际实施了开胸进行的冠状动脉血管旁路移植的手术。</w:t>
            </w:r>
          </w:p>
          <w:p>
            <w:pPr>
              <w:pStyle w:val="TableParagraph"/>
              <w:spacing w:before="9"/>
              <w:ind w:left="87"/>
              <w:rPr>
                <w:sz w:val="21"/>
              </w:rPr>
            </w:pPr>
            <w:r>
              <w:rPr>
                <w:sz w:val="21"/>
              </w:rPr>
              <w:t>冠状动脉支架植入术、心导管球囊扩张术、激光射频技术及其他非开胸的</w:t>
            </w:r>
          </w:p>
        </w:tc>
      </w:tr>
      <w:tr>
        <w:trPr>
          <w:trHeight w:val="354" w:hRule="atLeast"/>
        </w:trPr>
        <w:tc>
          <w:tcPr>
            <w:tcW w:w="749" w:type="dxa"/>
          </w:tcPr>
          <w:p>
            <w:pPr>
              <w:pStyle w:val="TableParagraph"/>
              <w:rPr>
                <w:rFonts w:ascii="Times New Roman"/>
                <w:sz w:val="20"/>
              </w:rPr>
            </w:pPr>
          </w:p>
        </w:tc>
        <w:tc>
          <w:tcPr>
            <w:tcW w:w="1732" w:type="dxa"/>
          </w:tcPr>
          <w:p>
            <w:pPr>
              <w:pStyle w:val="TableParagraph"/>
              <w:rPr>
                <w:rFonts w:ascii="Times New Roman"/>
                <w:sz w:val="20"/>
              </w:rPr>
            </w:pPr>
          </w:p>
        </w:tc>
        <w:tc>
          <w:tcPr>
            <w:tcW w:w="7049" w:type="dxa"/>
          </w:tcPr>
          <w:p>
            <w:pPr>
              <w:pStyle w:val="TableParagraph"/>
              <w:spacing w:line="251" w:lineRule="exact"/>
              <w:ind w:left="87"/>
              <w:rPr>
                <w:sz w:val="21"/>
              </w:rPr>
            </w:pPr>
            <w:r>
              <w:rPr>
                <w:sz w:val="21"/>
              </w:rPr>
              <w:t>介入手术、腔镜手术不在保障范围内。</w:t>
            </w:r>
          </w:p>
        </w:tc>
      </w:tr>
      <w:tr>
        <w:trPr>
          <w:trHeight w:val="1116" w:hRule="atLeast"/>
        </w:trPr>
        <w:tc>
          <w:tcPr>
            <w:tcW w:w="749" w:type="dxa"/>
          </w:tcPr>
          <w:p>
            <w:pPr>
              <w:pStyle w:val="TableParagraph"/>
              <w:spacing w:before="83"/>
              <w:ind w:left="50"/>
              <w:rPr>
                <w:rFonts w:ascii="黑体"/>
                <w:sz w:val="21"/>
              </w:rPr>
            </w:pPr>
            <w:r>
              <w:rPr>
                <w:rFonts w:ascii="黑体"/>
                <w:sz w:val="21"/>
              </w:rPr>
              <w:t>7.1.6</w:t>
            </w:r>
          </w:p>
        </w:tc>
        <w:tc>
          <w:tcPr>
            <w:tcW w:w="1732" w:type="dxa"/>
          </w:tcPr>
          <w:p>
            <w:pPr>
              <w:pStyle w:val="TableParagraph"/>
              <w:spacing w:line="211" w:lineRule="auto" w:before="64"/>
              <w:ind w:left="174" w:right="85"/>
              <w:rPr>
                <w:rFonts w:ascii="微软雅黑" w:eastAsia="微软雅黑" w:hint="eastAsia"/>
                <w:sz w:val="21"/>
              </w:rPr>
            </w:pPr>
            <w:r>
              <w:rPr>
                <w:rFonts w:ascii="微软雅黑" w:eastAsia="微软雅黑" w:hint="eastAsia"/>
                <w:spacing w:val="-9"/>
                <w:sz w:val="21"/>
              </w:rPr>
              <w:t>终末期肾病</w:t>
            </w:r>
            <w:r>
              <w:rPr>
                <w:rFonts w:ascii="微软雅黑" w:eastAsia="微软雅黑" w:hint="eastAsia"/>
                <w:sz w:val="21"/>
              </w:rPr>
              <w:t>（或称慢性肾功能 衰竭尿毒症期）</w:t>
            </w:r>
          </w:p>
        </w:tc>
        <w:tc>
          <w:tcPr>
            <w:tcW w:w="7049" w:type="dxa"/>
          </w:tcPr>
          <w:p>
            <w:pPr>
              <w:pStyle w:val="TableParagraph"/>
              <w:spacing w:before="83"/>
              <w:ind w:left="87"/>
              <w:rPr>
                <w:sz w:val="21"/>
              </w:rPr>
            </w:pPr>
            <w:r>
              <w:rPr>
                <w:sz w:val="21"/>
              </w:rPr>
              <w:t>指双肾功能慢性不可逆性衰竭，达到尿毒症期，经诊断后已经进行了至少</w:t>
            </w:r>
          </w:p>
          <w:p>
            <w:pPr>
              <w:pStyle w:val="TableParagraph"/>
              <w:spacing w:before="45"/>
              <w:ind w:left="87"/>
              <w:rPr>
                <w:sz w:val="21"/>
              </w:rPr>
            </w:pPr>
            <w:r>
              <w:rPr>
                <w:sz w:val="21"/>
              </w:rPr>
              <w:t>90 天的规律性透析治疗或实施了肾脏移植手术。</w:t>
            </w:r>
          </w:p>
        </w:tc>
      </w:tr>
      <w:tr>
        <w:trPr>
          <w:trHeight w:val="732" w:hRule="atLeast"/>
        </w:trPr>
        <w:tc>
          <w:tcPr>
            <w:tcW w:w="749" w:type="dxa"/>
          </w:tcPr>
          <w:p>
            <w:pPr>
              <w:pStyle w:val="TableParagraph"/>
              <w:spacing w:before="69"/>
              <w:ind w:left="50"/>
              <w:rPr>
                <w:rFonts w:ascii="黑体"/>
                <w:sz w:val="21"/>
              </w:rPr>
            </w:pPr>
            <w:r>
              <w:rPr>
                <w:rFonts w:ascii="黑体"/>
                <w:sz w:val="21"/>
              </w:rPr>
              <w:t>7.1.7</w:t>
            </w:r>
          </w:p>
        </w:tc>
        <w:tc>
          <w:tcPr>
            <w:tcW w:w="1732" w:type="dxa"/>
          </w:tcPr>
          <w:p>
            <w:pPr>
              <w:pStyle w:val="TableParagraph"/>
              <w:spacing w:line="211" w:lineRule="auto" w:before="50"/>
              <w:ind w:left="174" w:right="295"/>
              <w:rPr>
                <w:rFonts w:ascii="微软雅黑" w:eastAsia="微软雅黑" w:hint="eastAsia"/>
                <w:sz w:val="21"/>
              </w:rPr>
            </w:pPr>
            <w:r>
              <w:rPr>
                <w:rFonts w:ascii="微软雅黑" w:eastAsia="微软雅黑" w:hint="eastAsia"/>
                <w:sz w:val="21"/>
              </w:rPr>
              <w:t>慢性肝功能衰竭失代偿期</w:t>
            </w:r>
          </w:p>
        </w:tc>
        <w:tc>
          <w:tcPr>
            <w:tcW w:w="7049" w:type="dxa"/>
          </w:tcPr>
          <w:p>
            <w:pPr>
              <w:pStyle w:val="TableParagraph"/>
              <w:spacing w:line="278" w:lineRule="auto" w:before="69"/>
              <w:ind w:left="87" w:right="1482"/>
              <w:rPr>
                <w:sz w:val="21"/>
              </w:rPr>
            </w:pPr>
            <w:r>
              <w:rPr>
                <w:sz w:val="21"/>
              </w:rPr>
              <w:t>指因慢性肝脏疾病导致肝功能衰竭。须满足下列全部条件： (1)持续性黄疸；</w:t>
            </w:r>
          </w:p>
        </w:tc>
      </w:tr>
      <w:tr>
        <w:trPr>
          <w:trHeight w:val="306" w:hRule="atLeast"/>
        </w:trPr>
        <w:tc>
          <w:tcPr>
            <w:tcW w:w="749" w:type="dxa"/>
          </w:tcPr>
          <w:p>
            <w:pPr>
              <w:pStyle w:val="TableParagraph"/>
              <w:rPr>
                <w:rFonts w:ascii="Times New Roman"/>
                <w:sz w:val="20"/>
              </w:rPr>
            </w:pPr>
          </w:p>
        </w:tc>
        <w:tc>
          <w:tcPr>
            <w:tcW w:w="1732" w:type="dxa"/>
          </w:tcPr>
          <w:p>
            <w:pPr>
              <w:pStyle w:val="TableParagraph"/>
              <w:rPr>
                <w:rFonts w:ascii="Times New Roman"/>
                <w:sz w:val="20"/>
              </w:rPr>
            </w:pPr>
          </w:p>
        </w:tc>
        <w:tc>
          <w:tcPr>
            <w:tcW w:w="7049" w:type="dxa"/>
          </w:tcPr>
          <w:p>
            <w:pPr>
              <w:pStyle w:val="TableParagraph"/>
              <w:spacing w:line="252" w:lineRule="exact"/>
              <w:ind w:left="87"/>
              <w:rPr>
                <w:sz w:val="21"/>
              </w:rPr>
            </w:pPr>
            <w:r>
              <w:rPr>
                <w:sz w:val="21"/>
              </w:rPr>
              <w:t>(2)腹水；</w:t>
            </w:r>
          </w:p>
        </w:tc>
      </w:tr>
      <w:tr>
        <w:trPr>
          <w:trHeight w:val="319" w:hRule="atLeast"/>
        </w:trPr>
        <w:tc>
          <w:tcPr>
            <w:tcW w:w="749" w:type="dxa"/>
          </w:tcPr>
          <w:p>
            <w:pPr>
              <w:pStyle w:val="TableParagraph"/>
              <w:rPr>
                <w:rFonts w:ascii="Times New Roman"/>
                <w:sz w:val="20"/>
              </w:rPr>
            </w:pPr>
          </w:p>
        </w:tc>
        <w:tc>
          <w:tcPr>
            <w:tcW w:w="1732" w:type="dxa"/>
          </w:tcPr>
          <w:p>
            <w:pPr>
              <w:pStyle w:val="TableParagraph"/>
              <w:rPr>
                <w:rFonts w:ascii="Times New Roman"/>
                <w:sz w:val="20"/>
              </w:rPr>
            </w:pPr>
          </w:p>
        </w:tc>
        <w:tc>
          <w:tcPr>
            <w:tcW w:w="7049" w:type="dxa"/>
          </w:tcPr>
          <w:p>
            <w:pPr>
              <w:pStyle w:val="TableParagraph"/>
              <w:spacing w:line="265" w:lineRule="exact"/>
              <w:ind w:left="87"/>
              <w:rPr>
                <w:sz w:val="21"/>
              </w:rPr>
            </w:pPr>
            <w:r>
              <w:rPr>
                <w:sz w:val="21"/>
              </w:rPr>
              <w:t>(3)肝性脑病；</w:t>
            </w:r>
          </w:p>
        </w:tc>
      </w:tr>
      <w:tr>
        <w:trPr>
          <w:trHeight w:val="319" w:hRule="atLeast"/>
        </w:trPr>
        <w:tc>
          <w:tcPr>
            <w:tcW w:w="749" w:type="dxa"/>
          </w:tcPr>
          <w:p>
            <w:pPr>
              <w:pStyle w:val="TableParagraph"/>
              <w:rPr>
                <w:rFonts w:ascii="Times New Roman"/>
                <w:sz w:val="20"/>
              </w:rPr>
            </w:pPr>
          </w:p>
        </w:tc>
        <w:tc>
          <w:tcPr>
            <w:tcW w:w="1732" w:type="dxa"/>
          </w:tcPr>
          <w:p>
            <w:pPr>
              <w:pStyle w:val="TableParagraph"/>
              <w:rPr>
                <w:rFonts w:ascii="Times New Roman"/>
                <w:sz w:val="20"/>
              </w:rPr>
            </w:pPr>
          </w:p>
        </w:tc>
        <w:tc>
          <w:tcPr>
            <w:tcW w:w="7049" w:type="dxa"/>
          </w:tcPr>
          <w:p>
            <w:pPr>
              <w:pStyle w:val="TableParagraph"/>
              <w:spacing w:line="265" w:lineRule="exact"/>
              <w:ind w:left="87"/>
              <w:rPr>
                <w:sz w:val="21"/>
              </w:rPr>
            </w:pPr>
            <w:r>
              <w:rPr>
                <w:sz w:val="21"/>
              </w:rPr>
              <w:t>(4)充血性脾肿大伴脾功能亢进或食管胃底静脉曲张。</w:t>
            </w:r>
          </w:p>
        </w:tc>
      </w:tr>
      <w:tr>
        <w:trPr>
          <w:trHeight w:val="369" w:hRule="atLeast"/>
        </w:trPr>
        <w:tc>
          <w:tcPr>
            <w:tcW w:w="749" w:type="dxa"/>
          </w:tcPr>
          <w:p>
            <w:pPr>
              <w:pStyle w:val="TableParagraph"/>
              <w:rPr>
                <w:rFonts w:ascii="Times New Roman"/>
                <w:sz w:val="20"/>
              </w:rPr>
            </w:pPr>
          </w:p>
        </w:tc>
        <w:tc>
          <w:tcPr>
            <w:tcW w:w="1732" w:type="dxa"/>
          </w:tcPr>
          <w:p>
            <w:pPr>
              <w:pStyle w:val="TableParagraph"/>
              <w:rPr>
                <w:rFonts w:ascii="Times New Roman"/>
                <w:sz w:val="20"/>
              </w:rPr>
            </w:pPr>
          </w:p>
        </w:tc>
        <w:tc>
          <w:tcPr>
            <w:tcW w:w="7049" w:type="dxa"/>
          </w:tcPr>
          <w:p>
            <w:pPr>
              <w:pStyle w:val="TableParagraph"/>
              <w:spacing w:line="265" w:lineRule="exact"/>
              <w:ind w:left="87"/>
              <w:rPr>
                <w:sz w:val="21"/>
              </w:rPr>
            </w:pPr>
            <w:r>
              <w:rPr>
                <w:sz w:val="21"/>
              </w:rPr>
              <w:t>因酗酒或药物滥用导致的肝功能衰竭不在保障范围内。</w:t>
            </w:r>
          </w:p>
        </w:tc>
      </w:tr>
      <w:tr>
        <w:trPr>
          <w:trHeight w:val="746" w:hRule="atLeast"/>
        </w:trPr>
        <w:tc>
          <w:tcPr>
            <w:tcW w:w="749" w:type="dxa"/>
          </w:tcPr>
          <w:p>
            <w:pPr>
              <w:pStyle w:val="TableParagraph"/>
              <w:spacing w:before="83"/>
              <w:ind w:left="50"/>
              <w:rPr>
                <w:rFonts w:ascii="黑体"/>
                <w:sz w:val="21"/>
              </w:rPr>
            </w:pPr>
            <w:r>
              <w:rPr>
                <w:rFonts w:ascii="黑体"/>
                <w:sz w:val="21"/>
              </w:rPr>
              <w:t>7.1.8</w:t>
            </w:r>
          </w:p>
        </w:tc>
        <w:tc>
          <w:tcPr>
            <w:tcW w:w="1732" w:type="dxa"/>
          </w:tcPr>
          <w:p>
            <w:pPr>
              <w:pStyle w:val="TableParagraph"/>
              <w:spacing w:line="211" w:lineRule="auto" w:before="64"/>
              <w:ind w:left="174" w:right="295"/>
              <w:rPr>
                <w:rFonts w:ascii="微软雅黑" w:eastAsia="微软雅黑" w:hint="eastAsia"/>
                <w:sz w:val="21"/>
              </w:rPr>
            </w:pPr>
            <w:r>
              <w:rPr>
                <w:rFonts w:ascii="微软雅黑" w:eastAsia="微软雅黑" w:hint="eastAsia"/>
                <w:sz w:val="21"/>
              </w:rPr>
              <w:t>脑炎后遗症或脑膜炎后遗症</w:t>
            </w:r>
          </w:p>
        </w:tc>
        <w:tc>
          <w:tcPr>
            <w:tcW w:w="7049" w:type="dxa"/>
          </w:tcPr>
          <w:p>
            <w:pPr>
              <w:pStyle w:val="TableParagraph"/>
              <w:spacing w:line="280" w:lineRule="auto" w:before="83"/>
              <w:ind w:left="87" w:right="149"/>
              <w:rPr>
                <w:sz w:val="21"/>
              </w:rPr>
            </w:pPr>
            <w:r>
              <w:rPr>
                <w:sz w:val="21"/>
              </w:rPr>
              <w:t>指因患脑炎或脑膜炎导致的神经系统永久性的功能障碍。神经系统永久性的功能障碍，指疾病确诊 180 天后，仍遗留下列一种或一种以上障碍：</w:t>
            </w:r>
          </w:p>
        </w:tc>
      </w:tr>
      <w:tr>
        <w:trPr>
          <w:trHeight w:val="306" w:hRule="atLeast"/>
        </w:trPr>
        <w:tc>
          <w:tcPr>
            <w:tcW w:w="749" w:type="dxa"/>
          </w:tcPr>
          <w:p>
            <w:pPr>
              <w:pStyle w:val="TableParagraph"/>
              <w:rPr>
                <w:rFonts w:ascii="Times New Roman"/>
                <w:sz w:val="20"/>
              </w:rPr>
            </w:pPr>
          </w:p>
        </w:tc>
        <w:tc>
          <w:tcPr>
            <w:tcW w:w="1732" w:type="dxa"/>
          </w:tcPr>
          <w:p>
            <w:pPr>
              <w:pStyle w:val="TableParagraph"/>
              <w:rPr>
                <w:rFonts w:ascii="Times New Roman"/>
                <w:sz w:val="20"/>
              </w:rPr>
            </w:pPr>
          </w:p>
        </w:tc>
        <w:tc>
          <w:tcPr>
            <w:tcW w:w="7049" w:type="dxa"/>
          </w:tcPr>
          <w:p>
            <w:pPr>
              <w:pStyle w:val="TableParagraph"/>
              <w:spacing w:line="251" w:lineRule="exact"/>
              <w:ind w:left="87"/>
              <w:rPr>
                <w:sz w:val="21"/>
              </w:rPr>
            </w:pPr>
            <w:r>
              <w:rPr>
                <w:sz w:val="21"/>
              </w:rPr>
              <w:t>(1)一肢或一肢以上肢体机能完全丧失；</w:t>
            </w:r>
          </w:p>
        </w:tc>
      </w:tr>
      <w:tr>
        <w:trPr>
          <w:trHeight w:val="320" w:hRule="atLeast"/>
        </w:trPr>
        <w:tc>
          <w:tcPr>
            <w:tcW w:w="749" w:type="dxa"/>
          </w:tcPr>
          <w:p>
            <w:pPr>
              <w:pStyle w:val="TableParagraph"/>
              <w:rPr>
                <w:rFonts w:ascii="Times New Roman"/>
                <w:sz w:val="20"/>
              </w:rPr>
            </w:pPr>
          </w:p>
        </w:tc>
        <w:tc>
          <w:tcPr>
            <w:tcW w:w="1732" w:type="dxa"/>
          </w:tcPr>
          <w:p>
            <w:pPr>
              <w:pStyle w:val="TableParagraph"/>
              <w:rPr>
                <w:rFonts w:ascii="Times New Roman"/>
                <w:sz w:val="20"/>
              </w:rPr>
            </w:pPr>
          </w:p>
        </w:tc>
        <w:tc>
          <w:tcPr>
            <w:tcW w:w="7049" w:type="dxa"/>
          </w:tcPr>
          <w:p>
            <w:pPr>
              <w:pStyle w:val="TableParagraph"/>
              <w:spacing w:line="265" w:lineRule="exact"/>
              <w:ind w:left="87"/>
              <w:rPr>
                <w:sz w:val="21"/>
              </w:rPr>
            </w:pPr>
            <w:r>
              <w:rPr>
                <w:sz w:val="21"/>
              </w:rPr>
              <w:t>(2)语言能力或咀嚼吞咽能力完全丧失；</w:t>
            </w:r>
          </w:p>
        </w:tc>
      </w:tr>
      <w:tr>
        <w:trPr>
          <w:trHeight w:val="265" w:hRule="atLeast"/>
        </w:trPr>
        <w:tc>
          <w:tcPr>
            <w:tcW w:w="749" w:type="dxa"/>
          </w:tcPr>
          <w:p>
            <w:pPr>
              <w:pStyle w:val="TableParagraph"/>
              <w:rPr>
                <w:rFonts w:ascii="Times New Roman"/>
                <w:sz w:val="18"/>
              </w:rPr>
            </w:pPr>
          </w:p>
        </w:tc>
        <w:tc>
          <w:tcPr>
            <w:tcW w:w="1732" w:type="dxa"/>
          </w:tcPr>
          <w:p>
            <w:pPr>
              <w:pStyle w:val="TableParagraph"/>
              <w:rPr>
                <w:rFonts w:ascii="Times New Roman"/>
                <w:sz w:val="18"/>
              </w:rPr>
            </w:pPr>
          </w:p>
        </w:tc>
        <w:tc>
          <w:tcPr>
            <w:tcW w:w="7049" w:type="dxa"/>
          </w:tcPr>
          <w:p>
            <w:pPr>
              <w:pStyle w:val="TableParagraph"/>
              <w:spacing w:line="245" w:lineRule="exact"/>
              <w:ind w:left="87"/>
              <w:rPr>
                <w:sz w:val="21"/>
              </w:rPr>
            </w:pPr>
            <w:r>
              <w:rPr>
                <w:sz w:val="21"/>
              </w:rPr>
              <w:t>(3)自主生活能力完全丧失，无法独立完成六项基本日常生活活动中的三项</w:t>
            </w:r>
          </w:p>
        </w:tc>
      </w:tr>
    </w:tbl>
    <w:p>
      <w:pPr>
        <w:pStyle w:val="BodyText"/>
        <w:spacing w:before="44"/>
        <w:ind w:left="2996"/>
      </w:pPr>
      <w:r>
        <w:rPr/>
        <w:t>或三项以上。</w:t>
      </w:r>
    </w:p>
    <w:p>
      <w:pPr>
        <w:pStyle w:val="ListParagraph"/>
        <w:numPr>
          <w:ilvl w:val="2"/>
          <w:numId w:val="5"/>
        </w:numPr>
        <w:tabs>
          <w:tab w:pos="1035" w:val="left" w:leader="none"/>
          <w:tab w:pos="1036" w:val="left" w:leader="none"/>
          <w:tab w:pos="2680" w:val="left" w:leader="none"/>
        </w:tabs>
        <w:spacing w:line="264" w:lineRule="auto" w:before="124" w:after="0"/>
        <w:ind w:left="2680" w:right="152" w:hanging="2519"/>
        <w:jc w:val="left"/>
        <w:rPr>
          <w:sz w:val="21"/>
        </w:rPr>
      </w:pPr>
      <w:r>
        <w:rPr>
          <w:rFonts w:ascii="微软雅黑" w:eastAsia="微软雅黑"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6"/>
          <w:sz w:val="21"/>
        </w:rPr>
        <w:t> </w:t>
      </w:r>
      <w:r>
        <w:rPr>
          <w:sz w:val="21"/>
        </w:rPr>
        <w:t>500</w:t>
      </w:r>
      <w:r>
        <w:rPr>
          <w:spacing w:val="-16"/>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10"/>
          <w:sz w:val="21"/>
        </w:rPr>
        <w:t>，</w:t>
      </w:r>
      <w:r>
        <w:rPr>
          <w:sz w:val="21"/>
        </w:rPr>
        <w:t>平均听阈大于</w:t>
      </w:r>
      <w:r>
        <w:rPr>
          <w:spacing w:val="-59"/>
          <w:sz w:val="21"/>
        </w:rPr>
        <w:t> </w:t>
      </w:r>
      <w:r>
        <w:rPr>
          <w:sz w:val="21"/>
        </w:rPr>
        <w:t>90</w:t>
      </w:r>
      <w:r>
        <w:rPr>
          <w:spacing w:val="-59"/>
          <w:sz w:val="21"/>
        </w:rPr>
        <w:t> </w:t>
      </w:r>
      <w:r>
        <w:rPr>
          <w:sz w:val="21"/>
        </w:rPr>
        <w:t>分贝</w:t>
      </w:r>
      <w:r>
        <w:rPr>
          <w:spacing w:val="-10"/>
          <w:sz w:val="21"/>
        </w:rPr>
        <w:t>，</w:t>
      </w:r>
      <w:r>
        <w:rPr>
          <w:sz w:val="21"/>
        </w:rPr>
        <w:t>且经纯音听力测试、声导抗检测或听觉诱发电位检测等证实。</w:t>
      </w:r>
    </w:p>
    <w:p>
      <w:pPr>
        <w:pStyle w:val="BodyText"/>
        <w:spacing w:line="320" w:lineRule="exact" w:before="12"/>
        <w:ind w:left="2680" w:right="209"/>
      </w:pPr>
      <w:r>
        <w:rPr/>
        <w:t>申请理赔时，被保险人年龄必须在 3 </w:t>
      </w:r>
      <w:r>
        <w:rPr>
          <w:rFonts w:ascii="微软雅黑" w:eastAsia="微软雅黑" w:hint="eastAsia"/>
          <w:b/>
        </w:rPr>
        <w:t>周岁</w:t>
      </w:r>
      <w:r>
        <w:rPr/>
        <w:t>以上，并且须提供理赔当时的听力丧失诊断及检查证据。</w:t>
      </w:r>
    </w:p>
    <w:p>
      <w:pPr>
        <w:pStyle w:val="ListParagraph"/>
        <w:numPr>
          <w:ilvl w:val="2"/>
          <w:numId w:val="5"/>
        </w:numPr>
        <w:tabs>
          <w:tab w:pos="1035" w:val="left" w:leader="none"/>
          <w:tab w:pos="1036" w:val="left" w:leader="none"/>
          <w:tab w:pos="2680" w:val="left" w:leader="none"/>
        </w:tabs>
        <w:spacing w:line="254" w:lineRule="auto" w:before="90" w:after="0"/>
        <w:ind w:left="2680" w:right="251" w:hanging="2519"/>
        <w:jc w:val="left"/>
        <w:rPr>
          <w:sz w:val="21"/>
        </w:rPr>
      </w:pPr>
      <w:r>
        <w:rPr>
          <w:rFonts w:ascii="微软雅黑" w:eastAsia="微软雅黑" w:hint="eastAsia"/>
          <w:sz w:val="21"/>
        </w:rPr>
        <w:t>双目失明</w:t>
        <w:tab/>
      </w:r>
      <w:r>
        <w:rPr>
          <w:sz w:val="21"/>
        </w:rPr>
        <w:t>指因疾病或意外伤害导致双眼视力永久不可逆性丧失，双眼中较好眼须满 足下列至少一项条件：</w:t>
      </w:r>
    </w:p>
    <w:p>
      <w:pPr>
        <w:pStyle w:val="BodyText"/>
        <w:spacing w:before="32"/>
        <w:ind w:left="2680"/>
      </w:pPr>
      <w:r>
        <w:rPr/>
        <w:t>(1)眼球缺失或摘除；</w:t>
      </w:r>
    </w:p>
    <w:p>
      <w:pPr>
        <w:pStyle w:val="BodyText"/>
        <w:spacing w:line="280" w:lineRule="auto" w:before="45"/>
        <w:ind w:left="2996" w:right="255" w:hanging="316"/>
      </w:pPr>
      <w:r>
        <w:rPr/>
        <w:t>(2)</w:t>
      </w:r>
      <w:r>
        <w:rPr>
          <w:spacing w:val="-8"/>
        </w:rPr>
        <w:t>矫正视力低于 0.02（</w:t>
      </w:r>
      <w:r>
        <w:rPr>
          <w:spacing w:val="-4"/>
        </w:rPr>
        <w:t>采用国际标准视力表，如果使用其他视力表应进行换算</w:t>
      </w:r>
      <w:r>
        <w:rPr>
          <w:spacing w:val="-105"/>
        </w:rPr>
        <w:t>）</w:t>
      </w:r>
      <w:r>
        <w:rPr/>
        <w:t>；</w:t>
      </w:r>
    </w:p>
    <w:p>
      <w:pPr>
        <w:pStyle w:val="BodyText"/>
        <w:spacing w:before="8"/>
        <w:ind w:left="2680"/>
      </w:pPr>
      <w:r>
        <w:rPr/>
        <w:t>(3)视野半径小于 5 度。</w:t>
      </w:r>
    </w:p>
    <w:p>
      <w:pPr>
        <w:pStyle w:val="BodyText"/>
        <w:spacing w:before="45"/>
        <w:ind w:left="2680"/>
      </w:pPr>
      <w:r>
        <w:rPr/>
        <w:t>申请理赔时，被保险人年龄必须在 3 周岁以上，并且须提供理赔当时的视</w:t>
      </w:r>
    </w:p>
    <w:p>
      <w:pPr>
        <w:spacing w:after="0"/>
        <w:sectPr>
          <w:pgSz w:w="11910" w:h="16840"/>
          <w:pgMar w:top="1420" w:bottom="280" w:left="1080" w:right="1080"/>
        </w:sectPr>
      </w:pPr>
    </w:p>
    <w:p>
      <w:pPr>
        <w:pStyle w:val="BodyText"/>
        <w:spacing w:before="8"/>
        <w:ind w:left="2620"/>
      </w:pPr>
      <w:r>
        <w:rPr/>
        <w:t>力丧失诊断及检查证据。</w:t>
      </w:r>
    </w:p>
    <w:p>
      <w:pPr>
        <w:pStyle w:val="ListParagraph"/>
        <w:numPr>
          <w:ilvl w:val="2"/>
          <w:numId w:val="5"/>
        </w:numPr>
        <w:tabs>
          <w:tab w:pos="976" w:val="left" w:leader="none"/>
          <w:tab w:pos="2620" w:val="left" w:leader="none"/>
        </w:tabs>
        <w:spacing w:line="264" w:lineRule="auto" w:before="124" w:after="0"/>
        <w:ind w:left="2620" w:right="111" w:hanging="2519"/>
        <w:jc w:val="both"/>
        <w:rPr>
          <w:sz w:val="21"/>
        </w:rPr>
      </w:pPr>
      <w:r>
        <w:rPr>
          <w:rFonts w:ascii="微软雅黑" w:eastAsia="微软雅黑" w:hint="eastAsia"/>
          <w:sz w:val="21"/>
        </w:rPr>
        <w:t>瘫痪</w:t>
        <w:tab/>
      </w:r>
      <w:r>
        <w:rPr>
          <w:sz w:val="21"/>
        </w:rPr>
        <w:t>指因疾病或意外伤害导致两肢或两肢以上肢体机能永久完全丧失。肢体机 能永久完全丧失，指疾病确诊</w:t>
      </w:r>
      <w:r>
        <w:rPr>
          <w:spacing w:val="-31"/>
          <w:sz w:val="21"/>
        </w:rPr>
        <w:t> </w:t>
      </w:r>
      <w:r>
        <w:rPr>
          <w:sz w:val="21"/>
        </w:rPr>
        <w:t>180</w:t>
      </w:r>
      <w:r>
        <w:rPr>
          <w:spacing w:val="-32"/>
          <w:sz w:val="21"/>
        </w:rPr>
        <w:t> </w:t>
      </w:r>
      <w:r>
        <w:rPr>
          <w:sz w:val="21"/>
        </w:rPr>
        <w:t>天后或意外伤害发生</w:t>
      </w:r>
      <w:r>
        <w:rPr>
          <w:spacing w:val="-31"/>
          <w:sz w:val="21"/>
        </w:rPr>
        <w:t> </w:t>
      </w:r>
      <w:r>
        <w:rPr>
          <w:sz w:val="21"/>
        </w:rPr>
        <w:t>180</w:t>
      </w:r>
      <w:r>
        <w:rPr>
          <w:spacing w:val="-32"/>
          <w:sz w:val="21"/>
        </w:rPr>
        <w:t> </w:t>
      </w:r>
      <w:r>
        <w:rPr>
          <w:sz w:val="21"/>
        </w:rPr>
        <w:t>天后，每肢三大关节中的两大关节仍然完全僵硬，或不能随意识活动。</w:t>
      </w:r>
    </w:p>
    <w:p>
      <w:pPr>
        <w:pStyle w:val="ListParagraph"/>
        <w:numPr>
          <w:ilvl w:val="2"/>
          <w:numId w:val="5"/>
        </w:numPr>
        <w:tabs>
          <w:tab w:pos="975" w:val="left" w:leader="none"/>
          <w:tab w:pos="976" w:val="left" w:leader="none"/>
          <w:tab w:pos="2620" w:val="left" w:leader="none"/>
        </w:tabs>
        <w:spacing w:line="273" w:lineRule="auto" w:before="103" w:after="0"/>
        <w:ind w:left="2620" w:right="111" w:hanging="2519"/>
        <w:jc w:val="left"/>
        <w:rPr>
          <w:sz w:val="21"/>
        </w:rPr>
      </w:pPr>
      <w:r>
        <w:rPr>
          <w:rFonts w:ascii="微软雅黑" w:eastAsia="微软雅黑" w:hint="eastAsia"/>
          <w:sz w:val="21"/>
        </w:rPr>
        <w:t>严重脑损伤</w:t>
        <w:tab/>
      </w:r>
      <w:r>
        <w:rPr>
          <w:sz w:val="21"/>
        </w:rPr>
        <w:t>指因头部遭受机械性外力，引起脑重要部位损伤，导致神经系统永久性的 </w:t>
      </w:r>
      <w:r>
        <w:rPr>
          <w:spacing w:val="2"/>
          <w:sz w:val="21"/>
        </w:rPr>
        <w:t>功</w:t>
      </w:r>
      <w:r>
        <w:rPr>
          <w:spacing w:val="1"/>
          <w:sz w:val="21"/>
        </w:rPr>
        <w:t>能障</w:t>
      </w:r>
      <w:r>
        <w:rPr>
          <w:spacing w:val="2"/>
          <w:sz w:val="21"/>
        </w:rPr>
        <w:t>碍</w:t>
      </w:r>
      <w:r>
        <w:rPr>
          <w:spacing w:val="1"/>
          <w:sz w:val="21"/>
        </w:rPr>
        <w:t>。</w:t>
      </w:r>
      <w:r>
        <w:rPr>
          <w:spacing w:val="2"/>
          <w:sz w:val="21"/>
        </w:rPr>
        <w:t>须</w:t>
      </w:r>
      <w:r>
        <w:rPr>
          <w:spacing w:val="1"/>
          <w:sz w:val="21"/>
        </w:rPr>
        <w:t>由头</w:t>
      </w:r>
      <w:r>
        <w:rPr>
          <w:spacing w:val="2"/>
          <w:sz w:val="21"/>
        </w:rPr>
        <w:t>颅</w:t>
      </w:r>
      <w:r>
        <w:rPr>
          <w:spacing w:val="1"/>
          <w:sz w:val="21"/>
        </w:rPr>
        <w:t>断</w:t>
      </w:r>
      <w:r>
        <w:rPr>
          <w:spacing w:val="2"/>
          <w:sz w:val="21"/>
        </w:rPr>
        <w:t>层</w:t>
      </w:r>
      <w:r>
        <w:rPr>
          <w:spacing w:val="1"/>
          <w:sz w:val="21"/>
        </w:rPr>
        <w:t>扫描</w:t>
      </w:r>
      <w:r>
        <w:rPr>
          <w:spacing w:val="2"/>
          <w:sz w:val="21"/>
        </w:rPr>
        <w:t>（</w:t>
      </w:r>
      <w:r>
        <w:rPr>
          <w:sz w:val="21"/>
        </w:rPr>
        <w:t>C</w:t>
      </w:r>
      <w:r>
        <w:rPr>
          <w:spacing w:val="0"/>
          <w:sz w:val="21"/>
        </w:rPr>
        <w:t>T</w:t>
      </w:r>
      <w:r>
        <w:rPr>
          <w:spacing w:val="-104"/>
          <w:sz w:val="21"/>
        </w:rPr>
        <w:t>）</w:t>
      </w:r>
      <w:r>
        <w:rPr>
          <w:spacing w:val="2"/>
          <w:sz w:val="21"/>
        </w:rPr>
        <w:t>、</w:t>
      </w:r>
      <w:r>
        <w:rPr>
          <w:spacing w:val="1"/>
          <w:sz w:val="21"/>
        </w:rPr>
        <w:t>核磁</w:t>
      </w:r>
      <w:r>
        <w:rPr>
          <w:spacing w:val="2"/>
          <w:sz w:val="21"/>
        </w:rPr>
        <w:t>共</w:t>
      </w:r>
      <w:r>
        <w:rPr>
          <w:spacing w:val="1"/>
          <w:sz w:val="21"/>
        </w:rPr>
        <w:t>振</w:t>
      </w:r>
      <w:r>
        <w:rPr>
          <w:spacing w:val="2"/>
          <w:sz w:val="21"/>
        </w:rPr>
        <w:t>检</w:t>
      </w:r>
      <w:r>
        <w:rPr>
          <w:spacing w:val="1"/>
          <w:sz w:val="21"/>
        </w:rPr>
        <w:t>查（</w:t>
      </w:r>
      <w:r>
        <w:rPr>
          <w:sz w:val="21"/>
        </w:rPr>
        <w:t>MR</w:t>
      </w:r>
      <w:r>
        <w:rPr>
          <w:spacing w:val="0"/>
          <w:sz w:val="21"/>
        </w:rPr>
        <w:t>I</w:t>
      </w:r>
      <w:r>
        <w:rPr>
          <w:spacing w:val="1"/>
          <w:sz w:val="21"/>
        </w:rPr>
        <w:t>）</w:t>
      </w:r>
      <w:r>
        <w:rPr>
          <w:spacing w:val="2"/>
          <w:sz w:val="21"/>
        </w:rPr>
        <w:t>或</w:t>
      </w:r>
      <w:r>
        <w:rPr>
          <w:spacing w:val="1"/>
          <w:sz w:val="21"/>
        </w:rPr>
        <w:t>正电</w:t>
      </w:r>
      <w:r>
        <w:rPr>
          <w:spacing w:val="2"/>
          <w:sz w:val="21"/>
        </w:rPr>
        <w:t>子</w:t>
      </w:r>
      <w:r>
        <w:rPr>
          <w:spacing w:val="1"/>
          <w:sz w:val="21"/>
        </w:rPr>
        <w:t>发射</w:t>
      </w:r>
      <w:r>
        <w:rPr>
          <w:sz w:val="21"/>
        </w:rPr>
        <w:t>断层扫</w:t>
      </w:r>
      <w:r>
        <w:rPr>
          <w:spacing w:val="-5"/>
          <w:sz w:val="21"/>
        </w:rPr>
        <w:t>描</w:t>
      </w:r>
      <w:r>
        <w:rPr>
          <w:sz w:val="21"/>
        </w:rPr>
        <w:t>（PET）等影像学检查证实</w:t>
      </w:r>
      <w:r>
        <w:rPr>
          <w:spacing w:val="-5"/>
          <w:sz w:val="21"/>
        </w:rPr>
        <w:t>。</w:t>
      </w:r>
      <w:r>
        <w:rPr>
          <w:sz w:val="21"/>
        </w:rPr>
        <w:t>神经系统永久性的功能障碍</w:t>
      </w:r>
      <w:r>
        <w:rPr>
          <w:spacing w:val="-5"/>
          <w:sz w:val="21"/>
        </w:rPr>
        <w:t>，</w:t>
      </w:r>
      <w:r>
        <w:rPr>
          <w:sz w:val="21"/>
        </w:rPr>
        <w:t>指脑损伤         </w:t>
      </w:r>
      <w:r>
        <w:rPr>
          <w:spacing w:val="48"/>
          <w:sz w:val="21"/>
        </w:rPr>
        <w:t> </w:t>
      </w:r>
      <w:r>
        <w:rPr>
          <w:sz w:val="21"/>
        </w:rPr>
        <w:t>180         </w:t>
      </w:r>
      <w:r>
        <w:rPr>
          <w:spacing w:val="48"/>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80" w:lineRule="auto" w:before="15"/>
        <w:ind w:left="2936" w:right="70" w:hanging="316"/>
      </w:pPr>
      <w:r>
        <w:rPr/>
        <w:t>(3)自主生活能力完全丧失，无法独立完成六项基本日常生活活动中的三项或三项以上。</w:t>
      </w:r>
    </w:p>
    <w:p>
      <w:pPr>
        <w:pStyle w:val="ListParagraph"/>
        <w:numPr>
          <w:ilvl w:val="2"/>
          <w:numId w:val="5"/>
        </w:numPr>
        <w:tabs>
          <w:tab w:pos="975" w:val="left" w:leader="none"/>
          <w:tab w:pos="976" w:val="left" w:leader="none"/>
          <w:tab w:pos="2620" w:val="left" w:leader="none"/>
        </w:tabs>
        <w:spacing w:line="252" w:lineRule="auto" w:before="88" w:after="0"/>
        <w:ind w:left="2620" w:right="116" w:hanging="2518"/>
        <w:jc w:val="left"/>
        <w:rPr>
          <w:sz w:val="21"/>
        </w:rPr>
      </w:pPr>
      <w:r>
        <w:rPr>
          <w:rFonts w:ascii="微软雅黑" w:hAnsi="微软雅黑" w:eastAsia="微软雅黑" w:hint="eastAsia"/>
          <w:sz w:val="21"/>
        </w:rPr>
        <w:t>严重Ⅲ度烧伤</w:t>
        <w:tab/>
      </w:r>
      <w:r>
        <w:rPr>
          <w:sz w:val="21"/>
        </w:rPr>
        <w:t>指烧伤程度为Ⅲ度</w:t>
      </w:r>
      <w:r>
        <w:rPr>
          <w:spacing w:val="-20"/>
          <w:sz w:val="21"/>
        </w:rPr>
        <w:t>，</w:t>
      </w:r>
      <w:r>
        <w:rPr>
          <w:sz w:val="21"/>
        </w:rPr>
        <w:t>且Ⅲ度烧伤的面积达到全身体表面积的</w:t>
      </w:r>
      <w:r>
        <w:rPr>
          <w:spacing w:val="-69"/>
          <w:sz w:val="21"/>
        </w:rPr>
        <w:t> </w:t>
      </w:r>
      <w:r>
        <w:rPr>
          <w:sz w:val="21"/>
        </w:rPr>
        <w:t>20％或</w:t>
      </w:r>
      <w:r>
        <w:rPr>
          <w:spacing w:val="-69"/>
          <w:sz w:val="21"/>
        </w:rPr>
        <w:t> </w:t>
      </w:r>
      <w:r>
        <w:rPr>
          <w:sz w:val="21"/>
        </w:rPr>
        <w:t>20％以上。体表面积根据《中国新九分法》计算。</w:t>
      </w:r>
    </w:p>
    <w:p>
      <w:pPr>
        <w:spacing w:after="0" w:line="252" w:lineRule="auto"/>
        <w:jc w:val="left"/>
        <w:rPr>
          <w:sz w:val="21"/>
        </w:rPr>
        <w:sectPr>
          <w:pgSz w:w="11910" w:h="16840"/>
          <w:pgMar w:top="1420" w:bottom="280" w:left="1140" w:right="1220"/>
        </w:sectPr>
      </w:pPr>
    </w:p>
    <w:p>
      <w:pPr>
        <w:pStyle w:val="ListParagraph"/>
        <w:numPr>
          <w:ilvl w:val="2"/>
          <w:numId w:val="5"/>
        </w:numPr>
        <w:tabs>
          <w:tab w:pos="975" w:val="left" w:leader="none"/>
          <w:tab w:pos="976" w:val="left" w:leader="none"/>
        </w:tabs>
        <w:spacing w:line="342" w:lineRule="exact" w:before="113" w:after="0"/>
        <w:ind w:left="975" w:right="0" w:hanging="873"/>
        <w:jc w:val="left"/>
        <w:rPr>
          <w:rFonts w:ascii="微软雅黑" w:eastAsia="微软雅黑" w:hint="eastAsia"/>
          <w:sz w:val="21"/>
        </w:rPr>
      </w:pPr>
      <w:r>
        <w:rPr>
          <w:rFonts w:ascii="微软雅黑" w:eastAsia="微软雅黑" w:hint="eastAsia"/>
          <w:sz w:val="21"/>
        </w:rPr>
        <w:t>严重原发性肺</w:t>
      </w:r>
    </w:p>
    <w:p>
      <w:pPr>
        <w:pStyle w:val="BodyText"/>
        <w:spacing w:line="342" w:lineRule="exact"/>
        <w:ind w:left="975"/>
        <w:rPr>
          <w:rFonts w:ascii="微软雅黑" w:eastAsia="微软雅黑" w:hint="eastAsia"/>
        </w:rPr>
      </w:pPr>
      <w:r>
        <w:rPr>
          <w:rFonts w:ascii="微软雅黑" w:eastAsia="微软雅黑" w:hint="eastAsia"/>
        </w:rPr>
        <w:t>动脉高压</w:t>
      </w:r>
    </w:p>
    <w:p>
      <w:pPr>
        <w:pStyle w:val="BodyText"/>
        <w:spacing w:before="14"/>
        <w:rPr>
          <w:rFonts w:ascii="微软雅黑"/>
          <w:sz w:val="26"/>
        </w:rPr>
      </w:pPr>
    </w:p>
    <w:p>
      <w:pPr>
        <w:pStyle w:val="ListParagraph"/>
        <w:numPr>
          <w:ilvl w:val="2"/>
          <w:numId w:val="5"/>
        </w:numPr>
        <w:tabs>
          <w:tab w:pos="975" w:val="left" w:leader="none"/>
          <w:tab w:pos="976" w:val="left" w:leader="none"/>
        </w:tabs>
        <w:spacing w:line="211" w:lineRule="auto" w:before="1" w:after="0"/>
        <w:ind w:left="975" w:right="0" w:hanging="873"/>
        <w:jc w:val="left"/>
        <w:rPr>
          <w:rFonts w:ascii="微软雅黑" w:eastAsia="微软雅黑" w:hint="eastAsia"/>
          <w:sz w:val="21"/>
        </w:rPr>
      </w:pPr>
      <w:r>
        <w:rPr>
          <w:rFonts w:ascii="微软雅黑" w:eastAsia="微软雅黑" w:hint="eastAsia"/>
          <w:sz w:val="21"/>
        </w:rPr>
        <w:t>严重运动神经元病</w:t>
      </w:r>
    </w:p>
    <w:p>
      <w:pPr>
        <w:pStyle w:val="BodyText"/>
        <w:rPr>
          <w:rFonts w:ascii="微软雅黑"/>
          <w:sz w:val="28"/>
        </w:rPr>
      </w:pPr>
    </w:p>
    <w:p>
      <w:pPr>
        <w:pStyle w:val="BodyText"/>
        <w:spacing w:before="14"/>
        <w:rPr>
          <w:rFonts w:ascii="微软雅黑"/>
          <w:sz w:val="14"/>
        </w:rPr>
      </w:pPr>
    </w:p>
    <w:p>
      <w:pPr>
        <w:pStyle w:val="ListParagraph"/>
        <w:numPr>
          <w:ilvl w:val="2"/>
          <w:numId w:val="5"/>
        </w:numPr>
        <w:tabs>
          <w:tab w:pos="975" w:val="left" w:leader="none"/>
          <w:tab w:pos="976" w:val="left" w:leader="none"/>
        </w:tabs>
        <w:spacing w:line="341" w:lineRule="exact" w:before="1" w:after="0"/>
        <w:ind w:left="975" w:right="0" w:hanging="873"/>
        <w:jc w:val="left"/>
        <w:rPr>
          <w:rFonts w:ascii="微软雅黑" w:eastAsia="微软雅黑" w:hint="eastAsia"/>
          <w:sz w:val="21"/>
        </w:rPr>
      </w:pPr>
      <w:r>
        <w:rPr>
          <w:rFonts w:ascii="微软雅黑" w:eastAsia="微软雅黑" w:hint="eastAsia"/>
          <w:sz w:val="21"/>
        </w:rPr>
        <w:t>重型再生障碍</w:t>
      </w:r>
    </w:p>
    <w:p>
      <w:pPr>
        <w:pStyle w:val="BodyText"/>
        <w:spacing w:line="341" w:lineRule="exact"/>
        <w:ind w:left="975"/>
        <w:rPr>
          <w:rFonts w:ascii="微软雅黑" w:eastAsia="微软雅黑" w:hint="eastAsia"/>
        </w:rPr>
      </w:pPr>
      <w:r>
        <w:rPr>
          <w:rFonts w:ascii="微软雅黑" w:eastAsia="微软雅黑" w:hint="eastAsia"/>
        </w:rPr>
        <w:t>性贫血</w:t>
      </w:r>
    </w:p>
    <w:p>
      <w:pPr>
        <w:pStyle w:val="BodyText"/>
        <w:spacing w:line="280" w:lineRule="auto" w:before="176"/>
        <w:ind w:left="102" w:right="111"/>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78" w:lineRule="auto" w:before="151"/>
        <w:ind w:left="102" w:right="11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78" w:lineRule="auto" w:before="153"/>
        <w:ind w:left="102" w:right="111"/>
      </w:pPr>
      <w:r>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pStyle w:val="BodyText"/>
        <w:spacing w:before="10"/>
        <w:ind w:left="417"/>
      </w:pPr>
      <w:r>
        <w:rPr/>
        <w:t>①中性粒细胞绝对值≤0.5×10</w:t>
      </w:r>
      <w:r>
        <w:rPr>
          <w:position w:val="11"/>
          <w:sz w:val="11"/>
        </w:rPr>
        <w:t>9</w:t>
      </w:r>
      <w:r>
        <w:rPr/>
        <w:t>/L ；</w:t>
      </w:r>
    </w:p>
    <w:p>
      <w:pPr>
        <w:pStyle w:val="BodyText"/>
        <w:spacing w:before="40"/>
        <w:ind w:left="417"/>
      </w:pPr>
      <w:r>
        <w:rPr>
          <w:position w:val="1"/>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17"/>
      </w:pPr>
      <w:r>
        <w:rPr/>
        <w:t>③血小板绝对值≤20×10</w:t>
      </w:r>
      <w:r>
        <w:rPr>
          <w:position w:val="11"/>
          <w:sz w:val="11"/>
        </w:rPr>
        <w:t>9</w:t>
      </w:r>
      <w:r>
        <w:rPr/>
        <w:t>/L。</w:t>
      </w:r>
    </w:p>
    <w:p>
      <w:pPr>
        <w:spacing w:after="0"/>
        <w:sectPr>
          <w:type w:val="continuous"/>
          <w:pgSz w:w="11910" w:h="16840"/>
          <w:pgMar w:top="1260" w:bottom="280" w:left="1140" w:right="1220"/>
          <w:cols w:num="2" w:equalWidth="0">
            <w:col w:w="2236" w:space="283"/>
            <w:col w:w="7031"/>
          </w:cols>
        </w:sectPr>
      </w:pPr>
    </w:p>
    <w:p>
      <w:pPr>
        <w:pStyle w:val="BodyText"/>
        <w:spacing w:before="2"/>
        <w:rPr>
          <w:sz w:val="8"/>
        </w:rPr>
      </w:pPr>
    </w:p>
    <w:p>
      <w:pPr>
        <w:pStyle w:val="ListParagraph"/>
        <w:numPr>
          <w:ilvl w:val="2"/>
          <w:numId w:val="5"/>
        </w:numPr>
        <w:tabs>
          <w:tab w:pos="976" w:val="left" w:leader="none"/>
        </w:tabs>
        <w:spacing w:line="264" w:lineRule="auto" w:before="17" w:after="0"/>
        <w:ind w:left="2620" w:right="111" w:hanging="2518"/>
        <w:jc w:val="both"/>
        <w:rPr>
          <w:sz w:val="21"/>
        </w:rPr>
      </w:pPr>
      <w:r>
        <w:rPr>
          <w:rFonts w:ascii="微软雅黑" w:eastAsia="微软雅黑" w:hint="eastAsia"/>
          <w:spacing w:val="2"/>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24"/>
        <w:ind w:left="2620"/>
      </w:pPr>
      <w:r>
        <w:rPr/>
        <w:t>动脉内血管成形术不在保障范围内。</w:t>
      </w:r>
    </w:p>
    <w:p>
      <w:pPr>
        <w:pStyle w:val="ListParagraph"/>
        <w:numPr>
          <w:ilvl w:val="2"/>
          <w:numId w:val="5"/>
        </w:numPr>
        <w:tabs>
          <w:tab w:pos="976" w:val="left" w:leader="none"/>
        </w:tabs>
        <w:spacing w:line="264" w:lineRule="auto" w:before="124" w:after="0"/>
        <w:ind w:left="2620" w:right="111" w:hanging="2518"/>
        <w:jc w:val="both"/>
        <w:rPr>
          <w:sz w:val="21"/>
        </w:rPr>
      </w:pPr>
      <w:r>
        <w:rPr>
          <w:rFonts w:ascii="微软雅黑" w:eastAsia="微软雅黑" w:hint="eastAsia"/>
          <w:spacing w:val="0"/>
          <w:sz w:val="21"/>
        </w:rPr>
        <w:t>原发性心肌病     </w:t>
      </w:r>
      <w:r>
        <w:rPr>
          <w:sz w:val="21"/>
        </w:rPr>
        <w:t>指的是因心室功能受损而导致的体力活动受限并达到纽约心脏协会对心脏</w:t>
      </w:r>
      <w:r>
        <w:rPr>
          <w:spacing w:val="-2"/>
          <w:sz w:val="21"/>
        </w:rPr>
        <w:t>损害分类的心功能 </w:t>
      </w:r>
      <w:r>
        <w:rPr>
          <w:sz w:val="21"/>
        </w:rPr>
        <w:t>4</w:t>
      </w:r>
      <w:r>
        <w:rPr>
          <w:spacing w:val="-3"/>
          <w:sz w:val="21"/>
        </w:rPr>
        <w:t> 级，须提供特异性检查</w:t>
      </w:r>
      <w:r>
        <w:rPr>
          <w:sz w:val="21"/>
        </w:rPr>
        <w:t>（如心脏超声）的证据。这些</w:t>
      </w:r>
      <w:r>
        <w:rPr>
          <w:spacing w:val="-8"/>
          <w:sz w:val="21"/>
        </w:rPr>
        <w:t>病症必须有至少 </w:t>
      </w:r>
      <w:r>
        <w:rPr>
          <w:sz w:val="21"/>
        </w:rPr>
        <w:t>90</w:t>
      </w:r>
      <w:r>
        <w:rPr>
          <w:spacing w:val="-8"/>
          <w:sz w:val="21"/>
        </w:rPr>
        <w:t> 天的医疗记录。</w:t>
      </w:r>
    </w:p>
    <w:p>
      <w:pPr>
        <w:pStyle w:val="BodyText"/>
        <w:spacing w:before="24"/>
        <w:ind w:left="2620"/>
      </w:pPr>
      <w:r>
        <w:rPr/>
        <w:t>伴有酒精滥用性的心肌病不在保障范围内。</w:t>
      </w:r>
    </w:p>
    <w:p>
      <w:pPr>
        <w:pStyle w:val="ListParagraph"/>
        <w:numPr>
          <w:ilvl w:val="2"/>
          <w:numId w:val="5"/>
        </w:numPr>
        <w:tabs>
          <w:tab w:pos="975" w:val="left" w:leader="none"/>
          <w:tab w:pos="976" w:val="left" w:leader="none"/>
          <w:tab w:pos="2620" w:val="left" w:leader="none"/>
        </w:tabs>
        <w:spacing w:line="264" w:lineRule="auto" w:before="125" w:after="0"/>
        <w:ind w:left="2620" w:right="115" w:hanging="2518"/>
        <w:jc w:val="left"/>
        <w:rPr>
          <w:sz w:val="21"/>
        </w:rPr>
      </w:pPr>
      <w:r>
        <w:rPr>
          <w:rFonts w:ascii="微软雅黑" w:eastAsia="微软雅黑" w:hint="eastAsia"/>
          <w:sz w:val="21"/>
        </w:rPr>
        <w:t>多发性硬化症</w:t>
        <w:tab/>
      </w:r>
      <w:r>
        <w:rPr>
          <w:sz w:val="21"/>
        </w:rPr>
        <w:t>必须伴有典型的脱髓鞘症状和运动及感觉功能障碍的证据并有</w:t>
      </w:r>
      <w:r>
        <w:rPr>
          <w:spacing w:val="-10"/>
          <w:sz w:val="21"/>
        </w:rPr>
        <w:t> </w:t>
      </w:r>
      <w:r>
        <w:rPr>
          <w:sz w:val="21"/>
        </w:rPr>
        <w:t>MRI</w:t>
      </w:r>
      <w:r>
        <w:rPr>
          <w:spacing w:val="-10"/>
          <w:sz w:val="21"/>
        </w:rPr>
        <w:t> </w:t>
      </w:r>
      <w:r>
        <w:rPr>
          <w:sz w:val="21"/>
        </w:rPr>
        <w:t>检查的典型改变。须满足下列至少一项条件：                            (1)神经异常症状必须不间断地持续至少</w:t>
      </w:r>
      <w:r>
        <w:rPr>
          <w:spacing w:val="-63"/>
          <w:sz w:val="21"/>
        </w:rPr>
        <w:t> </w:t>
      </w:r>
      <w:r>
        <w:rPr>
          <w:sz w:val="21"/>
        </w:rPr>
        <w:t>180</w:t>
      </w:r>
      <w:r>
        <w:rPr>
          <w:spacing w:val="-63"/>
          <w:sz w:val="21"/>
        </w:rPr>
        <w:t> </w:t>
      </w:r>
      <w:r>
        <w:rPr>
          <w:sz w:val="21"/>
        </w:rPr>
        <w:t>天;</w:t>
      </w:r>
    </w:p>
    <w:p>
      <w:pPr>
        <w:spacing w:after="0" w:line="264" w:lineRule="auto"/>
        <w:jc w:val="left"/>
        <w:rPr>
          <w:sz w:val="21"/>
        </w:rPr>
        <w:sectPr>
          <w:type w:val="continuous"/>
          <w:pgSz w:w="11910" w:h="16840"/>
          <w:pgMar w:top="1260" w:bottom="280" w:left="1140" w:right="12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658"/>
        <w:gridCol w:w="7022"/>
      </w:tblGrid>
      <w:tr>
        <w:trPr>
          <w:trHeight w:val="264" w:hRule="atLeast"/>
        </w:trPr>
        <w:tc>
          <w:tcPr>
            <w:tcW w:w="2518" w:type="dxa"/>
            <w:gridSpan w:val="2"/>
            <w:vMerge w:val="restart"/>
          </w:tcPr>
          <w:p>
            <w:pPr>
              <w:pStyle w:val="TableParagraph"/>
              <w:rPr>
                <w:rFonts w:ascii="Times New Roman"/>
                <w:sz w:val="20"/>
              </w:rPr>
            </w:pPr>
          </w:p>
        </w:tc>
        <w:tc>
          <w:tcPr>
            <w:tcW w:w="7022" w:type="dxa"/>
          </w:tcPr>
          <w:p>
            <w:pPr>
              <w:pStyle w:val="TableParagraph"/>
              <w:spacing w:line="204" w:lineRule="exact"/>
              <w:ind w:left="108"/>
              <w:rPr>
                <w:sz w:val="21"/>
              </w:rPr>
            </w:pPr>
            <w:r>
              <w:rPr>
                <w:sz w:val="21"/>
              </w:rPr>
              <w:t>(2)有至少两次发作的临床记录且发作间隔至少 30 天;</w:t>
            </w:r>
          </w:p>
        </w:tc>
      </w:tr>
      <w:tr>
        <w:trPr>
          <w:trHeight w:val="368" w:hRule="atLeast"/>
        </w:trPr>
        <w:tc>
          <w:tcPr>
            <w:tcW w:w="2518" w:type="dxa"/>
            <w:gridSpan w:val="2"/>
            <w:vMerge/>
            <w:tcBorders>
              <w:top w:val="nil"/>
            </w:tcBorders>
          </w:tcPr>
          <w:p>
            <w:pPr>
              <w:rPr>
                <w:sz w:val="2"/>
                <w:szCs w:val="2"/>
              </w:rPr>
            </w:pPr>
          </w:p>
        </w:tc>
        <w:tc>
          <w:tcPr>
            <w:tcW w:w="7022" w:type="dxa"/>
          </w:tcPr>
          <w:p>
            <w:pPr>
              <w:pStyle w:val="TableParagraph"/>
              <w:spacing w:line="258" w:lineRule="exact"/>
              <w:ind w:left="108"/>
              <w:rPr>
                <w:sz w:val="21"/>
              </w:rPr>
            </w:pPr>
            <w:r>
              <w:rPr>
                <w:sz w:val="21"/>
              </w:rPr>
              <w:t>(3)</w:t>
            </w:r>
            <w:r>
              <w:rPr>
                <w:spacing w:val="-3"/>
                <w:sz w:val="21"/>
              </w:rPr>
              <w:t>至少有一次临床发作记录且有典型的脑脊液改变并伴 </w:t>
            </w:r>
            <w:r>
              <w:rPr>
                <w:sz w:val="21"/>
              </w:rPr>
              <w:t>MRI</w:t>
            </w:r>
            <w:r>
              <w:rPr>
                <w:spacing w:val="-12"/>
                <w:sz w:val="21"/>
              </w:rPr>
              <w:t> 的损伤表现。</w:t>
            </w:r>
          </w:p>
        </w:tc>
      </w:tr>
      <w:tr>
        <w:trPr>
          <w:trHeight w:val="426" w:hRule="atLeast"/>
        </w:trPr>
        <w:tc>
          <w:tcPr>
            <w:tcW w:w="860" w:type="dxa"/>
          </w:tcPr>
          <w:p>
            <w:pPr>
              <w:pStyle w:val="TableParagraph"/>
              <w:spacing w:before="76"/>
              <w:ind w:left="107"/>
              <w:rPr>
                <w:rFonts w:ascii="黑体"/>
                <w:sz w:val="21"/>
              </w:rPr>
            </w:pPr>
            <w:r>
              <w:rPr>
                <w:rFonts w:ascii="黑体"/>
                <w:sz w:val="21"/>
              </w:rPr>
              <w:t>7.1.20</w:t>
            </w:r>
          </w:p>
        </w:tc>
        <w:tc>
          <w:tcPr>
            <w:tcW w:w="1658" w:type="dxa"/>
          </w:tcPr>
          <w:p>
            <w:pPr>
              <w:pStyle w:val="TableParagraph"/>
              <w:spacing w:before="14"/>
              <w:ind w:left="121"/>
              <w:rPr>
                <w:rFonts w:ascii="微软雅黑" w:eastAsia="微软雅黑" w:hint="eastAsia"/>
                <w:sz w:val="21"/>
              </w:rPr>
            </w:pPr>
            <w:r>
              <w:rPr>
                <w:rFonts w:ascii="微软雅黑" w:eastAsia="微软雅黑" w:hint="eastAsia"/>
                <w:sz w:val="21"/>
              </w:rPr>
              <w:t>终末期肺病</w:t>
            </w:r>
          </w:p>
        </w:tc>
        <w:tc>
          <w:tcPr>
            <w:tcW w:w="7022" w:type="dxa"/>
          </w:tcPr>
          <w:p>
            <w:pPr>
              <w:pStyle w:val="TableParagraph"/>
              <w:spacing w:before="76"/>
              <w:ind w:left="108"/>
              <w:rPr>
                <w:sz w:val="21"/>
              </w:rPr>
            </w:pPr>
            <w:r>
              <w:rPr>
                <w:sz w:val="21"/>
              </w:rPr>
              <w:t>指患有终末期肺病而出现慢性呼吸功能衰竭。须满足下列全部条件：</w:t>
            </w:r>
          </w:p>
        </w:tc>
      </w:tr>
      <w:tr>
        <w:trPr>
          <w:trHeight w:val="306"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45" w:lineRule="exact"/>
              <w:ind w:left="108"/>
              <w:rPr>
                <w:sz w:val="21"/>
              </w:rPr>
            </w:pPr>
            <w:r>
              <w:rPr>
                <w:sz w:val="21"/>
              </w:rPr>
              <w:t>(1)肺功能测试其 FEV1 持续低于 1 升；</w:t>
            </w:r>
          </w:p>
        </w:tc>
      </w:tr>
      <w:tr>
        <w:trPr>
          <w:trHeight w:val="319"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(2)病人血氧不足必须持续地进行输氧治疗；</w:t>
            </w:r>
          </w:p>
        </w:tc>
      </w:tr>
      <w:tr>
        <w:trPr>
          <w:trHeight w:val="319"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8" w:lineRule="exact"/>
              <w:ind w:left="108"/>
              <w:rPr>
                <w:sz w:val="21"/>
              </w:rPr>
            </w:pPr>
            <w:r>
              <w:rPr>
                <w:sz w:val="21"/>
              </w:rPr>
              <w:t>(3)动脉血气分析氧分压等于或低于 55mmHg；</w:t>
            </w:r>
          </w:p>
        </w:tc>
      </w:tr>
      <w:tr>
        <w:trPr>
          <w:trHeight w:val="369"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(4)休息时出现呼吸困难。</w:t>
            </w:r>
          </w:p>
        </w:tc>
      </w:tr>
      <w:tr>
        <w:trPr>
          <w:trHeight w:val="1137" w:hRule="atLeast"/>
        </w:trPr>
        <w:tc>
          <w:tcPr>
            <w:tcW w:w="860" w:type="dxa"/>
          </w:tcPr>
          <w:p>
            <w:pPr>
              <w:pStyle w:val="TableParagraph"/>
              <w:spacing w:before="76"/>
              <w:ind w:left="107"/>
              <w:rPr>
                <w:rFonts w:ascii="黑体"/>
                <w:sz w:val="21"/>
              </w:rPr>
            </w:pPr>
            <w:r>
              <w:rPr>
                <w:rFonts w:ascii="黑体"/>
                <w:sz w:val="21"/>
              </w:rPr>
              <w:t>7.1.21</w:t>
            </w:r>
          </w:p>
        </w:tc>
        <w:tc>
          <w:tcPr>
            <w:tcW w:w="1658" w:type="dxa"/>
          </w:tcPr>
          <w:p>
            <w:pPr>
              <w:pStyle w:val="TableParagraph"/>
              <w:spacing w:line="211" w:lineRule="auto" w:before="57"/>
              <w:ind w:left="121" w:right="105"/>
              <w:rPr>
                <w:rFonts w:ascii="微软雅黑" w:eastAsia="微软雅黑" w:hint="eastAsia"/>
                <w:sz w:val="21"/>
              </w:rPr>
            </w:pPr>
            <w:r>
              <w:rPr>
                <w:rFonts w:ascii="微软雅黑" w:eastAsia="微软雅黑" w:hint="eastAsia"/>
                <w:sz w:val="21"/>
              </w:rPr>
              <w:t>大脑去皮层综</w:t>
            </w:r>
            <w:r>
              <w:rPr>
                <w:rFonts w:ascii="微软雅黑" w:eastAsia="微软雅黑" w:hint="eastAsia"/>
                <w:spacing w:val="-21"/>
                <w:sz w:val="21"/>
              </w:rPr>
              <w:t>合征</w:t>
            </w:r>
            <w:r>
              <w:rPr>
                <w:rFonts w:ascii="微软雅黑" w:eastAsia="微软雅黑" w:hint="eastAsia"/>
                <w:sz w:val="21"/>
              </w:rPr>
              <w:t>（持续植物人状态）</w:t>
            </w:r>
          </w:p>
        </w:tc>
        <w:tc>
          <w:tcPr>
            <w:tcW w:w="7022" w:type="dxa"/>
          </w:tcPr>
          <w:p>
            <w:pPr>
              <w:pStyle w:val="TableParagraph"/>
              <w:spacing w:line="278" w:lineRule="auto" w:before="76"/>
              <w:ind w:left="108" w:right="106"/>
              <w:jc w:val="both"/>
              <w:rPr>
                <w:sz w:val="21"/>
              </w:rPr>
            </w:pPr>
            <w:r>
              <w:rPr>
                <w:spacing w:val="-4"/>
                <w:sz w:val="21"/>
              </w:rPr>
              <w:t>是指大脑半球皮层广泛性损害而脑干功能相对保留，这种状态需持续 </w:t>
            </w:r>
            <w:r>
              <w:rPr>
                <w:sz w:val="21"/>
              </w:rPr>
              <w:t>30</w:t>
            </w:r>
            <w:r>
              <w:rPr>
                <w:spacing w:val="-32"/>
                <w:sz w:val="21"/>
              </w:rPr>
              <w:t> 天</w:t>
            </w:r>
            <w:r>
              <w:rPr>
                <w:spacing w:val="-33"/>
                <w:sz w:val="21"/>
              </w:rPr>
              <w:t>以上。此病必须提供脑部 </w:t>
            </w:r>
            <w:r>
              <w:rPr>
                <w:sz w:val="21"/>
              </w:rPr>
              <w:t>CT、MRI</w:t>
            </w:r>
            <w:r>
              <w:rPr>
                <w:spacing w:val="-26"/>
                <w:sz w:val="21"/>
              </w:rPr>
              <w:t> 或 </w:t>
            </w:r>
            <w:r>
              <w:rPr>
                <w:sz w:val="21"/>
              </w:rPr>
              <w:t>PET</w:t>
            </w:r>
            <w:r>
              <w:rPr>
                <w:spacing w:val="-7"/>
                <w:sz w:val="21"/>
              </w:rPr>
              <w:t> 检查确认大脑皮层广泛受损的证据。</w:t>
            </w:r>
          </w:p>
        </w:tc>
      </w:tr>
      <w:tr>
        <w:trPr>
          <w:trHeight w:val="377" w:hRule="atLeast"/>
        </w:trPr>
        <w:tc>
          <w:tcPr>
            <w:tcW w:w="860" w:type="dxa"/>
          </w:tcPr>
          <w:p>
            <w:pPr>
              <w:pStyle w:val="TableParagraph"/>
              <w:spacing w:before="41"/>
              <w:ind w:left="107"/>
              <w:rPr>
                <w:rFonts w:ascii="黑体"/>
                <w:sz w:val="21"/>
              </w:rPr>
            </w:pPr>
            <w:r>
              <w:rPr>
                <w:rFonts w:ascii="黑体"/>
                <w:sz w:val="21"/>
              </w:rPr>
              <w:t>7.2</w:t>
            </w:r>
          </w:p>
        </w:tc>
        <w:tc>
          <w:tcPr>
            <w:tcW w:w="1658" w:type="dxa"/>
          </w:tcPr>
          <w:p>
            <w:pPr>
              <w:pStyle w:val="TableParagraph"/>
              <w:spacing w:before="41"/>
              <w:ind w:left="121"/>
              <w:rPr>
                <w:rFonts w:ascii="黑体" w:eastAsia="黑体" w:hint="eastAsia"/>
                <w:sz w:val="21"/>
              </w:rPr>
            </w:pPr>
            <w:r>
              <w:rPr>
                <w:rFonts w:ascii="黑体" w:eastAsia="黑体" w:hint="eastAsia"/>
                <w:sz w:val="21"/>
              </w:rPr>
              <w:t>定义来源及确</w:t>
            </w:r>
          </w:p>
        </w:tc>
        <w:tc>
          <w:tcPr>
            <w:tcW w:w="7022" w:type="dxa"/>
          </w:tcPr>
          <w:p>
            <w:pPr>
              <w:pStyle w:val="TableParagraph"/>
              <w:spacing w:before="41"/>
              <w:ind w:left="108"/>
              <w:rPr>
                <w:sz w:val="21"/>
              </w:rPr>
            </w:pPr>
            <w:r>
              <w:rPr>
                <w:spacing w:val="-15"/>
                <w:sz w:val="21"/>
              </w:rPr>
              <w:t>以上 </w:t>
            </w:r>
            <w:r>
              <w:rPr>
                <w:sz w:val="21"/>
              </w:rPr>
              <w:t>7.1.1</w:t>
            </w:r>
            <w:r>
              <w:rPr>
                <w:spacing w:val="-30"/>
                <w:sz w:val="21"/>
              </w:rPr>
              <w:t> 至 </w:t>
            </w:r>
            <w:r>
              <w:rPr>
                <w:sz w:val="21"/>
              </w:rPr>
              <w:t>7.1.17</w:t>
            </w:r>
            <w:r>
              <w:rPr>
                <w:spacing w:val="-9"/>
                <w:sz w:val="21"/>
              </w:rPr>
              <w:t> 所列重大疾病定义根据中国保险行业协会 </w:t>
            </w:r>
            <w:r>
              <w:rPr>
                <w:sz w:val="21"/>
              </w:rPr>
              <w:t>2007</w:t>
            </w:r>
            <w:r>
              <w:rPr>
                <w:spacing w:val="-16"/>
                <w:sz w:val="21"/>
              </w:rPr>
              <w:t> 年公</w:t>
            </w:r>
          </w:p>
        </w:tc>
      </w:tr>
      <w:tr>
        <w:trPr>
          <w:trHeight w:val="320" w:hRule="atLeast"/>
        </w:trPr>
        <w:tc>
          <w:tcPr>
            <w:tcW w:w="860" w:type="dxa"/>
          </w:tcPr>
          <w:p>
            <w:pPr>
              <w:pStyle w:val="TableParagraph"/>
              <w:rPr>
                <w:rFonts w:ascii="Times New Roman"/>
                <w:sz w:val="20"/>
              </w:rPr>
            </w:pPr>
          </w:p>
        </w:tc>
        <w:tc>
          <w:tcPr>
            <w:tcW w:w="1658" w:type="dxa"/>
          </w:tcPr>
          <w:p>
            <w:pPr>
              <w:pStyle w:val="TableParagraph"/>
              <w:spacing w:line="259" w:lineRule="exact"/>
              <w:ind w:left="121"/>
              <w:rPr>
                <w:rFonts w:ascii="黑体" w:eastAsia="黑体" w:hint="eastAsia"/>
                <w:sz w:val="21"/>
              </w:rPr>
            </w:pPr>
            <w:r>
              <w:rPr>
                <w:rFonts w:ascii="黑体" w:eastAsia="黑体" w:hint="eastAsia"/>
                <w:sz w:val="21"/>
              </w:rPr>
              <w:t>诊医院范围</w:t>
            </w:r>
          </w:p>
        </w:tc>
        <w:tc>
          <w:tcPr>
            <w:tcW w:w="7022" w:type="dxa"/>
          </w:tcPr>
          <w:p>
            <w:pPr>
              <w:pStyle w:val="TableParagraph"/>
              <w:spacing w:line="259" w:lineRule="exact"/>
              <w:ind w:left="108"/>
              <w:rPr>
                <w:sz w:val="21"/>
              </w:rPr>
            </w:pPr>
            <w:r>
              <w:rPr>
                <w:sz w:val="21"/>
              </w:rPr>
              <w:t>布的《重大疾病保险的疾病定义使用规范》作出，其他重大疾病由我们自</w:t>
            </w:r>
          </w:p>
        </w:tc>
      </w:tr>
      <w:tr>
        <w:trPr>
          <w:trHeight w:val="319"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行增加，其定义由我们根据通行的医学标准制定。</w:t>
            </w:r>
          </w:p>
        </w:tc>
      </w:tr>
      <w:tr>
        <w:trPr>
          <w:trHeight w:val="319"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8" w:lineRule="exact"/>
              <w:ind w:left="108"/>
              <w:rPr>
                <w:sz w:val="21"/>
              </w:rPr>
            </w:pPr>
            <w:r>
              <w:rPr>
                <w:sz w:val="21"/>
              </w:rPr>
              <w:t>以上重大疾病，除原发性心肌病须在卫生行政部门认定的三级以上（含三</w:t>
            </w:r>
          </w:p>
        </w:tc>
      </w:tr>
      <w:tr>
        <w:trPr>
          <w:trHeight w:val="320"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级）医院确诊外，其他重大疾病均须在卫生行政部门认定的二级以上（含</w:t>
            </w:r>
          </w:p>
        </w:tc>
      </w:tr>
      <w:tr>
        <w:trPr>
          <w:trHeight w:val="442"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二级）医院确诊。</w:t>
            </w:r>
          </w:p>
        </w:tc>
      </w:tr>
      <w:tr>
        <w:trPr>
          <w:trHeight w:val="312" w:hRule="atLeast"/>
        </w:trPr>
        <w:tc>
          <w:tcPr>
            <w:tcW w:w="860"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8．</w:t>
            </w:r>
          </w:p>
        </w:tc>
        <w:tc>
          <w:tcPr>
            <w:tcW w:w="1658" w:type="dxa"/>
            <w:shd w:val="clear" w:color="auto" w:fill="D3D3D3"/>
          </w:tcPr>
          <w:p>
            <w:pPr>
              <w:pStyle w:val="TableParagraph"/>
              <w:spacing w:before="4"/>
              <w:ind w:left="121"/>
              <w:rPr>
                <w:rFonts w:ascii="黑体" w:eastAsia="黑体" w:hint="eastAsia"/>
                <w:b/>
                <w:sz w:val="21"/>
              </w:rPr>
            </w:pPr>
            <w:r>
              <w:rPr>
                <w:rFonts w:ascii="黑体" w:eastAsia="黑体" w:hint="eastAsia"/>
                <w:b/>
                <w:w w:val="95"/>
                <w:sz w:val="21"/>
              </w:rPr>
              <w:t>释义</w:t>
            </w:r>
          </w:p>
        </w:tc>
        <w:tc>
          <w:tcPr>
            <w:tcW w:w="7022" w:type="dxa"/>
            <w:shd w:val="clear" w:color="auto" w:fill="D3D3D3"/>
          </w:tcPr>
          <w:p>
            <w:pPr>
              <w:pStyle w:val="TableParagraph"/>
              <w:rPr>
                <w:rFonts w:ascii="Times New Roman"/>
                <w:sz w:val="20"/>
              </w:rPr>
            </w:pPr>
          </w:p>
        </w:tc>
      </w:tr>
      <w:tr>
        <w:trPr>
          <w:trHeight w:val="481" w:hRule="atLeast"/>
        </w:trPr>
        <w:tc>
          <w:tcPr>
            <w:tcW w:w="860" w:type="dxa"/>
          </w:tcPr>
          <w:p>
            <w:pPr>
              <w:pStyle w:val="TableParagraph"/>
              <w:spacing w:before="145"/>
              <w:ind w:left="108"/>
              <w:rPr>
                <w:rFonts w:ascii="黑体"/>
                <w:sz w:val="21"/>
              </w:rPr>
            </w:pPr>
            <w:r>
              <w:rPr>
                <w:rFonts w:ascii="黑体"/>
                <w:sz w:val="21"/>
              </w:rPr>
              <w:t>8.1</w:t>
            </w:r>
          </w:p>
        </w:tc>
        <w:tc>
          <w:tcPr>
            <w:tcW w:w="1658" w:type="dxa"/>
          </w:tcPr>
          <w:p>
            <w:pPr>
              <w:pStyle w:val="TableParagraph"/>
              <w:spacing w:before="145"/>
              <w:ind w:left="121"/>
              <w:rPr>
                <w:rFonts w:ascii="黑体" w:eastAsia="黑体" w:hint="eastAsia"/>
                <w:sz w:val="21"/>
              </w:rPr>
            </w:pPr>
            <w:r>
              <w:rPr>
                <w:rFonts w:ascii="黑体" w:eastAsia="黑体" w:hint="eastAsia"/>
                <w:sz w:val="21"/>
              </w:rPr>
              <w:t>保险费约定支</w:t>
            </w:r>
          </w:p>
        </w:tc>
        <w:tc>
          <w:tcPr>
            <w:tcW w:w="7022" w:type="dxa"/>
          </w:tcPr>
          <w:p>
            <w:pPr>
              <w:pStyle w:val="TableParagraph"/>
              <w:spacing w:before="145"/>
              <w:ind w:left="108"/>
              <w:rPr>
                <w:sz w:val="21"/>
              </w:rPr>
            </w:pPr>
            <w:r>
              <w:rPr>
                <w:sz w:val="21"/>
              </w:rPr>
              <w:t>指保险费交费期间内每个合同生效日对应日的前一日。</w:t>
            </w:r>
          </w:p>
        </w:tc>
      </w:tr>
      <w:tr>
        <w:trPr>
          <w:trHeight w:val="319" w:hRule="atLeast"/>
        </w:trPr>
        <w:tc>
          <w:tcPr>
            <w:tcW w:w="860" w:type="dxa"/>
          </w:tcPr>
          <w:p>
            <w:pPr>
              <w:pStyle w:val="TableParagraph"/>
              <w:rPr>
                <w:rFonts w:ascii="Times New Roman"/>
                <w:sz w:val="20"/>
              </w:rPr>
            </w:pPr>
          </w:p>
        </w:tc>
        <w:tc>
          <w:tcPr>
            <w:tcW w:w="1658" w:type="dxa"/>
          </w:tcPr>
          <w:p>
            <w:pPr>
              <w:pStyle w:val="TableParagraph"/>
              <w:spacing w:line="259" w:lineRule="exact"/>
              <w:ind w:left="121"/>
              <w:rPr>
                <w:rFonts w:ascii="黑体" w:eastAsia="黑体" w:hint="eastAsia"/>
                <w:sz w:val="21"/>
              </w:rPr>
            </w:pPr>
            <w:r>
              <w:rPr>
                <w:rFonts w:ascii="黑体" w:eastAsia="黑体" w:hint="eastAsia"/>
                <w:sz w:val="21"/>
              </w:rPr>
              <w:t>付日</w:t>
            </w:r>
          </w:p>
        </w:tc>
        <w:tc>
          <w:tcPr>
            <w:tcW w:w="7022" w:type="dxa"/>
          </w:tcPr>
          <w:p>
            <w:pPr>
              <w:pStyle w:val="TableParagraph"/>
              <w:spacing w:line="259" w:lineRule="exact"/>
              <w:ind w:left="108"/>
              <w:rPr>
                <w:sz w:val="21"/>
              </w:rPr>
            </w:pPr>
            <w:r>
              <w:rPr>
                <w:sz w:val="21"/>
              </w:rPr>
              <w:t>合同生效日对应日是指本附加险合同生效日在合同生效后每年的对应日，</w:t>
            </w:r>
          </w:p>
        </w:tc>
      </w:tr>
      <w:tr>
        <w:trPr>
          <w:trHeight w:val="319"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8" w:lineRule="exact"/>
              <w:ind w:left="108"/>
              <w:rPr>
                <w:sz w:val="21"/>
              </w:rPr>
            </w:pPr>
            <w:r>
              <w:rPr>
                <w:sz w:val="21"/>
              </w:rPr>
              <w:t>不含合同生效日当日。如果当月没有对应的同一日，则以该月最后一日为</w:t>
            </w:r>
          </w:p>
        </w:tc>
      </w:tr>
      <w:tr>
        <w:trPr>
          <w:trHeight w:val="391"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对应日。</w:t>
            </w:r>
          </w:p>
        </w:tc>
      </w:tr>
      <w:tr>
        <w:trPr>
          <w:trHeight w:val="391" w:hRule="atLeast"/>
        </w:trPr>
        <w:tc>
          <w:tcPr>
            <w:tcW w:w="860" w:type="dxa"/>
          </w:tcPr>
          <w:p>
            <w:pPr>
              <w:pStyle w:val="TableParagraph"/>
              <w:spacing w:before="54"/>
              <w:ind w:left="108"/>
              <w:rPr>
                <w:rFonts w:ascii="黑体"/>
                <w:sz w:val="21"/>
              </w:rPr>
            </w:pPr>
            <w:r>
              <w:rPr>
                <w:rFonts w:ascii="黑体"/>
                <w:sz w:val="21"/>
              </w:rPr>
              <w:t>8.2</w:t>
            </w:r>
          </w:p>
        </w:tc>
        <w:tc>
          <w:tcPr>
            <w:tcW w:w="1658" w:type="dxa"/>
          </w:tcPr>
          <w:p>
            <w:pPr>
              <w:pStyle w:val="TableParagraph"/>
              <w:spacing w:before="54"/>
              <w:ind w:left="121"/>
              <w:rPr>
                <w:rFonts w:ascii="黑体" w:eastAsia="黑体" w:hint="eastAsia"/>
                <w:sz w:val="21"/>
              </w:rPr>
            </w:pPr>
            <w:r>
              <w:rPr>
                <w:rFonts w:ascii="黑体" w:eastAsia="黑体" w:hint="eastAsia"/>
                <w:sz w:val="21"/>
              </w:rPr>
              <w:t>有效身份证件</w:t>
            </w:r>
          </w:p>
        </w:tc>
        <w:tc>
          <w:tcPr>
            <w:tcW w:w="7022" w:type="dxa"/>
          </w:tcPr>
          <w:p>
            <w:pPr>
              <w:pStyle w:val="TableParagraph"/>
              <w:spacing w:before="54"/>
              <w:ind w:left="108"/>
              <w:rPr>
                <w:sz w:val="21"/>
              </w:rPr>
            </w:pPr>
            <w:r>
              <w:rPr>
                <w:sz w:val="21"/>
              </w:rPr>
              <w:t>指由政府主管部门规定的证明其身份的证件，如：居民身份证、按规定可</w:t>
            </w:r>
          </w:p>
        </w:tc>
      </w:tr>
      <w:tr>
        <w:trPr>
          <w:trHeight w:val="391"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使用的有效护照、军官证、警官证、士兵证、户口簿等证件。</w:t>
            </w:r>
          </w:p>
        </w:tc>
      </w:tr>
      <w:tr>
        <w:trPr>
          <w:trHeight w:val="390" w:hRule="atLeast"/>
        </w:trPr>
        <w:tc>
          <w:tcPr>
            <w:tcW w:w="860" w:type="dxa"/>
          </w:tcPr>
          <w:p>
            <w:pPr>
              <w:pStyle w:val="TableParagraph"/>
              <w:spacing w:before="54"/>
              <w:ind w:left="108"/>
              <w:rPr>
                <w:rFonts w:ascii="黑体"/>
                <w:sz w:val="21"/>
              </w:rPr>
            </w:pPr>
            <w:r>
              <w:rPr>
                <w:rFonts w:ascii="黑体"/>
                <w:sz w:val="21"/>
              </w:rPr>
              <w:t>8.3</w:t>
            </w:r>
          </w:p>
        </w:tc>
        <w:tc>
          <w:tcPr>
            <w:tcW w:w="1658" w:type="dxa"/>
          </w:tcPr>
          <w:p>
            <w:pPr>
              <w:pStyle w:val="TableParagraph"/>
              <w:spacing w:before="54"/>
              <w:ind w:left="121"/>
              <w:rPr>
                <w:rFonts w:ascii="黑体" w:eastAsia="黑体" w:hint="eastAsia"/>
                <w:sz w:val="21"/>
              </w:rPr>
            </w:pPr>
            <w:r>
              <w:rPr>
                <w:rFonts w:ascii="黑体" w:eastAsia="黑体" w:hint="eastAsia"/>
                <w:sz w:val="21"/>
              </w:rPr>
              <w:t>意外伤害</w:t>
            </w:r>
          </w:p>
        </w:tc>
        <w:tc>
          <w:tcPr>
            <w:tcW w:w="7022" w:type="dxa"/>
          </w:tcPr>
          <w:p>
            <w:pPr>
              <w:pStyle w:val="TableParagraph"/>
              <w:spacing w:before="54"/>
              <w:ind w:left="108"/>
              <w:rPr>
                <w:sz w:val="21"/>
              </w:rPr>
            </w:pPr>
            <w:r>
              <w:rPr>
                <w:sz w:val="21"/>
              </w:rPr>
              <w:t>指遭受外来的、突发的、非本意的、非疾病的客观事件直接致使身体受到</w:t>
            </w:r>
          </w:p>
        </w:tc>
      </w:tr>
      <w:tr>
        <w:trPr>
          <w:trHeight w:val="390"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8" w:lineRule="exact"/>
              <w:ind w:left="108"/>
              <w:rPr>
                <w:sz w:val="21"/>
              </w:rPr>
            </w:pPr>
            <w:r>
              <w:rPr>
                <w:sz w:val="21"/>
              </w:rPr>
              <w:t>的伤害。</w:t>
            </w:r>
          </w:p>
        </w:tc>
      </w:tr>
      <w:tr>
        <w:trPr>
          <w:trHeight w:val="391" w:hRule="atLeast"/>
        </w:trPr>
        <w:tc>
          <w:tcPr>
            <w:tcW w:w="860" w:type="dxa"/>
          </w:tcPr>
          <w:p>
            <w:pPr>
              <w:pStyle w:val="TableParagraph"/>
              <w:spacing w:before="54"/>
              <w:ind w:left="108"/>
              <w:rPr>
                <w:rFonts w:ascii="黑体"/>
                <w:sz w:val="21"/>
              </w:rPr>
            </w:pPr>
            <w:r>
              <w:rPr>
                <w:rFonts w:ascii="黑体"/>
                <w:sz w:val="21"/>
              </w:rPr>
              <w:t>8.4</w:t>
            </w:r>
          </w:p>
        </w:tc>
        <w:tc>
          <w:tcPr>
            <w:tcW w:w="1658" w:type="dxa"/>
          </w:tcPr>
          <w:p>
            <w:pPr>
              <w:pStyle w:val="TableParagraph"/>
              <w:spacing w:before="54"/>
              <w:ind w:left="122"/>
              <w:rPr>
                <w:rFonts w:ascii="黑体" w:eastAsia="黑体" w:hint="eastAsia"/>
                <w:sz w:val="21"/>
              </w:rPr>
            </w:pPr>
            <w:r>
              <w:rPr>
                <w:rFonts w:ascii="黑体" w:eastAsia="黑体" w:hint="eastAsia"/>
                <w:sz w:val="21"/>
              </w:rPr>
              <w:t>毒品</w:t>
            </w:r>
          </w:p>
        </w:tc>
        <w:tc>
          <w:tcPr>
            <w:tcW w:w="7022" w:type="dxa"/>
          </w:tcPr>
          <w:p>
            <w:pPr>
              <w:pStyle w:val="TableParagraph"/>
              <w:spacing w:before="54"/>
              <w:ind w:left="108"/>
              <w:rPr>
                <w:sz w:val="21"/>
              </w:rPr>
            </w:pPr>
            <w:r>
              <w:rPr>
                <w:spacing w:val="-1"/>
                <w:sz w:val="21"/>
              </w:rPr>
              <w:t>指中华人民共和国刑法规定的鸦片、海洛因、甲基苯丙胺</w:t>
            </w:r>
            <w:r>
              <w:rPr>
                <w:sz w:val="21"/>
              </w:rPr>
              <w:t>（冰毒</w:t>
            </w:r>
            <w:r>
              <w:rPr>
                <w:spacing w:val="-105"/>
                <w:sz w:val="21"/>
              </w:rPr>
              <w:t>）</w:t>
            </w:r>
            <w:r>
              <w:rPr>
                <w:sz w:val="21"/>
              </w:rPr>
              <w:t>、吗啡、</w:t>
            </w:r>
          </w:p>
        </w:tc>
      </w:tr>
      <w:tr>
        <w:trPr>
          <w:trHeight w:val="320"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大麻、可卡因以及国家规定管制的其他能够使人形成瘾癖的麻醉药品和精</w:t>
            </w:r>
          </w:p>
        </w:tc>
      </w:tr>
      <w:tr>
        <w:trPr>
          <w:trHeight w:val="319"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神药品，但不包括由医生开具并遵医嘱使用的用于治疗疾病但含有毒品成</w:t>
            </w:r>
          </w:p>
        </w:tc>
      </w:tr>
      <w:tr>
        <w:trPr>
          <w:trHeight w:val="390"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8" w:lineRule="exact"/>
              <w:ind w:left="108"/>
              <w:rPr>
                <w:sz w:val="21"/>
              </w:rPr>
            </w:pPr>
            <w:r>
              <w:rPr>
                <w:sz w:val="21"/>
              </w:rPr>
              <w:t>分的处方药品。</w:t>
            </w:r>
          </w:p>
        </w:tc>
      </w:tr>
      <w:tr>
        <w:trPr>
          <w:trHeight w:val="391" w:hRule="atLeast"/>
        </w:trPr>
        <w:tc>
          <w:tcPr>
            <w:tcW w:w="860" w:type="dxa"/>
          </w:tcPr>
          <w:p>
            <w:pPr>
              <w:pStyle w:val="TableParagraph"/>
              <w:spacing w:before="54"/>
              <w:ind w:left="108"/>
              <w:rPr>
                <w:rFonts w:ascii="黑体"/>
                <w:sz w:val="21"/>
              </w:rPr>
            </w:pPr>
            <w:r>
              <w:rPr>
                <w:rFonts w:ascii="黑体"/>
                <w:sz w:val="21"/>
              </w:rPr>
              <w:t>8.5</w:t>
            </w:r>
          </w:p>
        </w:tc>
        <w:tc>
          <w:tcPr>
            <w:tcW w:w="1658" w:type="dxa"/>
          </w:tcPr>
          <w:p>
            <w:pPr>
              <w:pStyle w:val="TableParagraph"/>
              <w:spacing w:before="54"/>
              <w:ind w:left="121"/>
              <w:rPr>
                <w:rFonts w:ascii="黑体" w:eastAsia="黑体" w:hint="eastAsia"/>
                <w:sz w:val="21"/>
              </w:rPr>
            </w:pPr>
            <w:r>
              <w:rPr>
                <w:rFonts w:ascii="黑体" w:eastAsia="黑体" w:hint="eastAsia"/>
                <w:sz w:val="21"/>
              </w:rPr>
              <w:t>酒后驾驶</w:t>
            </w:r>
          </w:p>
        </w:tc>
        <w:tc>
          <w:tcPr>
            <w:tcW w:w="7022" w:type="dxa"/>
          </w:tcPr>
          <w:p>
            <w:pPr>
              <w:pStyle w:val="TableParagraph"/>
              <w:spacing w:before="54"/>
              <w:ind w:left="108"/>
              <w:rPr>
                <w:sz w:val="21"/>
              </w:rPr>
            </w:pPr>
            <w:r>
              <w:rPr>
                <w:sz w:val="21"/>
              </w:rPr>
              <w:t>指经检测或鉴定，发生事故时车辆驾驶人员每百毫升血液中的酒精含量达</w:t>
            </w:r>
          </w:p>
        </w:tc>
      </w:tr>
      <w:tr>
        <w:trPr>
          <w:trHeight w:val="320"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到或超过一定的标准，公安机关交通管理部门依据《道路交通安全法》的</w:t>
            </w:r>
          </w:p>
        </w:tc>
      </w:tr>
      <w:tr>
        <w:trPr>
          <w:trHeight w:val="391"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规定认定为饮酒后驾驶或醉酒后驾驶。</w:t>
            </w:r>
          </w:p>
        </w:tc>
      </w:tr>
      <w:tr>
        <w:trPr>
          <w:trHeight w:val="390" w:hRule="atLeast"/>
        </w:trPr>
        <w:tc>
          <w:tcPr>
            <w:tcW w:w="860" w:type="dxa"/>
          </w:tcPr>
          <w:p>
            <w:pPr>
              <w:pStyle w:val="TableParagraph"/>
              <w:spacing w:before="54"/>
              <w:ind w:left="108"/>
              <w:rPr>
                <w:rFonts w:ascii="黑体"/>
                <w:sz w:val="21"/>
              </w:rPr>
            </w:pPr>
            <w:r>
              <w:rPr>
                <w:rFonts w:ascii="黑体"/>
                <w:sz w:val="21"/>
              </w:rPr>
              <w:t>8.6</w:t>
            </w:r>
          </w:p>
        </w:tc>
        <w:tc>
          <w:tcPr>
            <w:tcW w:w="1658" w:type="dxa"/>
          </w:tcPr>
          <w:p>
            <w:pPr>
              <w:pStyle w:val="TableParagraph"/>
              <w:spacing w:before="54"/>
              <w:ind w:left="121"/>
              <w:rPr>
                <w:rFonts w:ascii="黑体" w:eastAsia="黑体" w:hint="eastAsia"/>
                <w:sz w:val="21"/>
              </w:rPr>
            </w:pPr>
            <w:r>
              <w:rPr>
                <w:rFonts w:ascii="黑体" w:eastAsia="黑体" w:hint="eastAsia"/>
                <w:sz w:val="21"/>
              </w:rPr>
              <w:t>无合法有效驾</w:t>
            </w:r>
          </w:p>
        </w:tc>
        <w:tc>
          <w:tcPr>
            <w:tcW w:w="7022" w:type="dxa"/>
          </w:tcPr>
          <w:p>
            <w:pPr>
              <w:pStyle w:val="TableParagraph"/>
              <w:spacing w:before="54"/>
              <w:ind w:left="108"/>
              <w:rPr>
                <w:sz w:val="21"/>
              </w:rPr>
            </w:pPr>
            <w:r>
              <w:rPr>
                <w:sz w:val="21"/>
              </w:rPr>
              <w:t>指下列情形之一：</w:t>
            </w:r>
          </w:p>
        </w:tc>
      </w:tr>
      <w:tr>
        <w:trPr>
          <w:trHeight w:val="319" w:hRule="atLeast"/>
        </w:trPr>
        <w:tc>
          <w:tcPr>
            <w:tcW w:w="860" w:type="dxa"/>
          </w:tcPr>
          <w:p>
            <w:pPr>
              <w:pStyle w:val="TableParagraph"/>
              <w:rPr>
                <w:rFonts w:ascii="Times New Roman"/>
                <w:sz w:val="20"/>
              </w:rPr>
            </w:pPr>
          </w:p>
        </w:tc>
        <w:tc>
          <w:tcPr>
            <w:tcW w:w="1658" w:type="dxa"/>
          </w:tcPr>
          <w:p>
            <w:pPr>
              <w:pStyle w:val="TableParagraph"/>
              <w:spacing w:line="258" w:lineRule="exact"/>
              <w:ind w:left="121"/>
              <w:rPr>
                <w:rFonts w:ascii="黑体" w:eastAsia="黑体" w:hint="eastAsia"/>
                <w:sz w:val="21"/>
              </w:rPr>
            </w:pPr>
            <w:r>
              <w:rPr>
                <w:rFonts w:ascii="黑体" w:eastAsia="黑体" w:hint="eastAsia"/>
                <w:sz w:val="21"/>
              </w:rPr>
              <w:t>驶证驾驶</w:t>
            </w:r>
          </w:p>
        </w:tc>
        <w:tc>
          <w:tcPr>
            <w:tcW w:w="7022" w:type="dxa"/>
          </w:tcPr>
          <w:p>
            <w:pPr>
              <w:pStyle w:val="TableParagraph"/>
              <w:spacing w:line="258" w:lineRule="exact"/>
              <w:ind w:left="108"/>
              <w:rPr>
                <w:sz w:val="21"/>
              </w:rPr>
            </w:pPr>
            <w:r>
              <w:rPr>
                <w:sz w:val="21"/>
              </w:rPr>
              <w:t>(1)没有取得驾驶资格；</w:t>
            </w:r>
          </w:p>
        </w:tc>
      </w:tr>
      <w:tr>
        <w:trPr>
          <w:trHeight w:val="320"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(2)驾驶与驾驶证准驾车型不相符合的车辆；</w:t>
            </w:r>
          </w:p>
        </w:tc>
      </w:tr>
      <w:tr>
        <w:trPr>
          <w:trHeight w:val="319" w:hRule="atLeast"/>
        </w:trPr>
        <w:tc>
          <w:tcPr>
            <w:tcW w:w="860" w:type="dxa"/>
          </w:tcPr>
          <w:p>
            <w:pPr>
              <w:pStyle w:val="TableParagraph"/>
              <w:rPr>
                <w:rFonts w:ascii="Times New Roman"/>
                <w:sz w:val="20"/>
              </w:rPr>
            </w:pPr>
          </w:p>
        </w:tc>
        <w:tc>
          <w:tcPr>
            <w:tcW w:w="1658" w:type="dxa"/>
          </w:tcPr>
          <w:p>
            <w:pPr>
              <w:pStyle w:val="TableParagraph"/>
              <w:rPr>
                <w:rFonts w:ascii="Times New Roman"/>
                <w:sz w:val="20"/>
              </w:rPr>
            </w:pPr>
          </w:p>
        </w:tc>
        <w:tc>
          <w:tcPr>
            <w:tcW w:w="7022" w:type="dxa"/>
          </w:tcPr>
          <w:p>
            <w:pPr>
              <w:pStyle w:val="TableParagraph"/>
              <w:spacing w:line="259" w:lineRule="exact"/>
              <w:ind w:left="108"/>
              <w:rPr>
                <w:sz w:val="21"/>
              </w:rPr>
            </w:pPr>
            <w:r>
              <w:rPr>
                <w:sz w:val="21"/>
              </w:rPr>
              <w:t>(3)持审验不合格的驾驶证驾驶；</w:t>
            </w:r>
          </w:p>
        </w:tc>
      </w:tr>
      <w:tr>
        <w:trPr>
          <w:trHeight w:val="264" w:hRule="atLeast"/>
        </w:trPr>
        <w:tc>
          <w:tcPr>
            <w:tcW w:w="860" w:type="dxa"/>
          </w:tcPr>
          <w:p>
            <w:pPr>
              <w:pStyle w:val="TableParagraph"/>
              <w:rPr>
                <w:rFonts w:ascii="Times New Roman"/>
                <w:sz w:val="18"/>
              </w:rPr>
            </w:pPr>
          </w:p>
        </w:tc>
        <w:tc>
          <w:tcPr>
            <w:tcW w:w="1658" w:type="dxa"/>
          </w:tcPr>
          <w:p>
            <w:pPr>
              <w:pStyle w:val="TableParagraph"/>
              <w:rPr>
                <w:rFonts w:ascii="Times New Roman"/>
                <w:sz w:val="18"/>
              </w:rPr>
            </w:pPr>
          </w:p>
        </w:tc>
        <w:tc>
          <w:tcPr>
            <w:tcW w:w="7022" w:type="dxa"/>
          </w:tcPr>
          <w:p>
            <w:pPr>
              <w:pStyle w:val="TableParagraph"/>
              <w:spacing w:line="245" w:lineRule="exact"/>
              <w:ind w:left="108"/>
              <w:rPr>
                <w:sz w:val="21"/>
              </w:rPr>
            </w:pPr>
            <w:r>
              <w:rPr>
                <w:sz w:val="21"/>
              </w:rPr>
              <w:t>(4)持学习驾驶证学习驾车时，无教练员随车指导，或不按指定时间、路线</w:t>
            </w:r>
          </w:p>
        </w:tc>
      </w:tr>
    </w:tbl>
    <w:p>
      <w:pPr>
        <w:pStyle w:val="BodyText"/>
        <w:spacing w:before="39"/>
        <w:ind w:left="3056"/>
      </w:pPr>
      <w:r>
        <w:rPr/>
        <w:t>学习驾车。</w:t>
      </w:r>
    </w:p>
    <w:p>
      <w:pPr>
        <w:spacing w:after="0"/>
        <w:sectPr>
          <w:pgSz w:w="11910" w:h="16840"/>
          <w:pgMar w:top="1500" w:bottom="280" w:left="1020" w:right="11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764"/>
        <w:gridCol w:w="7076"/>
      </w:tblGrid>
      <w:tr>
        <w:trPr>
          <w:trHeight w:val="975" w:hRule="atLeast"/>
        </w:trPr>
        <w:tc>
          <w:tcPr>
            <w:tcW w:w="697" w:type="dxa"/>
          </w:tcPr>
          <w:p>
            <w:pPr>
              <w:pStyle w:val="TableParagraph"/>
              <w:spacing w:line="204" w:lineRule="exact"/>
              <w:ind w:left="50"/>
              <w:rPr>
                <w:rFonts w:ascii="黑体"/>
                <w:sz w:val="21"/>
              </w:rPr>
            </w:pPr>
            <w:r>
              <w:rPr>
                <w:rFonts w:ascii="黑体"/>
                <w:sz w:val="21"/>
              </w:rPr>
              <w:t>8.7</w:t>
            </w:r>
          </w:p>
        </w:tc>
        <w:tc>
          <w:tcPr>
            <w:tcW w:w="1764" w:type="dxa"/>
          </w:tcPr>
          <w:p>
            <w:pPr>
              <w:pStyle w:val="TableParagraph"/>
              <w:spacing w:line="204" w:lineRule="exact"/>
              <w:ind w:left="226"/>
              <w:rPr>
                <w:rFonts w:ascii="黑体" w:eastAsia="黑体" w:hint="eastAsia"/>
                <w:sz w:val="21"/>
              </w:rPr>
            </w:pPr>
            <w:r>
              <w:rPr>
                <w:rFonts w:ascii="黑体" w:eastAsia="黑体" w:hint="eastAsia"/>
                <w:sz w:val="21"/>
              </w:rPr>
              <w:t>无有效行驶证</w:t>
            </w:r>
          </w:p>
        </w:tc>
        <w:tc>
          <w:tcPr>
            <w:tcW w:w="7076" w:type="dxa"/>
          </w:tcPr>
          <w:p>
            <w:pPr>
              <w:pStyle w:val="TableParagraph"/>
              <w:spacing w:line="204" w:lineRule="exact"/>
              <w:ind w:left="107"/>
              <w:rPr>
                <w:sz w:val="21"/>
              </w:rPr>
            </w:pPr>
            <w:r>
              <w:rPr>
                <w:sz w:val="21"/>
              </w:rPr>
              <w:t>指下列情形之一：</w:t>
            </w:r>
          </w:p>
          <w:p>
            <w:pPr>
              <w:pStyle w:val="TableParagraph"/>
              <w:spacing w:line="280" w:lineRule="auto" w:before="44"/>
              <w:ind w:left="107" w:right="2451"/>
              <w:rPr>
                <w:sz w:val="21"/>
              </w:rPr>
            </w:pPr>
            <w:r>
              <w:rPr>
                <w:sz w:val="21"/>
              </w:rPr>
              <w:t>(1)机动车被依法注销登记的；              </w:t>
            </w:r>
            <w:r>
              <w:rPr>
                <w:spacing w:val="-1"/>
                <w:sz w:val="21"/>
              </w:rPr>
              <w:t>(2)未依法按时进行或通过机动车安全技术检验。</w:t>
            </w:r>
          </w:p>
        </w:tc>
      </w:tr>
      <w:tr>
        <w:trPr>
          <w:trHeight w:val="782" w:hRule="atLeast"/>
        </w:trPr>
        <w:tc>
          <w:tcPr>
            <w:tcW w:w="697" w:type="dxa"/>
          </w:tcPr>
          <w:p>
            <w:pPr>
              <w:pStyle w:val="TableParagraph"/>
              <w:spacing w:before="54"/>
              <w:ind w:left="50"/>
              <w:rPr>
                <w:rFonts w:ascii="黑体"/>
                <w:sz w:val="21"/>
              </w:rPr>
            </w:pPr>
            <w:r>
              <w:rPr>
                <w:rFonts w:ascii="黑体"/>
                <w:sz w:val="21"/>
              </w:rPr>
              <w:t>8.8</w:t>
            </w:r>
          </w:p>
        </w:tc>
        <w:tc>
          <w:tcPr>
            <w:tcW w:w="1764" w:type="dxa"/>
          </w:tcPr>
          <w:p>
            <w:pPr>
              <w:pStyle w:val="TableParagraph"/>
              <w:spacing w:before="54"/>
              <w:ind w:left="226"/>
              <w:rPr>
                <w:rFonts w:ascii="黑体" w:eastAsia="黑体" w:hint="eastAsia"/>
                <w:sz w:val="21"/>
              </w:rPr>
            </w:pPr>
            <w:r>
              <w:rPr>
                <w:rFonts w:ascii="黑体" w:eastAsia="黑体" w:hint="eastAsia"/>
                <w:sz w:val="21"/>
              </w:rPr>
              <w:t>机动车</w:t>
            </w:r>
          </w:p>
        </w:tc>
        <w:tc>
          <w:tcPr>
            <w:tcW w:w="7076" w:type="dxa"/>
          </w:tcPr>
          <w:p>
            <w:pPr>
              <w:pStyle w:val="TableParagraph"/>
              <w:spacing w:line="280" w:lineRule="auto" w:before="54"/>
              <w:ind w:left="107" w:right="156"/>
              <w:rPr>
                <w:sz w:val="21"/>
              </w:rPr>
            </w:pPr>
            <w:r>
              <w:rPr>
                <w:sz w:val="21"/>
              </w:rPr>
              <w:t>指以动力装置驱动或者牵引，上道路行驶的供人员乘用或者用于运送物品以及进行工程专项作业的轮式车辆。</w:t>
            </w:r>
          </w:p>
        </w:tc>
      </w:tr>
      <w:tr>
        <w:trPr>
          <w:trHeight w:val="1741" w:hRule="atLeast"/>
        </w:trPr>
        <w:tc>
          <w:tcPr>
            <w:tcW w:w="697" w:type="dxa"/>
          </w:tcPr>
          <w:p>
            <w:pPr>
              <w:pStyle w:val="TableParagraph"/>
              <w:spacing w:before="54"/>
              <w:ind w:left="50"/>
              <w:rPr>
                <w:rFonts w:ascii="黑体"/>
                <w:sz w:val="21"/>
              </w:rPr>
            </w:pPr>
            <w:r>
              <w:rPr>
                <w:rFonts w:ascii="黑体"/>
                <w:sz w:val="21"/>
              </w:rPr>
              <w:t>8.9</w:t>
            </w:r>
          </w:p>
        </w:tc>
        <w:tc>
          <w:tcPr>
            <w:tcW w:w="1764" w:type="dxa"/>
          </w:tcPr>
          <w:p>
            <w:pPr>
              <w:pStyle w:val="TableParagraph"/>
              <w:spacing w:line="278" w:lineRule="auto" w:before="54"/>
              <w:ind w:left="226" w:right="275"/>
              <w:rPr>
                <w:rFonts w:ascii="黑体" w:eastAsia="黑体" w:hint="eastAsia"/>
                <w:sz w:val="21"/>
              </w:rPr>
            </w:pPr>
            <w:r>
              <w:rPr>
                <w:rFonts w:ascii="黑体" w:eastAsia="黑体" w:hint="eastAsia"/>
                <w:sz w:val="21"/>
              </w:rPr>
              <w:t>感染艾滋病病毒或患艾滋病</w:t>
            </w:r>
          </w:p>
        </w:tc>
        <w:tc>
          <w:tcPr>
            <w:tcW w:w="7076" w:type="dxa"/>
          </w:tcPr>
          <w:p>
            <w:pPr>
              <w:pStyle w:val="TableParagraph"/>
              <w:spacing w:line="278" w:lineRule="auto" w:before="54"/>
              <w:ind w:left="107" w:right="161"/>
              <w:jc w:val="both"/>
              <w:rPr>
                <w:sz w:val="21"/>
              </w:rPr>
            </w:pPr>
            <w:r>
              <w:rPr>
                <w:spacing w:val="-7"/>
                <w:sz w:val="21"/>
              </w:rPr>
              <w:t>艾滋病病毒指人类免疫缺陷病毒，英文缩写为 </w:t>
            </w:r>
            <w:r>
              <w:rPr>
                <w:sz w:val="21"/>
              </w:rPr>
              <w:t>HIV</w:t>
            </w:r>
            <w:r>
              <w:rPr>
                <w:spacing w:val="-6"/>
                <w:sz w:val="21"/>
              </w:rPr>
              <w:t>。艾滋病指人类免疫缺陷</w:t>
            </w:r>
            <w:r>
              <w:rPr>
                <w:spacing w:val="-9"/>
                <w:sz w:val="21"/>
              </w:rPr>
              <w:t>病毒引起的获得性免疫缺陷综合征，英文缩写为 </w:t>
            </w:r>
            <w:r>
              <w:rPr>
                <w:sz w:val="21"/>
              </w:rPr>
              <w:t>AIDS。</w:t>
            </w:r>
          </w:p>
          <w:p>
            <w:pPr>
              <w:pStyle w:val="TableParagraph"/>
              <w:spacing w:line="278" w:lineRule="auto" w:before="11"/>
              <w:ind w:left="107" w:right="15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82" w:hRule="atLeast"/>
        </w:trPr>
        <w:tc>
          <w:tcPr>
            <w:tcW w:w="697" w:type="dxa"/>
          </w:tcPr>
          <w:p>
            <w:pPr>
              <w:pStyle w:val="TableParagraph"/>
              <w:spacing w:before="54"/>
              <w:ind w:left="50"/>
              <w:rPr>
                <w:rFonts w:ascii="黑体"/>
                <w:sz w:val="21"/>
              </w:rPr>
            </w:pPr>
            <w:r>
              <w:rPr>
                <w:rFonts w:ascii="黑体"/>
                <w:sz w:val="21"/>
              </w:rPr>
              <w:t>8.10</w:t>
            </w:r>
          </w:p>
        </w:tc>
        <w:tc>
          <w:tcPr>
            <w:tcW w:w="1764" w:type="dxa"/>
          </w:tcPr>
          <w:p>
            <w:pPr>
              <w:pStyle w:val="TableParagraph"/>
              <w:spacing w:before="54"/>
              <w:ind w:left="226"/>
              <w:rPr>
                <w:rFonts w:ascii="黑体" w:eastAsia="黑体" w:hint="eastAsia"/>
                <w:sz w:val="21"/>
              </w:rPr>
            </w:pPr>
            <w:r>
              <w:rPr>
                <w:rFonts w:ascii="黑体" w:eastAsia="黑体" w:hint="eastAsia"/>
                <w:sz w:val="21"/>
              </w:rPr>
              <w:t>遗传性疾病</w:t>
            </w:r>
          </w:p>
        </w:tc>
        <w:tc>
          <w:tcPr>
            <w:tcW w:w="7076" w:type="dxa"/>
          </w:tcPr>
          <w:p>
            <w:pPr>
              <w:pStyle w:val="TableParagraph"/>
              <w:spacing w:line="280" w:lineRule="auto" w:before="54"/>
              <w:ind w:left="107" w:right="156"/>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697" w:type="dxa"/>
          </w:tcPr>
          <w:p>
            <w:pPr>
              <w:pStyle w:val="TableParagraph"/>
              <w:spacing w:before="54"/>
              <w:ind w:left="50"/>
              <w:rPr>
                <w:rFonts w:ascii="黑体"/>
                <w:sz w:val="21"/>
              </w:rPr>
            </w:pPr>
            <w:r>
              <w:rPr>
                <w:rFonts w:ascii="黑体"/>
                <w:sz w:val="21"/>
              </w:rPr>
              <w:t>8.11</w:t>
            </w:r>
          </w:p>
        </w:tc>
        <w:tc>
          <w:tcPr>
            <w:tcW w:w="1764" w:type="dxa"/>
          </w:tcPr>
          <w:p>
            <w:pPr>
              <w:pStyle w:val="TableParagraph"/>
              <w:spacing w:line="278" w:lineRule="auto" w:before="54"/>
              <w:ind w:left="226" w:right="46"/>
              <w:rPr>
                <w:rFonts w:ascii="黑体" w:eastAsia="黑体" w:hint="eastAsia"/>
                <w:sz w:val="21"/>
              </w:rPr>
            </w:pPr>
            <w:r>
              <w:rPr>
                <w:rFonts w:ascii="黑体" w:eastAsia="黑体" w:hint="eastAsia"/>
                <w:sz w:val="21"/>
              </w:rPr>
              <w:t>先天性畸形、变形或染色体异常</w:t>
            </w:r>
          </w:p>
        </w:tc>
        <w:tc>
          <w:tcPr>
            <w:tcW w:w="7076" w:type="dxa"/>
          </w:tcPr>
          <w:p>
            <w:pPr>
              <w:pStyle w:val="TableParagraph"/>
              <w:spacing w:line="280" w:lineRule="auto" w:before="54"/>
              <w:ind w:left="107" w:right="4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07"/>
              <w:rPr>
                <w:sz w:val="21"/>
              </w:rPr>
            </w:pPr>
            <w:r>
              <w:rPr>
                <w:sz w:val="21"/>
              </w:rPr>
              <w:t>（ICD-10）确定。</w:t>
            </w:r>
          </w:p>
        </w:tc>
      </w:tr>
      <w:tr>
        <w:trPr>
          <w:trHeight w:val="1102" w:hRule="atLeast"/>
        </w:trPr>
        <w:tc>
          <w:tcPr>
            <w:tcW w:w="697" w:type="dxa"/>
          </w:tcPr>
          <w:p>
            <w:pPr>
              <w:pStyle w:val="TableParagraph"/>
              <w:spacing w:before="54"/>
              <w:ind w:left="50"/>
              <w:rPr>
                <w:rFonts w:ascii="黑体"/>
                <w:sz w:val="21"/>
              </w:rPr>
            </w:pPr>
            <w:r>
              <w:rPr>
                <w:rFonts w:ascii="黑体"/>
                <w:sz w:val="21"/>
              </w:rPr>
              <w:t>8.12</w:t>
            </w:r>
          </w:p>
        </w:tc>
        <w:tc>
          <w:tcPr>
            <w:tcW w:w="1764" w:type="dxa"/>
          </w:tcPr>
          <w:p>
            <w:pPr>
              <w:pStyle w:val="TableParagraph"/>
              <w:spacing w:before="54"/>
              <w:ind w:left="226"/>
              <w:rPr>
                <w:rFonts w:ascii="黑体" w:eastAsia="黑体" w:hint="eastAsia"/>
                <w:sz w:val="21"/>
              </w:rPr>
            </w:pPr>
            <w:r>
              <w:rPr>
                <w:rFonts w:ascii="黑体" w:eastAsia="黑体" w:hint="eastAsia"/>
                <w:sz w:val="21"/>
              </w:rPr>
              <w:t>现金价值</w:t>
            </w:r>
          </w:p>
        </w:tc>
        <w:tc>
          <w:tcPr>
            <w:tcW w:w="7076" w:type="dxa"/>
          </w:tcPr>
          <w:p>
            <w:pPr>
              <w:pStyle w:val="TableParagraph"/>
              <w:spacing w:line="280" w:lineRule="auto" w:before="54"/>
              <w:ind w:left="107" w:right="156"/>
              <w:jc w:val="both"/>
              <w:rPr>
                <w:sz w:val="21"/>
              </w:rPr>
            </w:pPr>
            <w:r>
              <w:rPr>
                <w:sz w:val="21"/>
              </w:rPr>
              <w:t>指本附加险合同保险单所具有的价值，通常体现为解除合同时，根据精算原理计算的，由我们退还的那部分金额。现金价值见本附加险合同相应栏目。</w:t>
            </w:r>
          </w:p>
        </w:tc>
      </w:tr>
      <w:tr>
        <w:trPr>
          <w:trHeight w:val="781" w:hRule="atLeast"/>
        </w:trPr>
        <w:tc>
          <w:tcPr>
            <w:tcW w:w="697" w:type="dxa"/>
          </w:tcPr>
          <w:p>
            <w:pPr>
              <w:pStyle w:val="TableParagraph"/>
              <w:spacing w:before="54"/>
              <w:ind w:left="50"/>
              <w:rPr>
                <w:rFonts w:ascii="黑体"/>
                <w:sz w:val="21"/>
              </w:rPr>
            </w:pPr>
            <w:r>
              <w:rPr>
                <w:rFonts w:ascii="黑体"/>
                <w:sz w:val="21"/>
              </w:rPr>
              <w:t>8.13</w:t>
            </w:r>
          </w:p>
        </w:tc>
        <w:tc>
          <w:tcPr>
            <w:tcW w:w="1764" w:type="dxa"/>
          </w:tcPr>
          <w:p>
            <w:pPr>
              <w:pStyle w:val="TableParagraph"/>
              <w:spacing w:before="54"/>
              <w:ind w:left="226"/>
              <w:rPr>
                <w:rFonts w:ascii="黑体" w:eastAsia="黑体" w:hint="eastAsia"/>
                <w:sz w:val="21"/>
              </w:rPr>
            </w:pPr>
            <w:r>
              <w:rPr>
                <w:rFonts w:ascii="黑体" w:eastAsia="黑体" w:hint="eastAsia"/>
                <w:sz w:val="21"/>
              </w:rPr>
              <w:t>情形复杂</w:t>
            </w:r>
          </w:p>
        </w:tc>
        <w:tc>
          <w:tcPr>
            <w:tcW w:w="7076" w:type="dxa"/>
          </w:tcPr>
          <w:p>
            <w:pPr>
              <w:pStyle w:val="TableParagraph"/>
              <w:spacing w:line="278" w:lineRule="auto" w:before="54"/>
              <w:ind w:left="107" w:right="156"/>
              <w:rPr>
                <w:sz w:val="21"/>
              </w:rPr>
            </w:pPr>
            <w:r>
              <w:rPr>
                <w:sz w:val="21"/>
              </w:rPr>
              <w:t>指保险事故的性质、原因、伤害或损失程度等在我们收到保险金给付申请书及合同约定的证明和资料后 5 日内无法确定，需要进一步核实。</w:t>
            </w:r>
          </w:p>
        </w:tc>
      </w:tr>
      <w:tr>
        <w:trPr>
          <w:trHeight w:val="976" w:hRule="atLeast"/>
        </w:trPr>
        <w:tc>
          <w:tcPr>
            <w:tcW w:w="697" w:type="dxa"/>
          </w:tcPr>
          <w:p>
            <w:pPr>
              <w:pStyle w:val="TableParagraph"/>
              <w:spacing w:before="54"/>
              <w:ind w:left="50"/>
              <w:rPr>
                <w:rFonts w:ascii="黑体"/>
                <w:sz w:val="21"/>
              </w:rPr>
            </w:pPr>
            <w:r>
              <w:rPr>
                <w:rFonts w:ascii="黑体"/>
                <w:sz w:val="21"/>
              </w:rPr>
              <w:t>8.14</w:t>
            </w:r>
          </w:p>
        </w:tc>
        <w:tc>
          <w:tcPr>
            <w:tcW w:w="1764" w:type="dxa"/>
          </w:tcPr>
          <w:p>
            <w:pPr>
              <w:pStyle w:val="TableParagraph"/>
              <w:spacing w:before="54"/>
              <w:ind w:left="226"/>
              <w:rPr>
                <w:rFonts w:ascii="黑体" w:eastAsia="黑体" w:hint="eastAsia"/>
                <w:sz w:val="21"/>
              </w:rPr>
            </w:pPr>
            <w:r>
              <w:rPr>
                <w:rFonts w:ascii="黑体" w:eastAsia="黑体" w:hint="eastAsia"/>
                <w:sz w:val="21"/>
              </w:rPr>
              <w:t>专科医Th</w:t>
            </w:r>
          </w:p>
        </w:tc>
        <w:tc>
          <w:tcPr>
            <w:tcW w:w="7076" w:type="dxa"/>
          </w:tcPr>
          <w:p>
            <w:pPr>
              <w:pStyle w:val="TableParagraph"/>
              <w:spacing w:before="54"/>
              <w:ind w:left="107"/>
              <w:rPr>
                <w:sz w:val="21"/>
              </w:rPr>
            </w:pPr>
            <w:r>
              <w:rPr>
                <w:sz w:val="21"/>
              </w:rPr>
              <w:t>专科医生应当同时满足以下四项资格条件：</w:t>
            </w:r>
          </w:p>
          <w:p>
            <w:pPr>
              <w:pStyle w:val="TableParagraph"/>
              <w:spacing w:before="45"/>
              <w:ind w:left="107"/>
              <w:rPr>
                <w:sz w:val="21"/>
              </w:rPr>
            </w:pPr>
            <w:r>
              <w:rPr>
                <w:sz w:val="21"/>
              </w:rPr>
              <w:t>(1)具有有效的中华人民共和国《医师资格证书》；</w:t>
            </w:r>
          </w:p>
          <w:p>
            <w:pPr>
              <w:pStyle w:val="TableParagraph"/>
              <w:spacing w:line="261" w:lineRule="exact" w:before="45"/>
              <w:ind w:left="107"/>
              <w:rPr>
                <w:sz w:val="21"/>
              </w:rPr>
            </w:pPr>
            <w:r>
              <w:rPr>
                <w:sz w:val="21"/>
              </w:rPr>
              <w:t>(2)具有有效的中华人民共和国《医师执业证书》，并按期到相关部门登记</w:t>
            </w:r>
          </w:p>
        </w:tc>
      </w:tr>
    </w:tbl>
    <w:p>
      <w:pPr>
        <w:pStyle w:val="BodyText"/>
        <w:spacing w:before="38"/>
        <w:ind w:left="2996"/>
      </w:pPr>
      <w:r>
        <w:rPr/>
        <w:t>注册；</w:t>
      </w:r>
    </w:p>
    <w:p>
      <w:pPr>
        <w:pStyle w:val="BodyText"/>
        <w:spacing w:line="280" w:lineRule="auto" w:before="45"/>
        <w:ind w:left="2996" w:right="230" w:hanging="316"/>
      </w:pPr>
      <w:r>
        <w:rPr/>
        <w:t>(3)具有有效的中华人民共和国主治医师或主治医师以上职称的《医师职称证书》；</w:t>
      </w:r>
    </w:p>
    <w:p>
      <w:pPr>
        <w:pStyle w:val="BodyText"/>
        <w:spacing w:before="7"/>
        <w:rPr>
          <w:sz w:val="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680"/>
        <w:gridCol w:w="7053"/>
      </w:tblGrid>
      <w:tr>
        <w:trPr>
          <w:trHeight w:val="336" w:hRule="atLeast"/>
        </w:trPr>
        <w:tc>
          <w:tcPr>
            <w:tcW w:w="2377" w:type="dxa"/>
            <w:gridSpan w:val="2"/>
          </w:tcPr>
          <w:p>
            <w:pPr>
              <w:pStyle w:val="TableParagraph"/>
              <w:rPr>
                <w:rFonts w:ascii="Times New Roman"/>
                <w:sz w:val="20"/>
              </w:rPr>
            </w:pPr>
          </w:p>
        </w:tc>
        <w:tc>
          <w:tcPr>
            <w:tcW w:w="7053" w:type="dxa"/>
          </w:tcPr>
          <w:p>
            <w:pPr>
              <w:pStyle w:val="TableParagraph"/>
              <w:spacing w:line="210" w:lineRule="exact"/>
              <w:ind w:left="191"/>
              <w:rPr>
                <w:sz w:val="21"/>
              </w:rPr>
            </w:pPr>
            <w:r>
              <w:rPr>
                <w:sz w:val="21"/>
              </w:rPr>
              <w:t>(4)在二级或二级以上医院的相应科室从事临床工作三年以上。</w:t>
            </w:r>
          </w:p>
        </w:tc>
      </w:tr>
      <w:tr>
        <w:trPr>
          <w:trHeight w:val="782" w:hRule="atLeast"/>
        </w:trPr>
        <w:tc>
          <w:tcPr>
            <w:tcW w:w="697" w:type="dxa"/>
          </w:tcPr>
          <w:p>
            <w:pPr>
              <w:pStyle w:val="TableParagraph"/>
              <w:spacing w:before="61"/>
              <w:ind w:left="50"/>
              <w:rPr>
                <w:rFonts w:ascii="黑体"/>
                <w:sz w:val="21"/>
              </w:rPr>
            </w:pPr>
            <w:r>
              <w:rPr>
                <w:rFonts w:ascii="黑体"/>
                <w:sz w:val="21"/>
              </w:rPr>
              <w:t>8.15</w:t>
            </w:r>
          </w:p>
        </w:tc>
        <w:tc>
          <w:tcPr>
            <w:tcW w:w="1680" w:type="dxa"/>
          </w:tcPr>
          <w:p>
            <w:pPr>
              <w:pStyle w:val="TableParagraph"/>
              <w:spacing w:line="280" w:lineRule="auto" w:before="61"/>
              <w:ind w:left="226" w:right="191"/>
              <w:rPr>
                <w:rFonts w:ascii="黑体" w:eastAsia="黑体" w:hint="eastAsia"/>
                <w:sz w:val="21"/>
              </w:rPr>
            </w:pPr>
            <w:r>
              <w:rPr>
                <w:rFonts w:ascii="黑体" w:eastAsia="黑体" w:hint="eastAsia"/>
                <w:sz w:val="21"/>
              </w:rPr>
              <w:t>肢体机能完全丧失</w:t>
            </w:r>
          </w:p>
        </w:tc>
        <w:tc>
          <w:tcPr>
            <w:tcW w:w="7053" w:type="dxa"/>
          </w:tcPr>
          <w:p>
            <w:pPr>
              <w:pStyle w:val="TableParagraph"/>
              <w:spacing w:line="280" w:lineRule="auto" w:before="61"/>
              <w:ind w:left="191" w:right="49"/>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697" w:type="dxa"/>
          </w:tcPr>
          <w:p>
            <w:pPr>
              <w:pStyle w:val="TableParagraph"/>
              <w:spacing w:before="61"/>
              <w:ind w:left="50"/>
              <w:rPr>
                <w:rFonts w:ascii="黑体"/>
                <w:sz w:val="21"/>
              </w:rPr>
            </w:pPr>
            <w:r>
              <w:rPr>
                <w:rFonts w:ascii="黑体"/>
                <w:sz w:val="21"/>
              </w:rPr>
              <w:t>8.16</w:t>
            </w:r>
          </w:p>
        </w:tc>
        <w:tc>
          <w:tcPr>
            <w:tcW w:w="1680" w:type="dxa"/>
          </w:tcPr>
          <w:p>
            <w:pPr>
              <w:pStyle w:val="TableParagraph"/>
              <w:spacing w:line="278" w:lineRule="auto" w:before="61"/>
              <w:ind w:left="226" w:right="191"/>
              <w:jc w:val="both"/>
              <w:rPr>
                <w:rFonts w:ascii="黑体" w:eastAsia="黑体" w:hint="eastAsia"/>
                <w:sz w:val="21"/>
              </w:rPr>
            </w:pPr>
            <w:r>
              <w:rPr>
                <w:rFonts w:ascii="黑体" w:eastAsia="黑体" w:hint="eastAsia"/>
                <w:sz w:val="21"/>
              </w:rPr>
              <w:t>语言能力或咀嚼吞咽能力完全丧失</w:t>
            </w:r>
          </w:p>
        </w:tc>
        <w:tc>
          <w:tcPr>
            <w:tcW w:w="7053" w:type="dxa"/>
          </w:tcPr>
          <w:p>
            <w:pPr>
              <w:pStyle w:val="TableParagraph"/>
              <w:spacing w:line="278" w:lineRule="auto" w:before="61"/>
              <w:ind w:left="191" w:right="49"/>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11"/>
              <w:ind w:left="191" w:right="49"/>
              <w:jc w:val="both"/>
              <w:rPr>
                <w:sz w:val="21"/>
              </w:rPr>
            </w:pPr>
            <w:r>
              <w:rPr>
                <w:sz w:val="21"/>
              </w:rPr>
              <w:t>咀嚼吞咽能力完全丧失，指因牙齿以外的原因导致器质障碍或机能障碍， 以致不能作咀嚼吞咽运动，除流质食物外不能摄取或吞咽的状态。</w:t>
            </w:r>
          </w:p>
        </w:tc>
      </w:tr>
      <w:tr>
        <w:trPr>
          <w:trHeight w:val="1615" w:hRule="atLeast"/>
        </w:trPr>
        <w:tc>
          <w:tcPr>
            <w:tcW w:w="697" w:type="dxa"/>
          </w:tcPr>
          <w:p>
            <w:pPr>
              <w:pStyle w:val="TableParagraph"/>
              <w:spacing w:before="61"/>
              <w:ind w:left="50"/>
              <w:rPr>
                <w:rFonts w:ascii="黑体"/>
                <w:sz w:val="21"/>
              </w:rPr>
            </w:pPr>
            <w:r>
              <w:rPr>
                <w:rFonts w:ascii="黑体"/>
                <w:sz w:val="21"/>
              </w:rPr>
              <w:t>8.17</w:t>
            </w:r>
          </w:p>
        </w:tc>
        <w:tc>
          <w:tcPr>
            <w:tcW w:w="1680" w:type="dxa"/>
          </w:tcPr>
          <w:p>
            <w:pPr>
              <w:pStyle w:val="TableParagraph"/>
              <w:spacing w:line="278" w:lineRule="auto" w:before="61"/>
              <w:ind w:left="226" w:right="191"/>
              <w:rPr>
                <w:rFonts w:ascii="黑体" w:eastAsia="黑体" w:hint="eastAsia"/>
                <w:sz w:val="21"/>
              </w:rPr>
            </w:pPr>
            <w:r>
              <w:rPr>
                <w:rFonts w:ascii="黑体" w:eastAsia="黑体" w:hint="eastAsia"/>
                <w:sz w:val="21"/>
              </w:rPr>
              <w:t>六项基本日常Th活活动</w:t>
            </w:r>
          </w:p>
        </w:tc>
        <w:tc>
          <w:tcPr>
            <w:tcW w:w="7053" w:type="dxa"/>
          </w:tcPr>
          <w:p>
            <w:pPr>
              <w:pStyle w:val="TableParagraph"/>
              <w:spacing w:line="278" w:lineRule="auto" w:before="61"/>
              <w:ind w:left="191" w:right="2974"/>
              <w:rPr>
                <w:sz w:val="21"/>
              </w:rPr>
            </w:pPr>
            <w:r>
              <w:rPr>
                <w:sz w:val="21"/>
              </w:rPr>
              <w:t>六项基本日常生活活动是指：         (1)穿衣：自己能够穿衣及脱衣；      </w:t>
            </w:r>
            <w:r>
              <w:rPr>
                <w:spacing w:val="-1"/>
                <w:sz w:val="21"/>
              </w:rPr>
              <w:t>(2)移动：自己从一个房间到另一个房间；</w:t>
            </w:r>
          </w:p>
          <w:p>
            <w:pPr>
              <w:pStyle w:val="TableParagraph"/>
              <w:spacing w:line="320" w:lineRule="exact" w:before="1"/>
              <w:ind w:left="191" w:right="3587"/>
              <w:rPr>
                <w:sz w:val="21"/>
              </w:rPr>
            </w:pPr>
            <w:r>
              <w:rPr>
                <w:sz w:val="21"/>
              </w:rPr>
              <w:t>(3)行动：自己上下床或上下轮椅； (4)如厕：自己控制进行大小便；</w:t>
            </w:r>
          </w:p>
        </w:tc>
      </w:tr>
    </w:tbl>
    <w:p>
      <w:pPr>
        <w:spacing w:after="0" w:line="320" w:lineRule="exact"/>
        <w:rPr>
          <w:sz w:val="21"/>
        </w:rPr>
        <w:sectPr>
          <w:pgSz w:w="11910" w:h="16840"/>
          <w:pgMar w:top="1500" w:bottom="280" w:left="1080" w:right="1060"/>
        </w:sectPr>
      </w:pPr>
    </w:p>
    <w:p>
      <w:pPr>
        <w:pStyle w:val="BodyText"/>
        <w:spacing w:line="278" w:lineRule="auto" w:before="8"/>
        <w:ind w:left="2620" w:right="1877"/>
      </w:pPr>
      <w:r>
        <w:rPr/>
        <w:t>(5)进食：自己从已准备好的碗或碟中取食物放入口中； (6)洗澡：自己进行淋浴或盆浴。</w:t>
      </w:r>
    </w:p>
    <w:p>
      <w:pPr>
        <w:pStyle w:val="ListParagraph"/>
        <w:numPr>
          <w:ilvl w:val="1"/>
          <w:numId w:val="6"/>
        </w:numPr>
        <w:tabs>
          <w:tab w:pos="975" w:val="left" w:leader="none"/>
          <w:tab w:pos="976" w:val="left" w:leader="none"/>
          <w:tab w:pos="2620" w:val="left" w:leader="none"/>
        </w:tabs>
        <w:spacing w:line="280" w:lineRule="auto" w:before="153" w:after="0"/>
        <w:ind w:left="2620" w:right="215" w:hanging="2519"/>
        <w:jc w:val="left"/>
        <w:rPr>
          <w:sz w:val="21"/>
        </w:rPr>
      </w:pPr>
      <w:r>
        <w:rPr>
          <w:rFonts w:ascii="黑体" w:eastAsia="黑体" w:hint="eastAsia"/>
          <w:sz w:val="21"/>
        </w:rPr>
        <w:t>永久不可逆</w:t>
        <w:tab/>
      </w:r>
      <w:r>
        <w:rPr>
          <w:sz w:val="21"/>
        </w:rPr>
        <w:t>指自疾病确诊或意外伤害发生之日起，经过积极治疗</w:t>
      </w:r>
      <w:r>
        <w:rPr>
          <w:spacing w:val="-10"/>
          <w:sz w:val="21"/>
        </w:rPr>
        <w:t> </w:t>
      </w:r>
      <w:r>
        <w:rPr>
          <w:sz w:val="21"/>
        </w:rPr>
        <w:t>180</w:t>
      </w:r>
      <w:r>
        <w:rPr>
          <w:spacing w:val="-10"/>
          <w:sz w:val="21"/>
        </w:rPr>
        <w:t> </w:t>
      </w:r>
      <w:r>
        <w:rPr>
          <w:sz w:val="21"/>
        </w:rPr>
        <w:t>天后，仍无法通过现有医疗手段恢复。</w:t>
      </w:r>
    </w:p>
    <w:p>
      <w:pPr>
        <w:pStyle w:val="ListParagraph"/>
        <w:numPr>
          <w:ilvl w:val="1"/>
          <w:numId w:val="6"/>
        </w:numPr>
        <w:tabs>
          <w:tab w:pos="974" w:val="left" w:leader="none"/>
          <w:tab w:pos="976" w:val="left" w:leader="none"/>
          <w:tab w:pos="2620" w:val="left" w:leader="none"/>
        </w:tabs>
        <w:spacing w:line="280" w:lineRule="auto" w:before="151" w:after="0"/>
        <w:ind w:left="2620" w:right="110" w:hanging="2519"/>
        <w:jc w:val="left"/>
        <w:rPr>
          <w:sz w:val="21"/>
        </w:rPr>
      </w:pPr>
      <w:r>
        <w:rPr>
          <w:rFonts w:ascii="黑体" w:eastAsia="黑体" w:hint="eastAsia"/>
          <w:sz w:val="21"/>
        </w:rPr>
        <w:t>周岁</w:t>
        <w:tab/>
      </w:r>
      <w:r>
        <w:rPr>
          <w:sz w:val="21"/>
        </w:rPr>
        <w:t>指按有效身份证件中记载的出生日期计算的年龄</w:t>
      </w:r>
      <w:r>
        <w:rPr>
          <w:spacing w:val="-20"/>
          <w:sz w:val="21"/>
        </w:rPr>
        <w:t>，</w:t>
      </w:r>
      <w:r>
        <w:rPr>
          <w:sz w:val="21"/>
        </w:rPr>
        <w:t>自出生之日起为零周岁，每经过一年增加一岁，不足一年的不计。</w:t>
      </w:r>
    </w:p>
    <w:sectPr>
      <w:pgSz w:w="11910" w:h="16840"/>
      <w:pgMar w:top="142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2620" w:hanging="874"/>
        <w:jc w:val="left"/>
      </w:pPr>
      <w:rPr>
        <w:rFonts w:hint="default"/>
      </w:rPr>
    </w:lvl>
    <w:lvl w:ilvl="1">
      <w:start w:val="18"/>
      <w:numFmt w:val="decimal"/>
      <w:lvlText w:val="%1.%2"/>
      <w:lvlJc w:val="left"/>
      <w:pPr>
        <w:ind w:left="2620" w:hanging="874"/>
        <w:jc w:val="left"/>
      </w:pPr>
      <w:rPr>
        <w:rFonts w:hint="default" w:ascii="黑体" w:hAnsi="黑体" w:eastAsia="黑体" w:cs="黑体"/>
        <w:spacing w:val="-10"/>
        <w:w w:val="100"/>
        <w:sz w:val="21"/>
        <w:szCs w:val="21"/>
      </w:rPr>
    </w:lvl>
    <w:lvl w:ilvl="2">
      <w:start w:val="0"/>
      <w:numFmt w:val="bullet"/>
      <w:lvlText w:val="•"/>
      <w:lvlJc w:val="left"/>
      <w:pPr>
        <w:ind w:left="4024" w:hanging="874"/>
      </w:pPr>
      <w:rPr>
        <w:rFonts w:hint="default"/>
      </w:rPr>
    </w:lvl>
    <w:lvl w:ilvl="3">
      <w:start w:val="0"/>
      <w:numFmt w:val="bullet"/>
      <w:lvlText w:val="•"/>
      <w:lvlJc w:val="left"/>
      <w:pPr>
        <w:ind w:left="4727" w:hanging="874"/>
      </w:pPr>
      <w:rPr>
        <w:rFonts w:hint="default"/>
      </w:rPr>
    </w:lvl>
    <w:lvl w:ilvl="4">
      <w:start w:val="0"/>
      <w:numFmt w:val="bullet"/>
      <w:lvlText w:val="•"/>
      <w:lvlJc w:val="left"/>
      <w:pPr>
        <w:ind w:left="5429" w:hanging="874"/>
      </w:pPr>
      <w:rPr>
        <w:rFonts w:hint="default"/>
      </w:rPr>
    </w:lvl>
    <w:lvl w:ilvl="5">
      <w:start w:val="0"/>
      <w:numFmt w:val="bullet"/>
      <w:lvlText w:val="•"/>
      <w:lvlJc w:val="left"/>
      <w:pPr>
        <w:ind w:left="6132" w:hanging="874"/>
      </w:pPr>
      <w:rPr>
        <w:rFonts w:hint="default"/>
      </w:rPr>
    </w:lvl>
    <w:lvl w:ilvl="6">
      <w:start w:val="0"/>
      <w:numFmt w:val="bullet"/>
      <w:lvlText w:val="•"/>
      <w:lvlJc w:val="left"/>
      <w:pPr>
        <w:ind w:left="6834" w:hanging="874"/>
      </w:pPr>
      <w:rPr>
        <w:rFonts w:hint="default"/>
      </w:rPr>
    </w:lvl>
    <w:lvl w:ilvl="7">
      <w:start w:val="0"/>
      <w:numFmt w:val="bullet"/>
      <w:lvlText w:val="•"/>
      <w:lvlJc w:val="left"/>
      <w:pPr>
        <w:ind w:left="7537" w:hanging="874"/>
      </w:pPr>
      <w:rPr>
        <w:rFonts w:hint="default"/>
      </w:rPr>
    </w:lvl>
    <w:lvl w:ilvl="8">
      <w:start w:val="0"/>
      <w:numFmt w:val="bullet"/>
      <w:lvlText w:val="•"/>
      <w:lvlJc w:val="left"/>
      <w:pPr>
        <w:ind w:left="8239" w:hanging="874"/>
      </w:pPr>
      <w:rPr>
        <w:rFonts w:hint="default"/>
      </w:rPr>
    </w:lvl>
  </w:abstractNum>
  <w:abstractNum w:abstractNumId="4">
    <w:multiLevelType w:val="hybridMultilevel"/>
    <w:lvl w:ilvl="0">
      <w:start w:val="7"/>
      <w:numFmt w:val="decimal"/>
      <w:lvlText w:val="%1"/>
      <w:lvlJc w:val="left"/>
      <w:pPr>
        <w:ind w:left="2680" w:hanging="874"/>
        <w:jc w:val="left"/>
      </w:pPr>
      <w:rPr>
        <w:rFonts w:hint="default"/>
      </w:rPr>
    </w:lvl>
    <w:lvl w:ilvl="1">
      <w:start w:val="1"/>
      <w:numFmt w:val="decimal"/>
      <w:lvlText w:val="%1.%2"/>
      <w:lvlJc w:val="left"/>
      <w:pPr>
        <w:ind w:left="2680" w:hanging="874"/>
        <w:jc w:val="left"/>
      </w:pPr>
      <w:rPr>
        <w:rFonts w:hint="default"/>
      </w:rPr>
    </w:lvl>
    <w:lvl w:ilvl="2">
      <w:start w:val="9"/>
      <w:numFmt w:val="decimal"/>
      <w:lvlText w:val="%1.%2.%3"/>
      <w:lvlJc w:val="left"/>
      <w:pPr>
        <w:ind w:left="2680" w:hanging="874"/>
        <w:jc w:val="left"/>
      </w:pPr>
      <w:rPr>
        <w:rFonts w:hint="default" w:ascii="黑体" w:hAnsi="黑体" w:eastAsia="黑体" w:cs="黑体"/>
        <w:spacing w:val="-53"/>
        <w:w w:val="100"/>
        <w:sz w:val="21"/>
        <w:szCs w:val="21"/>
      </w:rPr>
    </w:lvl>
    <w:lvl w:ilvl="3">
      <w:start w:val="0"/>
      <w:numFmt w:val="bullet"/>
      <w:lvlText w:val="•"/>
      <w:lvlJc w:val="left"/>
      <w:pPr>
        <w:ind w:left="4799" w:hanging="874"/>
      </w:pPr>
      <w:rPr>
        <w:rFonts w:hint="default"/>
      </w:rPr>
    </w:lvl>
    <w:lvl w:ilvl="4">
      <w:start w:val="0"/>
      <w:numFmt w:val="bullet"/>
      <w:lvlText w:val="•"/>
      <w:lvlJc w:val="left"/>
      <w:pPr>
        <w:ind w:left="5505" w:hanging="874"/>
      </w:pPr>
      <w:rPr>
        <w:rFonts w:hint="default"/>
      </w:rPr>
    </w:lvl>
    <w:lvl w:ilvl="5">
      <w:start w:val="0"/>
      <w:numFmt w:val="bullet"/>
      <w:lvlText w:val="•"/>
      <w:lvlJc w:val="left"/>
      <w:pPr>
        <w:ind w:left="6212" w:hanging="874"/>
      </w:pPr>
      <w:rPr>
        <w:rFonts w:hint="default"/>
      </w:rPr>
    </w:lvl>
    <w:lvl w:ilvl="6">
      <w:start w:val="0"/>
      <w:numFmt w:val="bullet"/>
      <w:lvlText w:val="•"/>
      <w:lvlJc w:val="left"/>
      <w:pPr>
        <w:ind w:left="6918" w:hanging="874"/>
      </w:pPr>
      <w:rPr>
        <w:rFonts w:hint="default"/>
      </w:rPr>
    </w:lvl>
    <w:lvl w:ilvl="7">
      <w:start w:val="0"/>
      <w:numFmt w:val="bullet"/>
      <w:lvlText w:val="•"/>
      <w:lvlJc w:val="left"/>
      <w:pPr>
        <w:ind w:left="7625" w:hanging="874"/>
      </w:pPr>
      <w:rPr>
        <w:rFonts w:hint="default"/>
      </w:rPr>
    </w:lvl>
    <w:lvl w:ilvl="8">
      <w:start w:val="0"/>
      <w:numFmt w:val="bullet"/>
      <w:lvlText w:val="•"/>
      <w:lvlJc w:val="left"/>
      <w:pPr>
        <w:ind w:left="8331" w:hanging="874"/>
      </w:pPr>
      <w:rPr>
        <w:rFonts w:hint="default"/>
      </w:rPr>
    </w:lvl>
  </w:abstractNum>
  <w:abstractNum w:abstractNumId="3">
    <w:multiLevelType w:val="hybridMultilevel"/>
    <w:lvl w:ilvl="0">
      <w:start w:val="3"/>
      <w:numFmt w:val="decimal"/>
      <w:lvlText w:val="%1"/>
      <w:lvlJc w:val="left"/>
      <w:pPr>
        <w:ind w:left="2740" w:hanging="874"/>
        <w:jc w:val="left"/>
      </w:pPr>
      <w:rPr>
        <w:rFonts w:hint="default"/>
      </w:rPr>
    </w:lvl>
    <w:lvl w:ilvl="1">
      <w:start w:val="1"/>
      <w:numFmt w:val="decimal"/>
      <w:lvlText w:val="%1.%2"/>
      <w:lvlJc w:val="left"/>
      <w:pPr>
        <w:ind w:left="2740" w:hanging="874"/>
        <w:jc w:val="left"/>
      </w:pPr>
      <w:rPr>
        <w:rFonts w:hint="default" w:ascii="黑体" w:hAnsi="黑体" w:eastAsia="黑体" w:cs="黑体"/>
        <w:w w:val="100"/>
        <w:sz w:val="21"/>
        <w:szCs w:val="21"/>
      </w:rPr>
    </w:lvl>
    <w:lvl w:ilvl="2">
      <w:start w:val="0"/>
      <w:numFmt w:val="bullet"/>
      <w:lvlText w:val="•"/>
      <w:lvlJc w:val="left"/>
      <w:pPr>
        <w:ind w:left="4144" w:hanging="874"/>
      </w:pPr>
      <w:rPr>
        <w:rFonts w:hint="default"/>
      </w:rPr>
    </w:lvl>
    <w:lvl w:ilvl="3">
      <w:start w:val="0"/>
      <w:numFmt w:val="bullet"/>
      <w:lvlText w:val="•"/>
      <w:lvlJc w:val="left"/>
      <w:pPr>
        <w:ind w:left="4847" w:hanging="874"/>
      </w:pPr>
      <w:rPr>
        <w:rFonts w:hint="default"/>
      </w:rPr>
    </w:lvl>
    <w:lvl w:ilvl="4">
      <w:start w:val="0"/>
      <w:numFmt w:val="bullet"/>
      <w:lvlText w:val="•"/>
      <w:lvlJc w:val="left"/>
      <w:pPr>
        <w:ind w:left="5549" w:hanging="874"/>
      </w:pPr>
      <w:rPr>
        <w:rFonts w:hint="default"/>
      </w:rPr>
    </w:lvl>
    <w:lvl w:ilvl="5">
      <w:start w:val="0"/>
      <w:numFmt w:val="bullet"/>
      <w:lvlText w:val="•"/>
      <w:lvlJc w:val="left"/>
      <w:pPr>
        <w:ind w:left="6252" w:hanging="874"/>
      </w:pPr>
      <w:rPr>
        <w:rFonts w:hint="default"/>
      </w:rPr>
    </w:lvl>
    <w:lvl w:ilvl="6">
      <w:start w:val="0"/>
      <w:numFmt w:val="bullet"/>
      <w:lvlText w:val="•"/>
      <w:lvlJc w:val="left"/>
      <w:pPr>
        <w:ind w:left="6954" w:hanging="874"/>
      </w:pPr>
      <w:rPr>
        <w:rFonts w:hint="default"/>
      </w:rPr>
    </w:lvl>
    <w:lvl w:ilvl="7">
      <w:start w:val="0"/>
      <w:numFmt w:val="bullet"/>
      <w:lvlText w:val="•"/>
      <w:lvlJc w:val="left"/>
      <w:pPr>
        <w:ind w:left="7657" w:hanging="874"/>
      </w:pPr>
      <w:rPr>
        <w:rFonts w:hint="default"/>
      </w:rPr>
    </w:lvl>
    <w:lvl w:ilvl="8">
      <w:start w:val="0"/>
      <w:numFmt w:val="bullet"/>
      <w:lvlText w:val="•"/>
      <w:lvlJc w:val="left"/>
      <w:pPr>
        <w:ind w:left="8359" w:hanging="874"/>
      </w:pPr>
      <w:rPr>
        <w:rFonts w:hint="default"/>
      </w:rPr>
    </w:lvl>
  </w:abstractNum>
  <w:abstractNum w:abstractNumId="2">
    <w:multiLevelType w:val="hybridMultilevel"/>
    <w:lvl w:ilvl="0">
      <w:start w:val="2"/>
      <w:numFmt w:val="decimal"/>
      <w:lvlText w:val="%1"/>
      <w:lvlJc w:val="left"/>
      <w:pPr>
        <w:ind w:left="2740" w:hanging="874"/>
        <w:jc w:val="left"/>
      </w:pPr>
      <w:rPr>
        <w:rFonts w:hint="default"/>
      </w:rPr>
    </w:lvl>
    <w:lvl w:ilvl="1">
      <w:start w:val="1"/>
      <w:numFmt w:val="decimal"/>
      <w:lvlText w:val="%1.%2"/>
      <w:lvlJc w:val="left"/>
      <w:pPr>
        <w:ind w:left="2740" w:hanging="874"/>
        <w:jc w:val="left"/>
      </w:pPr>
      <w:rPr>
        <w:rFonts w:hint="default" w:ascii="黑体" w:hAnsi="黑体" w:eastAsia="黑体" w:cs="黑体"/>
        <w:spacing w:val="-1"/>
        <w:w w:val="100"/>
        <w:sz w:val="21"/>
        <w:szCs w:val="21"/>
      </w:rPr>
    </w:lvl>
    <w:lvl w:ilvl="2">
      <w:start w:val="0"/>
      <w:numFmt w:val="bullet"/>
      <w:lvlText w:val="•"/>
      <w:lvlJc w:val="left"/>
      <w:pPr>
        <w:ind w:left="4164" w:hanging="874"/>
      </w:pPr>
      <w:rPr>
        <w:rFonts w:hint="default"/>
      </w:rPr>
    </w:lvl>
    <w:lvl w:ilvl="3">
      <w:start w:val="0"/>
      <w:numFmt w:val="bullet"/>
      <w:lvlText w:val="•"/>
      <w:lvlJc w:val="left"/>
      <w:pPr>
        <w:ind w:left="4877" w:hanging="874"/>
      </w:pPr>
      <w:rPr>
        <w:rFonts w:hint="default"/>
      </w:rPr>
    </w:lvl>
    <w:lvl w:ilvl="4">
      <w:start w:val="0"/>
      <w:numFmt w:val="bullet"/>
      <w:lvlText w:val="•"/>
      <w:lvlJc w:val="left"/>
      <w:pPr>
        <w:ind w:left="5589" w:hanging="874"/>
      </w:pPr>
      <w:rPr>
        <w:rFonts w:hint="default"/>
      </w:rPr>
    </w:lvl>
    <w:lvl w:ilvl="5">
      <w:start w:val="0"/>
      <w:numFmt w:val="bullet"/>
      <w:lvlText w:val="•"/>
      <w:lvlJc w:val="left"/>
      <w:pPr>
        <w:ind w:left="6302" w:hanging="874"/>
      </w:pPr>
      <w:rPr>
        <w:rFonts w:hint="default"/>
      </w:rPr>
    </w:lvl>
    <w:lvl w:ilvl="6">
      <w:start w:val="0"/>
      <w:numFmt w:val="bullet"/>
      <w:lvlText w:val="•"/>
      <w:lvlJc w:val="left"/>
      <w:pPr>
        <w:ind w:left="7014" w:hanging="874"/>
      </w:pPr>
      <w:rPr>
        <w:rFonts w:hint="default"/>
      </w:rPr>
    </w:lvl>
    <w:lvl w:ilvl="7">
      <w:start w:val="0"/>
      <w:numFmt w:val="bullet"/>
      <w:lvlText w:val="•"/>
      <w:lvlJc w:val="left"/>
      <w:pPr>
        <w:ind w:left="7727" w:hanging="874"/>
      </w:pPr>
      <w:rPr>
        <w:rFonts w:hint="default"/>
      </w:rPr>
    </w:lvl>
    <w:lvl w:ilvl="8">
      <w:start w:val="0"/>
      <w:numFmt w:val="bullet"/>
      <w:lvlText w:val="•"/>
      <w:lvlJc w:val="left"/>
      <w:pPr>
        <w:ind w:left="8439" w:hanging="874"/>
      </w:pPr>
      <w:rPr>
        <w:rFonts w:hint="default"/>
      </w:rPr>
    </w:lvl>
  </w:abstractNum>
  <w:abstractNum w:abstractNumId="1">
    <w:multiLevelType w:val="hybridMultilevel"/>
    <w:lvl w:ilvl="0">
      <w:start w:val="1"/>
      <w:numFmt w:val="decimal"/>
      <w:lvlText w:val="%1"/>
      <w:lvlJc w:val="left"/>
      <w:pPr>
        <w:ind w:left="2740" w:hanging="874"/>
        <w:jc w:val="left"/>
      </w:pPr>
      <w:rPr>
        <w:rFonts w:hint="default"/>
      </w:rPr>
    </w:lvl>
    <w:lvl w:ilvl="1">
      <w:start w:val="1"/>
      <w:numFmt w:val="decimal"/>
      <w:lvlText w:val="%1.%2"/>
      <w:lvlJc w:val="left"/>
      <w:pPr>
        <w:ind w:left="2740" w:hanging="874"/>
        <w:jc w:val="left"/>
      </w:pPr>
      <w:rPr>
        <w:rFonts w:hint="default" w:ascii="黑体" w:hAnsi="黑体" w:eastAsia="黑体" w:cs="黑体"/>
        <w:spacing w:val="-1"/>
        <w:w w:val="100"/>
        <w:sz w:val="21"/>
        <w:szCs w:val="21"/>
      </w:rPr>
    </w:lvl>
    <w:lvl w:ilvl="2">
      <w:start w:val="0"/>
      <w:numFmt w:val="bullet"/>
      <w:lvlText w:val="•"/>
      <w:lvlJc w:val="left"/>
      <w:pPr>
        <w:ind w:left="4164" w:hanging="874"/>
      </w:pPr>
      <w:rPr>
        <w:rFonts w:hint="default"/>
      </w:rPr>
    </w:lvl>
    <w:lvl w:ilvl="3">
      <w:start w:val="0"/>
      <w:numFmt w:val="bullet"/>
      <w:lvlText w:val="•"/>
      <w:lvlJc w:val="left"/>
      <w:pPr>
        <w:ind w:left="4877" w:hanging="874"/>
      </w:pPr>
      <w:rPr>
        <w:rFonts w:hint="default"/>
      </w:rPr>
    </w:lvl>
    <w:lvl w:ilvl="4">
      <w:start w:val="0"/>
      <w:numFmt w:val="bullet"/>
      <w:lvlText w:val="•"/>
      <w:lvlJc w:val="left"/>
      <w:pPr>
        <w:ind w:left="5589" w:hanging="874"/>
      </w:pPr>
      <w:rPr>
        <w:rFonts w:hint="default"/>
      </w:rPr>
    </w:lvl>
    <w:lvl w:ilvl="5">
      <w:start w:val="0"/>
      <w:numFmt w:val="bullet"/>
      <w:lvlText w:val="•"/>
      <w:lvlJc w:val="left"/>
      <w:pPr>
        <w:ind w:left="6302" w:hanging="874"/>
      </w:pPr>
      <w:rPr>
        <w:rFonts w:hint="default"/>
      </w:rPr>
    </w:lvl>
    <w:lvl w:ilvl="6">
      <w:start w:val="0"/>
      <w:numFmt w:val="bullet"/>
      <w:lvlText w:val="•"/>
      <w:lvlJc w:val="left"/>
      <w:pPr>
        <w:ind w:left="7014" w:hanging="874"/>
      </w:pPr>
      <w:rPr>
        <w:rFonts w:hint="default"/>
      </w:rPr>
    </w:lvl>
    <w:lvl w:ilvl="7">
      <w:start w:val="0"/>
      <w:numFmt w:val="bullet"/>
      <w:lvlText w:val="•"/>
      <w:lvlJc w:val="left"/>
      <w:pPr>
        <w:ind w:left="7727" w:hanging="874"/>
      </w:pPr>
      <w:rPr>
        <w:rFonts w:hint="default"/>
      </w:rPr>
    </w:lvl>
    <w:lvl w:ilvl="8">
      <w:start w:val="0"/>
      <w:numFmt w:val="bullet"/>
      <w:lvlText w:val="•"/>
      <w:lvlJc w:val="left"/>
      <w:pPr>
        <w:ind w:left="8439" w:hanging="874"/>
      </w:pPr>
      <w:rPr>
        <w:rFonts w:hint="default"/>
      </w:rPr>
    </w:lvl>
  </w:abstractNum>
  <w:abstractNum w:abstractNumId="0">
    <w:multiLevelType w:val="hybridMultilevel"/>
    <w:lvl w:ilvl="0">
      <w:start w:val="0"/>
      <w:numFmt w:val="bullet"/>
      <w:lvlText w:val="❖"/>
      <w:lvlJc w:val="left"/>
      <w:pPr>
        <w:ind w:left="1029" w:hanging="360"/>
      </w:pPr>
      <w:rPr>
        <w:rFonts w:hint="default" w:ascii="MS UI Gothic" w:hAnsi="MS UI Gothic" w:eastAsia="MS UI Gothic" w:cs="MS UI Gothic"/>
        <w:w w:val="89"/>
        <w:sz w:val="18"/>
        <w:szCs w:val="18"/>
      </w:rPr>
    </w:lvl>
    <w:lvl w:ilvl="1">
      <w:start w:val="0"/>
      <w:numFmt w:val="bullet"/>
      <w:lvlText w:val="•"/>
      <w:lvlJc w:val="left"/>
      <w:pPr>
        <w:ind w:left="1910" w:hanging="360"/>
      </w:pPr>
      <w:rPr>
        <w:rFonts w:hint="default"/>
      </w:rPr>
    </w:lvl>
    <w:lvl w:ilvl="2">
      <w:start w:val="0"/>
      <w:numFmt w:val="bullet"/>
      <w:lvlText w:val="•"/>
      <w:lvlJc w:val="left"/>
      <w:pPr>
        <w:ind w:left="2800" w:hanging="360"/>
      </w:pPr>
      <w:rPr>
        <w:rFonts w:hint="default"/>
      </w:rPr>
    </w:lvl>
    <w:lvl w:ilvl="3">
      <w:start w:val="0"/>
      <w:numFmt w:val="bullet"/>
      <w:lvlText w:val="•"/>
      <w:lvlJc w:val="left"/>
      <w:pPr>
        <w:ind w:left="3691" w:hanging="360"/>
      </w:pPr>
      <w:rPr>
        <w:rFonts w:hint="default"/>
      </w:rPr>
    </w:lvl>
    <w:lvl w:ilvl="4">
      <w:start w:val="0"/>
      <w:numFmt w:val="bullet"/>
      <w:lvlText w:val="•"/>
      <w:lvlJc w:val="left"/>
      <w:pPr>
        <w:ind w:left="4581" w:hanging="360"/>
      </w:pPr>
      <w:rPr>
        <w:rFonts w:hint="default"/>
      </w:rPr>
    </w:lvl>
    <w:lvl w:ilvl="5">
      <w:start w:val="0"/>
      <w:numFmt w:val="bullet"/>
      <w:lvlText w:val="•"/>
      <w:lvlJc w:val="left"/>
      <w:pPr>
        <w:ind w:left="5472" w:hanging="360"/>
      </w:pPr>
      <w:rPr>
        <w:rFonts w:hint="default"/>
      </w:rPr>
    </w:lvl>
    <w:lvl w:ilvl="6">
      <w:start w:val="0"/>
      <w:numFmt w:val="bullet"/>
      <w:lvlText w:val="•"/>
      <w:lvlJc w:val="left"/>
      <w:pPr>
        <w:ind w:left="6362" w:hanging="360"/>
      </w:pPr>
      <w:rPr>
        <w:rFonts w:hint="default"/>
      </w:rPr>
    </w:lvl>
    <w:lvl w:ilvl="7">
      <w:start w:val="0"/>
      <w:numFmt w:val="bullet"/>
      <w:lvlText w:val="•"/>
      <w:lvlJc w:val="left"/>
      <w:pPr>
        <w:ind w:left="7253" w:hanging="360"/>
      </w:pPr>
      <w:rPr>
        <w:rFonts w:hint="default"/>
      </w:rPr>
    </w:lvl>
    <w:lvl w:ilvl="8">
      <w:start w:val="0"/>
      <w:numFmt w:val="bullet"/>
      <w:lvlText w:val="•"/>
      <w:lvlJc w:val="left"/>
      <w:pPr>
        <w:ind w:left="8143"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5"/>
      <w:ind w:left="114" w:right="939" w:hanging="322"/>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ind w:left="2740" w:hanging="251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zhumingzhou</dc:creator>
  <dc:title>&lt;4D6963726F736F667420576F7264202D20CCABB1A3CAD9A3A832303039A3A9313131BAC5B8BDBCFE3536B8BDBCD3B8A3B0B2BFB5D6D8B4F3BCB2B2A1B1A3CFD5CCF5BFEEA3A8B6FECEACC2EBB0E6A3A92E646F63&gt;</dc:title>
  <dcterms:created xsi:type="dcterms:W3CDTF">2018-10-20T01:30:15Z</dcterms:created>
  <dcterms:modified xsi:type="dcterms:W3CDTF">2018-10-20T01:30:15Z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vt:lpwstr>
  </property>
  <property fmtid="{D5CDD505-2E9C-101B-9397-08002B2CF9AE}" pid="4" name="LastSaved">
    <vt:filetime>2018-10-19T00:00:00Z</vt:filetime>
  </property>
</Properties>
</file>