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15"/>
        </w:rPr>
      </w:pPr>
    </w:p>
    <w:p>
      <w:pPr>
        <w:pStyle w:val="BodyText"/>
        <w:spacing w:before="36"/>
        <w:ind w:right="368"/>
        <w:jc w:val="right"/>
      </w:pPr>
      <w:r>
        <w:rPr/>
        <w:drawing>
          <wp:anchor distT="0" distB="0" distL="0" distR="0" allowOverlap="1" layoutInCell="1" locked="0" behindDoc="0" simplePos="0" relativeHeight="0">
            <wp:simplePos x="0" y="0"/>
            <wp:positionH relativeFrom="page">
              <wp:posOffset>5715000</wp:posOffset>
            </wp:positionH>
            <wp:positionV relativeFrom="paragraph">
              <wp:posOffset>260904</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t>华泰人寿[2014]疾病保险 015 号</w:t>
      </w:r>
    </w:p>
    <w:p>
      <w:pPr>
        <w:pStyle w:val="BodyText"/>
        <w:spacing w:before="13"/>
        <w:ind w:right="580"/>
        <w:jc w:val="right"/>
      </w:pPr>
      <w:r>
        <w:rPr/>
        <w:t>请扫描以查询验证条款</w:t>
      </w:r>
    </w:p>
    <w:p>
      <w:pPr>
        <w:pStyle w:val="Heading1"/>
        <w:spacing w:line="220" w:lineRule="auto" w:before="44"/>
        <w:ind w:left="4192" w:right="2949" w:hanging="1362"/>
      </w:pPr>
      <w:r>
        <w:rPr/>
        <w:t>百万康泰终身重大疾病保险条款阅  读  指 引</w:t>
      </w:r>
    </w:p>
    <w:p>
      <w:pPr>
        <w:pStyle w:val="BodyText"/>
        <w:spacing w:before="1"/>
        <w:rPr>
          <w:rFonts w:ascii="微软雅黑"/>
          <w:b/>
          <w:sz w:val="11"/>
        </w:rPr>
      </w:pPr>
    </w:p>
    <w:p>
      <w:pPr>
        <w:pStyle w:val="BodyText"/>
        <w:spacing w:before="37"/>
        <w:ind w:left="2019" w:right="2077"/>
        <w:jc w:val="center"/>
      </w:pPr>
      <w:r>
        <w:rPr/>
        <w:drawing>
          <wp:anchor distT="0" distB="0" distL="0" distR="0" allowOverlap="1" layoutInCell="1" locked="0" behindDoc="1" simplePos="0" relativeHeight="268401551">
            <wp:simplePos x="0" y="0"/>
            <wp:positionH relativeFrom="page">
              <wp:posOffset>630936</wp:posOffset>
            </wp:positionH>
            <wp:positionV relativeFrom="paragraph">
              <wp:posOffset>272207</wp:posOffset>
            </wp:positionV>
            <wp:extent cx="6368542" cy="6218809"/>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368542" cy="6218809"/>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1"/>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52"/>
          <w:w w:val="100"/>
        </w:rPr>
        <w:t>约</w:t>
      </w:r>
      <w:r>
        <w:rPr>
          <w:spacing w:val="-63"/>
          <w:w w:val="100"/>
          <w:position w:val="-7"/>
        </w:rPr>
        <w:t>．</w:t>
      </w:r>
      <w:r>
        <w:rPr>
          <w:spacing w:val="-149"/>
          <w:w w:val="100"/>
        </w:rPr>
        <w:t>定</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pStyle w:val="Heading2"/>
        <w:tabs>
          <w:tab w:pos="1263" w:val="left" w:leader="none"/>
        </w:tabs>
        <w:spacing w:before="84"/>
        <w:ind w:left="252"/>
      </w:pPr>
      <w:r>
        <w:rPr>
          <w:rFonts w:ascii="Arial" w:hAnsi="Arial" w:eastAsia="Arial"/>
          <w:w w:val="105"/>
          <w:position w:val="-11"/>
          <w:sz w:val="52"/>
        </w:rPr>
        <w:t></w:t>
        <w:tab/>
      </w:r>
      <w:r>
        <w:rPr>
          <w:spacing w:val="-1"/>
        </w:rPr>
        <w:t>您拥有的重要权益</w:t>
      </w:r>
    </w:p>
    <w:p>
      <w:pPr>
        <w:pStyle w:val="ListParagraph"/>
        <w:numPr>
          <w:ilvl w:val="0"/>
          <w:numId w:val="1"/>
        </w:numPr>
        <w:tabs>
          <w:tab w:pos="1282" w:val="left" w:leader="none"/>
          <w:tab w:pos="1283" w:val="left" w:leader="none"/>
          <w:tab w:pos="9581" w:val="right" w:leader="dot"/>
        </w:tabs>
        <w:spacing w:line="240" w:lineRule="auto" w:before="26" w:after="0"/>
        <w:ind w:left="1282" w:right="0" w:hanging="398"/>
        <w:jc w:val="left"/>
        <w:rPr>
          <w:sz w:val="21"/>
        </w:rPr>
      </w:pPr>
      <w:r>
        <w:rPr>
          <w:spacing w:val="-3"/>
          <w:sz w:val="21"/>
        </w:rPr>
        <w:t>签</w:t>
      </w:r>
      <w:r>
        <w:rPr>
          <w:sz w:val="21"/>
        </w:rPr>
        <w:t>收</w:t>
      </w:r>
      <w:r>
        <w:rPr>
          <w:spacing w:val="-3"/>
          <w:sz w:val="21"/>
        </w:rPr>
        <w:t>本</w:t>
      </w:r>
      <w:r>
        <w:rPr>
          <w:sz w:val="21"/>
        </w:rPr>
        <w:t>合</w:t>
      </w:r>
      <w:r>
        <w:rPr>
          <w:spacing w:val="-3"/>
          <w:sz w:val="21"/>
        </w:rPr>
        <w:t>同之</w:t>
      </w:r>
      <w:r>
        <w:rPr>
          <w:sz w:val="21"/>
        </w:rPr>
        <w:t>日起</w:t>
      </w:r>
      <w:r>
        <w:rPr>
          <w:spacing w:val="-51"/>
          <w:sz w:val="21"/>
        </w:rPr>
        <w:t> </w:t>
      </w:r>
      <w:r>
        <w:rPr>
          <w:sz w:val="21"/>
        </w:rPr>
        <w:t>10</w:t>
      </w:r>
      <w:r>
        <w:rPr>
          <w:spacing w:val="-52"/>
          <w:sz w:val="21"/>
        </w:rPr>
        <w:t> </w:t>
      </w:r>
      <w:r>
        <w:rPr>
          <w:spacing w:val="-3"/>
          <w:sz w:val="21"/>
        </w:rPr>
        <w:t>日</w:t>
      </w:r>
      <w:r>
        <w:rPr>
          <w:sz w:val="21"/>
        </w:rPr>
        <w:t>内</w:t>
      </w:r>
      <w:r>
        <w:rPr>
          <w:spacing w:val="-3"/>
          <w:sz w:val="21"/>
        </w:rPr>
        <w:t>（</w:t>
      </w:r>
      <w:r>
        <w:rPr>
          <w:sz w:val="21"/>
        </w:rPr>
        <w:t>即</w:t>
      </w:r>
      <w:r>
        <w:rPr>
          <w:spacing w:val="-3"/>
          <w:sz w:val="21"/>
        </w:rPr>
        <w:t>犹</w:t>
      </w:r>
      <w:r>
        <w:rPr>
          <w:sz w:val="21"/>
        </w:rPr>
        <w:t>豫</w:t>
      </w:r>
      <w:r>
        <w:rPr>
          <w:spacing w:val="-3"/>
          <w:sz w:val="21"/>
        </w:rPr>
        <w:t>期）</w:t>
      </w:r>
      <w:r>
        <w:rPr>
          <w:sz w:val="21"/>
        </w:rPr>
        <w:t>您若</w:t>
      </w:r>
      <w:r>
        <w:rPr>
          <w:spacing w:val="-3"/>
          <w:sz w:val="21"/>
        </w:rPr>
        <w:t>要</w:t>
      </w:r>
      <w:r>
        <w:rPr>
          <w:sz w:val="21"/>
        </w:rPr>
        <w:t>求</w:t>
      </w:r>
      <w:r>
        <w:rPr>
          <w:spacing w:val="-3"/>
          <w:sz w:val="21"/>
        </w:rPr>
        <w:t>退</w:t>
      </w:r>
      <w:r>
        <w:rPr>
          <w:sz w:val="21"/>
        </w:rPr>
        <w:t>保</w:t>
      </w:r>
      <w:r>
        <w:rPr>
          <w:spacing w:val="-3"/>
          <w:sz w:val="21"/>
        </w:rPr>
        <w:t>，</w:t>
      </w:r>
      <w:r>
        <w:rPr>
          <w:sz w:val="21"/>
        </w:rPr>
        <w:t>我</w:t>
      </w:r>
      <w:r>
        <w:rPr>
          <w:spacing w:val="-3"/>
          <w:sz w:val="21"/>
        </w:rPr>
        <w:t>们</w:t>
      </w:r>
      <w:r>
        <w:rPr>
          <w:sz w:val="21"/>
        </w:rPr>
        <w:t>仅</w:t>
      </w:r>
      <w:r>
        <w:rPr>
          <w:spacing w:val="-3"/>
          <w:sz w:val="21"/>
        </w:rPr>
        <w:t>扣</w:t>
      </w:r>
      <w:r>
        <w:rPr>
          <w:sz w:val="21"/>
        </w:rPr>
        <w:t>除工</w:t>
      </w:r>
      <w:r>
        <w:rPr>
          <w:spacing w:val="-3"/>
          <w:sz w:val="21"/>
        </w:rPr>
        <w:t>本</w:t>
      </w:r>
      <w:r>
        <w:rPr>
          <w:sz w:val="21"/>
        </w:rPr>
        <w:t>费</w:t>
        <w:tab/>
        <w:t>1.4</w:t>
      </w:r>
    </w:p>
    <w:p>
      <w:pPr>
        <w:pStyle w:val="ListParagraph"/>
        <w:numPr>
          <w:ilvl w:val="0"/>
          <w:numId w:val="1"/>
        </w:numPr>
        <w:tabs>
          <w:tab w:pos="1282" w:val="left" w:leader="none"/>
          <w:tab w:pos="1283" w:val="left" w:leader="none"/>
          <w:tab w:pos="9581" w:val="right" w:leader="dot"/>
        </w:tabs>
        <w:spacing w:line="240" w:lineRule="auto" w:before="22" w:after="0"/>
        <w:ind w:left="1282" w:right="0" w:hanging="398"/>
        <w:jc w:val="left"/>
        <w:rPr>
          <w:sz w:val="21"/>
        </w:rPr>
      </w:pPr>
      <w:r>
        <w:rPr>
          <w:spacing w:val="-3"/>
          <w:sz w:val="21"/>
        </w:rPr>
        <w:t>本</w:t>
      </w:r>
      <w:r>
        <w:rPr>
          <w:sz w:val="21"/>
        </w:rPr>
        <w:t>合</w:t>
      </w:r>
      <w:r>
        <w:rPr>
          <w:spacing w:val="-3"/>
          <w:sz w:val="21"/>
        </w:rPr>
        <w:t>同</w:t>
      </w:r>
      <w:r>
        <w:rPr>
          <w:sz w:val="21"/>
        </w:rPr>
        <w:t>提</w:t>
      </w:r>
      <w:r>
        <w:rPr>
          <w:spacing w:val="-3"/>
          <w:sz w:val="21"/>
        </w:rPr>
        <w:t>供的</w:t>
      </w:r>
      <w:r>
        <w:rPr>
          <w:sz w:val="21"/>
        </w:rPr>
        <w:t>保障</w:t>
      </w:r>
      <w:r>
        <w:rPr>
          <w:spacing w:val="-3"/>
          <w:sz w:val="21"/>
        </w:rPr>
        <w:t>在</w:t>
      </w:r>
      <w:r>
        <w:rPr>
          <w:sz w:val="21"/>
        </w:rPr>
        <w:t>保</w:t>
      </w:r>
      <w:r>
        <w:rPr>
          <w:spacing w:val="-3"/>
          <w:sz w:val="21"/>
        </w:rPr>
        <w:t>险</w:t>
      </w:r>
      <w:r>
        <w:rPr>
          <w:sz w:val="21"/>
        </w:rPr>
        <w:t>责</w:t>
      </w:r>
      <w:r>
        <w:rPr>
          <w:spacing w:val="-3"/>
          <w:sz w:val="21"/>
        </w:rPr>
        <w:t>任</w:t>
      </w:r>
      <w:r>
        <w:rPr>
          <w:sz w:val="21"/>
        </w:rPr>
        <w:t>条</w:t>
      </w:r>
      <w:r>
        <w:rPr>
          <w:spacing w:val="-3"/>
          <w:sz w:val="21"/>
        </w:rPr>
        <w:t>款</w:t>
      </w:r>
      <w:r>
        <w:rPr>
          <w:sz w:val="21"/>
        </w:rPr>
        <w:t>中</w:t>
      </w:r>
      <w:r>
        <w:rPr>
          <w:spacing w:val="-3"/>
          <w:sz w:val="21"/>
        </w:rPr>
        <w:t>列</w:t>
      </w:r>
      <w:r>
        <w:rPr>
          <w:sz w:val="21"/>
        </w:rPr>
        <w:t>明</w:t>
        <w:tab/>
        <w:t>2.3</w:t>
      </w:r>
    </w:p>
    <w:p>
      <w:pPr>
        <w:pStyle w:val="ListParagraph"/>
        <w:numPr>
          <w:ilvl w:val="0"/>
          <w:numId w:val="1"/>
        </w:numPr>
        <w:tabs>
          <w:tab w:pos="1282" w:val="left" w:leader="none"/>
          <w:tab w:pos="1283" w:val="left" w:leader="none"/>
          <w:tab w:pos="9578" w:val="right" w:leader="dot"/>
        </w:tabs>
        <w:spacing w:line="240" w:lineRule="auto" w:before="22" w:after="0"/>
        <w:ind w:left="1282" w:right="0" w:hanging="398"/>
        <w:jc w:val="left"/>
        <w:rPr>
          <w:sz w:val="21"/>
        </w:rPr>
      </w:pPr>
      <w:r>
        <w:rPr>
          <w:spacing w:val="-3"/>
          <w:sz w:val="21"/>
        </w:rPr>
        <w:t>您</w:t>
      </w:r>
      <w:r>
        <w:rPr>
          <w:sz w:val="21"/>
        </w:rPr>
        <w:t>有</w:t>
      </w:r>
      <w:r>
        <w:rPr>
          <w:spacing w:val="-3"/>
          <w:sz w:val="21"/>
        </w:rPr>
        <w:t>按</w:t>
      </w:r>
      <w:r>
        <w:rPr>
          <w:sz w:val="21"/>
        </w:rPr>
        <w:t>本</w:t>
      </w:r>
      <w:r>
        <w:rPr>
          <w:spacing w:val="-3"/>
          <w:sz w:val="21"/>
        </w:rPr>
        <w:t>合同</w:t>
      </w:r>
      <w:r>
        <w:rPr>
          <w:sz w:val="21"/>
        </w:rPr>
        <w:t>约定</w:t>
      </w:r>
      <w:r>
        <w:rPr>
          <w:spacing w:val="-3"/>
          <w:sz w:val="21"/>
        </w:rPr>
        <w:t>申</w:t>
      </w:r>
      <w:r>
        <w:rPr>
          <w:sz w:val="21"/>
        </w:rPr>
        <w:t>请</w:t>
      </w:r>
      <w:r>
        <w:rPr>
          <w:spacing w:val="-3"/>
          <w:sz w:val="21"/>
        </w:rPr>
        <w:t>保</w:t>
      </w:r>
      <w:r>
        <w:rPr>
          <w:sz w:val="21"/>
        </w:rPr>
        <w:t>单</w:t>
      </w:r>
      <w:r>
        <w:rPr>
          <w:spacing w:val="-3"/>
          <w:sz w:val="21"/>
        </w:rPr>
        <w:t>贷</w:t>
      </w:r>
      <w:r>
        <w:rPr>
          <w:sz w:val="21"/>
        </w:rPr>
        <w:t>款</w:t>
      </w:r>
      <w:r>
        <w:rPr>
          <w:spacing w:val="-3"/>
          <w:sz w:val="21"/>
        </w:rPr>
        <w:t>的</w:t>
      </w:r>
      <w:r>
        <w:rPr>
          <w:sz w:val="21"/>
        </w:rPr>
        <w:t>权利</w:t>
        <w:tab/>
        <w:t>5.2</w:t>
      </w:r>
    </w:p>
    <w:p>
      <w:pPr>
        <w:pStyle w:val="ListParagraph"/>
        <w:numPr>
          <w:ilvl w:val="0"/>
          <w:numId w:val="1"/>
        </w:numPr>
        <w:tabs>
          <w:tab w:pos="1282" w:val="left" w:leader="none"/>
          <w:tab w:pos="1283" w:val="left" w:leader="none"/>
          <w:tab w:pos="9578" w:val="right" w:leader="dot"/>
        </w:tabs>
        <w:spacing w:line="240" w:lineRule="auto" w:before="22" w:after="0"/>
        <w:ind w:left="1282" w:right="0" w:hanging="398"/>
        <w:jc w:val="left"/>
        <w:rPr>
          <w:sz w:val="21"/>
        </w:rPr>
      </w:pPr>
      <w:r>
        <w:rPr>
          <w:spacing w:val="-3"/>
          <w:sz w:val="21"/>
        </w:rPr>
        <w:t>您</w:t>
      </w:r>
      <w:r>
        <w:rPr>
          <w:sz w:val="21"/>
        </w:rPr>
        <w:t>有</w:t>
      </w:r>
      <w:r>
        <w:rPr>
          <w:spacing w:val="-3"/>
          <w:sz w:val="21"/>
        </w:rPr>
        <w:t>退</w:t>
      </w:r>
      <w:r>
        <w:rPr>
          <w:sz w:val="21"/>
        </w:rPr>
        <w:t>保</w:t>
      </w:r>
      <w:r>
        <w:rPr>
          <w:spacing w:val="-3"/>
          <w:sz w:val="21"/>
        </w:rPr>
        <w:t>的权</w:t>
      </w:r>
      <w:r>
        <w:rPr>
          <w:sz w:val="21"/>
        </w:rPr>
        <w:t>利</w:t>
        <w:tab/>
        <w:t>7.1</w:t>
      </w:r>
    </w:p>
    <w:p>
      <w:pPr>
        <w:pStyle w:val="Heading2"/>
        <w:tabs>
          <w:tab w:pos="1263" w:val="left" w:leader="none"/>
        </w:tabs>
        <w:spacing w:before="22"/>
        <w:ind w:left="252"/>
      </w:pPr>
      <w:r>
        <w:rPr>
          <w:rFonts w:ascii="Arial" w:hAnsi="Arial" w:eastAsia="Arial"/>
          <w:w w:val="105"/>
          <w:position w:val="-11"/>
          <w:sz w:val="52"/>
        </w:rPr>
        <w:t></w:t>
        <w:tab/>
      </w:r>
      <w:r>
        <w:rPr>
          <w:spacing w:val="-1"/>
        </w:rPr>
        <w:t>您应当特别注意的事项</w:t>
      </w:r>
    </w:p>
    <w:p>
      <w:pPr>
        <w:pStyle w:val="ListParagraph"/>
        <w:numPr>
          <w:ilvl w:val="0"/>
          <w:numId w:val="1"/>
        </w:numPr>
        <w:tabs>
          <w:tab w:pos="1282" w:val="left" w:leader="none"/>
          <w:tab w:pos="1283" w:val="left" w:leader="none"/>
          <w:tab w:pos="9578" w:val="right" w:leader="dot"/>
        </w:tabs>
        <w:spacing w:line="240" w:lineRule="auto" w:before="26" w:after="0"/>
        <w:ind w:left="1282" w:right="0" w:hanging="398"/>
        <w:jc w:val="left"/>
        <w:rPr>
          <w:sz w:val="21"/>
        </w:rPr>
      </w:pPr>
      <w:r>
        <w:rPr>
          <w:spacing w:val="-3"/>
          <w:sz w:val="21"/>
        </w:rPr>
        <w:t>在</w:t>
      </w:r>
      <w:r>
        <w:rPr>
          <w:sz w:val="21"/>
        </w:rPr>
        <w:t>某</w:t>
      </w:r>
      <w:r>
        <w:rPr>
          <w:spacing w:val="-3"/>
          <w:sz w:val="21"/>
        </w:rPr>
        <w:t>些</w:t>
      </w:r>
      <w:r>
        <w:rPr>
          <w:sz w:val="21"/>
        </w:rPr>
        <w:t>情</w:t>
      </w:r>
      <w:r>
        <w:rPr>
          <w:spacing w:val="-3"/>
          <w:sz w:val="21"/>
        </w:rPr>
        <w:t>况下</w:t>
      </w:r>
      <w:r>
        <w:rPr>
          <w:sz w:val="21"/>
        </w:rPr>
        <w:t>，我</w:t>
      </w:r>
      <w:r>
        <w:rPr>
          <w:spacing w:val="-3"/>
          <w:sz w:val="21"/>
        </w:rPr>
        <w:t>们</w:t>
      </w:r>
      <w:r>
        <w:rPr>
          <w:sz w:val="21"/>
        </w:rPr>
        <w:t>不</w:t>
      </w:r>
      <w:r>
        <w:rPr>
          <w:spacing w:val="-3"/>
          <w:sz w:val="21"/>
        </w:rPr>
        <w:t>承</w:t>
      </w:r>
      <w:r>
        <w:rPr>
          <w:sz w:val="21"/>
        </w:rPr>
        <w:t>担</w:t>
      </w:r>
      <w:r>
        <w:rPr>
          <w:spacing w:val="-3"/>
          <w:sz w:val="21"/>
        </w:rPr>
        <w:t>保</w:t>
      </w:r>
      <w:r>
        <w:rPr>
          <w:sz w:val="21"/>
        </w:rPr>
        <w:t>险</w:t>
      </w:r>
      <w:r>
        <w:rPr>
          <w:spacing w:val="-3"/>
          <w:sz w:val="21"/>
        </w:rPr>
        <w:t>责</w:t>
      </w:r>
      <w:r>
        <w:rPr>
          <w:sz w:val="21"/>
        </w:rPr>
        <w:t>任</w:t>
        <w:tab/>
        <w:t>2.7</w:t>
      </w:r>
    </w:p>
    <w:p>
      <w:pPr>
        <w:pStyle w:val="ListParagraph"/>
        <w:numPr>
          <w:ilvl w:val="0"/>
          <w:numId w:val="1"/>
        </w:numPr>
        <w:tabs>
          <w:tab w:pos="1282" w:val="left" w:leader="none"/>
          <w:tab w:pos="1283" w:val="left" w:leader="none"/>
          <w:tab w:pos="9578" w:val="right" w:leader="dot"/>
        </w:tabs>
        <w:spacing w:line="240" w:lineRule="auto" w:before="22" w:after="0"/>
        <w:ind w:left="1282" w:right="0" w:hanging="398"/>
        <w:jc w:val="left"/>
        <w:rPr>
          <w:sz w:val="21"/>
        </w:rPr>
      </w:pPr>
      <w:r>
        <w:rPr>
          <w:spacing w:val="-3"/>
          <w:sz w:val="21"/>
        </w:rPr>
        <w:t>保</w:t>
      </w:r>
      <w:r>
        <w:rPr>
          <w:sz w:val="21"/>
        </w:rPr>
        <w:t>险</w:t>
      </w:r>
      <w:r>
        <w:rPr>
          <w:spacing w:val="-3"/>
          <w:sz w:val="21"/>
        </w:rPr>
        <w:t>事</w:t>
      </w:r>
      <w:r>
        <w:rPr>
          <w:sz w:val="21"/>
        </w:rPr>
        <w:t>故</w:t>
      </w:r>
      <w:r>
        <w:rPr>
          <w:spacing w:val="-3"/>
          <w:sz w:val="21"/>
        </w:rPr>
        <w:t>发生</w:t>
      </w:r>
      <w:r>
        <w:rPr>
          <w:sz w:val="21"/>
        </w:rPr>
        <w:t>后，</w:t>
      </w:r>
      <w:r>
        <w:rPr>
          <w:spacing w:val="-3"/>
          <w:sz w:val="21"/>
        </w:rPr>
        <w:t>请</w:t>
      </w:r>
      <w:r>
        <w:rPr>
          <w:sz w:val="21"/>
        </w:rPr>
        <w:t>您</w:t>
      </w:r>
      <w:r>
        <w:rPr>
          <w:spacing w:val="-3"/>
          <w:sz w:val="21"/>
        </w:rPr>
        <w:t>及</w:t>
      </w:r>
      <w:r>
        <w:rPr>
          <w:sz w:val="21"/>
        </w:rPr>
        <w:t>时</w:t>
      </w:r>
      <w:r>
        <w:rPr>
          <w:spacing w:val="-3"/>
          <w:sz w:val="21"/>
        </w:rPr>
        <w:t>通</w:t>
      </w:r>
      <w:r>
        <w:rPr>
          <w:sz w:val="21"/>
        </w:rPr>
        <w:t>知</w:t>
      </w:r>
      <w:r>
        <w:rPr>
          <w:spacing w:val="-3"/>
          <w:sz w:val="21"/>
        </w:rPr>
        <w:t>我</w:t>
      </w:r>
      <w:r>
        <w:rPr>
          <w:sz w:val="21"/>
        </w:rPr>
        <w:t>们</w:t>
        <w:tab/>
        <w:t>3.2</w:t>
      </w:r>
    </w:p>
    <w:p>
      <w:pPr>
        <w:pStyle w:val="ListParagraph"/>
        <w:numPr>
          <w:ilvl w:val="0"/>
          <w:numId w:val="1"/>
        </w:numPr>
        <w:tabs>
          <w:tab w:pos="1282" w:val="left" w:leader="none"/>
          <w:tab w:pos="1283" w:val="left" w:leader="none"/>
          <w:tab w:pos="9578" w:val="right" w:leader="dot"/>
        </w:tabs>
        <w:spacing w:line="240" w:lineRule="auto" w:before="22" w:after="0"/>
        <w:ind w:left="1282" w:right="0" w:hanging="398"/>
        <w:jc w:val="left"/>
        <w:rPr>
          <w:sz w:val="21"/>
        </w:rPr>
      </w:pPr>
      <w:r>
        <w:rPr>
          <w:spacing w:val="-3"/>
          <w:sz w:val="21"/>
        </w:rPr>
        <w:t>您</w:t>
      </w:r>
      <w:r>
        <w:rPr>
          <w:sz w:val="21"/>
        </w:rPr>
        <w:t>应</w:t>
      </w:r>
      <w:r>
        <w:rPr>
          <w:spacing w:val="-3"/>
          <w:sz w:val="21"/>
        </w:rPr>
        <w:t>当</w:t>
      </w:r>
      <w:r>
        <w:rPr>
          <w:sz w:val="21"/>
        </w:rPr>
        <w:t>按</w:t>
      </w:r>
      <w:r>
        <w:rPr>
          <w:spacing w:val="-3"/>
          <w:sz w:val="21"/>
        </w:rPr>
        <w:t>时交</w:t>
      </w:r>
      <w:r>
        <w:rPr>
          <w:sz w:val="21"/>
        </w:rPr>
        <w:t>纳保</w:t>
      </w:r>
      <w:r>
        <w:rPr>
          <w:spacing w:val="-3"/>
          <w:sz w:val="21"/>
        </w:rPr>
        <w:t>险</w:t>
      </w:r>
      <w:r>
        <w:rPr>
          <w:sz w:val="21"/>
        </w:rPr>
        <w:t>费</w:t>
        <w:tab/>
        <w:t>4.1</w:t>
      </w:r>
    </w:p>
    <w:p>
      <w:pPr>
        <w:pStyle w:val="ListParagraph"/>
        <w:numPr>
          <w:ilvl w:val="0"/>
          <w:numId w:val="1"/>
        </w:numPr>
        <w:tabs>
          <w:tab w:pos="1282" w:val="left" w:leader="none"/>
          <w:tab w:pos="1283" w:val="left" w:leader="none"/>
          <w:tab w:pos="9581" w:val="right" w:leader="dot"/>
        </w:tabs>
        <w:spacing w:line="240" w:lineRule="auto" w:before="22" w:after="0"/>
        <w:ind w:left="1282" w:right="0" w:hanging="398"/>
        <w:jc w:val="left"/>
        <w:rPr>
          <w:sz w:val="21"/>
        </w:rPr>
      </w:pPr>
      <w:r>
        <w:rPr>
          <w:spacing w:val="-3"/>
          <w:sz w:val="21"/>
        </w:rPr>
        <w:t>退</w:t>
      </w:r>
      <w:r>
        <w:rPr>
          <w:sz w:val="21"/>
        </w:rPr>
        <w:t>保</w:t>
      </w:r>
      <w:r>
        <w:rPr>
          <w:spacing w:val="-3"/>
          <w:sz w:val="21"/>
        </w:rPr>
        <w:t>会</w:t>
      </w:r>
      <w:r>
        <w:rPr>
          <w:sz w:val="21"/>
        </w:rPr>
        <w:t>给</w:t>
      </w:r>
      <w:r>
        <w:rPr>
          <w:spacing w:val="-3"/>
          <w:sz w:val="21"/>
        </w:rPr>
        <w:t>您造</w:t>
      </w:r>
      <w:r>
        <w:rPr>
          <w:sz w:val="21"/>
        </w:rPr>
        <w:t>成一</w:t>
      </w:r>
      <w:r>
        <w:rPr>
          <w:spacing w:val="-3"/>
          <w:sz w:val="21"/>
        </w:rPr>
        <w:t>定</w:t>
      </w:r>
      <w:r>
        <w:rPr>
          <w:sz w:val="21"/>
        </w:rPr>
        <w:t>的</w:t>
      </w:r>
      <w:r>
        <w:rPr>
          <w:spacing w:val="-3"/>
          <w:sz w:val="21"/>
        </w:rPr>
        <w:t>损</w:t>
      </w:r>
      <w:r>
        <w:rPr>
          <w:sz w:val="21"/>
        </w:rPr>
        <w:t>失</w:t>
      </w:r>
      <w:r>
        <w:rPr>
          <w:spacing w:val="-3"/>
          <w:sz w:val="21"/>
        </w:rPr>
        <w:t>，</w:t>
      </w:r>
      <w:r>
        <w:rPr>
          <w:sz w:val="21"/>
        </w:rPr>
        <w:t>请</w:t>
      </w:r>
      <w:r>
        <w:rPr>
          <w:spacing w:val="-3"/>
          <w:sz w:val="21"/>
        </w:rPr>
        <w:t>您</w:t>
      </w:r>
      <w:r>
        <w:rPr>
          <w:sz w:val="21"/>
        </w:rPr>
        <w:t>慎</w:t>
      </w:r>
      <w:r>
        <w:rPr>
          <w:spacing w:val="-3"/>
          <w:sz w:val="21"/>
        </w:rPr>
        <w:t>重</w:t>
      </w:r>
      <w:r>
        <w:rPr>
          <w:sz w:val="21"/>
        </w:rPr>
        <w:t>决策</w:t>
        <w:tab/>
        <w:t>7.1</w:t>
      </w:r>
    </w:p>
    <w:p>
      <w:pPr>
        <w:pStyle w:val="ListParagraph"/>
        <w:numPr>
          <w:ilvl w:val="0"/>
          <w:numId w:val="1"/>
        </w:numPr>
        <w:tabs>
          <w:tab w:pos="1282" w:val="left" w:leader="none"/>
          <w:tab w:pos="1283" w:val="left" w:leader="none"/>
          <w:tab w:pos="9578" w:val="right" w:leader="dot"/>
        </w:tabs>
        <w:spacing w:line="240" w:lineRule="auto" w:before="22" w:after="0"/>
        <w:ind w:left="1282" w:right="0" w:hanging="398"/>
        <w:jc w:val="left"/>
        <w:rPr>
          <w:sz w:val="21"/>
        </w:rPr>
      </w:pPr>
      <w:r>
        <w:rPr>
          <w:spacing w:val="-3"/>
          <w:sz w:val="21"/>
        </w:rPr>
        <w:t>您</w:t>
      </w:r>
      <w:r>
        <w:rPr>
          <w:sz w:val="21"/>
        </w:rPr>
        <w:t>有</w:t>
      </w:r>
      <w:r>
        <w:rPr>
          <w:spacing w:val="-3"/>
          <w:sz w:val="21"/>
        </w:rPr>
        <w:t>如</w:t>
      </w:r>
      <w:r>
        <w:rPr>
          <w:sz w:val="21"/>
        </w:rPr>
        <w:t>实</w:t>
      </w:r>
      <w:r>
        <w:rPr>
          <w:spacing w:val="-3"/>
          <w:sz w:val="21"/>
        </w:rPr>
        <w:t>告知</w:t>
      </w:r>
      <w:r>
        <w:rPr>
          <w:sz w:val="21"/>
        </w:rPr>
        <w:t>的义务</w:t>
        <w:tab/>
        <w:t>8.1</w:t>
      </w:r>
    </w:p>
    <w:p>
      <w:pPr>
        <w:pStyle w:val="ListParagraph"/>
        <w:numPr>
          <w:ilvl w:val="0"/>
          <w:numId w:val="1"/>
        </w:numPr>
        <w:tabs>
          <w:tab w:pos="1282" w:val="left" w:leader="none"/>
          <w:tab w:pos="1283" w:val="left" w:leader="none"/>
          <w:tab w:pos="9475" w:val="right" w:leader="dot"/>
        </w:tabs>
        <w:spacing w:line="240" w:lineRule="auto" w:before="22" w:after="0"/>
        <w:ind w:left="1282" w:right="0" w:hanging="398"/>
        <w:jc w:val="left"/>
        <w:rPr>
          <w:sz w:val="21"/>
        </w:rPr>
      </w:pPr>
      <w:r>
        <w:rPr>
          <w:spacing w:val="-3"/>
          <w:sz w:val="21"/>
        </w:rPr>
        <w:t>我</w:t>
      </w:r>
      <w:r>
        <w:rPr>
          <w:sz w:val="21"/>
        </w:rPr>
        <w:t>们</w:t>
      </w:r>
      <w:r>
        <w:rPr>
          <w:spacing w:val="-3"/>
          <w:sz w:val="21"/>
        </w:rPr>
        <w:t>对</w:t>
      </w:r>
      <w:r>
        <w:rPr>
          <w:sz w:val="21"/>
        </w:rPr>
        <w:t>一</w:t>
      </w:r>
      <w:r>
        <w:rPr>
          <w:spacing w:val="-3"/>
          <w:sz w:val="21"/>
        </w:rPr>
        <w:t>些重</w:t>
      </w:r>
      <w:r>
        <w:rPr>
          <w:sz w:val="21"/>
        </w:rPr>
        <w:t>要术</w:t>
      </w:r>
      <w:r>
        <w:rPr>
          <w:spacing w:val="-3"/>
          <w:sz w:val="21"/>
        </w:rPr>
        <w:t>语</w:t>
      </w:r>
      <w:r>
        <w:rPr>
          <w:sz w:val="21"/>
        </w:rPr>
        <w:t>进</w:t>
      </w:r>
      <w:r>
        <w:rPr>
          <w:spacing w:val="-3"/>
          <w:sz w:val="21"/>
        </w:rPr>
        <w:t>行</w:t>
      </w:r>
      <w:r>
        <w:rPr>
          <w:sz w:val="21"/>
        </w:rPr>
        <w:t>了</w:t>
      </w:r>
      <w:r>
        <w:rPr>
          <w:spacing w:val="-3"/>
          <w:sz w:val="21"/>
        </w:rPr>
        <w:t>解</w:t>
      </w:r>
      <w:r>
        <w:rPr>
          <w:sz w:val="21"/>
        </w:rPr>
        <w:t>释</w:t>
      </w:r>
      <w:r>
        <w:rPr>
          <w:spacing w:val="-3"/>
          <w:sz w:val="21"/>
        </w:rPr>
        <w:t>，</w:t>
      </w:r>
      <w:r>
        <w:rPr>
          <w:sz w:val="21"/>
        </w:rPr>
        <w:t>并</w:t>
      </w:r>
      <w:r>
        <w:rPr>
          <w:spacing w:val="-3"/>
          <w:sz w:val="21"/>
        </w:rPr>
        <w:t>作</w:t>
      </w:r>
      <w:r>
        <w:rPr>
          <w:sz w:val="21"/>
        </w:rPr>
        <w:t>了显</w:t>
      </w:r>
      <w:r>
        <w:rPr>
          <w:spacing w:val="-3"/>
          <w:sz w:val="21"/>
        </w:rPr>
        <w:t>著</w:t>
      </w:r>
      <w:r>
        <w:rPr>
          <w:sz w:val="21"/>
        </w:rPr>
        <w:t>标</w:t>
      </w:r>
      <w:r>
        <w:rPr>
          <w:spacing w:val="-3"/>
          <w:sz w:val="21"/>
        </w:rPr>
        <w:t>识</w:t>
      </w:r>
      <w:r>
        <w:rPr>
          <w:sz w:val="21"/>
        </w:rPr>
        <w:t>，</w:t>
      </w:r>
      <w:r>
        <w:rPr>
          <w:spacing w:val="-3"/>
          <w:sz w:val="21"/>
        </w:rPr>
        <w:t>请</w:t>
      </w:r>
      <w:r>
        <w:rPr>
          <w:sz w:val="21"/>
        </w:rPr>
        <w:t>您</w:t>
      </w:r>
      <w:r>
        <w:rPr>
          <w:spacing w:val="-3"/>
          <w:sz w:val="21"/>
        </w:rPr>
        <w:t>注</w:t>
      </w:r>
      <w:r>
        <w:rPr>
          <w:sz w:val="21"/>
        </w:rPr>
        <w:t>意</w:t>
        <w:tab/>
        <w:t>10</w:t>
      </w:r>
    </w:p>
    <w:p>
      <w:pPr>
        <w:tabs>
          <w:tab w:pos="1263" w:val="left" w:leader="none"/>
        </w:tabs>
        <w:spacing w:before="21"/>
        <w:ind w:left="252"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63" w:val="left" w:leader="none"/>
        </w:tabs>
        <w:spacing w:before="25"/>
        <w:ind w:left="252" w:right="0" w:firstLine="0"/>
        <w:jc w:val="left"/>
        <w:rPr>
          <w:b/>
          <w:sz w:val="21"/>
        </w:rPr>
      </w:pPr>
      <w:r>
        <w:rPr>
          <w:rFonts w:ascii="Arial" w:hAnsi="Arial" w:eastAsia="Arial"/>
          <w:b/>
          <w:w w:val="110"/>
          <w:position w:val="-11"/>
          <w:sz w:val="52"/>
        </w:rPr>
        <w:t></w:t>
        <w:tab/>
      </w:r>
      <w:r>
        <w:rPr>
          <w:b/>
          <w:sz w:val="21"/>
        </w:rPr>
        <w:t>条款目录</w:t>
      </w:r>
    </w:p>
    <w:p>
      <w:pPr>
        <w:pStyle w:val="BodyText"/>
        <w:spacing w:before="11"/>
        <w:rPr>
          <w:b/>
          <w:sz w:val="6"/>
        </w:rPr>
      </w:pPr>
    </w:p>
    <w:tbl>
      <w:tblPr>
        <w:tblW w:w="0" w:type="auto"/>
        <w:jc w:val="left"/>
        <w:tblInd w:w="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6"/>
        <w:gridCol w:w="2355"/>
        <w:gridCol w:w="2561"/>
        <w:gridCol w:w="2621"/>
      </w:tblGrid>
      <w:tr>
        <w:trPr>
          <w:trHeight w:val="3956" w:hRule="atLeast"/>
        </w:trPr>
        <w:tc>
          <w:tcPr>
            <w:tcW w:w="2356" w:type="dxa"/>
          </w:tcPr>
          <w:p>
            <w:pPr>
              <w:pStyle w:val="TableParagraph"/>
              <w:numPr>
                <w:ilvl w:val="0"/>
                <w:numId w:val="2"/>
              </w:numPr>
              <w:tabs>
                <w:tab w:pos="517" w:val="left" w:leader="none"/>
              </w:tabs>
              <w:spacing w:line="211" w:lineRule="exact" w:before="0" w:after="0"/>
              <w:ind w:left="516" w:right="0" w:hanging="316"/>
              <w:jc w:val="left"/>
              <w:rPr>
                <w:b/>
                <w:sz w:val="21"/>
              </w:rPr>
            </w:pPr>
            <w:r>
              <w:rPr>
                <w:b/>
                <w:sz w:val="21"/>
              </w:rPr>
              <w:t>您与我们订立的合</w:t>
            </w:r>
          </w:p>
          <w:p>
            <w:pPr>
              <w:pStyle w:val="TableParagraph"/>
              <w:spacing w:before="37"/>
              <w:ind w:left="200"/>
              <w:rPr>
                <w:b/>
                <w:sz w:val="21"/>
              </w:rPr>
            </w:pPr>
            <w:r>
              <w:rPr>
                <w:b/>
                <w:w w:val="100"/>
                <w:sz w:val="21"/>
              </w:rPr>
              <w:t>同</w:t>
            </w:r>
          </w:p>
          <w:p>
            <w:pPr>
              <w:pStyle w:val="TableParagraph"/>
              <w:numPr>
                <w:ilvl w:val="1"/>
                <w:numId w:val="2"/>
              </w:numPr>
              <w:tabs>
                <w:tab w:pos="726" w:val="left" w:leader="none"/>
              </w:tabs>
              <w:spacing w:line="240" w:lineRule="auto" w:before="36" w:after="0"/>
              <w:ind w:left="725" w:right="0" w:hanging="420"/>
              <w:jc w:val="left"/>
              <w:rPr>
                <w:sz w:val="21"/>
              </w:rPr>
            </w:pPr>
            <w:r>
              <w:rPr>
                <w:spacing w:val="-2"/>
                <w:sz w:val="21"/>
              </w:rPr>
              <w:t>合同构成</w:t>
            </w:r>
          </w:p>
          <w:p>
            <w:pPr>
              <w:pStyle w:val="TableParagraph"/>
              <w:numPr>
                <w:ilvl w:val="1"/>
                <w:numId w:val="2"/>
              </w:numPr>
              <w:tabs>
                <w:tab w:pos="726" w:val="left" w:leader="none"/>
              </w:tabs>
              <w:spacing w:line="240" w:lineRule="auto" w:before="36" w:after="0"/>
              <w:ind w:left="725" w:right="0" w:hanging="420"/>
              <w:jc w:val="left"/>
              <w:rPr>
                <w:sz w:val="21"/>
              </w:rPr>
            </w:pPr>
            <w:r>
              <w:rPr>
                <w:spacing w:val="-3"/>
                <w:sz w:val="21"/>
              </w:rPr>
              <w:t>合同成立及生效</w:t>
            </w:r>
          </w:p>
          <w:p>
            <w:pPr>
              <w:pStyle w:val="TableParagraph"/>
              <w:numPr>
                <w:ilvl w:val="1"/>
                <w:numId w:val="2"/>
              </w:numPr>
              <w:tabs>
                <w:tab w:pos="726" w:val="left" w:leader="none"/>
              </w:tabs>
              <w:spacing w:line="240" w:lineRule="auto" w:before="36" w:after="0"/>
              <w:ind w:left="725" w:right="0" w:hanging="420"/>
              <w:jc w:val="left"/>
              <w:rPr>
                <w:sz w:val="21"/>
              </w:rPr>
            </w:pPr>
            <w:r>
              <w:rPr>
                <w:spacing w:val="-2"/>
                <w:sz w:val="21"/>
              </w:rPr>
              <w:t>投保年龄</w:t>
            </w:r>
          </w:p>
          <w:p>
            <w:pPr>
              <w:pStyle w:val="TableParagraph"/>
              <w:numPr>
                <w:ilvl w:val="1"/>
                <w:numId w:val="2"/>
              </w:numPr>
              <w:tabs>
                <w:tab w:pos="726" w:val="left" w:leader="none"/>
              </w:tabs>
              <w:spacing w:line="240" w:lineRule="auto" w:before="36" w:after="0"/>
              <w:ind w:left="725" w:right="0" w:hanging="420"/>
              <w:jc w:val="left"/>
              <w:rPr>
                <w:sz w:val="21"/>
              </w:rPr>
            </w:pPr>
            <w:r>
              <w:rPr>
                <w:spacing w:val="-2"/>
                <w:sz w:val="21"/>
              </w:rPr>
              <w:t>犹豫期</w:t>
            </w:r>
          </w:p>
          <w:p>
            <w:pPr>
              <w:pStyle w:val="TableParagraph"/>
              <w:numPr>
                <w:ilvl w:val="0"/>
                <w:numId w:val="2"/>
              </w:numPr>
              <w:tabs>
                <w:tab w:pos="517" w:val="left" w:leader="none"/>
              </w:tabs>
              <w:spacing w:line="240" w:lineRule="auto" w:before="36" w:after="0"/>
              <w:ind w:left="516" w:right="0" w:hanging="316"/>
              <w:jc w:val="left"/>
              <w:rPr>
                <w:b/>
                <w:sz w:val="21"/>
              </w:rPr>
            </w:pPr>
            <w:r>
              <w:rPr>
                <w:b/>
                <w:sz w:val="21"/>
              </w:rPr>
              <w:t>我们提供的保障</w:t>
            </w:r>
          </w:p>
          <w:p>
            <w:pPr>
              <w:pStyle w:val="TableParagraph"/>
              <w:numPr>
                <w:ilvl w:val="1"/>
                <w:numId w:val="2"/>
              </w:numPr>
              <w:tabs>
                <w:tab w:pos="726" w:val="left" w:leader="none"/>
              </w:tabs>
              <w:spacing w:line="240" w:lineRule="auto" w:before="36" w:after="0"/>
              <w:ind w:left="305" w:right="0" w:firstLine="0"/>
              <w:jc w:val="left"/>
              <w:rPr>
                <w:sz w:val="21"/>
              </w:rPr>
            </w:pPr>
            <w:r>
              <w:rPr>
                <w:spacing w:val="-3"/>
                <w:sz w:val="21"/>
              </w:rPr>
              <w:t>基本保险金额</w:t>
            </w:r>
          </w:p>
          <w:p>
            <w:pPr>
              <w:pStyle w:val="TableParagraph"/>
              <w:numPr>
                <w:ilvl w:val="1"/>
                <w:numId w:val="2"/>
              </w:numPr>
              <w:tabs>
                <w:tab w:pos="726" w:val="left" w:leader="none"/>
              </w:tabs>
              <w:spacing w:line="240" w:lineRule="auto" w:before="36" w:after="0"/>
              <w:ind w:left="305" w:right="0" w:firstLine="0"/>
              <w:jc w:val="left"/>
              <w:rPr>
                <w:sz w:val="21"/>
              </w:rPr>
            </w:pPr>
            <w:r>
              <w:rPr>
                <w:spacing w:val="-2"/>
                <w:sz w:val="21"/>
              </w:rPr>
              <w:t>保险期间</w:t>
            </w:r>
          </w:p>
          <w:p>
            <w:pPr>
              <w:pStyle w:val="TableParagraph"/>
              <w:numPr>
                <w:ilvl w:val="1"/>
                <w:numId w:val="2"/>
              </w:numPr>
              <w:tabs>
                <w:tab w:pos="728" w:val="left" w:leader="none"/>
              </w:tabs>
              <w:spacing w:line="240" w:lineRule="auto" w:before="36" w:after="0"/>
              <w:ind w:left="728" w:right="0" w:hanging="423"/>
              <w:jc w:val="left"/>
              <w:rPr>
                <w:sz w:val="21"/>
              </w:rPr>
            </w:pPr>
            <w:r>
              <w:rPr>
                <w:spacing w:val="-3"/>
                <w:sz w:val="21"/>
              </w:rPr>
              <w:t>保险责任</w:t>
            </w:r>
          </w:p>
          <w:p>
            <w:pPr>
              <w:pStyle w:val="TableParagraph"/>
              <w:numPr>
                <w:ilvl w:val="1"/>
                <w:numId w:val="2"/>
              </w:numPr>
              <w:tabs>
                <w:tab w:pos="728" w:val="left" w:leader="none"/>
              </w:tabs>
              <w:spacing w:line="273" w:lineRule="auto" w:before="36" w:after="0"/>
              <w:ind w:left="305" w:right="154" w:firstLine="0"/>
              <w:jc w:val="left"/>
              <w:rPr>
                <w:sz w:val="21"/>
              </w:rPr>
            </w:pPr>
            <w:r>
              <w:rPr>
                <w:spacing w:val="-3"/>
                <w:sz w:val="21"/>
              </w:rPr>
              <w:t>转换万能保险选择权</w:t>
            </w:r>
          </w:p>
          <w:p>
            <w:pPr>
              <w:pStyle w:val="TableParagraph"/>
              <w:numPr>
                <w:ilvl w:val="1"/>
                <w:numId w:val="2"/>
              </w:numPr>
              <w:tabs>
                <w:tab w:pos="676" w:val="left" w:leader="none"/>
              </w:tabs>
              <w:spacing w:line="255" w:lineRule="exact" w:before="7" w:after="0"/>
              <w:ind w:left="675" w:right="0" w:hanging="370"/>
              <w:jc w:val="left"/>
              <w:rPr>
                <w:sz w:val="21"/>
              </w:rPr>
            </w:pPr>
            <w:r>
              <w:rPr>
                <w:spacing w:val="-3"/>
                <w:sz w:val="21"/>
              </w:rPr>
              <w:t>保险金转换选择</w:t>
            </w:r>
          </w:p>
        </w:tc>
        <w:tc>
          <w:tcPr>
            <w:tcW w:w="2355" w:type="dxa"/>
          </w:tcPr>
          <w:p>
            <w:pPr>
              <w:pStyle w:val="TableParagraph"/>
              <w:numPr>
                <w:ilvl w:val="1"/>
                <w:numId w:val="3"/>
              </w:numPr>
              <w:tabs>
                <w:tab w:pos="677" w:val="left" w:leader="none"/>
              </w:tabs>
              <w:spacing w:line="211" w:lineRule="exact" w:before="0" w:after="0"/>
              <w:ind w:left="676" w:right="0" w:hanging="423"/>
              <w:jc w:val="left"/>
              <w:rPr>
                <w:sz w:val="21"/>
              </w:rPr>
            </w:pPr>
            <w:r>
              <w:rPr>
                <w:spacing w:val="-3"/>
                <w:sz w:val="21"/>
              </w:rPr>
              <w:t>保险金申请</w:t>
            </w:r>
          </w:p>
          <w:p>
            <w:pPr>
              <w:pStyle w:val="TableParagraph"/>
              <w:numPr>
                <w:ilvl w:val="1"/>
                <w:numId w:val="3"/>
              </w:numPr>
              <w:tabs>
                <w:tab w:pos="677" w:val="left" w:leader="none"/>
              </w:tabs>
              <w:spacing w:line="240" w:lineRule="auto" w:before="37" w:after="0"/>
              <w:ind w:left="676" w:right="0" w:hanging="423"/>
              <w:jc w:val="left"/>
              <w:rPr>
                <w:sz w:val="21"/>
              </w:rPr>
            </w:pPr>
            <w:r>
              <w:rPr>
                <w:spacing w:val="-3"/>
                <w:sz w:val="21"/>
              </w:rPr>
              <w:t>保险金给付</w:t>
            </w:r>
          </w:p>
          <w:p>
            <w:pPr>
              <w:pStyle w:val="TableParagraph"/>
              <w:numPr>
                <w:ilvl w:val="1"/>
                <w:numId w:val="3"/>
              </w:numPr>
              <w:tabs>
                <w:tab w:pos="679" w:val="left" w:leader="none"/>
              </w:tabs>
              <w:spacing w:line="240" w:lineRule="auto" w:before="36" w:after="0"/>
              <w:ind w:left="678" w:right="0" w:hanging="423"/>
              <w:jc w:val="left"/>
              <w:rPr>
                <w:sz w:val="21"/>
              </w:rPr>
            </w:pPr>
            <w:r>
              <w:rPr>
                <w:spacing w:val="-3"/>
                <w:sz w:val="21"/>
              </w:rPr>
              <w:t>宣告死亡处理</w:t>
            </w:r>
          </w:p>
          <w:p>
            <w:pPr>
              <w:pStyle w:val="TableParagraph"/>
              <w:numPr>
                <w:ilvl w:val="1"/>
                <w:numId w:val="3"/>
              </w:numPr>
              <w:tabs>
                <w:tab w:pos="679" w:val="left" w:leader="none"/>
              </w:tabs>
              <w:spacing w:line="240" w:lineRule="auto" w:before="36" w:after="0"/>
              <w:ind w:left="678" w:right="0" w:hanging="423"/>
              <w:jc w:val="left"/>
              <w:rPr>
                <w:sz w:val="21"/>
              </w:rPr>
            </w:pPr>
            <w:r>
              <w:rPr>
                <w:spacing w:val="-3"/>
                <w:sz w:val="21"/>
              </w:rPr>
              <w:t>诉讼时效</w:t>
            </w:r>
          </w:p>
          <w:p>
            <w:pPr>
              <w:pStyle w:val="TableParagraph"/>
              <w:numPr>
                <w:ilvl w:val="0"/>
                <w:numId w:val="4"/>
              </w:numPr>
              <w:tabs>
                <w:tab w:pos="468" w:val="left" w:leader="none"/>
              </w:tabs>
              <w:spacing w:line="240" w:lineRule="auto" w:before="36" w:after="0"/>
              <w:ind w:left="467" w:right="0" w:hanging="317"/>
              <w:jc w:val="left"/>
              <w:rPr>
                <w:b/>
                <w:sz w:val="21"/>
              </w:rPr>
            </w:pPr>
            <w:r>
              <w:rPr>
                <w:b/>
                <w:sz w:val="21"/>
              </w:rPr>
              <w:t>保险费的交纳</w:t>
            </w:r>
          </w:p>
          <w:p>
            <w:pPr>
              <w:pStyle w:val="TableParagraph"/>
              <w:numPr>
                <w:ilvl w:val="1"/>
                <w:numId w:val="4"/>
              </w:numPr>
              <w:tabs>
                <w:tab w:pos="677" w:val="left" w:leader="none"/>
              </w:tabs>
              <w:spacing w:line="240" w:lineRule="auto" w:before="36" w:after="0"/>
              <w:ind w:left="676" w:right="0" w:hanging="421"/>
              <w:jc w:val="left"/>
              <w:rPr>
                <w:sz w:val="21"/>
              </w:rPr>
            </w:pPr>
            <w:r>
              <w:rPr>
                <w:spacing w:val="-3"/>
                <w:sz w:val="21"/>
              </w:rPr>
              <w:t>保险费的交纳</w:t>
            </w:r>
          </w:p>
          <w:p>
            <w:pPr>
              <w:pStyle w:val="TableParagraph"/>
              <w:numPr>
                <w:ilvl w:val="1"/>
                <w:numId w:val="4"/>
              </w:numPr>
              <w:tabs>
                <w:tab w:pos="677" w:val="left" w:leader="none"/>
              </w:tabs>
              <w:spacing w:line="240" w:lineRule="auto" w:before="36" w:after="0"/>
              <w:ind w:left="676" w:right="0" w:hanging="421"/>
              <w:jc w:val="left"/>
              <w:rPr>
                <w:sz w:val="21"/>
              </w:rPr>
            </w:pPr>
            <w:r>
              <w:rPr>
                <w:spacing w:val="-2"/>
                <w:sz w:val="21"/>
              </w:rPr>
              <w:t>宽限期</w:t>
            </w:r>
          </w:p>
          <w:p>
            <w:pPr>
              <w:pStyle w:val="TableParagraph"/>
              <w:numPr>
                <w:ilvl w:val="0"/>
                <w:numId w:val="4"/>
              </w:numPr>
              <w:tabs>
                <w:tab w:pos="468" w:val="left" w:leader="none"/>
              </w:tabs>
              <w:spacing w:line="240" w:lineRule="auto" w:before="36" w:after="0"/>
              <w:ind w:left="467" w:right="0" w:hanging="317"/>
              <w:jc w:val="left"/>
              <w:rPr>
                <w:b/>
                <w:sz w:val="21"/>
              </w:rPr>
            </w:pPr>
            <w:r>
              <w:rPr>
                <w:b/>
                <w:sz w:val="21"/>
              </w:rPr>
              <w:t>现金价值权益</w:t>
            </w:r>
          </w:p>
          <w:p>
            <w:pPr>
              <w:pStyle w:val="TableParagraph"/>
              <w:numPr>
                <w:ilvl w:val="1"/>
                <w:numId w:val="4"/>
              </w:numPr>
              <w:tabs>
                <w:tab w:pos="679" w:val="left" w:leader="none"/>
              </w:tabs>
              <w:spacing w:line="240" w:lineRule="auto" w:before="36" w:after="0"/>
              <w:ind w:left="255" w:right="0" w:firstLine="0"/>
              <w:jc w:val="left"/>
              <w:rPr>
                <w:sz w:val="21"/>
              </w:rPr>
            </w:pPr>
            <w:r>
              <w:rPr>
                <w:spacing w:val="-3"/>
                <w:sz w:val="21"/>
              </w:rPr>
              <w:t>现金价值</w:t>
            </w:r>
          </w:p>
          <w:p>
            <w:pPr>
              <w:pStyle w:val="TableParagraph"/>
              <w:numPr>
                <w:ilvl w:val="1"/>
                <w:numId w:val="4"/>
              </w:numPr>
              <w:tabs>
                <w:tab w:pos="679" w:val="left" w:leader="none"/>
              </w:tabs>
              <w:spacing w:line="240" w:lineRule="auto" w:before="36" w:after="0"/>
              <w:ind w:left="255" w:right="0" w:firstLine="0"/>
              <w:jc w:val="left"/>
              <w:rPr>
                <w:sz w:val="21"/>
              </w:rPr>
            </w:pPr>
            <w:r>
              <w:rPr>
                <w:spacing w:val="-3"/>
                <w:sz w:val="21"/>
              </w:rPr>
              <w:t>保单贷款</w:t>
            </w:r>
          </w:p>
          <w:p>
            <w:pPr>
              <w:pStyle w:val="TableParagraph"/>
              <w:numPr>
                <w:ilvl w:val="1"/>
                <w:numId w:val="4"/>
              </w:numPr>
              <w:tabs>
                <w:tab w:pos="679" w:val="left" w:leader="none"/>
              </w:tabs>
              <w:spacing w:line="240" w:lineRule="auto" w:before="36" w:after="0"/>
              <w:ind w:left="255" w:right="0" w:firstLine="0"/>
              <w:jc w:val="left"/>
              <w:rPr>
                <w:sz w:val="21"/>
              </w:rPr>
            </w:pPr>
            <w:r>
              <w:rPr>
                <w:spacing w:val="-3"/>
                <w:sz w:val="21"/>
              </w:rPr>
              <w:t>保险费自动垫交</w:t>
            </w:r>
          </w:p>
          <w:p>
            <w:pPr>
              <w:pStyle w:val="TableParagraph"/>
              <w:numPr>
                <w:ilvl w:val="1"/>
                <w:numId w:val="4"/>
              </w:numPr>
              <w:tabs>
                <w:tab w:pos="679" w:val="left" w:leader="none"/>
              </w:tabs>
              <w:spacing w:line="312" w:lineRule="exact" w:before="32" w:after="0"/>
              <w:ind w:left="255" w:right="202" w:firstLine="0"/>
              <w:jc w:val="left"/>
              <w:rPr>
                <w:sz w:val="21"/>
              </w:rPr>
            </w:pPr>
            <w:r>
              <w:rPr>
                <w:spacing w:val="-3"/>
                <w:sz w:val="21"/>
              </w:rPr>
              <w:t>减少基本保险金额</w:t>
            </w:r>
          </w:p>
        </w:tc>
        <w:tc>
          <w:tcPr>
            <w:tcW w:w="2561" w:type="dxa"/>
          </w:tcPr>
          <w:p>
            <w:pPr>
              <w:pStyle w:val="TableParagraph"/>
              <w:spacing w:line="211" w:lineRule="exact"/>
              <w:ind w:left="205"/>
              <w:rPr>
                <w:b/>
                <w:sz w:val="21"/>
              </w:rPr>
            </w:pPr>
            <w:r>
              <w:rPr>
                <w:b/>
                <w:sz w:val="21"/>
              </w:rPr>
              <w:t>8．如实告知</w:t>
            </w:r>
          </w:p>
          <w:p>
            <w:pPr>
              <w:pStyle w:val="TableParagraph"/>
              <w:numPr>
                <w:ilvl w:val="1"/>
                <w:numId w:val="5"/>
              </w:numPr>
              <w:tabs>
                <w:tab w:pos="734" w:val="left" w:leader="none"/>
              </w:tabs>
              <w:spacing w:line="273" w:lineRule="auto" w:before="37" w:after="0"/>
              <w:ind w:left="311" w:right="353" w:firstLine="0"/>
              <w:jc w:val="left"/>
              <w:rPr>
                <w:sz w:val="21"/>
              </w:rPr>
            </w:pPr>
            <w:r>
              <w:rPr>
                <w:spacing w:val="-3"/>
                <w:sz w:val="21"/>
              </w:rPr>
              <w:t>明确说明与如实告知</w:t>
            </w:r>
          </w:p>
          <w:p>
            <w:pPr>
              <w:pStyle w:val="TableParagraph"/>
              <w:numPr>
                <w:ilvl w:val="1"/>
                <w:numId w:val="5"/>
              </w:numPr>
              <w:tabs>
                <w:tab w:pos="734" w:val="left" w:leader="none"/>
              </w:tabs>
              <w:spacing w:line="273" w:lineRule="auto" w:before="7" w:after="0"/>
              <w:ind w:left="311" w:right="353" w:firstLine="0"/>
              <w:jc w:val="left"/>
              <w:rPr>
                <w:sz w:val="21"/>
              </w:rPr>
            </w:pPr>
            <w:r>
              <w:rPr>
                <w:spacing w:val="-3"/>
                <w:sz w:val="21"/>
              </w:rPr>
              <w:t>本公司合同解除权的限制</w:t>
            </w:r>
          </w:p>
          <w:p>
            <w:pPr>
              <w:pStyle w:val="TableParagraph"/>
              <w:spacing w:before="7"/>
              <w:ind w:left="205"/>
              <w:rPr>
                <w:b/>
                <w:sz w:val="21"/>
              </w:rPr>
            </w:pPr>
            <w:r>
              <w:rPr>
                <w:b/>
                <w:sz w:val="21"/>
              </w:rPr>
              <w:t>9．其他需要关注的事项</w:t>
            </w:r>
          </w:p>
          <w:p>
            <w:pPr>
              <w:pStyle w:val="TableParagraph"/>
              <w:numPr>
                <w:ilvl w:val="1"/>
                <w:numId w:val="6"/>
              </w:numPr>
              <w:tabs>
                <w:tab w:pos="734" w:val="left" w:leader="none"/>
              </w:tabs>
              <w:spacing w:line="240" w:lineRule="auto" w:before="36" w:after="0"/>
              <w:ind w:left="311" w:right="0" w:firstLine="0"/>
              <w:jc w:val="left"/>
              <w:rPr>
                <w:sz w:val="21"/>
              </w:rPr>
            </w:pPr>
            <w:r>
              <w:rPr>
                <w:spacing w:val="-3"/>
                <w:sz w:val="21"/>
              </w:rPr>
              <w:t>欠款的偿还</w:t>
            </w:r>
          </w:p>
          <w:p>
            <w:pPr>
              <w:pStyle w:val="TableParagraph"/>
              <w:numPr>
                <w:ilvl w:val="1"/>
                <w:numId w:val="6"/>
              </w:numPr>
              <w:tabs>
                <w:tab w:pos="734" w:val="left" w:leader="none"/>
              </w:tabs>
              <w:spacing w:line="240" w:lineRule="auto" w:before="36" w:after="0"/>
              <w:ind w:left="311" w:right="0" w:firstLine="0"/>
              <w:jc w:val="left"/>
              <w:rPr>
                <w:sz w:val="21"/>
              </w:rPr>
            </w:pPr>
            <w:r>
              <w:rPr>
                <w:spacing w:val="-3"/>
                <w:sz w:val="21"/>
              </w:rPr>
              <w:t>年龄错误</w:t>
            </w:r>
          </w:p>
          <w:p>
            <w:pPr>
              <w:pStyle w:val="TableParagraph"/>
              <w:numPr>
                <w:ilvl w:val="1"/>
                <w:numId w:val="6"/>
              </w:numPr>
              <w:tabs>
                <w:tab w:pos="734" w:val="left" w:leader="none"/>
              </w:tabs>
              <w:spacing w:line="240" w:lineRule="auto" w:before="36" w:after="0"/>
              <w:ind w:left="311" w:right="0" w:firstLine="0"/>
              <w:jc w:val="left"/>
              <w:rPr>
                <w:sz w:val="21"/>
              </w:rPr>
            </w:pPr>
            <w:r>
              <w:rPr>
                <w:spacing w:val="-3"/>
                <w:sz w:val="21"/>
              </w:rPr>
              <w:t>合同内容变更</w:t>
            </w:r>
          </w:p>
          <w:p>
            <w:pPr>
              <w:pStyle w:val="TableParagraph"/>
              <w:numPr>
                <w:ilvl w:val="1"/>
                <w:numId w:val="6"/>
              </w:numPr>
              <w:tabs>
                <w:tab w:pos="732" w:val="left" w:leader="none"/>
              </w:tabs>
              <w:spacing w:line="240" w:lineRule="auto" w:before="36" w:after="0"/>
              <w:ind w:left="731" w:right="0" w:hanging="420"/>
              <w:jc w:val="left"/>
              <w:rPr>
                <w:sz w:val="21"/>
              </w:rPr>
            </w:pPr>
            <w:r>
              <w:rPr>
                <w:spacing w:val="-3"/>
                <w:sz w:val="21"/>
              </w:rPr>
              <w:t>地址变更的通知</w:t>
            </w:r>
          </w:p>
          <w:p>
            <w:pPr>
              <w:pStyle w:val="TableParagraph"/>
              <w:numPr>
                <w:ilvl w:val="1"/>
                <w:numId w:val="6"/>
              </w:numPr>
              <w:tabs>
                <w:tab w:pos="734" w:val="left" w:leader="none"/>
              </w:tabs>
              <w:spacing w:line="240" w:lineRule="auto" w:before="36" w:after="0"/>
              <w:ind w:left="311" w:right="0" w:firstLine="0"/>
              <w:jc w:val="left"/>
              <w:rPr>
                <w:sz w:val="21"/>
              </w:rPr>
            </w:pPr>
            <w:r>
              <w:rPr>
                <w:spacing w:val="-3"/>
                <w:sz w:val="21"/>
              </w:rPr>
              <w:t>争议处理</w:t>
            </w:r>
          </w:p>
          <w:p>
            <w:pPr>
              <w:pStyle w:val="TableParagraph"/>
              <w:numPr>
                <w:ilvl w:val="1"/>
                <w:numId w:val="6"/>
              </w:numPr>
              <w:tabs>
                <w:tab w:pos="734" w:val="left" w:leader="none"/>
              </w:tabs>
              <w:spacing w:line="312" w:lineRule="exact" w:before="32" w:after="0"/>
              <w:ind w:left="311" w:right="353" w:firstLine="0"/>
              <w:jc w:val="left"/>
              <w:rPr>
                <w:sz w:val="21"/>
              </w:rPr>
            </w:pPr>
            <w:r>
              <w:rPr>
                <w:spacing w:val="-3"/>
                <w:sz w:val="21"/>
              </w:rPr>
              <w:t>身体检查与司法鉴定</w:t>
            </w:r>
          </w:p>
        </w:tc>
        <w:tc>
          <w:tcPr>
            <w:tcW w:w="2621" w:type="dxa"/>
          </w:tcPr>
          <w:p>
            <w:pPr>
              <w:pStyle w:val="TableParagraph"/>
              <w:spacing w:line="211" w:lineRule="exact"/>
              <w:ind w:left="160"/>
              <w:rPr>
                <w:sz w:val="21"/>
              </w:rPr>
            </w:pPr>
            <w:r>
              <w:rPr>
                <w:sz w:val="21"/>
              </w:rPr>
              <w:t>全丧失</w:t>
            </w:r>
          </w:p>
          <w:p>
            <w:pPr>
              <w:pStyle w:val="TableParagraph"/>
              <w:numPr>
                <w:ilvl w:val="1"/>
                <w:numId w:val="7"/>
              </w:numPr>
              <w:tabs>
                <w:tab w:pos="687" w:val="left" w:leader="none"/>
              </w:tabs>
              <w:spacing w:line="240" w:lineRule="auto" w:before="37" w:after="0"/>
              <w:ind w:left="160" w:right="0" w:firstLine="0"/>
              <w:jc w:val="left"/>
              <w:rPr>
                <w:sz w:val="21"/>
              </w:rPr>
            </w:pPr>
            <w:r>
              <w:rPr>
                <w:sz w:val="21"/>
              </w:rPr>
              <w:t>毒品</w:t>
            </w:r>
          </w:p>
          <w:p>
            <w:pPr>
              <w:pStyle w:val="TableParagraph"/>
              <w:numPr>
                <w:ilvl w:val="1"/>
                <w:numId w:val="7"/>
              </w:numPr>
              <w:tabs>
                <w:tab w:pos="687" w:val="left" w:leader="none"/>
              </w:tabs>
              <w:spacing w:line="240" w:lineRule="auto" w:before="36" w:after="0"/>
              <w:ind w:left="160" w:right="0" w:firstLine="0"/>
              <w:jc w:val="left"/>
              <w:rPr>
                <w:sz w:val="21"/>
              </w:rPr>
            </w:pPr>
            <w:r>
              <w:rPr>
                <w:spacing w:val="-2"/>
                <w:sz w:val="21"/>
              </w:rPr>
              <w:t>酒后驾驶</w:t>
            </w:r>
          </w:p>
          <w:p>
            <w:pPr>
              <w:pStyle w:val="TableParagraph"/>
              <w:numPr>
                <w:ilvl w:val="1"/>
                <w:numId w:val="7"/>
              </w:numPr>
              <w:tabs>
                <w:tab w:pos="687" w:val="left" w:leader="none"/>
              </w:tabs>
              <w:spacing w:line="273" w:lineRule="auto" w:before="36" w:after="0"/>
              <w:ind w:left="160" w:right="250" w:firstLine="0"/>
              <w:jc w:val="left"/>
              <w:rPr>
                <w:sz w:val="21"/>
              </w:rPr>
            </w:pPr>
            <w:r>
              <w:rPr>
                <w:spacing w:val="-3"/>
                <w:sz w:val="21"/>
              </w:rPr>
              <w:t>无合法有效驾驶证驾驶</w:t>
            </w:r>
          </w:p>
          <w:p>
            <w:pPr>
              <w:pStyle w:val="TableParagraph"/>
              <w:numPr>
                <w:ilvl w:val="1"/>
                <w:numId w:val="7"/>
              </w:numPr>
              <w:tabs>
                <w:tab w:pos="792" w:val="left" w:leader="none"/>
              </w:tabs>
              <w:spacing w:line="240" w:lineRule="auto" w:before="7" w:after="0"/>
              <w:ind w:left="791" w:right="0" w:hanging="631"/>
              <w:jc w:val="left"/>
              <w:rPr>
                <w:sz w:val="21"/>
              </w:rPr>
            </w:pPr>
            <w:r>
              <w:rPr>
                <w:spacing w:val="-3"/>
                <w:sz w:val="21"/>
              </w:rPr>
              <w:t>无有效行驶证</w:t>
            </w:r>
          </w:p>
          <w:p>
            <w:pPr>
              <w:pStyle w:val="TableParagraph"/>
              <w:numPr>
                <w:ilvl w:val="1"/>
                <w:numId w:val="7"/>
              </w:numPr>
              <w:tabs>
                <w:tab w:pos="792" w:val="left" w:leader="none"/>
              </w:tabs>
              <w:spacing w:line="240" w:lineRule="auto" w:before="37" w:after="0"/>
              <w:ind w:left="791" w:right="0" w:hanging="631"/>
              <w:jc w:val="left"/>
              <w:rPr>
                <w:sz w:val="21"/>
              </w:rPr>
            </w:pPr>
            <w:r>
              <w:rPr>
                <w:spacing w:val="-2"/>
                <w:sz w:val="21"/>
              </w:rPr>
              <w:t>机动车</w:t>
            </w:r>
          </w:p>
          <w:p>
            <w:pPr>
              <w:pStyle w:val="TableParagraph"/>
              <w:numPr>
                <w:ilvl w:val="1"/>
                <w:numId w:val="7"/>
              </w:numPr>
              <w:tabs>
                <w:tab w:pos="740" w:val="left" w:leader="none"/>
              </w:tabs>
              <w:spacing w:line="273" w:lineRule="auto" w:before="37" w:after="0"/>
              <w:ind w:left="160" w:right="197" w:firstLine="0"/>
              <w:jc w:val="left"/>
              <w:rPr>
                <w:sz w:val="21"/>
              </w:rPr>
            </w:pPr>
            <w:r>
              <w:rPr>
                <w:spacing w:val="-3"/>
                <w:sz w:val="21"/>
              </w:rPr>
              <w:t>感染艾滋病病毒或患艾滋病</w:t>
            </w:r>
          </w:p>
          <w:p>
            <w:pPr>
              <w:pStyle w:val="TableParagraph"/>
              <w:numPr>
                <w:ilvl w:val="1"/>
                <w:numId w:val="7"/>
              </w:numPr>
              <w:tabs>
                <w:tab w:pos="740" w:val="left" w:leader="none"/>
              </w:tabs>
              <w:spacing w:line="240" w:lineRule="auto" w:before="7" w:after="0"/>
              <w:ind w:left="739" w:right="0" w:hanging="579"/>
              <w:jc w:val="left"/>
              <w:rPr>
                <w:sz w:val="21"/>
              </w:rPr>
            </w:pPr>
            <w:r>
              <w:rPr>
                <w:spacing w:val="-3"/>
                <w:sz w:val="21"/>
              </w:rPr>
              <w:t>遗传性疾病</w:t>
            </w:r>
          </w:p>
          <w:p>
            <w:pPr>
              <w:pStyle w:val="TableParagraph"/>
              <w:numPr>
                <w:ilvl w:val="1"/>
                <w:numId w:val="7"/>
              </w:numPr>
              <w:tabs>
                <w:tab w:pos="740" w:val="left" w:leader="none"/>
              </w:tabs>
              <w:spacing w:line="273" w:lineRule="auto" w:before="36" w:after="0"/>
              <w:ind w:left="160" w:right="197" w:firstLine="0"/>
              <w:jc w:val="left"/>
              <w:rPr>
                <w:sz w:val="21"/>
              </w:rPr>
            </w:pPr>
            <w:r>
              <w:rPr>
                <w:spacing w:val="-3"/>
                <w:sz w:val="21"/>
              </w:rPr>
              <w:t>先天性畸形、变形或染色体异常</w:t>
            </w:r>
          </w:p>
          <w:p>
            <w:pPr>
              <w:pStyle w:val="TableParagraph"/>
              <w:numPr>
                <w:ilvl w:val="1"/>
                <w:numId w:val="7"/>
              </w:numPr>
              <w:tabs>
                <w:tab w:pos="740" w:val="left" w:leader="none"/>
              </w:tabs>
              <w:spacing w:line="255" w:lineRule="exact" w:before="7" w:after="0"/>
              <w:ind w:left="739" w:right="0" w:hanging="579"/>
              <w:jc w:val="left"/>
              <w:rPr>
                <w:sz w:val="21"/>
              </w:rPr>
            </w:pPr>
            <w:r>
              <w:rPr>
                <w:spacing w:val="-2"/>
                <w:sz w:val="21"/>
              </w:rPr>
              <w:t>贷款利率</w:t>
            </w:r>
          </w:p>
        </w:tc>
      </w:tr>
    </w:tbl>
    <w:p>
      <w:pPr>
        <w:spacing w:after="0" w:line="255" w:lineRule="exact"/>
        <w:jc w:val="left"/>
        <w:rPr>
          <w:sz w:val="21"/>
        </w:rPr>
        <w:sectPr>
          <w:footerReference w:type="default" r:id="rId5"/>
          <w:type w:val="continuous"/>
          <w:pgSz w:w="11910" w:h="16840"/>
          <w:pgMar w:footer="924" w:top="1580" w:bottom="1120" w:left="880" w:right="760"/>
          <w:pgNumType w:start="1"/>
        </w:sectPr>
      </w:pPr>
    </w:p>
    <w:p>
      <w:pPr>
        <w:pStyle w:val="BodyText"/>
        <w:spacing w:before="8"/>
        <w:rPr>
          <w:rFonts w:ascii="Times New Roman"/>
          <w:sz w:val="9"/>
        </w:rPr>
      </w:pPr>
      <w:r>
        <w:rPr/>
        <w:drawing>
          <wp:anchor distT="0" distB="0" distL="0" distR="0" allowOverlap="1" layoutInCell="1" locked="0" behindDoc="1" simplePos="0" relativeHeight="268401575">
            <wp:simplePos x="0" y="0"/>
            <wp:positionH relativeFrom="page">
              <wp:posOffset>630936</wp:posOffset>
            </wp:positionH>
            <wp:positionV relativeFrom="page">
              <wp:posOffset>900683</wp:posOffset>
            </wp:positionV>
            <wp:extent cx="6367774" cy="2107692"/>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6367774" cy="2107692"/>
                    </a:xfrm>
                    <a:prstGeom prst="rect">
                      <a:avLst/>
                    </a:prstGeom>
                  </pic:spPr>
                </pic:pic>
              </a:graphicData>
            </a:graphic>
          </wp:anchor>
        </w:drawing>
      </w:r>
    </w:p>
    <w:tbl>
      <w:tblPr>
        <w:tblW w:w="0" w:type="auto"/>
        <w:jc w:val="left"/>
        <w:tblInd w:w="3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7"/>
        <w:gridCol w:w="2362"/>
        <w:gridCol w:w="2511"/>
        <w:gridCol w:w="2668"/>
      </w:tblGrid>
      <w:tr>
        <w:trPr>
          <w:trHeight w:val="2083" w:hRule="atLeast"/>
        </w:trPr>
        <w:tc>
          <w:tcPr>
            <w:tcW w:w="2247" w:type="dxa"/>
          </w:tcPr>
          <w:p>
            <w:pPr>
              <w:pStyle w:val="TableParagraph"/>
              <w:spacing w:line="211" w:lineRule="exact"/>
              <w:ind w:left="200"/>
              <w:rPr>
                <w:sz w:val="21"/>
              </w:rPr>
            </w:pPr>
            <w:r>
              <w:rPr>
                <w:w w:val="100"/>
                <w:sz w:val="21"/>
              </w:rPr>
              <w:t>权</w:t>
            </w:r>
          </w:p>
          <w:p>
            <w:pPr>
              <w:pStyle w:val="TableParagraph"/>
              <w:numPr>
                <w:ilvl w:val="1"/>
                <w:numId w:val="8"/>
              </w:numPr>
              <w:tabs>
                <w:tab w:pos="623" w:val="left" w:leader="none"/>
              </w:tabs>
              <w:spacing w:line="273" w:lineRule="auto" w:before="37" w:after="0"/>
              <w:ind w:left="200" w:right="151" w:firstLine="0"/>
              <w:jc w:val="left"/>
              <w:rPr>
                <w:sz w:val="21"/>
              </w:rPr>
            </w:pPr>
            <w:r>
              <w:rPr>
                <w:spacing w:val="-3"/>
                <w:sz w:val="21"/>
              </w:rPr>
              <w:t>未成年人身故保险金限制</w:t>
            </w:r>
          </w:p>
          <w:p>
            <w:pPr>
              <w:pStyle w:val="TableParagraph"/>
              <w:numPr>
                <w:ilvl w:val="1"/>
                <w:numId w:val="8"/>
              </w:numPr>
              <w:tabs>
                <w:tab w:pos="620" w:val="left" w:leader="none"/>
              </w:tabs>
              <w:spacing w:line="240" w:lineRule="auto" w:before="7" w:after="0"/>
              <w:ind w:left="620" w:right="0" w:hanging="420"/>
              <w:jc w:val="left"/>
              <w:rPr>
                <w:sz w:val="21"/>
              </w:rPr>
            </w:pPr>
            <w:r>
              <w:rPr>
                <w:spacing w:val="-2"/>
                <w:sz w:val="21"/>
              </w:rPr>
              <w:t>责任免除</w:t>
            </w:r>
          </w:p>
          <w:p>
            <w:pPr>
              <w:pStyle w:val="TableParagraph"/>
              <w:numPr>
                <w:ilvl w:val="0"/>
                <w:numId w:val="9"/>
              </w:numPr>
              <w:tabs>
                <w:tab w:pos="517" w:val="left" w:leader="none"/>
              </w:tabs>
              <w:spacing w:line="240" w:lineRule="auto" w:before="36" w:after="0"/>
              <w:ind w:left="516" w:right="0" w:hanging="316"/>
              <w:jc w:val="left"/>
              <w:rPr>
                <w:b/>
                <w:sz w:val="21"/>
              </w:rPr>
            </w:pPr>
            <w:r>
              <w:rPr>
                <w:b/>
                <w:sz w:val="21"/>
              </w:rPr>
              <w:t>保险金的申请</w:t>
            </w:r>
          </w:p>
          <w:p>
            <w:pPr>
              <w:pStyle w:val="TableParagraph"/>
              <w:numPr>
                <w:ilvl w:val="1"/>
                <w:numId w:val="9"/>
              </w:numPr>
              <w:tabs>
                <w:tab w:pos="620" w:val="left" w:leader="none"/>
              </w:tabs>
              <w:spacing w:line="240" w:lineRule="auto" w:before="36" w:after="0"/>
              <w:ind w:left="620" w:right="0" w:hanging="420"/>
              <w:jc w:val="left"/>
              <w:rPr>
                <w:sz w:val="21"/>
              </w:rPr>
            </w:pPr>
            <w:r>
              <w:rPr>
                <w:spacing w:val="-2"/>
                <w:sz w:val="21"/>
              </w:rPr>
              <w:t>受益人</w:t>
            </w:r>
          </w:p>
          <w:p>
            <w:pPr>
              <w:pStyle w:val="TableParagraph"/>
              <w:numPr>
                <w:ilvl w:val="1"/>
                <w:numId w:val="9"/>
              </w:numPr>
              <w:tabs>
                <w:tab w:pos="623" w:val="left" w:leader="none"/>
              </w:tabs>
              <w:spacing w:line="255" w:lineRule="exact" w:before="36" w:after="0"/>
              <w:ind w:left="622" w:right="0" w:hanging="422"/>
              <w:jc w:val="left"/>
              <w:rPr>
                <w:sz w:val="21"/>
              </w:rPr>
            </w:pPr>
            <w:r>
              <w:rPr>
                <w:spacing w:val="-3"/>
                <w:sz w:val="21"/>
              </w:rPr>
              <w:t>保险事故通知</w:t>
            </w:r>
          </w:p>
        </w:tc>
        <w:tc>
          <w:tcPr>
            <w:tcW w:w="2362" w:type="dxa"/>
          </w:tcPr>
          <w:p>
            <w:pPr>
              <w:pStyle w:val="TableParagraph"/>
              <w:numPr>
                <w:ilvl w:val="0"/>
                <w:numId w:val="10"/>
              </w:numPr>
              <w:tabs>
                <w:tab w:pos="472" w:val="left" w:leader="none"/>
              </w:tabs>
              <w:spacing w:line="211" w:lineRule="exact" w:before="0" w:after="0"/>
              <w:ind w:left="471" w:right="0" w:hanging="318"/>
              <w:jc w:val="left"/>
              <w:rPr>
                <w:b/>
                <w:sz w:val="21"/>
              </w:rPr>
            </w:pPr>
            <w:r>
              <w:rPr>
                <w:b/>
                <w:sz w:val="21"/>
              </w:rPr>
              <w:t>合同效力的中止及</w:t>
            </w:r>
          </w:p>
          <w:p>
            <w:pPr>
              <w:pStyle w:val="TableParagraph"/>
              <w:spacing w:before="37"/>
              <w:ind w:left="153"/>
              <w:rPr>
                <w:b/>
                <w:sz w:val="21"/>
              </w:rPr>
            </w:pPr>
            <w:r>
              <w:rPr>
                <w:b/>
                <w:sz w:val="21"/>
              </w:rPr>
              <w:t>恢复</w:t>
            </w:r>
          </w:p>
          <w:p>
            <w:pPr>
              <w:pStyle w:val="TableParagraph"/>
              <w:numPr>
                <w:ilvl w:val="1"/>
                <w:numId w:val="10"/>
              </w:numPr>
              <w:tabs>
                <w:tab w:pos="680" w:val="left" w:leader="none"/>
              </w:tabs>
              <w:spacing w:line="240" w:lineRule="auto" w:before="37" w:after="0"/>
              <w:ind w:left="679" w:right="0" w:hanging="420"/>
              <w:jc w:val="left"/>
              <w:rPr>
                <w:sz w:val="21"/>
              </w:rPr>
            </w:pPr>
            <w:r>
              <w:rPr>
                <w:spacing w:val="-2"/>
                <w:sz w:val="21"/>
              </w:rPr>
              <w:t>效力中止</w:t>
            </w:r>
          </w:p>
          <w:p>
            <w:pPr>
              <w:pStyle w:val="TableParagraph"/>
              <w:numPr>
                <w:ilvl w:val="1"/>
                <w:numId w:val="10"/>
              </w:numPr>
              <w:tabs>
                <w:tab w:pos="680" w:val="left" w:leader="none"/>
              </w:tabs>
              <w:spacing w:line="240" w:lineRule="auto" w:before="37" w:after="0"/>
              <w:ind w:left="679" w:right="0" w:hanging="420"/>
              <w:jc w:val="left"/>
              <w:rPr>
                <w:sz w:val="21"/>
              </w:rPr>
            </w:pPr>
            <w:r>
              <w:rPr>
                <w:spacing w:val="-2"/>
                <w:sz w:val="21"/>
              </w:rPr>
              <w:t>效力恢复</w:t>
            </w:r>
          </w:p>
          <w:p>
            <w:pPr>
              <w:pStyle w:val="TableParagraph"/>
              <w:numPr>
                <w:ilvl w:val="0"/>
                <w:numId w:val="10"/>
              </w:numPr>
              <w:tabs>
                <w:tab w:pos="472" w:val="left" w:leader="none"/>
              </w:tabs>
              <w:spacing w:line="240" w:lineRule="auto" w:before="37" w:after="0"/>
              <w:ind w:left="471" w:right="0" w:hanging="318"/>
              <w:jc w:val="left"/>
              <w:rPr>
                <w:b/>
                <w:sz w:val="21"/>
              </w:rPr>
            </w:pPr>
            <w:r>
              <w:rPr>
                <w:b/>
                <w:sz w:val="21"/>
              </w:rPr>
              <w:t>合同解除</w:t>
            </w:r>
          </w:p>
          <w:p>
            <w:pPr>
              <w:pStyle w:val="TableParagraph"/>
              <w:numPr>
                <w:ilvl w:val="1"/>
                <w:numId w:val="10"/>
              </w:numPr>
              <w:tabs>
                <w:tab w:pos="680" w:val="left" w:leader="none"/>
              </w:tabs>
              <w:spacing w:line="310" w:lineRule="atLeast" w:before="2" w:after="0"/>
              <w:ind w:left="259" w:right="208" w:firstLine="0"/>
              <w:jc w:val="left"/>
              <w:rPr>
                <w:sz w:val="21"/>
              </w:rPr>
            </w:pPr>
            <w:r>
              <w:rPr>
                <w:spacing w:val="-3"/>
                <w:sz w:val="21"/>
              </w:rPr>
              <w:t>您解除合同的手续及风险</w:t>
            </w:r>
          </w:p>
        </w:tc>
        <w:tc>
          <w:tcPr>
            <w:tcW w:w="2511" w:type="dxa"/>
          </w:tcPr>
          <w:p>
            <w:pPr>
              <w:pStyle w:val="TableParagraph"/>
              <w:numPr>
                <w:ilvl w:val="0"/>
                <w:numId w:val="11"/>
              </w:numPr>
              <w:tabs>
                <w:tab w:pos="625" w:val="left" w:leader="none"/>
              </w:tabs>
              <w:spacing w:line="211" w:lineRule="exact" w:before="0" w:after="0"/>
              <w:ind w:left="624" w:right="0" w:hanging="423"/>
              <w:jc w:val="left"/>
              <w:rPr>
                <w:b/>
                <w:sz w:val="21"/>
              </w:rPr>
            </w:pPr>
            <w:r>
              <w:rPr>
                <w:b/>
                <w:sz w:val="21"/>
              </w:rPr>
              <w:t>释义</w:t>
            </w:r>
          </w:p>
          <w:p>
            <w:pPr>
              <w:pStyle w:val="TableParagraph"/>
              <w:numPr>
                <w:ilvl w:val="1"/>
                <w:numId w:val="11"/>
              </w:numPr>
              <w:tabs>
                <w:tab w:pos="834" w:val="left" w:leader="none"/>
              </w:tabs>
              <w:spacing w:line="240" w:lineRule="auto" w:before="37" w:after="0"/>
              <w:ind w:left="833" w:right="0" w:hanging="526"/>
              <w:jc w:val="left"/>
              <w:rPr>
                <w:sz w:val="21"/>
              </w:rPr>
            </w:pPr>
            <w:r>
              <w:rPr>
                <w:sz w:val="21"/>
              </w:rPr>
              <w:t>周岁</w:t>
            </w:r>
          </w:p>
          <w:p>
            <w:pPr>
              <w:pStyle w:val="TableParagraph"/>
              <w:numPr>
                <w:ilvl w:val="1"/>
                <w:numId w:val="11"/>
              </w:numPr>
              <w:tabs>
                <w:tab w:pos="834" w:val="left" w:leader="none"/>
              </w:tabs>
              <w:spacing w:line="240" w:lineRule="auto" w:before="37" w:after="0"/>
              <w:ind w:left="833" w:right="0" w:hanging="526"/>
              <w:jc w:val="left"/>
              <w:rPr>
                <w:sz w:val="21"/>
              </w:rPr>
            </w:pPr>
            <w:r>
              <w:rPr>
                <w:spacing w:val="-3"/>
                <w:sz w:val="21"/>
              </w:rPr>
              <w:t>有效身份证件</w:t>
            </w:r>
          </w:p>
          <w:p>
            <w:pPr>
              <w:pStyle w:val="TableParagraph"/>
              <w:numPr>
                <w:ilvl w:val="1"/>
                <w:numId w:val="11"/>
              </w:numPr>
              <w:tabs>
                <w:tab w:pos="834" w:val="left" w:leader="none"/>
              </w:tabs>
              <w:spacing w:line="240" w:lineRule="auto" w:before="37" w:after="0"/>
              <w:ind w:left="833" w:right="0" w:hanging="526"/>
              <w:jc w:val="left"/>
              <w:rPr>
                <w:sz w:val="21"/>
              </w:rPr>
            </w:pPr>
            <w:r>
              <w:rPr>
                <w:sz w:val="21"/>
              </w:rPr>
              <w:t>医院</w:t>
            </w:r>
          </w:p>
          <w:p>
            <w:pPr>
              <w:pStyle w:val="TableParagraph"/>
              <w:numPr>
                <w:ilvl w:val="1"/>
                <w:numId w:val="11"/>
              </w:numPr>
              <w:tabs>
                <w:tab w:pos="781" w:val="left" w:leader="none"/>
              </w:tabs>
              <w:spacing w:line="240" w:lineRule="auto" w:before="37" w:after="0"/>
              <w:ind w:left="780" w:right="0" w:hanging="473"/>
              <w:jc w:val="left"/>
              <w:rPr>
                <w:sz w:val="21"/>
              </w:rPr>
            </w:pPr>
            <w:r>
              <w:rPr>
                <w:spacing w:val="-2"/>
                <w:sz w:val="21"/>
              </w:rPr>
              <w:t>专科医生</w:t>
            </w:r>
          </w:p>
          <w:p>
            <w:pPr>
              <w:pStyle w:val="TableParagraph"/>
              <w:numPr>
                <w:ilvl w:val="1"/>
                <w:numId w:val="11"/>
              </w:numPr>
              <w:tabs>
                <w:tab w:pos="834" w:val="left" w:leader="none"/>
              </w:tabs>
              <w:spacing w:line="240" w:lineRule="auto" w:before="37" w:after="0"/>
              <w:ind w:left="833" w:right="0" w:hanging="526"/>
              <w:jc w:val="left"/>
              <w:rPr>
                <w:sz w:val="21"/>
              </w:rPr>
            </w:pPr>
            <w:r>
              <w:rPr>
                <w:spacing w:val="-2"/>
                <w:sz w:val="21"/>
              </w:rPr>
              <w:t>重大疾病</w:t>
            </w:r>
          </w:p>
          <w:p>
            <w:pPr>
              <w:pStyle w:val="TableParagraph"/>
              <w:numPr>
                <w:ilvl w:val="1"/>
                <w:numId w:val="11"/>
              </w:numPr>
              <w:tabs>
                <w:tab w:pos="834" w:val="left" w:leader="none"/>
              </w:tabs>
              <w:spacing w:line="255" w:lineRule="exact" w:before="37" w:after="0"/>
              <w:ind w:left="833" w:right="0" w:hanging="526"/>
              <w:jc w:val="left"/>
              <w:rPr>
                <w:sz w:val="21"/>
              </w:rPr>
            </w:pPr>
            <w:r>
              <w:rPr>
                <w:spacing w:val="-3"/>
                <w:sz w:val="21"/>
              </w:rPr>
              <w:t>自主生活能力完</w:t>
            </w:r>
          </w:p>
        </w:tc>
        <w:tc>
          <w:tcPr>
            <w:tcW w:w="2668" w:type="dxa"/>
          </w:tcPr>
          <w:p>
            <w:pPr>
              <w:pStyle w:val="TableParagraph"/>
              <w:numPr>
                <w:ilvl w:val="1"/>
                <w:numId w:val="12"/>
              </w:numPr>
              <w:tabs>
                <w:tab w:pos="839" w:val="left" w:leader="none"/>
              </w:tabs>
              <w:spacing w:line="211" w:lineRule="exact" w:before="0" w:after="0"/>
              <w:ind w:left="206" w:right="0" w:firstLine="0"/>
              <w:jc w:val="left"/>
              <w:rPr>
                <w:sz w:val="21"/>
              </w:rPr>
            </w:pPr>
            <w:r>
              <w:rPr>
                <w:sz w:val="21"/>
              </w:rPr>
              <w:t>利息</w:t>
            </w:r>
          </w:p>
          <w:p>
            <w:pPr>
              <w:pStyle w:val="TableParagraph"/>
              <w:numPr>
                <w:ilvl w:val="1"/>
                <w:numId w:val="12"/>
              </w:numPr>
              <w:tabs>
                <w:tab w:pos="786" w:val="left" w:leader="none"/>
              </w:tabs>
              <w:spacing w:line="240" w:lineRule="auto" w:before="37" w:after="0"/>
              <w:ind w:left="785" w:right="0" w:hanging="579"/>
              <w:jc w:val="left"/>
              <w:rPr>
                <w:sz w:val="21"/>
              </w:rPr>
            </w:pPr>
            <w:r>
              <w:rPr>
                <w:spacing w:val="-3"/>
                <w:sz w:val="21"/>
              </w:rPr>
              <w:t>肢体机能完全丧失</w:t>
            </w:r>
          </w:p>
          <w:p>
            <w:pPr>
              <w:pStyle w:val="TableParagraph"/>
              <w:numPr>
                <w:ilvl w:val="1"/>
                <w:numId w:val="12"/>
              </w:numPr>
              <w:tabs>
                <w:tab w:pos="786" w:val="left" w:leader="none"/>
              </w:tabs>
              <w:spacing w:line="273" w:lineRule="auto" w:before="37" w:after="0"/>
              <w:ind w:left="206" w:right="197" w:firstLine="0"/>
              <w:jc w:val="left"/>
              <w:rPr>
                <w:sz w:val="21"/>
              </w:rPr>
            </w:pPr>
            <w:r>
              <w:rPr>
                <w:spacing w:val="-3"/>
                <w:sz w:val="21"/>
              </w:rPr>
              <w:t>语言能力或咀嚼吞咽能力完全丧失</w:t>
            </w:r>
          </w:p>
          <w:p>
            <w:pPr>
              <w:pStyle w:val="TableParagraph"/>
              <w:numPr>
                <w:ilvl w:val="1"/>
                <w:numId w:val="12"/>
              </w:numPr>
              <w:tabs>
                <w:tab w:pos="786" w:val="left" w:leader="none"/>
              </w:tabs>
              <w:spacing w:line="273" w:lineRule="auto" w:before="7" w:after="0"/>
              <w:ind w:left="206" w:right="197" w:firstLine="0"/>
              <w:jc w:val="left"/>
              <w:rPr>
                <w:sz w:val="21"/>
              </w:rPr>
            </w:pPr>
            <w:r>
              <w:rPr>
                <w:spacing w:val="-3"/>
                <w:sz w:val="21"/>
              </w:rPr>
              <w:t>六项基本日常生活活动</w:t>
            </w:r>
          </w:p>
        </w:tc>
      </w:tr>
    </w:tbl>
    <w:p>
      <w:pPr>
        <w:spacing w:after="0" w:line="273" w:lineRule="auto"/>
        <w:jc w:val="left"/>
        <w:rPr>
          <w:sz w:val="21"/>
        </w:rPr>
        <w:sectPr>
          <w:pgSz w:w="11910" w:h="16840"/>
          <w:pgMar w:header="0" w:footer="924" w:top="1400" w:bottom="1120" w:left="880" w:right="760"/>
        </w:sectPr>
      </w:pPr>
    </w:p>
    <w:p>
      <w:pPr>
        <w:pStyle w:val="Heading1"/>
        <w:spacing w:line="477" w:lineRule="exact"/>
        <w:ind w:left="3017"/>
      </w:pPr>
      <w:r>
        <w:rPr/>
        <w:t>华泰人寿保险股份有限公司</w:t>
      </w:r>
    </w:p>
    <w:p>
      <w:pPr>
        <w:spacing w:before="151"/>
        <w:ind w:left="2697" w:right="0" w:firstLine="0"/>
        <w:jc w:val="left"/>
        <w:rPr>
          <w:rFonts w:ascii="微软雅黑" w:eastAsia="微软雅黑" w:hint="eastAsia"/>
          <w:b/>
          <w:sz w:val="32"/>
        </w:rPr>
      </w:pPr>
      <w:r>
        <w:rPr>
          <w:rFonts w:ascii="微软雅黑" w:eastAsia="微软雅黑" w:hint="eastAsia"/>
          <w:b/>
          <w:sz w:val="32"/>
        </w:rPr>
        <w:t>百万康泰终身重大疾病保险条款</w:t>
      </w:r>
    </w:p>
    <w:p>
      <w:pPr>
        <w:pStyle w:val="BodyText"/>
        <w:spacing w:before="14"/>
        <w:rPr>
          <w:rFonts w:ascii="微软雅黑"/>
          <w:b/>
          <w:sz w:val="55"/>
        </w:rPr>
      </w:pPr>
    </w:p>
    <w:p>
      <w:pPr>
        <w:pStyle w:val="BodyText"/>
        <w:spacing w:line="273" w:lineRule="auto"/>
        <w:ind w:left="212" w:right="296"/>
        <w:jc w:val="both"/>
      </w:pPr>
      <w:r>
        <w:rPr/>
        <w:t>在本条款中，“您”指投保人，“我们”、“本公司”均指在保险单上签章的华泰人寿保险股份有限公司，“本合同”指您与我们之间订立的“百万康泰终身重大疾病保险保险合同”，“被保险人”指本合同的被保险人，投保人、被保险人的姓名在保险单上载明。</w:t>
      </w:r>
    </w:p>
    <w:p>
      <w:pPr>
        <w:pStyle w:val="BodyText"/>
        <w:rPr>
          <w:sz w:val="20"/>
        </w:rPr>
      </w:pPr>
    </w:p>
    <w:p>
      <w:pPr>
        <w:pStyle w:val="ListParagraph"/>
        <w:numPr>
          <w:ilvl w:val="0"/>
          <w:numId w:val="13"/>
        </w:numPr>
        <w:tabs>
          <w:tab w:pos="1008" w:val="left" w:leader="none"/>
        </w:tabs>
        <w:spacing w:line="240" w:lineRule="auto" w:before="157" w:after="0"/>
        <w:ind w:left="1007" w:right="0" w:hanging="795"/>
        <w:jc w:val="both"/>
        <w:rPr>
          <w:b/>
          <w:sz w:val="24"/>
        </w:rPr>
      </w:pPr>
      <w:r>
        <w:rPr>
          <w:b/>
          <w:w w:val="95"/>
          <w:sz w:val="24"/>
        </w:rPr>
        <w:t>您与我们订立的合同</w:t>
      </w:r>
    </w:p>
    <w:p>
      <w:pPr>
        <w:pStyle w:val="BodyText"/>
        <w:spacing w:before="8"/>
        <w:rPr>
          <w:b/>
          <w:sz w:val="15"/>
        </w:rPr>
      </w:pPr>
      <w:r>
        <w:rPr/>
        <w:pict>
          <v:group style="position:absolute;margin-left:51.240002pt;margin-top:12.217641pt;width:487.65pt;height:1pt;mso-position-horizontal-relative:page;mso-position-vertical-relative:paragraph;z-index:1096;mso-wrap-distance-left:0;mso-wrap-distance-right:0" coordorigin="1025,244" coordsize="9753,20">
            <v:line style="position:absolute" from="1025,254" to="1817,254" stroked="true" strokeweight=".95999pt" strokecolor="#000000">
              <v:stroke dashstyle="solid"/>
            </v:line>
            <v:rect style="position:absolute;left:1817;top:244;width:20;height:20" filled="true" fillcolor="#000000" stroked="false">
              <v:fill type="solid"/>
            </v:rect>
            <v:line style="position:absolute" from="1836,254" to="3346,254" stroked="true" strokeweight=".95999pt" strokecolor="#000000">
              <v:stroke dashstyle="solid"/>
            </v:line>
            <v:rect style="position:absolute;left:3346;top:244;width:20;height:20" filled="true" fillcolor="#000000" stroked="false">
              <v:fill type="solid"/>
            </v:rect>
            <v:line style="position:absolute" from="3365,254" to="10778,254" stroked="true" strokeweight=".95999pt" strokecolor="#000000">
              <v:stroke dashstyle="solid"/>
            </v:line>
            <w10:wrap type="topAndBottom"/>
          </v:group>
        </w:pict>
      </w:r>
    </w:p>
    <w:p>
      <w:pPr>
        <w:pStyle w:val="BodyText"/>
        <w:spacing w:before="7"/>
        <w:rPr>
          <w:b/>
          <w:sz w:val="5"/>
        </w:rPr>
      </w:pPr>
    </w:p>
    <w:p>
      <w:pPr>
        <w:pStyle w:val="ListParagraph"/>
        <w:numPr>
          <w:ilvl w:val="1"/>
          <w:numId w:val="13"/>
        </w:numPr>
        <w:tabs>
          <w:tab w:pos="1007" w:val="left" w:leader="none"/>
          <w:tab w:pos="1008" w:val="left" w:leader="none"/>
          <w:tab w:pos="2533" w:val="left" w:leader="none"/>
        </w:tabs>
        <w:spacing w:line="273" w:lineRule="auto" w:before="37" w:after="0"/>
        <w:ind w:left="2534" w:right="106" w:hanging="2322"/>
        <w:jc w:val="left"/>
        <w:rPr>
          <w:sz w:val="21"/>
        </w:rPr>
      </w:pPr>
      <w:r>
        <w:rPr>
          <w:b/>
          <w:sz w:val="21"/>
        </w:rPr>
        <w:t>合同构成</w:t>
        <w:tab/>
      </w:r>
      <w:r>
        <w:rPr>
          <w:sz w:val="21"/>
        </w:rPr>
        <w:t>本合</w:t>
      </w:r>
      <w:r>
        <w:rPr>
          <w:spacing w:val="-3"/>
          <w:sz w:val="21"/>
        </w:rPr>
        <w:t>同</w:t>
      </w:r>
      <w:r>
        <w:rPr>
          <w:sz w:val="21"/>
        </w:rPr>
        <w:t>是</w:t>
      </w:r>
      <w:r>
        <w:rPr>
          <w:spacing w:val="-3"/>
          <w:sz w:val="21"/>
        </w:rPr>
        <w:t>您</w:t>
      </w:r>
      <w:r>
        <w:rPr>
          <w:sz w:val="21"/>
        </w:rPr>
        <w:t>与</w:t>
      </w:r>
      <w:r>
        <w:rPr>
          <w:spacing w:val="-3"/>
          <w:sz w:val="21"/>
        </w:rPr>
        <w:t>我</w:t>
      </w:r>
      <w:r>
        <w:rPr>
          <w:sz w:val="21"/>
        </w:rPr>
        <w:t>们</w:t>
      </w:r>
      <w:r>
        <w:rPr>
          <w:spacing w:val="-3"/>
          <w:sz w:val="21"/>
        </w:rPr>
        <w:t>约</w:t>
      </w:r>
      <w:r>
        <w:rPr>
          <w:sz w:val="21"/>
        </w:rPr>
        <w:t>定</w:t>
      </w:r>
      <w:r>
        <w:rPr>
          <w:spacing w:val="-3"/>
          <w:sz w:val="21"/>
        </w:rPr>
        <w:t>保</w:t>
      </w:r>
      <w:r>
        <w:rPr>
          <w:sz w:val="21"/>
        </w:rPr>
        <w:t>险权</w:t>
      </w:r>
      <w:r>
        <w:rPr>
          <w:spacing w:val="-3"/>
          <w:sz w:val="21"/>
        </w:rPr>
        <w:t>利</w:t>
      </w:r>
      <w:r>
        <w:rPr>
          <w:sz w:val="21"/>
        </w:rPr>
        <w:t>义</w:t>
      </w:r>
      <w:r>
        <w:rPr>
          <w:spacing w:val="-3"/>
          <w:sz w:val="21"/>
        </w:rPr>
        <w:t>务</w:t>
      </w:r>
      <w:r>
        <w:rPr>
          <w:sz w:val="21"/>
        </w:rPr>
        <w:t>关</w:t>
      </w:r>
      <w:r>
        <w:rPr>
          <w:spacing w:val="-3"/>
          <w:sz w:val="21"/>
        </w:rPr>
        <w:t>系</w:t>
      </w:r>
      <w:r>
        <w:rPr>
          <w:sz w:val="21"/>
        </w:rPr>
        <w:t>的</w:t>
      </w:r>
      <w:r>
        <w:rPr>
          <w:spacing w:val="-3"/>
          <w:sz w:val="21"/>
        </w:rPr>
        <w:t>协</w:t>
      </w:r>
      <w:r>
        <w:rPr>
          <w:sz w:val="21"/>
        </w:rPr>
        <w:t>议</w:t>
      </w:r>
      <w:r>
        <w:rPr>
          <w:spacing w:val="-3"/>
          <w:sz w:val="21"/>
        </w:rPr>
        <w:t>，</w:t>
      </w:r>
      <w:r>
        <w:rPr>
          <w:sz w:val="21"/>
        </w:rPr>
        <w:t>包括</w:t>
      </w:r>
      <w:r>
        <w:rPr>
          <w:spacing w:val="-3"/>
          <w:sz w:val="21"/>
        </w:rPr>
        <w:t>本</w:t>
      </w:r>
      <w:r>
        <w:rPr>
          <w:sz w:val="21"/>
        </w:rPr>
        <w:t>保</w:t>
      </w:r>
      <w:r>
        <w:rPr>
          <w:spacing w:val="-3"/>
          <w:sz w:val="21"/>
        </w:rPr>
        <w:t>险</w:t>
      </w:r>
      <w:r>
        <w:rPr>
          <w:sz w:val="21"/>
        </w:rPr>
        <w:t>条</w:t>
      </w:r>
      <w:r>
        <w:rPr>
          <w:spacing w:val="-3"/>
          <w:sz w:val="21"/>
        </w:rPr>
        <w:t>款</w:t>
      </w:r>
      <w:r>
        <w:rPr>
          <w:sz w:val="21"/>
        </w:rPr>
        <w:t>、</w:t>
      </w:r>
      <w:r>
        <w:rPr>
          <w:spacing w:val="-3"/>
          <w:sz w:val="21"/>
        </w:rPr>
        <w:t>保</w:t>
      </w:r>
      <w:r>
        <w:rPr>
          <w:sz w:val="21"/>
        </w:rPr>
        <w:t>险</w:t>
      </w:r>
      <w:r>
        <w:rPr>
          <w:spacing w:val="-3"/>
          <w:sz w:val="21"/>
        </w:rPr>
        <w:t>单</w:t>
      </w:r>
      <w:r>
        <w:rPr>
          <w:sz w:val="21"/>
        </w:rPr>
        <w:t>或 其他</w:t>
      </w:r>
      <w:r>
        <w:rPr>
          <w:spacing w:val="-3"/>
          <w:sz w:val="21"/>
        </w:rPr>
        <w:t>保</w:t>
      </w:r>
      <w:r>
        <w:rPr>
          <w:sz w:val="21"/>
        </w:rPr>
        <w:t>险</w:t>
      </w:r>
      <w:r>
        <w:rPr>
          <w:spacing w:val="-3"/>
          <w:sz w:val="21"/>
        </w:rPr>
        <w:t>凭证</w:t>
      </w:r>
      <w:r>
        <w:rPr>
          <w:spacing w:val="-8"/>
          <w:sz w:val="21"/>
        </w:rPr>
        <w:t>、</w:t>
      </w:r>
      <w:r>
        <w:rPr>
          <w:spacing w:val="-3"/>
          <w:sz w:val="21"/>
        </w:rPr>
        <w:t>投</w:t>
      </w:r>
      <w:r>
        <w:rPr>
          <w:sz w:val="21"/>
        </w:rPr>
        <w:t>保</w:t>
      </w:r>
      <w:r>
        <w:rPr>
          <w:spacing w:val="-3"/>
          <w:sz w:val="21"/>
        </w:rPr>
        <w:t>单</w:t>
      </w:r>
      <w:r>
        <w:rPr>
          <w:spacing w:val="-10"/>
          <w:sz w:val="21"/>
        </w:rPr>
        <w:t>、</w:t>
      </w:r>
      <w:r>
        <w:rPr>
          <w:sz w:val="21"/>
        </w:rPr>
        <w:t>与保</w:t>
      </w:r>
      <w:r>
        <w:rPr>
          <w:spacing w:val="-3"/>
          <w:sz w:val="21"/>
        </w:rPr>
        <w:t>险</w:t>
      </w:r>
      <w:r>
        <w:rPr>
          <w:sz w:val="21"/>
        </w:rPr>
        <w:t>合</w:t>
      </w:r>
      <w:r>
        <w:rPr>
          <w:spacing w:val="-3"/>
          <w:sz w:val="21"/>
        </w:rPr>
        <w:t>同</w:t>
      </w:r>
      <w:r>
        <w:rPr>
          <w:sz w:val="21"/>
        </w:rPr>
        <w:t>有</w:t>
      </w:r>
      <w:r>
        <w:rPr>
          <w:spacing w:val="-3"/>
          <w:sz w:val="21"/>
        </w:rPr>
        <w:t>关</w:t>
      </w:r>
      <w:r>
        <w:rPr>
          <w:sz w:val="21"/>
        </w:rPr>
        <w:t>的</w:t>
      </w:r>
      <w:r>
        <w:rPr>
          <w:spacing w:val="-3"/>
          <w:sz w:val="21"/>
        </w:rPr>
        <w:t>投</w:t>
      </w:r>
      <w:r>
        <w:rPr>
          <w:sz w:val="21"/>
        </w:rPr>
        <w:t>保</w:t>
      </w:r>
      <w:r>
        <w:rPr>
          <w:spacing w:val="-3"/>
          <w:sz w:val="21"/>
        </w:rPr>
        <w:t>文</w:t>
      </w:r>
      <w:r>
        <w:rPr>
          <w:sz w:val="21"/>
        </w:rPr>
        <w:t>件</w:t>
      </w:r>
      <w:r>
        <w:rPr>
          <w:spacing w:val="-10"/>
          <w:sz w:val="21"/>
        </w:rPr>
        <w:t>、</w:t>
      </w:r>
      <w:r>
        <w:rPr>
          <w:sz w:val="21"/>
        </w:rPr>
        <w:t>合</w:t>
      </w:r>
      <w:r>
        <w:rPr>
          <w:spacing w:val="-3"/>
          <w:sz w:val="21"/>
        </w:rPr>
        <w:t>法</w:t>
      </w:r>
      <w:r>
        <w:rPr>
          <w:sz w:val="21"/>
        </w:rPr>
        <w:t>有</w:t>
      </w:r>
      <w:r>
        <w:rPr>
          <w:spacing w:val="-3"/>
          <w:sz w:val="21"/>
        </w:rPr>
        <w:t>效</w:t>
      </w:r>
      <w:r>
        <w:rPr>
          <w:sz w:val="21"/>
        </w:rPr>
        <w:t>的</w:t>
      </w:r>
      <w:r>
        <w:rPr>
          <w:spacing w:val="-3"/>
          <w:sz w:val="21"/>
        </w:rPr>
        <w:t>声</w:t>
      </w:r>
      <w:r>
        <w:rPr>
          <w:sz w:val="21"/>
        </w:rPr>
        <w:t>明</w:t>
      </w:r>
      <w:r>
        <w:rPr>
          <w:spacing w:val="-10"/>
          <w:sz w:val="21"/>
        </w:rPr>
        <w:t>、</w:t>
      </w:r>
      <w:r>
        <w:rPr>
          <w:spacing w:val="-3"/>
          <w:sz w:val="21"/>
        </w:rPr>
        <w:t>批</w:t>
      </w:r>
      <w:r>
        <w:rPr>
          <w:sz w:val="21"/>
        </w:rPr>
        <w:t>注、批单</w:t>
      </w:r>
      <w:r>
        <w:rPr>
          <w:spacing w:val="-3"/>
          <w:sz w:val="21"/>
        </w:rPr>
        <w:t>及</w:t>
      </w:r>
      <w:r>
        <w:rPr>
          <w:sz w:val="21"/>
        </w:rPr>
        <w:t>其</w:t>
      </w:r>
      <w:r>
        <w:rPr>
          <w:spacing w:val="-3"/>
          <w:sz w:val="21"/>
        </w:rPr>
        <w:t>他</w:t>
      </w:r>
      <w:r>
        <w:rPr>
          <w:sz w:val="21"/>
        </w:rPr>
        <w:t>约</w:t>
      </w:r>
      <w:r>
        <w:rPr>
          <w:spacing w:val="-3"/>
          <w:sz w:val="21"/>
        </w:rPr>
        <w:t>定</w:t>
      </w:r>
      <w:r>
        <w:rPr>
          <w:sz w:val="21"/>
        </w:rPr>
        <w:t>您</w:t>
      </w:r>
      <w:r>
        <w:rPr>
          <w:spacing w:val="-3"/>
          <w:sz w:val="21"/>
        </w:rPr>
        <w:t>和</w:t>
      </w:r>
      <w:r>
        <w:rPr>
          <w:sz w:val="21"/>
        </w:rPr>
        <w:t>我</w:t>
      </w:r>
      <w:r>
        <w:rPr>
          <w:spacing w:val="-3"/>
          <w:sz w:val="21"/>
        </w:rPr>
        <w:t>们</w:t>
      </w:r>
      <w:r>
        <w:rPr>
          <w:sz w:val="21"/>
        </w:rPr>
        <w:t>之间</w:t>
      </w:r>
      <w:r>
        <w:rPr>
          <w:spacing w:val="-3"/>
          <w:sz w:val="21"/>
        </w:rPr>
        <w:t>权</w:t>
      </w:r>
      <w:r>
        <w:rPr>
          <w:sz w:val="21"/>
        </w:rPr>
        <w:t>利</w:t>
      </w:r>
      <w:r>
        <w:rPr>
          <w:spacing w:val="-3"/>
          <w:sz w:val="21"/>
        </w:rPr>
        <w:t>义</w:t>
      </w:r>
      <w:r>
        <w:rPr>
          <w:sz w:val="21"/>
        </w:rPr>
        <w:t>务</w:t>
      </w:r>
      <w:r>
        <w:rPr>
          <w:spacing w:val="-3"/>
          <w:sz w:val="21"/>
        </w:rPr>
        <w:t>关</w:t>
      </w:r>
      <w:r>
        <w:rPr>
          <w:sz w:val="21"/>
        </w:rPr>
        <w:t>系</w:t>
      </w:r>
      <w:r>
        <w:rPr>
          <w:spacing w:val="-3"/>
          <w:sz w:val="21"/>
        </w:rPr>
        <w:t>的</w:t>
      </w:r>
      <w:r>
        <w:rPr>
          <w:sz w:val="21"/>
        </w:rPr>
        <w:t>书</w:t>
      </w:r>
      <w:r>
        <w:rPr>
          <w:spacing w:val="-3"/>
          <w:sz w:val="21"/>
        </w:rPr>
        <w:t>面</w:t>
      </w:r>
      <w:r>
        <w:rPr>
          <w:sz w:val="21"/>
        </w:rPr>
        <w:t>文件。</w:t>
      </w:r>
    </w:p>
    <w:p>
      <w:pPr>
        <w:pStyle w:val="BodyText"/>
        <w:spacing w:before="164"/>
        <w:ind w:left="2533"/>
      </w:pPr>
      <w:r>
        <w:rPr/>
        <w:t>阅读指引和条款目录仅供辅助理解使用，不构成保险合同的组成部分。</w:t>
      </w:r>
    </w:p>
    <w:p>
      <w:pPr>
        <w:pStyle w:val="BodyText"/>
        <w:spacing w:before="11"/>
        <w:rPr>
          <w:sz w:val="24"/>
        </w:rPr>
      </w:pPr>
    </w:p>
    <w:p>
      <w:pPr>
        <w:spacing w:after="0"/>
        <w:rPr>
          <w:sz w:val="24"/>
        </w:rPr>
        <w:sectPr>
          <w:pgSz w:w="11910" w:h="16840"/>
          <w:pgMar w:header="0" w:footer="924" w:top="1220" w:bottom="1200" w:left="920" w:right="1020"/>
        </w:sectPr>
      </w:pPr>
    </w:p>
    <w:p>
      <w:pPr>
        <w:pStyle w:val="Heading2"/>
        <w:numPr>
          <w:ilvl w:val="1"/>
          <w:numId w:val="13"/>
        </w:numPr>
        <w:tabs>
          <w:tab w:pos="1007" w:val="left" w:leader="none"/>
          <w:tab w:pos="1008" w:val="left" w:leader="none"/>
        </w:tabs>
        <w:spacing w:line="273" w:lineRule="auto" w:before="36" w:after="0"/>
        <w:ind w:left="1007" w:right="0" w:hanging="795"/>
        <w:jc w:val="left"/>
      </w:pPr>
      <w:r>
        <w:rPr/>
        <w:t>合同成立及生效</w:t>
      </w:r>
    </w:p>
    <w:p>
      <w:pPr>
        <w:pStyle w:val="BodyText"/>
        <w:spacing w:before="36"/>
        <w:ind w:left="212"/>
      </w:pPr>
      <w:r>
        <w:rPr/>
        <w:br w:type="column"/>
      </w:r>
      <w:r>
        <w:rPr/>
        <w:t>您向我们提出保险申请，我们同意承保，本合同成立。</w:t>
      </w:r>
    </w:p>
    <w:p>
      <w:pPr>
        <w:pStyle w:val="BodyText"/>
        <w:spacing w:before="9"/>
        <w:rPr>
          <w:sz w:val="14"/>
        </w:rPr>
      </w:pPr>
    </w:p>
    <w:p>
      <w:pPr>
        <w:pStyle w:val="BodyText"/>
        <w:spacing w:line="273" w:lineRule="auto"/>
        <w:ind w:left="212" w:right="71"/>
      </w:pPr>
      <w:r>
        <w:rPr/>
        <w:t>本合同的生效日期以保险单记载的日期为准。保险单年度、保险费约定交纳日、保险单满期日均以该日期计算。</w:t>
      </w:r>
    </w:p>
    <w:p>
      <w:pPr>
        <w:spacing w:after="0" w:line="273" w:lineRule="auto"/>
        <w:sectPr>
          <w:type w:val="continuous"/>
          <w:pgSz w:w="11910" w:h="16840"/>
          <w:pgMar w:top="1580" w:bottom="1120" w:left="920" w:right="1020"/>
          <w:cols w:num="2" w:equalWidth="0">
            <w:col w:w="2275" w:space="46"/>
            <w:col w:w="7649"/>
          </w:cols>
        </w:sectPr>
      </w:pPr>
    </w:p>
    <w:p>
      <w:pPr>
        <w:pStyle w:val="BodyText"/>
        <w:spacing w:before="9"/>
        <w:rPr>
          <w:sz w:val="22"/>
        </w:rPr>
      </w:pPr>
    </w:p>
    <w:p>
      <w:pPr>
        <w:pStyle w:val="ListParagraph"/>
        <w:numPr>
          <w:ilvl w:val="1"/>
          <w:numId w:val="13"/>
        </w:numPr>
        <w:tabs>
          <w:tab w:pos="1007" w:val="left" w:leader="none"/>
          <w:tab w:pos="1008" w:val="left" w:leader="none"/>
          <w:tab w:pos="2533" w:val="left" w:leader="none"/>
        </w:tabs>
        <w:spacing w:line="240" w:lineRule="auto" w:before="36" w:after="0"/>
        <w:ind w:left="2534" w:right="0" w:hanging="2322"/>
        <w:jc w:val="left"/>
        <w:rPr>
          <w:sz w:val="21"/>
        </w:rPr>
      </w:pPr>
      <w:r>
        <w:rPr>
          <w:b/>
          <w:sz w:val="21"/>
        </w:rPr>
        <w:t>投保年龄</w:t>
        <w:tab/>
      </w:r>
      <w:r>
        <w:rPr>
          <w:sz w:val="21"/>
        </w:rPr>
        <w:t>投保</w:t>
      </w:r>
      <w:r>
        <w:rPr>
          <w:spacing w:val="-3"/>
          <w:sz w:val="21"/>
        </w:rPr>
        <w:t>年</w:t>
      </w:r>
      <w:r>
        <w:rPr>
          <w:sz w:val="21"/>
        </w:rPr>
        <w:t>龄以</w:t>
      </w:r>
      <w:r>
        <w:rPr>
          <w:b/>
          <w:sz w:val="21"/>
        </w:rPr>
        <w:t>周岁</w:t>
      </w:r>
      <w:r>
        <w:rPr>
          <w:spacing w:val="-3"/>
          <w:sz w:val="21"/>
        </w:rPr>
        <w:t>（</w:t>
      </w:r>
      <w:r>
        <w:rPr>
          <w:sz w:val="21"/>
        </w:rPr>
        <w:t>见</w:t>
      </w:r>
      <w:r>
        <w:rPr>
          <w:spacing w:val="-26"/>
          <w:sz w:val="21"/>
        </w:rPr>
        <w:t> </w:t>
      </w:r>
      <w:r>
        <w:rPr>
          <w:sz w:val="21"/>
        </w:rPr>
        <w:t>10.1）计</w:t>
      </w:r>
      <w:r>
        <w:rPr>
          <w:spacing w:val="-3"/>
          <w:sz w:val="21"/>
        </w:rPr>
        <w:t>算</w:t>
      </w:r>
      <w:r>
        <w:rPr>
          <w:sz w:val="21"/>
        </w:rPr>
        <w:t>，</w:t>
      </w:r>
      <w:r>
        <w:rPr>
          <w:spacing w:val="-3"/>
          <w:sz w:val="21"/>
        </w:rPr>
        <w:t>投</w:t>
      </w:r>
      <w:r>
        <w:rPr>
          <w:sz w:val="21"/>
        </w:rPr>
        <w:t>保</w:t>
      </w:r>
      <w:r>
        <w:rPr>
          <w:spacing w:val="-3"/>
          <w:sz w:val="21"/>
        </w:rPr>
        <w:t>本</w:t>
      </w:r>
      <w:r>
        <w:rPr>
          <w:sz w:val="21"/>
        </w:rPr>
        <w:t>合</w:t>
      </w:r>
      <w:r>
        <w:rPr>
          <w:spacing w:val="-3"/>
          <w:sz w:val="21"/>
        </w:rPr>
        <w:t>同</w:t>
      </w:r>
      <w:r>
        <w:rPr>
          <w:sz w:val="21"/>
        </w:rPr>
        <w:t>时</w:t>
      </w:r>
      <w:r>
        <w:rPr>
          <w:spacing w:val="-3"/>
          <w:sz w:val="21"/>
        </w:rPr>
        <w:t>被</w:t>
      </w:r>
      <w:r>
        <w:rPr>
          <w:sz w:val="21"/>
        </w:rPr>
        <w:t>保险</w:t>
      </w:r>
      <w:r>
        <w:rPr>
          <w:spacing w:val="-3"/>
          <w:sz w:val="21"/>
        </w:rPr>
        <w:t>人</w:t>
      </w:r>
      <w:r>
        <w:rPr>
          <w:sz w:val="21"/>
        </w:rPr>
        <w:t>的</w:t>
      </w:r>
      <w:r>
        <w:rPr>
          <w:spacing w:val="-3"/>
          <w:sz w:val="21"/>
        </w:rPr>
        <w:t>年</w:t>
      </w:r>
      <w:r>
        <w:rPr>
          <w:sz w:val="21"/>
        </w:rPr>
        <w:t>龄</w:t>
      </w:r>
      <w:r>
        <w:rPr>
          <w:spacing w:val="-3"/>
          <w:sz w:val="21"/>
        </w:rPr>
        <w:t>须</w:t>
      </w:r>
      <w:r>
        <w:rPr>
          <w:sz w:val="21"/>
        </w:rPr>
        <w:t>为：</w:t>
      </w:r>
    </w:p>
    <w:p>
      <w:pPr>
        <w:pStyle w:val="BodyText"/>
        <w:spacing w:before="8" w:after="1"/>
        <w:rPr>
          <w:sz w:val="15"/>
        </w:rPr>
      </w:pPr>
    </w:p>
    <w:tbl>
      <w:tblPr>
        <w:tblW w:w="0" w:type="auto"/>
        <w:jc w:val="left"/>
        <w:tblInd w:w="25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21"/>
        <w:gridCol w:w="3713"/>
      </w:tblGrid>
      <w:tr>
        <w:trPr>
          <w:trHeight w:val="467" w:hRule="atLeast"/>
        </w:trPr>
        <w:tc>
          <w:tcPr>
            <w:tcW w:w="2321" w:type="dxa"/>
          </w:tcPr>
          <w:p>
            <w:pPr>
              <w:pStyle w:val="TableParagraph"/>
              <w:spacing w:line="266" w:lineRule="exact"/>
              <w:ind w:left="107"/>
              <w:rPr>
                <w:sz w:val="22"/>
              </w:rPr>
            </w:pPr>
            <w:r>
              <w:rPr>
                <w:sz w:val="22"/>
              </w:rPr>
              <w:t>交费方式</w:t>
            </w:r>
          </w:p>
        </w:tc>
        <w:tc>
          <w:tcPr>
            <w:tcW w:w="3713" w:type="dxa"/>
          </w:tcPr>
          <w:p>
            <w:pPr>
              <w:pStyle w:val="TableParagraph"/>
              <w:spacing w:line="262" w:lineRule="exact"/>
              <w:ind w:left="1417" w:right="1406"/>
              <w:jc w:val="center"/>
              <w:rPr>
                <w:sz w:val="21"/>
              </w:rPr>
            </w:pPr>
            <w:r>
              <w:rPr>
                <w:sz w:val="21"/>
              </w:rPr>
              <w:t>投保年龄</w:t>
            </w:r>
          </w:p>
        </w:tc>
      </w:tr>
      <w:tr>
        <w:trPr>
          <w:trHeight w:val="470" w:hRule="atLeast"/>
        </w:trPr>
        <w:tc>
          <w:tcPr>
            <w:tcW w:w="2321" w:type="dxa"/>
          </w:tcPr>
          <w:p>
            <w:pPr>
              <w:pStyle w:val="TableParagraph"/>
              <w:spacing w:line="268" w:lineRule="exact"/>
              <w:ind w:left="107"/>
              <w:rPr>
                <w:sz w:val="22"/>
              </w:rPr>
            </w:pPr>
            <w:r>
              <w:rPr>
                <w:sz w:val="22"/>
              </w:rPr>
              <w:t>一次性交清</w:t>
            </w:r>
          </w:p>
        </w:tc>
        <w:tc>
          <w:tcPr>
            <w:tcW w:w="3713" w:type="dxa"/>
          </w:tcPr>
          <w:p>
            <w:pPr>
              <w:pStyle w:val="TableParagraph"/>
              <w:spacing w:line="265" w:lineRule="exact"/>
              <w:ind w:left="108"/>
              <w:rPr>
                <w:sz w:val="21"/>
              </w:rPr>
            </w:pPr>
            <w:r>
              <w:rPr>
                <w:sz w:val="21"/>
              </w:rPr>
              <w:t>0 周岁（出生满 28 天）至 65 周岁</w:t>
            </w:r>
          </w:p>
        </w:tc>
      </w:tr>
      <w:tr>
        <w:trPr>
          <w:trHeight w:val="467" w:hRule="atLeast"/>
        </w:trPr>
        <w:tc>
          <w:tcPr>
            <w:tcW w:w="2321" w:type="dxa"/>
          </w:tcPr>
          <w:p>
            <w:pPr>
              <w:pStyle w:val="TableParagraph"/>
              <w:spacing w:line="266" w:lineRule="exact"/>
              <w:ind w:left="107"/>
              <w:rPr>
                <w:sz w:val="22"/>
              </w:rPr>
            </w:pPr>
            <w:r>
              <w:rPr>
                <w:sz w:val="22"/>
              </w:rPr>
              <w:t>3 年期交</w:t>
            </w:r>
          </w:p>
        </w:tc>
        <w:tc>
          <w:tcPr>
            <w:tcW w:w="3713" w:type="dxa"/>
          </w:tcPr>
          <w:p>
            <w:pPr>
              <w:pStyle w:val="TableParagraph"/>
              <w:spacing w:line="262" w:lineRule="exact"/>
              <w:ind w:left="108"/>
              <w:rPr>
                <w:sz w:val="21"/>
              </w:rPr>
            </w:pPr>
            <w:r>
              <w:rPr>
                <w:sz w:val="21"/>
              </w:rPr>
              <w:t>0 周岁（出生满 28 天）至 62 周岁</w:t>
            </w:r>
          </w:p>
        </w:tc>
      </w:tr>
      <w:tr>
        <w:trPr>
          <w:trHeight w:val="467" w:hRule="atLeast"/>
        </w:trPr>
        <w:tc>
          <w:tcPr>
            <w:tcW w:w="2321" w:type="dxa"/>
          </w:tcPr>
          <w:p>
            <w:pPr>
              <w:pStyle w:val="TableParagraph"/>
              <w:spacing w:line="266" w:lineRule="exact"/>
              <w:ind w:left="107"/>
              <w:rPr>
                <w:sz w:val="22"/>
              </w:rPr>
            </w:pPr>
            <w:r>
              <w:rPr>
                <w:sz w:val="22"/>
              </w:rPr>
              <w:t>5 年期交</w:t>
            </w:r>
          </w:p>
        </w:tc>
        <w:tc>
          <w:tcPr>
            <w:tcW w:w="3713" w:type="dxa"/>
          </w:tcPr>
          <w:p>
            <w:pPr>
              <w:pStyle w:val="TableParagraph"/>
              <w:spacing w:line="262" w:lineRule="exact"/>
              <w:ind w:left="108"/>
              <w:rPr>
                <w:sz w:val="21"/>
              </w:rPr>
            </w:pPr>
            <w:r>
              <w:rPr>
                <w:sz w:val="21"/>
              </w:rPr>
              <w:t>0 周岁（出生满 28 天）至 60 周岁</w:t>
            </w:r>
          </w:p>
        </w:tc>
      </w:tr>
      <w:tr>
        <w:trPr>
          <w:trHeight w:val="468" w:hRule="atLeast"/>
        </w:trPr>
        <w:tc>
          <w:tcPr>
            <w:tcW w:w="2321" w:type="dxa"/>
          </w:tcPr>
          <w:p>
            <w:pPr>
              <w:pStyle w:val="TableParagraph"/>
              <w:spacing w:line="266" w:lineRule="exact"/>
              <w:ind w:left="107"/>
              <w:rPr>
                <w:sz w:val="22"/>
              </w:rPr>
            </w:pPr>
            <w:r>
              <w:rPr>
                <w:sz w:val="22"/>
              </w:rPr>
              <w:t>10 年期交</w:t>
            </w:r>
          </w:p>
        </w:tc>
        <w:tc>
          <w:tcPr>
            <w:tcW w:w="3713" w:type="dxa"/>
          </w:tcPr>
          <w:p>
            <w:pPr>
              <w:pStyle w:val="TableParagraph"/>
              <w:spacing w:line="262" w:lineRule="exact"/>
              <w:ind w:left="108"/>
              <w:rPr>
                <w:sz w:val="21"/>
              </w:rPr>
            </w:pPr>
            <w:r>
              <w:rPr>
                <w:sz w:val="21"/>
              </w:rPr>
              <w:t>0 周岁（出生满 28 天）至 55 周岁</w:t>
            </w:r>
          </w:p>
        </w:tc>
      </w:tr>
      <w:tr>
        <w:trPr>
          <w:trHeight w:val="467" w:hRule="atLeast"/>
        </w:trPr>
        <w:tc>
          <w:tcPr>
            <w:tcW w:w="2321" w:type="dxa"/>
          </w:tcPr>
          <w:p>
            <w:pPr>
              <w:pStyle w:val="TableParagraph"/>
              <w:spacing w:line="266" w:lineRule="exact"/>
              <w:ind w:left="107"/>
              <w:rPr>
                <w:sz w:val="22"/>
              </w:rPr>
            </w:pPr>
            <w:r>
              <w:rPr>
                <w:sz w:val="22"/>
              </w:rPr>
              <w:t>15 年期交</w:t>
            </w:r>
          </w:p>
        </w:tc>
        <w:tc>
          <w:tcPr>
            <w:tcW w:w="3713" w:type="dxa"/>
          </w:tcPr>
          <w:p>
            <w:pPr>
              <w:pStyle w:val="TableParagraph"/>
              <w:spacing w:line="262" w:lineRule="exact"/>
              <w:ind w:left="108"/>
              <w:rPr>
                <w:sz w:val="21"/>
              </w:rPr>
            </w:pPr>
            <w:r>
              <w:rPr>
                <w:sz w:val="21"/>
              </w:rPr>
              <w:t>0 周岁（出生满 28 天）至 50 周岁</w:t>
            </w:r>
          </w:p>
        </w:tc>
      </w:tr>
      <w:tr>
        <w:trPr>
          <w:trHeight w:val="470" w:hRule="atLeast"/>
        </w:trPr>
        <w:tc>
          <w:tcPr>
            <w:tcW w:w="2321" w:type="dxa"/>
          </w:tcPr>
          <w:p>
            <w:pPr>
              <w:pStyle w:val="TableParagraph"/>
              <w:spacing w:line="266" w:lineRule="exact"/>
              <w:ind w:left="107"/>
              <w:rPr>
                <w:sz w:val="22"/>
              </w:rPr>
            </w:pPr>
            <w:r>
              <w:rPr>
                <w:sz w:val="22"/>
              </w:rPr>
              <w:t>20 年期交</w:t>
            </w:r>
          </w:p>
        </w:tc>
        <w:tc>
          <w:tcPr>
            <w:tcW w:w="3713" w:type="dxa"/>
          </w:tcPr>
          <w:p>
            <w:pPr>
              <w:pStyle w:val="TableParagraph"/>
              <w:spacing w:line="262" w:lineRule="exact"/>
              <w:ind w:left="108"/>
              <w:rPr>
                <w:sz w:val="21"/>
              </w:rPr>
            </w:pPr>
            <w:r>
              <w:rPr>
                <w:sz w:val="21"/>
              </w:rPr>
              <w:t>0 周岁（出生满 28 天）至 45 周岁</w:t>
            </w:r>
          </w:p>
        </w:tc>
      </w:tr>
    </w:tbl>
    <w:p>
      <w:pPr>
        <w:pStyle w:val="ListParagraph"/>
        <w:numPr>
          <w:ilvl w:val="1"/>
          <w:numId w:val="13"/>
        </w:numPr>
        <w:tabs>
          <w:tab w:pos="1008" w:val="left" w:leader="none"/>
        </w:tabs>
        <w:spacing w:line="273" w:lineRule="auto" w:before="155" w:after="0"/>
        <w:ind w:left="2534" w:right="212" w:hanging="2322"/>
        <w:jc w:val="both"/>
        <w:rPr>
          <w:sz w:val="21"/>
        </w:rPr>
      </w:pPr>
      <w:r>
        <w:rPr>
          <w:b/>
          <w:spacing w:val="7"/>
          <w:sz w:val="21"/>
        </w:rPr>
        <w:t>犹豫期       </w:t>
      </w:r>
      <w:r>
        <w:rPr>
          <w:spacing w:val="-8"/>
          <w:sz w:val="21"/>
        </w:rPr>
        <w:t>自您签收本合同之日起，有 </w:t>
      </w:r>
      <w:r>
        <w:rPr>
          <w:sz w:val="21"/>
        </w:rPr>
        <w:t>10</w:t>
      </w:r>
      <w:r>
        <w:rPr>
          <w:spacing w:val="-30"/>
          <w:sz w:val="21"/>
        </w:rPr>
        <w:t> 天</w:t>
      </w:r>
      <w:r>
        <w:rPr>
          <w:sz w:val="21"/>
        </w:rPr>
        <w:t>（含</w:t>
      </w:r>
      <w:r>
        <w:rPr>
          <w:spacing w:val="-10"/>
          <w:sz w:val="21"/>
        </w:rPr>
        <w:t>）</w:t>
      </w:r>
      <w:r>
        <w:rPr>
          <w:spacing w:val="-5"/>
          <w:sz w:val="21"/>
        </w:rPr>
        <w:t>的犹豫期。在此期间，请您认真阅读本</w:t>
      </w:r>
      <w:r>
        <w:rPr>
          <w:spacing w:val="-9"/>
          <w:sz w:val="21"/>
        </w:rPr>
        <w:t>合同，您可以在此期间提出解除本合同，我们将扣除不超过 </w:t>
      </w:r>
      <w:r>
        <w:rPr>
          <w:sz w:val="21"/>
        </w:rPr>
        <w:t>10</w:t>
      </w:r>
      <w:r>
        <w:rPr>
          <w:spacing w:val="-8"/>
          <w:sz w:val="21"/>
        </w:rPr>
        <w:t> 元的工本费后无</w:t>
      </w:r>
      <w:r>
        <w:rPr>
          <w:spacing w:val="-5"/>
          <w:sz w:val="21"/>
        </w:rPr>
        <w:t>息退还您所交纳的保险费。</w:t>
      </w:r>
    </w:p>
    <w:p>
      <w:pPr>
        <w:pStyle w:val="BodyText"/>
        <w:spacing w:line="273" w:lineRule="auto" w:before="163"/>
        <w:ind w:left="2533" w:right="283"/>
      </w:pPr>
      <w:r>
        <w:rPr>
          <w:spacing w:val="-3"/>
        </w:rPr>
        <w:t>在犹豫期内解除本合同时，您需要填写申请书，并提供您的保险合同、交费凭</w:t>
      </w:r>
      <w:r>
        <w:rPr>
          <w:spacing w:val="-3"/>
          <w:w w:val="100"/>
        </w:rPr>
        <w:t>证及</w:t>
      </w:r>
      <w:r>
        <w:rPr>
          <w:b/>
          <w:w w:val="100"/>
        </w:rPr>
        <w:t>有效身份证件</w:t>
      </w:r>
      <w:r>
        <w:rPr>
          <w:spacing w:val="-3"/>
          <w:w w:val="100"/>
        </w:rPr>
        <w:t>（</w:t>
      </w:r>
      <w:r>
        <w:rPr>
          <w:w w:val="100"/>
        </w:rPr>
        <w:t>见</w:t>
      </w:r>
      <w:r>
        <w:rPr>
          <w:spacing w:val="-53"/>
        </w:rPr>
        <w:t> </w:t>
      </w:r>
      <w:r>
        <w:rPr>
          <w:w w:val="100"/>
        </w:rPr>
        <w:t>1</w:t>
      </w:r>
      <w:r>
        <w:rPr>
          <w:spacing w:val="-3"/>
          <w:w w:val="100"/>
        </w:rPr>
        <w:t>0</w:t>
      </w:r>
      <w:r>
        <w:rPr>
          <w:w w:val="100"/>
        </w:rPr>
        <w:t>.2</w:t>
      </w:r>
      <w:r>
        <w:rPr>
          <w:spacing w:val="-106"/>
          <w:w w:val="100"/>
        </w:rPr>
        <w:t>）</w:t>
      </w:r>
      <w:r>
        <w:rPr>
          <w:w w:val="100"/>
        </w:rPr>
        <w:t>。</w:t>
      </w:r>
    </w:p>
    <w:p>
      <w:pPr>
        <w:pStyle w:val="Heading2"/>
        <w:spacing w:line="273" w:lineRule="auto" w:before="163"/>
        <w:ind w:left="2533" w:right="262"/>
      </w:pPr>
      <w:r>
        <w:rPr/>
        <w:t>自我们收到您解除合同的书面申请时起，本合同即被解除，合同解除前发生的保险事故我们不承担责任。</w:t>
      </w:r>
    </w:p>
    <w:p>
      <w:pPr>
        <w:spacing w:after="0" w:line="273" w:lineRule="auto"/>
        <w:sectPr>
          <w:type w:val="continuous"/>
          <w:pgSz w:w="11910" w:h="16840"/>
          <w:pgMar w:top="1580" w:bottom="1120" w:left="920" w:right="102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5"/>
        <w:gridCol w:w="7453"/>
      </w:tblGrid>
      <w:tr>
        <w:trPr>
          <w:trHeight w:val="484" w:hRule="atLeast"/>
        </w:trPr>
        <w:tc>
          <w:tcPr>
            <w:tcW w:w="664" w:type="dxa"/>
            <w:tcBorders>
              <w:bottom w:val="single" w:sz="8" w:space="0" w:color="000000"/>
            </w:tcBorders>
          </w:tcPr>
          <w:p>
            <w:pPr>
              <w:pStyle w:val="TableParagraph"/>
              <w:spacing w:line="240" w:lineRule="exact"/>
              <w:ind w:left="107"/>
              <w:rPr>
                <w:b/>
                <w:sz w:val="24"/>
              </w:rPr>
            </w:pPr>
            <w:r>
              <w:rPr>
                <w:b/>
                <w:sz w:val="24"/>
              </w:rPr>
              <w:t>2.</w:t>
            </w:r>
          </w:p>
        </w:tc>
        <w:tc>
          <w:tcPr>
            <w:tcW w:w="9088" w:type="dxa"/>
            <w:gridSpan w:val="2"/>
            <w:tcBorders>
              <w:bottom w:val="single" w:sz="8" w:space="0" w:color="000000"/>
            </w:tcBorders>
          </w:tcPr>
          <w:p>
            <w:pPr>
              <w:pStyle w:val="TableParagraph"/>
              <w:spacing w:line="240" w:lineRule="exact"/>
              <w:ind w:left="238"/>
              <w:rPr>
                <w:b/>
                <w:sz w:val="24"/>
              </w:rPr>
            </w:pPr>
            <w:r>
              <w:rPr>
                <w:b/>
                <w:w w:val="95"/>
                <w:sz w:val="24"/>
              </w:rPr>
              <w:t>我们提供的保障</w:t>
            </w:r>
          </w:p>
        </w:tc>
      </w:tr>
      <w:tr>
        <w:trPr>
          <w:trHeight w:val="937" w:hRule="atLeast"/>
        </w:trPr>
        <w:tc>
          <w:tcPr>
            <w:tcW w:w="664" w:type="dxa"/>
            <w:tcBorders>
              <w:top w:val="single" w:sz="8" w:space="0" w:color="000000"/>
            </w:tcBorders>
          </w:tcPr>
          <w:p>
            <w:pPr>
              <w:pStyle w:val="TableParagraph"/>
              <w:spacing w:before="138"/>
              <w:ind w:left="107"/>
              <w:rPr>
                <w:b/>
                <w:sz w:val="21"/>
              </w:rPr>
            </w:pPr>
            <w:r>
              <w:rPr>
                <w:b/>
                <w:sz w:val="21"/>
              </w:rPr>
              <w:t>2.1</w:t>
            </w:r>
          </w:p>
        </w:tc>
        <w:tc>
          <w:tcPr>
            <w:tcW w:w="1635" w:type="dxa"/>
            <w:tcBorders>
              <w:top w:val="single" w:sz="8" w:space="0" w:color="000000"/>
            </w:tcBorders>
          </w:tcPr>
          <w:p>
            <w:pPr>
              <w:pStyle w:val="TableParagraph"/>
              <w:spacing w:before="138"/>
              <w:ind w:left="238"/>
              <w:rPr>
                <w:b/>
                <w:sz w:val="21"/>
              </w:rPr>
            </w:pPr>
            <w:r>
              <w:rPr>
                <w:b/>
                <w:sz w:val="21"/>
              </w:rPr>
              <w:t>基本保险金额</w:t>
            </w:r>
          </w:p>
        </w:tc>
        <w:tc>
          <w:tcPr>
            <w:tcW w:w="7453" w:type="dxa"/>
            <w:tcBorders>
              <w:top w:val="single" w:sz="8" w:space="0" w:color="000000"/>
            </w:tcBorders>
          </w:tcPr>
          <w:p>
            <w:pPr>
              <w:pStyle w:val="TableParagraph"/>
              <w:spacing w:line="273" w:lineRule="auto" w:before="138"/>
              <w:ind w:left="130" w:right="174"/>
              <w:rPr>
                <w:sz w:val="21"/>
              </w:rPr>
            </w:pPr>
            <w:r>
              <w:rPr>
                <w:sz w:val="21"/>
              </w:rPr>
              <w:t>本合同的基本保险金额由您在投保时与我们约定并在保险合同上载明。若金额发生变更，则以变更后的金额为基本保险金额。</w:t>
            </w:r>
          </w:p>
        </w:tc>
      </w:tr>
      <w:tr>
        <w:trPr>
          <w:trHeight w:val="949" w:hRule="atLeast"/>
        </w:trPr>
        <w:tc>
          <w:tcPr>
            <w:tcW w:w="664" w:type="dxa"/>
          </w:tcPr>
          <w:p>
            <w:pPr>
              <w:pStyle w:val="TableParagraph"/>
              <w:spacing w:before="148"/>
              <w:ind w:left="107"/>
              <w:rPr>
                <w:b/>
                <w:sz w:val="21"/>
              </w:rPr>
            </w:pPr>
            <w:r>
              <w:rPr>
                <w:b/>
                <w:sz w:val="21"/>
              </w:rPr>
              <w:t>2.2</w:t>
            </w:r>
          </w:p>
        </w:tc>
        <w:tc>
          <w:tcPr>
            <w:tcW w:w="1635" w:type="dxa"/>
          </w:tcPr>
          <w:p>
            <w:pPr>
              <w:pStyle w:val="TableParagraph"/>
              <w:spacing w:before="148"/>
              <w:ind w:left="238"/>
              <w:rPr>
                <w:b/>
                <w:sz w:val="21"/>
              </w:rPr>
            </w:pPr>
            <w:r>
              <w:rPr>
                <w:b/>
                <w:sz w:val="21"/>
              </w:rPr>
              <w:t>保险期间</w:t>
            </w:r>
          </w:p>
        </w:tc>
        <w:tc>
          <w:tcPr>
            <w:tcW w:w="7453" w:type="dxa"/>
          </w:tcPr>
          <w:p>
            <w:pPr>
              <w:pStyle w:val="TableParagraph"/>
              <w:spacing w:line="273" w:lineRule="auto" w:before="148"/>
              <w:ind w:left="130" w:right="174"/>
              <w:rPr>
                <w:sz w:val="21"/>
              </w:rPr>
            </w:pPr>
            <w:r>
              <w:rPr>
                <w:sz w:val="21"/>
              </w:rPr>
              <w:t>本合同的保险期间为终身。除合同另有约定外，本合同的保险期间自本合同生效日起，至被保险人身故时止。</w:t>
            </w:r>
          </w:p>
        </w:tc>
      </w:tr>
      <w:tr>
        <w:trPr>
          <w:trHeight w:val="11802" w:hRule="atLeast"/>
        </w:trPr>
        <w:tc>
          <w:tcPr>
            <w:tcW w:w="664" w:type="dxa"/>
          </w:tcPr>
          <w:p>
            <w:pPr>
              <w:pStyle w:val="TableParagraph"/>
              <w:spacing w:before="150"/>
              <w:ind w:left="107"/>
              <w:rPr>
                <w:b/>
                <w:sz w:val="21"/>
              </w:rPr>
            </w:pPr>
            <w:r>
              <w:rPr>
                <w:b/>
                <w:sz w:val="21"/>
              </w:rPr>
              <w:t>2.3</w:t>
            </w:r>
          </w:p>
        </w:tc>
        <w:tc>
          <w:tcPr>
            <w:tcW w:w="1635" w:type="dxa"/>
          </w:tcPr>
          <w:p>
            <w:pPr>
              <w:pStyle w:val="TableParagraph"/>
              <w:spacing w:before="150"/>
              <w:ind w:left="238"/>
              <w:rPr>
                <w:b/>
                <w:sz w:val="21"/>
              </w:rPr>
            </w:pPr>
            <w:r>
              <w:rPr>
                <w:b/>
                <w:sz w:val="21"/>
              </w:rPr>
              <w:t>保险责任</w:t>
            </w:r>
          </w:p>
        </w:tc>
        <w:tc>
          <w:tcPr>
            <w:tcW w:w="7453" w:type="dxa"/>
          </w:tcPr>
          <w:p>
            <w:pPr>
              <w:pStyle w:val="TableParagraph"/>
              <w:spacing w:before="150"/>
              <w:ind w:left="130"/>
              <w:rPr>
                <w:sz w:val="21"/>
              </w:rPr>
            </w:pPr>
            <w:r>
              <w:rPr>
                <w:sz w:val="21"/>
              </w:rPr>
              <w:t>在本合同保险期间内，我们按以下约定承担保险责任：</w:t>
            </w:r>
          </w:p>
          <w:p>
            <w:pPr>
              <w:pStyle w:val="TableParagraph"/>
              <w:spacing w:before="13"/>
              <w:rPr>
                <w:b/>
                <w:sz w:val="18"/>
              </w:rPr>
            </w:pPr>
          </w:p>
          <w:p>
            <w:pPr>
              <w:pStyle w:val="TableParagraph"/>
              <w:ind w:left="130"/>
              <w:rPr>
                <w:sz w:val="21"/>
              </w:rPr>
            </w:pPr>
            <w:r>
              <w:rPr>
                <w:sz w:val="21"/>
              </w:rPr>
              <w:t>1. 身故保险金</w:t>
            </w:r>
          </w:p>
          <w:p>
            <w:pPr>
              <w:pStyle w:val="TableParagraph"/>
              <w:spacing w:before="9"/>
              <w:rPr>
                <w:b/>
                <w:sz w:val="15"/>
              </w:rPr>
            </w:pPr>
          </w:p>
          <w:p>
            <w:pPr>
              <w:pStyle w:val="TableParagraph"/>
              <w:numPr>
                <w:ilvl w:val="0"/>
                <w:numId w:val="14"/>
              </w:numPr>
              <w:tabs>
                <w:tab w:pos="851" w:val="left" w:leader="none"/>
              </w:tabs>
              <w:spacing w:line="314" w:lineRule="auto" w:before="0" w:after="0"/>
              <w:ind w:left="850" w:right="126" w:hanging="720"/>
              <w:jc w:val="left"/>
              <w:rPr>
                <w:sz w:val="21"/>
              </w:rPr>
            </w:pPr>
            <w:r>
              <w:rPr>
                <w:spacing w:val="-3"/>
                <w:sz w:val="21"/>
              </w:rPr>
              <w:t>若被保险人在年满</w:t>
            </w:r>
            <w:r>
              <w:rPr>
                <w:sz w:val="21"/>
              </w:rPr>
              <w:t>18</w:t>
            </w:r>
            <w:r>
              <w:rPr>
                <w:spacing w:val="-6"/>
                <w:sz w:val="21"/>
              </w:rPr>
              <w:t>周岁后的首个保险单周年日前身故，我们无息返还</w:t>
            </w:r>
            <w:r>
              <w:rPr>
                <w:b/>
                <w:spacing w:val="-6"/>
                <w:sz w:val="21"/>
              </w:rPr>
              <w:t>累计所交保险费</w:t>
            </w:r>
            <w:r>
              <w:rPr>
                <w:spacing w:val="-3"/>
                <w:sz w:val="21"/>
              </w:rPr>
              <w:t>，同时本合同效力终止；</w:t>
            </w:r>
          </w:p>
          <w:p>
            <w:pPr>
              <w:pStyle w:val="TableParagraph"/>
              <w:numPr>
                <w:ilvl w:val="0"/>
                <w:numId w:val="14"/>
              </w:numPr>
              <w:tabs>
                <w:tab w:pos="851" w:val="left" w:leader="none"/>
              </w:tabs>
              <w:spacing w:line="240" w:lineRule="auto" w:before="139" w:after="0"/>
              <w:ind w:left="850" w:right="0" w:hanging="720"/>
              <w:jc w:val="left"/>
              <w:rPr>
                <w:sz w:val="21"/>
              </w:rPr>
            </w:pPr>
            <w:r>
              <w:rPr>
                <w:spacing w:val="-5"/>
                <w:sz w:val="21"/>
              </w:rPr>
              <w:t>若被保险人于本合同生效之日或最后复效之日</w:t>
            </w:r>
            <w:r>
              <w:rPr>
                <w:sz w:val="21"/>
              </w:rPr>
              <w:t>（</w:t>
            </w:r>
            <w:r>
              <w:rPr>
                <w:spacing w:val="-3"/>
                <w:sz w:val="21"/>
              </w:rPr>
              <w:t>以较迟者为准</w:t>
            </w:r>
            <w:r>
              <w:rPr>
                <w:spacing w:val="-22"/>
                <w:sz w:val="21"/>
              </w:rPr>
              <w:t>）</w:t>
            </w:r>
            <w:r>
              <w:rPr>
                <w:sz w:val="21"/>
              </w:rPr>
              <w:t>起90天</w:t>
            </w:r>
          </w:p>
          <w:p>
            <w:pPr>
              <w:pStyle w:val="TableParagraph"/>
              <w:spacing w:line="314" w:lineRule="auto" w:before="84"/>
              <w:ind w:left="850" w:right="126"/>
              <w:rPr>
                <w:sz w:val="21"/>
              </w:rPr>
            </w:pPr>
            <w:r>
              <w:rPr>
                <w:w w:val="100"/>
                <w:sz w:val="21"/>
              </w:rPr>
              <w:t>（</w:t>
            </w:r>
            <w:r>
              <w:rPr>
                <w:spacing w:val="1"/>
                <w:w w:val="100"/>
                <w:sz w:val="21"/>
              </w:rPr>
              <w:t>含</w:t>
            </w:r>
            <w:r>
              <w:rPr>
                <w:spacing w:val="-106"/>
                <w:w w:val="100"/>
                <w:sz w:val="21"/>
              </w:rPr>
              <w:t>）</w:t>
            </w:r>
            <w:r>
              <w:rPr>
                <w:b/>
                <w:spacing w:val="1"/>
                <w:w w:val="100"/>
                <w:sz w:val="21"/>
              </w:rPr>
              <w:t>（此</w:t>
            </w:r>
            <w:r>
              <w:rPr>
                <w:b/>
                <w:w w:val="99"/>
                <w:sz w:val="21"/>
              </w:rPr>
              <w:t>90</w:t>
            </w:r>
            <w:r>
              <w:rPr>
                <w:b/>
                <w:w w:val="100"/>
                <w:sz w:val="21"/>
              </w:rPr>
              <w:t>天称为等待期</w:t>
            </w:r>
            <w:r>
              <w:rPr>
                <w:b/>
                <w:spacing w:val="2"/>
                <w:w w:val="100"/>
                <w:sz w:val="21"/>
              </w:rPr>
              <w:t>）</w:t>
            </w:r>
            <w:r>
              <w:rPr>
                <w:w w:val="100"/>
                <w:sz w:val="21"/>
              </w:rPr>
              <w:t>内身故，我们无息返还</w:t>
            </w:r>
            <w:r>
              <w:rPr>
                <w:b/>
                <w:w w:val="100"/>
                <w:sz w:val="21"/>
              </w:rPr>
              <w:t>累计所交保险费</w:t>
            </w:r>
            <w:r>
              <w:rPr>
                <w:w w:val="100"/>
                <w:sz w:val="21"/>
              </w:rPr>
              <w:t>，</w:t>
            </w:r>
            <w:r>
              <w:rPr>
                <w:spacing w:val="-3"/>
                <w:sz w:val="21"/>
              </w:rPr>
              <w:t>同时本合同效力终止；</w:t>
            </w:r>
          </w:p>
          <w:p>
            <w:pPr>
              <w:pStyle w:val="TableParagraph"/>
              <w:numPr>
                <w:ilvl w:val="0"/>
                <w:numId w:val="14"/>
              </w:numPr>
              <w:tabs>
                <w:tab w:pos="851" w:val="left" w:leader="none"/>
              </w:tabs>
              <w:spacing w:line="314" w:lineRule="auto" w:before="139" w:after="0"/>
              <w:ind w:left="850" w:right="23" w:hanging="720"/>
              <w:jc w:val="left"/>
              <w:rPr>
                <w:sz w:val="21"/>
              </w:rPr>
            </w:pPr>
            <w:r>
              <w:rPr>
                <w:spacing w:val="-5"/>
                <w:sz w:val="21"/>
              </w:rPr>
              <w:t>若被保险人于本合同生效之日或最后复效之日</w:t>
            </w:r>
            <w:r>
              <w:rPr>
                <w:sz w:val="21"/>
              </w:rPr>
              <w:t>（</w:t>
            </w:r>
            <w:r>
              <w:rPr>
                <w:spacing w:val="-3"/>
                <w:sz w:val="21"/>
              </w:rPr>
              <w:t>以较迟者为准</w:t>
            </w:r>
            <w:r>
              <w:rPr>
                <w:spacing w:val="-22"/>
                <w:sz w:val="21"/>
              </w:rPr>
              <w:t>）</w:t>
            </w:r>
            <w:r>
              <w:rPr>
                <w:sz w:val="21"/>
              </w:rPr>
              <w:t>起90天</w:t>
            </w:r>
            <w:r>
              <w:rPr>
                <w:spacing w:val="-11"/>
                <w:sz w:val="21"/>
              </w:rPr>
              <w:t>后身故，且被保险人身故时处于年满</w:t>
            </w:r>
            <w:r>
              <w:rPr>
                <w:sz w:val="21"/>
              </w:rPr>
              <w:t>18</w:t>
            </w:r>
            <w:r>
              <w:rPr>
                <w:spacing w:val="-9"/>
                <w:sz w:val="21"/>
              </w:rPr>
              <w:t>周岁后的首个保险单周年日</w:t>
            </w:r>
            <w:r>
              <w:rPr>
                <w:spacing w:val="-3"/>
                <w:sz w:val="21"/>
              </w:rPr>
              <w:t>（</w:t>
            </w:r>
            <w:r>
              <w:rPr>
                <w:sz w:val="21"/>
              </w:rPr>
              <w:t>含） </w:t>
            </w:r>
            <w:r>
              <w:rPr>
                <w:spacing w:val="-3"/>
                <w:sz w:val="21"/>
              </w:rPr>
              <w:t>后，我们按基本保险金额给付身故保险金，同时本合同效力终止。</w:t>
            </w:r>
          </w:p>
          <w:p>
            <w:pPr>
              <w:pStyle w:val="TableParagraph"/>
              <w:spacing w:before="140"/>
              <w:ind w:left="130"/>
              <w:rPr>
                <w:sz w:val="21"/>
              </w:rPr>
            </w:pPr>
            <w:r>
              <w:rPr>
                <w:sz w:val="21"/>
              </w:rPr>
              <w:t>2. 重大疾病保险金</w:t>
            </w:r>
          </w:p>
          <w:p>
            <w:pPr>
              <w:pStyle w:val="TableParagraph"/>
              <w:numPr>
                <w:ilvl w:val="0"/>
                <w:numId w:val="15"/>
              </w:numPr>
              <w:tabs>
                <w:tab w:pos="851" w:val="left" w:leader="none"/>
              </w:tabs>
              <w:spacing w:line="273" w:lineRule="auto" w:before="150" w:after="0"/>
              <w:ind w:left="850" w:right="133" w:hanging="720"/>
              <w:jc w:val="both"/>
              <w:rPr>
                <w:sz w:val="21"/>
              </w:rPr>
            </w:pPr>
            <w:r>
              <w:rPr>
                <w:spacing w:val="-3"/>
                <w:sz w:val="21"/>
              </w:rPr>
              <w:t>若被保险人于本合同生效之日或最后复效之日</w:t>
            </w:r>
            <w:r>
              <w:rPr>
                <w:sz w:val="21"/>
              </w:rPr>
              <w:t>（</w:t>
            </w:r>
            <w:r>
              <w:rPr>
                <w:spacing w:val="-3"/>
                <w:sz w:val="21"/>
              </w:rPr>
              <w:t>以较迟者为准）</w:t>
            </w:r>
            <w:r>
              <w:rPr>
                <w:spacing w:val="-22"/>
                <w:sz w:val="21"/>
              </w:rPr>
              <w:t>起 </w:t>
            </w:r>
            <w:r>
              <w:rPr>
                <w:sz w:val="21"/>
              </w:rPr>
              <w:t>90 天（</w:t>
            </w:r>
            <w:r>
              <w:rPr>
                <w:spacing w:val="-3"/>
                <w:sz w:val="21"/>
              </w:rPr>
              <w:t>含</w:t>
            </w:r>
            <w:r>
              <w:rPr>
                <w:sz w:val="21"/>
              </w:rPr>
              <w:t>）</w:t>
            </w:r>
            <w:r>
              <w:rPr>
                <w:spacing w:val="-3"/>
                <w:sz w:val="21"/>
              </w:rPr>
              <w:t>内在我们认可的</w:t>
            </w:r>
            <w:r>
              <w:rPr>
                <w:b/>
                <w:sz w:val="21"/>
              </w:rPr>
              <w:t>医院</w:t>
            </w:r>
            <w:r>
              <w:rPr>
                <w:sz w:val="21"/>
              </w:rPr>
              <w:t>（</w:t>
            </w:r>
            <w:r>
              <w:rPr>
                <w:spacing w:val="-24"/>
                <w:sz w:val="21"/>
              </w:rPr>
              <w:t>见 </w:t>
            </w:r>
            <w:r>
              <w:rPr>
                <w:sz w:val="21"/>
              </w:rPr>
              <w:t>10.3）</w:t>
            </w:r>
            <w:r>
              <w:rPr>
                <w:spacing w:val="-3"/>
                <w:sz w:val="21"/>
              </w:rPr>
              <w:t>由</w:t>
            </w:r>
            <w:r>
              <w:rPr>
                <w:b/>
                <w:spacing w:val="-1"/>
                <w:sz w:val="21"/>
              </w:rPr>
              <w:t>专科医生</w:t>
            </w:r>
            <w:r>
              <w:rPr>
                <w:sz w:val="21"/>
              </w:rPr>
              <w:t>（</w:t>
            </w:r>
            <w:r>
              <w:rPr>
                <w:spacing w:val="-24"/>
                <w:sz w:val="21"/>
              </w:rPr>
              <w:t>见 </w:t>
            </w:r>
            <w:r>
              <w:rPr>
                <w:sz w:val="21"/>
              </w:rPr>
              <w:t>10.4）</w:t>
            </w:r>
            <w:r>
              <w:rPr>
                <w:spacing w:val="-2"/>
                <w:sz w:val="21"/>
              </w:rPr>
              <w:t>确诊</w:t>
            </w:r>
            <w:r>
              <w:rPr>
                <w:spacing w:val="-3"/>
                <w:w w:val="100"/>
                <w:sz w:val="21"/>
              </w:rPr>
              <w:t>首次患本合同所列的</w:t>
            </w:r>
            <w:r>
              <w:rPr>
                <w:b/>
                <w:spacing w:val="-1"/>
                <w:w w:val="100"/>
                <w:sz w:val="21"/>
              </w:rPr>
              <w:t>重大疾病</w:t>
            </w:r>
            <w:r>
              <w:rPr>
                <w:w w:val="100"/>
                <w:sz w:val="21"/>
              </w:rPr>
              <w:t>（见</w:t>
            </w:r>
            <w:r>
              <w:rPr>
                <w:spacing w:val="-55"/>
                <w:sz w:val="21"/>
              </w:rPr>
              <w:t> </w:t>
            </w:r>
            <w:r>
              <w:rPr>
                <w:w w:val="100"/>
                <w:sz w:val="21"/>
              </w:rPr>
              <w:t>10.</w:t>
            </w:r>
            <w:r>
              <w:rPr>
                <w:spacing w:val="-3"/>
                <w:w w:val="100"/>
                <w:sz w:val="21"/>
              </w:rPr>
              <w:t>5</w:t>
            </w:r>
            <w:r>
              <w:rPr>
                <w:spacing w:val="-106"/>
                <w:w w:val="100"/>
                <w:sz w:val="21"/>
              </w:rPr>
              <w:t>）</w:t>
            </w:r>
            <w:r>
              <w:rPr>
                <w:spacing w:val="-3"/>
                <w:w w:val="100"/>
                <w:sz w:val="21"/>
              </w:rPr>
              <w:t>，我们将无息返还</w:t>
            </w:r>
            <w:r>
              <w:rPr>
                <w:b/>
                <w:w w:val="100"/>
                <w:sz w:val="21"/>
              </w:rPr>
              <w:t>累计所交保</w:t>
            </w:r>
            <w:r>
              <w:rPr>
                <w:b/>
                <w:sz w:val="21"/>
              </w:rPr>
              <w:t>险费</w:t>
            </w:r>
            <w:r>
              <w:rPr>
                <w:spacing w:val="-3"/>
                <w:sz w:val="21"/>
              </w:rPr>
              <w:t>，同时本合同效力终止。</w:t>
            </w:r>
          </w:p>
          <w:p>
            <w:pPr>
              <w:pStyle w:val="TableParagraph"/>
              <w:numPr>
                <w:ilvl w:val="0"/>
                <w:numId w:val="15"/>
              </w:numPr>
              <w:tabs>
                <w:tab w:pos="851" w:val="left" w:leader="none"/>
              </w:tabs>
              <w:spacing w:line="273" w:lineRule="auto" w:before="163" w:after="0"/>
              <w:ind w:left="850" w:right="83" w:hanging="720"/>
              <w:jc w:val="left"/>
              <w:rPr>
                <w:sz w:val="21"/>
              </w:rPr>
            </w:pPr>
            <w:r>
              <w:rPr>
                <w:spacing w:val="-3"/>
                <w:sz w:val="21"/>
              </w:rPr>
              <w:t>若被保险人于本合同生效之日或最后复效之日</w:t>
            </w:r>
            <w:r>
              <w:rPr>
                <w:sz w:val="21"/>
              </w:rPr>
              <w:t>（</w:t>
            </w:r>
            <w:r>
              <w:rPr>
                <w:spacing w:val="-3"/>
                <w:sz w:val="21"/>
              </w:rPr>
              <w:t>以较迟者为准）</w:t>
            </w:r>
            <w:r>
              <w:rPr>
                <w:spacing w:val="-23"/>
                <w:sz w:val="21"/>
              </w:rPr>
              <w:t>起 </w:t>
            </w:r>
            <w:r>
              <w:rPr>
                <w:sz w:val="21"/>
              </w:rPr>
              <w:t>90 </w:t>
            </w:r>
            <w:r>
              <w:rPr>
                <w:spacing w:val="-3"/>
                <w:sz w:val="21"/>
              </w:rPr>
              <w:t>天后在我们认可的医院由专科医生确诊首次患本合同所列的重大疾病， </w:t>
            </w:r>
            <w:r>
              <w:rPr>
                <w:spacing w:val="-4"/>
                <w:sz w:val="21"/>
              </w:rPr>
              <w:t>并符合本合同约定的给付重大疾病保险金条件的，我们将按本合同约定</w:t>
            </w:r>
            <w:r>
              <w:rPr>
                <w:spacing w:val="-3"/>
                <w:sz w:val="21"/>
              </w:rPr>
              <w:t>的基本保险金额给付重大疾病保险金，同时本合同效力终止。</w:t>
            </w:r>
          </w:p>
          <w:p>
            <w:pPr>
              <w:pStyle w:val="TableParagraph"/>
              <w:numPr>
                <w:ilvl w:val="0"/>
                <w:numId w:val="16"/>
              </w:numPr>
              <w:tabs>
                <w:tab w:pos="491" w:val="left" w:leader="none"/>
              </w:tabs>
              <w:spacing w:line="240" w:lineRule="auto" w:before="163" w:after="0"/>
              <w:ind w:left="490" w:right="0" w:hanging="360"/>
              <w:jc w:val="left"/>
              <w:rPr>
                <w:sz w:val="21"/>
              </w:rPr>
            </w:pPr>
            <w:r>
              <w:rPr>
                <w:spacing w:val="-2"/>
                <w:sz w:val="21"/>
              </w:rPr>
              <w:t>全面保障保险金</w:t>
            </w:r>
          </w:p>
          <w:p>
            <w:pPr>
              <w:pStyle w:val="TableParagraph"/>
              <w:spacing w:before="9"/>
              <w:rPr>
                <w:b/>
                <w:sz w:val="14"/>
              </w:rPr>
            </w:pPr>
          </w:p>
          <w:p>
            <w:pPr>
              <w:pStyle w:val="TableParagraph"/>
              <w:spacing w:line="273" w:lineRule="auto"/>
              <w:ind w:left="130" w:right="102"/>
              <w:rPr>
                <w:sz w:val="21"/>
              </w:rPr>
            </w:pPr>
            <w:r>
              <w:rPr>
                <w:spacing w:val="-4"/>
                <w:sz w:val="21"/>
              </w:rPr>
              <w:t>若被保险人于本合同生效之日或最后复效之日</w:t>
            </w:r>
            <w:r>
              <w:rPr>
                <w:spacing w:val="-3"/>
                <w:sz w:val="21"/>
              </w:rPr>
              <w:t>（以较迟者为准</w:t>
            </w:r>
            <w:r>
              <w:rPr>
                <w:spacing w:val="-17"/>
                <w:sz w:val="21"/>
              </w:rPr>
              <w:t>）</w:t>
            </w:r>
            <w:r>
              <w:rPr>
                <w:spacing w:val="-19"/>
                <w:sz w:val="21"/>
              </w:rPr>
              <w:t>起 </w:t>
            </w:r>
            <w:r>
              <w:rPr>
                <w:sz w:val="21"/>
              </w:rPr>
              <w:t>90</w:t>
            </w:r>
            <w:r>
              <w:rPr>
                <w:spacing w:val="-11"/>
                <w:sz w:val="21"/>
              </w:rPr>
              <w:t> 天后被确</w:t>
            </w:r>
            <w:r>
              <w:rPr>
                <w:spacing w:val="-3"/>
                <w:w w:val="100"/>
                <w:sz w:val="21"/>
              </w:rPr>
              <w:t>诊因疾病或其他保险事故导致</w:t>
            </w:r>
            <w:r>
              <w:rPr>
                <w:b/>
                <w:spacing w:val="-6"/>
                <w:w w:val="100"/>
                <w:sz w:val="21"/>
              </w:rPr>
              <w:t>自主生活能力完全丧失</w:t>
            </w:r>
            <w:r>
              <w:rPr>
                <w:w w:val="100"/>
                <w:sz w:val="21"/>
              </w:rPr>
              <w:t>（见</w:t>
            </w:r>
            <w:r>
              <w:rPr>
                <w:spacing w:val="-55"/>
                <w:sz w:val="21"/>
              </w:rPr>
              <w:t> </w:t>
            </w:r>
            <w:r>
              <w:rPr>
                <w:w w:val="100"/>
                <w:sz w:val="21"/>
              </w:rPr>
              <w:t>10.</w:t>
            </w:r>
            <w:r>
              <w:rPr>
                <w:spacing w:val="-3"/>
                <w:w w:val="100"/>
                <w:sz w:val="21"/>
              </w:rPr>
              <w:t>6</w:t>
            </w:r>
            <w:r>
              <w:rPr>
                <w:spacing w:val="-106"/>
                <w:w w:val="100"/>
                <w:sz w:val="21"/>
              </w:rPr>
              <w:t>）</w:t>
            </w:r>
            <w:r>
              <w:rPr>
                <w:spacing w:val="-9"/>
                <w:w w:val="100"/>
                <w:sz w:val="21"/>
              </w:rPr>
              <w:t>，且被保险人当</w:t>
            </w:r>
            <w:r>
              <w:rPr>
                <w:spacing w:val="-13"/>
                <w:sz w:val="21"/>
              </w:rPr>
              <w:t>时已年满 </w:t>
            </w:r>
            <w:r>
              <w:rPr>
                <w:sz w:val="21"/>
              </w:rPr>
              <w:t>6</w:t>
            </w:r>
            <w:r>
              <w:rPr>
                <w:spacing w:val="-8"/>
                <w:sz w:val="21"/>
              </w:rPr>
              <w:t> 周岁，我们将按本合同约定的基本保险金额给付全面保障保险金， </w:t>
            </w:r>
            <w:r>
              <w:rPr>
                <w:spacing w:val="-5"/>
                <w:sz w:val="21"/>
              </w:rPr>
              <w:t>同时本合同效力终止。</w:t>
            </w:r>
          </w:p>
          <w:p>
            <w:pPr>
              <w:pStyle w:val="TableParagraph"/>
              <w:rPr>
                <w:b/>
                <w:sz w:val="20"/>
              </w:rPr>
            </w:pPr>
          </w:p>
          <w:p>
            <w:pPr>
              <w:pStyle w:val="TableParagraph"/>
              <w:spacing w:before="3"/>
              <w:rPr>
                <w:b/>
                <w:sz w:val="28"/>
              </w:rPr>
            </w:pPr>
          </w:p>
          <w:p>
            <w:pPr>
              <w:pStyle w:val="TableParagraph"/>
              <w:spacing w:line="273" w:lineRule="auto"/>
              <w:ind w:left="130" w:right="102"/>
              <w:rPr>
                <w:b/>
                <w:sz w:val="21"/>
              </w:rPr>
            </w:pPr>
            <w:r>
              <w:rPr>
                <w:b/>
                <w:sz w:val="21"/>
              </w:rPr>
              <w:t>若以上保险金已给付其中一项，则本合同效力终止，本公司将不再给付其他两项保险金中的任意一项。</w:t>
            </w:r>
          </w:p>
          <w:p>
            <w:pPr>
              <w:pStyle w:val="TableParagraph"/>
              <w:spacing w:before="5"/>
              <w:rPr>
                <w:b/>
                <w:sz w:val="24"/>
              </w:rPr>
            </w:pPr>
          </w:p>
          <w:p>
            <w:pPr>
              <w:pStyle w:val="TableParagraph"/>
              <w:numPr>
                <w:ilvl w:val="0"/>
                <w:numId w:val="16"/>
              </w:numPr>
              <w:tabs>
                <w:tab w:pos="491" w:val="left" w:leader="none"/>
              </w:tabs>
              <w:spacing w:line="240" w:lineRule="auto" w:before="1" w:after="0"/>
              <w:ind w:left="490" w:right="0" w:hanging="360"/>
              <w:jc w:val="left"/>
              <w:rPr>
                <w:sz w:val="21"/>
              </w:rPr>
            </w:pPr>
            <w:r>
              <w:rPr>
                <w:spacing w:val="-3"/>
                <w:sz w:val="21"/>
              </w:rPr>
              <w:t>重大疾病确诊医疗费用补偿金</w:t>
            </w:r>
          </w:p>
          <w:p>
            <w:pPr>
              <w:pStyle w:val="TableParagraph"/>
              <w:spacing w:line="310" w:lineRule="atLeast" w:before="2"/>
              <w:ind w:left="130" w:right="102"/>
              <w:rPr>
                <w:sz w:val="21"/>
              </w:rPr>
            </w:pPr>
            <w:r>
              <w:rPr>
                <w:spacing w:val="-4"/>
                <w:sz w:val="21"/>
              </w:rPr>
              <w:t>若被保险人于本合同生效之日或最后复效之日</w:t>
            </w:r>
            <w:r>
              <w:rPr>
                <w:spacing w:val="-3"/>
                <w:sz w:val="21"/>
              </w:rPr>
              <w:t>（以较迟者为准</w:t>
            </w:r>
            <w:r>
              <w:rPr>
                <w:spacing w:val="-17"/>
                <w:sz w:val="21"/>
              </w:rPr>
              <w:t>）</w:t>
            </w:r>
            <w:r>
              <w:rPr>
                <w:spacing w:val="-18"/>
                <w:sz w:val="21"/>
              </w:rPr>
              <w:t>起 </w:t>
            </w:r>
            <w:r>
              <w:rPr>
                <w:sz w:val="21"/>
              </w:rPr>
              <w:t>90</w:t>
            </w:r>
            <w:r>
              <w:rPr>
                <w:spacing w:val="-10"/>
                <w:sz w:val="21"/>
              </w:rPr>
              <w:t> 天后在我们认可的医院由专科医生确诊首次患本合同所列的重大疾病，并符合本合同约</w:t>
            </w:r>
          </w:p>
        </w:tc>
      </w:tr>
    </w:tbl>
    <w:p>
      <w:pPr>
        <w:spacing w:after="0" w:line="310" w:lineRule="atLeast"/>
        <w:rPr>
          <w:sz w:val="21"/>
        </w:rPr>
        <w:sectPr>
          <w:pgSz w:w="11910" w:h="16840"/>
          <w:pgMar w:header="0" w:footer="924" w:top="1200" w:bottom="1120" w:left="920" w:right="10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35"/>
        <w:gridCol w:w="7653"/>
      </w:tblGrid>
      <w:tr>
        <w:trPr>
          <w:trHeight w:val="6538" w:hRule="atLeast"/>
        </w:trPr>
        <w:tc>
          <w:tcPr>
            <w:tcW w:w="756" w:type="dxa"/>
          </w:tcPr>
          <w:p>
            <w:pPr>
              <w:pStyle w:val="TableParagraph"/>
              <w:rPr>
                <w:rFonts w:ascii="Times New Roman"/>
                <w:sz w:val="20"/>
              </w:rPr>
            </w:pPr>
          </w:p>
        </w:tc>
        <w:tc>
          <w:tcPr>
            <w:tcW w:w="1635" w:type="dxa"/>
          </w:tcPr>
          <w:p>
            <w:pPr>
              <w:pStyle w:val="TableParagraph"/>
              <w:rPr>
                <w:rFonts w:ascii="Times New Roman"/>
                <w:sz w:val="20"/>
              </w:rPr>
            </w:pPr>
          </w:p>
        </w:tc>
        <w:tc>
          <w:tcPr>
            <w:tcW w:w="7653" w:type="dxa"/>
          </w:tcPr>
          <w:p>
            <w:pPr>
              <w:pStyle w:val="TableParagraph"/>
              <w:spacing w:line="211" w:lineRule="exact"/>
              <w:ind w:left="130"/>
              <w:rPr>
                <w:sz w:val="21"/>
              </w:rPr>
            </w:pPr>
            <w:r>
              <w:rPr>
                <w:sz w:val="21"/>
              </w:rPr>
              <w:t>定的给付重大疾病保险金条件的，我们就其确诊重大疾病前 90 天（含）内发生</w:t>
            </w:r>
          </w:p>
          <w:p>
            <w:pPr>
              <w:pStyle w:val="TableParagraph"/>
              <w:spacing w:line="273" w:lineRule="auto" w:before="37"/>
              <w:ind w:left="130" w:right="303"/>
              <w:rPr>
                <w:sz w:val="21"/>
              </w:rPr>
            </w:pPr>
            <w:r>
              <w:rPr>
                <w:sz w:val="21"/>
              </w:rPr>
              <w:t>的医疗费用给付重大疾病确诊医疗费用补偿金。医疗费用指被保险人门、急诊期间发生的医生诊疗费、检查检验费、药费等多种费用。</w:t>
            </w:r>
          </w:p>
          <w:p>
            <w:pPr>
              <w:pStyle w:val="TableParagraph"/>
              <w:spacing w:before="5"/>
              <w:rPr>
                <w:b/>
                <w:sz w:val="24"/>
              </w:rPr>
            </w:pPr>
          </w:p>
          <w:p>
            <w:pPr>
              <w:pStyle w:val="TableParagraph"/>
              <w:spacing w:line="273" w:lineRule="auto"/>
              <w:ind w:left="130" w:right="304"/>
              <w:rPr>
                <w:b/>
                <w:sz w:val="21"/>
              </w:rPr>
            </w:pPr>
            <w:r>
              <w:rPr>
                <w:b/>
                <w:sz w:val="21"/>
              </w:rPr>
              <w:t>本条约定的重大疾病确诊医疗费用补偿金累计给付金额以保险单所载本合同基本保险金额的 10%为限。</w:t>
            </w:r>
          </w:p>
          <w:p>
            <w:pPr>
              <w:pStyle w:val="TableParagraph"/>
              <w:rPr>
                <w:b/>
                <w:sz w:val="20"/>
              </w:rPr>
            </w:pPr>
          </w:p>
          <w:p>
            <w:pPr>
              <w:pStyle w:val="TableParagraph"/>
              <w:spacing w:before="4"/>
              <w:rPr>
                <w:b/>
                <w:sz w:val="16"/>
              </w:rPr>
            </w:pPr>
          </w:p>
          <w:p>
            <w:pPr>
              <w:pStyle w:val="TableParagraph"/>
              <w:ind w:left="130"/>
              <w:rPr>
                <w:b/>
                <w:sz w:val="21"/>
              </w:rPr>
            </w:pPr>
            <w:r>
              <w:rPr>
                <w:b/>
                <w:sz w:val="21"/>
              </w:rPr>
              <w:t>累计所交保险费：</w:t>
            </w:r>
          </w:p>
          <w:p>
            <w:pPr>
              <w:pStyle w:val="TableParagraph"/>
              <w:spacing w:before="9"/>
              <w:rPr>
                <w:b/>
                <w:sz w:val="14"/>
              </w:rPr>
            </w:pPr>
          </w:p>
          <w:p>
            <w:pPr>
              <w:pStyle w:val="TableParagraph"/>
              <w:ind w:left="130"/>
              <w:rPr>
                <w:sz w:val="21"/>
              </w:rPr>
            </w:pPr>
            <w:r>
              <w:rPr>
                <w:sz w:val="21"/>
              </w:rPr>
              <w:t>若在本合同保险期间内未发生减少基本保险金额：</w:t>
            </w:r>
          </w:p>
          <w:p>
            <w:pPr>
              <w:pStyle w:val="TableParagraph"/>
              <w:spacing w:before="9"/>
              <w:rPr>
                <w:b/>
                <w:sz w:val="14"/>
              </w:rPr>
            </w:pPr>
          </w:p>
          <w:p>
            <w:pPr>
              <w:pStyle w:val="TableParagraph"/>
              <w:spacing w:line="273" w:lineRule="auto"/>
              <w:ind w:left="130" w:right="480"/>
              <w:rPr>
                <w:sz w:val="21"/>
              </w:rPr>
            </w:pPr>
            <w:r>
              <w:rPr>
                <w:spacing w:val="-3"/>
                <w:sz w:val="21"/>
              </w:rPr>
              <w:t>累计所交保险费=本合同的年交保险费×已经过并实际交纳了保险费的保单年</w:t>
            </w:r>
            <w:r>
              <w:rPr>
                <w:spacing w:val="-3"/>
                <w:w w:val="100"/>
                <w:sz w:val="21"/>
              </w:rPr>
              <w:t>度数（交费期满后为交费年数</w:t>
            </w:r>
            <w:r>
              <w:rPr>
                <w:spacing w:val="-108"/>
                <w:w w:val="100"/>
                <w:sz w:val="21"/>
              </w:rPr>
              <w:t>）</w:t>
            </w:r>
            <w:r>
              <w:rPr>
                <w:w w:val="100"/>
                <w:sz w:val="21"/>
              </w:rPr>
              <w:t>；</w:t>
            </w:r>
          </w:p>
          <w:p>
            <w:pPr>
              <w:pStyle w:val="TableParagraph"/>
              <w:spacing w:before="163"/>
              <w:ind w:left="130"/>
              <w:rPr>
                <w:sz w:val="21"/>
              </w:rPr>
            </w:pPr>
            <w:r>
              <w:rPr>
                <w:sz w:val="21"/>
              </w:rPr>
              <w:t>若在本合同保险期间内发生一次或多次减少基本保险金额：</w:t>
            </w:r>
          </w:p>
          <w:p>
            <w:pPr>
              <w:pStyle w:val="TableParagraph"/>
              <w:spacing w:before="12"/>
              <w:rPr>
                <w:b/>
                <w:sz w:val="18"/>
              </w:rPr>
            </w:pPr>
          </w:p>
          <w:p>
            <w:pPr>
              <w:pStyle w:val="TableParagraph"/>
              <w:spacing w:line="314" w:lineRule="auto"/>
              <w:ind w:left="130" w:right="328"/>
              <w:jc w:val="both"/>
              <w:rPr>
                <w:sz w:val="21"/>
              </w:rPr>
            </w:pPr>
            <w:r>
              <w:rPr>
                <w:sz w:val="21"/>
              </w:rPr>
              <w:t>累计所交保险费=最近一次减少基本保险金额变更后的基本保险金额所对应本合同的年交保险费×已经过并实际交纳了保险费的保单年度数（交费期满后为</w:t>
            </w:r>
            <w:r>
              <w:rPr>
                <w:spacing w:val="-1"/>
                <w:sz w:val="21"/>
              </w:rPr>
              <w:t>交费年数</w:t>
            </w:r>
            <w:r>
              <w:rPr>
                <w:spacing w:val="-108"/>
                <w:sz w:val="21"/>
              </w:rPr>
              <w:t>）</w:t>
            </w:r>
            <w:r>
              <w:rPr>
                <w:sz w:val="21"/>
              </w:rPr>
              <w:t>。</w:t>
            </w:r>
          </w:p>
          <w:p>
            <w:pPr>
              <w:pStyle w:val="TableParagraph"/>
              <w:spacing w:line="273" w:lineRule="auto" w:before="84"/>
              <w:ind w:left="130" w:right="199"/>
              <w:rPr>
                <w:b/>
                <w:sz w:val="21"/>
              </w:rPr>
            </w:pPr>
            <w:r>
              <w:rPr>
                <w:b/>
                <w:spacing w:val="-7"/>
                <w:sz w:val="21"/>
              </w:rPr>
              <w:t>若本合同约定附条件加费承保，上述累计所交保险费不包含本合同的加费部分， 加费事项在保险合同上载明。</w:t>
            </w:r>
          </w:p>
        </w:tc>
      </w:tr>
      <w:tr>
        <w:trPr>
          <w:trHeight w:val="1651" w:hRule="atLeast"/>
        </w:trPr>
        <w:tc>
          <w:tcPr>
            <w:tcW w:w="756" w:type="dxa"/>
          </w:tcPr>
          <w:p>
            <w:pPr>
              <w:pStyle w:val="TableParagraph"/>
              <w:spacing w:before="4"/>
              <w:rPr>
                <w:b/>
                <w:sz w:val="17"/>
              </w:rPr>
            </w:pPr>
          </w:p>
          <w:p>
            <w:pPr>
              <w:pStyle w:val="TableParagraph"/>
              <w:ind w:left="200"/>
              <w:rPr>
                <w:b/>
                <w:sz w:val="21"/>
              </w:rPr>
            </w:pPr>
            <w:r>
              <w:rPr>
                <w:b/>
                <w:sz w:val="21"/>
              </w:rPr>
              <w:t>2.4</w:t>
            </w:r>
          </w:p>
        </w:tc>
        <w:tc>
          <w:tcPr>
            <w:tcW w:w="1635" w:type="dxa"/>
          </w:tcPr>
          <w:p>
            <w:pPr>
              <w:pStyle w:val="TableParagraph"/>
              <w:spacing w:before="4"/>
              <w:rPr>
                <w:b/>
                <w:sz w:val="17"/>
              </w:rPr>
            </w:pPr>
          </w:p>
          <w:p>
            <w:pPr>
              <w:pStyle w:val="TableParagraph"/>
              <w:spacing w:line="273" w:lineRule="auto"/>
              <w:ind w:left="238" w:right="126"/>
              <w:rPr>
                <w:b/>
                <w:sz w:val="21"/>
              </w:rPr>
            </w:pPr>
            <w:r>
              <w:rPr>
                <w:b/>
                <w:sz w:val="21"/>
              </w:rPr>
              <w:t>转换万能保险选择权</w:t>
            </w:r>
          </w:p>
        </w:tc>
        <w:tc>
          <w:tcPr>
            <w:tcW w:w="7653" w:type="dxa"/>
          </w:tcPr>
          <w:p>
            <w:pPr>
              <w:pStyle w:val="TableParagraph"/>
              <w:spacing w:before="4"/>
              <w:rPr>
                <w:b/>
                <w:sz w:val="17"/>
              </w:rPr>
            </w:pPr>
          </w:p>
          <w:p>
            <w:pPr>
              <w:pStyle w:val="TableParagraph"/>
              <w:spacing w:line="273" w:lineRule="auto"/>
              <w:ind w:left="130" w:right="374"/>
              <w:jc w:val="both"/>
              <w:rPr>
                <w:sz w:val="21"/>
              </w:rPr>
            </w:pPr>
            <w:r>
              <w:rPr>
                <w:spacing w:val="-3"/>
                <w:sz w:val="21"/>
              </w:rPr>
              <w:t>若投保本合同的同时投保《华泰人寿财富金账户年金保险</w:t>
            </w:r>
            <w:r>
              <w:rPr>
                <w:sz w:val="21"/>
              </w:rPr>
              <w:t>（</w:t>
            </w:r>
            <w:r>
              <w:rPr>
                <w:spacing w:val="-3"/>
                <w:sz w:val="21"/>
              </w:rPr>
              <w:t>万能型</w:t>
            </w:r>
            <w:r>
              <w:rPr>
                <w:spacing w:val="-106"/>
                <w:sz w:val="21"/>
              </w:rPr>
              <w:t>）</w:t>
            </w:r>
            <w:r>
              <w:rPr>
                <w:spacing w:val="-24"/>
                <w:sz w:val="21"/>
              </w:rPr>
              <w:t>》，在本合</w:t>
            </w:r>
            <w:r>
              <w:rPr>
                <w:spacing w:val="-3"/>
                <w:sz w:val="21"/>
              </w:rPr>
              <w:t>同保单有效期间内，若您退保或减少基本保险金额，您可以书面申请并经我们审核同意后，将本合同退保或减少基本保险金额领取的现金价值作为保险费部分或全部转入《华泰人寿财富金账户年金保险</w:t>
            </w:r>
            <w:r>
              <w:rPr>
                <w:sz w:val="21"/>
              </w:rPr>
              <w:t>（</w:t>
            </w:r>
            <w:r>
              <w:rPr>
                <w:spacing w:val="-2"/>
                <w:sz w:val="21"/>
              </w:rPr>
              <w:t>万能型</w:t>
            </w:r>
            <w:r>
              <w:rPr>
                <w:spacing w:val="-106"/>
                <w:sz w:val="21"/>
              </w:rPr>
              <w:t>）</w:t>
            </w:r>
            <w:r>
              <w:rPr>
                <w:spacing w:val="-54"/>
                <w:sz w:val="21"/>
              </w:rPr>
              <w:t>》。</w:t>
            </w:r>
          </w:p>
        </w:tc>
      </w:tr>
      <w:tr>
        <w:trPr>
          <w:trHeight w:val="2244" w:hRule="atLeast"/>
        </w:trPr>
        <w:tc>
          <w:tcPr>
            <w:tcW w:w="756" w:type="dxa"/>
          </w:tcPr>
          <w:p>
            <w:pPr>
              <w:pStyle w:val="TableParagraph"/>
              <w:spacing w:before="150"/>
              <w:ind w:left="200"/>
              <w:rPr>
                <w:b/>
                <w:sz w:val="21"/>
              </w:rPr>
            </w:pPr>
            <w:r>
              <w:rPr>
                <w:b/>
                <w:sz w:val="21"/>
              </w:rPr>
              <w:t>2.5</w:t>
            </w:r>
          </w:p>
        </w:tc>
        <w:tc>
          <w:tcPr>
            <w:tcW w:w="1635" w:type="dxa"/>
          </w:tcPr>
          <w:p>
            <w:pPr>
              <w:pStyle w:val="TableParagraph"/>
              <w:spacing w:line="273" w:lineRule="auto" w:before="150"/>
              <w:ind w:left="238" w:right="126"/>
              <w:rPr>
                <w:b/>
                <w:sz w:val="21"/>
              </w:rPr>
            </w:pPr>
            <w:r>
              <w:rPr>
                <w:b/>
                <w:sz w:val="21"/>
              </w:rPr>
              <w:t>保险金转换选择权</w:t>
            </w:r>
          </w:p>
        </w:tc>
        <w:tc>
          <w:tcPr>
            <w:tcW w:w="7653" w:type="dxa"/>
          </w:tcPr>
          <w:p>
            <w:pPr>
              <w:pStyle w:val="TableParagraph"/>
              <w:spacing w:line="273" w:lineRule="auto" w:before="150"/>
              <w:ind w:left="130" w:right="196"/>
              <w:rPr>
                <w:sz w:val="21"/>
              </w:rPr>
            </w:pPr>
            <w:r>
              <w:rPr>
                <w:spacing w:val="-3"/>
                <w:sz w:val="21"/>
              </w:rPr>
              <w:t>若被保险人身故或患重大疾病或自主生活能力完全丧失，其身故保险金受益人 或重大疾病保险金受益人或全面保障保险金受益人可以书面申请并经我们审核 同意后，将本合同的身故保险金或重大疾病保险金或全面保障保险金作为保险 </w:t>
            </w:r>
            <w:r>
              <w:rPr>
                <w:spacing w:val="-2"/>
                <w:sz w:val="21"/>
              </w:rPr>
              <w:t>费部分或全部用于投保一款不收取初始费用的万能型产品</w:t>
            </w:r>
            <w:r>
              <w:rPr>
                <w:spacing w:val="-3"/>
                <w:sz w:val="21"/>
              </w:rPr>
              <w:t>（</w:t>
            </w:r>
            <w:r>
              <w:rPr>
                <w:spacing w:val="-20"/>
                <w:sz w:val="21"/>
              </w:rPr>
              <w:t>下简称为</w:t>
            </w:r>
            <w:r>
              <w:rPr>
                <w:b/>
                <w:spacing w:val="-27"/>
                <w:sz w:val="21"/>
              </w:rPr>
              <w:t>“转换”</w:t>
            </w:r>
            <w:r>
              <w:rPr>
                <w:spacing w:val="-107"/>
                <w:sz w:val="21"/>
              </w:rPr>
              <w:t>）</w:t>
            </w:r>
            <w:r>
              <w:rPr>
                <w:sz w:val="21"/>
              </w:rPr>
              <w:t>。</w:t>
            </w:r>
            <w:r>
              <w:rPr>
                <w:spacing w:val="-3"/>
                <w:sz w:val="21"/>
              </w:rPr>
              <w:t>该万能型产品的具体内容以转换时所签订的保险合同为准，并应符合转换当时 </w:t>
            </w:r>
            <w:r>
              <w:rPr>
                <w:spacing w:val="-2"/>
                <w:sz w:val="21"/>
              </w:rPr>
              <w:t>的保险监管法律、法规的规定 。</w:t>
            </w:r>
          </w:p>
        </w:tc>
      </w:tr>
      <w:tr>
        <w:trPr>
          <w:trHeight w:val="1298" w:hRule="atLeast"/>
        </w:trPr>
        <w:tc>
          <w:tcPr>
            <w:tcW w:w="756" w:type="dxa"/>
          </w:tcPr>
          <w:p>
            <w:pPr>
              <w:pStyle w:val="TableParagraph"/>
              <w:spacing w:before="12"/>
              <w:rPr>
                <w:b/>
                <w:sz w:val="14"/>
              </w:rPr>
            </w:pPr>
          </w:p>
          <w:p>
            <w:pPr>
              <w:pStyle w:val="TableParagraph"/>
              <w:ind w:left="200"/>
              <w:rPr>
                <w:b/>
                <w:sz w:val="21"/>
              </w:rPr>
            </w:pPr>
            <w:r>
              <w:rPr>
                <w:b/>
                <w:sz w:val="21"/>
              </w:rPr>
              <w:t>2.6</w:t>
            </w:r>
          </w:p>
        </w:tc>
        <w:tc>
          <w:tcPr>
            <w:tcW w:w="1635" w:type="dxa"/>
          </w:tcPr>
          <w:p>
            <w:pPr>
              <w:pStyle w:val="TableParagraph"/>
              <w:spacing w:before="12"/>
              <w:rPr>
                <w:b/>
                <w:sz w:val="14"/>
              </w:rPr>
            </w:pPr>
          </w:p>
          <w:p>
            <w:pPr>
              <w:pStyle w:val="TableParagraph"/>
              <w:spacing w:line="273" w:lineRule="auto"/>
              <w:ind w:left="238" w:right="126"/>
              <w:rPr>
                <w:b/>
                <w:sz w:val="21"/>
              </w:rPr>
            </w:pPr>
            <w:r>
              <w:rPr>
                <w:b/>
                <w:sz w:val="21"/>
              </w:rPr>
              <w:t>未成年人身故保险金限制</w:t>
            </w:r>
          </w:p>
        </w:tc>
        <w:tc>
          <w:tcPr>
            <w:tcW w:w="7653" w:type="dxa"/>
          </w:tcPr>
          <w:p>
            <w:pPr>
              <w:pStyle w:val="TableParagraph"/>
              <w:spacing w:before="12"/>
              <w:rPr>
                <w:b/>
                <w:sz w:val="14"/>
              </w:rPr>
            </w:pPr>
          </w:p>
          <w:p>
            <w:pPr>
              <w:pStyle w:val="TableParagraph"/>
              <w:spacing w:line="273" w:lineRule="auto"/>
              <w:ind w:left="130" w:right="374"/>
              <w:jc w:val="both"/>
              <w:rPr>
                <w:sz w:val="21"/>
              </w:rPr>
            </w:pPr>
            <w:r>
              <w:rPr>
                <w:sz w:val="21"/>
              </w:rPr>
              <w:t>为未成年子女投保的人身保险，因被保险人身故给付的保险金总和不得超过国务院保险监督管理机构规定的限额，身故给付的保险金额总和约定也不得超过前述限额。</w:t>
            </w:r>
          </w:p>
        </w:tc>
      </w:tr>
      <w:tr>
        <w:trPr>
          <w:trHeight w:val="2443" w:hRule="atLeast"/>
        </w:trPr>
        <w:tc>
          <w:tcPr>
            <w:tcW w:w="756" w:type="dxa"/>
          </w:tcPr>
          <w:p>
            <w:pPr>
              <w:pStyle w:val="TableParagraph"/>
              <w:spacing w:before="140"/>
              <w:ind w:left="200"/>
              <w:rPr>
                <w:b/>
                <w:sz w:val="21"/>
              </w:rPr>
            </w:pPr>
            <w:r>
              <w:rPr>
                <w:b/>
                <w:sz w:val="21"/>
              </w:rPr>
              <w:t>2.7</w:t>
            </w:r>
          </w:p>
        </w:tc>
        <w:tc>
          <w:tcPr>
            <w:tcW w:w="1635" w:type="dxa"/>
          </w:tcPr>
          <w:p>
            <w:pPr>
              <w:pStyle w:val="TableParagraph"/>
              <w:spacing w:before="140"/>
              <w:ind w:left="238"/>
              <w:rPr>
                <w:b/>
                <w:sz w:val="21"/>
              </w:rPr>
            </w:pPr>
            <w:r>
              <w:rPr>
                <w:b/>
                <w:sz w:val="21"/>
              </w:rPr>
              <w:t>责任免除</w:t>
            </w:r>
          </w:p>
        </w:tc>
        <w:tc>
          <w:tcPr>
            <w:tcW w:w="7653" w:type="dxa"/>
          </w:tcPr>
          <w:p>
            <w:pPr>
              <w:pStyle w:val="TableParagraph"/>
              <w:spacing w:line="273" w:lineRule="auto" w:before="140"/>
              <w:ind w:left="130" w:right="352"/>
              <w:jc w:val="both"/>
              <w:rPr>
                <w:b/>
                <w:sz w:val="21"/>
              </w:rPr>
            </w:pPr>
            <w:r>
              <w:rPr>
                <w:b/>
                <w:sz w:val="21"/>
              </w:rPr>
              <w:t>因下列情形之一导致被保险人身故或者发生疾病、达到疾病状态或者进行手术的，我们不承担给付身故保险金、重大疾病保险金、全面保障保险金及重大疾病确诊医疗费用补偿金的责任：</w:t>
            </w:r>
          </w:p>
          <w:p>
            <w:pPr>
              <w:pStyle w:val="TableParagraph"/>
              <w:spacing w:before="163"/>
              <w:ind w:left="130"/>
              <w:jc w:val="both"/>
              <w:rPr>
                <w:b/>
                <w:sz w:val="21"/>
              </w:rPr>
            </w:pPr>
            <w:r>
              <w:rPr>
                <w:b/>
                <w:sz w:val="21"/>
              </w:rPr>
              <w:t>1.投保人对被保险人的故意杀害、故意伤害；</w:t>
            </w:r>
          </w:p>
          <w:p>
            <w:pPr>
              <w:pStyle w:val="TableParagraph"/>
              <w:spacing w:before="9"/>
              <w:rPr>
                <w:b/>
                <w:sz w:val="14"/>
              </w:rPr>
            </w:pPr>
          </w:p>
          <w:p>
            <w:pPr>
              <w:pStyle w:val="TableParagraph"/>
              <w:spacing w:before="1"/>
              <w:ind w:left="130"/>
              <w:jc w:val="both"/>
              <w:rPr>
                <w:b/>
                <w:sz w:val="21"/>
              </w:rPr>
            </w:pPr>
            <w:r>
              <w:rPr>
                <w:b/>
                <w:sz w:val="21"/>
              </w:rPr>
              <w:t>2.被保险人故意犯罪或者抗拒依法采取的刑事强制措施；</w:t>
            </w:r>
          </w:p>
          <w:p>
            <w:pPr>
              <w:pStyle w:val="TableParagraph"/>
              <w:spacing w:before="10"/>
              <w:rPr>
                <w:b/>
                <w:sz w:val="14"/>
              </w:rPr>
            </w:pPr>
          </w:p>
          <w:p>
            <w:pPr>
              <w:pStyle w:val="TableParagraph"/>
              <w:spacing w:line="255" w:lineRule="exact"/>
              <w:ind w:left="130"/>
              <w:jc w:val="both"/>
              <w:rPr>
                <w:b/>
                <w:sz w:val="21"/>
              </w:rPr>
            </w:pPr>
            <w:r>
              <w:rPr>
                <w:b/>
                <w:sz w:val="21"/>
              </w:rPr>
              <w:t>3.被保险人自本合同成立或者合同效力恢复之日起 2 年内自杀，但被保险人自</w:t>
            </w:r>
          </w:p>
        </w:tc>
      </w:tr>
    </w:tbl>
    <w:p>
      <w:pPr>
        <w:spacing w:after="0" w:line="255" w:lineRule="exact"/>
        <w:jc w:val="both"/>
        <w:rPr>
          <w:sz w:val="21"/>
        </w:rPr>
        <w:sectPr>
          <w:pgSz w:w="11910" w:h="16840"/>
          <w:pgMar w:header="0" w:footer="924" w:top="1160" w:bottom="1120" w:left="820" w:right="82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319"/>
        <w:gridCol w:w="7773"/>
      </w:tblGrid>
      <w:tr>
        <w:trPr>
          <w:trHeight w:val="5207" w:hRule="atLeast"/>
        </w:trPr>
        <w:tc>
          <w:tcPr>
            <w:tcW w:w="664" w:type="dxa"/>
          </w:tcPr>
          <w:p>
            <w:pPr>
              <w:pStyle w:val="TableParagraph"/>
              <w:rPr>
                <w:rFonts w:ascii="Times New Roman"/>
                <w:sz w:val="20"/>
              </w:rPr>
            </w:pPr>
          </w:p>
        </w:tc>
        <w:tc>
          <w:tcPr>
            <w:tcW w:w="1319" w:type="dxa"/>
          </w:tcPr>
          <w:p>
            <w:pPr>
              <w:pStyle w:val="TableParagraph"/>
              <w:rPr>
                <w:rFonts w:ascii="Times New Roman"/>
                <w:sz w:val="20"/>
              </w:rPr>
            </w:pPr>
          </w:p>
        </w:tc>
        <w:tc>
          <w:tcPr>
            <w:tcW w:w="7773" w:type="dxa"/>
          </w:tcPr>
          <w:p>
            <w:pPr>
              <w:pStyle w:val="TableParagraph"/>
              <w:spacing w:line="211" w:lineRule="exact"/>
              <w:ind w:left="446"/>
              <w:rPr>
                <w:b/>
                <w:sz w:val="21"/>
              </w:rPr>
            </w:pPr>
            <w:r>
              <w:rPr>
                <w:b/>
                <w:sz w:val="21"/>
              </w:rPr>
              <w:t>杀时为无民事行为能力人的除外；</w:t>
            </w:r>
          </w:p>
          <w:p>
            <w:pPr>
              <w:pStyle w:val="TableParagraph"/>
              <w:spacing w:before="10"/>
              <w:rPr>
                <w:b/>
                <w:sz w:val="14"/>
              </w:rPr>
            </w:pPr>
          </w:p>
          <w:p>
            <w:pPr>
              <w:pStyle w:val="TableParagraph"/>
              <w:ind w:left="446"/>
              <w:rPr>
                <w:b/>
                <w:sz w:val="21"/>
              </w:rPr>
            </w:pPr>
            <w:r>
              <w:rPr>
                <w:b/>
                <w:w w:val="99"/>
                <w:sz w:val="21"/>
              </w:rPr>
              <w:t>4.</w:t>
            </w:r>
            <w:r>
              <w:rPr>
                <w:b/>
                <w:spacing w:val="-1"/>
                <w:w w:val="100"/>
                <w:sz w:val="21"/>
              </w:rPr>
              <w:t>被保险人主动吸食或注射毒品</w:t>
            </w:r>
            <w:r>
              <w:rPr>
                <w:b/>
                <w:w w:val="100"/>
                <w:sz w:val="21"/>
              </w:rPr>
              <w:t>（见</w:t>
            </w:r>
            <w:r>
              <w:rPr>
                <w:b/>
                <w:spacing w:val="-54"/>
                <w:sz w:val="21"/>
              </w:rPr>
              <w:t> </w:t>
            </w:r>
            <w:r>
              <w:rPr>
                <w:b/>
                <w:w w:val="99"/>
                <w:sz w:val="21"/>
              </w:rPr>
              <w:t>10.7</w:t>
            </w:r>
            <w:r>
              <w:rPr>
                <w:b/>
                <w:spacing w:val="-106"/>
                <w:w w:val="100"/>
                <w:sz w:val="21"/>
              </w:rPr>
              <w:t>）</w:t>
            </w:r>
            <w:r>
              <w:rPr>
                <w:b/>
                <w:w w:val="100"/>
                <w:sz w:val="21"/>
              </w:rPr>
              <w:t>；</w:t>
            </w:r>
          </w:p>
          <w:p>
            <w:pPr>
              <w:pStyle w:val="TableParagraph"/>
              <w:spacing w:before="9"/>
              <w:rPr>
                <w:b/>
                <w:sz w:val="14"/>
              </w:rPr>
            </w:pPr>
          </w:p>
          <w:p>
            <w:pPr>
              <w:pStyle w:val="TableParagraph"/>
              <w:spacing w:line="273" w:lineRule="auto"/>
              <w:ind w:left="446" w:right="108"/>
              <w:rPr>
                <w:b/>
                <w:sz w:val="21"/>
              </w:rPr>
            </w:pPr>
            <w:r>
              <w:rPr>
                <w:b/>
                <w:w w:val="99"/>
                <w:sz w:val="21"/>
              </w:rPr>
              <w:t>5.</w:t>
            </w:r>
            <w:r>
              <w:rPr>
                <w:b/>
                <w:spacing w:val="-3"/>
                <w:w w:val="100"/>
                <w:sz w:val="21"/>
              </w:rPr>
              <w:t>被保险人酒后驾驶</w:t>
            </w:r>
            <w:r>
              <w:rPr>
                <w:b/>
                <w:w w:val="100"/>
                <w:sz w:val="21"/>
              </w:rPr>
              <w:t>（见</w:t>
            </w:r>
            <w:r>
              <w:rPr>
                <w:b/>
                <w:spacing w:val="-56"/>
                <w:sz w:val="21"/>
              </w:rPr>
              <w:t> </w:t>
            </w:r>
            <w:r>
              <w:rPr>
                <w:b/>
                <w:w w:val="99"/>
                <w:sz w:val="21"/>
              </w:rPr>
              <w:t>10.8</w:t>
            </w:r>
            <w:r>
              <w:rPr>
                <w:b/>
                <w:spacing w:val="-104"/>
                <w:w w:val="100"/>
                <w:sz w:val="21"/>
              </w:rPr>
              <w:t>）</w:t>
            </w:r>
            <w:r>
              <w:rPr>
                <w:b/>
                <w:spacing w:val="-6"/>
                <w:w w:val="100"/>
                <w:sz w:val="21"/>
              </w:rPr>
              <w:t>，无合法有效驾驶证驾驶</w:t>
            </w:r>
            <w:r>
              <w:rPr>
                <w:b/>
                <w:w w:val="100"/>
                <w:sz w:val="21"/>
              </w:rPr>
              <w:t>（见</w:t>
            </w:r>
            <w:r>
              <w:rPr>
                <w:b/>
                <w:spacing w:val="-53"/>
                <w:sz w:val="21"/>
              </w:rPr>
              <w:t> </w:t>
            </w:r>
            <w:r>
              <w:rPr>
                <w:b/>
                <w:w w:val="99"/>
                <w:sz w:val="21"/>
              </w:rPr>
              <w:t>10.9</w:t>
            </w:r>
            <w:r>
              <w:rPr>
                <w:b/>
                <w:spacing w:val="-106"/>
                <w:w w:val="100"/>
                <w:sz w:val="21"/>
              </w:rPr>
              <w:t>）</w:t>
            </w:r>
            <w:r>
              <w:rPr>
                <w:b/>
                <w:spacing w:val="-4"/>
                <w:w w:val="100"/>
                <w:sz w:val="21"/>
              </w:rPr>
              <w:t>，或驾驶无有效行驶证（见</w:t>
            </w:r>
            <w:r>
              <w:rPr>
                <w:b/>
                <w:spacing w:val="-54"/>
                <w:sz w:val="21"/>
              </w:rPr>
              <w:t> </w:t>
            </w:r>
            <w:r>
              <w:rPr>
                <w:b/>
                <w:w w:val="99"/>
                <w:sz w:val="21"/>
              </w:rPr>
              <w:t>10.10</w:t>
            </w:r>
            <w:r>
              <w:rPr>
                <w:b/>
                <w:spacing w:val="-3"/>
                <w:w w:val="100"/>
                <w:sz w:val="21"/>
              </w:rPr>
              <w:t>）</w:t>
            </w:r>
            <w:r>
              <w:rPr>
                <w:b/>
                <w:w w:val="100"/>
                <w:sz w:val="21"/>
              </w:rPr>
              <w:t>的机动车（见</w:t>
            </w:r>
            <w:r>
              <w:rPr>
                <w:b/>
                <w:spacing w:val="-54"/>
                <w:sz w:val="21"/>
              </w:rPr>
              <w:t> </w:t>
            </w:r>
            <w:r>
              <w:rPr>
                <w:b/>
                <w:w w:val="99"/>
                <w:sz w:val="21"/>
              </w:rPr>
              <w:t>10.11</w:t>
            </w:r>
            <w:r>
              <w:rPr>
                <w:b/>
                <w:spacing w:val="-106"/>
                <w:w w:val="100"/>
                <w:sz w:val="21"/>
              </w:rPr>
              <w:t>）</w:t>
            </w:r>
            <w:r>
              <w:rPr>
                <w:b/>
                <w:w w:val="100"/>
                <w:sz w:val="21"/>
              </w:rPr>
              <w:t>；</w:t>
            </w:r>
          </w:p>
          <w:p>
            <w:pPr>
              <w:pStyle w:val="TableParagraph"/>
              <w:spacing w:before="163"/>
              <w:ind w:left="446"/>
              <w:rPr>
                <w:b/>
                <w:sz w:val="21"/>
              </w:rPr>
            </w:pPr>
            <w:r>
              <w:rPr>
                <w:b/>
                <w:sz w:val="21"/>
              </w:rPr>
              <w:t>6.战争、军事冲突、暴乱或武装叛乱；</w:t>
            </w:r>
          </w:p>
          <w:p>
            <w:pPr>
              <w:pStyle w:val="TableParagraph"/>
              <w:spacing w:before="9"/>
              <w:rPr>
                <w:b/>
                <w:sz w:val="14"/>
              </w:rPr>
            </w:pPr>
          </w:p>
          <w:p>
            <w:pPr>
              <w:pStyle w:val="TableParagraph"/>
              <w:ind w:left="446"/>
              <w:rPr>
                <w:b/>
                <w:sz w:val="21"/>
              </w:rPr>
            </w:pPr>
            <w:r>
              <w:rPr>
                <w:b/>
                <w:sz w:val="21"/>
              </w:rPr>
              <w:t>7.核爆炸、核辐射或核污染；</w:t>
            </w:r>
          </w:p>
          <w:p>
            <w:pPr>
              <w:pStyle w:val="TableParagraph"/>
              <w:spacing w:before="9"/>
              <w:rPr>
                <w:b/>
                <w:sz w:val="14"/>
              </w:rPr>
            </w:pPr>
          </w:p>
          <w:p>
            <w:pPr>
              <w:pStyle w:val="TableParagraph"/>
              <w:ind w:left="446"/>
              <w:rPr>
                <w:b/>
                <w:sz w:val="21"/>
              </w:rPr>
            </w:pPr>
            <w:r>
              <w:rPr>
                <w:b/>
                <w:w w:val="99"/>
                <w:sz w:val="21"/>
              </w:rPr>
              <w:t>8.</w:t>
            </w:r>
            <w:r>
              <w:rPr>
                <w:b/>
                <w:spacing w:val="-1"/>
                <w:w w:val="100"/>
                <w:sz w:val="21"/>
              </w:rPr>
              <w:t>被保险人感染艾滋病病毒或患艾滋病</w:t>
            </w:r>
            <w:r>
              <w:rPr>
                <w:b/>
                <w:w w:val="100"/>
                <w:sz w:val="21"/>
              </w:rPr>
              <w:t>（见</w:t>
            </w:r>
            <w:r>
              <w:rPr>
                <w:b/>
                <w:spacing w:val="-53"/>
                <w:sz w:val="21"/>
              </w:rPr>
              <w:t> </w:t>
            </w:r>
            <w:r>
              <w:rPr>
                <w:b/>
                <w:w w:val="99"/>
                <w:sz w:val="21"/>
              </w:rPr>
              <w:t>10.12</w:t>
            </w:r>
            <w:r>
              <w:rPr>
                <w:b/>
                <w:spacing w:val="-108"/>
                <w:w w:val="100"/>
                <w:sz w:val="21"/>
              </w:rPr>
              <w:t>）；</w:t>
            </w:r>
          </w:p>
          <w:p>
            <w:pPr>
              <w:pStyle w:val="TableParagraph"/>
              <w:spacing w:before="9"/>
              <w:rPr>
                <w:b/>
                <w:sz w:val="14"/>
              </w:rPr>
            </w:pPr>
          </w:p>
          <w:p>
            <w:pPr>
              <w:pStyle w:val="TableParagraph"/>
              <w:ind w:left="446"/>
              <w:rPr>
                <w:b/>
                <w:sz w:val="21"/>
              </w:rPr>
            </w:pPr>
            <w:r>
              <w:rPr>
                <w:b/>
                <w:w w:val="99"/>
                <w:sz w:val="21"/>
              </w:rPr>
              <w:t>9.</w:t>
            </w:r>
            <w:r>
              <w:rPr>
                <w:b/>
                <w:w w:val="100"/>
                <w:sz w:val="21"/>
              </w:rPr>
              <w:t>遗传性疾病（见</w:t>
            </w:r>
            <w:r>
              <w:rPr>
                <w:b/>
                <w:spacing w:val="-54"/>
                <w:sz w:val="21"/>
              </w:rPr>
              <w:t> </w:t>
            </w:r>
            <w:r>
              <w:rPr>
                <w:b/>
                <w:w w:val="99"/>
                <w:sz w:val="21"/>
              </w:rPr>
              <w:t>10.13</w:t>
            </w:r>
            <w:r>
              <w:rPr>
                <w:b/>
                <w:spacing w:val="-108"/>
                <w:w w:val="100"/>
                <w:sz w:val="21"/>
              </w:rPr>
              <w:t>）</w:t>
            </w:r>
            <w:r>
              <w:rPr>
                <w:b/>
                <w:spacing w:val="-2"/>
                <w:w w:val="100"/>
                <w:sz w:val="21"/>
              </w:rPr>
              <w:t>、先天性畸形、变形或染色体异常</w:t>
            </w:r>
            <w:r>
              <w:rPr>
                <w:b/>
                <w:w w:val="100"/>
                <w:sz w:val="21"/>
              </w:rPr>
              <w:t>（见</w:t>
            </w:r>
            <w:r>
              <w:rPr>
                <w:b/>
                <w:spacing w:val="-53"/>
                <w:sz w:val="21"/>
              </w:rPr>
              <w:t> </w:t>
            </w:r>
            <w:r>
              <w:rPr>
                <w:b/>
                <w:w w:val="99"/>
                <w:sz w:val="21"/>
              </w:rPr>
              <w:t>10.14</w:t>
            </w:r>
            <w:r>
              <w:rPr>
                <w:b/>
                <w:spacing w:val="-106"/>
                <w:w w:val="100"/>
                <w:sz w:val="21"/>
              </w:rPr>
              <w:t>）。</w:t>
            </w:r>
          </w:p>
          <w:p>
            <w:pPr>
              <w:pStyle w:val="TableParagraph"/>
              <w:spacing w:before="9"/>
              <w:rPr>
                <w:b/>
                <w:sz w:val="14"/>
              </w:rPr>
            </w:pPr>
          </w:p>
          <w:p>
            <w:pPr>
              <w:pStyle w:val="TableParagraph"/>
              <w:spacing w:line="273" w:lineRule="auto"/>
              <w:ind w:left="446" w:right="154"/>
              <w:rPr>
                <w:b/>
                <w:sz w:val="21"/>
              </w:rPr>
            </w:pPr>
            <w:r>
              <w:rPr>
                <w:b/>
                <w:spacing w:val="-5"/>
                <w:sz w:val="21"/>
              </w:rPr>
              <w:t>发生上述第１项情形导致被保险人身故的，本合同终止，您已交足 </w:t>
            </w:r>
            <w:r>
              <w:rPr>
                <w:b/>
                <w:sz w:val="21"/>
              </w:rPr>
              <w:t>2</w:t>
            </w:r>
            <w:r>
              <w:rPr>
                <w:b/>
                <w:spacing w:val="-12"/>
                <w:sz w:val="21"/>
              </w:rPr>
              <w:t> 年以上保</w:t>
            </w:r>
            <w:r>
              <w:rPr>
                <w:b/>
                <w:spacing w:val="-10"/>
                <w:sz w:val="21"/>
              </w:rPr>
              <w:t>险费的，我们向其他权利人退还保险单的现金价值。</w:t>
            </w:r>
          </w:p>
          <w:p>
            <w:pPr>
              <w:pStyle w:val="TableParagraph"/>
              <w:spacing w:line="273" w:lineRule="auto" w:before="163"/>
              <w:ind w:left="446" w:right="157"/>
              <w:rPr>
                <w:b/>
                <w:sz w:val="21"/>
              </w:rPr>
            </w:pPr>
            <w:r>
              <w:rPr>
                <w:b/>
                <w:sz w:val="21"/>
              </w:rPr>
              <w:t>发生上述其他情形导致被保险人身故的，本合同终止，我们向您退还保险单的现金价值。</w:t>
            </w:r>
          </w:p>
        </w:tc>
      </w:tr>
      <w:tr>
        <w:trPr>
          <w:trHeight w:val="797" w:hRule="atLeast"/>
        </w:trPr>
        <w:tc>
          <w:tcPr>
            <w:tcW w:w="664" w:type="dxa"/>
            <w:tcBorders>
              <w:bottom w:val="single" w:sz="8" w:space="0" w:color="000000"/>
            </w:tcBorders>
          </w:tcPr>
          <w:p>
            <w:pPr>
              <w:pStyle w:val="TableParagraph"/>
              <w:spacing w:before="5"/>
              <w:rPr>
                <w:b/>
                <w:sz w:val="18"/>
              </w:rPr>
            </w:pPr>
          </w:p>
          <w:p>
            <w:pPr>
              <w:pStyle w:val="TableParagraph"/>
              <w:ind w:left="107"/>
              <w:rPr>
                <w:b/>
                <w:sz w:val="24"/>
              </w:rPr>
            </w:pPr>
            <w:r>
              <w:rPr>
                <w:b/>
                <w:sz w:val="24"/>
              </w:rPr>
              <w:t>3.</w:t>
            </w:r>
          </w:p>
        </w:tc>
        <w:tc>
          <w:tcPr>
            <w:tcW w:w="9092" w:type="dxa"/>
            <w:gridSpan w:val="2"/>
            <w:tcBorders>
              <w:bottom w:val="single" w:sz="8" w:space="0" w:color="000000"/>
            </w:tcBorders>
          </w:tcPr>
          <w:p>
            <w:pPr>
              <w:pStyle w:val="TableParagraph"/>
              <w:spacing w:before="5"/>
              <w:rPr>
                <w:b/>
                <w:sz w:val="18"/>
              </w:rPr>
            </w:pPr>
          </w:p>
          <w:p>
            <w:pPr>
              <w:pStyle w:val="TableParagraph"/>
              <w:ind w:left="238"/>
              <w:rPr>
                <w:b/>
                <w:sz w:val="24"/>
              </w:rPr>
            </w:pPr>
            <w:r>
              <w:rPr>
                <w:b/>
                <w:w w:val="95"/>
                <w:sz w:val="24"/>
              </w:rPr>
              <w:t>保险金的申请</w:t>
            </w:r>
          </w:p>
        </w:tc>
      </w:tr>
      <w:tr>
        <w:trPr>
          <w:trHeight w:val="7746" w:hRule="atLeast"/>
        </w:trPr>
        <w:tc>
          <w:tcPr>
            <w:tcW w:w="664" w:type="dxa"/>
            <w:tcBorders>
              <w:top w:val="single" w:sz="8" w:space="0" w:color="000000"/>
            </w:tcBorders>
          </w:tcPr>
          <w:p>
            <w:pPr>
              <w:pStyle w:val="TableParagraph"/>
              <w:spacing w:before="138"/>
              <w:ind w:left="107"/>
              <w:rPr>
                <w:b/>
                <w:sz w:val="21"/>
              </w:rPr>
            </w:pPr>
            <w:r>
              <w:rPr>
                <w:b/>
                <w:sz w:val="21"/>
              </w:rPr>
              <w:t>3.1</w:t>
            </w:r>
          </w:p>
        </w:tc>
        <w:tc>
          <w:tcPr>
            <w:tcW w:w="1319" w:type="dxa"/>
            <w:tcBorders>
              <w:top w:val="single" w:sz="8" w:space="0" w:color="000000"/>
            </w:tcBorders>
          </w:tcPr>
          <w:p>
            <w:pPr>
              <w:pStyle w:val="TableParagraph"/>
              <w:spacing w:before="138"/>
              <w:ind w:left="238"/>
              <w:rPr>
                <w:b/>
                <w:sz w:val="21"/>
              </w:rPr>
            </w:pPr>
            <w:r>
              <w:rPr>
                <w:b/>
                <w:sz w:val="21"/>
              </w:rPr>
              <w:t>受益人</w:t>
            </w:r>
          </w:p>
        </w:tc>
        <w:tc>
          <w:tcPr>
            <w:tcW w:w="7773" w:type="dxa"/>
            <w:tcBorders>
              <w:top w:val="single" w:sz="8" w:space="0" w:color="000000"/>
            </w:tcBorders>
          </w:tcPr>
          <w:p>
            <w:pPr>
              <w:pStyle w:val="TableParagraph"/>
              <w:spacing w:line="273" w:lineRule="auto" w:before="138"/>
              <w:ind w:left="446" w:right="106"/>
              <w:rPr>
                <w:sz w:val="21"/>
              </w:rPr>
            </w:pPr>
            <w:r>
              <w:rPr>
                <w:sz w:val="21"/>
              </w:rPr>
              <w:t>本合同重大疾病保险金、全面保障保险金及重大疾病确诊医疗费用补偿金的受益人为被保险人本人。</w:t>
            </w:r>
          </w:p>
          <w:p>
            <w:pPr>
              <w:pStyle w:val="TableParagraph"/>
              <w:spacing w:before="164"/>
              <w:ind w:left="446"/>
              <w:rPr>
                <w:sz w:val="21"/>
              </w:rPr>
            </w:pPr>
            <w:r>
              <w:rPr>
                <w:sz w:val="21"/>
              </w:rPr>
              <w:t>您或者被保险人可以指定一人或数人为身故保险金受益人。</w:t>
            </w:r>
          </w:p>
          <w:p>
            <w:pPr>
              <w:pStyle w:val="TableParagraph"/>
              <w:spacing w:before="10"/>
              <w:rPr>
                <w:b/>
                <w:sz w:val="14"/>
              </w:rPr>
            </w:pPr>
          </w:p>
          <w:p>
            <w:pPr>
              <w:pStyle w:val="TableParagraph"/>
              <w:spacing w:line="273" w:lineRule="auto"/>
              <w:ind w:left="446" w:right="110"/>
              <w:rPr>
                <w:sz w:val="21"/>
              </w:rPr>
            </w:pPr>
            <w:r>
              <w:rPr>
                <w:sz w:val="21"/>
              </w:rPr>
              <w:t>身故保险金受益人为数人时，可以确定受益顺序和受益份额；如果没有确定份额，各受益人按照相等份额享有受益权。</w:t>
            </w:r>
          </w:p>
          <w:p>
            <w:pPr>
              <w:pStyle w:val="TableParagraph"/>
              <w:spacing w:line="273" w:lineRule="auto" w:before="163"/>
              <w:ind w:left="446" w:right="112"/>
              <w:rPr>
                <w:sz w:val="21"/>
              </w:rPr>
            </w:pPr>
            <w:r>
              <w:rPr>
                <w:sz w:val="21"/>
              </w:rPr>
              <w:t>被保险人为无民事行为能力人或限制民事行为能力人的，可以由其监护人指定受益人。</w:t>
            </w:r>
          </w:p>
          <w:p>
            <w:pPr>
              <w:pStyle w:val="TableParagraph"/>
              <w:spacing w:line="273" w:lineRule="auto" w:before="163"/>
              <w:ind w:left="446" w:right="112"/>
              <w:rPr>
                <w:sz w:val="21"/>
              </w:rPr>
            </w:pPr>
            <w:r>
              <w:rPr>
                <w:sz w:val="21"/>
              </w:rPr>
              <w:t>您或者被保险人可以变更身故保险金受益人并书面通知我们。我们收到变更受益人的书面通知后，在保险单或其他保险凭证上批注或附贴批单。</w:t>
            </w:r>
          </w:p>
          <w:p>
            <w:pPr>
              <w:pStyle w:val="TableParagraph"/>
              <w:spacing w:before="163"/>
              <w:ind w:left="446"/>
              <w:rPr>
                <w:sz w:val="21"/>
              </w:rPr>
            </w:pPr>
            <w:r>
              <w:rPr>
                <w:sz w:val="21"/>
              </w:rPr>
              <w:t>您在指定和变更身故保险金受益人时，必须经过被保险人同意。</w:t>
            </w:r>
          </w:p>
          <w:p>
            <w:pPr>
              <w:pStyle w:val="TableParagraph"/>
              <w:spacing w:before="9"/>
              <w:rPr>
                <w:b/>
                <w:sz w:val="14"/>
              </w:rPr>
            </w:pPr>
          </w:p>
          <w:p>
            <w:pPr>
              <w:pStyle w:val="TableParagraph"/>
              <w:spacing w:line="273" w:lineRule="auto" w:before="1"/>
              <w:ind w:left="446" w:right="112"/>
              <w:rPr>
                <w:sz w:val="21"/>
              </w:rPr>
            </w:pPr>
            <w:r>
              <w:rPr>
                <w:sz w:val="21"/>
              </w:rPr>
              <w:t>被保险人身故后，有下列情形之一的，保险金作为被保险人的遗产，由我们依照《中华人民共和国继承法》的规定履行给付保险金的义务：</w:t>
            </w:r>
          </w:p>
          <w:p>
            <w:pPr>
              <w:pStyle w:val="TableParagraph"/>
              <w:spacing w:before="164"/>
              <w:ind w:left="446"/>
              <w:rPr>
                <w:sz w:val="21"/>
              </w:rPr>
            </w:pPr>
            <w:r>
              <w:rPr>
                <w:sz w:val="21"/>
              </w:rPr>
              <w:t>1.没有指定受益人，或者受益人指定不明无法确定的；</w:t>
            </w:r>
          </w:p>
          <w:p>
            <w:pPr>
              <w:pStyle w:val="TableParagraph"/>
              <w:spacing w:before="10"/>
              <w:rPr>
                <w:b/>
                <w:sz w:val="14"/>
              </w:rPr>
            </w:pPr>
          </w:p>
          <w:p>
            <w:pPr>
              <w:pStyle w:val="TableParagraph"/>
              <w:ind w:left="446"/>
              <w:rPr>
                <w:sz w:val="21"/>
              </w:rPr>
            </w:pPr>
            <w:r>
              <w:rPr>
                <w:sz w:val="21"/>
              </w:rPr>
              <w:t>2.受益人先于被保险人身故，没有其他受益人的；</w:t>
            </w:r>
          </w:p>
          <w:p>
            <w:pPr>
              <w:pStyle w:val="TableParagraph"/>
              <w:spacing w:before="9"/>
              <w:rPr>
                <w:b/>
                <w:sz w:val="14"/>
              </w:rPr>
            </w:pPr>
          </w:p>
          <w:p>
            <w:pPr>
              <w:pStyle w:val="TableParagraph"/>
              <w:spacing w:before="1"/>
              <w:ind w:left="446"/>
              <w:rPr>
                <w:sz w:val="21"/>
              </w:rPr>
            </w:pPr>
            <w:r>
              <w:rPr>
                <w:sz w:val="21"/>
              </w:rPr>
              <w:t>3.受益人依法丧失受益权或者放弃受益权，没有其他受益人的。</w:t>
            </w:r>
          </w:p>
          <w:p>
            <w:pPr>
              <w:pStyle w:val="TableParagraph"/>
              <w:spacing w:before="10"/>
              <w:rPr>
                <w:b/>
                <w:sz w:val="14"/>
              </w:rPr>
            </w:pPr>
          </w:p>
          <w:p>
            <w:pPr>
              <w:pStyle w:val="TableParagraph"/>
              <w:spacing w:line="273" w:lineRule="auto"/>
              <w:ind w:left="446" w:right="112"/>
              <w:rPr>
                <w:sz w:val="21"/>
              </w:rPr>
            </w:pPr>
            <w:r>
              <w:rPr>
                <w:sz w:val="21"/>
              </w:rPr>
              <w:t>受益人与被保险人在同一事件中身故，且不能确定身故先后顺序的，推定受益人身故在先。</w:t>
            </w:r>
          </w:p>
          <w:p>
            <w:pPr>
              <w:pStyle w:val="TableParagraph"/>
              <w:spacing w:line="310" w:lineRule="atLeast" w:before="128"/>
              <w:ind w:left="446"/>
              <w:rPr>
                <w:sz w:val="21"/>
              </w:rPr>
            </w:pPr>
            <w:r>
              <w:rPr>
                <w:spacing w:val="-6"/>
                <w:sz w:val="21"/>
              </w:rPr>
              <w:t>受益人故意造成被保险人身故、伤残、疾病的，或者故意杀害被保险人未遂的， </w:t>
            </w:r>
            <w:r>
              <w:rPr>
                <w:spacing w:val="-4"/>
                <w:sz w:val="21"/>
              </w:rPr>
              <w:t>该受益人丧失受益权。</w:t>
            </w:r>
          </w:p>
        </w:tc>
      </w:tr>
    </w:tbl>
    <w:p>
      <w:pPr>
        <w:spacing w:after="0" w:line="310" w:lineRule="atLeast"/>
        <w:rPr>
          <w:sz w:val="21"/>
        </w:rPr>
        <w:sectPr>
          <w:pgSz w:w="11910" w:h="16840"/>
          <w:pgMar w:header="0" w:footer="924" w:top="1160" w:bottom="1120" w:left="920" w:right="10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36"/>
        <w:gridCol w:w="7656"/>
      </w:tblGrid>
      <w:tr>
        <w:trPr>
          <w:trHeight w:val="2151" w:hRule="atLeast"/>
        </w:trPr>
        <w:tc>
          <w:tcPr>
            <w:tcW w:w="756" w:type="dxa"/>
          </w:tcPr>
          <w:p>
            <w:pPr>
              <w:pStyle w:val="TableParagraph"/>
              <w:spacing w:line="217" w:lineRule="exact"/>
              <w:ind w:left="200"/>
              <w:rPr>
                <w:b/>
                <w:sz w:val="21"/>
              </w:rPr>
            </w:pPr>
            <w:r>
              <w:rPr>
                <w:b/>
                <w:sz w:val="21"/>
              </w:rPr>
              <w:t>3.2</w:t>
            </w:r>
          </w:p>
        </w:tc>
        <w:tc>
          <w:tcPr>
            <w:tcW w:w="1636" w:type="dxa"/>
          </w:tcPr>
          <w:p>
            <w:pPr>
              <w:pStyle w:val="TableParagraph"/>
              <w:spacing w:line="217" w:lineRule="exact"/>
              <w:ind w:left="238"/>
              <w:rPr>
                <w:b/>
                <w:sz w:val="21"/>
              </w:rPr>
            </w:pPr>
            <w:r>
              <w:rPr>
                <w:b/>
                <w:sz w:val="21"/>
              </w:rPr>
              <w:t>保险事故通知</w:t>
            </w:r>
          </w:p>
        </w:tc>
        <w:tc>
          <w:tcPr>
            <w:tcW w:w="7656" w:type="dxa"/>
          </w:tcPr>
          <w:p>
            <w:pPr>
              <w:pStyle w:val="TableParagraph"/>
              <w:spacing w:line="218" w:lineRule="exact"/>
              <w:ind w:left="129"/>
              <w:rPr>
                <w:i/>
                <w:sz w:val="22"/>
              </w:rPr>
            </w:pPr>
            <w:r>
              <w:rPr>
                <w:sz w:val="21"/>
              </w:rPr>
              <w:t>您、被保险人或受益人知道保险事故后应当在 10 日内通知我们</w:t>
            </w:r>
            <w:r>
              <w:rPr>
                <w:i/>
                <w:sz w:val="22"/>
              </w:rPr>
              <w:t>。</w:t>
            </w:r>
          </w:p>
          <w:p>
            <w:pPr>
              <w:pStyle w:val="TableParagraph"/>
              <w:spacing w:line="273" w:lineRule="auto" w:before="192"/>
              <w:ind w:left="129" w:right="357"/>
              <w:jc w:val="both"/>
              <w:rPr>
                <w:sz w:val="21"/>
              </w:rPr>
            </w:pPr>
            <w:r>
              <w:rPr>
                <w:b/>
                <w:sz w:val="21"/>
              </w:rPr>
              <w:t>如果您、被保险人或受益人故意或者因重大过失未及时通知，致使保险事故的性质、原因、损失程度等难以确定的，我们对无法确定的部分，不承担给付保险金的责任</w:t>
            </w:r>
            <w:r>
              <w:rPr>
                <w:sz w:val="21"/>
              </w:rPr>
              <w:t>，但我们通过其他途径已经及时知道或者应当及时知道保险事故发生或者虽未及时通知但不影响我们确定保险事故的性质、原因、损失程度的除外。</w:t>
            </w:r>
          </w:p>
        </w:tc>
      </w:tr>
      <w:tr>
        <w:trPr>
          <w:trHeight w:val="11970" w:hRule="atLeast"/>
        </w:trPr>
        <w:tc>
          <w:tcPr>
            <w:tcW w:w="756" w:type="dxa"/>
          </w:tcPr>
          <w:p>
            <w:pPr>
              <w:pStyle w:val="TableParagraph"/>
              <w:spacing w:before="145"/>
              <w:ind w:left="200"/>
              <w:rPr>
                <w:b/>
                <w:sz w:val="21"/>
              </w:rPr>
            </w:pPr>
            <w:r>
              <w:rPr>
                <w:b/>
                <w:sz w:val="21"/>
              </w:rPr>
              <w:t>3.3</w:t>
            </w:r>
          </w:p>
        </w:tc>
        <w:tc>
          <w:tcPr>
            <w:tcW w:w="1636" w:type="dxa"/>
          </w:tcPr>
          <w:p>
            <w:pPr>
              <w:pStyle w:val="TableParagraph"/>
              <w:spacing w:before="145"/>
              <w:ind w:left="238"/>
              <w:rPr>
                <w:b/>
                <w:sz w:val="21"/>
              </w:rPr>
            </w:pPr>
            <w:r>
              <w:rPr>
                <w:b/>
                <w:sz w:val="21"/>
              </w:rPr>
              <w:t>保险金申请</w:t>
            </w:r>
          </w:p>
        </w:tc>
        <w:tc>
          <w:tcPr>
            <w:tcW w:w="7656" w:type="dxa"/>
          </w:tcPr>
          <w:p>
            <w:pPr>
              <w:pStyle w:val="TableParagraph"/>
              <w:spacing w:line="273" w:lineRule="auto" w:before="145"/>
              <w:ind w:left="129" w:right="161"/>
              <w:rPr>
                <w:sz w:val="21"/>
              </w:rPr>
            </w:pPr>
            <w:r>
              <w:rPr>
                <w:sz w:val="21"/>
              </w:rPr>
              <w:t>在申请重大疾病保险金或全面保障保险金时，受益人须填写保险金给付申请书， 并须提供下列证明和资料：</w:t>
            </w:r>
          </w:p>
          <w:p>
            <w:pPr>
              <w:pStyle w:val="TableParagraph"/>
              <w:spacing w:before="163"/>
              <w:ind w:left="129"/>
              <w:rPr>
                <w:sz w:val="21"/>
              </w:rPr>
            </w:pPr>
            <w:r>
              <w:rPr>
                <w:sz w:val="21"/>
              </w:rPr>
              <w:t>（1）保险合同；</w:t>
            </w:r>
          </w:p>
          <w:p>
            <w:pPr>
              <w:pStyle w:val="TableParagraph"/>
              <w:spacing w:before="10"/>
              <w:rPr>
                <w:b/>
                <w:sz w:val="14"/>
              </w:rPr>
            </w:pPr>
          </w:p>
          <w:p>
            <w:pPr>
              <w:pStyle w:val="TableParagraph"/>
              <w:spacing w:line="273" w:lineRule="auto"/>
              <w:ind w:left="129" w:right="306"/>
              <w:rPr>
                <w:sz w:val="21"/>
              </w:rPr>
            </w:pPr>
            <w:r>
              <w:rPr>
                <w:spacing w:val="-12"/>
                <w:sz w:val="21"/>
              </w:rPr>
              <w:t>（2）</w:t>
            </w:r>
            <w:r>
              <w:rPr>
                <w:spacing w:val="-3"/>
                <w:sz w:val="21"/>
              </w:rPr>
              <w:t>由我们认可的医院的专科医生出具的被保险人的疾病诊断证明及相关医疗文件（包括完整的门诊及住院病历记录、出院小结、影像学、病理检查、实验室检查及其他相关检查报告</w:t>
            </w:r>
            <w:r>
              <w:rPr>
                <w:spacing w:val="-70"/>
                <w:sz w:val="21"/>
              </w:rPr>
              <w:t>）</w:t>
            </w:r>
            <w:r>
              <w:rPr>
                <w:spacing w:val="-10"/>
                <w:sz w:val="21"/>
              </w:rPr>
              <w:t>；其中因双耳失聪而申请保险金的还应提供理赔的</w:t>
            </w:r>
            <w:r>
              <w:rPr>
                <w:spacing w:val="-5"/>
                <w:sz w:val="21"/>
              </w:rPr>
              <w:t>听力丧失诊断及检查证据，因双眼失明而申请保险金的还应提供理赔的视力丧</w:t>
            </w:r>
            <w:r>
              <w:rPr>
                <w:spacing w:val="-4"/>
                <w:sz w:val="21"/>
              </w:rPr>
              <w:t>失诊断及检查证据，因语言能力丧失而申请保险金的还应提供理赔的语言能力</w:t>
            </w:r>
            <w:r>
              <w:rPr>
                <w:spacing w:val="-3"/>
                <w:sz w:val="21"/>
              </w:rPr>
              <w:t>丧失诊断及检查证据；</w:t>
            </w:r>
          </w:p>
          <w:p>
            <w:pPr>
              <w:pStyle w:val="TableParagraph"/>
              <w:spacing w:before="163"/>
              <w:ind w:left="129"/>
              <w:rPr>
                <w:sz w:val="21"/>
              </w:rPr>
            </w:pPr>
            <w:r>
              <w:rPr>
                <w:sz w:val="21"/>
              </w:rPr>
              <w:t>（3）受益人的有效身份证件；</w:t>
            </w:r>
          </w:p>
          <w:p>
            <w:pPr>
              <w:pStyle w:val="TableParagraph"/>
              <w:spacing w:before="9"/>
              <w:rPr>
                <w:b/>
                <w:sz w:val="14"/>
              </w:rPr>
            </w:pPr>
          </w:p>
          <w:p>
            <w:pPr>
              <w:pStyle w:val="TableParagraph"/>
              <w:spacing w:line="273" w:lineRule="auto"/>
              <w:ind w:left="129" w:right="266"/>
              <w:rPr>
                <w:sz w:val="21"/>
              </w:rPr>
            </w:pPr>
            <w:r>
              <w:rPr>
                <w:sz w:val="21"/>
              </w:rPr>
              <w:t>（4）所能提供的其他与确认保险合同、确认保险事故的性质、原因等有关的证明或材料。</w:t>
            </w:r>
          </w:p>
          <w:p>
            <w:pPr>
              <w:pStyle w:val="TableParagraph"/>
              <w:rPr>
                <w:b/>
                <w:sz w:val="20"/>
              </w:rPr>
            </w:pPr>
          </w:p>
          <w:p>
            <w:pPr>
              <w:pStyle w:val="TableParagraph"/>
              <w:spacing w:before="3"/>
              <w:rPr>
                <w:b/>
                <w:sz w:val="28"/>
              </w:rPr>
            </w:pPr>
          </w:p>
          <w:p>
            <w:pPr>
              <w:pStyle w:val="TableParagraph"/>
              <w:spacing w:line="273" w:lineRule="auto"/>
              <w:ind w:left="129" w:right="378"/>
              <w:rPr>
                <w:sz w:val="21"/>
              </w:rPr>
            </w:pPr>
            <w:r>
              <w:rPr>
                <w:sz w:val="21"/>
              </w:rPr>
              <w:t>在申请重大疾病确诊医疗费用补偿金时，受益人须填写保险金给付申请书，并须提供下列证明和资料：</w:t>
            </w:r>
          </w:p>
          <w:p>
            <w:pPr>
              <w:pStyle w:val="TableParagraph"/>
              <w:spacing w:before="163"/>
              <w:ind w:left="129"/>
              <w:rPr>
                <w:sz w:val="21"/>
              </w:rPr>
            </w:pPr>
            <w:r>
              <w:rPr>
                <w:sz w:val="21"/>
              </w:rPr>
              <w:t>（1）保险合同；</w:t>
            </w:r>
          </w:p>
          <w:p>
            <w:pPr>
              <w:pStyle w:val="TableParagraph"/>
              <w:spacing w:before="9"/>
              <w:rPr>
                <w:b/>
                <w:sz w:val="14"/>
              </w:rPr>
            </w:pPr>
          </w:p>
          <w:p>
            <w:pPr>
              <w:pStyle w:val="TableParagraph"/>
              <w:ind w:left="129"/>
              <w:rPr>
                <w:sz w:val="21"/>
              </w:rPr>
            </w:pPr>
            <w:r>
              <w:rPr>
                <w:sz w:val="21"/>
              </w:rPr>
              <w:t>（2）由我们认可的医院的专科医生出具的被保险人的疾病诊断证明；</w:t>
            </w:r>
          </w:p>
          <w:p>
            <w:pPr>
              <w:pStyle w:val="TableParagraph"/>
              <w:spacing w:before="9"/>
              <w:rPr>
                <w:b/>
                <w:sz w:val="14"/>
              </w:rPr>
            </w:pPr>
          </w:p>
          <w:p>
            <w:pPr>
              <w:pStyle w:val="TableParagraph"/>
              <w:ind w:left="129"/>
              <w:rPr>
                <w:sz w:val="21"/>
              </w:rPr>
            </w:pPr>
            <w:r>
              <w:rPr>
                <w:sz w:val="21"/>
              </w:rPr>
              <w:t>（3）受益人的有效身份证件；</w:t>
            </w:r>
          </w:p>
          <w:p>
            <w:pPr>
              <w:pStyle w:val="TableParagraph"/>
              <w:spacing w:before="9"/>
              <w:rPr>
                <w:b/>
                <w:sz w:val="14"/>
              </w:rPr>
            </w:pPr>
          </w:p>
          <w:p>
            <w:pPr>
              <w:pStyle w:val="TableParagraph"/>
              <w:ind w:left="129"/>
              <w:rPr>
                <w:sz w:val="21"/>
              </w:rPr>
            </w:pPr>
            <w:r>
              <w:rPr>
                <w:sz w:val="21"/>
              </w:rPr>
              <w:t>（4）就诊医院盖章的医疗费用收据及相关诊疗费用结算明细单。</w:t>
            </w:r>
          </w:p>
          <w:p>
            <w:pPr>
              <w:pStyle w:val="TableParagraph"/>
              <w:rPr>
                <w:b/>
                <w:sz w:val="20"/>
              </w:rPr>
            </w:pPr>
          </w:p>
          <w:p>
            <w:pPr>
              <w:pStyle w:val="TableParagraph"/>
              <w:rPr>
                <w:b/>
                <w:sz w:val="20"/>
              </w:rPr>
            </w:pPr>
          </w:p>
          <w:p>
            <w:pPr>
              <w:pStyle w:val="TableParagraph"/>
              <w:spacing w:line="273" w:lineRule="auto" w:before="137"/>
              <w:ind w:left="129" w:right="378"/>
              <w:rPr>
                <w:sz w:val="21"/>
              </w:rPr>
            </w:pPr>
            <w:r>
              <w:rPr>
                <w:sz w:val="21"/>
              </w:rPr>
              <w:t>在申请身故保险金时，受益人须填写保险金给付申请书，并须提供下列证明和资料：</w:t>
            </w:r>
          </w:p>
          <w:p>
            <w:pPr>
              <w:pStyle w:val="TableParagraph"/>
              <w:spacing w:before="163"/>
              <w:ind w:left="129"/>
              <w:rPr>
                <w:sz w:val="21"/>
              </w:rPr>
            </w:pPr>
            <w:r>
              <w:rPr>
                <w:sz w:val="21"/>
              </w:rPr>
              <w:t>（1）保险合同；</w:t>
            </w:r>
          </w:p>
          <w:p>
            <w:pPr>
              <w:pStyle w:val="TableParagraph"/>
              <w:spacing w:before="9"/>
              <w:rPr>
                <w:b/>
                <w:sz w:val="14"/>
              </w:rPr>
            </w:pPr>
          </w:p>
          <w:p>
            <w:pPr>
              <w:pStyle w:val="TableParagraph"/>
              <w:spacing w:before="1"/>
              <w:ind w:left="129"/>
              <w:rPr>
                <w:sz w:val="21"/>
              </w:rPr>
            </w:pPr>
            <w:r>
              <w:rPr>
                <w:sz w:val="21"/>
              </w:rPr>
              <w:t>（2）受益人的有效身份证件；</w:t>
            </w:r>
          </w:p>
          <w:p>
            <w:pPr>
              <w:pStyle w:val="TableParagraph"/>
              <w:spacing w:before="10"/>
              <w:rPr>
                <w:b/>
                <w:sz w:val="14"/>
              </w:rPr>
            </w:pPr>
          </w:p>
          <w:p>
            <w:pPr>
              <w:pStyle w:val="TableParagraph"/>
              <w:spacing w:line="273" w:lineRule="auto"/>
              <w:ind w:left="129" w:right="253"/>
              <w:rPr>
                <w:sz w:val="21"/>
              </w:rPr>
            </w:pPr>
            <w:r>
              <w:rPr>
                <w:sz w:val="21"/>
              </w:rPr>
              <w:t>（3）国家卫生行政部门认定的医疗机构、公安部门或其他相关机构出具的被保险人的死亡证明或人民法院出具的宣告死亡证明文件；</w:t>
            </w:r>
          </w:p>
          <w:p>
            <w:pPr>
              <w:pStyle w:val="TableParagraph"/>
              <w:spacing w:line="468" w:lineRule="exact" w:before="34"/>
              <w:ind w:left="129" w:right="378"/>
              <w:rPr>
                <w:sz w:val="21"/>
              </w:rPr>
            </w:pPr>
            <w:r>
              <w:rPr>
                <w:sz w:val="21"/>
              </w:rPr>
              <w:t>（4）</w:t>
            </w:r>
            <w:r>
              <w:rPr>
                <w:spacing w:val="-3"/>
                <w:sz w:val="21"/>
              </w:rPr>
              <w:t>所能提供的与确认保险事故的性质、原因等有关的其他证明和资料。  保险金作为被保险人遗产时，必须提供可证明合法继承权的相关权利文件。 若委托他人办理申请保险金，还须提供授权委托书及受托人身份证件等材料。</w:t>
            </w:r>
          </w:p>
        </w:tc>
      </w:tr>
    </w:tbl>
    <w:p>
      <w:pPr>
        <w:spacing w:after="0" w:line="468" w:lineRule="exact"/>
        <w:rPr>
          <w:sz w:val="21"/>
        </w:rPr>
        <w:sectPr>
          <w:pgSz w:w="11910" w:h="16840"/>
          <w:pgMar w:header="0" w:footer="924" w:top="1160" w:bottom="1120" w:left="820" w:right="82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5"/>
        <w:gridCol w:w="7453"/>
      </w:tblGrid>
      <w:tr>
        <w:trPr>
          <w:trHeight w:val="737" w:hRule="atLeast"/>
        </w:trPr>
        <w:tc>
          <w:tcPr>
            <w:tcW w:w="664" w:type="dxa"/>
          </w:tcPr>
          <w:p>
            <w:pPr>
              <w:pStyle w:val="TableParagraph"/>
              <w:rPr>
                <w:rFonts w:ascii="Times New Roman"/>
                <w:sz w:val="20"/>
              </w:rPr>
            </w:pPr>
          </w:p>
        </w:tc>
        <w:tc>
          <w:tcPr>
            <w:tcW w:w="1635" w:type="dxa"/>
          </w:tcPr>
          <w:p>
            <w:pPr>
              <w:pStyle w:val="TableParagraph"/>
              <w:rPr>
                <w:rFonts w:ascii="Times New Roman"/>
                <w:sz w:val="20"/>
              </w:rPr>
            </w:pPr>
          </w:p>
        </w:tc>
        <w:tc>
          <w:tcPr>
            <w:tcW w:w="7453" w:type="dxa"/>
          </w:tcPr>
          <w:p>
            <w:pPr>
              <w:pStyle w:val="TableParagraph"/>
              <w:spacing w:line="211" w:lineRule="exact"/>
              <w:ind w:left="130"/>
              <w:rPr>
                <w:sz w:val="21"/>
              </w:rPr>
            </w:pPr>
            <w:r>
              <w:rPr>
                <w:sz w:val="21"/>
              </w:rPr>
              <w:t>以上证明和资料不完整的，我们将及时一次性通知受益人补充提供有关证明和</w:t>
            </w:r>
          </w:p>
          <w:p>
            <w:pPr>
              <w:pStyle w:val="TableParagraph"/>
              <w:spacing w:before="37"/>
              <w:ind w:left="130"/>
              <w:rPr>
                <w:sz w:val="21"/>
              </w:rPr>
            </w:pPr>
            <w:r>
              <w:rPr>
                <w:sz w:val="21"/>
              </w:rPr>
              <w:t>资料。</w:t>
            </w:r>
          </w:p>
        </w:tc>
      </w:tr>
      <w:tr>
        <w:trPr>
          <w:trHeight w:val="4227" w:hRule="atLeast"/>
        </w:trPr>
        <w:tc>
          <w:tcPr>
            <w:tcW w:w="664" w:type="dxa"/>
          </w:tcPr>
          <w:p>
            <w:pPr>
              <w:pStyle w:val="TableParagraph"/>
              <w:spacing w:before="150"/>
              <w:ind w:left="107"/>
              <w:rPr>
                <w:b/>
                <w:sz w:val="21"/>
              </w:rPr>
            </w:pPr>
            <w:r>
              <w:rPr>
                <w:b/>
                <w:sz w:val="21"/>
              </w:rPr>
              <w:t>3.4</w:t>
            </w:r>
          </w:p>
        </w:tc>
        <w:tc>
          <w:tcPr>
            <w:tcW w:w="1635" w:type="dxa"/>
          </w:tcPr>
          <w:p>
            <w:pPr>
              <w:pStyle w:val="TableParagraph"/>
              <w:spacing w:before="150"/>
              <w:ind w:left="238"/>
              <w:rPr>
                <w:b/>
                <w:sz w:val="21"/>
              </w:rPr>
            </w:pPr>
            <w:r>
              <w:rPr>
                <w:b/>
                <w:sz w:val="21"/>
              </w:rPr>
              <w:t>保险金给付</w:t>
            </w:r>
          </w:p>
        </w:tc>
        <w:tc>
          <w:tcPr>
            <w:tcW w:w="7453" w:type="dxa"/>
          </w:tcPr>
          <w:p>
            <w:pPr>
              <w:pStyle w:val="TableParagraph"/>
              <w:spacing w:before="150"/>
              <w:ind w:left="130"/>
              <w:rPr>
                <w:sz w:val="21"/>
              </w:rPr>
            </w:pPr>
            <w:r>
              <w:rPr>
                <w:sz w:val="21"/>
              </w:rPr>
              <w:t>我们在收到保险金给付申请书及合同约定的证明和资料后，将在 3 日内作出核</w:t>
            </w:r>
          </w:p>
          <w:p>
            <w:pPr>
              <w:pStyle w:val="TableParagraph"/>
              <w:spacing w:before="37"/>
              <w:ind w:left="130"/>
              <w:rPr>
                <w:sz w:val="21"/>
              </w:rPr>
            </w:pPr>
            <w:r>
              <w:rPr>
                <w:spacing w:val="-8"/>
                <w:sz w:val="21"/>
              </w:rPr>
              <w:t>定；情形复杂的，在 </w:t>
            </w:r>
            <w:r>
              <w:rPr>
                <w:sz w:val="21"/>
              </w:rPr>
              <w:t>30</w:t>
            </w:r>
            <w:r>
              <w:rPr>
                <w:spacing w:val="-9"/>
                <w:sz w:val="21"/>
              </w:rPr>
              <w:t> 日内作出核定。对属于保险责任的，我们在与受益人达</w:t>
            </w:r>
          </w:p>
          <w:p>
            <w:pPr>
              <w:pStyle w:val="TableParagraph"/>
              <w:spacing w:before="37"/>
              <w:ind w:left="130"/>
              <w:rPr>
                <w:sz w:val="21"/>
              </w:rPr>
            </w:pPr>
            <w:r>
              <w:rPr>
                <w:sz w:val="21"/>
              </w:rPr>
              <w:t>成给付保险金的协议后 10 日内，履行给付保险金义务。</w:t>
            </w:r>
          </w:p>
          <w:p>
            <w:pPr>
              <w:pStyle w:val="TableParagraph"/>
              <w:spacing w:before="10"/>
              <w:rPr>
                <w:b/>
                <w:sz w:val="14"/>
              </w:rPr>
            </w:pPr>
          </w:p>
          <w:p>
            <w:pPr>
              <w:pStyle w:val="TableParagraph"/>
              <w:spacing w:line="273" w:lineRule="auto"/>
              <w:ind w:left="130" w:right="174"/>
              <w:jc w:val="both"/>
              <w:rPr>
                <w:sz w:val="21"/>
              </w:rPr>
            </w:pPr>
            <w:r>
              <w:rPr>
                <w:sz w:val="21"/>
              </w:rPr>
              <w:t>我们未及时履行前款规定义务的，对属于保险责任的，除支付保险金外，双倍赔偿受益人因此受到的利息损失。利息以中国人民银行公布的金融机构当期人民币活期存款基准利率为准。</w:t>
            </w:r>
          </w:p>
          <w:p>
            <w:pPr>
              <w:pStyle w:val="TableParagraph"/>
              <w:spacing w:line="273" w:lineRule="auto" w:before="163"/>
              <w:ind w:left="130" w:right="174"/>
              <w:rPr>
                <w:sz w:val="21"/>
              </w:rPr>
            </w:pPr>
            <w:r>
              <w:rPr>
                <w:spacing w:val="-5"/>
                <w:sz w:val="21"/>
              </w:rPr>
              <w:t>对不属于保险责任的，我们自作出核定之日起 </w:t>
            </w:r>
            <w:r>
              <w:rPr>
                <w:sz w:val="21"/>
              </w:rPr>
              <w:t>3</w:t>
            </w:r>
            <w:r>
              <w:rPr>
                <w:spacing w:val="-8"/>
                <w:sz w:val="21"/>
              </w:rPr>
              <w:t> 日内向受益人发出拒绝给付保</w:t>
            </w:r>
            <w:r>
              <w:rPr>
                <w:spacing w:val="-5"/>
                <w:sz w:val="21"/>
              </w:rPr>
              <w:t>险金通知书并说明理由。</w:t>
            </w:r>
          </w:p>
          <w:p>
            <w:pPr>
              <w:pStyle w:val="TableParagraph"/>
              <w:spacing w:line="273" w:lineRule="auto" w:before="163"/>
              <w:ind w:left="130" w:right="102"/>
              <w:rPr>
                <w:sz w:val="21"/>
              </w:rPr>
            </w:pPr>
            <w:r>
              <w:rPr>
                <w:spacing w:val="-5"/>
                <w:sz w:val="21"/>
              </w:rPr>
              <w:t>我们在收到保险金给付申请书及有关证明和资料之日起 </w:t>
            </w:r>
            <w:r>
              <w:rPr>
                <w:sz w:val="21"/>
              </w:rPr>
              <w:t>60</w:t>
            </w:r>
            <w:r>
              <w:rPr>
                <w:spacing w:val="-10"/>
                <w:sz w:val="21"/>
              </w:rPr>
              <w:t> 日内，对给付保险金</w:t>
            </w:r>
            <w:r>
              <w:rPr>
                <w:spacing w:val="-5"/>
                <w:sz w:val="21"/>
              </w:rPr>
              <w:t>的数额不能确定的，根据已有证明和资料可以确定的数额先予支付；我们最终</w:t>
            </w:r>
            <w:r>
              <w:rPr>
                <w:spacing w:val="-4"/>
                <w:sz w:val="21"/>
              </w:rPr>
              <w:t>确定给付保险金的数额后，将支付相应的差额。</w:t>
            </w:r>
          </w:p>
        </w:tc>
      </w:tr>
      <w:tr>
        <w:trPr>
          <w:trHeight w:val="2042" w:hRule="atLeast"/>
        </w:trPr>
        <w:tc>
          <w:tcPr>
            <w:tcW w:w="664" w:type="dxa"/>
          </w:tcPr>
          <w:p>
            <w:pPr>
              <w:pStyle w:val="TableParagraph"/>
              <w:spacing w:before="150"/>
              <w:ind w:left="107"/>
              <w:rPr>
                <w:b/>
                <w:sz w:val="21"/>
              </w:rPr>
            </w:pPr>
            <w:r>
              <w:rPr>
                <w:b/>
                <w:sz w:val="21"/>
              </w:rPr>
              <w:t>3.5</w:t>
            </w:r>
          </w:p>
        </w:tc>
        <w:tc>
          <w:tcPr>
            <w:tcW w:w="1635" w:type="dxa"/>
          </w:tcPr>
          <w:p>
            <w:pPr>
              <w:pStyle w:val="TableParagraph"/>
              <w:spacing w:before="150"/>
              <w:ind w:left="238"/>
              <w:rPr>
                <w:b/>
                <w:sz w:val="21"/>
              </w:rPr>
            </w:pPr>
            <w:r>
              <w:rPr>
                <w:b/>
                <w:sz w:val="21"/>
              </w:rPr>
              <w:t>宣告死亡处理</w:t>
            </w:r>
          </w:p>
        </w:tc>
        <w:tc>
          <w:tcPr>
            <w:tcW w:w="7453" w:type="dxa"/>
          </w:tcPr>
          <w:p>
            <w:pPr>
              <w:pStyle w:val="TableParagraph"/>
              <w:spacing w:line="273" w:lineRule="auto" w:before="150"/>
              <w:ind w:left="130" w:right="174"/>
              <w:rPr>
                <w:sz w:val="21"/>
              </w:rPr>
            </w:pPr>
            <w:r>
              <w:rPr>
                <w:sz w:val="21"/>
              </w:rPr>
              <w:t>被保险人在本合同有效期间内失踪，如经法院宣告死亡，我们以判决书所确定死亡日为准，依本合同给付身故保险金。</w:t>
            </w:r>
          </w:p>
          <w:p>
            <w:pPr>
              <w:pStyle w:val="TableParagraph"/>
              <w:spacing w:line="273" w:lineRule="auto" w:before="164"/>
              <w:ind w:left="130" w:right="102"/>
              <w:rPr>
                <w:sz w:val="21"/>
              </w:rPr>
            </w:pPr>
            <w:r>
              <w:rPr>
                <w:spacing w:val="-3"/>
                <w:sz w:val="21"/>
              </w:rPr>
              <w:t>若被保险人在宣告死亡后重新出现或者确知其没有死亡，身故受益人应于知道</w:t>
            </w:r>
            <w:r>
              <w:rPr>
                <w:spacing w:val="-10"/>
                <w:sz w:val="21"/>
              </w:rPr>
              <w:t>此情况后 </w:t>
            </w:r>
            <w:r>
              <w:rPr>
                <w:sz w:val="21"/>
              </w:rPr>
              <w:t>30</w:t>
            </w:r>
            <w:r>
              <w:rPr>
                <w:spacing w:val="-10"/>
                <w:sz w:val="21"/>
              </w:rPr>
              <w:t> 日内向我们退还已领取的保险金，在失踪期间有应给付其他保险金</w:t>
            </w:r>
            <w:r>
              <w:rPr>
                <w:spacing w:val="-5"/>
                <w:sz w:val="21"/>
              </w:rPr>
              <w:t>者，我们依约给付。</w:t>
            </w:r>
          </w:p>
        </w:tc>
      </w:tr>
      <w:tr>
        <w:trPr>
          <w:trHeight w:val="1051" w:hRule="atLeast"/>
        </w:trPr>
        <w:tc>
          <w:tcPr>
            <w:tcW w:w="664" w:type="dxa"/>
          </w:tcPr>
          <w:p>
            <w:pPr>
              <w:pStyle w:val="TableParagraph"/>
              <w:spacing w:before="150"/>
              <w:ind w:left="107"/>
              <w:rPr>
                <w:b/>
                <w:sz w:val="21"/>
              </w:rPr>
            </w:pPr>
            <w:r>
              <w:rPr>
                <w:b/>
                <w:sz w:val="21"/>
              </w:rPr>
              <w:t>3.6</w:t>
            </w:r>
          </w:p>
        </w:tc>
        <w:tc>
          <w:tcPr>
            <w:tcW w:w="1635" w:type="dxa"/>
          </w:tcPr>
          <w:p>
            <w:pPr>
              <w:pStyle w:val="TableParagraph"/>
              <w:spacing w:before="150"/>
              <w:ind w:left="238"/>
              <w:rPr>
                <w:b/>
                <w:sz w:val="21"/>
              </w:rPr>
            </w:pPr>
            <w:r>
              <w:rPr>
                <w:b/>
                <w:sz w:val="21"/>
              </w:rPr>
              <w:t>诉讼时效</w:t>
            </w:r>
          </w:p>
        </w:tc>
        <w:tc>
          <w:tcPr>
            <w:tcW w:w="7453" w:type="dxa"/>
          </w:tcPr>
          <w:p>
            <w:pPr>
              <w:pStyle w:val="TableParagraph"/>
              <w:spacing w:line="273" w:lineRule="auto" w:before="150"/>
              <w:ind w:left="130" w:right="174"/>
              <w:rPr>
                <w:sz w:val="21"/>
              </w:rPr>
            </w:pPr>
            <w:r>
              <w:rPr>
                <w:spacing w:val="-5"/>
                <w:sz w:val="21"/>
              </w:rPr>
              <w:t>被保险人或受益人向我们申请给付保险金的诉讼时效期间为 </w:t>
            </w:r>
            <w:r>
              <w:rPr>
                <w:sz w:val="21"/>
              </w:rPr>
              <w:t>5</w:t>
            </w:r>
            <w:r>
              <w:rPr>
                <w:spacing w:val="-8"/>
                <w:sz w:val="21"/>
              </w:rPr>
              <w:t> 年，自其知道或</w:t>
            </w:r>
            <w:r>
              <w:rPr>
                <w:spacing w:val="-5"/>
                <w:sz w:val="21"/>
              </w:rPr>
              <w:t>者应当知道保险事故发生之日起计算。</w:t>
            </w:r>
          </w:p>
        </w:tc>
      </w:tr>
      <w:tr>
        <w:trPr>
          <w:trHeight w:val="798" w:hRule="atLeast"/>
        </w:trPr>
        <w:tc>
          <w:tcPr>
            <w:tcW w:w="664" w:type="dxa"/>
            <w:tcBorders>
              <w:bottom w:val="single" w:sz="8" w:space="0" w:color="000000"/>
            </w:tcBorders>
          </w:tcPr>
          <w:p>
            <w:pPr>
              <w:pStyle w:val="TableParagraph"/>
              <w:spacing w:before="4"/>
              <w:rPr>
                <w:b/>
                <w:sz w:val="18"/>
              </w:rPr>
            </w:pPr>
          </w:p>
          <w:p>
            <w:pPr>
              <w:pStyle w:val="TableParagraph"/>
              <w:ind w:left="107"/>
              <w:rPr>
                <w:b/>
                <w:sz w:val="24"/>
              </w:rPr>
            </w:pPr>
            <w:r>
              <w:rPr>
                <w:b/>
                <w:sz w:val="24"/>
              </w:rPr>
              <w:t>4.</w:t>
            </w:r>
          </w:p>
        </w:tc>
        <w:tc>
          <w:tcPr>
            <w:tcW w:w="1635" w:type="dxa"/>
            <w:tcBorders>
              <w:bottom w:val="single" w:sz="8" w:space="0" w:color="000000"/>
            </w:tcBorders>
          </w:tcPr>
          <w:p>
            <w:pPr>
              <w:pStyle w:val="TableParagraph"/>
              <w:spacing w:before="4"/>
              <w:rPr>
                <w:b/>
                <w:sz w:val="18"/>
              </w:rPr>
            </w:pPr>
          </w:p>
          <w:p>
            <w:pPr>
              <w:pStyle w:val="TableParagraph"/>
              <w:ind w:left="238"/>
              <w:rPr>
                <w:b/>
                <w:sz w:val="24"/>
              </w:rPr>
            </w:pPr>
            <w:r>
              <w:rPr>
                <w:b/>
                <w:w w:val="95"/>
                <w:sz w:val="24"/>
              </w:rPr>
              <w:t>保险费的交</w:t>
            </w:r>
          </w:p>
        </w:tc>
        <w:tc>
          <w:tcPr>
            <w:tcW w:w="7453" w:type="dxa"/>
            <w:tcBorders>
              <w:bottom w:val="single" w:sz="8" w:space="0" w:color="000000"/>
            </w:tcBorders>
          </w:tcPr>
          <w:p>
            <w:pPr>
              <w:pStyle w:val="TableParagraph"/>
              <w:spacing w:before="4"/>
              <w:rPr>
                <w:b/>
                <w:sz w:val="18"/>
              </w:rPr>
            </w:pPr>
          </w:p>
          <w:p>
            <w:pPr>
              <w:pStyle w:val="TableParagraph"/>
              <w:ind w:left="-192"/>
              <w:rPr>
                <w:b/>
                <w:sz w:val="24"/>
              </w:rPr>
            </w:pPr>
            <w:r>
              <w:rPr>
                <w:b/>
                <w:w w:val="99"/>
                <w:sz w:val="24"/>
              </w:rPr>
              <w:t>纳</w:t>
            </w:r>
          </w:p>
        </w:tc>
      </w:tr>
      <w:tr>
        <w:trPr>
          <w:trHeight w:val="1407" w:hRule="atLeast"/>
        </w:trPr>
        <w:tc>
          <w:tcPr>
            <w:tcW w:w="664" w:type="dxa"/>
            <w:tcBorders>
              <w:top w:val="single" w:sz="8" w:space="0" w:color="000000"/>
            </w:tcBorders>
          </w:tcPr>
          <w:p>
            <w:pPr>
              <w:pStyle w:val="TableParagraph"/>
              <w:spacing w:before="138"/>
              <w:ind w:left="107"/>
              <w:rPr>
                <w:b/>
                <w:sz w:val="21"/>
              </w:rPr>
            </w:pPr>
            <w:r>
              <w:rPr>
                <w:b/>
                <w:sz w:val="21"/>
              </w:rPr>
              <w:t>4.1</w:t>
            </w:r>
          </w:p>
        </w:tc>
        <w:tc>
          <w:tcPr>
            <w:tcW w:w="1635" w:type="dxa"/>
            <w:tcBorders>
              <w:top w:val="single" w:sz="8" w:space="0" w:color="000000"/>
            </w:tcBorders>
          </w:tcPr>
          <w:p>
            <w:pPr>
              <w:pStyle w:val="TableParagraph"/>
              <w:spacing w:before="138"/>
              <w:ind w:left="238"/>
              <w:rPr>
                <w:b/>
                <w:sz w:val="21"/>
              </w:rPr>
            </w:pPr>
            <w:r>
              <w:rPr>
                <w:b/>
                <w:sz w:val="21"/>
              </w:rPr>
              <w:t>保险费的交纳</w:t>
            </w:r>
          </w:p>
        </w:tc>
        <w:tc>
          <w:tcPr>
            <w:tcW w:w="7453" w:type="dxa"/>
            <w:tcBorders>
              <w:top w:val="single" w:sz="8" w:space="0" w:color="000000"/>
            </w:tcBorders>
          </w:tcPr>
          <w:p>
            <w:pPr>
              <w:pStyle w:val="TableParagraph"/>
              <w:spacing w:before="138"/>
              <w:ind w:left="130"/>
              <w:rPr>
                <w:sz w:val="21"/>
              </w:rPr>
            </w:pPr>
            <w:r>
              <w:rPr>
                <w:sz w:val="21"/>
              </w:rPr>
              <w:t>本合同的交费方式和交费期间由您和我们约定并在保险单上载明。</w:t>
            </w:r>
          </w:p>
          <w:p>
            <w:pPr>
              <w:pStyle w:val="TableParagraph"/>
              <w:spacing w:before="9"/>
              <w:rPr>
                <w:b/>
                <w:sz w:val="14"/>
              </w:rPr>
            </w:pPr>
          </w:p>
          <w:p>
            <w:pPr>
              <w:pStyle w:val="TableParagraph"/>
              <w:spacing w:line="273" w:lineRule="auto"/>
              <w:ind w:left="130" w:right="174"/>
              <w:rPr>
                <w:sz w:val="21"/>
              </w:rPr>
            </w:pPr>
            <w:r>
              <w:rPr>
                <w:sz w:val="21"/>
              </w:rPr>
              <w:t>分期支付保险费的，在交纳首期保险费后，您应当按照约定，在每个保险费约定交纳日交纳其余各期的保险费。</w:t>
            </w:r>
          </w:p>
        </w:tc>
      </w:tr>
      <w:tr>
        <w:trPr>
          <w:trHeight w:val="2369" w:hRule="atLeast"/>
        </w:trPr>
        <w:tc>
          <w:tcPr>
            <w:tcW w:w="664" w:type="dxa"/>
          </w:tcPr>
          <w:p>
            <w:pPr>
              <w:pStyle w:val="TableParagraph"/>
              <w:spacing w:before="150"/>
              <w:ind w:left="107"/>
              <w:rPr>
                <w:b/>
                <w:sz w:val="21"/>
              </w:rPr>
            </w:pPr>
            <w:r>
              <w:rPr>
                <w:b/>
                <w:sz w:val="21"/>
              </w:rPr>
              <w:t>4.2</w:t>
            </w:r>
          </w:p>
        </w:tc>
        <w:tc>
          <w:tcPr>
            <w:tcW w:w="1635" w:type="dxa"/>
          </w:tcPr>
          <w:p>
            <w:pPr>
              <w:pStyle w:val="TableParagraph"/>
              <w:spacing w:before="150"/>
              <w:ind w:left="238"/>
              <w:rPr>
                <w:b/>
                <w:sz w:val="21"/>
              </w:rPr>
            </w:pPr>
            <w:r>
              <w:rPr>
                <w:b/>
                <w:sz w:val="21"/>
              </w:rPr>
              <w:t>宽限期</w:t>
            </w:r>
          </w:p>
        </w:tc>
        <w:tc>
          <w:tcPr>
            <w:tcW w:w="7453" w:type="dxa"/>
          </w:tcPr>
          <w:p>
            <w:pPr>
              <w:pStyle w:val="TableParagraph"/>
              <w:spacing w:line="273" w:lineRule="auto" w:before="150"/>
              <w:ind w:left="130" w:right="104"/>
              <w:rPr>
                <w:sz w:val="21"/>
              </w:rPr>
            </w:pPr>
            <w:r>
              <w:rPr>
                <w:spacing w:val="-3"/>
                <w:sz w:val="21"/>
              </w:rPr>
              <w:t>分期支付保险费的，您支付首期保险费后，除本合同另有约定外，如果您到期</w:t>
            </w:r>
            <w:r>
              <w:rPr>
                <w:spacing w:val="-7"/>
                <w:sz w:val="21"/>
              </w:rPr>
              <w:t>未支付保险费，自保险费约定交纳日的次日零时起 </w:t>
            </w:r>
            <w:r>
              <w:rPr>
                <w:sz w:val="21"/>
              </w:rPr>
              <w:t>60</w:t>
            </w:r>
            <w:r>
              <w:rPr>
                <w:spacing w:val="-9"/>
                <w:sz w:val="21"/>
              </w:rPr>
              <w:t> 日为宽限期。宽限期内发</w:t>
            </w:r>
            <w:r>
              <w:rPr>
                <w:spacing w:val="-5"/>
                <w:sz w:val="21"/>
              </w:rPr>
              <w:t>生的保险事故，我们仍会承担保险责任，但在给付保险金时会扣减您欠交的保险费。</w:t>
            </w:r>
          </w:p>
          <w:p>
            <w:pPr>
              <w:pStyle w:val="TableParagraph"/>
              <w:spacing w:line="273" w:lineRule="auto" w:before="163"/>
              <w:ind w:left="130" w:right="174"/>
              <w:rPr>
                <w:sz w:val="21"/>
              </w:rPr>
            </w:pPr>
            <w:r>
              <w:rPr>
                <w:sz w:val="21"/>
              </w:rPr>
              <w:t>如果您宽限期结束之后仍未支付保险费，则本合同自宽限期满的次日零时起效力中止。</w:t>
            </w:r>
          </w:p>
        </w:tc>
      </w:tr>
      <w:tr>
        <w:trPr>
          <w:trHeight w:val="713" w:hRule="atLeast"/>
        </w:trPr>
        <w:tc>
          <w:tcPr>
            <w:tcW w:w="664" w:type="dxa"/>
            <w:tcBorders>
              <w:bottom w:val="single" w:sz="8" w:space="0" w:color="000000"/>
            </w:tcBorders>
          </w:tcPr>
          <w:p>
            <w:pPr>
              <w:pStyle w:val="TableParagraph"/>
              <w:spacing w:before="154"/>
              <w:ind w:left="107"/>
              <w:rPr>
                <w:b/>
                <w:sz w:val="24"/>
              </w:rPr>
            </w:pPr>
            <w:r>
              <w:rPr>
                <w:b/>
                <w:sz w:val="24"/>
              </w:rPr>
              <w:t>5.</w:t>
            </w:r>
          </w:p>
        </w:tc>
        <w:tc>
          <w:tcPr>
            <w:tcW w:w="1635" w:type="dxa"/>
            <w:tcBorders>
              <w:bottom w:val="single" w:sz="8" w:space="0" w:color="000000"/>
            </w:tcBorders>
          </w:tcPr>
          <w:p>
            <w:pPr>
              <w:pStyle w:val="TableParagraph"/>
              <w:spacing w:before="154"/>
              <w:ind w:left="238"/>
              <w:rPr>
                <w:b/>
                <w:sz w:val="24"/>
              </w:rPr>
            </w:pPr>
            <w:r>
              <w:rPr>
                <w:b/>
                <w:w w:val="95"/>
                <w:sz w:val="24"/>
              </w:rPr>
              <w:t>现金价值权</w:t>
            </w:r>
          </w:p>
        </w:tc>
        <w:tc>
          <w:tcPr>
            <w:tcW w:w="7453" w:type="dxa"/>
            <w:tcBorders>
              <w:bottom w:val="single" w:sz="8" w:space="0" w:color="000000"/>
            </w:tcBorders>
          </w:tcPr>
          <w:p>
            <w:pPr>
              <w:pStyle w:val="TableParagraph"/>
              <w:spacing w:before="154"/>
              <w:ind w:left="-192"/>
              <w:rPr>
                <w:b/>
                <w:sz w:val="24"/>
              </w:rPr>
            </w:pPr>
            <w:r>
              <w:rPr>
                <w:b/>
                <w:w w:val="99"/>
                <w:sz w:val="24"/>
              </w:rPr>
              <w:t>益</w:t>
            </w:r>
          </w:p>
        </w:tc>
      </w:tr>
      <w:tr>
        <w:trPr>
          <w:trHeight w:val="723" w:hRule="atLeast"/>
        </w:trPr>
        <w:tc>
          <w:tcPr>
            <w:tcW w:w="664" w:type="dxa"/>
            <w:tcBorders>
              <w:top w:val="single" w:sz="8" w:space="0" w:color="000000"/>
            </w:tcBorders>
          </w:tcPr>
          <w:p>
            <w:pPr>
              <w:pStyle w:val="TableParagraph"/>
              <w:spacing w:before="136"/>
              <w:ind w:left="107"/>
              <w:rPr>
                <w:b/>
                <w:sz w:val="21"/>
              </w:rPr>
            </w:pPr>
            <w:r>
              <w:rPr>
                <w:b/>
                <w:sz w:val="21"/>
              </w:rPr>
              <w:t>5.1</w:t>
            </w:r>
          </w:p>
        </w:tc>
        <w:tc>
          <w:tcPr>
            <w:tcW w:w="1635" w:type="dxa"/>
            <w:tcBorders>
              <w:top w:val="single" w:sz="8" w:space="0" w:color="000000"/>
            </w:tcBorders>
          </w:tcPr>
          <w:p>
            <w:pPr>
              <w:pStyle w:val="TableParagraph"/>
              <w:spacing w:before="136"/>
              <w:ind w:left="238"/>
              <w:rPr>
                <w:b/>
                <w:sz w:val="21"/>
              </w:rPr>
            </w:pPr>
            <w:r>
              <w:rPr>
                <w:b/>
                <w:sz w:val="21"/>
              </w:rPr>
              <w:t>现金价值</w:t>
            </w:r>
          </w:p>
        </w:tc>
        <w:tc>
          <w:tcPr>
            <w:tcW w:w="7453" w:type="dxa"/>
            <w:tcBorders>
              <w:top w:val="single" w:sz="8" w:space="0" w:color="000000"/>
            </w:tcBorders>
          </w:tcPr>
          <w:p>
            <w:pPr>
              <w:pStyle w:val="TableParagraph"/>
              <w:spacing w:line="310" w:lineRule="atLeast" w:before="101"/>
              <w:ind w:left="130" w:right="174"/>
              <w:rPr>
                <w:sz w:val="21"/>
              </w:rPr>
            </w:pPr>
            <w:r>
              <w:rPr>
                <w:sz w:val="21"/>
              </w:rPr>
              <w:t>指保险单所具有的价值，通常体现为解除合同时，根据精算原理计算的，由我们退还的那部分金额。</w:t>
            </w:r>
          </w:p>
        </w:tc>
      </w:tr>
    </w:tbl>
    <w:p>
      <w:pPr>
        <w:spacing w:after="0" w:line="310" w:lineRule="atLeast"/>
        <w:rPr>
          <w:sz w:val="21"/>
        </w:rPr>
        <w:sectPr>
          <w:pgSz w:w="11910" w:h="16840"/>
          <w:pgMar w:header="0" w:footer="924" w:top="1160" w:bottom="1120" w:left="920" w:right="102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5"/>
        <w:gridCol w:w="7453"/>
      </w:tblGrid>
      <w:tr>
        <w:trPr>
          <w:trHeight w:val="1237" w:hRule="atLeast"/>
        </w:trPr>
        <w:tc>
          <w:tcPr>
            <w:tcW w:w="664" w:type="dxa"/>
          </w:tcPr>
          <w:p>
            <w:pPr>
              <w:pStyle w:val="TableParagraph"/>
              <w:rPr>
                <w:rFonts w:ascii="Times New Roman"/>
                <w:sz w:val="20"/>
              </w:rPr>
            </w:pPr>
          </w:p>
        </w:tc>
        <w:tc>
          <w:tcPr>
            <w:tcW w:w="1635" w:type="dxa"/>
          </w:tcPr>
          <w:p>
            <w:pPr>
              <w:pStyle w:val="TableParagraph"/>
              <w:rPr>
                <w:rFonts w:ascii="Times New Roman"/>
                <w:sz w:val="20"/>
              </w:rPr>
            </w:pPr>
          </w:p>
        </w:tc>
        <w:tc>
          <w:tcPr>
            <w:tcW w:w="7453" w:type="dxa"/>
          </w:tcPr>
          <w:p>
            <w:pPr>
              <w:pStyle w:val="TableParagraph"/>
              <w:spacing w:line="211" w:lineRule="exact"/>
              <w:ind w:left="130"/>
              <w:rPr>
                <w:sz w:val="21"/>
              </w:rPr>
            </w:pPr>
            <w:r>
              <w:rPr>
                <w:sz w:val="21"/>
              </w:rPr>
              <w:t>我们会在保险单或批注上载明本合同保险单年度末的现金价值。如果您需要了</w:t>
            </w:r>
          </w:p>
          <w:p>
            <w:pPr>
              <w:pStyle w:val="TableParagraph"/>
              <w:spacing w:before="37"/>
              <w:ind w:left="130"/>
              <w:rPr>
                <w:sz w:val="21"/>
              </w:rPr>
            </w:pPr>
            <w:r>
              <w:rPr>
                <w:sz w:val="21"/>
              </w:rPr>
              <w:t>解保险单年度内的现金价值，可向我们查询。</w:t>
            </w:r>
          </w:p>
          <w:p>
            <w:pPr>
              <w:pStyle w:val="TableParagraph"/>
              <w:spacing w:before="9"/>
              <w:rPr>
                <w:b/>
                <w:sz w:val="14"/>
              </w:rPr>
            </w:pPr>
          </w:p>
          <w:p>
            <w:pPr>
              <w:pStyle w:val="TableParagraph"/>
              <w:ind w:left="130"/>
              <w:rPr>
                <w:sz w:val="21"/>
              </w:rPr>
            </w:pPr>
            <w:r>
              <w:rPr>
                <w:sz w:val="21"/>
              </w:rPr>
              <w:t>若基本保险金额发生变更，则现金价值将按变更后的基本保险金额重新计算。</w:t>
            </w:r>
          </w:p>
        </w:tc>
      </w:tr>
      <w:tr>
        <w:trPr>
          <w:trHeight w:val="2935" w:hRule="atLeast"/>
        </w:trPr>
        <w:tc>
          <w:tcPr>
            <w:tcW w:w="664" w:type="dxa"/>
          </w:tcPr>
          <w:p>
            <w:pPr>
              <w:pStyle w:val="TableParagraph"/>
              <w:spacing w:before="12"/>
              <w:rPr>
                <w:b/>
                <w:sz w:val="13"/>
              </w:rPr>
            </w:pPr>
          </w:p>
          <w:p>
            <w:pPr>
              <w:pStyle w:val="TableParagraph"/>
              <w:ind w:left="107"/>
              <w:rPr>
                <w:b/>
                <w:sz w:val="21"/>
              </w:rPr>
            </w:pPr>
            <w:r>
              <w:rPr>
                <w:b/>
                <w:sz w:val="21"/>
              </w:rPr>
              <w:t>5.2</w:t>
            </w:r>
          </w:p>
        </w:tc>
        <w:tc>
          <w:tcPr>
            <w:tcW w:w="1635" w:type="dxa"/>
          </w:tcPr>
          <w:p>
            <w:pPr>
              <w:pStyle w:val="TableParagraph"/>
              <w:spacing w:before="12"/>
              <w:rPr>
                <w:b/>
                <w:sz w:val="13"/>
              </w:rPr>
            </w:pPr>
          </w:p>
          <w:p>
            <w:pPr>
              <w:pStyle w:val="TableParagraph"/>
              <w:ind w:left="238"/>
              <w:rPr>
                <w:b/>
                <w:sz w:val="21"/>
              </w:rPr>
            </w:pPr>
            <w:r>
              <w:rPr>
                <w:b/>
                <w:sz w:val="21"/>
              </w:rPr>
              <w:t>保单贷款</w:t>
            </w:r>
          </w:p>
        </w:tc>
        <w:tc>
          <w:tcPr>
            <w:tcW w:w="7453" w:type="dxa"/>
          </w:tcPr>
          <w:p>
            <w:pPr>
              <w:pStyle w:val="TableParagraph"/>
              <w:spacing w:before="12"/>
              <w:rPr>
                <w:b/>
                <w:sz w:val="13"/>
              </w:rPr>
            </w:pPr>
          </w:p>
          <w:p>
            <w:pPr>
              <w:pStyle w:val="TableParagraph"/>
              <w:spacing w:line="273" w:lineRule="auto"/>
              <w:ind w:left="130" w:right="102"/>
              <w:rPr>
                <w:sz w:val="21"/>
              </w:rPr>
            </w:pPr>
            <w:r>
              <w:rPr>
                <w:spacing w:val="-3"/>
                <w:sz w:val="21"/>
              </w:rPr>
              <w:t>在本合同有效期间内，您可以书面申请并经我们审核同意后办理保单贷款。贷</w:t>
            </w:r>
            <w:r>
              <w:rPr>
                <w:spacing w:val="-3"/>
                <w:w w:val="100"/>
                <w:sz w:val="21"/>
              </w:rPr>
              <w:t>款金额不得超过本合同现金价值扣除各项欠款及利息后余额的</w:t>
            </w:r>
            <w:r>
              <w:rPr>
                <w:spacing w:val="-3"/>
                <w:sz w:val="21"/>
              </w:rPr>
              <w:t> </w:t>
            </w:r>
            <w:r>
              <w:rPr>
                <w:w w:val="100"/>
                <w:sz w:val="21"/>
              </w:rPr>
              <w:t>70</w:t>
            </w:r>
            <w:r>
              <w:rPr>
                <w:spacing w:val="-16"/>
                <w:w w:val="100"/>
                <w:sz w:val="21"/>
              </w:rPr>
              <w:t>%，每次贷款期</w:t>
            </w:r>
            <w:r>
              <w:rPr>
                <w:spacing w:val="-12"/>
                <w:sz w:val="21"/>
              </w:rPr>
              <w:t>限最长不超过 </w:t>
            </w:r>
            <w:r>
              <w:rPr>
                <w:sz w:val="21"/>
              </w:rPr>
              <w:t>6</w:t>
            </w:r>
            <w:r>
              <w:rPr>
                <w:spacing w:val="-20"/>
                <w:sz w:val="21"/>
              </w:rPr>
              <w:t> 个月，</w:t>
            </w:r>
            <w:r>
              <w:rPr>
                <w:b/>
                <w:spacing w:val="-8"/>
                <w:sz w:val="21"/>
              </w:rPr>
              <w:t>贷款利率</w:t>
            </w:r>
            <w:r>
              <w:rPr>
                <w:spacing w:val="-3"/>
                <w:sz w:val="21"/>
              </w:rPr>
              <w:t>（</w:t>
            </w:r>
            <w:r>
              <w:rPr>
                <w:spacing w:val="-21"/>
                <w:sz w:val="21"/>
              </w:rPr>
              <w:t>见 </w:t>
            </w:r>
            <w:r>
              <w:rPr>
                <w:spacing w:val="-6"/>
                <w:sz w:val="21"/>
              </w:rPr>
              <w:t>10.15）</w:t>
            </w:r>
            <w:r>
              <w:rPr>
                <w:spacing w:val="-3"/>
                <w:sz w:val="21"/>
              </w:rPr>
              <w:t>按您与我们签订的贷款协议中约定的利率执行。贷款本息在贷款到期时一并归还。若您到期未能足额偿还贷款本息，则您所欠的贷款本金及利息将作为新的贷款本金，按下一贷款期内的贷款利率计息。</w:t>
            </w:r>
          </w:p>
          <w:p>
            <w:pPr>
              <w:pStyle w:val="TableParagraph"/>
              <w:spacing w:line="273" w:lineRule="auto" w:before="163"/>
              <w:ind w:left="130" w:right="174"/>
              <w:rPr>
                <w:sz w:val="21"/>
              </w:rPr>
            </w:pPr>
            <w:r>
              <w:rPr>
                <w:sz w:val="21"/>
              </w:rPr>
              <w:t>当未还贷款本金及利息加上其他各项欠款及利息达到本合同现金价值时，保险合同的效力即行中止。</w:t>
            </w:r>
          </w:p>
        </w:tc>
      </w:tr>
      <w:tr>
        <w:trPr>
          <w:trHeight w:val="2041" w:hRule="atLeast"/>
        </w:trPr>
        <w:tc>
          <w:tcPr>
            <w:tcW w:w="664" w:type="dxa"/>
          </w:tcPr>
          <w:p>
            <w:pPr>
              <w:pStyle w:val="TableParagraph"/>
              <w:spacing w:before="74"/>
              <w:ind w:left="107"/>
              <w:rPr>
                <w:b/>
                <w:sz w:val="21"/>
              </w:rPr>
            </w:pPr>
            <w:r>
              <w:rPr>
                <w:b/>
                <w:sz w:val="21"/>
              </w:rPr>
              <w:t>5.3</w:t>
            </w:r>
          </w:p>
        </w:tc>
        <w:tc>
          <w:tcPr>
            <w:tcW w:w="1635" w:type="dxa"/>
          </w:tcPr>
          <w:p>
            <w:pPr>
              <w:pStyle w:val="TableParagraph"/>
              <w:spacing w:line="273" w:lineRule="auto" w:before="74"/>
              <w:ind w:left="238" w:right="126"/>
              <w:rPr>
                <w:b/>
                <w:sz w:val="21"/>
              </w:rPr>
            </w:pPr>
            <w:r>
              <w:rPr>
                <w:b/>
                <w:sz w:val="21"/>
              </w:rPr>
              <w:t>保险费自动垫交</w:t>
            </w:r>
          </w:p>
        </w:tc>
        <w:tc>
          <w:tcPr>
            <w:tcW w:w="7453" w:type="dxa"/>
          </w:tcPr>
          <w:p>
            <w:pPr>
              <w:pStyle w:val="TableParagraph"/>
              <w:spacing w:line="273" w:lineRule="auto" w:before="74"/>
              <w:ind w:left="130" w:right="121"/>
              <w:jc w:val="both"/>
              <w:rPr>
                <w:sz w:val="21"/>
              </w:rPr>
            </w:pPr>
            <w:r>
              <w:rPr>
                <w:spacing w:val="-3"/>
                <w:sz w:val="21"/>
              </w:rPr>
              <w:t>在本合同有效期间内，您可以书面申请并经我们审核同意后办理保险费自动垫交。本合同首期后的分期保险费逾宽限期仍未交付时，且此时本合同的现金价值扣除各项欠款及利息后足以垫付当期本合同及其附加合同欠交的保险费及</w:t>
            </w:r>
            <w:r>
              <w:rPr>
                <w:b/>
                <w:sz w:val="21"/>
              </w:rPr>
              <w:t>利</w:t>
            </w:r>
            <w:r>
              <w:rPr>
                <w:b/>
                <w:w w:val="100"/>
                <w:sz w:val="21"/>
              </w:rPr>
              <w:t>息</w:t>
            </w:r>
            <w:r>
              <w:rPr>
                <w:w w:val="100"/>
                <w:sz w:val="21"/>
              </w:rPr>
              <w:t>（见</w:t>
            </w:r>
            <w:r>
              <w:rPr>
                <w:spacing w:val="-54"/>
                <w:sz w:val="21"/>
              </w:rPr>
              <w:t> </w:t>
            </w:r>
            <w:r>
              <w:rPr>
                <w:w w:val="100"/>
                <w:sz w:val="21"/>
              </w:rPr>
              <w:t>10.1</w:t>
            </w:r>
            <w:r>
              <w:rPr>
                <w:spacing w:val="-3"/>
                <w:w w:val="100"/>
                <w:sz w:val="21"/>
              </w:rPr>
              <w:t>6</w:t>
            </w:r>
            <w:r>
              <w:rPr>
                <w:spacing w:val="-106"/>
                <w:w w:val="100"/>
                <w:sz w:val="21"/>
              </w:rPr>
              <w:t>）</w:t>
            </w:r>
            <w:r>
              <w:rPr>
                <w:spacing w:val="-3"/>
                <w:w w:val="100"/>
                <w:sz w:val="21"/>
              </w:rPr>
              <w:t>，则我们将以本合同的现金价值垫付当期欠交的保险费及利息；</w:t>
            </w:r>
            <w:r>
              <w:rPr>
                <w:spacing w:val="-3"/>
                <w:sz w:val="21"/>
              </w:rPr>
              <w:t>如当时现金价值扣除各项欠款及利息后不足以垫付当期本合同及其附加合同欠交的保险费及利息时，本合同及其附加合同的效力即中止。</w:t>
            </w:r>
          </w:p>
        </w:tc>
      </w:tr>
      <w:tr>
        <w:trPr>
          <w:trHeight w:val="2522" w:hRule="atLeast"/>
        </w:trPr>
        <w:tc>
          <w:tcPr>
            <w:tcW w:w="664" w:type="dxa"/>
          </w:tcPr>
          <w:p>
            <w:pPr>
              <w:pStyle w:val="TableParagraph"/>
              <w:spacing w:before="68"/>
              <w:ind w:left="107"/>
              <w:rPr>
                <w:b/>
                <w:sz w:val="21"/>
              </w:rPr>
            </w:pPr>
            <w:r>
              <w:rPr>
                <w:b/>
                <w:sz w:val="21"/>
              </w:rPr>
              <w:t>5.4</w:t>
            </w:r>
          </w:p>
        </w:tc>
        <w:tc>
          <w:tcPr>
            <w:tcW w:w="1635" w:type="dxa"/>
          </w:tcPr>
          <w:p>
            <w:pPr>
              <w:pStyle w:val="TableParagraph"/>
              <w:spacing w:line="273" w:lineRule="auto" w:before="68"/>
              <w:ind w:left="238" w:right="126"/>
              <w:rPr>
                <w:b/>
                <w:sz w:val="21"/>
              </w:rPr>
            </w:pPr>
            <w:r>
              <w:rPr>
                <w:b/>
                <w:sz w:val="21"/>
              </w:rPr>
              <w:t>减少基本保险金额</w:t>
            </w:r>
          </w:p>
        </w:tc>
        <w:tc>
          <w:tcPr>
            <w:tcW w:w="7453" w:type="dxa"/>
          </w:tcPr>
          <w:p>
            <w:pPr>
              <w:pStyle w:val="TableParagraph"/>
              <w:spacing w:line="273" w:lineRule="auto" w:before="68"/>
              <w:ind w:left="130" w:right="-15"/>
              <w:jc w:val="both"/>
              <w:rPr>
                <w:sz w:val="21"/>
              </w:rPr>
            </w:pPr>
            <w:r>
              <w:rPr>
                <w:spacing w:val="-6"/>
                <w:sz w:val="21"/>
              </w:rPr>
              <w:t>在本合同有效期间内，您可以书面申请减少基本保险金额，但减少后的基本保险金额不得低于申请减额时我们规定的最低承保金额。我们按减保后的基本保险金</w:t>
            </w:r>
            <w:r>
              <w:rPr>
                <w:spacing w:val="-4"/>
                <w:sz w:val="21"/>
              </w:rPr>
              <w:t>额承担保险责任。</w:t>
            </w:r>
          </w:p>
          <w:p>
            <w:pPr>
              <w:pStyle w:val="TableParagraph"/>
              <w:spacing w:line="273" w:lineRule="auto" w:before="163"/>
              <w:ind w:left="130" w:right="-15"/>
              <w:rPr>
                <w:sz w:val="21"/>
              </w:rPr>
            </w:pPr>
            <w:r>
              <w:rPr>
                <w:spacing w:val="-5"/>
                <w:sz w:val="21"/>
              </w:rPr>
              <w:t>我们按合同约定退还基本保险金额的减少部分的现金价值。同时，根据本合同条</w:t>
            </w:r>
            <w:r>
              <w:rPr>
                <w:spacing w:val="-9"/>
                <w:w w:val="100"/>
                <w:sz w:val="21"/>
              </w:rPr>
              <w:t>款应给付保险金的计算依据“累计所交保险费”，需按照本次变更后的基本保险</w:t>
            </w:r>
            <w:r>
              <w:rPr>
                <w:spacing w:val="-5"/>
                <w:sz w:val="21"/>
              </w:rPr>
              <w:t>金额所对应的保险费进行调整。</w:t>
            </w:r>
          </w:p>
        </w:tc>
      </w:tr>
      <w:tr>
        <w:trPr>
          <w:trHeight w:val="947" w:hRule="atLeast"/>
        </w:trPr>
        <w:tc>
          <w:tcPr>
            <w:tcW w:w="664" w:type="dxa"/>
            <w:tcBorders>
              <w:bottom w:val="single" w:sz="8" w:space="0" w:color="000000"/>
            </w:tcBorders>
          </w:tcPr>
          <w:p>
            <w:pPr>
              <w:pStyle w:val="TableParagraph"/>
              <w:spacing w:before="9"/>
              <w:rPr>
                <w:b/>
                <w:sz w:val="29"/>
              </w:rPr>
            </w:pPr>
          </w:p>
          <w:p>
            <w:pPr>
              <w:pStyle w:val="TableParagraph"/>
              <w:ind w:left="107"/>
              <w:rPr>
                <w:b/>
                <w:sz w:val="24"/>
              </w:rPr>
            </w:pPr>
            <w:r>
              <w:rPr>
                <w:b/>
                <w:sz w:val="24"/>
              </w:rPr>
              <w:t>6.</w:t>
            </w:r>
          </w:p>
        </w:tc>
        <w:tc>
          <w:tcPr>
            <w:tcW w:w="9088" w:type="dxa"/>
            <w:gridSpan w:val="2"/>
            <w:tcBorders>
              <w:bottom w:val="single" w:sz="8" w:space="0" w:color="000000"/>
            </w:tcBorders>
          </w:tcPr>
          <w:p>
            <w:pPr>
              <w:pStyle w:val="TableParagraph"/>
              <w:spacing w:before="9"/>
              <w:rPr>
                <w:b/>
                <w:sz w:val="29"/>
              </w:rPr>
            </w:pPr>
          </w:p>
          <w:p>
            <w:pPr>
              <w:pStyle w:val="TableParagraph"/>
              <w:ind w:left="238"/>
              <w:rPr>
                <w:b/>
                <w:sz w:val="24"/>
              </w:rPr>
            </w:pPr>
            <w:r>
              <w:rPr>
                <w:b/>
                <w:w w:val="95"/>
                <w:sz w:val="24"/>
              </w:rPr>
              <w:t>合同效力的中止及恢复</w:t>
            </w:r>
          </w:p>
        </w:tc>
      </w:tr>
      <w:tr>
        <w:trPr>
          <w:trHeight w:val="627" w:hRule="atLeast"/>
        </w:trPr>
        <w:tc>
          <w:tcPr>
            <w:tcW w:w="664" w:type="dxa"/>
            <w:tcBorders>
              <w:top w:val="single" w:sz="8" w:space="0" w:color="000000"/>
            </w:tcBorders>
          </w:tcPr>
          <w:p>
            <w:pPr>
              <w:pStyle w:val="TableParagraph"/>
              <w:spacing w:before="138"/>
              <w:ind w:left="107"/>
              <w:rPr>
                <w:b/>
                <w:sz w:val="21"/>
              </w:rPr>
            </w:pPr>
            <w:r>
              <w:rPr>
                <w:b/>
                <w:sz w:val="21"/>
              </w:rPr>
              <w:t>6.1</w:t>
            </w:r>
          </w:p>
        </w:tc>
        <w:tc>
          <w:tcPr>
            <w:tcW w:w="1635" w:type="dxa"/>
            <w:tcBorders>
              <w:top w:val="single" w:sz="8" w:space="0" w:color="000000"/>
            </w:tcBorders>
          </w:tcPr>
          <w:p>
            <w:pPr>
              <w:pStyle w:val="TableParagraph"/>
              <w:spacing w:before="138"/>
              <w:ind w:left="238"/>
              <w:rPr>
                <w:b/>
                <w:sz w:val="21"/>
              </w:rPr>
            </w:pPr>
            <w:r>
              <w:rPr>
                <w:b/>
                <w:sz w:val="21"/>
              </w:rPr>
              <w:t>效力中止</w:t>
            </w:r>
          </w:p>
        </w:tc>
        <w:tc>
          <w:tcPr>
            <w:tcW w:w="7453" w:type="dxa"/>
            <w:tcBorders>
              <w:top w:val="single" w:sz="8" w:space="0" w:color="000000"/>
            </w:tcBorders>
          </w:tcPr>
          <w:p>
            <w:pPr>
              <w:pStyle w:val="TableParagraph"/>
              <w:spacing w:before="138"/>
              <w:ind w:left="130"/>
              <w:rPr>
                <w:b/>
                <w:sz w:val="21"/>
              </w:rPr>
            </w:pPr>
            <w:r>
              <w:rPr>
                <w:sz w:val="21"/>
              </w:rPr>
              <w:t>在本合同效力中止期间，</w:t>
            </w:r>
            <w:r>
              <w:rPr>
                <w:b/>
                <w:sz w:val="21"/>
              </w:rPr>
              <w:t>我们不承担保险责任。</w:t>
            </w:r>
          </w:p>
        </w:tc>
      </w:tr>
      <w:tr>
        <w:trPr>
          <w:trHeight w:val="1745" w:hRule="atLeast"/>
        </w:trPr>
        <w:tc>
          <w:tcPr>
            <w:tcW w:w="664" w:type="dxa"/>
          </w:tcPr>
          <w:p>
            <w:pPr>
              <w:pStyle w:val="TableParagraph"/>
              <w:spacing w:before="150"/>
              <w:ind w:left="107"/>
              <w:rPr>
                <w:b/>
                <w:sz w:val="21"/>
              </w:rPr>
            </w:pPr>
            <w:r>
              <w:rPr>
                <w:b/>
                <w:sz w:val="21"/>
              </w:rPr>
              <w:t>6.2</w:t>
            </w:r>
          </w:p>
        </w:tc>
        <w:tc>
          <w:tcPr>
            <w:tcW w:w="1635" w:type="dxa"/>
          </w:tcPr>
          <w:p>
            <w:pPr>
              <w:pStyle w:val="TableParagraph"/>
              <w:spacing w:before="150"/>
              <w:ind w:left="238"/>
              <w:rPr>
                <w:b/>
                <w:sz w:val="21"/>
              </w:rPr>
            </w:pPr>
            <w:r>
              <w:rPr>
                <w:b/>
                <w:sz w:val="21"/>
              </w:rPr>
              <w:t>效力恢复</w:t>
            </w:r>
          </w:p>
        </w:tc>
        <w:tc>
          <w:tcPr>
            <w:tcW w:w="7453" w:type="dxa"/>
          </w:tcPr>
          <w:p>
            <w:pPr>
              <w:pStyle w:val="TableParagraph"/>
              <w:spacing w:line="273" w:lineRule="auto" w:before="150"/>
              <w:ind w:left="130" w:right="174"/>
              <w:rPr>
                <w:sz w:val="21"/>
              </w:rPr>
            </w:pPr>
            <w:r>
              <w:rPr>
                <w:spacing w:val="-7"/>
                <w:sz w:val="21"/>
              </w:rPr>
              <w:t>本合同效力中止后 </w:t>
            </w:r>
            <w:r>
              <w:rPr>
                <w:sz w:val="21"/>
              </w:rPr>
              <w:t>2</w:t>
            </w:r>
            <w:r>
              <w:rPr>
                <w:spacing w:val="-8"/>
                <w:sz w:val="21"/>
              </w:rPr>
              <w:t> 年内，您可以申请恢复合同效力。经我们与您协商并达成</w:t>
            </w:r>
            <w:r>
              <w:rPr>
                <w:spacing w:val="-3"/>
                <w:sz w:val="21"/>
              </w:rPr>
              <w:t>协议，在您补交保险费及利息之日起，合同效力恢复。</w:t>
            </w:r>
          </w:p>
          <w:p>
            <w:pPr>
              <w:pStyle w:val="TableParagraph"/>
              <w:spacing w:line="273" w:lineRule="auto" w:before="163"/>
              <w:ind w:left="130" w:right="174"/>
              <w:rPr>
                <w:sz w:val="21"/>
              </w:rPr>
            </w:pPr>
            <w:r>
              <w:rPr>
                <w:spacing w:val="-6"/>
                <w:sz w:val="21"/>
              </w:rPr>
              <w:t>自本合同效力中止之日起满 </w:t>
            </w:r>
            <w:r>
              <w:rPr>
                <w:sz w:val="21"/>
              </w:rPr>
              <w:t>2</w:t>
            </w:r>
            <w:r>
              <w:rPr>
                <w:spacing w:val="-7"/>
                <w:sz w:val="21"/>
              </w:rPr>
              <w:t> 年您和我们未达成协议的，我们有权解除合同。</w:t>
            </w:r>
            <w:r>
              <w:rPr>
                <w:spacing w:val="-3"/>
                <w:sz w:val="21"/>
              </w:rPr>
              <w:t>我们解除合同的，向您退还合同效力中止时保险单的现金价值。</w:t>
            </w:r>
          </w:p>
        </w:tc>
      </w:tr>
      <w:tr>
        <w:trPr>
          <w:trHeight w:val="713" w:hRule="atLeast"/>
        </w:trPr>
        <w:tc>
          <w:tcPr>
            <w:tcW w:w="664" w:type="dxa"/>
            <w:tcBorders>
              <w:bottom w:val="single" w:sz="8" w:space="0" w:color="000000"/>
            </w:tcBorders>
          </w:tcPr>
          <w:p>
            <w:pPr>
              <w:pStyle w:val="TableParagraph"/>
              <w:spacing w:before="154"/>
              <w:ind w:left="107"/>
              <w:rPr>
                <w:b/>
                <w:sz w:val="24"/>
              </w:rPr>
            </w:pPr>
            <w:r>
              <w:rPr>
                <w:b/>
                <w:sz w:val="24"/>
              </w:rPr>
              <w:t>7.</w:t>
            </w:r>
          </w:p>
        </w:tc>
        <w:tc>
          <w:tcPr>
            <w:tcW w:w="1635" w:type="dxa"/>
            <w:tcBorders>
              <w:bottom w:val="single" w:sz="8" w:space="0" w:color="000000"/>
            </w:tcBorders>
          </w:tcPr>
          <w:p>
            <w:pPr>
              <w:pStyle w:val="TableParagraph"/>
              <w:spacing w:before="154"/>
              <w:ind w:left="238"/>
              <w:rPr>
                <w:b/>
                <w:sz w:val="24"/>
              </w:rPr>
            </w:pPr>
            <w:r>
              <w:rPr>
                <w:b/>
                <w:sz w:val="24"/>
              </w:rPr>
              <w:t>合同解除</w:t>
            </w:r>
          </w:p>
        </w:tc>
        <w:tc>
          <w:tcPr>
            <w:tcW w:w="7453" w:type="dxa"/>
            <w:tcBorders>
              <w:bottom w:val="single" w:sz="8" w:space="0" w:color="000000"/>
            </w:tcBorders>
          </w:tcPr>
          <w:p>
            <w:pPr>
              <w:pStyle w:val="TableParagraph"/>
              <w:rPr>
                <w:rFonts w:ascii="Times New Roman"/>
                <w:sz w:val="20"/>
              </w:rPr>
            </w:pPr>
          </w:p>
        </w:tc>
      </w:tr>
      <w:tr>
        <w:trPr>
          <w:trHeight w:val="1191" w:hRule="atLeast"/>
        </w:trPr>
        <w:tc>
          <w:tcPr>
            <w:tcW w:w="664" w:type="dxa"/>
            <w:tcBorders>
              <w:top w:val="single" w:sz="8" w:space="0" w:color="000000"/>
            </w:tcBorders>
          </w:tcPr>
          <w:p>
            <w:pPr>
              <w:pStyle w:val="TableParagraph"/>
              <w:spacing w:before="136"/>
              <w:ind w:left="107"/>
              <w:rPr>
                <w:b/>
                <w:sz w:val="21"/>
              </w:rPr>
            </w:pPr>
            <w:r>
              <w:rPr>
                <w:b/>
                <w:sz w:val="21"/>
              </w:rPr>
              <w:t>7.1</w:t>
            </w:r>
          </w:p>
        </w:tc>
        <w:tc>
          <w:tcPr>
            <w:tcW w:w="1635" w:type="dxa"/>
            <w:tcBorders>
              <w:top w:val="single" w:sz="8" w:space="0" w:color="000000"/>
            </w:tcBorders>
          </w:tcPr>
          <w:p>
            <w:pPr>
              <w:pStyle w:val="TableParagraph"/>
              <w:spacing w:line="273" w:lineRule="auto" w:before="136"/>
              <w:ind w:left="238" w:right="126"/>
              <w:rPr>
                <w:b/>
                <w:sz w:val="21"/>
              </w:rPr>
            </w:pPr>
            <w:r>
              <w:rPr>
                <w:b/>
                <w:sz w:val="21"/>
              </w:rPr>
              <w:t>您解除合同的手续及风险</w:t>
            </w:r>
          </w:p>
        </w:tc>
        <w:tc>
          <w:tcPr>
            <w:tcW w:w="7453" w:type="dxa"/>
            <w:tcBorders>
              <w:top w:val="single" w:sz="8" w:space="0" w:color="000000"/>
            </w:tcBorders>
          </w:tcPr>
          <w:p>
            <w:pPr>
              <w:pStyle w:val="TableParagraph"/>
              <w:spacing w:line="273" w:lineRule="auto" w:before="136"/>
              <w:ind w:left="130" w:right="174"/>
              <w:rPr>
                <w:sz w:val="21"/>
              </w:rPr>
            </w:pPr>
            <w:r>
              <w:rPr>
                <w:sz w:val="21"/>
              </w:rPr>
              <w:t>如您在犹豫期后申请解除本合同，请填写解除合同申请书并向我们提供下列资料：</w:t>
            </w:r>
          </w:p>
          <w:p>
            <w:pPr>
              <w:pStyle w:val="TableParagraph"/>
              <w:spacing w:line="255" w:lineRule="exact" w:before="164"/>
              <w:ind w:left="130"/>
              <w:rPr>
                <w:sz w:val="21"/>
              </w:rPr>
            </w:pPr>
            <w:r>
              <w:rPr>
                <w:sz w:val="21"/>
              </w:rPr>
              <w:t>1.保险合同；</w:t>
            </w:r>
          </w:p>
        </w:tc>
      </w:tr>
    </w:tbl>
    <w:p>
      <w:pPr>
        <w:spacing w:after="0" w:line="255" w:lineRule="exact"/>
        <w:rPr>
          <w:sz w:val="21"/>
        </w:rPr>
        <w:sectPr>
          <w:pgSz w:w="11910" w:h="16840"/>
          <w:pgMar w:header="0" w:footer="924" w:top="1160" w:bottom="1120" w:left="920" w:right="102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28"/>
        <w:gridCol w:w="7460"/>
      </w:tblGrid>
      <w:tr>
        <w:trPr>
          <w:trHeight w:val="2466" w:hRule="atLeast"/>
        </w:trPr>
        <w:tc>
          <w:tcPr>
            <w:tcW w:w="664" w:type="dxa"/>
          </w:tcPr>
          <w:p>
            <w:pPr>
              <w:pStyle w:val="TableParagraph"/>
              <w:rPr>
                <w:rFonts w:ascii="Times New Roman"/>
                <w:sz w:val="20"/>
              </w:rPr>
            </w:pPr>
          </w:p>
        </w:tc>
        <w:tc>
          <w:tcPr>
            <w:tcW w:w="1628" w:type="dxa"/>
          </w:tcPr>
          <w:p>
            <w:pPr>
              <w:pStyle w:val="TableParagraph"/>
              <w:rPr>
                <w:rFonts w:ascii="Times New Roman"/>
                <w:sz w:val="20"/>
              </w:rPr>
            </w:pPr>
          </w:p>
        </w:tc>
        <w:tc>
          <w:tcPr>
            <w:tcW w:w="7460" w:type="dxa"/>
          </w:tcPr>
          <w:p>
            <w:pPr>
              <w:pStyle w:val="TableParagraph"/>
              <w:spacing w:line="211" w:lineRule="exact"/>
              <w:ind w:left="137"/>
              <w:rPr>
                <w:sz w:val="21"/>
              </w:rPr>
            </w:pPr>
            <w:r>
              <w:rPr>
                <w:sz w:val="21"/>
              </w:rPr>
              <w:t>2.您的有效身份证件。</w:t>
            </w:r>
          </w:p>
          <w:p>
            <w:pPr>
              <w:pStyle w:val="TableParagraph"/>
              <w:spacing w:before="10"/>
              <w:rPr>
                <w:b/>
                <w:sz w:val="14"/>
              </w:rPr>
            </w:pPr>
          </w:p>
          <w:p>
            <w:pPr>
              <w:pStyle w:val="TableParagraph"/>
              <w:spacing w:line="273" w:lineRule="auto"/>
              <w:ind w:left="137" w:right="174"/>
              <w:rPr>
                <w:sz w:val="21"/>
              </w:rPr>
            </w:pPr>
            <w:r>
              <w:rPr>
                <w:sz w:val="21"/>
              </w:rPr>
              <w:t>如您委托他人办理书面申请解除本合同，还须提供授权委托书及受托人身份证件。</w:t>
            </w:r>
          </w:p>
          <w:p>
            <w:pPr>
              <w:pStyle w:val="TableParagraph"/>
              <w:spacing w:line="273" w:lineRule="auto" w:before="163"/>
              <w:ind w:left="137" w:right="174"/>
              <w:rPr>
                <w:sz w:val="21"/>
              </w:rPr>
            </w:pPr>
            <w:r>
              <w:rPr>
                <w:sz w:val="21"/>
              </w:rPr>
              <w:t>自我们收到解除合同申请书时起，本合同终止。我们自收到解除合同申请书之日起 30 日内向您退还保险单的现金价值。</w:t>
            </w:r>
          </w:p>
          <w:p>
            <w:pPr>
              <w:pStyle w:val="TableParagraph"/>
              <w:spacing w:before="163"/>
              <w:ind w:left="137"/>
              <w:rPr>
                <w:sz w:val="21"/>
              </w:rPr>
            </w:pPr>
            <w:r>
              <w:rPr>
                <w:sz w:val="21"/>
              </w:rPr>
              <w:t>您犹豫期后解除合同会遭受一定损失。</w:t>
            </w:r>
          </w:p>
        </w:tc>
      </w:tr>
      <w:tr>
        <w:trPr>
          <w:trHeight w:val="701" w:hRule="atLeast"/>
        </w:trPr>
        <w:tc>
          <w:tcPr>
            <w:tcW w:w="664" w:type="dxa"/>
            <w:tcBorders>
              <w:bottom w:val="single" w:sz="8" w:space="0" w:color="000000"/>
            </w:tcBorders>
          </w:tcPr>
          <w:p>
            <w:pPr>
              <w:pStyle w:val="TableParagraph"/>
              <w:spacing w:before="152"/>
              <w:ind w:left="107"/>
              <w:rPr>
                <w:b/>
                <w:sz w:val="24"/>
              </w:rPr>
            </w:pPr>
            <w:r>
              <w:rPr>
                <w:b/>
                <w:sz w:val="24"/>
              </w:rPr>
              <w:t>8.</w:t>
            </w:r>
          </w:p>
        </w:tc>
        <w:tc>
          <w:tcPr>
            <w:tcW w:w="1628" w:type="dxa"/>
            <w:tcBorders>
              <w:bottom w:val="single" w:sz="8" w:space="0" w:color="000000"/>
            </w:tcBorders>
          </w:tcPr>
          <w:p>
            <w:pPr>
              <w:pStyle w:val="TableParagraph"/>
              <w:spacing w:before="152"/>
              <w:ind w:left="238"/>
              <w:rPr>
                <w:b/>
                <w:sz w:val="24"/>
              </w:rPr>
            </w:pPr>
            <w:r>
              <w:rPr>
                <w:b/>
                <w:sz w:val="24"/>
              </w:rPr>
              <w:t>如实告知</w:t>
            </w:r>
          </w:p>
        </w:tc>
        <w:tc>
          <w:tcPr>
            <w:tcW w:w="7460" w:type="dxa"/>
            <w:tcBorders>
              <w:bottom w:val="single" w:sz="8" w:space="0" w:color="000000"/>
            </w:tcBorders>
          </w:tcPr>
          <w:p>
            <w:pPr>
              <w:pStyle w:val="TableParagraph"/>
              <w:rPr>
                <w:rFonts w:ascii="Times New Roman"/>
                <w:sz w:val="20"/>
              </w:rPr>
            </w:pPr>
          </w:p>
        </w:tc>
      </w:tr>
      <w:tr>
        <w:trPr>
          <w:trHeight w:val="5619" w:hRule="atLeast"/>
        </w:trPr>
        <w:tc>
          <w:tcPr>
            <w:tcW w:w="664" w:type="dxa"/>
            <w:tcBorders>
              <w:top w:val="single" w:sz="8" w:space="0" w:color="000000"/>
            </w:tcBorders>
          </w:tcPr>
          <w:p>
            <w:pPr>
              <w:pStyle w:val="TableParagraph"/>
              <w:spacing w:before="138"/>
              <w:ind w:left="107"/>
              <w:rPr>
                <w:b/>
                <w:sz w:val="21"/>
              </w:rPr>
            </w:pPr>
            <w:r>
              <w:rPr>
                <w:b/>
                <w:sz w:val="21"/>
              </w:rPr>
              <w:t>8.1</w:t>
            </w:r>
          </w:p>
        </w:tc>
        <w:tc>
          <w:tcPr>
            <w:tcW w:w="1628" w:type="dxa"/>
            <w:tcBorders>
              <w:top w:val="single" w:sz="8" w:space="0" w:color="000000"/>
            </w:tcBorders>
          </w:tcPr>
          <w:p>
            <w:pPr>
              <w:pStyle w:val="TableParagraph"/>
              <w:spacing w:line="273" w:lineRule="auto" w:before="138"/>
              <w:ind w:left="238" w:right="119"/>
              <w:rPr>
                <w:b/>
                <w:sz w:val="21"/>
              </w:rPr>
            </w:pPr>
            <w:r>
              <w:rPr>
                <w:b/>
                <w:sz w:val="21"/>
              </w:rPr>
              <w:t>明确说明与如实告知</w:t>
            </w:r>
          </w:p>
        </w:tc>
        <w:tc>
          <w:tcPr>
            <w:tcW w:w="7460" w:type="dxa"/>
            <w:tcBorders>
              <w:top w:val="single" w:sz="8" w:space="0" w:color="000000"/>
            </w:tcBorders>
          </w:tcPr>
          <w:p>
            <w:pPr>
              <w:pStyle w:val="TableParagraph"/>
              <w:spacing w:before="138"/>
              <w:ind w:left="137"/>
              <w:rPr>
                <w:sz w:val="21"/>
              </w:rPr>
            </w:pPr>
            <w:r>
              <w:rPr>
                <w:sz w:val="21"/>
              </w:rPr>
              <w:t>订立本合同时，我们应向您说明本合同的内容。</w:t>
            </w:r>
          </w:p>
          <w:p>
            <w:pPr>
              <w:pStyle w:val="TableParagraph"/>
              <w:spacing w:before="10"/>
              <w:rPr>
                <w:b/>
                <w:sz w:val="14"/>
              </w:rPr>
            </w:pPr>
          </w:p>
          <w:p>
            <w:pPr>
              <w:pStyle w:val="TableParagraph"/>
              <w:spacing w:line="273" w:lineRule="auto"/>
              <w:ind w:left="137" w:right="-15"/>
              <w:rPr>
                <w:sz w:val="21"/>
              </w:rPr>
            </w:pPr>
            <w:r>
              <w:rPr>
                <w:b/>
                <w:spacing w:val="-3"/>
                <w:sz w:val="21"/>
              </w:rPr>
              <w:t>对保险条款中免除我们责任的条款，我们在订立合同时应当在投保单、保险单或者其他保险凭证上作出足以引起您注意的提示</w:t>
            </w:r>
            <w:r>
              <w:rPr>
                <w:spacing w:val="-3"/>
                <w:sz w:val="21"/>
              </w:rPr>
              <w:t>，并对该条款的内容以书面或</w:t>
            </w:r>
            <w:r>
              <w:rPr>
                <w:spacing w:val="-5"/>
                <w:sz w:val="21"/>
              </w:rPr>
              <w:t>者口头形式向您作出明确说明，未作提示或者明确说明的，该条款不产生效力。</w:t>
            </w:r>
          </w:p>
          <w:p>
            <w:pPr>
              <w:pStyle w:val="TableParagraph"/>
              <w:spacing w:before="163"/>
              <w:ind w:left="137"/>
              <w:rPr>
                <w:sz w:val="21"/>
              </w:rPr>
            </w:pPr>
            <w:r>
              <w:rPr>
                <w:sz w:val="21"/>
              </w:rPr>
              <w:t>我们就您和被保险人的有关情况提出询问，您应当如实告知。</w:t>
            </w:r>
          </w:p>
          <w:p>
            <w:pPr>
              <w:pStyle w:val="TableParagraph"/>
              <w:spacing w:before="9"/>
              <w:rPr>
                <w:b/>
                <w:sz w:val="14"/>
              </w:rPr>
            </w:pPr>
          </w:p>
          <w:p>
            <w:pPr>
              <w:pStyle w:val="TableParagraph"/>
              <w:spacing w:line="273" w:lineRule="auto"/>
              <w:ind w:left="137" w:right="153"/>
              <w:rPr>
                <w:b/>
                <w:sz w:val="21"/>
              </w:rPr>
            </w:pPr>
            <w:r>
              <w:rPr>
                <w:b/>
                <w:sz w:val="21"/>
              </w:rPr>
              <w:t>如果您故意或者因重大过失未履行前款规定的如实告知义务，足以影响我们决定是否同意承保或者提高保险费率的，我们有权解除本合同。</w:t>
            </w:r>
          </w:p>
          <w:p>
            <w:pPr>
              <w:pStyle w:val="TableParagraph"/>
              <w:spacing w:line="273" w:lineRule="auto" w:before="163"/>
              <w:ind w:left="137" w:right="153"/>
              <w:rPr>
                <w:b/>
                <w:sz w:val="21"/>
              </w:rPr>
            </w:pPr>
            <w:r>
              <w:rPr>
                <w:b/>
                <w:sz w:val="21"/>
              </w:rPr>
              <w:t>如果您故意不履行如实告知义务，对于本合同解除前发生的保险事故，我们不承担给付保险金的责任，并不退还保险费。</w:t>
            </w:r>
          </w:p>
          <w:p>
            <w:pPr>
              <w:pStyle w:val="TableParagraph"/>
              <w:spacing w:line="273" w:lineRule="auto" w:before="164"/>
              <w:ind w:left="137" w:right="153"/>
              <w:jc w:val="both"/>
              <w:rPr>
                <w:b/>
                <w:sz w:val="21"/>
              </w:rPr>
            </w:pPr>
            <w:r>
              <w:rPr>
                <w:b/>
                <w:sz w:val="21"/>
              </w:rPr>
              <w:t>如果您因重大过失未履行如实告知义务，对保险事故的发生有严重影响的，对于本合同解除前发生的保险事故，我们不承担给付保险金的责任，但应当退还保险费。</w:t>
            </w:r>
          </w:p>
          <w:p>
            <w:pPr>
              <w:pStyle w:val="TableParagraph"/>
              <w:spacing w:line="273" w:lineRule="auto" w:before="164"/>
              <w:ind w:left="137" w:right="174"/>
              <w:rPr>
                <w:sz w:val="21"/>
              </w:rPr>
            </w:pPr>
            <w:r>
              <w:rPr>
                <w:sz w:val="21"/>
              </w:rPr>
              <w:t>我们在合同订立时已经知道您未如实告知的情况的，我们不得解除合同；发生保险事故的，我们承担给付保险金的责任。</w:t>
            </w:r>
          </w:p>
        </w:tc>
      </w:tr>
      <w:tr>
        <w:trPr>
          <w:trHeight w:val="1307" w:hRule="atLeast"/>
        </w:trPr>
        <w:tc>
          <w:tcPr>
            <w:tcW w:w="664" w:type="dxa"/>
          </w:tcPr>
          <w:p>
            <w:pPr>
              <w:pStyle w:val="TableParagraph"/>
              <w:spacing w:before="150"/>
              <w:ind w:left="107"/>
              <w:rPr>
                <w:b/>
                <w:sz w:val="21"/>
              </w:rPr>
            </w:pPr>
            <w:r>
              <w:rPr>
                <w:b/>
                <w:sz w:val="21"/>
              </w:rPr>
              <w:t>8.2</w:t>
            </w:r>
          </w:p>
        </w:tc>
        <w:tc>
          <w:tcPr>
            <w:tcW w:w="1628" w:type="dxa"/>
          </w:tcPr>
          <w:p>
            <w:pPr>
              <w:pStyle w:val="TableParagraph"/>
              <w:spacing w:line="273" w:lineRule="auto" w:before="150"/>
              <w:ind w:left="238" w:right="119"/>
              <w:rPr>
                <w:b/>
                <w:sz w:val="21"/>
              </w:rPr>
            </w:pPr>
            <w:r>
              <w:rPr>
                <w:b/>
                <w:sz w:val="21"/>
              </w:rPr>
              <w:t>本公司合同解除权的限制</w:t>
            </w:r>
          </w:p>
        </w:tc>
        <w:tc>
          <w:tcPr>
            <w:tcW w:w="7460" w:type="dxa"/>
          </w:tcPr>
          <w:p>
            <w:pPr>
              <w:pStyle w:val="TableParagraph"/>
              <w:spacing w:before="150"/>
              <w:ind w:left="137"/>
              <w:rPr>
                <w:sz w:val="21"/>
              </w:rPr>
            </w:pPr>
            <w:r>
              <w:rPr>
                <w:spacing w:val="-7"/>
                <w:sz w:val="21"/>
              </w:rPr>
              <w:t>前条规定的合同解除权，自我们知道有解除事由之日起，超过 </w:t>
            </w:r>
            <w:r>
              <w:rPr>
                <w:sz w:val="21"/>
              </w:rPr>
              <w:t>30</w:t>
            </w:r>
            <w:r>
              <w:rPr>
                <w:spacing w:val="-8"/>
                <w:sz w:val="21"/>
              </w:rPr>
              <w:t> 日不行使而消</w:t>
            </w:r>
          </w:p>
          <w:p>
            <w:pPr>
              <w:pStyle w:val="TableParagraph"/>
              <w:spacing w:line="273" w:lineRule="auto" w:before="37"/>
              <w:ind w:left="137" w:right="174"/>
              <w:rPr>
                <w:sz w:val="21"/>
              </w:rPr>
            </w:pPr>
            <w:r>
              <w:rPr>
                <w:spacing w:val="-6"/>
                <w:sz w:val="21"/>
              </w:rPr>
              <w:t>灭。自本合同成立之日起超过 </w:t>
            </w:r>
            <w:r>
              <w:rPr>
                <w:sz w:val="21"/>
              </w:rPr>
              <w:t>2</w:t>
            </w:r>
            <w:r>
              <w:rPr>
                <w:spacing w:val="-8"/>
                <w:sz w:val="21"/>
              </w:rPr>
              <w:t> 年的，我们不得解除合同；发生保险事故的， </w:t>
            </w:r>
            <w:r>
              <w:rPr>
                <w:spacing w:val="-5"/>
                <w:sz w:val="21"/>
              </w:rPr>
              <w:t>我们承担给付保险金的责任。</w:t>
            </w:r>
          </w:p>
        </w:tc>
      </w:tr>
      <w:tr>
        <w:trPr>
          <w:trHeight w:val="743" w:hRule="atLeast"/>
        </w:trPr>
        <w:tc>
          <w:tcPr>
            <w:tcW w:w="664" w:type="dxa"/>
            <w:tcBorders>
              <w:bottom w:val="single" w:sz="8" w:space="0" w:color="000000"/>
            </w:tcBorders>
          </w:tcPr>
          <w:p>
            <w:pPr>
              <w:pStyle w:val="TableParagraph"/>
              <w:spacing w:before="185"/>
              <w:ind w:left="107"/>
              <w:rPr>
                <w:b/>
                <w:sz w:val="24"/>
              </w:rPr>
            </w:pPr>
            <w:r>
              <w:rPr>
                <w:b/>
                <w:sz w:val="24"/>
              </w:rPr>
              <w:t>9.</w:t>
            </w:r>
          </w:p>
        </w:tc>
        <w:tc>
          <w:tcPr>
            <w:tcW w:w="9088" w:type="dxa"/>
            <w:gridSpan w:val="2"/>
            <w:tcBorders>
              <w:bottom w:val="single" w:sz="8" w:space="0" w:color="000000"/>
            </w:tcBorders>
          </w:tcPr>
          <w:p>
            <w:pPr>
              <w:pStyle w:val="TableParagraph"/>
              <w:spacing w:before="185"/>
              <w:ind w:left="238"/>
              <w:rPr>
                <w:b/>
                <w:sz w:val="24"/>
              </w:rPr>
            </w:pPr>
            <w:r>
              <w:rPr>
                <w:b/>
                <w:w w:val="95"/>
                <w:sz w:val="24"/>
              </w:rPr>
              <w:t>其他需要关注的事项</w:t>
            </w:r>
          </w:p>
        </w:tc>
      </w:tr>
      <w:tr>
        <w:trPr>
          <w:trHeight w:val="936" w:hRule="atLeast"/>
        </w:trPr>
        <w:tc>
          <w:tcPr>
            <w:tcW w:w="664" w:type="dxa"/>
            <w:tcBorders>
              <w:top w:val="single" w:sz="8" w:space="0" w:color="000000"/>
            </w:tcBorders>
          </w:tcPr>
          <w:p>
            <w:pPr>
              <w:pStyle w:val="TableParagraph"/>
              <w:spacing w:before="136"/>
              <w:ind w:left="107"/>
              <w:rPr>
                <w:b/>
                <w:sz w:val="21"/>
              </w:rPr>
            </w:pPr>
            <w:r>
              <w:rPr>
                <w:b/>
                <w:sz w:val="21"/>
              </w:rPr>
              <w:t>9.1</w:t>
            </w:r>
          </w:p>
        </w:tc>
        <w:tc>
          <w:tcPr>
            <w:tcW w:w="1628" w:type="dxa"/>
            <w:tcBorders>
              <w:top w:val="single" w:sz="8" w:space="0" w:color="000000"/>
            </w:tcBorders>
          </w:tcPr>
          <w:p>
            <w:pPr>
              <w:pStyle w:val="TableParagraph"/>
              <w:spacing w:before="136"/>
              <w:ind w:left="238"/>
              <w:rPr>
                <w:b/>
                <w:sz w:val="21"/>
              </w:rPr>
            </w:pPr>
            <w:r>
              <w:rPr>
                <w:b/>
                <w:sz w:val="21"/>
              </w:rPr>
              <w:t>欠款的偿还</w:t>
            </w:r>
          </w:p>
        </w:tc>
        <w:tc>
          <w:tcPr>
            <w:tcW w:w="7460" w:type="dxa"/>
            <w:tcBorders>
              <w:top w:val="single" w:sz="8" w:space="0" w:color="000000"/>
            </w:tcBorders>
          </w:tcPr>
          <w:p>
            <w:pPr>
              <w:pStyle w:val="TableParagraph"/>
              <w:spacing w:line="273" w:lineRule="auto" w:before="136"/>
              <w:ind w:left="137" w:right="174"/>
              <w:rPr>
                <w:sz w:val="21"/>
              </w:rPr>
            </w:pPr>
            <w:r>
              <w:rPr>
                <w:sz w:val="21"/>
              </w:rPr>
              <w:t>我们在给付各项保险金、现金价值时，如果您有任何未清偿的保单贷款、欠交保险费、自动垫交的保险费，我们会在扣除上述欠款及利息后给付。</w:t>
            </w:r>
          </w:p>
        </w:tc>
      </w:tr>
      <w:tr>
        <w:trPr>
          <w:trHeight w:val="2141" w:hRule="atLeast"/>
        </w:trPr>
        <w:tc>
          <w:tcPr>
            <w:tcW w:w="664" w:type="dxa"/>
          </w:tcPr>
          <w:p>
            <w:pPr>
              <w:pStyle w:val="TableParagraph"/>
              <w:spacing w:before="150"/>
              <w:ind w:left="107"/>
              <w:rPr>
                <w:b/>
                <w:sz w:val="21"/>
              </w:rPr>
            </w:pPr>
            <w:r>
              <w:rPr>
                <w:b/>
                <w:sz w:val="21"/>
              </w:rPr>
              <w:t>9.2</w:t>
            </w:r>
          </w:p>
        </w:tc>
        <w:tc>
          <w:tcPr>
            <w:tcW w:w="1628" w:type="dxa"/>
          </w:tcPr>
          <w:p>
            <w:pPr>
              <w:pStyle w:val="TableParagraph"/>
              <w:spacing w:before="150"/>
              <w:ind w:left="238"/>
              <w:rPr>
                <w:b/>
                <w:sz w:val="21"/>
              </w:rPr>
            </w:pPr>
            <w:r>
              <w:rPr>
                <w:b/>
                <w:sz w:val="21"/>
              </w:rPr>
              <w:t>年龄错误</w:t>
            </w:r>
          </w:p>
        </w:tc>
        <w:tc>
          <w:tcPr>
            <w:tcW w:w="7460" w:type="dxa"/>
          </w:tcPr>
          <w:p>
            <w:pPr>
              <w:pStyle w:val="TableParagraph"/>
              <w:spacing w:line="273" w:lineRule="auto" w:before="150"/>
              <w:ind w:left="137" w:right="173" w:firstLine="2"/>
              <w:rPr>
                <w:sz w:val="21"/>
              </w:rPr>
            </w:pPr>
            <w:r>
              <w:rPr>
                <w:sz w:val="21"/>
              </w:rPr>
              <w:t>您在申请投保时，应将与有效身份证件相符的被保险人的出生日期在投保单上填明，如果发生错误按照下列方式办理：</w:t>
            </w:r>
          </w:p>
          <w:p>
            <w:pPr>
              <w:pStyle w:val="TableParagraph"/>
              <w:spacing w:line="273" w:lineRule="auto" w:before="164"/>
              <w:ind w:left="122" w:firstLine="14"/>
              <w:rPr>
                <w:sz w:val="21"/>
              </w:rPr>
            </w:pPr>
            <w:r>
              <w:rPr>
                <w:sz w:val="21"/>
              </w:rPr>
              <w:t>1. </w:t>
            </w:r>
            <w:r>
              <w:rPr>
                <w:b/>
                <w:spacing w:val="-6"/>
                <w:sz w:val="21"/>
              </w:rPr>
              <w:t>您申报的被保险人年龄不真实，并且其真实年龄不符合本合同约定投保年龄</w:t>
            </w:r>
            <w:r>
              <w:rPr>
                <w:b/>
                <w:spacing w:val="-8"/>
                <w:sz w:val="21"/>
              </w:rPr>
              <w:t>限制的，我们有权解除本合同。对于解除本合同的，本合同自解除之日起终止， 我们向您退还本合同终止时的现金价值。</w:t>
            </w:r>
            <w:r>
              <w:rPr>
                <w:spacing w:val="-3"/>
                <w:sz w:val="21"/>
              </w:rPr>
              <w:t>对于本合同解除前发生的保险事故，</w:t>
            </w:r>
          </w:p>
          <w:p>
            <w:pPr>
              <w:pStyle w:val="TableParagraph"/>
              <w:spacing w:line="255" w:lineRule="exact" w:before="8"/>
              <w:ind w:left="122"/>
              <w:rPr>
                <w:sz w:val="21"/>
              </w:rPr>
            </w:pPr>
            <w:r>
              <w:rPr>
                <w:sz w:val="21"/>
              </w:rPr>
              <w:t>我们不承担给付保险金的责任。我们行使合同解除权适用“本公司合同解除权</w:t>
            </w:r>
          </w:p>
        </w:tc>
      </w:tr>
    </w:tbl>
    <w:p>
      <w:pPr>
        <w:spacing w:after="0" w:line="255" w:lineRule="exact"/>
        <w:rPr>
          <w:sz w:val="21"/>
        </w:rPr>
        <w:sectPr>
          <w:pgSz w:w="11910" w:h="16840"/>
          <w:pgMar w:header="0" w:footer="924" w:top="1160" w:bottom="1120" w:left="920" w:right="10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36"/>
        <w:gridCol w:w="7654"/>
      </w:tblGrid>
      <w:tr>
        <w:trPr>
          <w:trHeight w:val="2212" w:hRule="atLeast"/>
        </w:trPr>
        <w:tc>
          <w:tcPr>
            <w:tcW w:w="756" w:type="dxa"/>
          </w:tcPr>
          <w:p>
            <w:pPr>
              <w:pStyle w:val="TableParagraph"/>
              <w:rPr>
                <w:rFonts w:ascii="Times New Roman"/>
                <w:sz w:val="20"/>
              </w:rPr>
            </w:pPr>
          </w:p>
        </w:tc>
        <w:tc>
          <w:tcPr>
            <w:tcW w:w="1636" w:type="dxa"/>
          </w:tcPr>
          <w:p>
            <w:pPr>
              <w:pStyle w:val="TableParagraph"/>
              <w:rPr>
                <w:rFonts w:ascii="Times New Roman"/>
                <w:sz w:val="20"/>
              </w:rPr>
            </w:pPr>
          </w:p>
        </w:tc>
        <w:tc>
          <w:tcPr>
            <w:tcW w:w="7654" w:type="dxa"/>
          </w:tcPr>
          <w:p>
            <w:pPr>
              <w:pStyle w:val="TableParagraph"/>
              <w:spacing w:line="211" w:lineRule="exact"/>
              <w:ind w:left="114"/>
              <w:rPr>
                <w:sz w:val="21"/>
              </w:rPr>
            </w:pPr>
            <w:r>
              <w:rPr>
                <w:sz w:val="21"/>
              </w:rPr>
              <w:t>的限制”的规定。</w:t>
            </w:r>
          </w:p>
          <w:p>
            <w:pPr>
              <w:pStyle w:val="TableParagraph"/>
              <w:spacing w:before="10"/>
              <w:rPr>
                <w:b/>
                <w:sz w:val="14"/>
              </w:rPr>
            </w:pPr>
          </w:p>
          <w:p>
            <w:pPr>
              <w:pStyle w:val="TableParagraph"/>
              <w:spacing w:line="273" w:lineRule="auto"/>
              <w:ind w:left="126" w:right="367" w:hanging="15"/>
              <w:jc w:val="both"/>
              <w:rPr>
                <w:sz w:val="21"/>
              </w:rPr>
            </w:pPr>
            <w:r>
              <w:rPr>
                <w:sz w:val="21"/>
              </w:rPr>
              <w:t>2.您申报的被保险人年龄不真实，致使您实付保险费少于应付保险费的，我们有权更正并要求您补交保险费。</w:t>
            </w:r>
            <w:r>
              <w:rPr>
                <w:b/>
                <w:sz w:val="21"/>
              </w:rPr>
              <w:t>若已经发生保险事故，在给付保险金时按实付保险费和应付保险费的比例给付</w:t>
            </w:r>
            <w:r>
              <w:rPr>
                <w:sz w:val="21"/>
              </w:rPr>
              <w:t>。</w:t>
            </w:r>
          </w:p>
          <w:p>
            <w:pPr>
              <w:pStyle w:val="TableParagraph"/>
              <w:spacing w:line="273" w:lineRule="auto" w:before="163"/>
              <w:ind w:left="129" w:right="376"/>
              <w:jc w:val="both"/>
              <w:rPr>
                <w:sz w:val="21"/>
              </w:rPr>
            </w:pPr>
            <w:r>
              <w:rPr>
                <w:sz w:val="21"/>
              </w:rPr>
              <w:t>3.您申报的被保险人年龄不真实，致使您实付保险费多于应付保险费的，我们会将多收的保险费退还给您。</w:t>
            </w:r>
          </w:p>
        </w:tc>
      </w:tr>
      <w:tr>
        <w:trPr>
          <w:trHeight w:val="1177" w:hRule="atLeast"/>
        </w:trPr>
        <w:tc>
          <w:tcPr>
            <w:tcW w:w="756" w:type="dxa"/>
          </w:tcPr>
          <w:p>
            <w:pPr>
              <w:pStyle w:val="TableParagraph"/>
              <w:spacing w:before="64"/>
              <w:ind w:left="200"/>
              <w:rPr>
                <w:b/>
                <w:sz w:val="21"/>
              </w:rPr>
            </w:pPr>
            <w:r>
              <w:rPr>
                <w:b/>
                <w:sz w:val="21"/>
              </w:rPr>
              <w:t>9.3</w:t>
            </w:r>
          </w:p>
        </w:tc>
        <w:tc>
          <w:tcPr>
            <w:tcW w:w="1636" w:type="dxa"/>
          </w:tcPr>
          <w:p>
            <w:pPr>
              <w:pStyle w:val="TableParagraph"/>
              <w:spacing w:before="64"/>
              <w:ind w:left="238"/>
              <w:rPr>
                <w:b/>
                <w:sz w:val="21"/>
              </w:rPr>
            </w:pPr>
            <w:r>
              <w:rPr>
                <w:b/>
                <w:sz w:val="21"/>
              </w:rPr>
              <w:t>合同内容变更</w:t>
            </w:r>
          </w:p>
        </w:tc>
        <w:tc>
          <w:tcPr>
            <w:tcW w:w="7654" w:type="dxa"/>
          </w:tcPr>
          <w:p>
            <w:pPr>
              <w:pStyle w:val="TableParagraph"/>
              <w:spacing w:line="273" w:lineRule="auto" w:before="64"/>
              <w:ind w:left="129" w:right="199"/>
              <w:rPr>
                <w:sz w:val="21"/>
              </w:rPr>
            </w:pPr>
            <w:r>
              <w:rPr>
                <w:spacing w:val="-3"/>
                <w:sz w:val="21"/>
              </w:rPr>
              <w:t>在本合同有效期间内，除本合同另有约定外，经您与我们协商一致，可以变更 本合同的有关内容。您提出变更申请后，应当由我们在原保险单或者其他保险 </w:t>
            </w:r>
            <w:r>
              <w:rPr>
                <w:spacing w:val="-5"/>
                <w:sz w:val="21"/>
              </w:rPr>
              <w:t>凭证上批注或者附贴批单，或由您与我们订立书面的变更协议后，该变更生效。</w:t>
            </w:r>
          </w:p>
        </w:tc>
      </w:tr>
      <w:tr>
        <w:trPr>
          <w:trHeight w:val="1574" w:hRule="atLeast"/>
        </w:trPr>
        <w:tc>
          <w:tcPr>
            <w:tcW w:w="756" w:type="dxa"/>
          </w:tcPr>
          <w:p>
            <w:pPr>
              <w:pStyle w:val="TableParagraph"/>
              <w:spacing w:before="150"/>
              <w:ind w:left="200"/>
              <w:rPr>
                <w:b/>
                <w:sz w:val="21"/>
              </w:rPr>
            </w:pPr>
            <w:r>
              <w:rPr>
                <w:b/>
                <w:sz w:val="21"/>
              </w:rPr>
              <w:t>9.4</w:t>
            </w:r>
          </w:p>
        </w:tc>
        <w:tc>
          <w:tcPr>
            <w:tcW w:w="1636" w:type="dxa"/>
          </w:tcPr>
          <w:p>
            <w:pPr>
              <w:pStyle w:val="TableParagraph"/>
              <w:spacing w:line="273" w:lineRule="auto" w:before="150"/>
              <w:ind w:left="238" w:right="127"/>
              <w:rPr>
                <w:b/>
                <w:sz w:val="21"/>
              </w:rPr>
            </w:pPr>
            <w:r>
              <w:rPr>
                <w:b/>
                <w:sz w:val="21"/>
              </w:rPr>
              <w:t>地址变更的通知</w:t>
            </w:r>
          </w:p>
        </w:tc>
        <w:tc>
          <w:tcPr>
            <w:tcW w:w="7654" w:type="dxa"/>
          </w:tcPr>
          <w:p>
            <w:pPr>
              <w:pStyle w:val="TableParagraph"/>
              <w:spacing w:line="273" w:lineRule="auto" w:before="150"/>
              <w:ind w:left="129" w:right="376"/>
              <w:jc w:val="both"/>
              <w:rPr>
                <w:sz w:val="21"/>
              </w:rPr>
            </w:pPr>
            <w:r>
              <w:rPr>
                <w:sz w:val="21"/>
              </w:rPr>
              <w:t>为了保障您的合法权益，您的住所、通讯地址或电话等联系方式变更时，请及时以书面形式或双方认可的其他形式通知我们。若您未以书面形式或双方认可的其他形式通知我们，我们按本合同载明的最后住所或通讯地址所发送的有关通知，均视为已送达给您。</w:t>
            </w:r>
          </w:p>
        </w:tc>
      </w:tr>
      <w:tr>
        <w:trPr>
          <w:trHeight w:val="2198" w:hRule="atLeast"/>
        </w:trPr>
        <w:tc>
          <w:tcPr>
            <w:tcW w:w="756" w:type="dxa"/>
          </w:tcPr>
          <w:p>
            <w:pPr>
              <w:pStyle w:val="TableParagraph"/>
              <w:spacing w:before="150"/>
              <w:ind w:left="200"/>
              <w:rPr>
                <w:b/>
                <w:sz w:val="21"/>
              </w:rPr>
            </w:pPr>
            <w:r>
              <w:rPr>
                <w:b/>
                <w:sz w:val="21"/>
              </w:rPr>
              <w:t>9.5</w:t>
            </w:r>
          </w:p>
        </w:tc>
        <w:tc>
          <w:tcPr>
            <w:tcW w:w="1636" w:type="dxa"/>
          </w:tcPr>
          <w:p>
            <w:pPr>
              <w:pStyle w:val="TableParagraph"/>
              <w:spacing w:before="150"/>
              <w:ind w:left="238"/>
              <w:rPr>
                <w:b/>
                <w:sz w:val="21"/>
              </w:rPr>
            </w:pPr>
            <w:r>
              <w:rPr>
                <w:b/>
                <w:sz w:val="21"/>
              </w:rPr>
              <w:t>争议处理</w:t>
            </w:r>
          </w:p>
        </w:tc>
        <w:tc>
          <w:tcPr>
            <w:tcW w:w="7654" w:type="dxa"/>
          </w:tcPr>
          <w:p>
            <w:pPr>
              <w:pStyle w:val="TableParagraph"/>
              <w:tabs>
                <w:tab w:pos="5172" w:val="left" w:leader="none"/>
              </w:tabs>
              <w:spacing w:before="150"/>
              <w:ind w:left="129"/>
              <w:rPr>
                <w:sz w:val="21"/>
              </w:rPr>
            </w:pPr>
            <w:r>
              <w:rPr>
                <w:sz w:val="21"/>
              </w:rPr>
              <w:t>本合</w:t>
            </w:r>
            <w:r>
              <w:rPr>
                <w:spacing w:val="-3"/>
                <w:sz w:val="21"/>
              </w:rPr>
              <w:t>同</w:t>
            </w:r>
            <w:r>
              <w:rPr>
                <w:sz w:val="21"/>
              </w:rPr>
              <w:t>履</w:t>
            </w:r>
            <w:r>
              <w:rPr>
                <w:spacing w:val="-3"/>
                <w:sz w:val="21"/>
              </w:rPr>
              <w:t>行</w:t>
            </w:r>
            <w:r>
              <w:rPr>
                <w:sz w:val="21"/>
              </w:rPr>
              <w:t>过</w:t>
            </w:r>
            <w:r>
              <w:rPr>
                <w:spacing w:val="-3"/>
                <w:sz w:val="21"/>
              </w:rPr>
              <w:t>程</w:t>
            </w:r>
            <w:r>
              <w:rPr>
                <w:sz w:val="21"/>
              </w:rPr>
              <w:t>中</w:t>
            </w:r>
            <w:r>
              <w:rPr>
                <w:spacing w:val="-3"/>
                <w:sz w:val="21"/>
              </w:rPr>
              <w:t>，</w:t>
            </w:r>
            <w:r>
              <w:rPr>
                <w:sz w:val="21"/>
              </w:rPr>
              <w:t>双</w:t>
            </w:r>
            <w:r>
              <w:rPr>
                <w:spacing w:val="-3"/>
                <w:sz w:val="21"/>
              </w:rPr>
              <w:t>方</w:t>
            </w:r>
            <w:r>
              <w:rPr>
                <w:sz w:val="21"/>
              </w:rPr>
              <w:t>发生</w:t>
            </w:r>
            <w:r>
              <w:rPr>
                <w:spacing w:val="-3"/>
                <w:sz w:val="21"/>
              </w:rPr>
              <w:t>争</w:t>
            </w:r>
            <w:r>
              <w:rPr>
                <w:sz w:val="21"/>
              </w:rPr>
              <w:t>议</w:t>
            </w:r>
            <w:r>
              <w:rPr>
                <w:spacing w:val="-3"/>
                <w:sz w:val="21"/>
              </w:rPr>
              <w:t>时</w:t>
            </w:r>
            <w:r>
              <w:rPr>
                <w:sz w:val="21"/>
              </w:rPr>
              <w:t>，</w:t>
            </w:r>
            <w:r>
              <w:rPr>
                <w:spacing w:val="-3"/>
                <w:sz w:val="21"/>
              </w:rPr>
              <w:t>选</w:t>
            </w:r>
            <w:r>
              <w:rPr>
                <w:sz w:val="21"/>
              </w:rPr>
              <w:t>择</w:t>
            </w:r>
            <w:r>
              <w:rPr>
                <w:spacing w:val="-3"/>
                <w:sz w:val="21"/>
              </w:rPr>
              <w:t>以</w:t>
            </w:r>
            <w:r>
              <w:rPr>
                <w:sz w:val="21"/>
              </w:rPr>
              <w:t>下</w:t>
            </w:r>
            <w:r>
              <w:rPr>
                <w:spacing w:val="-3"/>
                <w:sz w:val="21"/>
              </w:rPr>
              <w:t>第</w:t>
            </w:r>
            <w:r>
              <w:rPr>
                <w:spacing w:val="-3"/>
                <w:sz w:val="21"/>
                <w:u w:val="single"/>
              </w:rPr>
              <w:t> </w:t>
              <w:tab/>
            </w:r>
            <w:r>
              <w:rPr>
                <w:spacing w:val="-3"/>
                <w:sz w:val="21"/>
              </w:rPr>
              <w:t>种</w:t>
            </w:r>
            <w:r>
              <w:rPr>
                <w:sz w:val="21"/>
              </w:rPr>
              <w:t>争</w:t>
            </w:r>
            <w:r>
              <w:rPr>
                <w:spacing w:val="-3"/>
                <w:sz w:val="21"/>
              </w:rPr>
              <w:t>议</w:t>
            </w:r>
            <w:r>
              <w:rPr>
                <w:sz w:val="21"/>
              </w:rPr>
              <w:t>处</w:t>
            </w:r>
            <w:r>
              <w:rPr>
                <w:spacing w:val="-3"/>
                <w:sz w:val="21"/>
              </w:rPr>
              <w:t>理</w:t>
            </w:r>
            <w:r>
              <w:rPr>
                <w:sz w:val="21"/>
              </w:rPr>
              <w:t>方</w:t>
            </w:r>
            <w:r>
              <w:rPr>
                <w:spacing w:val="-3"/>
                <w:sz w:val="21"/>
              </w:rPr>
              <w:t>式</w:t>
            </w:r>
            <w:r>
              <w:rPr>
                <w:sz w:val="21"/>
              </w:rPr>
              <w:t>：</w:t>
            </w:r>
          </w:p>
          <w:p>
            <w:pPr>
              <w:pStyle w:val="TableParagraph"/>
              <w:spacing w:before="193"/>
              <w:ind w:left="129"/>
              <w:rPr>
                <w:sz w:val="21"/>
              </w:rPr>
            </w:pPr>
            <w:r>
              <w:rPr>
                <w:sz w:val="21"/>
              </w:rPr>
              <w:t>1.因履行本合同发生的争议，由当事人协商解决，协商不成的，提交</w:t>
            </w:r>
          </w:p>
          <w:p>
            <w:pPr>
              <w:pStyle w:val="TableParagraph"/>
              <w:tabs>
                <w:tab w:pos="1495" w:val="left" w:leader="none"/>
              </w:tabs>
              <w:spacing w:before="37"/>
              <w:ind w:left="129"/>
              <w:rPr>
                <w:sz w:val="21"/>
              </w:rPr>
            </w:pPr>
            <w:r>
              <w:rPr>
                <w:rFonts w:ascii="Times New Roman" w:eastAsia="Times New Roman"/>
                <w:w w:val="100"/>
                <w:sz w:val="21"/>
                <w:u w:val="single"/>
              </w:rPr>
              <w:t> </w:t>
            </w:r>
            <w:r>
              <w:rPr>
                <w:rFonts w:ascii="Times New Roman" w:eastAsia="Times New Roman"/>
                <w:sz w:val="21"/>
                <w:u w:val="single"/>
              </w:rPr>
              <w:tab/>
            </w:r>
            <w:r>
              <w:rPr>
                <w:spacing w:val="-3"/>
                <w:sz w:val="21"/>
              </w:rPr>
              <w:t>仲裁委员会仲裁；</w:t>
            </w:r>
          </w:p>
          <w:p>
            <w:pPr>
              <w:pStyle w:val="TableParagraph"/>
              <w:spacing w:line="273" w:lineRule="auto" w:before="193"/>
              <w:ind w:left="129" w:right="376"/>
              <w:rPr>
                <w:sz w:val="21"/>
              </w:rPr>
            </w:pPr>
            <w:r>
              <w:rPr>
                <w:sz w:val="21"/>
              </w:rPr>
              <w:t>2.因履行本合同发生的争议，由当事人协商解决，协商不成的，依法向人民法院起诉。</w:t>
            </w:r>
          </w:p>
        </w:tc>
      </w:tr>
      <w:tr>
        <w:trPr>
          <w:trHeight w:val="1048" w:hRule="atLeast"/>
        </w:trPr>
        <w:tc>
          <w:tcPr>
            <w:tcW w:w="756" w:type="dxa"/>
          </w:tcPr>
          <w:p>
            <w:pPr>
              <w:pStyle w:val="TableParagraph"/>
              <w:spacing w:before="150"/>
              <w:ind w:left="200"/>
              <w:rPr>
                <w:b/>
                <w:sz w:val="21"/>
              </w:rPr>
            </w:pPr>
            <w:r>
              <w:rPr>
                <w:b/>
                <w:sz w:val="21"/>
              </w:rPr>
              <w:t>9.6</w:t>
            </w:r>
          </w:p>
        </w:tc>
        <w:tc>
          <w:tcPr>
            <w:tcW w:w="1636" w:type="dxa"/>
          </w:tcPr>
          <w:p>
            <w:pPr>
              <w:pStyle w:val="TableParagraph"/>
              <w:spacing w:line="273" w:lineRule="auto" w:before="150"/>
              <w:ind w:left="238" w:right="127"/>
              <w:rPr>
                <w:b/>
                <w:sz w:val="21"/>
              </w:rPr>
            </w:pPr>
            <w:r>
              <w:rPr>
                <w:b/>
                <w:sz w:val="21"/>
              </w:rPr>
              <w:t>身体检查与司法鉴定</w:t>
            </w:r>
          </w:p>
        </w:tc>
        <w:tc>
          <w:tcPr>
            <w:tcW w:w="7654" w:type="dxa"/>
          </w:tcPr>
          <w:p>
            <w:pPr>
              <w:pStyle w:val="TableParagraph"/>
              <w:spacing w:line="310" w:lineRule="atLeast" w:before="115"/>
              <w:ind w:left="129" w:right="376"/>
              <w:rPr>
                <w:sz w:val="21"/>
              </w:rPr>
            </w:pPr>
            <w:r>
              <w:rPr>
                <w:spacing w:val="-3"/>
                <w:sz w:val="21"/>
              </w:rPr>
              <w:t>保险金受益人申请本合同保险金时，我们有权要求被保险人做身体检查或提供有关的检验报告,有权申请司法机构或者国家认可的鉴定机构对保险事故进行鉴定。</w:t>
            </w:r>
          </w:p>
        </w:tc>
      </w:tr>
    </w:tbl>
    <w:p>
      <w:pPr>
        <w:pStyle w:val="BodyText"/>
        <w:rPr>
          <w:b/>
          <w:sz w:val="20"/>
        </w:rPr>
      </w:pPr>
    </w:p>
    <w:p>
      <w:pPr>
        <w:pStyle w:val="BodyText"/>
        <w:spacing w:before="9"/>
        <w:rPr>
          <w:b/>
          <w:sz w:val="11"/>
        </w:rPr>
      </w:pPr>
    </w:p>
    <w:tbl>
      <w:tblPr>
        <w:tblW w:w="0" w:type="auto"/>
        <w:jc w:val="left"/>
        <w:tblInd w:w="2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1597"/>
        <w:gridCol w:w="7543"/>
      </w:tblGrid>
      <w:tr>
        <w:trPr>
          <w:trHeight w:val="419" w:hRule="atLeast"/>
        </w:trPr>
        <w:tc>
          <w:tcPr>
            <w:tcW w:w="720" w:type="dxa"/>
            <w:tcBorders>
              <w:bottom w:val="single" w:sz="4" w:space="0" w:color="000000"/>
            </w:tcBorders>
          </w:tcPr>
          <w:p>
            <w:pPr>
              <w:pStyle w:val="TableParagraph"/>
              <w:spacing w:line="240" w:lineRule="exact"/>
              <w:ind w:left="108"/>
              <w:rPr>
                <w:b/>
                <w:sz w:val="24"/>
              </w:rPr>
            </w:pPr>
            <w:r>
              <w:rPr>
                <w:b/>
                <w:sz w:val="24"/>
              </w:rPr>
              <w:t>10.</w:t>
            </w:r>
          </w:p>
        </w:tc>
        <w:tc>
          <w:tcPr>
            <w:tcW w:w="1597" w:type="dxa"/>
            <w:tcBorders>
              <w:bottom w:val="single" w:sz="4" w:space="0" w:color="000000"/>
            </w:tcBorders>
          </w:tcPr>
          <w:p>
            <w:pPr>
              <w:pStyle w:val="TableParagraph"/>
              <w:spacing w:line="240" w:lineRule="exact"/>
              <w:ind w:left="190"/>
              <w:rPr>
                <w:b/>
                <w:sz w:val="24"/>
              </w:rPr>
            </w:pPr>
            <w:r>
              <w:rPr>
                <w:b/>
                <w:sz w:val="24"/>
              </w:rPr>
              <w:t>释义</w:t>
            </w:r>
          </w:p>
        </w:tc>
        <w:tc>
          <w:tcPr>
            <w:tcW w:w="7543" w:type="dxa"/>
            <w:tcBorders>
              <w:bottom w:val="single" w:sz="4" w:space="0" w:color="000000"/>
            </w:tcBorders>
          </w:tcPr>
          <w:p>
            <w:pPr>
              <w:pStyle w:val="TableParagraph"/>
              <w:rPr>
                <w:rFonts w:ascii="Times New Roman"/>
                <w:sz w:val="20"/>
              </w:rPr>
            </w:pPr>
          </w:p>
        </w:tc>
      </w:tr>
      <w:tr>
        <w:trPr>
          <w:trHeight w:val="866" w:hRule="atLeast"/>
        </w:trPr>
        <w:tc>
          <w:tcPr>
            <w:tcW w:w="720" w:type="dxa"/>
            <w:tcBorders>
              <w:top w:val="single" w:sz="4" w:space="0" w:color="000000"/>
            </w:tcBorders>
          </w:tcPr>
          <w:p>
            <w:pPr>
              <w:pStyle w:val="TableParagraph"/>
              <w:spacing w:before="114"/>
              <w:ind w:left="108"/>
              <w:rPr>
                <w:b/>
                <w:sz w:val="21"/>
              </w:rPr>
            </w:pPr>
            <w:r>
              <w:rPr>
                <w:b/>
                <w:sz w:val="21"/>
              </w:rPr>
              <w:t>10.1</w:t>
            </w:r>
          </w:p>
        </w:tc>
        <w:tc>
          <w:tcPr>
            <w:tcW w:w="1597" w:type="dxa"/>
            <w:tcBorders>
              <w:top w:val="single" w:sz="4" w:space="0" w:color="000000"/>
            </w:tcBorders>
          </w:tcPr>
          <w:p>
            <w:pPr>
              <w:pStyle w:val="TableParagraph"/>
              <w:spacing w:before="114"/>
              <w:ind w:left="190"/>
              <w:rPr>
                <w:b/>
                <w:sz w:val="21"/>
              </w:rPr>
            </w:pPr>
            <w:r>
              <w:rPr>
                <w:b/>
                <w:sz w:val="21"/>
              </w:rPr>
              <w:t>周岁</w:t>
            </w:r>
          </w:p>
        </w:tc>
        <w:tc>
          <w:tcPr>
            <w:tcW w:w="7543" w:type="dxa"/>
            <w:tcBorders>
              <w:top w:val="single" w:sz="4" w:space="0" w:color="000000"/>
            </w:tcBorders>
          </w:tcPr>
          <w:p>
            <w:pPr>
              <w:pStyle w:val="TableParagraph"/>
              <w:spacing w:line="273" w:lineRule="auto" w:before="114"/>
              <w:ind w:left="141" w:right="101"/>
              <w:rPr>
                <w:sz w:val="21"/>
              </w:rPr>
            </w:pPr>
            <w:r>
              <w:rPr>
                <w:spacing w:val="-5"/>
                <w:sz w:val="21"/>
              </w:rPr>
              <w:t>以户籍证明或其他法定的身份证件中记载的出生日期为标准计算年龄</w:t>
            </w:r>
            <w:r>
              <w:rPr>
                <w:spacing w:val="-3"/>
                <w:sz w:val="21"/>
              </w:rPr>
              <w:t>（</w:t>
            </w:r>
            <w:r>
              <w:rPr>
                <w:spacing w:val="-13"/>
                <w:sz w:val="21"/>
              </w:rPr>
              <w:t>不足 </w:t>
            </w:r>
            <w:r>
              <w:rPr>
                <w:sz w:val="21"/>
              </w:rPr>
              <w:t>1</w:t>
            </w:r>
            <w:r>
              <w:rPr>
                <w:spacing w:val="-18"/>
                <w:sz w:val="21"/>
              </w:rPr>
              <w:t> 年不计</w:t>
            </w:r>
            <w:r>
              <w:rPr>
                <w:spacing w:val="-108"/>
                <w:sz w:val="21"/>
              </w:rPr>
              <w:t>）</w:t>
            </w:r>
            <w:r>
              <w:rPr>
                <w:sz w:val="21"/>
              </w:rPr>
              <w:t>。</w:t>
            </w:r>
          </w:p>
        </w:tc>
      </w:tr>
      <w:tr>
        <w:trPr>
          <w:trHeight w:val="825" w:hRule="atLeast"/>
        </w:trPr>
        <w:tc>
          <w:tcPr>
            <w:tcW w:w="720" w:type="dxa"/>
          </w:tcPr>
          <w:p>
            <w:pPr>
              <w:pStyle w:val="TableParagraph"/>
              <w:spacing w:before="101"/>
              <w:ind w:left="108"/>
              <w:rPr>
                <w:b/>
                <w:sz w:val="21"/>
              </w:rPr>
            </w:pPr>
            <w:r>
              <w:rPr>
                <w:b/>
                <w:sz w:val="21"/>
              </w:rPr>
              <w:t>10.2</w:t>
            </w:r>
          </w:p>
        </w:tc>
        <w:tc>
          <w:tcPr>
            <w:tcW w:w="1597" w:type="dxa"/>
          </w:tcPr>
          <w:p>
            <w:pPr>
              <w:pStyle w:val="TableParagraph"/>
              <w:spacing w:before="101"/>
              <w:ind w:left="190"/>
              <w:rPr>
                <w:b/>
                <w:sz w:val="21"/>
              </w:rPr>
            </w:pPr>
            <w:r>
              <w:rPr>
                <w:b/>
                <w:sz w:val="21"/>
              </w:rPr>
              <w:t>有效身份证件</w:t>
            </w:r>
          </w:p>
        </w:tc>
        <w:tc>
          <w:tcPr>
            <w:tcW w:w="7543" w:type="dxa"/>
          </w:tcPr>
          <w:p>
            <w:pPr>
              <w:pStyle w:val="TableParagraph"/>
              <w:spacing w:line="273" w:lineRule="auto" w:before="101"/>
              <w:ind w:left="141" w:right="100"/>
              <w:rPr>
                <w:sz w:val="21"/>
              </w:rPr>
            </w:pPr>
            <w:r>
              <w:rPr>
                <w:spacing w:val="-6"/>
                <w:sz w:val="21"/>
              </w:rPr>
              <w:t>指由政府主管部门规定的证明其身份的证件，如：居民身份证、按规定可使用的</w:t>
            </w:r>
            <w:r>
              <w:rPr>
                <w:spacing w:val="-4"/>
                <w:sz w:val="21"/>
              </w:rPr>
              <w:t>有效护照、军官证、警官证、士兵证、户口簿等证件。</w:t>
            </w:r>
          </w:p>
        </w:tc>
      </w:tr>
      <w:tr>
        <w:trPr>
          <w:trHeight w:val="1909" w:hRule="atLeast"/>
        </w:trPr>
        <w:tc>
          <w:tcPr>
            <w:tcW w:w="720" w:type="dxa"/>
          </w:tcPr>
          <w:p>
            <w:pPr>
              <w:pStyle w:val="TableParagraph"/>
              <w:spacing w:before="74"/>
              <w:ind w:left="108"/>
              <w:rPr>
                <w:b/>
                <w:sz w:val="21"/>
              </w:rPr>
            </w:pPr>
            <w:r>
              <w:rPr>
                <w:b/>
                <w:sz w:val="21"/>
              </w:rPr>
              <w:t>10.3</w:t>
            </w:r>
          </w:p>
        </w:tc>
        <w:tc>
          <w:tcPr>
            <w:tcW w:w="1597" w:type="dxa"/>
          </w:tcPr>
          <w:p>
            <w:pPr>
              <w:pStyle w:val="TableParagraph"/>
              <w:spacing w:before="74"/>
              <w:ind w:left="190"/>
              <w:rPr>
                <w:b/>
                <w:sz w:val="21"/>
              </w:rPr>
            </w:pPr>
            <w:r>
              <w:rPr>
                <w:b/>
                <w:sz w:val="21"/>
              </w:rPr>
              <w:t>医院</w:t>
            </w:r>
          </w:p>
        </w:tc>
        <w:tc>
          <w:tcPr>
            <w:tcW w:w="7543" w:type="dxa"/>
          </w:tcPr>
          <w:p>
            <w:pPr>
              <w:pStyle w:val="TableParagraph"/>
              <w:spacing w:line="310" w:lineRule="atLeast" w:before="39"/>
              <w:ind w:left="141" w:right="42"/>
              <w:rPr>
                <w:sz w:val="21"/>
              </w:rPr>
            </w:pPr>
            <w:r>
              <w:rPr>
                <w:spacing w:val="-3"/>
                <w:sz w:val="21"/>
              </w:rPr>
              <w:t>本合同所称医院指我们指定医院或经中华人民共和国二级或以上之社保定点医 </w:t>
            </w:r>
            <w:r>
              <w:rPr>
                <w:spacing w:val="-10"/>
                <w:sz w:val="21"/>
              </w:rPr>
              <w:t>院，但不包括精神病院及专供康复、护理、疗养、戒酒、戒毒、养老等非以直接诊治病人为目的之医疗机构。该医院必须具有符合国家有关医院管理规则设置标</w:t>
            </w:r>
            <w:r>
              <w:rPr>
                <w:spacing w:val="-9"/>
                <w:sz w:val="21"/>
              </w:rPr>
              <w:t>准的医疗设备，且全天 </w:t>
            </w:r>
            <w:r>
              <w:rPr>
                <w:sz w:val="21"/>
              </w:rPr>
              <w:t>24</w:t>
            </w:r>
            <w:r>
              <w:rPr>
                <w:spacing w:val="-8"/>
                <w:sz w:val="21"/>
              </w:rPr>
              <w:t> 小时有合格的医生和护士驻院提供医疗和护理服务。</w:t>
            </w:r>
            <w:r>
              <w:rPr>
                <w:spacing w:val="-5"/>
                <w:sz w:val="21"/>
              </w:rPr>
              <w:t>当被保险人因遭受意外伤害事故须急救时不受此限，但经急救处理伤情稳定后， </w:t>
            </w:r>
            <w:r>
              <w:rPr>
                <w:spacing w:val="-3"/>
                <w:sz w:val="21"/>
              </w:rPr>
              <w:t>必须转入本附加合同所指医院治疗</w:t>
            </w:r>
            <w:r>
              <w:rPr>
                <w:sz w:val="21"/>
              </w:rPr>
              <w:t>（</w:t>
            </w:r>
            <w:r>
              <w:rPr>
                <w:spacing w:val="-3"/>
                <w:sz w:val="21"/>
              </w:rPr>
              <w:t>急救情况不适用于私人诊所</w:t>
            </w:r>
            <w:r>
              <w:rPr>
                <w:spacing w:val="-108"/>
                <w:sz w:val="21"/>
              </w:rPr>
              <w:t>）。</w:t>
            </w:r>
          </w:p>
        </w:tc>
      </w:tr>
    </w:tbl>
    <w:p>
      <w:pPr>
        <w:spacing w:after="0" w:line="310" w:lineRule="atLeast"/>
        <w:rPr>
          <w:sz w:val="21"/>
        </w:rPr>
        <w:sectPr>
          <w:pgSz w:w="11910" w:h="16840"/>
          <w:pgMar w:header="0" w:footer="924" w:top="1160" w:bottom="1120" w:left="820" w:right="82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2"/>
        <w:gridCol w:w="1385"/>
        <w:gridCol w:w="7953"/>
      </w:tblGrid>
      <w:tr>
        <w:trPr>
          <w:trHeight w:val="2285" w:hRule="atLeast"/>
        </w:trPr>
        <w:tc>
          <w:tcPr>
            <w:tcW w:w="812" w:type="dxa"/>
          </w:tcPr>
          <w:p>
            <w:pPr>
              <w:pStyle w:val="TableParagraph"/>
              <w:spacing w:line="211" w:lineRule="exact"/>
              <w:ind w:left="200"/>
              <w:rPr>
                <w:b/>
                <w:sz w:val="21"/>
              </w:rPr>
            </w:pPr>
            <w:r>
              <w:rPr>
                <w:b/>
                <w:sz w:val="21"/>
              </w:rPr>
              <w:t>10.4</w:t>
            </w:r>
          </w:p>
        </w:tc>
        <w:tc>
          <w:tcPr>
            <w:tcW w:w="1385" w:type="dxa"/>
          </w:tcPr>
          <w:p>
            <w:pPr>
              <w:pStyle w:val="TableParagraph"/>
              <w:spacing w:line="211" w:lineRule="exact"/>
              <w:ind w:left="190"/>
              <w:rPr>
                <w:b/>
                <w:sz w:val="21"/>
              </w:rPr>
            </w:pPr>
            <w:r>
              <w:rPr>
                <w:b/>
                <w:sz w:val="21"/>
              </w:rPr>
              <w:t>专科医生</w:t>
            </w:r>
          </w:p>
        </w:tc>
        <w:tc>
          <w:tcPr>
            <w:tcW w:w="7953" w:type="dxa"/>
          </w:tcPr>
          <w:p>
            <w:pPr>
              <w:pStyle w:val="TableParagraph"/>
              <w:spacing w:line="211" w:lineRule="exact"/>
              <w:ind w:left="353"/>
              <w:rPr>
                <w:sz w:val="21"/>
              </w:rPr>
            </w:pPr>
            <w:r>
              <w:rPr>
                <w:sz w:val="21"/>
              </w:rPr>
              <w:t>专科医生应当同时满足以下四项资格条件：</w:t>
            </w:r>
          </w:p>
          <w:p>
            <w:pPr>
              <w:pStyle w:val="TableParagraph"/>
              <w:spacing w:before="10"/>
              <w:rPr>
                <w:b/>
                <w:sz w:val="14"/>
              </w:rPr>
            </w:pPr>
          </w:p>
          <w:p>
            <w:pPr>
              <w:pStyle w:val="TableParagraph"/>
              <w:ind w:left="353"/>
              <w:rPr>
                <w:sz w:val="21"/>
              </w:rPr>
            </w:pPr>
            <w:r>
              <w:rPr>
                <w:sz w:val="21"/>
              </w:rPr>
              <w:t>1.具有有效的中华人民共和国《医师资格证书》；</w:t>
            </w:r>
          </w:p>
          <w:p>
            <w:pPr>
              <w:pStyle w:val="TableParagraph"/>
              <w:spacing w:before="9"/>
              <w:rPr>
                <w:b/>
                <w:sz w:val="14"/>
              </w:rPr>
            </w:pPr>
          </w:p>
          <w:p>
            <w:pPr>
              <w:pStyle w:val="TableParagraph"/>
              <w:ind w:left="353"/>
              <w:rPr>
                <w:sz w:val="21"/>
              </w:rPr>
            </w:pPr>
            <w:r>
              <w:rPr>
                <w:sz w:val="21"/>
              </w:rPr>
              <w:t>2.具有有效的中华人民共和国《医师执业证书》，并按期到相关部门登记注册；</w:t>
            </w:r>
          </w:p>
          <w:p>
            <w:pPr>
              <w:pStyle w:val="TableParagraph"/>
              <w:spacing w:before="9"/>
              <w:rPr>
                <w:b/>
                <w:sz w:val="14"/>
              </w:rPr>
            </w:pPr>
          </w:p>
          <w:p>
            <w:pPr>
              <w:pStyle w:val="TableParagraph"/>
              <w:ind w:left="353"/>
              <w:rPr>
                <w:sz w:val="21"/>
              </w:rPr>
            </w:pPr>
            <w:r>
              <w:rPr>
                <w:sz w:val="21"/>
              </w:rPr>
              <w:t>3.具有有效的中华人民共和国主治医师或主治医师以上职称的《医师职称证书》；</w:t>
            </w:r>
          </w:p>
          <w:p>
            <w:pPr>
              <w:pStyle w:val="TableParagraph"/>
              <w:spacing w:before="9"/>
              <w:rPr>
                <w:b/>
                <w:sz w:val="14"/>
              </w:rPr>
            </w:pPr>
          </w:p>
          <w:p>
            <w:pPr>
              <w:pStyle w:val="TableParagraph"/>
              <w:ind w:left="353"/>
              <w:rPr>
                <w:sz w:val="21"/>
              </w:rPr>
            </w:pPr>
            <w:r>
              <w:rPr>
                <w:sz w:val="21"/>
              </w:rPr>
              <w:t>4.在二级或二级以上医院的相应科室从事临床工作 3 年以上。</w:t>
            </w:r>
          </w:p>
        </w:tc>
      </w:tr>
      <w:tr>
        <w:trPr>
          <w:trHeight w:val="11802" w:hRule="atLeast"/>
        </w:trPr>
        <w:tc>
          <w:tcPr>
            <w:tcW w:w="812" w:type="dxa"/>
          </w:tcPr>
          <w:p>
            <w:pPr>
              <w:pStyle w:val="TableParagraph"/>
              <w:spacing w:before="138"/>
              <w:ind w:left="200"/>
              <w:rPr>
                <w:b/>
                <w:sz w:val="21"/>
              </w:rPr>
            </w:pPr>
            <w:r>
              <w:rPr>
                <w:b/>
                <w:sz w:val="21"/>
              </w:rPr>
              <w:t>10.5</w:t>
            </w:r>
          </w:p>
        </w:tc>
        <w:tc>
          <w:tcPr>
            <w:tcW w:w="1385" w:type="dxa"/>
          </w:tcPr>
          <w:p>
            <w:pPr>
              <w:pStyle w:val="TableParagraph"/>
              <w:spacing w:before="138"/>
              <w:ind w:left="190"/>
              <w:rPr>
                <w:b/>
                <w:sz w:val="21"/>
              </w:rPr>
            </w:pPr>
            <w:r>
              <w:rPr>
                <w:b/>
                <w:sz w:val="21"/>
              </w:rPr>
              <w:t>重大疾病</w:t>
            </w:r>
          </w:p>
        </w:tc>
        <w:tc>
          <w:tcPr>
            <w:tcW w:w="7953" w:type="dxa"/>
          </w:tcPr>
          <w:p>
            <w:pPr>
              <w:pStyle w:val="TableParagraph"/>
              <w:spacing w:line="273" w:lineRule="auto" w:before="138"/>
              <w:ind w:left="353" w:right="297"/>
              <w:jc w:val="both"/>
              <w:rPr>
                <w:sz w:val="21"/>
              </w:rPr>
            </w:pPr>
            <w:r>
              <w:rPr>
                <w:spacing w:val="-7"/>
                <w:sz w:val="21"/>
              </w:rPr>
              <w:t>本合同所列的 </w:t>
            </w:r>
            <w:r>
              <w:rPr>
                <w:sz w:val="21"/>
              </w:rPr>
              <w:t>40</w:t>
            </w:r>
            <w:r>
              <w:rPr>
                <w:spacing w:val="-11"/>
                <w:sz w:val="21"/>
              </w:rPr>
              <w:t> 种重大疾病，其中本款 </w:t>
            </w:r>
            <w:r>
              <w:rPr>
                <w:sz w:val="21"/>
              </w:rPr>
              <w:t>1</w:t>
            </w:r>
            <w:r>
              <w:rPr>
                <w:spacing w:val="-12"/>
                <w:sz w:val="21"/>
              </w:rPr>
              <w:t>)至 </w:t>
            </w:r>
            <w:r>
              <w:rPr>
                <w:sz w:val="21"/>
              </w:rPr>
              <w:t>25)</w:t>
            </w:r>
            <w:r>
              <w:rPr>
                <w:spacing w:val="-3"/>
                <w:sz w:val="21"/>
              </w:rPr>
              <w:t>项的重大疾病定义采用中国保</w:t>
            </w:r>
            <w:r>
              <w:rPr>
                <w:sz w:val="21"/>
              </w:rPr>
              <w:t>险行业协会颁布的 《重大疾病保险的疾病定义使用规范》中的疾病定义。“疾</w:t>
            </w:r>
            <w:r>
              <w:rPr>
                <w:spacing w:val="-9"/>
                <w:sz w:val="21"/>
              </w:rPr>
              <w:t>病”指约定的疾病、疾病状态或手术。您投保本合同即表明认可并遵从本合同中</w:t>
            </w:r>
            <w:r>
              <w:rPr>
                <w:spacing w:val="-3"/>
                <w:sz w:val="21"/>
              </w:rPr>
              <w:t>对重大疾病的定义。</w:t>
            </w:r>
          </w:p>
          <w:p>
            <w:pPr>
              <w:pStyle w:val="TableParagraph"/>
              <w:numPr>
                <w:ilvl w:val="0"/>
                <w:numId w:val="17"/>
              </w:numPr>
              <w:tabs>
                <w:tab w:pos="688" w:val="left" w:leader="none"/>
              </w:tabs>
              <w:spacing w:line="273" w:lineRule="auto" w:before="164" w:after="0"/>
              <w:ind w:left="807" w:right="297" w:hanging="454"/>
              <w:jc w:val="both"/>
              <w:rPr>
                <w:sz w:val="21"/>
              </w:rPr>
            </w:pPr>
            <w:r>
              <w:rPr>
                <w:spacing w:val="-3"/>
                <w:sz w:val="21"/>
              </w:rPr>
              <w:t>恶性肿瘤：指恶性细胞不受控制的进行性增长和扩散，浸润和破坏周围正常</w:t>
            </w:r>
            <w:r>
              <w:rPr>
                <w:spacing w:val="-12"/>
                <w:sz w:val="21"/>
              </w:rPr>
              <w:t>组织，可以经血管、淋巴管和体腔扩散转移到身体其它部位的疾病。经病理学检查结果明确诊断，临床诊断属于世界卫生组织《疾病和有关健康问题的</w:t>
            </w:r>
            <w:r>
              <w:rPr>
                <w:spacing w:val="-18"/>
                <w:sz w:val="21"/>
              </w:rPr>
              <w:t>国际统计分类》</w:t>
            </w:r>
            <w:r>
              <w:rPr>
                <w:spacing w:val="-1"/>
                <w:sz w:val="21"/>
              </w:rPr>
              <w:t>（ICD-10）</w:t>
            </w:r>
            <w:r>
              <w:rPr>
                <w:spacing w:val="-3"/>
                <w:sz w:val="21"/>
              </w:rPr>
              <w:t>的恶性肿瘤范畴。</w:t>
            </w:r>
          </w:p>
          <w:p>
            <w:pPr>
              <w:pStyle w:val="TableParagraph"/>
              <w:spacing w:before="163"/>
              <w:ind w:left="1145"/>
              <w:rPr>
                <w:b/>
                <w:sz w:val="21"/>
              </w:rPr>
            </w:pPr>
            <w:r>
              <w:rPr>
                <w:b/>
                <w:sz w:val="21"/>
              </w:rPr>
              <w:t>下列疾病不在保障范围内：</w:t>
            </w:r>
          </w:p>
          <w:p>
            <w:pPr>
              <w:pStyle w:val="TableParagraph"/>
              <w:spacing w:before="9"/>
              <w:rPr>
                <w:b/>
                <w:sz w:val="14"/>
              </w:rPr>
            </w:pPr>
          </w:p>
          <w:p>
            <w:pPr>
              <w:pStyle w:val="TableParagraph"/>
              <w:numPr>
                <w:ilvl w:val="1"/>
                <w:numId w:val="17"/>
              </w:numPr>
              <w:tabs>
                <w:tab w:pos="1648" w:val="left" w:leader="none"/>
              </w:tabs>
              <w:spacing w:line="240" w:lineRule="auto" w:before="0" w:after="0"/>
              <w:ind w:left="1647" w:right="0" w:hanging="394"/>
              <w:jc w:val="left"/>
              <w:rPr>
                <w:sz w:val="21"/>
              </w:rPr>
            </w:pPr>
            <w:r>
              <w:rPr>
                <w:spacing w:val="-1"/>
                <w:sz w:val="21"/>
              </w:rPr>
              <w:t>原位癌；</w:t>
            </w:r>
          </w:p>
          <w:p>
            <w:pPr>
              <w:pStyle w:val="TableParagraph"/>
              <w:spacing w:before="9"/>
              <w:rPr>
                <w:b/>
                <w:sz w:val="14"/>
              </w:rPr>
            </w:pPr>
          </w:p>
          <w:p>
            <w:pPr>
              <w:pStyle w:val="TableParagraph"/>
              <w:numPr>
                <w:ilvl w:val="1"/>
                <w:numId w:val="17"/>
              </w:numPr>
              <w:tabs>
                <w:tab w:pos="1648" w:val="left" w:leader="none"/>
              </w:tabs>
              <w:spacing w:line="240" w:lineRule="auto" w:before="0" w:after="0"/>
              <w:ind w:left="1647" w:right="0" w:hanging="394"/>
              <w:jc w:val="left"/>
              <w:rPr>
                <w:sz w:val="21"/>
              </w:rPr>
            </w:pPr>
            <w:r>
              <w:rPr>
                <w:spacing w:val="-2"/>
                <w:sz w:val="21"/>
              </w:rPr>
              <w:t>相当于</w:t>
            </w:r>
            <w:r>
              <w:rPr>
                <w:spacing w:val="-1"/>
                <w:sz w:val="21"/>
              </w:rPr>
              <w:t>Binet</w:t>
            </w:r>
            <w:r>
              <w:rPr>
                <w:spacing w:val="-3"/>
                <w:sz w:val="21"/>
              </w:rPr>
              <w:t>分期方案</w:t>
            </w:r>
            <w:r>
              <w:rPr>
                <w:sz w:val="21"/>
              </w:rPr>
              <w:t>A</w:t>
            </w:r>
            <w:r>
              <w:rPr>
                <w:spacing w:val="-3"/>
                <w:sz w:val="21"/>
              </w:rPr>
              <w:t>期程度的慢性淋巴细胞白血病；</w:t>
            </w:r>
          </w:p>
          <w:p>
            <w:pPr>
              <w:pStyle w:val="TableParagraph"/>
              <w:spacing w:before="9"/>
              <w:rPr>
                <w:b/>
                <w:sz w:val="14"/>
              </w:rPr>
            </w:pPr>
          </w:p>
          <w:p>
            <w:pPr>
              <w:pStyle w:val="TableParagraph"/>
              <w:numPr>
                <w:ilvl w:val="1"/>
                <w:numId w:val="17"/>
              </w:numPr>
              <w:tabs>
                <w:tab w:pos="1648" w:val="left" w:leader="none"/>
              </w:tabs>
              <w:spacing w:line="240" w:lineRule="auto" w:before="0" w:after="0"/>
              <w:ind w:left="1647" w:right="0" w:hanging="394"/>
              <w:jc w:val="left"/>
              <w:rPr>
                <w:sz w:val="21"/>
              </w:rPr>
            </w:pPr>
            <w:r>
              <w:rPr>
                <w:spacing w:val="-1"/>
                <w:sz w:val="21"/>
              </w:rPr>
              <w:t>相当于</w:t>
            </w:r>
            <w:r>
              <w:rPr>
                <w:sz w:val="21"/>
              </w:rPr>
              <w:t>Ann</w:t>
            </w:r>
            <w:r>
              <w:rPr>
                <w:spacing w:val="20"/>
                <w:sz w:val="21"/>
              </w:rPr>
              <w:t> </w:t>
            </w:r>
            <w:r>
              <w:rPr>
                <w:sz w:val="21"/>
              </w:rPr>
              <w:t>Arbor</w:t>
            </w:r>
            <w:r>
              <w:rPr>
                <w:spacing w:val="-3"/>
                <w:sz w:val="21"/>
              </w:rPr>
              <w:t>分期方案</w:t>
            </w:r>
            <w:r>
              <w:rPr>
                <w:sz w:val="21"/>
              </w:rPr>
              <w:t>I</w:t>
            </w:r>
            <w:r>
              <w:rPr>
                <w:spacing w:val="-3"/>
                <w:sz w:val="21"/>
              </w:rPr>
              <w:t>期程度的何杰金氏病；</w:t>
            </w:r>
          </w:p>
          <w:p>
            <w:pPr>
              <w:pStyle w:val="TableParagraph"/>
              <w:spacing w:before="9"/>
              <w:rPr>
                <w:b/>
                <w:sz w:val="14"/>
              </w:rPr>
            </w:pPr>
          </w:p>
          <w:p>
            <w:pPr>
              <w:pStyle w:val="TableParagraph"/>
              <w:numPr>
                <w:ilvl w:val="1"/>
                <w:numId w:val="17"/>
              </w:numPr>
              <w:tabs>
                <w:tab w:pos="1648" w:val="left" w:leader="none"/>
              </w:tabs>
              <w:spacing w:line="240" w:lineRule="auto" w:before="0" w:after="0"/>
              <w:ind w:left="1647" w:right="0" w:hanging="394"/>
              <w:jc w:val="left"/>
              <w:rPr>
                <w:sz w:val="21"/>
              </w:rPr>
            </w:pPr>
            <w:r>
              <w:rPr>
                <w:spacing w:val="-1"/>
                <w:w w:val="100"/>
                <w:sz w:val="21"/>
              </w:rPr>
              <w:t>皮肤癌</w:t>
            </w:r>
            <w:r>
              <w:rPr>
                <w:w w:val="100"/>
                <w:sz w:val="21"/>
              </w:rPr>
              <w:t>（</w:t>
            </w:r>
            <w:r>
              <w:rPr>
                <w:spacing w:val="-3"/>
                <w:w w:val="100"/>
                <w:sz w:val="21"/>
              </w:rPr>
              <w:t>不包括恶性黑色素瘤及已发生转移的皮肤癌</w:t>
            </w:r>
            <w:r>
              <w:rPr>
                <w:spacing w:val="-106"/>
                <w:w w:val="100"/>
                <w:sz w:val="21"/>
              </w:rPr>
              <w:t>）</w:t>
            </w:r>
            <w:r>
              <w:rPr>
                <w:w w:val="100"/>
                <w:sz w:val="21"/>
              </w:rPr>
              <w:t>；</w:t>
            </w:r>
          </w:p>
          <w:p>
            <w:pPr>
              <w:pStyle w:val="TableParagraph"/>
              <w:spacing w:before="8"/>
              <w:rPr>
                <w:b/>
                <w:sz w:val="14"/>
              </w:rPr>
            </w:pPr>
          </w:p>
          <w:p>
            <w:pPr>
              <w:pStyle w:val="TableParagraph"/>
              <w:numPr>
                <w:ilvl w:val="1"/>
                <w:numId w:val="17"/>
              </w:numPr>
              <w:tabs>
                <w:tab w:pos="1648" w:val="left" w:leader="none"/>
              </w:tabs>
              <w:spacing w:line="240" w:lineRule="auto" w:before="1" w:after="0"/>
              <w:ind w:left="1647" w:right="0" w:hanging="394"/>
              <w:jc w:val="left"/>
              <w:rPr>
                <w:sz w:val="21"/>
              </w:rPr>
            </w:pPr>
            <w:r>
              <w:rPr>
                <w:spacing w:val="-1"/>
                <w:position w:val="1"/>
                <w:sz w:val="21"/>
              </w:rPr>
              <w:t>TNM</w:t>
            </w:r>
            <w:r>
              <w:rPr>
                <w:spacing w:val="-2"/>
                <w:position w:val="1"/>
                <w:sz w:val="21"/>
              </w:rPr>
              <w:t>分期为</w:t>
            </w:r>
            <w:r>
              <w:rPr>
                <w:spacing w:val="-1"/>
                <w:position w:val="1"/>
                <w:sz w:val="21"/>
              </w:rPr>
              <w:t>T</w:t>
            </w:r>
            <w:r>
              <w:rPr>
                <w:spacing w:val="-1"/>
                <w:sz w:val="11"/>
              </w:rPr>
              <w:t>1</w:t>
            </w:r>
            <w:r>
              <w:rPr>
                <w:spacing w:val="-1"/>
                <w:position w:val="1"/>
                <w:sz w:val="21"/>
              </w:rPr>
              <w:t>N</w:t>
            </w:r>
            <w:r>
              <w:rPr>
                <w:spacing w:val="-1"/>
                <w:sz w:val="11"/>
              </w:rPr>
              <w:t>0</w:t>
            </w:r>
            <w:r>
              <w:rPr>
                <w:spacing w:val="-1"/>
                <w:position w:val="1"/>
                <w:sz w:val="21"/>
              </w:rPr>
              <w:t>M</w:t>
            </w:r>
            <w:r>
              <w:rPr>
                <w:spacing w:val="-1"/>
                <w:sz w:val="11"/>
              </w:rPr>
              <w:t>0</w:t>
            </w:r>
            <w:r>
              <w:rPr>
                <w:spacing w:val="-3"/>
                <w:position w:val="1"/>
                <w:sz w:val="21"/>
              </w:rPr>
              <w:t>期或更轻分期的前列腺癌；</w:t>
            </w:r>
          </w:p>
          <w:p>
            <w:pPr>
              <w:pStyle w:val="TableParagraph"/>
              <w:spacing w:before="10"/>
              <w:rPr>
                <w:b/>
                <w:sz w:val="14"/>
              </w:rPr>
            </w:pPr>
          </w:p>
          <w:p>
            <w:pPr>
              <w:pStyle w:val="TableParagraph"/>
              <w:numPr>
                <w:ilvl w:val="1"/>
                <w:numId w:val="17"/>
              </w:numPr>
              <w:tabs>
                <w:tab w:pos="1648" w:val="left" w:leader="none"/>
              </w:tabs>
              <w:spacing w:line="240" w:lineRule="auto" w:before="0" w:after="0"/>
              <w:ind w:left="1647" w:right="0" w:hanging="394"/>
              <w:jc w:val="left"/>
              <w:rPr>
                <w:sz w:val="21"/>
              </w:rPr>
            </w:pPr>
            <w:r>
              <w:rPr>
                <w:spacing w:val="-3"/>
                <w:sz w:val="21"/>
              </w:rPr>
              <w:t>感染艾滋病病毒或患艾滋病期间所患恶性肿瘤。</w:t>
            </w:r>
          </w:p>
          <w:p>
            <w:pPr>
              <w:pStyle w:val="TableParagraph"/>
              <w:rPr>
                <w:b/>
                <w:sz w:val="20"/>
              </w:rPr>
            </w:pPr>
          </w:p>
          <w:p>
            <w:pPr>
              <w:pStyle w:val="TableParagraph"/>
              <w:rPr>
                <w:b/>
                <w:sz w:val="20"/>
              </w:rPr>
            </w:pPr>
          </w:p>
          <w:p>
            <w:pPr>
              <w:pStyle w:val="TableParagraph"/>
              <w:numPr>
                <w:ilvl w:val="0"/>
                <w:numId w:val="17"/>
              </w:numPr>
              <w:tabs>
                <w:tab w:pos="688" w:val="left" w:leader="none"/>
              </w:tabs>
              <w:spacing w:line="273" w:lineRule="auto" w:before="137" w:after="0"/>
              <w:ind w:left="807" w:right="329" w:hanging="454"/>
              <w:jc w:val="both"/>
              <w:rPr>
                <w:b/>
                <w:sz w:val="21"/>
              </w:rPr>
            </w:pPr>
            <w:r>
              <w:rPr>
                <w:spacing w:val="-3"/>
                <w:sz w:val="21"/>
              </w:rPr>
              <w:t>急性心肌梗塞：指因冠状动脉阻塞导致的相应区域供血不足造成部分心肌坏死。</w:t>
            </w:r>
            <w:r>
              <w:rPr>
                <w:b/>
                <w:spacing w:val="-1"/>
                <w:sz w:val="21"/>
              </w:rPr>
              <w:t>须满足下列至少三项条件：</w:t>
            </w:r>
          </w:p>
          <w:p>
            <w:pPr>
              <w:pStyle w:val="TableParagraph"/>
              <w:rPr>
                <w:b/>
                <w:sz w:val="20"/>
              </w:rPr>
            </w:pPr>
          </w:p>
          <w:p>
            <w:pPr>
              <w:pStyle w:val="TableParagraph"/>
              <w:spacing w:before="3"/>
              <w:rPr>
                <w:b/>
                <w:sz w:val="28"/>
              </w:rPr>
            </w:pPr>
          </w:p>
          <w:p>
            <w:pPr>
              <w:pStyle w:val="TableParagraph"/>
              <w:numPr>
                <w:ilvl w:val="1"/>
                <w:numId w:val="17"/>
              </w:numPr>
              <w:tabs>
                <w:tab w:pos="1648" w:val="left" w:leader="none"/>
              </w:tabs>
              <w:spacing w:line="240" w:lineRule="auto" w:before="1" w:after="0"/>
              <w:ind w:left="1647" w:right="0" w:hanging="394"/>
              <w:jc w:val="left"/>
              <w:rPr>
                <w:sz w:val="21"/>
              </w:rPr>
            </w:pPr>
            <w:r>
              <w:rPr>
                <w:spacing w:val="-3"/>
                <w:sz w:val="21"/>
              </w:rPr>
              <w:t>典型临床表现，例如急性胸痛等；</w:t>
            </w:r>
          </w:p>
          <w:p>
            <w:pPr>
              <w:pStyle w:val="TableParagraph"/>
              <w:spacing w:before="10"/>
              <w:rPr>
                <w:b/>
                <w:sz w:val="14"/>
              </w:rPr>
            </w:pPr>
          </w:p>
          <w:p>
            <w:pPr>
              <w:pStyle w:val="TableParagraph"/>
              <w:numPr>
                <w:ilvl w:val="1"/>
                <w:numId w:val="17"/>
              </w:numPr>
              <w:tabs>
                <w:tab w:pos="1648" w:val="left" w:leader="none"/>
              </w:tabs>
              <w:spacing w:line="240" w:lineRule="auto" w:before="0" w:after="0"/>
              <w:ind w:left="1647" w:right="0" w:hanging="394"/>
              <w:jc w:val="left"/>
              <w:rPr>
                <w:sz w:val="21"/>
              </w:rPr>
            </w:pPr>
            <w:r>
              <w:rPr>
                <w:spacing w:val="-3"/>
                <w:sz w:val="21"/>
              </w:rPr>
              <w:t>新近的心电图改变提示急性心肌梗塞；</w:t>
            </w:r>
          </w:p>
          <w:p>
            <w:pPr>
              <w:pStyle w:val="TableParagraph"/>
              <w:spacing w:before="9"/>
              <w:rPr>
                <w:b/>
                <w:sz w:val="14"/>
              </w:rPr>
            </w:pPr>
          </w:p>
          <w:p>
            <w:pPr>
              <w:pStyle w:val="TableParagraph"/>
              <w:numPr>
                <w:ilvl w:val="1"/>
                <w:numId w:val="17"/>
              </w:numPr>
              <w:tabs>
                <w:tab w:pos="1648" w:val="left" w:leader="none"/>
              </w:tabs>
              <w:spacing w:line="273" w:lineRule="auto" w:before="1" w:after="0"/>
              <w:ind w:left="1647" w:right="300" w:hanging="394"/>
              <w:jc w:val="left"/>
              <w:rPr>
                <w:sz w:val="21"/>
              </w:rPr>
            </w:pPr>
            <w:r>
              <w:rPr>
                <w:spacing w:val="-9"/>
                <w:sz w:val="21"/>
              </w:rPr>
              <w:t>心肌酶或肌钙蛋白有诊断意义的升高，或呈符合急性心肌梗塞的动</w:t>
            </w:r>
            <w:r>
              <w:rPr>
                <w:spacing w:val="-5"/>
                <w:sz w:val="21"/>
              </w:rPr>
              <w:t>态性变化；</w:t>
            </w:r>
          </w:p>
          <w:p>
            <w:pPr>
              <w:pStyle w:val="TableParagraph"/>
              <w:numPr>
                <w:ilvl w:val="1"/>
                <w:numId w:val="17"/>
              </w:numPr>
              <w:tabs>
                <w:tab w:pos="1648" w:val="left" w:leader="none"/>
              </w:tabs>
              <w:spacing w:line="240" w:lineRule="auto" w:before="164" w:after="0"/>
              <w:ind w:left="1647" w:right="0" w:hanging="394"/>
              <w:jc w:val="left"/>
              <w:rPr>
                <w:sz w:val="21"/>
              </w:rPr>
            </w:pPr>
            <w:r>
              <w:rPr>
                <w:spacing w:val="-1"/>
                <w:sz w:val="21"/>
              </w:rPr>
              <w:t>发病90</w:t>
            </w:r>
            <w:r>
              <w:rPr>
                <w:spacing w:val="-12"/>
                <w:sz w:val="21"/>
              </w:rPr>
              <w:t>天后，经检查证实左心室功能降低，如左心室射血分数低于</w:t>
            </w:r>
          </w:p>
          <w:p>
            <w:pPr>
              <w:pStyle w:val="TableParagraph"/>
              <w:spacing w:before="37"/>
              <w:ind w:left="1647"/>
              <w:rPr>
                <w:sz w:val="21"/>
              </w:rPr>
            </w:pPr>
            <w:r>
              <w:rPr>
                <w:sz w:val="21"/>
              </w:rPr>
              <w:t>50%。</w:t>
            </w:r>
          </w:p>
          <w:p>
            <w:pPr>
              <w:pStyle w:val="TableParagraph"/>
              <w:rPr>
                <w:b/>
                <w:sz w:val="20"/>
              </w:rPr>
            </w:pPr>
          </w:p>
          <w:p>
            <w:pPr>
              <w:pStyle w:val="TableParagraph"/>
              <w:rPr>
                <w:b/>
                <w:sz w:val="20"/>
              </w:rPr>
            </w:pPr>
          </w:p>
          <w:p>
            <w:pPr>
              <w:pStyle w:val="TableParagraph"/>
              <w:numPr>
                <w:ilvl w:val="0"/>
                <w:numId w:val="17"/>
              </w:numPr>
              <w:tabs>
                <w:tab w:pos="688" w:val="left" w:leader="none"/>
              </w:tabs>
              <w:spacing w:line="312" w:lineRule="exact" w:before="133" w:after="0"/>
              <w:ind w:left="807" w:right="298" w:hanging="454"/>
              <w:jc w:val="both"/>
              <w:rPr>
                <w:b/>
                <w:sz w:val="21"/>
              </w:rPr>
            </w:pPr>
            <w:r>
              <w:rPr>
                <w:spacing w:val="-2"/>
                <w:sz w:val="21"/>
              </w:rPr>
              <w:t>脑中风后遗症：指因脑血管的突发病变引起脑血管出血、栓塞或梗塞，并导</w:t>
            </w:r>
            <w:r>
              <w:rPr>
                <w:spacing w:val="-14"/>
                <w:sz w:val="21"/>
              </w:rPr>
              <w:t>致神经系统永久性的功能障碍。神经系统永久性的功能障碍，指疾病确诊</w:t>
            </w:r>
            <w:r>
              <w:rPr>
                <w:sz w:val="21"/>
              </w:rPr>
              <w:t>180 </w:t>
            </w:r>
            <w:r>
              <w:rPr>
                <w:spacing w:val="-1"/>
                <w:sz w:val="21"/>
              </w:rPr>
              <w:t>天后，</w:t>
            </w:r>
            <w:r>
              <w:rPr>
                <w:b/>
                <w:spacing w:val="-2"/>
                <w:sz w:val="21"/>
              </w:rPr>
              <w:t>仍遗留下列一种或一种以上障碍：</w:t>
            </w:r>
          </w:p>
        </w:tc>
      </w:tr>
    </w:tbl>
    <w:p>
      <w:pPr>
        <w:spacing w:after="0" w:line="312" w:lineRule="exact"/>
        <w:jc w:val="both"/>
        <w:rPr>
          <w:sz w:val="21"/>
        </w:rPr>
        <w:sectPr>
          <w:pgSz w:w="11910" w:h="16840"/>
          <w:pgMar w:header="0" w:footer="924" w:top="1160" w:bottom="1120" w:left="820" w:right="720"/>
        </w:sectPr>
      </w:pPr>
    </w:p>
    <w:p>
      <w:pPr>
        <w:pStyle w:val="ListParagraph"/>
        <w:numPr>
          <w:ilvl w:val="2"/>
          <w:numId w:val="13"/>
        </w:numPr>
        <w:tabs>
          <w:tab w:pos="3095" w:val="left" w:leader="none"/>
        </w:tabs>
        <w:spacing w:line="240" w:lineRule="auto" w:before="10" w:after="0"/>
        <w:ind w:left="3094" w:right="0" w:hanging="393"/>
        <w:jc w:val="left"/>
        <w:rPr>
          <w:sz w:val="21"/>
        </w:rPr>
      </w:pPr>
      <w:r>
        <w:rPr>
          <w:spacing w:val="-3"/>
          <w:w w:val="100"/>
          <w:sz w:val="21"/>
        </w:rPr>
        <w:t>一肢或一肢以上</w:t>
      </w:r>
      <w:r>
        <w:rPr>
          <w:b/>
          <w:spacing w:val="-1"/>
          <w:w w:val="100"/>
          <w:sz w:val="21"/>
        </w:rPr>
        <w:t>肢体机能完全丧失</w:t>
      </w:r>
      <w:r>
        <w:rPr>
          <w:spacing w:val="-3"/>
          <w:w w:val="100"/>
          <w:sz w:val="21"/>
        </w:rPr>
        <w:t>（</w:t>
      </w:r>
      <w:r>
        <w:rPr>
          <w:w w:val="100"/>
          <w:sz w:val="21"/>
        </w:rPr>
        <w:t>见10</w:t>
      </w:r>
      <w:r>
        <w:rPr>
          <w:spacing w:val="-3"/>
          <w:w w:val="100"/>
          <w:sz w:val="21"/>
        </w:rPr>
        <w:t>.</w:t>
      </w:r>
      <w:r>
        <w:rPr>
          <w:w w:val="100"/>
          <w:sz w:val="21"/>
        </w:rPr>
        <w:t>17</w:t>
      </w:r>
      <w:r>
        <w:rPr>
          <w:spacing w:val="-108"/>
          <w:w w:val="100"/>
          <w:sz w:val="21"/>
        </w:rPr>
        <w:t>）；</w:t>
      </w:r>
    </w:p>
    <w:p>
      <w:pPr>
        <w:pStyle w:val="BodyText"/>
        <w:spacing w:before="9"/>
        <w:rPr>
          <w:sz w:val="14"/>
        </w:rPr>
      </w:pPr>
    </w:p>
    <w:p>
      <w:pPr>
        <w:pStyle w:val="ListParagraph"/>
        <w:numPr>
          <w:ilvl w:val="2"/>
          <w:numId w:val="13"/>
        </w:numPr>
        <w:tabs>
          <w:tab w:pos="3095" w:val="left" w:leader="none"/>
        </w:tabs>
        <w:spacing w:line="240" w:lineRule="auto" w:before="0" w:after="0"/>
        <w:ind w:left="3094" w:right="0" w:hanging="393"/>
        <w:jc w:val="left"/>
        <w:rPr>
          <w:sz w:val="21"/>
        </w:rPr>
      </w:pPr>
      <w:r>
        <w:rPr>
          <w:b/>
          <w:spacing w:val="-3"/>
          <w:sz w:val="21"/>
        </w:rPr>
        <w:t>语言能力或咀嚼吞咽能力完全丧失</w:t>
      </w:r>
      <w:r>
        <w:rPr>
          <w:spacing w:val="-3"/>
          <w:sz w:val="21"/>
        </w:rPr>
        <w:t>（</w:t>
      </w:r>
      <w:r>
        <w:rPr>
          <w:sz w:val="21"/>
        </w:rPr>
        <w:t>见10.18）；</w:t>
      </w:r>
    </w:p>
    <w:p>
      <w:pPr>
        <w:pStyle w:val="BodyText"/>
        <w:spacing w:before="9"/>
        <w:rPr>
          <w:sz w:val="14"/>
        </w:rPr>
      </w:pPr>
    </w:p>
    <w:p>
      <w:pPr>
        <w:pStyle w:val="ListParagraph"/>
        <w:numPr>
          <w:ilvl w:val="2"/>
          <w:numId w:val="13"/>
        </w:numPr>
        <w:tabs>
          <w:tab w:pos="3095" w:val="left" w:leader="none"/>
        </w:tabs>
        <w:spacing w:line="240" w:lineRule="auto" w:before="0" w:after="0"/>
        <w:ind w:left="3094" w:right="0" w:hanging="393"/>
        <w:jc w:val="left"/>
        <w:rPr>
          <w:sz w:val="21"/>
        </w:rPr>
      </w:pPr>
      <w:r>
        <w:rPr>
          <w:spacing w:val="-8"/>
          <w:sz w:val="21"/>
        </w:rPr>
        <w:t>自主生活能力完全丧失，无法独立完成</w:t>
      </w:r>
      <w:r>
        <w:rPr>
          <w:b/>
          <w:spacing w:val="-6"/>
          <w:sz w:val="21"/>
        </w:rPr>
        <w:t>六项基本日常生活活动</w:t>
      </w:r>
      <w:r>
        <w:rPr>
          <w:sz w:val="21"/>
        </w:rPr>
        <w:t>（见</w:t>
      </w:r>
    </w:p>
    <w:p>
      <w:pPr>
        <w:pStyle w:val="BodyText"/>
        <w:spacing w:before="37"/>
        <w:ind w:left="3094"/>
      </w:pPr>
      <w:r>
        <w:rPr/>
        <w:t>10.19）中的三项或三项以上。</w:t>
      </w:r>
    </w:p>
    <w:p>
      <w:pPr>
        <w:pStyle w:val="BodyText"/>
        <w:rPr>
          <w:sz w:val="20"/>
        </w:rPr>
      </w:pPr>
    </w:p>
    <w:p>
      <w:pPr>
        <w:pStyle w:val="BodyText"/>
        <w:rPr>
          <w:sz w:val="20"/>
        </w:rPr>
      </w:pPr>
    </w:p>
    <w:p>
      <w:pPr>
        <w:pStyle w:val="ListParagraph"/>
        <w:numPr>
          <w:ilvl w:val="0"/>
          <w:numId w:val="18"/>
        </w:numPr>
        <w:tabs>
          <w:tab w:pos="2135" w:val="left" w:leader="none"/>
        </w:tabs>
        <w:spacing w:line="273" w:lineRule="auto" w:before="138" w:after="0"/>
        <w:ind w:left="2254" w:right="100" w:hanging="454"/>
        <w:jc w:val="both"/>
        <w:rPr>
          <w:sz w:val="21"/>
        </w:rPr>
      </w:pPr>
      <w:r>
        <w:rPr>
          <w:spacing w:val="-3"/>
          <w:sz w:val="21"/>
        </w:rPr>
        <w:t>重大器官移植术或造血干细胞移植术：重大器官移植术，指因相应器官功能</w:t>
      </w:r>
      <w:r>
        <w:rPr>
          <w:spacing w:val="-11"/>
          <w:sz w:val="21"/>
        </w:rPr>
        <w:t>衰竭，已经实施了肾脏、肝脏、心脏或肺脏的异体移植手术。造血干细胞移</w:t>
      </w:r>
      <w:r>
        <w:rPr>
          <w:spacing w:val="-12"/>
          <w:sz w:val="21"/>
        </w:rPr>
        <w:t>植术，指因造血功能损害或造血系统恶性肿瘤，已经实施了造血干细胞</w:t>
      </w:r>
      <w:r>
        <w:rPr>
          <w:sz w:val="21"/>
        </w:rPr>
        <w:t>（包</w:t>
      </w:r>
      <w:r>
        <w:rPr>
          <w:spacing w:val="-12"/>
          <w:sz w:val="21"/>
        </w:rPr>
        <w:t>括骨髓造血干细胞、外周血造血干细胞和脐血造血干细胞</w:t>
      </w:r>
      <w:r>
        <w:rPr>
          <w:spacing w:val="-101"/>
          <w:sz w:val="21"/>
        </w:rPr>
        <w:t>）</w:t>
      </w:r>
      <w:r>
        <w:rPr>
          <w:spacing w:val="-3"/>
          <w:sz w:val="21"/>
        </w:rPr>
        <w:t>的异体移植手术。</w:t>
      </w:r>
    </w:p>
    <w:p>
      <w:pPr>
        <w:pStyle w:val="BodyText"/>
        <w:rPr>
          <w:sz w:val="20"/>
        </w:rPr>
      </w:pPr>
    </w:p>
    <w:p>
      <w:pPr>
        <w:pStyle w:val="BodyText"/>
        <w:spacing w:before="3"/>
        <w:rPr>
          <w:sz w:val="28"/>
        </w:rPr>
      </w:pPr>
    </w:p>
    <w:p>
      <w:pPr>
        <w:pStyle w:val="ListParagraph"/>
        <w:numPr>
          <w:ilvl w:val="0"/>
          <w:numId w:val="18"/>
        </w:numPr>
        <w:tabs>
          <w:tab w:pos="2135" w:val="left" w:leader="none"/>
        </w:tabs>
        <w:spacing w:line="273" w:lineRule="auto" w:before="0" w:after="0"/>
        <w:ind w:left="2254" w:right="206" w:hanging="454"/>
        <w:jc w:val="left"/>
        <w:rPr>
          <w:b/>
          <w:sz w:val="21"/>
        </w:rPr>
      </w:pPr>
      <w:r>
        <w:rPr>
          <w:spacing w:val="-7"/>
          <w:sz w:val="21"/>
        </w:rPr>
        <w:t>冠状动脉搭桥术</w:t>
      </w:r>
      <w:r>
        <w:rPr>
          <w:spacing w:val="-3"/>
          <w:sz w:val="21"/>
        </w:rPr>
        <w:t>（或称冠状动脉旁路移植术</w:t>
      </w:r>
      <w:r>
        <w:rPr>
          <w:spacing w:val="-67"/>
          <w:sz w:val="21"/>
        </w:rPr>
        <w:t>）</w:t>
      </w:r>
      <w:r>
        <w:rPr>
          <w:spacing w:val="-12"/>
          <w:sz w:val="21"/>
        </w:rPr>
        <w:t>：指为治疗严重的冠心病，实际</w:t>
      </w:r>
      <w:r>
        <w:rPr>
          <w:spacing w:val="-9"/>
          <w:sz w:val="21"/>
        </w:rPr>
        <w:t>实施了开胸进行的冠状动脉血管旁路移植的手术。</w:t>
      </w:r>
      <w:r>
        <w:rPr>
          <w:b/>
          <w:spacing w:val="-6"/>
          <w:sz w:val="21"/>
        </w:rPr>
        <w:t>冠状动脉支架植入术、心导管球囊扩张术、激光射频技术及其它非开胸的介入手术、腔镜手术不在保障范围内。</w:t>
      </w:r>
    </w:p>
    <w:p>
      <w:pPr>
        <w:pStyle w:val="BodyText"/>
        <w:rPr>
          <w:b/>
          <w:sz w:val="20"/>
        </w:rPr>
      </w:pPr>
    </w:p>
    <w:p>
      <w:pPr>
        <w:pStyle w:val="BodyText"/>
        <w:spacing w:before="2"/>
        <w:rPr>
          <w:b/>
          <w:sz w:val="28"/>
        </w:rPr>
      </w:pPr>
    </w:p>
    <w:p>
      <w:pPr>
        <w:pStyle w:val="ListParagraph"/>
        <w:numPr>
          <w:ilvl w:val="0"/>
          <w:numId w:val="18"/>
        </w:numPr>
        <w:tabs>
          <w:tab w:pos="2135" w:val="left" w:leader="none"/>
        </w:tabs>
        <w:spacing w:line="273" w:lineRule="auto" w:before="1" w:after="0"/>
        <w:ind w:left="2254" w:right="100" w:hanging="454"/>
        <w:jc w:val="left"/>
        <w:rPr>
          <w:sz w:val="21"/>
        </w:rPr>
      </w:pPr>
      <w:r>
        <w:rPr>
          <w:spacing w:val="-21"/>
          <w:sz w:val="21"/>
        </w:rPr>
        <w:t>终末期肾病</w:t>
      </w:r>
      <w:r>
        <w:rPr>
          <w:sz w:val="21"/>
        </w:rPr>
        <w:t>（</w:t>
      </w:r>
      <w:r>
        <w:rPr>
          <w:spacing w:val="-3"/>
          <w:sz w:val="21"/>
        </w:rPr>
        <w:t>或称慢性肾功能衰竭尿毒症期</w:t>
      </w:r>
      <w:r>
        <w:rPr>
          <w:spacing w:val="-99"/>
          <w:sz w:val="21"/>
        </w:rPr>
        <w:t>）</w:t>
      </w:r>
      <w:r>
        <w:rPr>
          <w:spacing w:val="-12"/>
          <w:sz w:val="21"/>
        </w:rPr>
        <w:t>：指双肾功能慢性不可逆性衰竭， </w:t>
      </w:r>
      <w:r>
        <w:rPr>
          <w:spacing w:val="-13"/>
          <w:sz w:val="21"/>
        </w:rPr>
        <w:t>达到尿毒症期，经诊断后已经进行了至少</w:t>
      </w:r>
      <w:r>
        <w:rPr>
          <w:sz w:val="21"/>
        </w:rPr>
        <w:t>90</w:t>
      </w:r>
      <w:r>
        <w:rPr>
          <w:spacing w:val="-3"/>
          <w:sz w:val="21"/>
        </w:rPr>
        <w:t>天的规律性透析治疗或实施了肾脏移植手术。</w:t>
      </w:r>
    </w:p>
    <w:p>
      <w:pPr>
        <w:pStyle w:val="BodyText"/>
        <w:rPr>
          <w:sz w:val="20"/>
        </w:rPr>
      </w:pPr>
    </w:p>
    <w:p>
      <w:pPr>
        <w:pStyle w:val="BodyText"/>
        <w:spacing w:before="3"/>
        <w:rPr>
          <w:sz w:val="28"/>
        </w:rPr>
      </w:pPr>
    </w:p>
    <w:p>
      <w:pPr>
        <w:pStyle w:val="ListParagraph"/>
        <w:numPr>
          <w:ilvl w:val="0"/>
          <w:numId w:val="18"/>
        </w:numPr>
        <w:tabs>
          <w:tab w:pos="2135" w:val="left" w:leader="none"/>
        </w:tabs>
        <w:spacing w:line="273" w:lineRule="auto" w:before="0" w:after="0"/>
        <w:ind w:left="2254" w:right="213" w:hanging="454"/>
        <w:jc w:val="left"/>
        <w:rPr>
          <w:sz w:val="21"/>
        </w:rPr>
      </w:pPr>
      <w:r>
        <w:rPr>
          <w:sz w:val="21"/>
        </w:rPr>
        <w:t>多个肢体缺失:指因疾病或意外伤害导致两个或两个以上肢体自腕关节或踝</w:t>
      </w:r>
      <w:r>
        <w:rPr>
          <w:spacing w:val="-1"/>
          <w:sz w:val="21"/>
        </w:rPr>
        <w:t>关节近端</w:t>
      </w:r>
      <w:r>
        <w:rPr>
          <w:spacing w:val="-3"/>
          <w:sz w:val="21"/>
        </w:rPr>
        <w:t>（靠近躯干端）以上完全性断离。</w:t>
      </w:r>
    </w:p>
    <w:p>
      <w:pPr>
        <w:pStyle w:val="BodyText"/>
        <w:rPr>
          <w:sz w:val="20"/>
        </w:rPr>
      </w:pPr>
    </w:p>
    <w:p>
      <w:pPr>
        <w:pStyle w:val="BodyText"/>
        <w:spacing w:before="2"/>
        <w:rPr>
          <w:sz w:val="28"/>
        </w:rPr>
      </w:pPr>
    </w:p>
    <w:p>
      <w:pPr>
        <w:pStyle w:val="ListParagraph"/>
        <w:numPr>
          <w:ilvl w:val="0"/>
          <w:numId w:val="18"/>
        </w:numPr>
        <w:tabs>
          <w:tab w:pos="2135" w:val="left" w:leader="none"/>
        </w:tabs>
        <w:spacing w:line="273" w:lineRule="auto" w:before="1" w:after="0"/>
        <w:ind w:left="2254" w:right="108" w:hanging="454"/>
        <w:jc w:val="left"/>
        <w:rPr>
          <w:b/>
          <w:sz w:val="21"/>
        </w:rPr>
      </w:pPr>
      <w:r>
        <w:rPr>
          <w:spacing w:val="-2"/>
          <w:sz w:val="21"/>
        </w:rPr>
        <w:t>急性或亚急性重症肝炎：指因肝炎病毒感染引起肝脏组织弥漫性坏死，导致</w:t>
      </w:r>
      <w:r>
        <w:rPr>
          <w:spacing w:val="-3"/>
          <w:sz w:val="21"/>
        </w:rPr>
        <w:t>急性肝功能衰竭，且经血清学或病毒学检查证实，</w:t>
      </w:r>
      <w:r>
        <w:rPr>
          <w:b/>
          <w:spacing w:val="-1"/>
          <w:sz w:val="21"/>
        </w:rPr>
        <w:t>并须满足下列全部条件：</w:t>
      </w:r>
    </w:p>
    <w:p>
      <w:pPr>
        <w:pStyle w:val="BodyText"/>
        <w:rPr>
          <w:b/>
          <w:sz w:val="20"/>
        </w:rPr>
      </w:pPr>
    </w:p>
    <w:p>
      <w:pPr>
        <w:pStyle w:val="BodyText"/>
        <w:spacing w:before="4"/>
        <w:rPr>
          <w:b/>
          <w:sz w:val="28"/>
        </w:rPr>
      </w:pPr>
    </w:p>
    <w:p>
      <w:pPr>
        <w:pStyle w:val="ListParagraph"/>
        <w:numPr>
          <w:ilvl w:val="1"/>
          <w:numId w:val="18"/>
        </w:numPr>
        <w:tabs>
          <w:tab w:pos="3095" w:val="left" w:leader="none"/>
        </w:tabs>
        <w:spacing w:line="240" w:lineRule="auto" w:before="0" w:after="0"/>
        <w:ind w:left="3094" w:right="0" w:hanging="393"/>
        <w:jc w:val="left"/>
        <w:rPr>
          <w:sz w:val="21"/>
        </w:rPr>
      </w:pPr>
      <w:r>
        <w:rPr>
          <w:spacing w:val="-3"/>
          <w:sz w:val="21"/>
        </w:rPr>
        <w:t>重度黄疸或黄疸迅速加重；</w:t>
      </w:r>
    </w:p>
    <w:p>
      <w:pPr>
        <w:pStyle w:val="BodyText"/>
        <w:spacing w:before="9"/>
        <w:rPr>
          <w:sz w:val="14"/>
        </w:rPr>
      </w:pPr>
    </w:p>
    <w:p>
      <w:pPr>
        <w:pStyle w:val="ListParagraph"/>
        <w:numPr>
          <w:ilvl w:val="1"/>
          <w:numId w:val="18"/>
        </w:numPr>
        <w:tabs>
          <w:tab w:pos="3095" w:val="left" w:leader="none"/>
        </w:tabs>
        <w:spacing w:line="240" w:lineRule="auto" w:before="0" w:after="0"/>
        <w:ind w:left="3094" w:right="0" w:hanging="393"/>
        <w:jc w:val="left"/>
        <w:rPr>
          <w:sz w:val="21"/>
        </w:rPr>
      </w:pPr>
      <w:r>
        <w:rPr>
          <w:spacing w:val="-1"/>
          <w:sz w:val="21"/>
        </w:rPr>
        <w:t>肝性脑病；</w:t>
      </w:r>
    </w:p>
    <w:p>
      <w:pPr>
        <w:pStyle w:val="BodyText"/>
        <w:spacing w:before="9"/>
        <w:rPr>
          <w:sz w:val="14"/>
        </w:rPr>
      </w:pPr>
    </w:p>
    <w:p>
      <w:pPr>
        <w:pStyle w:val="ListParagraph"/>
        <w:numPr>
          <w:ilvl w:val="1"/>
          <w:numId w:val="18"/>
        </w:numPr>
        <w:tabs>
          <w:tab w:pos="3095" w:val="left" w:leader="none"/>
        </w:tabs>
        <w:spacing w:line="240" w:lineRule="auto" w:before="0" w:after="0"/>
        <w:ind w:left="3094" w:right="0" w:hanging="393"/>
        <w:jc w:val="left"/>
        <w:rPr>
          <w:sz w:val="21"/>
        </w:rPr>
      </w:pPr>
      <w:r>
        <w:rPr>
          <w:sz w:val="21"/>
        </w:rPr>
        <w:t>B</w:t>
      </w:r>
      <w:r>
        <w:rPr>
          <w:spacing w:val="-3"/>
          <w:sz w:val="21"/>
        </w:rPr>
        <w:t>超或其它影像学检查显示肝脏体积急速萎缩；</w:t>
      </w:r>
    </w:p>
    <w:p>
      <w:pPr>
        <w:pStyle w:val="BodyText"/>
        <w:spacing w:before="9"/>
        <w:rPr>
          <w:sz w:val="14"/>
        </w:rPr>
      </w:pPr>
    </w:p>
    <w:p>
      <w:pPr>
        <w:pStyle w:val="ListParagraph"/>
        <w:numPr>
          <w:ilvl w:val="1"/>
          <w:numId w:val="18"/>
        </w:numPr>
        <w:tabs>
          <w:tab w:pos="3095" w:val="left" w:leader="none"/>
        </w:tabs>
        <w:spacing w:line="240" w:lineRule="auto" w:before="0" w:after="0"/>
        <w:ind w:left="3094" w:right="0" w:hanging="393"/>
        <w:jc w:val="left"/>
        <w:rPr>
          <w:sz w:val="21"/>
        </w:rPr>
      </w:pPr>
      <w:r>
        <w:rPr>
          <w:spacing w:val="-3"/>
          <w:sz w:val="21"/>
        </w:rPr>
        <w:t>肝功能指标进行性恶化。</w:t>
      </w:r>
    </w:p>
    <w:p>
      <w:pPr>
        <w:pStyle w:val="BodyText"/>
        <w:rPr>
          <w:sz w:val="20"/>
        </w:rPr>
      </w:pPr>
    </w:p>
    <w:p>
      <w:pPr>
        <w:pStyle w:val="BodyText"/>
        <w:rPr>
          <w:sz w:val="20"/>
        </w:rPr>
      </w:pPr>
    </w:p>
    <w:p>
      <w:pPr>
        <w:pStyle w:val="ListParagraph"/>
        <w:numPr>
          <w:ilvl w:val="0"/>
          <w:numId w:val="18"/>
        </w:numPr>
        <w:tabs>
          <w:tab w:pos="2135" w:val="left" w:leader="none"/>
        </w:tabs>
        <w:spacing w:line="273" w:lineRule="auto" w:before="137" w:after="0"/>
        <w:ind w:left="2254" w:right="204" w:hanging="454"/>
        <w:jc w:val="both"/>
        <w:rPr>
          <w:b/>
          <w:sz w:val="21"/>
        </w:rPr>
      </w:pPr>
      <w:r>
        <w:rPr>
          <w:spacing w:val="-2"/>
          <w:sz w:val="21"/>
        </w:rPr>
        <w:t>良性脑肿瘤：指脑的良性肿瘤，已经引起颅内压增高，临床表现为视神经乳</w:t>
      </w:r>
      <w:r>
        <w:rPr>
          <w:spacing w:val="-11"/>
          <w:sz w:val="21"/>
        </w:rPr>
        <w:t>头水肿、精神症状、癫痫及运动感觉障碍等，并危及生命。须由头颅断层扫</w:t>
      </w:r>
      <w:r>
        <w:rPr>
          <w:spacing w:val="-11"/>
          <w:w w:val="100"/>
          <w:sz w:val="21"/>
        </w:rPr>
        <w:t>描（CT</w:t>
      </w:r>
      <w:r>
        <w:rPr>
          <w:spacing w:val="-106"/>
          <w:w w:val="100"/>
          <w:sz w:val="21"/>
        </w:rPr>
        <w:t>）</w:t>
      </w:r>
      <w:r>
        <w:rPr>
          <w:spacing w:val="-3"/>
          <w:w w:val="100"/>
          <w:sz w:val="21"/>
        </w:rPr>
        <w:t>、核磁共振检查（</w:t>
      </w:r>
      <w:r>
        <w:rPr>
          <w:w w:val="100"/>
          <w:sz w:val="21"/>
        </w:rPr>
        <w:t>MRI）</w:t>
      </w:r>
      <w:r>
        <w:rPr>
          <w:spacing w:val="-3"/>
          <w:w w:val="100"/>
          <w:sz w:val="21"/>
        </w:rPr>
        <w:t>或正电子发射断层扫描</w:t>
      </w:r>
      <w:r>
        <w:rPr>
          <w:w w:val="100"/>
          <w:sz w:val="21"/>
        </w:rPr>
        <w:t>（PET</w:t>
      </w:r>
      <w:r>
        <w:rPr>
          <w:spacing w:val="-3"/>
          <w:w w:val="100"/>
          <w:sz w:val="21"/>
        </w:rPr>
        <w:t>）</w:t>
      </w:r>
      <w:r>
        <w:rPr>
          <w:spacing w:val="-1"/>
          <w:w w:val="100"/>
          <w:sz w:val="21"/>
        </w:rPr>
        <w:t>等影像学检</w:t>
      </w:r>
      <w:r>
        <w:rPr>
          <w:spacing w:val="-3"/>
          <w:sz w:val="21"/>
        </w:rPr>
        <w:t>查证实，</w:t>
      </w:r>
      <w:r>
        <w:rPr>
          <w:b/>
          <w:spacing w:val="-1"/>
          <w:sz w:val="21"/>
        </w:rPr>
        <w:t>并须满足下列至少一项条件：</w:t>
      </w:r>
    </w:p>
    <w:p>
      <w:pPr>
        <w:spacing w:after="0" w:line="273" w:lineRule="auto"/>
        <w:jc w:val="both"/>
        <w:rPr>
          <w:sz w:val="21"/>
        </w:rPr>
        <w:sectPr>
          <w:pgSz w:w="11910" w:h="16840"/>
          <w:pgMar w:header="0" w:footer="924" w:top="1560" w:bottom="1120" w:left="1680" w:right="920"/>
        </w:sectPr>
      </w:pPr>
    </w:p>
    <w:p>
      <w:pPr>
        <w:pStyle w:val="ListParagraph"/>
        <w:numPr>
          <w:ilvl w:val="1"/>
          <w:numId w:val="18"/>
        </w:numPr>
        <w:tabs>
          <w:tab w:pos="3061" w:val="left" w:leader="none"/>
        </w:tabs>
        <w:spacing w:line="240" w:lineRule="auto" w:before="10" w:after="0"/>
        <w:ind w:left="3061" w:right="0" w:hanging="360"/>
        <w:jc w:val="left"/>
        <w:rPr>
          <w:sz w:val="21"/>
        </w:rPr>
      </w:pPr>
      <w:r>
        <w:rPr>
          <w:spacing w:val="-3"/>
          <w:sz w:val="21"/>
        </w:rPr>
        <w:t>实际实施了开颅进行的脑肿瘤完全切除或部分切除的手术；</w:t>
      </w:r>
    </w:p>
    <w:p>
      <w:pPr>
        <w:pStyle w:val="BodyText"/>
        <w:spacing w:before="9"/>
        <w:rPr>
          <w:sz w:val="14"/>
        </w:rPr>
      </w:pPr>
    </w:p>
    <w:p>
      <w:pPr>
        <w:pStyle w:val="ListParagraph"/>
        <w:numPr>
          <w:ilvl w:val="1"/>
          <w:numId w:val="18"/>
        </w:numPr>
        <w:tabs>
          <w:tab w:pos="3061" w:val="left" w:leader="none"/>
        </w:tabs>
        <w:spacing w:line="240" w:lineRule="auto" w:before="0" w:after="0"/>
        <w:ind w:left="3061" w:right="0" w:hanging="360"/>
        <w:jc w:val="left"/>
        <w:rPr>
          <w:sz w:val="21"/>
        </w:rPr>
      </w:pPr>
      <w:r>
        <w:rPr>
          <w:spacing w:val="-3"/>
          <w:sz w:val="21"/>
        </w:rPr>
        <w:t>实际实施了对脑肿瘤进行的放射治疗。</w:t>
      </w:r>
    </w:p>
    <w:p>
      <w:pPr>
        <w:pStyle w:val="BodyText"/>
        <w:rPr>
          <w:sz w:val="20"/>
        </w:rPr>
      </w:pPr>
    </w:p>
    <w:p>
      <w:pPr>
        <w:pStyle w:val="BodyText"/>
        <w:rPr>
          <w:sz w:val="20"/>
        </w:rPr>
      </w:pPr>
    </w:p>
    <w:p>
      <w:pPr>
        <w:pStyle w:val="Heading2"/>
        <w:spacing w:before="137"/>
        <w:ind w:left="2273"/>
      </w:pPr>
      <w:r>
        <w:rPr/>
        <w:t>脑垂体瘤、脑囊肿、脑血管性疾病不在保障范围内。</w:t>
      </w:r>
    </w:p>
    <w:p>
      <w:pPr>
        <w:pStyle w:val="BodyText"/>
        <w:rPr>
          <w:b/>
          <w:sz w:val="20"/>
        </w:rPr>
      </w:pPr>
    </w:p>
    <w:p>
      <w:pPr>
        <w:pStyle w:val="BodyText"/>
        <w:rPr>
          <w:b/>
          <w:sz w:val="20"/>
        </w:rPr>
      </w:pPr>
    </w:p>
    <w:p>
      <w:pPr>
        <w:pStyle w:val="ListParagraph"/>
        <w:numPr>
          <w:ilvl w:val="0"/>
          <w:numId w:val="18"/>
        </w:numPr>
        <w:tabs>
          <w:tab w:pos="2221" w:val="left" w:leader="none"/>
        </w:tabs>
        <w:spacing w:line="273" w:lineRule="auto" w:before="137" w:after="0"/>
        <w:ind w:left="2254" w:right="103" w:hanging="454"/>
        <w:jc w:val="both"/>
        <w:rPr>
          <w:sz w:val="21"/>
        </w:rPr>
      </w:pPr>
      <w:r>
        <w:rPr>
          <w:spacing w:val="-7"/>
          <w:sz w:val="21"/>
        </w:rPr>
        <w:t>慢性肝功能衰竭失代偿期：指因慢性肝脏疾病导致肝功能衰竭。须满足下列</w:t>
      </w:r>
      <w:r>
        <w:rPr>
          <w:spacing w:val="-4"/>
          <w:sz w:val="21"/>
        </w:rPr>
        <w:t>全部条件：</w:t>
      </w:r>
    </w:p>
    <w:p>
      <w:pPr>
        <w:pStyle w:val="ListParagraph"/>
        <w:numPr>
          <w:ilvl w:val="1"/>
          <w:numId w:val="18"/>
        </w:numPr>
        <w:tabs>
          <w:tab w:pos="3095" w:val="left" w:leader="none"/>
        </w:tabs>
        <w:spacing w:line="240" w:lineRule="auto" w:before="163" w:after="0"/>
        <w:ind w:left="3094" w:right="0" w:hanging="393"/>
        <w:jc w:val="left"/>
        <w:rPr>
          <w:sz w:val="21"/>
        </w:rPr>
      </w:pPr>
      <w:r>
        <w:rPr>
          <w:spacing w:val="-2"/>
          <w:sz w:val="21"/>
        </w:rPr>
        <w:t>持续性黄疸；</w:t>
      </w:r>
    </w:p>
    <w:p>
      <w:pPr>
        <w:pStyle w:val="BodyText"/>
        <w:spacing w:before="9"/>
        <w:rPr>
          <w:sz w:val="14"/>
        </w:rPr>
      </w:pPr>
    </w:p>
    <w:p>
      <w:pPr>
        <w:pStyle w:val="ListParagraph"/>
        <w:numPr>
          <w:ilvl w:val="1"/>
          <w:numId w:val="18"/>
        </w:numPr>
        <w:tabs>
          <w:tab w:pos="3095" w:val="left" w:leader="none"/>
        </w:tabs>
        <w:spacing w:line="240" w:lineRule="auto" w:before="0" w:after="0"/>
        <w:ind w:left="3094" w:right="0" w:hanging="393"/>
        <w:jc w:val="left"/>
        <w:rPr>
          <w:sz w:val="21"/>
        </w:rPr>
      </w:pPr>
      <w:r>
        <w:rPr>
          <w:sz w:val="21"/>
        </w:rPr>
        <w:t>腹水；</w:t>
      </w:r>
    </w:p>
    <w:p>
      <w:pPr>
        <w:pStyle w:val="BodyText"/>
        <w:spacing w:before="9"/>
        <w:rPr>
          <w:sz w:val="14"/>
        </w:rPr>
      </w:pPr>
    </w:p>
    <w:p>
      <w:pPr>
        <w:pStyle w:val="ListParagraph"/>
        <w:numPr>
          <w:ilvl w:val="1"/>
          <w:numId w:val="18"/>
        </w:numPr>
        <w:tabs>
          <w:tab w:pos="3095" w:val="left" w:leader="none"/>
        </w:tabs>
        <w:spacing w:line="240" w:lineRule="auto" w:before="0" w:after="0"/>
        <w:ind w:left="3094" w:right="0" w:hanging="393"/>
        <w:jc w:val="left"/>
        <w:rPr>
          <w:sz w:val="21"/>
        </w:rPr>
      </w:pPr>
      <w:r>
        <w:rPr>
          <w:spacing w:val="-1"/>
          <w:sz w:val="21"/>
        </w:rPr>
        <w:t>肝性脑病；</w:t>
      </w:r>
    </w:p>
    <w:p>
      <w:pPr>
        <w:pStyle w:val="BodyText"/>
        <w:spacing w:before="9"/>
        <w:rPr>
          <w:sz w:val="14"/>
        </w:rPr>
      </w:pPr>
    </w:p>
    <w:p>
      <w:pPr>
        <w:pStyle w:val="ListParagraph"/>
        <w:numPr>
          <w:ilvl w:val="1"/>
          <w:numId w:val="18"/>
        </w:numPr>
        <w:tabs>
          <w:tab w:pos="3095" w:val="left" w:leader="none"/>
        </w:tabs>
        <w:spacing w:line="240" w:lineRule="auto" w:before="0" w:after="0"/>
        <w:ind w:left="3094" w:right="0" w:hanging="393"/>
        <w:jc w:val="left"/>
        <w:rPr>
          <w:sz w:val="21"/>
        </w:rPr>
      </w:pPr>
      <w:r>
        <w:rPr>
          <w:spacing w:val="-3"/>
          <w:sz w:val="21"/>
        </w:rPr>
        <w:t>充血性脾肿大伴脾功能亢进或食管胃底静脉曲张。</w:t>
      </w:r>
    </w:p>
    <w:p>
      <w:pPr>
        <w:pStyle w:val="BodyText"/>
        <w:rPr>
          <w:sz w:val="20"/>
        </w:rPr>
      </w:pPr>
    </w:p>
    <w:p>
      <w:pPr>
        <w:pStyle w:val="BodyText"/>
        <w:rPr>
          <w:sz w:val="20"/>
        </w:rPr>
      </w:pPr>
    </w:p>
    <w:p>
      <w:pPr>
        <w:pStyle w:val="Heading2"/>
        <w:spacing w:before="137"/>
      </w:pPr>
      <w:r>
        <w:rPr/>
        <w:t>因酗酒或药物滥用导致的肝功能衰竭不在保障范围内。</w:t>
      </w:r>
    </w:p>
    <w:p>
      <w:pPr>
        <w:pStyle w:val="BodyText"/>
        <w:rPr>
          <w:b/>
          <w:sz w:val="20"/>
        </w:rPr>
      </w:pPr>
    </w:p>
    <w:p>
      <w:pPr>
        <w:pStyle w:val="BodyText"/>
        <w:rPr>
          <w:b/>
          <w:sz w:val="20"/>
        </w:rPr>
      </w:pPr>
    </w:p>
    <w:p>
      <w:pPr>
        <w:pStyle w:val="ListParagraph"/>
        <w:numPr>
          <w:ilvl w:val="0"/>
          <w:numId w:val="18"/>
        </w:numPr>
        <w:tabs>
          <w:tab w:pos="2221" w:val="left" w:leader="none"/>
        </w:tabs>
        <w:spacing w:line="273" w:lineRule="auto" w:before="137" w:after="0"/>
        <w:ind w:left="2254" w:right="103" w:hanging="454"/>
        <w:jc w:val="both"/>
        <w:rPr>
          <w:b/>
          <w:sz w:val="21"/>
        </w:rPr>
      </w:pPr>
      <w:r>
        <w:rPr>
          <w:spacing w:val="-8"/>
          <w:sz w:val="21"/>
        </w:rPr>
        <w:t>脑炎后遗症或脑膜炎后遗症：指因患脑炎或脑膜炎导致的神经系统永久性的</w:t>
      </w:r>
      <w:r>
        <w:rPr>
          <w:spacing w:val="-6"/>
          <w:sz w:val="21"/>
        </w:rPr>
        <w:t>功能障碍。神经系统永久性的功能障碍，指疾病确诊</w:t>
      </w:r>
      <w:r>
        <w:rPr>
          <w:sz w:val="21"/>
        </w:rPr>
        <w:t>180</w:t>
      </w:r>
      <w:r>
        <w:rPr>
          <w:spacing w:val="-3"/>
          <w:sz w:val="21"/>
        </w:rPr>
        <w:t>天后，</w:t>
      </w:r>
      <w:r>
        <w:rPr>
          <w:b/>
          <w:sz w:val="21"/>
        </w:rPr>
        <w:t>仍遗留下列</w:t>
      </w:r>
      <w:r>
        <w:rPr>
          <w:b/>
          <w:spacing w:val="-1"/>
          <w:sz w:val="21"/>
        </w:rPr>
        <w:t>一种或一种以上障碍：</w:t>
      </w:r>
    </w:p>
    <w:p>
      <w:pPr>
        <w:pStyle w:val="ListParagraph"/>
        <w:numPr>
          <w:ilvl w:val="1"/>
          <w:numId w:val="18"/>
        </w:numPr>
        <w:tabs>
          <w:tab w:pos="3061" w:val="left" w:leader="none"/>
        </w:tabs>
        <w:spacing w:line="240" w:lineRule="auto" w:before="163" w:after="0"/>
        <w:ind w:left="3061" w:right="0" w:hanging="360"/>
        <w:jc w:val="left"/>
        <w:rPr>
          <w:sz w:val="21"/>
        </w:rPr>
      </w:pPr>
      <w:r>
        <w:rPr>
          <w:spacing w:val="-3"/>
          <w:sz w:val="21"/>
        </w:rPr>
        <w:t>一肢或一肢以上肢体机能完全丧失；</w:t>
      </w:r>
    </w:p>
    <w:p>
      <w:pPr>
        <w:pStyle w:val="BodyText"/>
        <w:spacing w:before="9"/>
        <w:rPr>
          <w:sz w:val="14"/>
        </w:rPr>
      </w:pPr>
    </w:p>
    <w:p>
      <w:pPr>
        <w:pStyle w:val="ListParagraph"/>
        <w:numPr>
          <w:ilvl w:val="1"/>
          <w:numId w:val="18"/>
        </w:numPr>
        <w:tabs>
          <w:tab w:pos="3061" w:val="left" w:leader="none"/>
        </w:tabs>
        <w:spacing w:line="240" w:lineRule="auto" w:before="1" w:after="0"/>
        <w:ind w:left="3061" w:right="0" w:hanging="360"/>
        <w:jc w:val="left"/>
        <w:rPr>
          <w:sz w:val="21"/>
        </w:rPr>
      </w:pPr>
      <w:r>
        <w:rPr>
          <w:spacing w:val="-3"/>
          <w:sz w:val="21"/>
        </w:rPr>
        <w:t>语言能力或咀嚼吞咽能力完全丧失；</w:t>
      </w:r>
    </w:p>
    <w:p>
      <w:pPr>
        <w:pStyle w:val="BodyText"/>
        <w:spacing w:before="10"/>
        <w:rPr>
          <w:sz w:val="14"/>
        </w:rPr>
      </w:pPr>
    </w:p>
    <w:p>
      <w:pPr>
        <w:pStyle w:val="ListParagraph"/>
        <w:numPr>
          <w:ilvl w:val="1"/>
          <w:numId w:val="18"/>
        </w:numPr>
        <w:tabs>
          <w:tab w:pos="3061" w:val="left" w:leader="none"/>
        </w:tabs>
        <w:spacing w:line="273" w:lineRule="auto" w:before="0" w:after="0"/>
        <w:ind w:left="3061" w:right="104" w:hanging="360"/>
        <w:jc w:val="left"/>
        <w:rPr>
          <w:sz w:val="21"/>
        </w:rPr>
      </w:pPr>
      <w:r>
        <w:rPr>
          <w:spacing w:val="-9"/>
          <w:sz w:val="21"/>
        </w:rPr>
        <w:t>自主生活能力完全丧失，无法独立完成六项基本日常生活活动中的</w:t>
      </w:r>
      <w:r>
        <w:rPr>
          <w:spacing w:val="-5"/>
          <w:sz w:val="21"/>
        </w:rPr>
        <w:t>三项或三项以上。</w:t>
      </w:r>
    </w:p>
    <w:p>
      <w:pPr>
        <w:pStyle w:val="BodyText"/>
        <w:rPr>
          <w:sz w:val="20"/>
        </w:rPr>
      </w:pPr>
    </w:p>
    <w:p>
      <w:pPr>
        <w:pStyle w:val="BodyText"/>
        <w:spacing w:before="4"/>
        <w:rPr>
          <w:sz w:val="16"/>
        </w:rPr>
      </w:pPr>
    </w:p>
    <w:p>
      <w:pPr>
        <w:pStyle w:val="ListParagraph"/>
        <w:numPr>
          <w:ilvl w:val="0"/>
          <w:numId w:val="18"/>
        </w:numPr>
        <w:tabs>
          <w:tab w:pos="2221" w:val="left" w:leader="none"/>
        </w:tabs>
        <w:spacing w:line="273" w:lineRule="auto" w:before="0" w:after="0"/>
        <w:ind w:left="2254" w:right="107" w:hanging="454"/>
        <w:jc w:val="both"/>
        <w:rPr>
          <w:sz w:val="21"/>
        </w:rPr>
      </w:pPr>
      <w:r>
        <w:rPr>
          <w:sz w:val="21"/>
        </w:rPr>
        <w:t>深度昏迷：指因疾病或意外伤害导致意识丧失,对外界刺激和体内需求均无</w:t>
      </w:r>
      <w:r>
        <w:rPr>
          <w:spacing w:val="-3"/>
          <w:sz w:val="21"/>
        </w:rPr>
        <w:t>反应,昏迷程度按照格拉斯哥昏迷分级</w:t>
      </w:r>
      <w:r>
        <w:rPr>
          <w:sz w:val="21"/>
        </w:rPr>
        <w:t>（Glasgow</w:t>
      </w:r>
      <w:r>
        <w:rPr>
          <w:spacing w:val="-37"/>
          <w:sz w:val="21"/>
        </w:rPr>
        <w:t> </w:t>
      </w:r>
      <w:r>
        <w:rPr>
          <w:sz w:val="21"/>
        </w:rPr>
        <w:t>coma</w:t>
      </w:r>
      <w:r>
        <w:rPr>
          <w:spacing w:val="-37"/>
          <w:sz w:val="21"/>
        </w:rPr>
        <w:t> </w:t>
      </w:r>
      <w:r>
        <w:rPr>
          <w:sz w:val="21"/>
        </w:rPr>
        <w:t>scale）</w:t>
      </w:r>
      <w:r>
        <w:rPr>
          <w:spacing w:val="-2"/>
          <w:sz w:val="21"/>
        </w:rPr>
        <w:t>结果为</w:t>
      </w:r>
      <w:r>
        <w:rPr>
          <w:sz w:val="21"/>
        </w:rPr>
        <w:t>5</w:t>
      </w:r>
      <w:r>
        <w:rPr>
          <w:spacing w:val="-3"/>
          <w:sz w:val="21"/>
        </w:rPr>
        <w:t>分或</w:t>
      </w:r>
    </w:p>
    <w:p>
      <w:pPr>
        <w:pStyle w:val="BodyText"/>
        <w:spacing w:before="7"/>
        <w:ind w:left="2254"/>
      </w:pPr>
      <w:r>
        <w:rPr/>
        <w:t>5分以下，且已经持续使用呼吸机及其它生命维持系统96小时以上。</w:t>
      </w:r>
    </w:p>
    <w:p>
      <w:pPr>
        <w:pStyle w:val="BodyText"/>
        <w:rPr>
          <w:sz w:val="20"/>
        </w:rPr>
      </w:pPr>
    </w:p>
    <w:p>
      <w:pPr>
        <w:pStyle w:val="BodyText"/>
        <w:rPr>
          <w:sz w:val="20"/>
        </w:rPr>
      </w:pPr>
    </w:p>
    <w:p>
      <w:pPr>
        <w:pStyle w:val="Heading2"/>
        <w:spacing w:before="137"/>
      </w:pPr>
      <w:r>
        <w:rPr/>
        <w:t>因酗酒或药物滥用导致的深度昏迷不在保障范围内。</w:t>
      </w:r>
    </w:p>
    <w:p>
      <w:pPr>
        <w:pStyle w:val="BodyText"/>
        <w:rPr>
          <w:b/>
          <w:sz w:val="20"/>
        </w:rPr>
      </w:pPr>
    </w:p>
    <w:p>
      <w:pPr>
        <w:pStyle w:val="BodyText"/>
        <w:rPr>
          <w:b/>
          <w:sz w:val="20"/>
        </w:rPr>
      </w:pPr>
    </w:p>
    <w:p>
      <w:pPr>
        <w:pStyle w:val="ListParagraph"/>
        <w:numPr>
          <w:ilvl w:val="0"/>
          <w:numId w:val="18"/>
        </w:numPr>
        <w:tabs>
          <w:tab w:pos="2221" w:val="left" w:leader="none"/>
        </w:tabs>
        <w:spacing w:line="273" w:lineRule="auto" w:before="137" w:after="0"/>
        <w:ind w:left="2254" w:right="104" w:hanging="454"/>
        <w:jc w:val="both"/>
        <w:rPr>
          <w:sz w:val="21"/>
        </w:rPr>
      </w:pPr>
      <w:r>
        <w:rPr>
          <w:sz w:val="21"/>
        </w:rPr>
        <w:t>双耳失聪：指因疾病或意外伤害导致双耳听力</w:t>
      </w:r>
      <w:r>
        <w:rPr>
          <w:b/>
          <w:sz w:val="21"/>
        </w:rPr>
        <w:t>永久不可逆</w:t>
      </w:r>
      <w:r>
        <w:rPr>
          <w:sz w:val="21"/>
        </w:rPr>
        <w:t>（见10.20）性丧失，在500</w:t>
      </w:r>
      <w:r>
        <w:rPr>
          <w:spacing w:val="-1"/>
          <w:sz w:val="21"/>
        </w:rPr>
        <w:t>赫兹、</w:t>
      </w:r>
      <w:r>
        <w:rPr>
          <w:sz w:val="21"/>
        </w:rPr>
        <w:t>1000</w:t>
      </w:r>
      <w:r>
        <w:rPr>
          <w:spacing w:val="-2"/>
          <w:sz w:val="21"/>
        </w:rPr>
        <w:t>赫兹和</w:t>
      </w:r>
      <w:r>
        <w:rPr>
          <w:sz w:val="21"/>
        </w:rPr>
        <w:t>2000</w:t>
      </w:r>
      <w:r>
        <w:rPr>
          <w:spacing w:val="-3"/>
          <w:sz w:val="21"/>
        </w:rPr>
        <w:t>赫兹语音频率下，平均听阈大于</w:t>
      </w:r>
      <w:r>
        <w:rPr>
          <w:sz w:val="21"/>
        </w:rPr>
        <w:t>90</w:t>
      </w:r>
      <w:r>
        <w:rPr>
          <w:spacing w:val="-2"/>
          <w:sz w:val="21"/>
        </w:rPr>
        <w:t>分贝， </w:t>
      </w:r>
      <w:r>
        <w:rPr>
          <w:spacing w:val="-3"/>
          <w:sz w:val="21"/>
        </w:rPr>
        <w:t>且经纯音听力测试、声导抗检测或听觉诱发电位检测等证实。</w:t>
      </w:r>
    </w:p>
    <w:p>
      <w:pPr>
        <w:spacing w:after="0" w:line="273" w:lineRule="auto"/>
        <w:jc w:val="both"/>
        <w:rPr>
          <w:sz w:val="21"/>
        </w:rPr>
        <w:sectPr>
          <w:pgSz w:w="11910" w:h="16840"/>
          <w:pgMar w:header="0" w:footer="924" w:top="1560" w:bottom="1200" w:left="1680" w:right="1020"/>
        </w:sectPr>
      </w:pPr>
    </w:p>
    <w:p>
      <w:pPr>
        <w:pStyle w:val="Heading2"/>
        <w:spacing w:before="22"/>
        <w:ind w:left="2254"/>
      </w:pPr>
      <w:r>
        <w:rPr/>
        <w:t>被保险人申请理赔时年龄必须在3周岁以上。</w:t>
      </w:r>
    </w:p>
    <w:p>
      <w:pPr>
        <w:pStyle w:val="BodyText"/>
        <w:rPr>
          <w:b/>
          <w:sz w:val="20"/>
        </w:rPr>
      </w:pPr>
    </w:p>
    <w:p>
      <w:pPr>
        <w:pStyle w:val="BodyText"/>
        <w:rPr>
          <w:b/>
          <w:sz w:val="20"/>
        </w:rPr>
      </w:pPr>
    </w:p>
    <w:p>
      <w:pPr>
        <w:pStyle w:val="ListParagraph"/>
        <w:numPr>
          <w:ilvl w:val="0"/>
          <w:numId w:val="18"/>
        </w:numPr>
        <w:tabs>
          <w:tab w:pos="2221" w:val="left" w:leader="none"/>
        </w:tabs>
        <w:spacing w:line="273" w:lineRule="auto" w:before="138" w:after="0"/>
        <w:ind w:left="2254" w:right="204" w:hanging="454"/>
        <w:jc w:val="left"/>
        <w:rPr>
          <w:sz w:val="21"/>
        </w:rPr>
      </w:pPr>
      <w:r>
        <w:rPr>
          <w:spacing w:val="-8"/>
          <w:sz w:val="21"/>
        </w:rPr>
        <w:t>双目失明：指因疾病或意外伤害导致双眼视力永久不可逆性丧失，双眼中较</w:t>
      </w:r>
      <w:r>
        <w:rPr>
          <w:spacing w:val="-5"/>
          <w:sz w:val="21"/>
        </w:rPr>
        <w:t>好眼须满足下列至少一项条件：</w:t>
      </w:r>
    </w:p>
    <w:p>
      <w:pPr>
        <w:pStyle w:val="BodyText"/>
        <w:rPr>
          <w:sz w:val="20"/>
        </w:rPr>
      </w:pPr>
    </w:p>
    <w:p>
      <w:pPr>
        <w:pStyle w:val="BodyText"/>
        <w:spacing w:before="3"/>
        <w:rPr>
          <w:sz w:val="28"/>
        </w:rPr>
      </w:pPr>
    </w:p>
    <w:p>
      <w:pPr>
        <w:pStyle w:val="ListParagraph"/>
        <w:numPr>
          <w:ilvl w:val="1"/>
          <w:numId w:val="18"/>
        </w:numPr>
        <w:tabs>
          <w:tab w:pos="3061" w:val="left" w:leader="none"/>
        </w:tabs>
        <w:spacing w:line="240" w:lineRule="auto" w:before="0" w:after="0"/>
        <w:ind w:left="3061" w:right="0" w:hanging="360"/>
        <w:jc w:val="left"/>
        <w:rPr>
          <w:sz w:val="21"/>
        </w:rPr>
      </w:pPr>
      <w:r>
        <w:rPr>
          <w:spacing w:val="-3"/>
          <w:sz w:val="21"/>
        </w:rPr>
        <w:t>眼球缺失或摘除；</w:t>
      </w:r>
    </w:p>
    <w:p>
      <w:pPr>
        <w:pStyle w:val="BodyText"/>
        <w:spacing w:before="9"/>
        <w:rPr>
          <w:sz w:val="14"/>
        </w:rPr>
      </w:pPr>
    </w:p>
    <w:p>
      <w:pPr>
        <w:pStyle w:val="ListParagraph"/>
        <w:numPr>
          <w:ilvl w:val="1"/>
          <w:numId w:val="18"/>
        </w:numPr>
        <w:tabs>
          <w:tab w:pos="3061" w:val="left" w:leader="none"/>
        </w:tabs>
        <w:spacing w:line="273" w:lineRule="auto" w:before="0" w:after="0"/>
        <w:ind w:left="3061" w:right="203" w:hanging="360"/>
        <w:jc w:val="left"/>
        <w:rPr>
          <w:sz w:val="21"/>
        </w:rPr>
      </w:pPr>
      <w:r>
        <w:rPr>
          <w:spacing w:val="-2"/>
          <w:sz w:val="21"/>
        </w:rPr>
        <w:t>矫正视力低于</w:t>
      </w:r>
      <w:r>
        <w:rPr>
          <w:spacing w:val="-7"/>
          <w:sz w:val="21"/>
        </w:rPr>
        <w:t>0.02（</w:t>
      </w:r>
      <w:r>
        <w:rPr>
          <w:spacing w:val="-6"/>
          <w:sz w:val="21"/>
        </w:rPr>
        <w:t>采用国际标准视力表，如果使用其它视力表应</w:t>
      </w:r>
      <w:r>
        <w:rPr>
          <w:spacing w:val="-4"/>
          <w:w w:val="100"/>
          <w:sz w:val="21"/>
        </w:rPr>
        <w:t>进行换算</w:t>
      </w:r>
      <w:r>
        <w:rPr>
          <w:spacing w:val="-108"/>
          <w:w w:val="100"/>
          <w:sz w:val="21"/>
        </w:rPr>
        <w:t>）</w:t>
      </w:r>
      <w:r>
        <w:rPr>
          <w:w w:val="100"/>
          <w:sz w:val="21"/>
        </w:rPr>
        <w:t>；</w:t>
      </w:r>
    </w:p>
    <w:p>
      <w:pPr>
        <w:pStyle w:val="ListParagraph"/>
        <w:numPr>
          <w:ilvl w:val="1"/>
          <w:numId w:val="18"/>
        </w:numPr>
        <w:tabs>
          <w:tab w:pos="3061" w:val="left" w:leader="none"/>
        </w:tabs>
        <w:spacing w:line="240" w:lineRule="auto" w:before="163" w:after="0"/>
        <w:ind w:left="3061" w:right="0" w:hanging="360"/>
        <w:jc w:val="left"/>
        <w:rPr>
          <w:sz w:val="21"/>
        </w:rPr>
      </w:pPr>
      <w:r>
        <w:rPr>
          <w:spacing w:val="-3"/>
          <w:sz w:val="21"/>
        </w:rPr>
        <w:t>视野半径小于5</w:t>
      </w:r>
      <w:r>
        <w:rPr>
          <w:sz w:val="21"/>
        </w:rPr>
        <w:t>度。</w:t>
      </w:r>
    </w:p>
    <w:p>
      <w:pPr>
        <w:pStyle w:val="BodyText"/>
        <w:rPr>
          <w:sz w:val="20"/>
        </w:rPr>
      </w:pPr>
    </w:p>
    <w:p>
      <w:pPr>
        <w:pStyle w:val="BodyText"/>
        <w:rPr>
          <w:sz w:val="20"/>
        </w:rPr>
      </w:pPr>
    </w:p>
    <w:p>
      <w:pPr>
        <w:pStyle w:val="Heading2"/>
        <w:spacing w:before="138"/>
      </w:pPr>
      <w:r>
        <w:rPr/>
        <w:t>被保险人申请理赔时年龄必须在3周岁以上。</w:t>
      </w:r>
    </w:p>
    <w:p>
      <w:pPr>
        <w:pStyle w:val="BodyText"/>
        <w:rPr>
          <w:b/>
          <w:sz w:val="20"/>
        </w:rPr>
      </w:pPr>
    </w:p>
    <w:p>
      <w:pPr>
        <w:pStyle w:val="BodyText"/>
        <w:rPr>
          <w:b/>
          <w:sz w:val="20"/>
        </w:rPr>
      </w:pPr>
    </w:p>
    <w:p>
      <w:pPr>
        <w:pStyle w:val="ListParagraph"/>
        <w:numPr>
          <w:ilvl w:val="0"/>
          <w:numId w:val="18"/>
        </w:numPr>
        <w:tabs>
          <w:tab w:pos="2221" w:val="left" w:leader="none"/>
        </w:tabs>
        <w:spacing w:line="273" w:lineRule="auto" w:before="137" w:after="0"/>
        <w:ind w:left="2254" w:right="203" w:hanging="454"/>
        <w:jc w:val="both"/>
        <w:rPr>
          <w:sz w:val="21"/>
        </w:rPr>
      </w:pPr>
      <w:r>
        <w:rPr>
          <w:spacing w:val="-8"/>
          <w:sz w:val="21"/>
        </w:rPr>
        <w:t>瘫痪：指因疾病或意外伤害导致两肢或两肢以上肢体机能永久完全丧失。肢</w:t>
      </w:r>
      <w:r>
        <w:rPr>
          <w:spacing w:val="-10"/>
          <w:sz w:val="21"/>
        </w:rPr>
        <w:t>体机能永久完全丧失，指疾病确诊</w:t>
      </w:r>
      <w:r>
        <w:rPr>
          <w:sz w:val="21"/>
        </w:rPr>
        <w:t>180</w:t>
      </w:r>
      <w:r>
        <w:rPr>
          <w:spacing w:val="-3"/>
          <w:sz w:val="21"/>
        </w:rPr>
        <w:t>天后或意外伤害发生</w:t>
      </w:r>
      <w:r>
        <w:rPr>
          <w:sz w:val="21"/>
        </w:rPr>
        <w:t>180</w:t>
      </w:r>
      <w:r>
        <w:rPr>
          <w:spacing w:val="-10"/>
          <w:sz w:val="21"/>
        </w:rPr>
        <w:t>天后，每肢三</w:t>
      </w:r>
      <w:r>
        <w:rPr>
          <w:spacing w:val="-5"/>
          <w:sz w:val="21"/>
        </w:rPr>
        <w:t>大关节中的两大关节仍然完全僵硬，或不能随意识活动。</w:t>
      </w:r>
    </w:p>
    <w:p>
      <w:pPr>
        <w:pStyle w:val="BodyText"/>
        <w:rPr>
          <w:sz w:val="20"/>
        </w:rPr>
      </w:pPr>
    </w:p>
    <w:p>
      <w:pPr>
        <w:pStyle w:val="BodyText"/>
        <w:spacing w:before="3"/>
        <w:rPr>
          <w:sz w:val="28"/>
        </w:rPr>
      </w:pPr>
    </w:p>
    <w:p>
      <w:pPr>
        <w:pStyle w:val="ListParagraph"/>
        <w:numPr>
          <w:ilvl w:val="0"/>
          <w:numId w:val="18"/>
        </w:numPr>
        <w:tabs>
          <w:tab w:pos="2221" w:val="left" w:leader="none"/>
        </w:tabs>
        <w:spacing w:line="273" w:lineRule="auto" w:before="0" w:after="0"/>
        <w:ind w:left="2254" w:right="204" w:hanging="454"/>
        <w:jc w:val="left"/>
        <w:rPr>
          <w:sz w:val="21"/>
        </w:rPr>
      </w:pPr>
      <w:r>
        <w:rPr>
          <w:spacing w:val="-9"/>
          <w:sz w:val="21"/>
        </w:rPr>
        <w:t>心脏瓣膜手术：指为治疗心脏瓣膜疾病，实际实施了开胸进行的心脏瓣膜置</w:t>
      </w:r>
      <w:r>
        <w:rPr>
          <w:spacing w:val="-5"/>
          <w:sz w:val="21"/>
        </w:rPr>
        <w:t>换或修复的手术。</w:t>
      </w:r>
    </w:p>
    <w:p>
      <w:pPr>
        <w:pStyle w:val="BodyText"/>
        <w:rPr>
          <w:sz w:val="20"/>
        </w:rPr>
      </w:pPr>
    </w:p>
    <w:p>
      <w:pPr>
        <w:pStyle w:val="BodyText"/>
        <w:spacing w:before="3"/>
        <w:rPr>
          <w:sz w:val="28"/>
        </w:rPr>
      </w:pPr>
    </w:p>
    <w:p>
      <w:pPr>
        <w:pStyle w:val="ListParagraph"/>
        <w:numPr>
          <w:ilvl w:val="0"/>
          <w:numId w:val="18"/>
        </w:numPr>
        <w:tabs>
          <w:tab w:pos="2221" w:val="left" w:leader="none"/>
        </w:tabs>
        <w:spacing w:line="273" w:lineRule="auto" w:before="0" w:after="0"/>
        <w:ind w:left="2254" w:right="115" w:hanging="454"/>
        <w:jc w:val="left"/>
        <w:rPr>
          <w:sz w:val="21"/>
        </w:rPr>
      </w:pPr>
      <w:r>
        <w:rPr>
          <w:spacing w:val="-9"/>
          <w:sz w:val="21"/>
        </w:rPr>
        <w:t>严重阿尔茨海默病：指因大脑进行性、不可逆性改变导致智能严重衰退或丧</w:t>
      </w:r>
      <w:r>
        <w:rPr>
          <w:spacing w:val="-11"/>
          <w:sz w:val="21"/>
        </w:rPr>
        <w:t>失，临床表现为明显的认知能力障碍、行为异常和社交能力减退，其日常生</w:t>
      </w:r>
      <w:r>
        <w:rPr>
          <w:spacing w:val="-6"/>
          <w:w w:val="100"/>
          <w:sz w:val="21"/>
        </w:rPr>
        <w:t>活必须持续受到他人监护。须由头颅断层扫描</w:t>
      </w:r>
      <w:r>
        <w:rPr>
          <w:spacing w:val="-1"/>
          <w:w w:val="100"/>
          <w:sz w:val="21"/>
        </w:rPr>
        <w:t>（</w:t>
      </w:r>
      <w:r>
        <w:rPr>
          <w:w w:val="100"/>
          <w:sz w:val="21"/>
        </w:rPr>
        <w:t>C</w:t>
      </w:r>
      <w:r>
        <w:rPr>
          <w:spacing w:val="-3"/>
          <w:w w:val="100"/>
          <w:sz w:val="21"/>
        </w:rPr>
        <w:t>T</w:t>
      </w:r>
      <w:r>
        <w:rPr>
          <w:spacing w:val="-108"/>
          <w:w w:val="100"/>
          <w:sz w:val="21"/>
        </w:rPr>
        <w:t>）</w:t>
      </w:r>
      <w:r>
        <w:rPr>
          <w:spacing w:val="-3"/>
          <w:w w:val="100"/>
          <w:sz w:val="21"/>
        </w:rPr>
        <w:t>、核磁共振检查</w:t>
      </w:r>
      <w:r>
        <w:rPr>
          <w:w w:val="100"/>
          <w:sz w:val="21"/>
        </w:rPr>
        <w:t>（M</w:t>
      </w:r>
      <w:r>
        <w:rPr>
          <w:spacing w:val="-3"/>
          <w:w w:val="100"/>
          <w:sz w:val="21"/>
        </w:rPr>
        <w:t>R</w:t>
      </w:r>
      <w:r>
        <w:rPr>
          <w:spacing w:val="-1"/>
          <w:w w:val="100"/>
          <w:sz w:val="21"/>
        </w:rPr>
        <w:t>I</w:t>
      </w:r>
      <w:r>
        <w:rPr>
          <w:w w:val="100"/>
          <w:sz w:val="21"/>
        </w:rPr>
        <w:t>）</w:t>
      </w:r>
      <w:r>
        <w:rPr>
          <w:spacing w:val="-2"/>
          <w:sz w:val="21"/>
        </w:rPr>
        <w:t>或正电子发射断层扫描</w:t>
      </w:r>
      <w:r>
        <w:rPr>
          <w:sz w:val="21"/>
        </w:rPr>
        <w:t>（PET）</w:t>
      </w:r>
      <w:r>
        <w:rPr>
          <w:spacing w:val="-3"/>
          <w:sz w:val="21"/>
        </w:rPr>
        <w:t>等影像学检查证实，且自主生活能力完全丧失，无法独立完成六项基本日常生活活动中的三项或三项以上。</w:t>
      </w:r>
    </w:p>
    <w:p>
      <w:pPr>
        <w:pStyle w:val="BodyText"/>
        <w:rPr>
          <w:sz w:val="20"/>
        </w:rPr>
      </w:pPr>
    </w:p>
    <w:p>
      <w:pPr>
        <w:pStyle w:val="BodyText"/>
        <w:spacing w:before="4"/>
        <w:rPr>
          <w:sz w:val="28"/>
        </w:rPr>
      </w:pPr>
    </w:p>
    <w:p>
      <w:pPr>
        <w:pStyle w:val="Heading2"/>
      </w:pPr>
      <w:r>
        <w:rPr/>
        <w:t>神经官能症和精神疾病不在保障范围内。</w:t>
      </w:r>
    </w:p>
    <w:p>
      <w:pPr>
        <w:pStyle w:val="BodyText"/>
        <w:rPr>
          <w:b/>
          <w:sz w:val="20"/>
        </w:rPr>
      </w:pPr>
    </w:p>
    <w:p>
      <w:pPr>
        <w:pStyle w:val="BodyText"/>
        <w:rPr>
          <w:b/>
          <w:sz w:val="20"/>
        </w:rPr>
      </w:pPr>
    </w:p>
    <w:p>
      <w:pPr>
        <w:pStyle w:val="ListParagraph"/>
        <w:numPr>
          <w:ilvl w:val="0"/>
          <w:numId w:val="18"/>
        </w:numPr>
        <w:tabs>
          <w:tab w:pos="2221" w:val="left" w:leader="none"/>
        </w:tabs>
        <w:spacing w:line="273" w:lineRule="auto" w:before="137" w:after="0"/>
        <w:ind w:left="2254" w:right="101" w:hanging="454"/>
        <w:jc w:val="left"/>
        <w:rPr>
          <w:b/>
          <w:sz w:val="21"/>
        </w:rPr>
      </w:pPr>
      <w:r>
        <w:rPr>
          <w:spacing w:val="-7"/>
          <w:sz w:val="21"/>
        </w:rPr>
        <w:t>严重脑损伤：指因头部遭受机械性外力，引起脑重要部位损伤，导致神经系</w:t>
      </w:r>
      <w:r>
        <w:rPr>
          <w:spacing w:val="-8"/>
          <w:w w:val="100"/>
          <w:sz w:val="21"/>
        </w:rPr>
        <w:t>统永久性的功能障碍。须由头颅断层扫描</w:t>
      </w:r>
      <w:r>
        <w:rPr>
          <w:spacing w:val="-1"/>
          <w:w w:val="100"/>
          <w:sz w:val="21"/>
        </w:rPr>
        <w:t>（</w:t>
      </w:r>
      <w:r>
        <w:rPr>
          <w:w w:val="100"/>
          <w:sz w:val="21"/>
        </w:rPr>
        <w:t>CT</w:t>
      </w:r>
      <w:r>
        <w:rPr>
          <w:spacing w:val="-106"/>
          <w:w w:val="100"/>
          <w:sz w:val="21"/>
        </w:rPr>
        <w:t>）</w:t>
      </w:r>
      <w:r>
        <w:rPr>
          <w:spacing w:val="-9"/>
          <w:w w:val="100"/>
          <w:sz w:val="21"/>
        </w:rPr>
        <w:t>、核磁共振检查</w:t>
      </w:r>
      <w:r>
        <w:rPr>
          <w:w w:val="100"/>
          <w:sz w:val="21"/>
        </w:rPr>
        <w:t>（MRI</w:t>
      </w:r>
      <w:r>
        <w:rPr>
          <w:spacing w:val="-22"/>
          <w:w w:val="100"/>
          <w:sz w:val="21"/>
        </w:rPr>
        <w:t>）</w:t>
      </w:r>
      <w:r>
        <w:rPr>
          <w:w w:val="100"/>
          <w:sz w:val="21"/>
        </w:rPr>
        <w:t>或正</w:t>
      </w:r>
      <w:r>
        <w:rPr>
          <w:spacing w:val="-7"/>
          <w:sz w:val="21"/>
        </w:rPr>
        <w:t>电子发射断层扫描</w:t>
      </w:r>
      <w:r>
        <w:rPr>
          <w:spacing w:val="-8"/>
          <w:sz w:val="21"/>
        </w:rPr>
        <w:t>（PET）</w:t>
      </w:r>
      <w:r>
        <w:rPr>
          <w:spacing w:val="-7"/>
          <w:sz w:val="21"/>
        </w:rPr>
        <w:t>等影像学检查证实。神经系统永久性的功能障碍， </w:t>
      </w:r>
      <w:r>
        <w:rPr>
          <w:spacing w:val="-2"/>
          <w:sz w:val="21"/>
        </w:rPr>
        <w:t>指脑损伤</w:t>
      </w:r>
      <w:r>
        <w:rPr>
          <w:spacing w:val="-1"/>
          <w:sz w:val="21"/>
        </w:rPr>
        <w:t>180</w:t>
      </w:r>
      <w:r>
        <w:rPr>
          <w:spacing w:val="-3"/>
          <w:sz w:val="21"/>
        </w:rPr>
        <w:t>天后，</w:t>
      </w:r>
      <w:r>
        <w:rPr>
          <w:b/>
          <w:spacing w:val="-3"/>
          <w:sz w:val="21"/>
        </w:rPr>
        <w:t>仍遗留下列一种或一种以上障碍：</w:t>
      </w:r>
    </w:p>
    <w:p>
      <w:pPr>
        <w:pStyle w:val="ListParagraph"/>
        <w:numPr>
          <w:ilvl w:val="1"/>
          <w:numId w:val="18"/>
        </w:numPr>
        <w:tabs>
          <w:tab w:pos="3095" w:val="left" w:leader="none"/>
        </w:tabs>
        <w:spacing w:line="240" w:lineRule="auto" w:before="163" w:after="0"/>
        <w:ind w:left="3094" w:right="0" w:hanging="393"/>
        <w:jc w:val="left"/>
        <w:rPr>
          <w:sz w:val="21"/>
        </w:rPr>
      </w:pPr>
      <w:r>
        <w:rPr>
          <w:spacing w:val="-3"/>
          <w:sz w:val="21"/>
        </w:rPr>
        <w:t>一肢或一肢以上肢体机能完全丧失；</w:t>
      </w:r>
    </w:p>
    <w:p>
      <w:pPr>
        <w:pStyle w:val="BodyText"/>
        <w:spacing w:before="9"/>
        <w:rPr>
          <w:sz w:val="14"/>
        </w:rPr>
      </w:pPr>
    </w:p>
    <w:p>
      <w:pPr>
        <w:pStyle w:val="ListParagraph"/>
        <w:numPr>
          <w:ilvl w:val="1"/>
          <w:numId w:val="18"/>
        </w:numPr>
        <w:tabs>
          <w:tab w:pos="3095" w:val="left" w:leader="none"/>
        </w:tabs>
        <w:spacing w:line="240" w:lineRule="auto" w:before="1" w:after="0"/>
        <w:ind w:left="3094" w:right="0" w:hanging="393"/>
        <w:jc w:val="left"/>
        <w:rPr>
          <w:sz w:val="21"/>
        </w:rPr>
      </w:pPr>
      <w:r>
        <w:rPr>
          <w:spacing w:val="-3"/>
          <w:sz w:val="21"/>
        </w:rPr>
        <w:t>语言能力或咀嚼吞咽能力完全丧失；</w:t>
      </w:r>
    </w:p>
    <w:p>
      <w:pPr>
        <w:pStyle w:val="BodyText"/>
        <w:spacing w:before="10"/>
        <w:rPr>
          <w:sz w:val="14"/>
        </w:rPr>
      </w:pPr>
    </w:p>
    <w:p>
      <w:pPr>
        <w:pStyle w:val="ListParagraph"/>
        <w:numPr>
          <w:ilvl w:val="1"/>
          <w:numId w:val="18"/>
        </w:numPr>
        <w:tabs>
          <w:tab w:pos="3095" w:val="left" w:leader="none"/>
        </w:tabs>
        <w:spacing w:line="273" w:lineRule="auto" w:before="0" w:after="0"/>
        <w:ind w:left="3094" w:right="206" w:hanging="393"/>
        <w:jc w:val="left"/>
        <w:rPr>
          <w:sz w:val="21"/>
        </w:rPr>
      </w:pPr>
      <w:r>
        <w:rPr>
          <w:spacing w:val="-12"/>
          <w:sz w:val="21"/>
        </w:rPr>
        <w:t>自主生活能力完全丧失，无法独立完成六项基本日常生活活动中的</w:t>
      </w:r>
      <w:r>
        <w:rPr>
          <w:spacing w:val="-6"/>
          <w:sz w:val="21"/>
        </w:rPr>
        <w:t>三项或三项以上。</w:t>
      </w:r>
    </w:p>
    <w:p>
      <w:pPr>
        <w:spacing w:after="0" w:line="273" w:lineRule="auto"/>
        <w:jc w:val="left"/>
        <w:rPr>
          <w:sz w:val="21"/>
        </w:rPr>
        <w:sectPr>
          <w:pgSz w:w="11910" w:h="16840"/>
          <w:pgMar w:header="0" w:footer="924" w:top="1080" w:bottom="1200" w:left="1680" w:right="920"/>
        </w:sectPr>
      </w:pPr>
    </w:p>
    <w:p>
      <w:pPr>
        <w:pStyle w:val="ListParagraph"/>
        <w:numPr>
          <w:ilvl w:val="0"/>
          <w:numId w:val="18"/>
        </w:numPr>
        <w:tabs>
          <w:tab w:pos="2221" w:val="left" w:leader="none"/>
        </w:tabs>
        <w:spacing w:line="273" w:lineRule="auto" w:before="10" w:after="0"/>
        <w:ind w:left="2254" w:right="106" w:hanging="454"/>
        <w:jc w:val="both"/>
        <w:rPr>
          <w:b/>
          <w:sz w:val="21"/>
        </w:rPr>
      </w:pPr>
      <w:r>
        <w:rPr>
          <w:spacing w:val="-3"/>
          <w:sz w:val="21"/>
        </w:rPr>
        <w:t>严重帕金森病：是一种中枢神经系统的退行性疾病，临床表现为震颤麻痹、共济失调等。</w:t>
      </w:r>
      <w:r>
        <w:rPr>
          <w:b/>
          <w:spacing w:val="-1"/>
          <w:sz w:val="21"/>
        </w:rPr>
        <w:t>须满足下列全部条件：</w:t>
      </w:r>
    </w:p>
    <w:p>
      <w:pPr>
        <w:pStyle w:val="BodyText"/>
        <w:rPr>
          <w:b/>
          <w:sz w:val="20"/>
        </w:rPr>
      </w:pPr>
    </w:p>
    <w:p>
      <w:pPr>
        <w:pStyle w:val="BodyText"/>
        <w:spacing w:before="3"/>
        <w:rPr>
          <w:b/>
          <w:sz w:val="28"/>
        </w:rPr>
      </w:pPr>
    </w:p>
    <w:p>
      <w:pPr>
        <w:pStyle w:val="ListParagraph"/>
        <w:numPr>
          <w:ilvl w:val="1"/>
          <w:numId w:val="18"/>
        </w:numPr>
        <w:tabs>
          <w:tab w:pos="3094" w:val="left" w:leader="none"/>
          <w:tab w:pos="3095" w:val="left" w:leader="none"/>
        </w:tabs>
        <w:spacing w:line="240" w:lineRule="auto" w:before="0" w:after="0"/>
        <w:ind w:left="3094" w:right="0" w:hanging="453"/>
        <w:jc w:val="left"/>
        <w:rPr>
          <w:sz w:val="21"/>
        </w:rPr>
      </w:pPr>
      <w:r>
        <w:rPr>
          <w:spacing w:val="-3"/>
          <w:sz w:val="21"/>
        </w:rPr>
        <w:t>药物治疗无法控制病情；</w:t>
      </w:r>
    </w:p>
    <w:p>
      <w:pPr>
        <w:pStyle w:val="BodyText"/>
        <w:spacing w:before="9"/>
        <w:rPr>
          <w:sz w:val="14"/>
        </w:rPr>
      </w:pPr>
    </w:p>
    <w:p>
      <w:pPr>
        <w:pStyle w:val="ListParagraph"/>
        <w:numPr>
          <w:ilvl w:val="1"/>
          <w:numId w:val="18"/>
        </w:numPr>
        <w:tabs>
          <w:tab w:pos="3094" w:val="left" w:leader="none"/>
          <w:tab w:pos="3095" w:val="left" w:leader="none"/>
        </w:tabs>
        <w:spacing w:line="273" w:lineRule="auto" w:before="0" w:after="0"/>
        <w:ind w:left="3094" w:right="166" w:hanging="453"/>
        <w:jc w:val="left"/>
        <w:rPr>
          <w:sz w:val="21"/>
        </w:rPr>
      </w:pPr>
      <w:r>
        <w:rPr>
          <w:spacing w:val="-12"/>
          <w:sz w:val="21"/>
        </w:rPr>
        <w:t>自主生活能力完全丧失，无法独立完成六项基本日常生活活动中的</w:t>
      </w:r>
      <w:r>
        <w:rPr>
          <w:spacing w:val="-6"/>
          <w:sz w:val="21"/>
        </w:rPr>
        <w:t>三项或三项以上。</w:t>
      </w:r>
    </w:p>
    <w:p>
      <w:pPr>
        <w:pStyle w:val="BodyText"/>
        <w:rPr>
          <w:sz w:val="20"/>
        </w:rPr>
      </w:pPr>
    </w:p>
    <w:p>
      <w:pPr>
        <w:pStyle w:val="BodyText"/>
        <w:spacing w:before="3"/>
        <w:rPr>
          <w:sz w:val="28"/>
        </w:rPr>
      </w:pPr>
    </w:p>
    <w:p>
      <w:pPr>
        <w:pStyle w:val="Heading2"/>
      </w:pPr>
      <w:r>
        <w:rPr/>
        <w:t>继发性帕金森综合征不在保障范围内。</w:t>
      </w:r>
    </w:p>
    <w:p>
      <w:pPr>
        <w:pStyle w:val="BodyText"/>
        <w:rPr>
          <w:b/>
          <w:sz w:val="20"/>
        </w:rPr>
      </w:pPr>
    </w:p>
    <w:p>
      <w:pPr>
        <w:pStyle w:val="BodyText"/>
        <w:rPr>
          <w:b/>
          <w:sz w:val="20"/>
        </w:rPr>
      </w:pPr>
    </w:p>
    <w:p>
      <w:pPr>
        <w:pStyle w:val="ListParagraph"/>
        <w:numPr>
          <w:ilvl w:val="0"/>
          <w:numId w:val="18"/>
        </w:numPr>
        <w:tabs>
          <w:tab w:pos="2221" w:val="left" w:leader="none"/>
        </w:tabs>
        <w:spacing w:line="240" w:lineRule="auto" w:before="138" w:after="0"/>
        <w:ind w:left="2221" w:right="0" w:hanging="421"/>
        <w:jc w:val="left"/>
        <w:rPr>
          <w:sz w:val="21"/>
        </w:rPr>
      </w:pPr>
      <w:r>
        <w:rPr>
          <w:spacing w:val="-9"/>
          <w:sz w:val="21"/>
        </w:rPr>
        <w:t>严重Ⅲ度烧伤：指烧伤程度为Ⅲ度，且Ⅲ度烧伤的面积达到全身体表面积的</w:t>
      </w:r>
    </w:p>
    <w:p>
      <w:pPr>
        <w:pStyle w:val="BodyText"/>
        <w:spacing w:before="37"/>
        <w:ind w:left="2254"/>
      </w:pPr>
      <w:r>
        <w:rPr/>
        <w:t>20％或20％以上。体表面积根据《中国新九分法》计算。</w:t>
      </w:r>
    </w:p>
    <w:p>
      <w:pPr>
        <w:pStyle w:val="BodyText"/>
        <w:rPr>
          <w:sz w:val="20"/>
        </w:rPr>
      </w:pPr>
    </w:p>
    <w:p>
      <w:pPr>
        <w:pStyle w:val="BodyText"/>
        <w:rPr>
          <w:sz w:val="20"/>
        </w:rPr>
      </w:pPr>
    </w:p>
    <w:p>
      <w:pPr>
        <w:pStyle w:val="ListParagraph"/>
        <w:numPr>
          <w:ilvl w:val="0"/>
          <w:numId w:val="18"/>
        </w:numPr>
        <w:tabs>
          <w:tab w:pos="2221" w:val="left" w:leader="none"/>
        </w:tabs>
        <w:spacing w:line="273" w:lineRule="auto" w:before="138" w:after="0"/>
        <w:ind w:left="2254" w:right="156" w:hanging="454"/>
        <w:jc w:val="both"/>
        <w:rPr>
          <w:sz w:val="21"/>
        </w:rPr>
      </w:pPr>
      <w:r>
        <w:rPr>
          <w:spacing w:val="-7"/>
          <w:sz w:val="21"/>
        </w:rPr>
        <w:t>严重原发性肺动脉高压：指不明原因的肺动脉压力持续性增高，进行性发展</w:t>
      </w:r>
      <w:r>
        <w:rPr>
          <w:spacing w:val="-11"/>
          <w:sz w:val="21"/>
        </w:rPr>
        <w:t>而导致的慢性疾病，已经造成永久不可逆性的体力活动能力受限，达到美国</w:t>
      </w:r>
      <w:r>
        <w:rPr>
          <w:spacing w:val="7"/>
          <w:sz w:val="21"/>
        </w:rPr>
        <w:t>纽约心脏病学会心功能状态分级</w:t>
      </w:r>
      <w:r>
        <w:rPr>
          <w:spacing w:val="1"/>
          <w:sz w:val="21"/>
        </w:rPr>
        <w:t>IV</w:t>
      </w:r>
      <w:r>
        <w:rPr>
          <w:spacing w:val="7"/>
          <w:sz w:val="21"/>
        </w:rPr>
        <w:t>级，且静息状态下肺动脉平均压超过</w:t>
      </w:r>
    </w:p>
    <w:p>
      <w:pPr>
        <w:pStyle w:val="BodyText"/>
        <w:spacing w:before="8"/>
        <w:ind w:left="2254"/>
      </w:pPr>
      <w:r>
        <w:rPr/>
        <w:t>30mmHg。</w:t>
      </w:r>
    </w:p>
    <w:p>
      <w:pPr>
        <w:pStyle w:val="BodyText"/>
        <w:rPr>
          <w:sz w:val="20"/>
        </w:rPr>
      </w:pPr>
    </w:p>
    <w:p>
      <w:pPr>
        <w:pStyle w:val="BodyText"/>
        <w:rPr>
          <w:sz w:val="20"/>
        </w:rPr>
      </w:pPr>
    </w:p>
    <w:p>
      <w:pPr>
        <w:pStyle w:val="ListParagraph"/>
        <w:numPr>
          <w:ilvl w:val="0"/>
          <w:numId w:val="18"/>
        </w:numPr>
        <w:tabs>
          <w:tab w:pos="2221" w:val="left" w:leader="none"/>
        </w:tabs>
        <w:spacing w:line="273" w:lineRule="auto" w:before="138" w:after="0"/>
        <w:ind w:left="2254" w:right="163" w:hanging="454"/>
        <w:jc w:val="both"/>
        <w:rPr>
          <w:sz w:val="21"/>
        </w:rPr>
      </w:pPr>
      <w:r>
        <w:rPr>
          <w:spacing w:val="-8"/>
          <w:sz w:val="21"/>
        </w:rPr>
        <w:t>严重运动神经元病：是一组中枢神经系统运动神经元的进行性变性疾病，包</w:t>
      </w:r>
      <w:r>
        <w:rPr>
          <w:spacing w:val="-11"/>
          <w:sz w:val="21"/>
        </w:rPr>
        <w:t>括进行性脊肌萎缩症、进行性延髓麻痹症、原发性侧索硬化症、肌萎缩性侧</w:t>
      </w:r>
      <w:r>
        <w:rPr>
          <w:spacing w:val="-12"/>
          <w:sz w:val="21"/>
        </w:rPr>
        <w:t>索硬化症。须满足自主生活能力完全丧失，无法独立完成六项基本日常生活</w:t>
      </w:r>
      <w:r>
        <w:rPr>
          <w:spacing w:val="-6"/>
          <w:sz w:val="21"/>
        </w:rPr>
        <w:t>活动中的三项或三项以上的条件。</w:t>
      </w:r>
    </w:p>
    <w:p>
      <w:pPr>
        <w:pStyle w:val="BodyText"/>
        <w:rPr>
          <w:sz w:val="20"/>
        </w:rPr>
      </w:pPr>
    </w:p>
    <w:p>
      <w:pPr>
        <w:pStyle w:val="BodyText"/>
        <w:spacing w:before="3"/>
        <w:rPr>
          <w:sz w:val="28"/>
        </w:rPr>
      </w:pPr>
    </w:p>
    <w:p>
      <w:pPr>
        <w:pStyle w:val="ListParagraph"/>
        <w:numPr>
          <w:ilvl w:val="0"/>
          <w:numId w:val="18"/>
        </w:numPr>
        <w:tabs>
          <w:tab w:pos="2221" w:val="left" w:leader="none"/>
        </w:tabs>
        <w:spacing w:line="273" w:lineRule="auto" w:before="0" w:after="0"/>
        <w:ind w:left="2254" w:right="164" w:hanging="454"/>
        <w:jc w:val="both"/>
        <w:rPr>
          <w:sz w:val="21"/>
        </w:rPr>
      </w:pPr>
      <w:r>
        <w:rPr>
          <w:spacing w:val="-8"/>
          <w:sz w:val="21"/>
        </w:rPr>
        <w:t>语言能力丧失：指因疾病或意外伤害导致完全丧失语言能力，经过积极治疗</w:t>
      </w:r>
      <w:r>
        <w:rPr>
          <w:spacing w:val="-8"/>
          <w:w w:val="100"/>
          <w:sz w:val="21"/>
        </w:rPr>
        <w:t>至少12</w:t>
      </w:r>
      <w:r>
        <w:rPr>
          <w:spacing w:val="-2"/>
          <w:w w:val="100"/>
          <w:sz w:val="21"/>
        </w:rPr>
        <w:t>个月</w:t>
      </w:r>
      <w:r>
        <w:rPr>
          <w:w w:val="100"/>
          <w:sz w:val="21"/>
        </w:rPr>
        <w:t>（</w:t>
      </w:r>
      <w:r>
        <w:rPr>
          <w:spacing w:val="-3"/>
          <w:w w:val="100"/>
          <w:sz w:val="21"/>
        </w:rPr>
        <w:t>声带完全切除不受此时间限制</w:t>
      </w:r>
      <w:r>
        <w:rPr>
          <w:spacing w:val="-106"/>
          <w:w w:val="100"/>
          <w:sz w:val="21"/>
        </w:rPr>
        <w:t>）</w:t>
      </w:r>
      <w:r>
        <w:rPr>
          <w:spacing w:val="-3"/>
          <w:w w:val="100"/>
          <w:sz w:val="21"/>
        </w:rPr>
        <w:t>，仍无法通过现有医疗手段恢</w:t>
      </w:r>
      <w:r>
        <w:rPr>
          <w:spacing w:val="-3"/>
          <w:sz w:val="21"/>
        </w:rPr>
        <w:t>复。</w:t>
      </w:r>
    </w:p>
    <w:p>
      <w:pPr>
        <w:pStyle w:val="Heading2"/>
        <w:spacing w:line="408" w:lineRule="auto" w:before="164"/>
        <w:ind w:right="2192"/>
      </w:pPr>
      <w:r>
        <w:rPr/>
        <w:t>精神心理因素所致的语言能力丧失不在保障范围内。被保险人申请理赔时年龄必须在3周岁以上。</w:t>
      </w:r>
    </w:p>
    <w:p>
      <w:pPr>
        <w:pStyle w:val="BodyText"/>
        <w:rPr>
          <w:b/>
          <w:sz w:val="20"/>
        </w:rPr>
      </w:pPr>
    </w:p>
    <w:p>
      <w:pPr>
        <w:pStyle w:val="BodyText"/>
        <w:spacing w:before="3"/>
        <w:rPr>
          <w:b/>
          <w:sz w:val="19"/>
        </w:rPr>
      </w:pPr>
    </w:p>
    <w:p>
      <w:pPr>
        <w:pStyle w:val="ListParagraph"/>
        <w:numPr>
          <w:ilvl w:val="0"/>
          <w:numId w:val="18"/>
        </w:numPr>
        <w:tabs>
          <w:tab w:pos="2221" w:val="left" w:leader="none"/>
        </w:tabs>
        <w:spacing w:line="273" w:lineRule="auto" w:before="1" w:after="0"/>
        <w:ind w:left="2254" w:right="163" w:hanging="454"/>
        <w:jc w:val="both"/>
        <w:rPr>
          <w:sz w:val="21"/>
        </w:rPr>
      </w:pPr>
      <w:r>
        <w:rPr>
          <w:spacing w:val="-7"/>
          <w:sz w:val="21"/>
        </w:rPr>
        <w:t>重型再生障碍性贫血：指因骨髓造血功能慢性持续性衰竭导致的贫血、中性</w:t>
      </w:r>
      <w:r>
        <w:rPr>
          <w:spacing w:val="-5"/>
          <w:sz w:val="21"/>
        </w:rPr>
        <w:t>粒细胞减少及血小板减少。须满足下列全部条件：</w:t>
      </w:r>
    </w:p>
    <w:p>
      <w:pPr>
        <w:pStyle w:val="BodyText"/>
        <w:rPr>
          <w:sz w:val="20"/>
        </w:rPr>
      </w:pPr>
    </w:p>
    <w:p>
      <w:pPr>
        <w:pStyle w:val="BodyText"/>
        <w:spacing w:before="3"/>
        <w:rPr>
          <w:sz w:val="28"/>
        </w:rPr>
      </w:pPr>
    </w:p>
    <w:p>
      <w:pPr>
        <w:pStyle w:val="ListParagraph"/>
        <w:numPr>
          <w:ilvl w:val="1"/>
          <w:numId w:val="18"/>
        </w:numPr>
        <w:tabs>
          <w:tab w:pos="3094" w:val="left" w:leader="none"/>
          <w:tab w:pos="3095" w:val="left" w:leader="none"/>
        </w:tabs>
        <w:spacing w:line="240" w:lineRule="auto" w:before="1" w:after="0"/>
        <w:ind w:left="3094" w:right="0" w:hanging="453"/>
        <w:jc w:val="left"/>
        <w:rPr>
          <w:sz w:val="21"/>
        </w:rPr>
      </w:pPr>
      <w:r>
        <w:rPr>
          <w:spacing w:val="-3"/>
          <w:sz w:val="21"/>
        </w:rPr>
        <w:t>骨髓穿刺检查或骨髓活检结果支持诊断；</w:t>
      </w:r>
    </w:p>
    <w:p>
      <w:pPr>
        <w:pStyle w:val="BodyText"/>
        <w:spacing w:before="10"/>
        <w:rPr>
          <w:sz w:val="14"/>
        </w:rPr>
      </w:pPr>
    </w:p>
    <w:p>
      <w:pPr>
        <w:pStyle w:val="ListParagraph"/>
        <w:numPr>
          <w:ilvl w:val="1"/>
          <w:numId w:val="18"/>
        </w:numPr>
        <w:tabs>
          <w:tab w:pos="3094" w:val="left" w:leader="none"/>
          <w:tab w:pos="3095" w:val="left" w:leader="none"/>
        </w:tabs>
        <w:spacing w:line="240" w:lineRule="auto" w:before="0" w:after="0"/>
        <w:ind w:left="3094" w:right="0" w:hanging="453"/>
        <w:jc w:val="left"/>
        <w:rPr>
          <w:sz w:val="21"/>
        </w:rPr>
      </w:pPr>
      <w:r>
        <w:rPr>
          <w:spacing w:val="-3"/>
          <w:sz w:val="21"/>
        </w:rPr>
        <w:t>外周血象须具备以下三项条件：</w:t>
      </w:r>
    </w:p>
    <w:p>
      <w:pPr>
        <w:spacing w:after="0" w:line="240" w:lineRule="auto"/>
        <w:jc w:val="left"/>
        <w:rPr>
          <w:sz w:val="21"/>
        </w:rPr>
        <w:sectPr>
          <w:pgSz w:w="11910" w:h="16840"/>
          <w:pgMar w:header="0" w:footer="924" w:top="1560" w:bottom="1200" w:left="1680" w:right="960"/>
        </w:sectPr>
      </w:pPr>
    </w:p>
    <w:p>
      <w:pPr>
        <w:pStyle w:val="BodyText"/>
        <w:spacing w:before="42"/>
        <w:ind w:left="3022"/>
      </w:pPr>
      <w:r>
        <w:rPr/>
        <w:t>① 中性粒细胞绝对值≤0.5×10</w:t>
      </w:r>
      <w:r>
        <w:rPr>
          <w:position w:val="11"/>
          <w:sz w:val="11"/>
        </w:rPr>
        <w:t>9</w:t>
      </w:r>
      <w:r>
        <w:rPr/>
        <w:t>/L ；</w:t>
      </w:r>
    </w:p>
    <w:p>
      <w:pPr>
        <w:pStyle w:val="BodyText"/>
        <w:spacing w:before="193"/>
        <w:ind w:left="3022"/>
      </w:pPr>
      <w:r>
        <w:rPr/>
        <w:t>② 网织红细胞＜1%；</w:t>
      </w:r>
    </w:p>
    <w:p>
      <w:pPr>
        <w:pStyle w:val="BodyText"/>
        <w:spacing w:before="9"/>
        <w:rPr>
          <w:sz w:val="14"/>
        </w:rPr>
      </w:pPr>
    </w:p>
    <w:p>
      <w:pPr>
        <w:pStyle w:val="BodyText"/>
        <w:ind w:left="3008"/>
      </w:pPr>
      <w:r>
        <w:rPr/>
        <w:t>③ 血小板绝对值≤20×10</w:t>
      </w:r>
      <w:r>
        <w:rPr>
          <w:position w:val="11"/>
          <w:sz w:val="11"/>
        </w:rPr>
        <w:t>9</w:t>
      </w:r>
      <w:r>
        <w:rPr/>
        <w:t>/L。</w:t>
      </w:r>
    </w:p>
    <w:p>
      <w:pPr>
        <w:pStyle w:val="BodyText"/>
        <w:rPr>
          <w:sz w:val="22"/>
        </w:rPr>
      </w:pPr>
    </w:p>
    <w:p>
      <w:pPr>
        <w:pStyle w:val="BodyText"/>
        <w:spacing w:before="6"/>
        <w:rPr>
          <w:sz w:val="28"/>
        </w:rPr>
      </w:pPr>
    </w:p>
    <w:p>
      <w:pPr>
        <w:pStyle w:val="ListParagraph"/>
        <w:numPr>
          <w:ilvl w:val="0"/>
          <w:numId w:val="18"/>
        </w:numPr>
        <w:tabs>
          <w:tab w:pos="2221" w:val="left" w:leader="none"/>
        </w:tabs>
        <w:spacing w:line="273" w:lineRule="auto" w:before="0" w:after="0"/>
        <w:ind w:left="2254" w:right="206" w:hanging="454"/>
        <w:jc w:val="both"/>
        <w:rPr>
          <w:sz w:val="21"/>
        </w:rPr>
      </w:pPr>
      <w:r>
        <w:rPr>
          <w:spacing w:val="-9"/>
          <w:sz w:val="21"/>
        </w:rPr>
        <w:t>主动脉手术：指为治疗主动脉疾病，实际实施了开胸或开腹进行的切除、置</w:t>
      </w:r>
      <w:r>
        <w:rPr>
          <w:spacing w:val="-10"/>
          <w:sz w:val="21"/>
        </w:rPr>
        <w:t>换、修补病损主动脉血管的手术。主动脉指胸主动脉和腹主动脉，不包括胸</w:t>
      </w:r>
      <w:r>
        <w:rPr>
          <w:spacing w:val="-5"/>
          <w:sz w:val="21"/>
        </w:rPr>
        <w:t>主动脉和腹主动脉的分支血管。</w:t>
      </w:r>
    </w:p>
    <w:p>
      <w:pPr>
        <w:pStyle w:val="BodyText"/>
        <w:rPr>
          <w:sz w:val="20"/>
        </w:rPr>
      </w:pPr>
    </w:p>
    <w:p>
      <w:pPr>
        <w:pStyle w:val="BodyText"/>
        <w:spacing w:before="3"/>
        <w:rPr>
          <w:sz w:val="28"/>
        </w:rPr>
      </w:pPr>
    </w:p>
    <w:p>
      <w:pPr>
        <w:pStyle w:val="Heading2"/>
        <w:ind w:left="2324"/>
      </w:pPr>
      <w:r>
        <w:rPr/>
        <w:t>动脉内血管成形术不在保障范围内。</w:t>
      </w:r>
    </w:p>
    <w:p>
      <w:pPr>
        <w:pStyle w:val="BodyText"/>
        <w:rPr>
          <w:b/>
          <w:sz w:val="20"/>
        </w:rPr>
      </w:pPr>
    </w:p>
    <w:p>
      <w:pPr>
        <w:pStyle w:val="BodyText"/>
        <w:rPr>
          <w:b/>
          <w:sz w:val="20"/>
        </w:rPr>
      </w:pPr>
    </w:p>
    <w:p>
      <w:pPr>
        <w:pStyle w:val="ListParagraph"/>
        <w:numPr>
          <w:ilvl w:val="0"/>
          <w:numId w:val="18"/>
        </w:numPr>
        <w:tabs>
          <w:tab w:pos="2221" w:val="left" w:leader="none"/>
        </w:tabs>
        <w:spacing w:line="273" w:lineRule="auto" w:before="138" w:after="0"/>
        <w:ind w:left="2254" w:right="204" w:hanging="454"/>
        <w:jc w:val="both"/>
        <w:rPr>
          <w:sz w:val="21"/>
        </w:rPr>
      </w:pPr>
      <w:r>
        <w:rPr>
          <w:spacing w:val="-8"/>
          <w:sz w:val="21"/>
        </w:rPr>
        <w:t>严重多发性硬化：多发性硬化为中枢神经系统白质多灶性脱髓鞘病变，病变</w:t>
      </w:r>
      <w:r>
        <w:rPr>
          <w:spacing w:val="-5"/>
          <w:sz w:val="21"/>
        </w:rPr>
        <w:t>有时累及灰质。多发性硬化必须明确诊断并由核磁共振(</w:t>
      </w:r>
      <w:r>
        <w:rPr>
          <w:sz w:val="21"/>
        </w:rPr>
        <w:t>MRI</w:t>
      </w:r>
      <w:r>
        <w:rPr>
          <w:spacing w:val="-2"/>
          <w:sz w:val="21"/>
        </w:rPr>
        <w:t>)等影像学检验</w:t>
      </w:r>
      <w:r>
        <w:rPr>
          <w:spacing w:val="-3"/>
          <w:sz w:val="21"/>
        </w:rPr>
        <w:t>证实，而且已经造成永久的神经系统功能损害，导致被保险人持续</w:t>
      </w:r>
      <w:r>
        <w:rPr>
          <w:sz w:val="21"/>
        </w:rPr>
        <w:t>180天无</w:t>
      </w:r>
      <w:r>
        <w:rPr>
          <w:spacing w:val="-3"/>
          <w:sz w:val="21"/>
        </w:rPr>
        <w:t>法独立完成下列基本日常生活活动：</w:t>
      </w:r>
    </w:p>
    <w:p>
      <w:pPr>
        <w:pStyle w:val="ListParagraph"/>
        <w:numPr>
          <w:ilvl w:val="1"/>
          <w:numId w:val="18"/>
        </w:numPr>
        <w:tabs>
          <w:tab w:pos="3412" w:val="left" w:leader="none"/>
        </w:tabs>
        <w:spacing w:line="240" w:lineRule="auto" w:before="163" w:after="0"/>
        <w:ind w:left="3411" w:right="0" w:hanging="317"/>
        <w:jc w:val="left"/>
        <w:rPr>
          <w:sz w:val="21"/>
        </w:rPr>
      </w:pPr>
      <w:r>
        <w:rPr>
          <w:spacing w:val="-3"/>
          <w:sz w:val="21"/>
        </w:rPr>
        <w:t>移动：自己从一个房间到另一个房间；</w:t>
      </w:r>
    </w:p>
    <w:p>
      <w:pPr>
        <w:pStyle w:val="BodyText"/>
        <w:spacing w:before="9"/>
        <w:rPr>
          <w:sz w:val="14"/>
        </w:rPr>
      </w:pPr>
    </w:p>
    <w:p>
      <w:pPr>
        <w:pStyle w:val="ListParagraph"/>
        <w:numPr>
          <w:ilvl w:val="1"/>
          <w:numId w:val="18"/>
        </w:numPr>
        <w:tabs>
          <w:tab w:pos="3412" w:val="left" w:leader="none"/>
        </w:tabs>
        <w:spacing w:line="240" w:lineRule="auto" w:before="0" w:after="0"/>
        <w:ind w:left="3411" w:right="0" w:hanging="317"/>
        <w:jc w:val="left"/>
        <w:rPr>
          <w:sz w:val="21"/>
        </w:rPr>
      </w:pPr>
      <w:r>
        <w:rPr>
          <w:spacing w:val="-3"/>
          <w:sz w:val="21"/>
        </w:rPr>
        <w:t>进食：自己从已准备好的碗或碟中取食物放入口中。</w:t>
      </w:r>
    </w:p>
    <w:p>
      <w:pPr>
        <w:pStyle w:val="BodyText"/>
        <w:rPr>
          <w:sz w:val="20"/>
        </w:rPr>
      </w:pPr>
    </w:p>
    <w:p>
      <w:pPr>
        <w:pStyle w:val="BodyText"/>
        <w:spacing w:before="7"/>
        <w:rPr>
          <w:sz w:val="18"/>
        </w:rPr>
      </w:pPr>
    </w:p>
    <w:p>
      <w:pPr>
        <w:pStyle w:val="ListParagraph"/>
        <w:numPr>
          <w:ilvl w:val="0"/>
          <w:numId w:val="18"/>
        </w:numPr>
        <w:tabs>
          <w:tab w:pos="2221" w:val="left" w:leader="none"/>
        </w:tabs>
        <w:spacing w:line="273" w:lineRule="auto" w:before="1" w:after="0"/>
        <w:ind w:left="2254" w:right="115" w:hanging="454"/>
        <w:jc w:val="both"/>
        <w:rPr>
          <w:sz w:val="21"/>
        </w:rPr>
      </w:pPr>
      <w:r>
        <w:rPr>
          <w:spacing w:val="-3"/>
          <w:sz w:val="21"/>
        </w:rPr>
        <w:t>严重冠心病: 指根据冠状动脉造影检查结果确诊的三支主要血管(左冠状动</w:t>
      </w:r>
      <w:r>
        <w:rPr>
          <w:spacing w:val="-11"/>
          <w:sz w:val="21"/>
        </w:rPr>
        <w:t>脉主干和右冠状动脉，或前降支、左旋支和右冠状动脉)严重狭窄性病变(至</w:t>
      </w:r>
      <w:r>
        <w:rPr>
          <w:spacing w:val="-6"/>
          <w:sz w:val="21"/>
        </w:rPr>
        <w:t>少一支血管管腔直径减少</w:t>
      </w:r>
      <w:r>
        <w:rPr>
          <w:sz w:val="21"/>
        </w:rPr>
        <w:t>75%</w:t>
      </w:r>
      <w:r>
        <w:rPr>
          <w:spacing w:val="-3"/>
          <w:sz w:val="21"/>
        </w:rPr>
        <w:t>以上和其他两支血管管腔直径减少</w:t>
      </w:r>
      <w:r>
        <w:rPr>
          <w:sz w:val="21"/>
        </w:rPr>
        <w:t>60</w:t>
      </w:r>
      <w:r>
        <w:rPr>
          <w:spacing w:val="-1"/>
          <w:sz w:val="21"/>
        </w:rPr>
        <w:t>%以上)。</w:t>
      </w:r>
      <w:r>
        <w:rPr>
          <w:spacing w:val="-3"/>
          <w:sz w:val="21"/>
        </w:rPr>
        <w:t>前降支、左旋支及右冠状动脉的分支血管的狭窄不作为本保障的衡量指标。</w:t>
      </w:r>
    </w:p>
    <w:p>
      <w:pPr>
        <w:pStyle w:val="BodyText"/>
        <w:spacing w:before="5"/>
        <w:rPr>
          <w:sz w:val="24"/>
        </w:rPr>
      </w:pPr>
    </w:p>
    <w:p>
      <w:pPr>
        <w:pStyle w:val="ListParagraph"/>
        <w:numPr>
          <w:ilvl w:val="0"/>
          <w:numId w:val="18"/>
        </w:numPr>
        <w:tabs>
          <w:tab w:pos="2221" w:val="left" w:leader="none"/>
        </w:tabs>
        <w:spacing w:line="273" w:lineRule="auto" w:before="1" w:after="0"/>
        <w:ind w:left="2254" w:right="204" w:hanging="454"/>
        <w:jc w:val="both"/>
        <w:rPr>
          <w:sz w:val="21"/>
        </w:rPr>
      </w:pPr>
      <w:r>
        <w:rPr>
          <w:sz w:val="21"/>
        </w:rPr>
        <w:t>严重类风湿性关节炎: 类风湿性关节炎为广泛分布的慢性进行性多关节病</w:t>
      </w:r>
      <w:r>
        <w:rPr>
          <w:spacing w:val="-8"/>
          <w:sz w:val="21"/>
        </w:rPr>
        <w:t>变，表现为关节严重变形，侵犯至少三个主要关节或关节组</w:t>
      </w:r>
      <w:r>
        <w:rPr>
          <w:spacing w:val="-3"/>
          <w:sz w:val="21"/>
        </w:rPr>
        <w:t>（</w:t>
      </w:r>
      <w:r>
        <w:rPr>
          <w:spacing w:val="-11"/>
          <w:sz w:val="21"/>
        </w:rPr>
        <w:t>如：双手</w:t>
      </w:r>
      <w:r>
        <w:rPr>
          <w:sz w:val="21"/>
        </w:rPr>
        <w:t>（多手指）</w:t>
      </w:r>
      <w:r>
        <w:rPr>
          <w:spacing w:val="-3"/>
          <w:sz w:val="21"/>
        </w:rPr>
        <w:t>关节、双足</w:t>
      </w:r>
      <w:r>
        <w:rPr>
          <w:sz w:val="21"/>
        </w:rPr>
        <w:t>（</w:t>
      </w:r>
      <w:r>
        <w:rPr>
          <w:spacing w:val="-2"/>
          <w:sz w:val="21"/>
        </w:rPr>
        <w:t>多足趾</w:t>
      </w:r>
      <w:r>
        <w:rPr>
          <w:sz w:val="21"/>
        </w:rPr>
        <w:t>）</w:t>
      </w:r>
      <w:r>
        <w:rPr>
          <w:spacing w:val="-3"/>
          <w:sz w:val="21"/>
        </w:rPr>
        <w:t>关节、双腕关节、双膝关节和双髋关节</w:t>
      </w:r>
      <w:r>
        <w:rPr>
          <w:spacing w:val="-106"/>
          <w:sz w:val="21"/>
        </w:rPr>
        <w:t>）</w:t>
      </w:r>
      <w:r>
        <w:rPr>
          <w:sz w:val="21"/>
        </w:rPr>
        <w:t>。类</w:t>
      </w:r>
      <w:r>
        <w:rPr>
          <w:spacing w:val="-3"/>
          <w:sz w:val="21"/>
        </w:rPr>
        <w:t>风湿性关节炎必须明确诊断并且已经达到类风湿性关节炎功能分级</w:t>
      </w:r>
      <w:r>
        <w:rPr>
          <w:sz w:val="21"/>
        </w:rPr>
        <w:t>III级以</w:t>
      </w:r>
      <w:r>
        <w:rPr>
          <w:spacing w:val="-7"/>
          <w:sz w:val="21"/>
        </w:rPr>
        <w:t>上的功能障碍</w:t>
      </w:r>
      <w:r>
        <w:rPr>
          <w:spacing w:val="-3"/>
          <w:sz w:val="21"/>
        </w:rPr>
        <w:t>（</w:t>
      </w:r>
      <w:r>
        <w:rPr>
          <w:spacing w:val="-7"/>
          <w:sz w:val="21"/>
        </w:rPr>
        <w:t>关节活动严重限制，不能完成大部分的日常工作和活动</w:t>
      </w:r>
      <w:r>
        <w:rPr>
          <w:spacing w:val="-32"/>
          <w:sz w:val="21"/>
        </w:rPr>
        <w:t>）</w:t>
      </w:r>
      <w:r>
        <w:rPr>
          <w:sz w:val="21"/>
        </w:rPr>
        <w:t>并</w:t>
      </w:r>
      <w:r>
        <w:rPr>
          <w:spacing w:val="-3"/>
          <w:sz w:val="21"/>
        </w:rPr>
        <w:t>且满足下列全部条件：</w:t>
      </w:r>
    </w:p>
    <w:p>
      <w:pPr>
        <w:pStyle w:val="ListParagraph"/>
        <w:numPr>
          <w:ilvl w:val="1"/>
          <w:numId w:val="18"/>
        </w:numPr>
        <w:tabs>
          <w:tab w:pos="3412" w:val="left" w:leader="none"/>
        </w:tabs>
        <w:spacing w:line="240" w:lineRule="auto" w:before="164" w:after="0"/>
        <w:ind w:left="3411" w:right="0" w:hanging="317"/>
        <w:jc w:val="left"/>
        <w:rPr>
          <w:sz w:val="21"/>
        </w:rPr>
      </w:pPr>
      <w:r>
        <w:rPr>
          <w:spacing w:val="-2"/>
          <w:sz w:val="21"/>
        </w:rPr>
        <w:t>晨僵；</w:t>
      </w:r>
    </w:p>
    <w:p>
      <w:pPr>
        <w:pStyle w:val="BodyText"/>
        <w:spacing w:before="10"/>
        <w:rPr>
          <w:sz w:val="14"/>
        </w:rPr>
      </w:pPr>
    </w:p>
    <w:p>
      <w:pPr>
        <w:pStyle w:val="ListParagraph"/>
        <w:numPr>
          <w:ilvl w:val="1"/>
          <w:numId w:val="18"/>
        </w:numPr>
        <w:tabs>
          <w:tab w:pos="3412" w:val="left" w:leader="none"/>
        </w:tabs>
        <w:spacing w:line="240" w:lineRule="auto" w:before="0" w:after="0"/>
        <w:ind w:left="3411" w:right="0" w:hanging="317"/>
        <w:jc w:val="left"/>
        <w:rPr>
          <w:sz w:val="21"/>
        </w:rPr>
      </w:pPr>
      <w:r>
        <w:rPr>
          <w:spacing w:val="-3"/>
          <w:sz w:val="21"/>
        </w:rPr>
        <w:t>对称性关节炎；</w:t>
      </w:r>
    </w:p>
    <w:p>
      <w:pPr>
        <w:pStyle w:val="BodyText"/>
        <w:spacing w:before="9"/>
        <w:rPr>
          <w:sz w:val="14"/>
        </w:rPr>
      </w:pPr>
    </w:p>
    <w:p>
      <w:pPr>
        <w:pStyle w:val="ListParagraph"/>
        <w:numPr>
          <w:ilvl w:val="1"/>
          <w:numId w:val="18"/>
        </w:numPr>
        <w:tabs>
          <w:tab w:pos="3412" w:val="left" w:leader="none"/>
        </w:tabs>
        <w:spacing w:line="240" w:lineRule="auto" w:before="1" w:after="0"/>
        <w:ind w:left="3411" w:right="0" w:hanging="317"/>
        <w:jc w:val="left"/>
        <w:rPr>
          <w:sz w:val="21"/>
        </w:rPr>
      </w:pPr>
      <w:r>
        <w:rPr>
          <w:spacing w:val="-3"/>
          <w:sz w:val="21"/>
        </w:rPr>
        <w:t>类风湿性皮下结节；</w:t>
      </w:r>
    </w:p>
    <w:p>
      <w:pPr>
        <w:pStyle w:val="BodyText"/>
        <w:spacing w:before="10"/>
        <w:rPr>
          <w:sz w:val="14"/>
        </w:rPr>
      </w:pPr>
    </w:p>
    <w:p>
      <w:pPr>
        <w:pStyle w:val="ListParagraph"/>
        <w:numPr>
          <w:ilvl w:val="1"/>
          <w:numId w:val="18"/>
        </w:numPr>
        <w:tabs>
          <w:tab w:pos="3412" w:val="left" w:leader="none"/>
        </w:tabs>
        <w:spacing w:line="240" w:lineRule="auto" w:before="0" w:after="0"/>
        <w:ind w:left="3411" w:right="0" w:hanging="317"/>
        <w:jc w:val="left"/>
        <w:rPr>
          <w:sz w:val="21"/>
        </w:rPr>
      </w:pPr>
      <w:r>
        <w:rPr>
          <w:spacing w:val="-3"/>
          <w:sz w:val="21"/>
        </w:rPr>
        <w:t>类风湿因子滴度升高。</w:t>
      </w:r>
    </w:p>
    <w:p>
      <w:pPr>
        <w:pStyle w:val="BodyText"/>
        <w:rPr>
          <w:sz w:val="20"/>
        </w:rPr>
      </w:pPr>
    </w:p>
    <w:p>
      <w:pPr>
        <w:pStyle w:val="BodyText"/>
        <w:spacing w:before="7"/>
        <w:rPr>
          <w:sz w:val="18"/>
        </w:rPr>
      </w:pPr>
    </w:p>
    <w:p>
      <w:pPr>
        <w:pStyle w:val="ListParagraph"/>
        <w:numPr>
          <w:ilvl w:val="0"/>
          <w:numId w:val="18"/>
        </w:numPr>
        <w:tabs>
          <w:tab w:pos="2221" w:val="left" w:leader="none"/>
        </w:tabs>
        <w:spacing w:line="273" w:lineRule="auto" w:before="1" w:after="0"/>
        <w:ind w:left="2254" w:right="203" w:hanging="454"/>
        <w:jc w:val="both"/>
        <w:rPr>
          <w:sz w:val="21"/>
        </w:rPr>
      </w:pPr>
      <w:r>
        <w:rPr>
          <w:spacing w:val="-8"/>
          <w:sz w:val="21"/>
        </w:rPr>
        <w:t>系统性红斑狼疮：是由多种因素引起，累及多系统的自身免疫性疾病。多侵</w:t>
      </w:r>
      <w:r>
        <w:rPr>
          <w:spacing w:val="-12"/>
          <w:sz w:val="21"/>
        </w:rPr>
        <w:t>犯育龄女性。其特点是生成自身抗体对抗多种自身抗原。本合同所指的系统</w:t>
      </w:r>
      <w:r>
        <w:rPr>
          <w:spacing w:val="-10"/>
          <w:sz w:val="21"/>
        </w:rPr>
        <w:t>性红斑狼疮仅限于累及肾脏</w:t>
      </w:r>
      <w:r>
        <w:rPr>
          <w:sz w:val="21"/>
        </w:rPr>
        <w:t>（</w:t>
      </w:r>
      <w:r>
        <w:rPr>
          <w:spacing w:val="-7"/>
          <w:sz w:val="21"/>
        </w:rPr>
        <w:t>经肾脏病理检查或临床确诊，并符合下列世界</w:t>
      </w:r>
      <w:r>
        <w:rPr>
          <w:spacing w:val="-4"/>
          <w:sz w:val="21"/>
        </w:rPr>
        <w:t>卫生组织(</w:t>
      </w:r>
      <w:r>
        <w:rPr>
          <w:sz w:val="21"/>
        </w:rPr>
        <w:t>WHO</w:t>
      </w:r>
      <w:r>
        <w:rPr>
          <w:spacing w:val="-3"/>
          <w:sz w:val="21"/>
        </w:rPr>
        <w:t>)诊断标准定义Ⅲ型至Ⅴ型狼疮性肾炎</w:t>
      </w:r>
      <w:r>
        <w:rPr>
          <w:sz w:val="21"/>
        </w:rPr>
        <w:t>）</w:t>
      </w:r>
      <w:r>
        <w:rPr>
          <w:spacing w:val="-3"/>
          <w:sz w:val="21"/>
        </w:rPr>
        <w:t>的系统性红斑狼疮。</w:t>
      </w:r>
      <w:r>
        <w:rPr>
          <w:spacing w:val="-11"/>
          <w:sz w:val="21"/>
        </w:rPr>
        <w:t>其他类型的红斑性狼疮，如盘状狼疮，仅累及血液及关节等其他系统的系统</w:t>
      </w:r>
    </w:p>
    <w:p>
      <w:pPr>
        <w:spacing w:after="0" w:line="273" w:lineRule="auto"/>
        <w:jc w:val="both"/>
        <w:rPr>
          <w:sz w:val="21"/>
        </w:rPr>
        <w:sectPr>
          <w:pgSz w:w="11910" w:h="16840"/>
          <w:pgMar w:header="0" w:footer="924" w:top="1060" w:bottom="1200" w:left="1680" w:right="920"/>
        </w:sectPr>
      </w:pPr>
    </w:p>
    <w:p>
      <w:pPr>
        <w:pStyle w:val="BodyText"/>
        <w:spacing w:before="22"/>
        <w:ind w:left="2254"/>
      </w:pPr>
      <w:r>
        <w:rPr/>
        <w:t>性红斑狼疮不在保障范围。</w:t>
      </w:r>
    </w:p>
    <w:p>
      <w:pPr>
        <w:pStyle w:val="BodyText"/>
        <w:spacing w:before="9"/>
        <w:rPr>
          <w:sz w:val="26"/>
        </w:rPr>
      </w:pPr>
    </w:p>
    <w:p>
      <w:pPr>
        <w:pStyle w:val="BodyText"/>
        <w:ind w:left="2254"/>
      </w:pPr>
      <w:r>
        <w:rPr/>
        <w:t>世界卫生组织(WHO)狼疮性肾炎分型：</w:t>
      </w:r>
    </w:p>
    <w:p>
      <w:pPr>
        <w:pStyle w:val="BodyText"/>
        <w:spacing w:before="8"/>
        <w:rPr>
          <w:sz w:val="26"/>
        </w:rPr>
      </w:pPr>
    </w:p>
    <w:p>
      <w:pPr>
        <w:pStyle w:val="BodyText"/>
        <w:ind w:left="3094"/>
      </w:pPr>
      <w:r>
        <w:rPr/>
        <w:t>Ⅰ型(微小病变型)镜下阴性，尿液正常；</w:t>
      </w:r>
    </w:p>
    <w:p>
      <w:pPr>
        <w:pStyle w:val="BodyText"/>
        <w:spacing w:before="9"/>
        <w:rPr>
          <w:sz w:val="14"/>
        </w:rPr>
      </w:pPr>
    </w:p>
    <w:p>
      <w:pPr>
        <w:pStyle w:val="BodyText"/>
        <w:ind w:left="3094"/>
      </w:pPr>
      <w:r>
        <w:rPr/>
        <w:t>Ⅱ型(系膜病变型)中度蛋白尿，偶有尿沉渣改变；</w:t>
      </w:r>
    </w:p>
    <w:p>
      <w:pPr>
        <w:pStyle w:val="BodyText"/>
        <w:spacing w:before="9"/>
        <w:rPr>
          <w:sz w:val="14"/>
        </w:rPr>
      </w:pPr>
    </w:p>
    <w:p>
      <w:pPr>
        <w:pStyle w:val="BodyText"/>
        <w:ind w:left="3094"/>
      </w:pPr>
      <w:r>
        <w:rPr/>
        <w:t>Ⅲ型(局灶及节段增生型)蛋白尿，尿沉渣改变；</w:t>
      </w:r>
    </w:p>
    <w:p>
      <w:pPr>
        <w:pStyle w:val="BodyText"/>
        <w:spacing w:before="9"/>
        <w:rPr>
          <w:sz w:val="14"/>
        </w:rPr>
      </w:pPr>
    </w:p>
    <w:p>
      <w:pPr>
        <w:pStyle w:val="BodyText"/>
        <w:ind w:left="3094"/>
      </w:pPr>
      <w:r>
        <w:rPr/>
        <w:t>Ⅳ型(弥漫增生型)急性肾炎伴有尿沉渣改变及/或肾病综合征；</w:t>
      </w:r>
    </w:p>
    <w:p>
      <w:pPr>
        <w:pStyle w:val="BodyText"/>
        <w:spacing w:before="9"/>
        <w:rPr>
          <w:sz w:val="14"/>
        </w:rPr>
      </w:pPr>
    </w:p>
    <w:p>
      <w:pPr>
        <w:pStyle w:val="BodyText"/>
        <w:ind w:left="3094"/>
      </w:pPr>
      <w:r>
        <w:rPr/>
        <w:t>Ⅴ型(膜型)肾病综合征或重度蛋白尿。</w:t>
      </w:r>
    </w:p>
    <w:p>
      <w:pPr>
        <w:pStyle w:val="BodyText"/>
        <w:rPr>
          <w:sz w:val="20"/>
        </w:rPr>
      </w:pPr>
    </w:p>
    <w:p>
      <w:pPr>
        <w:pStyle w:val="BodyText"/>
        <w:spacing w:before="8"/>
        <w:rPr>
          <w:sz w:val="18"/>
        </w:rPr>
      </w:pPr>
    </w:p>
    <w:p>
      <w:pPr>
        <w:pStyle w:val="ListParagraph"/>
        <w:numPr>
          <w:ilvl w:val="0"/>
          <w:numId w:val="18"/>
        </w:numPr>
        <w:tabs>
          <w:tab w:pos="2221" w:val="left" w:leader="none"/>
        </w:tabs>
        <w:spacing w:line="273" w:lineRule="auto" w:before="0" w:after="0"/>
        <w:ind w:left="2254" w:right="98" w:hanging="454"/>
        <w:jc w:val="both"/>
        <w:rPr>
          <w:sz w:val="21"/>
        </w:rPr>
      </w:pPr>
      <w:r>
        <w:rPr>
          <w:spacing w:val="-6"/>
          <w:sz w:val="21"/>
        </w:rPr>
        <w:t>严重慢性呼吸衰竭： 慢性肺部疾病导致永久不可逆性的慢性呼吸功能衰竭， </w:t>
      </w:r>
      <w:r>
        <w:rPr>
          <w:spacing w:val="-3"/>
          <w:sz w:val="21"/>
        </w:rPr>
        <w:t>必须由呼吸专科医师确认并符合下列所有条件：</w:t>
      </w:r>
    </w:p>
    <w:p>
      <w:pPr>
        <w:pStyle w:val="ListParagraph"/>
        <w:numPr>
          <w:ilvl w:val="1"/>
          <w:numId w:val="18"/>
        </w:numPr>
        <w:tabs>
          <w:tab w:pos="3412" w:val="left" w:leader="none"/>
        </w:tabs>
        <w:spacing w:line="240" w:lineRule="auto" w:before="7" w:after="0"/>
        <w:ind w:left="3411" w:right="0" w:hanging="317"/>
        <w:jc w:val="left"/>
        <w:rPr>
          <w:sz w:val="21"/>
        </w:rPr>
      </w:pPr>
      <w:r>
        <w:rPr>
          <w:spacing w:val="-3"/>
          <w:sz w:val="21"/>
        </w:rPr>
        <w:t>肺功能测试其</w:t>
      </w:r>
      <w:r>
        <w:rPr>
          <w:spacing w:val="-1"/>
          <w:sz w:val="21"/>
        </w:rPr>
        <w:t>FEV1</w:t>
      </w:r>
      <w:r>
        <w:rPr>
          <w:spacing w:val="-3"/>
          <w:sz w:val="21"/>
        </w:rPr>
        <w:t>持续低于</w:t>
      </w:r>
      <w:r>
        <w:rPr>
          <w:sz w:val="21"/>
        </w:rPr>
        <w:t>0.75</w:t>
      </w:r>
      <w:r>
        <w:rPr>
          <w:spacing w:val="-3"/>
          <w:sz w:val="21"/>
        </w:rPr>
        <w:t>升；</w:t>
      </w:r>
    </w:p>
    <w:p>
      <w:pPr>
        <w:pStyle w:val="BodyText"/>
        <w:spacing w:before="9"/>
        <w:rPr>
          <w:sz w:val="14"/>
        </w:rPr>
      </w:pPr>
    </w:p>
    <w:p>
      <w:pPr>
        <w:pStyle w:val="ListParagraph"/>
        <w:numPr>
          <w:ilvl w:val="1"/>
          <w:numId w:val="18"/>
        </w:numPr>
        <w:tabs>
          <w:tab w:pos="3412" w:val="left" w:leader="none"/>
        </w:tabs>
        <w:spacing w:line="240" w:lineRule="auto" w:before="0" w:after="0"/>
        <w:ind w:left="3411" w:right="0" w:hanging="317"/>
        <w:jc w:val="left"/>
        <w:rPr>
          <w:sz w:val="21"/>
        </w:rPr>
      </w:pPr>
      <w:r>
        <w:rPr>
          <w:spacing w:val="-3"/>
          <w:sz w:val="21"/>
        </w:rPr>
        <w:t>病人缺氧必须广泛而持续地进行输氧治疗；</w:t>
      </w:r>
    </w:p>
    <w:p>
      <w:pPr>
        <w:pStyle w:val="BodyText"/>
        <w:spacing w:before="9"/>
        <w:rPr>
          <w:sz w:val="14"/>
        </w:rPr>
      </w:pPr>
    </w:p>
    <w:p>
      <w:pPr>
        <w:pStyle w:val="ListParagraph"/>
        <w:numPr>
          <w:ilvl w:val="1"/>
          <w:numId w:val="18"/>
        </w:numPr>
        <w:tabs>
          <w:tab w:pos="3412" w:val="left" w:leader="none"/>
        </w:tabs>
        <w:spacing w:line="240" w:lineRule="auto" w:before="0" w:after="0"/>
        <w:ind w:left="3411" w:right="0" w:hanging="317"/>
        <w:jc w:val="left"/>
        <w:rPr>
          <w:sz w:val="21"/>
        </w:rPr>
      </w:pPr>
      <w:r>
        <w:rPr>
          <w:spacing w:val="-3"/>
          <w:sz w:val="21"/>
        </w:rPr>
        <w:t>动脉血气分析氧分压低于</w:t>
      </w:r>
      <w:r>
        <w:rPr>
          <w:sz w:val="21"/>
        </w:rPr>
        <w:t>55mmHg。</w:t>
      </w:r>
    </w:p>
    <w:p>
      <w:pPr>
        <w:pStyle w:val="BodyText"/>
        <w:rPr>
          <w:sz w:val="20"/>
        </w:rPr>
      </w:pPr>
    </w:p>
    <w:p>
      <w:pPr>
        <w:pStyle w:val="BodyText"/>
        <w:spacing w:before="7"/>
        <w:rPr>
          <w:sz w:val="18"/>
        </w:rPr>
      </w:pPr>
    </w:p>
    <w:p>
      <w:pPr>
        <w:pStyle w:val="Heading2"/>
        <w:ind w:left="2254"/>
      </w:pPr>
      <w:r>
        <w:rPr/>
        <w:t>理赔时必须提供以上三项相应的证明文件或检查报告。</w:t>
      </w:r>
    </w:p>
    <w:p>
      <w:pPr>
        <w:pStyle w:val="BodyText"/>
        <w:spacing w:before="9"/>
        <w:rPr>
          <w:b/>
          <w:sz w:val="26"/>
        </w:rPr>
      </w:pPr>
    </w:p>
    <w:p>
      <w:pPr>
        <w:pStyle w:val="ListParagraph"/>
        <w:numPr>
          <w:ilvl w:val="0"/>
          <w:numId w:val="18"/>
        </w:numPr>
        <w:tabs>
          <w:tab w:pos="2221" w:val="left" w:leader="none"/>
        </w:tabs>
        <w:spacing w:line="273" w:lineRule="auto" w:before="0" w:after="0"/>
        <w:ind w:left="2254" w:right="98" w:hanging="454"/>
        <w:jc w:val="both"/>
        <w:rPr>
          <w:sz w:val="21"/>
        </w:rPr>
      </w:pPr>
      <w:r>
        <w:rPr>
          <w:spacing w:val="-6"/>
          <w:sz w:val="21"/>
        </w:rPr>
        <w:t>全身性重症肌无力： 重症肌无力是一种神经肌肉接头传递障碍所致的疾病， </w:t>
      </w:r>
      <w:r>
        <w:rPr>
          <w:spacing w:val="-10"/>
          <w:sz w:val="21"/>
        </w:rPr>
        <w:t>表现为局部或全身骨骼肌</w:t>
      </w:r>
      <w:r>
        <w:rPr>
          <w:spacing w:val="-3"/>
          <w:sz w:val="21"/>
        </w:rPr>
        <w:t>（特别是眼外肌</w:t>
      </w:r>
      <w:r>
        <w:rPr>
          <w:spacing w:val="-65"/>
          <w:sz w:val="21"/>
        </w:rPr>
        <w:t>）</w:t>
      </w:r>
      <w:r>
        <w:rPr>
          <w:spacing w:val="-10"/>
          <w:sz w:val="21"/>
        </w:rPr>
        <w:t>极易疲劳。疾病可以累及呼吸肌、</w:t>
      </w:r>
      <w:r>
        <w:rPr>
          <w:spacing w:val="-5"/>
          <w:sz w:val="21"/>
        </w:rPr>
        <w:t>上肢或下肢的近端肌群或全身肌肉，必须满足下列全部条件：</w:t>
      </w:r>
    </w:p>
    <w:p>
      <w:pPr>
        <w:pStyle w:val="BodyText"/>
        <w:spacing w:before="5"/>
        <w:rPr>
          <w:sz w:val="24"/>
        </w:rPr>
      </w:pPr>
    </w:p>
    <w:p>
      <w:pPr>
        <w:pStyle w:val="ListParagraph"/>
        <w:numPr>
          <w:ilvl w:val="1"/>
          <w:numId w:val="18"/>
        </w:numPr>
        <w:tabs>
          <w:tab w:pos="3412" w:val="left" w:leader="none"/>
        </w:tabs>
        <w:spacing w:line="240" w:lineRule="auto" w:before="0" w:after="0"/>
        <w:ind w:left="3094" w:right="0" w:firstLine="0"/>
        <w:jc w:val="left"/>
        <w:rPr>
          <w:sz w:val="21"/>
        </w:rPr>
      </w:pPr>
      <w:r>
        <w:rPr>
          <w:spacing w:val="-3"/>
          <w:sz w:val="21"/>
        </w:rPr>
        <w:t>经药物治疗和胸腺切除治疗一年以上仍无法控制病情；</w:t>
      </w:r>
    </w:p>
    <w:p>
      <w:pPr>
        <w:pStyle w:val="BodyText"/>
        <w:spacing w:before="9"/>
        <w:rPr>
          <w:sz w:val="14"/>
        </w:rPr>
      </w:pPr>
    </w:p>
    <w:p>
      <w:pPr>
        <w:pStyle w:val="ListParagraph"/>
        <w:numPr>
          <w:ilvl w:val="1"/>
          <w:numId w:val="18"/>
        </w:numPr>
        <w:tabs>
          <w:tab w:pos="3412" w:val="left" w:leader="none"/>
        </w:tabs>
        <w:spacing w:line="273" w:lineRule="auto" w:before="0" w:after="0"/>
        <w:ind w:left="3094" w:right="206" w:firstLine="0"/>
        <w:jc w:val="left"/>
        <w:rPr>
          <w:sz w:val="21"/>
        </w:rPr>
      </w:pPr>
      <w:r>
        <w:rPr>
          <w:spacing w:val="-3"/>
          <w:sz w:val="21"/>
        </w:rPr>
        <w:t>自主生活能力完全丧失，无法独立完成六项基本日常生活活动中的三项或三项以上。</w:t>
      </w:r>
    </w:p>
    <w:p>
      <w:pPr>
        <w:pStyle w:val="BodyText"/>
        <w:rPr>
          <w:sz w:val="20"/>
        </w:rPr>
      </w:pPr>
    </w:p>
    <w:p>
      <w:pPr>
        <w:pStyle w:val="BodyText"/>
        <w:spacing w:before="4"/>
        <w:rPr>
          <w:sz w:val="16"/>
        </w:rPr>
      </w:pPr>
    </w:p>
    <w:p>
      <w:pPr>
        <w:pStyle w:val="ListParagraph"/>
        <w:numPr>
          <w:ilvl w:val="0"/>
          <w:numId w:val="18"/>
        </w:numPr>
        <w:tabs>
          <w:tab w:pos="2221" w:val="left" w:leader="none"/>
        </w:tabs>
        <w:spacing w:line="273" w:lineRule="auto" w:before="0" w:after="0"/>
        <w:ind w:left="2254" w:right="115" w:hanging="454"/>
        <w:jc w:val="both"/>
        <w:rPr>
          <w:sz w:val="21"/>
        </w:rPr>
      </w:pPr>
      <w:r>
        <w:rPr>
          <w:spacing w:val="-9"/>
          <w:sz w:val="21"/>
        </w:rPr>
        <w:t>严重原发性心肌病：指因原发性心肌病导致心室功能损害造成永久不可逆性</w:t>
      </w:r>
      <w:r>
        <w:rPr>
          <w:spacing w:val="-12"/>
          <w:sz w:val="21"/>
        </w:rPr>
        <w:t>的心功能衰竭，心功能衰竭程度达到美国纽约心脏病学会心功能状态分级</w:t>
      </w:r>
      <w:r>
        <w:rPr>
          <w:sz w:val="21"/>
        </w:rPr>
        <w:t>IV </w:t>
      </w:r>
      <w:r>
        <w:rPr>
          <w:spacing w:val="-3"/>
          <w:sz w:val="21"/>
        </w:rPr>
        <w:t>级。必须由心脏专科医生确诊，并有包括超声心动图在内的相关检查证实。</w:t>
      </w:r>
    </w:p>
    <w:p>
      <w:pPr>
        <w:pStyle w:val="BodyText"/>
        <w:spacing w:before="5"/>
        <w:rPr>
          <w:sz w:val="24"/>
        </w:rPr>
      </w:pPr>
    </w:p>
    <w:p>
      <w:pPr>
        <w:pStyle w:val="Heading2"/>
        <w:ind w:left="2254"/>
      </w:pPr>
      <w:r>
        <w:rPr/>
        <w:t>酗酒或滥用药物引起的心肌病不在保险责任范围内。</w:t>
      </w:r>
    </w:p>
    <w:p>
      <w:pPr>
        <w:pStyle w:val="BodyText"/>
        <w:spacing w:before="8"/>
        <w:rPr>
          <w:b/>
          <w:sz w:val="26"/>
        </w:rPr>
      </w:pPr>
    </w:p>
    <w:p>
      <w:pPr>
        <w:pStyle w:val="ListParagraph"/>
        <w:numPr>
          <w:ilvl w:val="0"/>
          <w:numId w:val="18"/>
        </w:numPr>
        <w:tabs>
          <w:tab w:pos="2221" w:val="left" w:leader="none"/>
        </w:tabs>
        <w:spacing w:line="240" w:lineRule="auto" w:before="0" w:after="0"/>
        <w:ind w:left="2221" w:right="0" w:hanging="421"/>
        <w:jc w:val="left"/>
        <w:rPr>
          <w:sz w:val="21"/>
        </w:rPr>
      </w:pPr>
      <w:r>
        <w:rPr>
          <w:spacing w:val="-3"/>
          <w:sz w:val="21"/>
        </w:rPr>
        <w:t>坏死性筋膜炎： 坏死性筋膜炎的诊断须同时符合下列要求：</w:t>
      </w:r>
    </w:p>
    <w:p>
      <w:pPr>
        <w:pStyle w:val="BodyText"/>
        <w:spacing w:before="8"/>
        <w:rPr>
          <w:sz w:val="26"/>
        </w:rPr>
      </w:pPr>
    </w:p>
    <w:p>
      <w:pPr>
        <w:pStyle w:val="ListParagraph"/>
        <w:numPr>
          <w:ilvl w:val="1"/>
          <w:numId w:val="18"/>
        </w:numPr>
        <w:tabs>
          <w:tab w:pos="3412" w:val="left" w:leader="none"/>
        </w:tabs>
        <w:spacing w:line="240" w:lineRule="auto" w:before="0" w:after="0"/>
        <w:ind w:left="3094" w:right="0" w:firstLine="0"/>
        <w:jc w:val="left"/>
        <w:rPr>
          <w:sz w:val="21"/>
        </w:rPr>
      </w:pPr>
      <w:r>
        <w:rPr>
          <w:spacing w:val="-3"/>
          <w:sz w:val="21"/>
        </w:rPr>
        <w:t>符合坏死性筋膜炎的一般临床表现；</w:t>
      </w:r>
    </w:p>
    <w:p>
      <w:pPr>
        <w:pStyle w:val="BodyText"/>
        <w:spacing w:before="9"/>
        <w:rPr>
          <w:sz w:val="14"/>
        </w:rPr>
      </w:pPr>
    </w:p>
    <w:p>
      <w:pPr>
        <w:pStyle w:val="ListParagraph"/>
        <w:numPr>
          <w:ilvl w:val="1"/>
          <w:numId w:val="18"/>
        </w:numPr>
        <w:tabs>
          <w:tab w:pos="3412" w:val="left" w:leader="none"/>
        </w:tabs>
        <w:spacing w:line="240" w:lineRule="auto" w:before="0" w:after="0"/>
        <w:ind w:left="3094" w:right="0" w:firstLine="0"/>
        <w:jc w:val="left"/>
        <w:rPr>
          <w:sz w:val="21"/>
        </w:rPr>
      </w:pPr>
      <w:r>
        <w:rPr>
          <w:spacing w:val="-3"/>
          <w:sz w:val="21"/>
        </w:rPr>
        <w:t>细菌培养检出致病菌；</w:t>
      </w:r>
    </w:p>
    <w:p>
      <w:pPr>
        <w:pStyle w:val="BodyText"/>
        <w:spacing w:before="9"/>
        <w:rPr>
          <w:sz w:val="14"/>
        </w:rPr>
      </w:pPr>
    </w:p>
    <w:p>
      <w:pPr>
        <w:pStyle w:val="ListParagraph"/>
        <w:numPr>
          <w:ilvl w:val="1"/>
          <w:numId w:val="18"/>
        </w:numPr>
        <w:tabs>
          <w:tab w:pos="3412" w:val="left" w:leader="none"/>
        </w:tabs>
        <w:spacing w:line="273" w:lineRule="auto" w:before="0" w:after="0"/>
        <w:ind w:left="3094" w:right="206" w:firstLine="0"/>
        <w:jc w:val="left"/>
        <w:rPr>
          <w:sz w:val="21"/>
        </w:rPr>
      </w:pPr>
      <w:r>
        <w:rPr>
          <w:spacing w:val="-3"/>
          <w:sz w:val="21"/>
        </w:rPr>
        <w:t>出现广泛性肌肉及组织坏死，并确实实施了坏死组织和筋膜以及肌肉的切除手术。</w:t>
      </w:r>
    </w:p>
    <w:p>
      <w:pPr>
        <w:spacing w:after="0" w:line="273" w:lineRule="auto"/>
        <w:jc w:val="left"/>
        <w:rPr>
          <w:sz w:val="21"/>
        </w:rPr>
        <w:sectPr>
          <w:pgSz w:w="11910" w:h="16840"/>
          <w:pgMar w:header="0" w:footer="924" w:top="1080" w:bottom="1200" w:left="1680" w:right="920"/>
        </w:sectPr>
      </w:pPr>
    </w:p>
    <w:p>
      <w:pPr>
        <w:pStyle w:val="Heading2"/>
        <w:spacing w:before="22"/>
        <w:ind w:left="2254"/>
      </w:pPr>
      <w:r>
        <w:rPr/>
        <w:t>清创术不属于保险责任范围。</w:t>
      </w:r>
    </w:p>
    <w:p>
      <w:pPr>
        <w:pStyle w:val="BodyText"/>
        <w:spacing w:before="9"/>
        <w:rPr>
          <w:b/>
          <w:sz w:val="26"/>
        </w:rPr>
      </w:pPr>
    </w:p>
    <w:p>
      <w:pPr>
        <w:pStyle w:val="ListParagraph"/>
        <w:numPr>
          <w:ilvl w:val="0"/>
          <w:numId w:val="18"/>
        </w:numPr>
        <w:tabs>
          <w:tab w:pos="2221" w:val="left" w:leader="none"/>
        </w:tabs>
        <w:spacing w:line="273" w:lineRule="auto" w:before="0" w:after="0"/>
        <w:ind w:left="2254" w:right="203" w:hanging="454"/>
        <w:jc w:val="both"/>
        <w:rPr>
          <w:sz w:val="21"/>
        </w:rPr>
      </w:pPr>
      <w:r>
        <w:rPr>
          <w:spacing w:val="-9"/>
          <w:sz w:val="21"/>
        </w:rPr>
        <w:t>慢性复发性胰腺炎：胰腺炎反复发作超过三次以上并导致胰腺功能紊乱和营</w:t>
      </w:r>
      <w:r>
        <w:rPr>
          <w:spacing w:val="-13"/>
          <w:sz w:val="21"/>
        </w:rPr>
        <w:t>养不良，需要接受酶替代治疗。诊断必须有消化科专科医生确认并且有内窥</w:t>
      </w:r>
      <w:r>
        <w:rPr>
          <w:spacing w:val="-6"/>
          <w:sz w:val="21"/>
        </w:rPr>
        <w:t>镜逆行胰胆管造影所证实。</w:t>
      </w:r>
    </w:p>
    <w:p>
      <w:pPr>
        <w:pStyle w:val="BodyText"/>
        <w:spacing w:before="5"/>
        <w:rPr>
          <w:sz w:val="24"/>
        </w:rPr>
      </w:pPr>
    </w:p>
    <w:p>
      <w:pPr>
        <w:pStyle w:val="Heading2"/>
        <w:ind w:left="2254"/>
      </w:pPr>
      <w:r>
        <w:rPr/>
        <w:t>因酒精所致的慢性复发性胰腺炎除外。</w:t>
      </w:r>
    </w:p>
    <w:p>
      <w:pPr>
        <w:pStyle w:val="BodyText"/>
        <w:spacing w:before="8"/>
        <w:rPr>
          <w:b/>
          <w:sz w:val="26"/>
        </w:rPr>
      </w:pPr>
    </w:p>
    <w:p>
      <w:pPr>
        <w:pStyle w:val="ListParagraph"/>
        <w:numPr>
          <w:ilvl w:val="0"/>
          <w:numId w:val="18"/>
        </w:numPr>
        <w:tabs>
          <w:tab w:pos="2221" w:val="left" w:leader="none"/>
        </w:tabs>
        <w:spacing w:line="273" w:lineRule="auto" w:before="0" w:after="0"/>
        <w:ind w:left="2254" w:right="203" w:hanging="454"/>
        <w:jc w:val="both"/>
        <w:rPr>
          <w:sz w:val="21"/>
        </w:rPr>
      </w:pPr>
      <w:r>
        <w:rPr>
          <w:spacing w:val="-3"/>
          <w:sz w:val="21"/>
        </w:rPr>
        <w:t>象皮病： 指末期丝虫病，按国际淋巴学会分级为三度淋巴液肿，其临床表</w:t>
      </w:r>
      <w:r>
        <w:rPr>
          <w:spacing w:val="-8"/>
          <w:sz w:val="21"/>
        </w:rPr>
        <w:t>现为肢体非凹陷性水肿伴畸形增大、硬皮症和疣状增生。此病症须经专科医</w:t>
      </w:r>
      <w:r>
        <w:rPr>
          <w:spacing w:val="-5"/>
          <w:sz w:val="21"/>
        </w:rPr>
        <w:t>生根据临床表现和微丝蚴的化验结果确诊。</w:t>
      </w:r>
    </w:p>
    <w:p>
      <w:pPr>
        <w:pStyle w:val="BodyText"/>
        <w:spacing w:before="5"/>
        <w:rPr>
          <w:sz w:val="24"/>
        </w:rPr>
      </w:pPr>
    </w:p>
    <w:p>
      <w:pPr>
        <w:pStyle w:val="ListParagraph"/>
        <w:numPr>
          <w:ilvl w:val="0"/>
          <w:numId w:val="18"/>
        </w:numPr>
        <w:tabs>
          <w:tab w:pos="2221" w:val="left" w:leader="none"/>
        </w:tabs>
        <w:spacing w:line="273" w:lineRule="auto" w:before="0" w:after="0"/>
        <w:ind w:left="2254" w:right="203" w:hanging="454"/>
        <w:jc w:val="both"/>
        <w:rPr>
          <w:sz w:val="21"/>
        </w:rPr>
      </w:pPr>
      <w:r>
        <w:rPr>
          <w:spacing w:val="-9"/>
          <w:sz w:val="21"/>
        </w:rPr>
        <w:t>严重克隆病：克隆病是一种慢性肉芽肿性肠炎，具有特征性的克隆病病理组</w:t>
      </w:r>
      <w:r>
        <w:rPr>
          <w:spacing w:val="-12"/>
          <w:sz w:val="21"/>
        </w:rPr>
        <w:t>织学变化。诊断必须由病理检查结果证实。被保险人所患的克隆病必须已经</w:t>
      </w:r>
      <w:r>
        <w:rPr>
          <w:spacing w:val="-6"/>
          <w:sz w:val="21"/>
        </w:rPr>
        <w:t>造成瘘管形成并伴有肠梗阻或肠穿孔。</w:t>
      </w:r>
    </w:p>
    <w:p>
      <w:pPr>
        <w:pStyle w:val="BodyText"/>
        <w:rPr>
          <w:sz w:val="20"/>
        </w:rPr>
      </w:pPr>
    </w:p>
    <w:p>
      <w:pPr>
        <w:pStyle w:val="BodyText"/>
        <w:rPr>
          <w:sz w:val="15"/>
        </w:rPr>
      </w:pPr>
    </w:p>
    <w:p>
      <w:pPr>
        <w:pStyle w:val="ListParagraph"/>
        <w:numPr>
          <w:ilvl w:val="0"/>
          <w:numId w:val="18"/>
        </w:numPr>
        <w:tabs>
          <w:tab w:pos="2221" w:val="left" w:leader="none"/>
        </w:tabs>
        <w:spacing w:line="240" w:lineRule="auto" w:before="0" w:after="0"/>
        <w:ind w:left="2221" w:right="0" w:hanging="421"/>
        <w:jc w:val="left"/>
        <w:rPr>
          <w:sz w:val="21"/>
        </w:rPr>
      </w:pPr>
      <w:r>
        <w:rPr>
          <w:spacing w:val="-3"/>
          <w:sz w:val="21"/>
        </w:rPr>
        <w:t>肾髓质囊性病：肾髓质囊性病的诊断须同时符合下列要求：</w:t>
      </w:r>
    </w:p>
    <w:p>
      <w:pPr>
        <w:pStyle w:val="ListParagraph"/>
        <w:numPr>
          <w:ilvl w:val="1"/>
          <w:numId w:val="18"/>
        </w:numPr>
        <w:tabs>
          <w:tab w:pos="3412" w:val="left" w:leader="none"/>
        </w:tabs>
        <w:spacing w:line="240" w:lineRule="auto" w:before="37" w:after="0"/>
        <w:ind w:left="3411" w:right="0" w:hanging="317"/>
        <w:jc w:val="left"/>
        <w:rPr>
          <w:sz w:val="21"/>
        </w:rPr>
      </w:pPr>
      <w:r>
        <w:rPr>
          <w:spacing w:val="-3"/>
          <w:sz w:val="21"/>
        </w:rPr>
        <w:t>肾髓质有囊肿、肾小管萎缩及间质纤维化等病理改变；</w:t>
      </w:r>
    </w:p>
    <w:p>
      <w:pPr>
        <w:pStyle w:val="BodyText"/>
        <w:spacing w:before="10"/>
        <w:rPr>
          <w:sz w:val="14"/>
        </w:rPr>
      </w:pPr>
    </w:p>
    <w:p>
      <w:pPr>
        <w:pStyle w:val="ListParagraph"/>
        <w:numPr>
          <w:ilvl w:val="1"/>
          <w:numId w:val="18"/>
        </w:numPr>
        <w:tabs>
          <w:tab w:pos="3412" w:val="left" w:leader="none"/>
        </w:tabs>
        <w:spacing w:line="240" w:lineRule="auto" w:before="0" w:after="0"/>
        <w:ind w:left="3411" w:right="0" w:hanging="317"/>
        <w:jc w:val="left"/>
        <w:rPr>
          <w:sz w:val="21"/>
        </w:rPr>
      </w:pPr>
      <w:r>
        <w:rPr>
          <w:spacing w:val="-3"/>
          <w:sz w:val="21"/>
        </w:rPr>
        <w:t>贫血、多尿及肾功能衰竭等临床表现；</w:t>
      </w:r>
    </w:p>
    <w:p>
      <w:pPr>
        <w:pStyle w:val="BodyText"/>
        <w:spacing w:before="9"/>
        <w:rPr>
          <w:sz w:val="14"/>
        </w:rPr>
      </w:pPr>
    </w:p>
    <w:p>
      <w:pPr>
        <w:pStyle w:val="ListParagraph"/>
        <w:numPr>
          <w:ilvl w:val="1"/>
          <w:numId w:val="18"/>
        </w:numPr>
        <w:tabs>
          <w:tab w:pos="3412" w:val="left" w:leader="none"/>
        </w:tabs>
        <w:spacing w:line="240" w:lineRule="auto" w:before="1" w:after="0"/>
        <w:ind w:left="3411" w:right="0" w:hanging="317"/>
        <w:jc w:val="left"/>
        <w:rPr>
          <w:sz w:val="21"/>
        </w:rPr>
      </w:pPr>
      <w:r>
        <w:rPr>
          <w:spacing w:val="-3"/>
          <w:sz w:val="21"/>
        </w:rPr>
        <w:t>诊断须由肾组织活检确定。</w:t>
      </w:r>
    </w:p>
    <w:p>
      <w:pPr>
        <w:pStyle w:val="BodyText"/>
        <w:rPr>
          <w:sz w:val="20"/>
        </w:rPr>
      </w:pPr>
    </w:p>
    <w:p>
      <w:pPr>
        <w:pStyle w:val="BodyText"/>
        <w:spacing w:before="8"/>
        <w:rPr>
          <w:sz w:val="18"/>
        </w:rPr>
      </w:pPr>
    </w:p>
    <w:p>
      <w:pPr>
        <w:pStyle w:val="ListParagraph"/>
        <w:numPr>
          <w:ilvl w:val="0"/>
          <w:numId w:val="18"/>
        </w:numPr>
        <w:tabs>
          <w:tab w:pos="2221" w:val="left" w:leader="none"/>
        </w:tabs>
        <w:spacing w:line="273" w:lineRule="auto" w:before="0" w:after="0"/>
        <w:ind w:left="2254" w:right="204" w:hanging="454"/>
        <w:jc w:val="both"/>
        <w:rPr>
          <w:sz w:val="21"/>
        </w:rPr>
      </w:pPr>
      <w:r>
        <w:rPr>
          <w:spacing w:val="-8"/>
          <w:sz w:val="21"/>
        </w:rPr>
        <w:t>肌营养不良症：指一组遗传性肌肉变性病变, 临床特征为与神经系统无关的</w:t>
      </w:r>
      <w:r>
        <w:rPr>
          <w:spacing w:val="-5"/>
          <w:sz w:val="21"/>
        </w:rPr>
        <w:t>骨骼肌肉对称地进行性无力和萎缩。其诊断需满足下列全部条件：</w:t>
      </w:r>
    </w:p>
    <w:p>
      <w:pPr>
        <w:pStyle w:val="BodyText"/>
        <w:spacing w:before="5"/>
        <w:rPr>
          <w:sz w:val="24"/>
        </w:rPr>
      </w:pPr>
    </w:p>
    <w:p>
      <w:pPr>
        <w:pStyle w:val="ListParagraph"/>
        <w:numPr>
          <w:ilvl w:val="1"/>
          <w:numId w:val="18"/>
        </w:numPr>
        <w:tabs>
          <w:tab w:pos="3412" w:val="left" w:leader="none"/>
        </w:tabs>
        <w:spacing w:line="240" w:lineRule="auto" w:before="0" w:after="0"/>
        <w:ind w:left="3094" w:right="0" w:firstLine="0"/>
        <w:jc w:val="left"/>
        <w:rPr>
          <w:sz w:val="21"/>
        </w:rPr>
      </w:pPr>
      <w:r>
        <w:rPr>
          <w:spacing w:val="-3"/>
          <w:sz w:val="21"/>
        </w:rPr>
        <w:t>肌电图显示典型肌营养不良症的阳性改变；</w:t>
      </w:r>
    </w:p>
    <w:p>
      <w:pPr>
        <w:pStyle w:val="BodyText"/>
        <w:spacing w:before="9"/>
        <w:rPr>
          <w:sz w:val="14"/>
        </w:rPr>
      </w:pPr>
    </w:p>
    <w:p>
      <w:pPr>
        <w:pStyle w:val="ListParagraph"/>
        <w:numPr>
          <w:ilvl w:val="1"/>
          <w:numId w:val="18"/>
        </w:numPr>
        <w:tabs>
          <w:tab w:pos="3414" w:val="left" w:leader="none"/>
        </w:tabs>
        <w:spacing w:line="273" w:lineRule="auto" w:before="0" w:after="0"/>
        <w:ind w:left="3094" w:right="206" w:firstLine="0"/>
        <w:jc w:val="left"/>
        <w:rPr>
          <w:sz w:val="21"/>
        </w:rPr>
      </w:pPr>
      <w:r>
        <w:rPr>
          <w:sz w:val="21"/>
        </w:rPr>
        <w:t>肌肉活检的病理学诊断符合肌营养不良症的肌肉细胞变性</w:t>
      </w:r>
      <w:r>
        <w:rPr>
          <w:spacing w:val="2"/>
          <w:sz w:val="21"/>
        </w:rPr>
        <w:t>\</w:t>
      </w:r>
      <w:r>
        <w:rPr>
          <w:sz w:val="21"/>
        </w:rPr>
        <w:t>坏</w:t>
      </w:r>
      <w:r>
        <w:rPr>
          <w:spacing w:val="-3"/>
          <w:sz w:val="21"/>
        </w:rPr>
        <w:t>死等阳性改变;</w:t>
      </w:r>
    </w:p>
    <w:p>
      <w:pPr>
        <w:pStyle w:val="ListParagraph"/>
        <w:numPr>
          <w:ilvl w:val="1"/>
          <w:numId w:val="18"/>
        </w:numPr>
        <w:tabs>
          <w:tab w:pos="3412" w:val="left" w:leader="none"/>
        </w:tabs>
        <w:spacing w:line="273" w:lineRule="auto" w:before="163" w:after="0"/>
        <w:ind w:left="3094" w:right="206" w:firstLine="0"/>
        <w:jc w:val="left"/>
        <w:rPr>
          <w:sz w:val="21"/>
        </w:rPr>
      </w:pPr>
      <w:r>
        <w:rPr>
          <w:spacing w:val="-3"/>
          <w:sz w:val="21"/>
        </w:rPr>
        <w:t>已导致被保险人持续超过三个月无法独立完成六项基本日常生活活动中的三项获三项以上。</w:t>
      </w:r>
    </w:p>
    <w:p>
      <w:pPr>
        <w:pStyle w:val="BodyText"/>
        <w:rPr>
          <w:sz w:val="20"/>
        </w:rPr>
      </w:pPr>
    </w:p>
    <w:p>
      <w:pPr>
        <w:pStyle w:val="BodyText"/>
        <w:spacing w:before="5"/>
        <w:rPr>
          <w:sz w:val="16"/>
        </w:rPr>
      </w:pPr>
    </w:p>
    <w:p>
      <w:pPr>
        <w:pStyle w:val="ListParagraph"/>
        <w:numPr>
          <w:ilvl w:val="0"/>
          <w:numId w:val="18"/>
        </w:numPr>
        <w:tabs>
          <w:tab w:pos="2221" w:val="left" w:leader="none"/>
        </w:tabs>
        <w:spacing w:line="273" w:lineRule="auto" w:before="0" w:after="0"/>
        <w:ind w:left="2254" w:right="204" w:hanging="454"/>
        <w:jc w:val="both"/>
        <w:rPr>
          <w:sz w:val="21"/>
        </w:rPr>
      </w:pPr>
      <w:r>
        <w:rPr>
          <w:spacing w:val="-8"/>
          <w:sz w:val="21"/>
        </w:rPr>
        <w:t>严重哮喘：被保险人必须在过去两年内曾发生哮喘持续状态，并满足以下标</w:t>
      </w:r>
      <w:r>
        <w:rPr>
          <w:spacing w:val="-5"/>
          <w:sz w:val="21"/>
        </w:rPr>
        <w:t>准中的两项或两项以上标准：</w:t>
      </w:r>
    </w:p>
    <w:p>
      <w:pPr>
        <w:pStyle w:val="BodyText"/>
        <w:spacing w:before="5"/>
        <w:rPr>
          <w:sz w:val="24"/>
        </w:rPr>
      </w:pPr>
    </w:p>
    <w:p>
      <w:pPr>
        <w:pStyle w:val="ListParagraph"/>
        <w:numPr>
          <w:ilvl w:val="1"/>
          <w:numId w:val="18"/>
        </w:numPr>
        <w:tabs>
          <w:tab w:pos="3412" w:val="left" w:leader="none"/>
        </w:tabs>
        <w:spacing w:line="240" w:lineRule="auto" w:before="0" w:after="0"/>
        <w:ind w:left="3411" w:right="0" w:hanging="317"/>
        <w:jc w:val="left"/>
        <w:rPr>
          <w:sz w:val="21"/>
        </w:rPr>
      </w:pPr>
      <w:r>
        <w:rPr>
          <w:spacing w:val="-3"/>
          <w:sz w:val="21"/>
        </w:rPr>
        <w:t>运动耐受力永久并持续地减少并且轻微的运动能引起气促；</w:t>
      </w:r>
    </w:p>
    <w:p>
      <w:pPr>
        <w:pStyle w:val="BodyText"/>
        <w:spacing w:before="9"/>
        <w:rPr>
          <w:sz w:val="14"/>
        </w:rPr>
      </w:pPr>
    </w:p>
    <w:p>
      <w:pPr>
        <w:pStyle w:val="ListParagraph"/>
        <w:numPr>
          <w:ilvl w:val="1"/>
          <w:numId w:val="18"/>
        </w:numPr>
        <w:tabs>
          <w:tab w:pos="3412" w:val="left" w:leader="none"/>
        </w:tabs>
        <w:spacing w:line="240" w:lineRule="auto" w:before="0" w:after="0"/>
        <w:ind w:left="3411" w:right="0" w:hanging="317"/>
        <w:jc w:val="left"/>
        <w:rPr>
          <w:sz w:val="21"/>
        </w:rPr>
      </w:pPr>
      <w:r>
        <w:rPr>
          <w:spacing w:val="-3"/>
          <w:sz w:val="21"/>
        </w:rPr>
        <w:t>长期胸腔过渡膨胀而导致胸腔畸形；</w:t>
      </w:r>
    </w:p>
    <w:p>
      <w:pPr>
        <w:pStyle w:val="BodyText"/>
        <w:spacing w:before="9"/>
        <w:rPr>
          <w:sz w:val="14"/>
        </w:rPr>
      </w:pPr>
    </w:p>
    <w:p>
      <w:pPr>
        <w:pStyle w:val="ListParagraph"/>
        <w:numPr>
          <w:ilvl w:val="1"/>
          <w:numId w:val="18"/>
        </w:numPr>
        <w:tabs>
          <w:tab w:pos="3412" w:val="left" w:leader="none"/>
        </w:tabs>
        <w:spacing w:line="240" w:lineRule="auto" w:before="0" w:after="0"/>
        <w:ind w:left="3411" w:right="0" w:hanging="317"/>
        <w:jc w:val="left"/>
        <w:rPr>
          <w:sz w:val="21"/>
        </w:rPr>
      </w:pPr>
      <w:r>
        <w:rPr>
          <w:spacing w:val="-3"/>
          <w:sz w:val="21"/>
        </w:rPr>
        <w:t>在家及在静息状态下需要吸氧；</w:t>
      </w:r>
    </w:p>
    <w:p>
      <w:pPr>
        <w:pStyle w:val="BodyText"/>
        <w:spacing w:before="9"/>
        <w:rPr>
          <w:sz w:val="14"/>
        </w:rPr>
      </w:pPr>
    </w:p>
    <w:p>
      <w:pPr>
        <w:pStyle w:val="ListParagraph"/>
        <w:numPr>
          <w:ilvl w:val="1"/>
          <w:numId w:val="18"/>
        </w:numPr>
        <w:tabs>
          <w:tab w:pos="3412" w:val="left" w:leader="none"/>
        </w:tabs>
        <w:spacing w:line="240" w:lineRule="auto" w:before="0" w:after="0"/>
        <w:ind w:left="3411" w:right="0" w:hanging="317"/>
        <w:jc w:val="left"/>
        <w:rPr>
          <w:sz w:val="21"/>
        </w:rPr>
      </w:pPr>
      <w:r>
        <w:rPr>
          <w:spacing w:val="-3"/>
          <w:sz w:val="21"/>
        </w:rPr>
        <w:t>持续的每天服用类固醇药物(至少持续6个月以上)。</w:t>
      </w:r>
    </w:p>
    <w:p>
      <w:pPr>
        <w:pStyle w:val="BodyText"/>
        <w:rPr>
          <w:sz w:val="20"/>
        </w:rPr>
      </w:pPr>
    </w:p>
    <w:p>
      <w:pPr>
        <w:pStyle w:val="BodyText"/>
        <w:spacing w:before="7"/>
        <w:rPr>
          <w:sz w:val="18"/>
        </w:rPr>
      </w:pPr>
    </w:p>
    <w:p>
      <w:pPr>
        <w:pStyle w:val="ListParagraph"/>
        <w:numPr>
          <w:ilvl w:val="0"/>
          <w:numId w:val="18"/>
        </w:numPr>
        <w:tabs>
          <w:tab w:pos="2221" w:val="left" w:leader="none"/>
        </w:tabs>
        <w:spacing w:line="273" w:lineRule="auto" w:before="1" w:after="0"/>
        <w:ind w:left="2254" w:right="98" w:hanging="454"/>
        <w:jc w:val="left"/>
        <w:rPr>
          <w:sz w:val="21"/>
        </w:rPr>
      </w:pPr>
      <w:r>
        <w:rPr>
          <w:spacing w:val="-6"/>
          <w:sz w:val="21"/>
        </w:rPr>
        <w:t>严重溃疡性结肠炎： 指伴有致命性电解质紊乱的急性暴发性溃疡性结肠炎， </w:t>
      </w:r>
      <w:r>
        <w:rPr>
          <w:spacing w:val="-11"/>
          <w:sz w:val="21"/>
        </w:rPr>
        <w:t>病变累及全结肠，表现为严重的血便和系统性症状体征，治疗通常采取全结</w:t>
      </w:r>
    </w:p>
    <w:p>
      <w:pPr>
        <w:spacing w:after="0" w:line="273" w:lineRule="auto"/>
        <w:jc w:val="left"/>
        <w:rPr>
          <w:sz w:val="21"/>
        </w:rPr>
        <w:sectPr>
          <w:pgSz w:w="11910" w:h="16840"/>
          <w:pgMar w:header="0" w:footer="924" w:top="1080" w:bottom="1200" w:left="1680" w:right="92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5"/>
        <w:gridCol w:w="1544"/>
        <w:gridCol w:w="7745"/>
      </w:tblGrid>
      <w:tr>
        <w:trPr>
          <w:trHeight w:val="671" w:hRule="atLeast"/>
        </w:trPr>
        <w:tc>
          <w:tcPr>
            <w:tcW w:w="865" w:type="dxa"/>
          </w:tcPr>
          <w:p>
            <w:pPr>
              <w:pStyle w:val="TableParagraph"/>
              <w:rPr>
                <w:rFonts w:ascii="Times New Roman"/>
                <w:sz w:val="20"/>
              </w:rPr>
            </w:pPr>
          </w:p>
        </w:tc>
        <w:tc>
          <w:tcPr>
            <w:tcW w:w="1544" w:type="dxa"/>
          </w:tcPr>
          <w:p>
            <w:pPr>
              <w:pStyle w:val="TableParagraph"/>
              <w:rPr>
                <w:rFonts w:ascii="Times New Roman"/>
                <w:sz w:val="20"/>
              </w:rPr>
            </w:pPr>
          </w:p>
        </w:tc>
        <w:tc>
          <w:tcPr>
            <w:tcW w:w="7745" w:type="dxa"/>
          </w:tcPr>
          <w:p>
            <w:pPr>
              <w:pStyle w:val="TableParagraph"/>
              <w:spacing w:line="211" w:lineRule="exact"/>
              <w:ind w:left="595"/>
              <w:rPr>
                <w:sz w:val="21"/>
              </w:rPr>
            </w:pPr>
            <w:r>
              <w:rPr>
                <w:sz w:val="21"/>
              </w:rPr>
              <w:t>肠切除和回肠造瘘术。溃疡性结肠炎必须根据组织病理学特点诊断，并且被</w:t>
            </w:r>
          </w:p>
          <w:p>
            <w:pPr>
              <w:pStyle w:val="TableParagraph"/>
              <w:spacing w:before="37"/>
              <w:ind w:left="595"/>
              <w:rPr>
                <w:sz w:val="21"/>
              </w:rPr>
            </w:pPr>
            <w:r>
              <w:rPr>
                <w:sz w:val="21"/>
              </w:rPr>
              <w:t>保险人已经接受了结肠切除和回肠造瘘术。</w:t>
            </w:r>
          </w:p>
        </w:tc>
      </w:tr>
      <w:tr>
        <w:trPr>
          <w:trHeight w:val="934" w:hRule="atLeast"/>
        </w:trPr>
        <w:tc>
          <w:tcPr>
            <w:tcW w:w="865" w:type="dxa"/>
          </w:tcPr>
          <w:p>
            <w:pPr>
              <w:pStyle w:val="TableParagraph"/>
              <w:spacing w:before="84"/>
              <w:ind w:left="200"/>
              <w:rPr>
                <w:b/>
                <w:sz w:val="21"/>
              </w:rPr>
            </w:pPr>
            <w:r>
              <w:rPr>
                <w:b/>
                <w:sz w:val="21"/>
              </w:rPr>
              <w:t>10.6</w:t>
            </w:r>
          </w:p>
        </w:tc>
        <w:tc>
          <w:tcPr>
            <w:tcW w:w="1544" w:type="dxa"/>
          </w:tcPr>
          <w:p>
            <w:pPr>
              <w:pStyle w:val="TableParagraph"/>
              <w:spacing w:line="273" w:lineRule="auto" w:before="84"/>
              <w:ind w:left="137" w:right="137"/>
              <w:rPr>
                <w:b/>
                <w:sz w:val="21"/>
              </w:rPr>
            </w:pPr>
            <w:r>
              <w:rPr>
                <w:b/>
                <w:sz w:val="21"/>
              </w:rPr>
              <w:t>自主生活能力完全丧失</w:t>
            </w:r>
          </w:p>
        </w:tc>
        <w:tc>
          <w:tcPr>
            <w:tcW w:w="7745" w:type="dxa"/>
          </w:tcPr>
          <w:p>
            <w:pPr>
              <w:pStyle w:val="TableParagraph"/>
              <w:spacing w:line="273" w:lineRule="auto" w:before="84"/>
              <w:ind w:left="140" w:right="301"/>
              <w:rPr>
                <w:sz w:val="21"/>
              </w:rPr>
            </w:pPr>
            <w:r>
              <w:rPr>
                <w:spacing w:val="-7"/>
                <w:sz w:val="21"/>
              </w:rPr>
              <w:t>被保险人被确诊为自主生活能力完全丧失状态，即被保险人至少持续 </w:t>
            </w:r>
            <w:r>
              <w:rPr>
                <w:sz w:val="21"/>
              </w:rPr>
              <w:t>6</w:t>
            </w:r>
            <w:r>
              <w:rPr>
                <w:spacing w:val="-9"/>
                <w:sz w:val="21"/>
              </w:rPr>
              <w:t> 个月以上</w:t>
            </w:r>
            <w:r>
              <w:rPr>
                <w:spacing w:val="-5"/>
                <w:sz w:val="21"/>
              </w:rPr>
              <w:t>完全无法独立完成</w:t>
            </w:r>
            <w:r>
              <w:rPr>
                <w:b/>
                <w:sz w:val="21"/>
              </w:rPr>
              <w:t>六项基本日常生活活动</w:t>
            </w:r>
            <w:r>
              <w:rPr>
                <w:spacing w:val="-3"/>
                <w:sz w:val="21"/>
              </w:rPr>
              <w:t>（</w:t>
            </w:r>
            <w:r>
              <w:rPr>
                <w:spacing w:val="-14"/>
                <w:sz w:val="21"/>
              </w:rPr>
              <w:t>见 </w:t>
            </w:r>
            <w:r>
              <w:rPr>
                <w:sz w:val="21"/>
              </w:rPr>
              <w:t>10.19）</w:t>
            </w:r>
            <w:r>
              <w:rPr>
                <w:spacing w:val="-3"/>
                <w:sz w:val="21"/>
              </w:rPr>
              <w:t>中的三项或三项以上。</w:t>
            </w:r>
          </w:p>
        </w:tc>
      </w:tr>
      <w:tr>
        <w:trPr>
          <w:trHeight w:val="1590" w:hRule="atLeast"/>
        </w:trPr>
        <w:tc>
          <w:tcPr>
            <w:tcW w:w="865" w:type="dxa"/>
          </w:tcPr>
          <w:p>
            <w:pPr>
              <w:pStyle w:val="TableParagraph"/>
              <w:spacing w:before="3"/>
              <w:rPr>
                <w:sz w:val="15"/>
              </w:rPr>
            </w:pPr>
          </w:p>
          <w:p>
            <w:pPr>
              <w:pStyle w:val="TableParagraph"/>
              <w:spacing w:before="1"/>
              <w:ind w:left="200"/>
              <w:rPr>
                <w:b/>
                <w:sz w:val="21"/>
              </w:rPr>
            </w:pPr>
            <w:r>
              <w:rPr>
                <w:b/>
                <w:sz w:val="21"/>
              </w:rPr>
              <w:t>10.7</w:t>
            </w:r>
          </w:p>
        </w:tc>
        <w:tc>
          <w:tcPr>
            <w:tcW w:w="1544" w:type="dxa"/>
          </w:tcPr>
          <w:p>
            <w:pPr>
              <w:pStyle w:val="TableParagraph"/>
              <w:spacing w:before="3"/>
              <w:rPr>
                <w:sz w:val="15"/>
              </w:rPr>
            </w:pPr>
          </w:p>
          <w:p>
            <w:pPr>
              <w:pStyle w:val="TableParagraph"/>
              <w:spacing w:before="1"/>
              <w:ind w:left="137"/>
              <w:rPr>
                <w:b/>
                <w:sz w:val="21"/>
              </w:rPr>
            </w:pPr>
            <w:r>
              <w:rPr>
                <w:b/>
                <w:sz w:val="21"/>
              </w:rPr>
              <w:t>毒品</w:t>
            </w:r>
          </w:p>
        </w:tc>
        <w:tc>
          <w:tcPr>
            <w:tcW w:w="7745" w:type="dxa"/>
          </w:tcPr>
          <w:p>
            <w:pPr>
              <w:pStyle w:val="TableParagraph"/>
              <w:spacing w:before="3"/>
              <w:rPr>
                <w:sz w:val="15"/>
              </w:rPr>
            </w:pPr>
          </w:p>
          <w:p>
            <w:pPr>
              <w:pStyle w:val="TableParagraph"/>
              <w:spacing w:line="273" w:lineRule="auto" w:before="1"/>
              <w:ind w:left="140" w:right="302"/>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w:t>
            </w:r>
            <w:r>
              <w:rPr>
                <w:spacing w:val="-10"/>
                <w:sz w:val="21"/>
              </w:rPr>
              <w:t>品，但不包括由医生开具并遵医嘱使用的用于治疗疾病但含有毒品成分的处方药品。</w:t>
            </w:r>
          </w:p>
        </w:tc>
      </w:tr>
      <w:tr>
        <w:trPr>
          <w:trHeight w:val="1126" w:hRule="atLeast"/>
        </w:trPr>
        <w:tc>
          <w:tcPr>
            <w:tcW w:w="865" w:type="dxa"/>
          </w:tcPr>
          <w:p>
            <w:pPr>
              <w:pStyle w:val="TableParagraph"/>
              <w:spacing w:before="115"/>
              <w:ind w:left="200"/>
              <w:rPr>
                <w:b/>
                <w:sz w:val="21"/>
              </w:rPr>
            </w:pPr>
            <w:r>
              <w:rPr>
                <w:b/>
                <w:sz w:val="21"/>
              </w:rPr>
              <w:t>10.8</w:t>
            </w:r>
          </w:p>
        </w:tc>
        <w:tc>
          <w:tcPr>
            <w:tcW w:w="1544" w:type="dxa"/>
          </w:tcPr>
          <w:p>
            <w:pPr>
              <w:pStyle w:val="TableParagraph"/>
              <w:spacing w:before="115"/>
              <w:ind w:left="137"/>
              <w:rPr>
                <w:b/>
                <w:sz w:val="21"/>
              </w:rPr>
            </w:pPr>
            <w:r>
              <w:rPr>
                <w:b/>
                <w:sz w:val="21"/>
              </w:rPr>
              <w:t>酒后驾驶</w:t>
            </w:r>
          </w:p>
        </w:tc>
        <w:tc>
          <w:tcPr>
            <w:tcW w:w="7745" w:type="dxa"/>
          </w:tcPr>
          <w:p>
            <w:pPr>
              <w:pStyle w:val="TableParagraph"/>
              <w:spacing w:line="273" w:lineRule="auto" w:before="115"/>
              <w:ind w:left="140" w:right="244"/>
              <w:jc w:val="both"/>
              <w:rPr>
                <w:sz w:val="21"/>
              </w:rPr>
            </w:pPr>
            <w:r>
              <w:rPr>
                <w:spacing w:val="-9"/>
                <w:sz w:val="21"/>
              </w:rPr>
              <w:t>指经检测或鉴定，发生事故时车辆驾驶人员每百毫升血液中的酒精含量达到或超</w:t>
            </w:r>
            <w:r>
              <w:rPr>
                <w:spacing w:val="-5"/>
                <w:sz w:val="21"/>
              </w:rPr>
              <w:t>过一定的标准，公安机关交通管理部门依据《中华人民共和国道路交通安全法》</w:t>
            </w:r>
            <w:r>
              <w:rPr>
                <w:spacing w:val="-4"/>
                <w:sz w:val="21"/>
              </w:rPr>
              <w:t>的规定认定为饮酒后驾驶或醉酒后驾驶。</w:t>
            </w:r>
          </w:p>
        </w:tc>
      </w:tr>
      <w:tr>
        <w:trPr>
          <w:trHeight w:val="2675" w:hRule="atLeast"/>
        </w:trPr>
        <w:tc>
          <w:tcPr>
            <w:tcW w:w="865" w:type="dxa"/>
          </w:tcPr>
          <w:p>
            <w:pPr>
              <w:pStyle w:val="TableParagraph"/>
              <w:spacing w:before="48"/>
              <w:ind w:left="200"/>
              <w:rPr>
                <w:b/>
                <w:sz w:val="21"/>
              </w:rPr>
            </w:pPr>
            <w:r>
              <w:rPr>
                <w:b/>
                <w:sz w:val="21"/>
              </w:rPr>
              <w:t>10.9</w:t>
            </w:r>
          </w:p>
        </w:tc>
        <w:tc>
          <w:tcPr>
            <w:tcW w:w="1544" w:type="dxa"/>
          </w:tcPr>
          <w:p>
            <w:pPr>
              <w:pStyle w:val="TableParagraph"/>
              <w:spacing w:line="273" w:lineRule="auto" w:before="48"/>
              <w:ind w:left="137" w:right="137"/>
              <w:rPr>
                <w:b/>
                <w:sz w:val="21"/>
              </w:rPr>
            </w:pPr>
            <w:r>
              <w:rPr>
                <w:b/>
                <w:sz w:val="21"/>
              </w:rPr>
              <w:t>无合法有效驾驶证驾驶</w:t>
            </w:r>
          </w:p>
        </w:tc>
        <w:tc>
          <w:tcPr>
            <w:tcW w:w="7745" w:type="dxa"/>
          </w:tcPr>
          <w:p>
            <w:pPr>
              <w:pStyle w:val="TableParagraph"/>
              <w:spacing w:before="48"/>
              <w:ind w:left="140"/>
              <w:rPr>
                <w:sz w:val="21"/>
              </w:rPr>
            </w:pPr>
            <w:r>
              <w:rPr>
                <w:sz w:val="21"/>
              </w:rPr>
              <w:t>指下列情形之一：</w:t>
            </w:r>
          </w:p>
          <w:p>
            <w:pPr>
              <w:pStyle w:val="TableParagraph"/>
              <w:spacing w:before="10"/>
              <w:rPr>
                <w:sz w:val="14"/>
              </w:rPr>
            </w:pPr>
          </w:p>
          <w:p>
            <w:pPr>
              <w:pStyle w:val="TableParagraph"/>
              <w:ind w:left="140"/>
              <w:rPr>
                <w:sz w:val="21"/>
              </w:rPr>
            </w:pPr>
            <w:r>
              <w:rPr>
                <w:sz w:val="21"/>
              </w:rPr>
              <w:t>1.没有取得驾驶资格；</w:t>
            </w:r>
          </w:p>
          <w:p>
            <w:pPr>
              <w:pStyle w:val="TableParagraph"/>
              <w:spacing w:before="9"/>
              <w:rPr>
                <w:sz w:val="14"/>
              </w:rPr>
            </w:pPr>
          </w:p>
          <w:p>
            <w:pPr>
              <w:pStyle w:val="TableParagraph"/>
              <w:spacing w:before="1"/>
              <w:ind w:left="140"/>
              <w:rPr>
                <w:sz w:val="21"/>
              </w:rPr>
            </w:pPr>
            <w:r>
              <w:rPr>
                <w:sz w:val="21"/>
              </w:rPr>
              <w:t>2.驾驶与驾驶证准驾车型不相符合的车辆；</w:t>
            </w:r>
          </w:p>
          <w:p>
            <w:pPr>
              <w:pStyle w:val="TableParagraph"/>
              <w:spacing w:before="10"/>
              <w:rPr>
                <w:sz w:val="14"/>
              </w:rPr>
            </w:pPr>
          </w:p>
          <w:p>
            <w:pPr>
              <w:pStyle w:val="TableParagraph"/>
              <w:ind w:left="140"/>
              <w:rPr>
                <w:sz w:val="21"/>
              </w:rPr>
            </w:pPr>
            <w:r>
              <w:rPr>
                <w:sz w:val="21"/>
              </w:rPr>
              <w:t>3.持审验不合格的驾驶证驾驶；</w:t>
            </w:r>
          </w:p>
          <w:p>
            <w:pPr>
              <w:pStyle w:val="TableParagraph"/>
              <w:spacing w:before="9"/>
              <w:rPr>
                <w:sz w:val="14"/>
              </w:rPr>
            </w:pPr>
          </w:p>
          <w:p>
            <w:pPr>
              <w:pStyle w:val="TableParagraph"/>
              <w:spacing w:line="273" w:lineRule="auto" w:before="1"/>
              <w:ind w:left="140" w:right="302"/>
              <w:rPr>
                <w:sz w:val="21"/>
              </w:rPr>
            </w:pPr>
            <w:r>
              <w:rPr>
                <w:sz w:val="21"/>
              </w:rPr>
              <w:t>4.</w:t>
            </w:r>
            <w:r>
              <w:rPr>
                <w:spacing w:val="-7"/>
                <w:sz w:val="21"/>
              </w:rPr>
              <w:t>持学习驾驶证学习驾车时，无教练员随车指导，或不按指定时间、路线学习驾车。</w:t>
            </w:r>
          </w:p>
        </w:tc>
      </w:tr>
      <w:tr>
        <w:trPr>
          <w:trHeight w:val="1512" w:hRule="atLeast"/>
        </w:trPr>
        <w:tc>
          <w:tcPr>
            <w:tcW w:w="865" w:type="dxa"/>
          </w:tcPr>
          <w:p>
            <w:pPr>
              <w:pStyle w:val="TableParagraph"/>
              <w:spacing w:before="104"/>
              <w:ind w:left="200"/>
              <w:rPr>
                <w:b/>
                <w:sz w:val="21"/>
              </w:rPr>
            </w:pPr>
            <w:r>
              <w:rPr>
                <w:b/>
                <w:sz w:val="21"/>
              </w:rPr>
              <w:t>10.10</w:t>
            </w:r>
          </w:p>
        </w:tc>
        <w:tc>
          <w:tcPr>
            <w:tcW w:w="1544" w:type="dxa"/>
          </w:tcPr>
          <w:p>
            <w:pPr>
              <w:pStyle w:val="TableParagraph"/>
              <w:spacing w:before="104"/>
              <w:ind w:left="137"/>
              <w:rPr>
                <w:b/>
                <w:sz w:val="21"/>
              </w:rPr>
            </w:pPr>
            <w:r>
              <w:rPr>
                <w:b/>
                <w:sz w:val="21"/>
              </w:rPr>
              <w:t>无有效行驶证</w:t>
            </w:r>
          </w:p>
        </w:tc>
        <w:tc>
          <w:tcPr>
            <w:tcW w:w="7745" w:type="dxa"/>
          </w:tcPr>
          <w:p>
            <w:pPr>
              <w:pStyle w:val="TableParagraph"/>
              <w:spacing w:before="104"/>
              <w:ind w:left="140"/>
              <w:rPr>
                <w:sz w:val="21"/>
              </w:rPr>
            </w:pPr>
            <w:r>
              <w:rPr>
                <w:sz w:val="21"/>
              </w:rPr>
              <w:t>指下列情形之一：</w:t>
            </w:r>
          </w:p>
          <w:p>
            <w:pPr>
              <w:pStyle w:val="TableParagraph"/>
              <w:spacing w:before="9"/>
              <w:rPr>
                <w:sz w:val="14"/>
              </w:rPr>
            </w:pPr>
          </w:p>
          <w:p>
            <w:pPr>
              <w:pStyle w:val="TableParagraph"/>
              <w:ind w:left="140"/>
              <w:rPr>
                <w:sz w:val="21"/>
              </w:rPr>
            </w:pPr>
            <w:r>
              <w:rPr>
                <w:sz w:val="21"/>
              </w:rPr>
              <w:t>1.机动车被依法注销登记的；</w:t>
            </w:r>
          </w:p>
          <w:p>
            <w:pPr>
              <w:pStyle w:val="TableParagraph"/>
              <w:spacing w:before="9"/>
              <w:rPr>
                <w:sz w:val="14"/>
              </w:rPr>
            </w:pPr>
          </w:p>
          <w:p>
            <w:pPr>
              <w:pStyle w:val="TableParagraph"/>
              <w:ind w:left="140"/>
              <w:rPr>
                <w:sz w:val="21"/>
              </w:rPr>
            </w:pPr>
            <w:r>
              <w:rPr>
                <w:sz w:val="21"/>
              </w:rPr>
              <w:t>2.未依法按时进行或通过机动车安全技术检验。</w:t>
            </w:r>
          </w:p>
        </w:tc>
      </w:tr>
      <w:tr>
        <w:trPr>
          <w:trHeight w:val="939" w:hRule="atLeast"/>
        </w:trPr>
        <w:tc>
          <w:tcPr>
            <w:tcW w:w="865" w:type="dxa"/>
          </w:tcPr>
          <w:p>
            <w:pPr>
              <w:pStyle w:val="TableParagraph"/>
              <w:spacing w:before="133"/>
              <w:ind w:left="200"/>
              <w:rPr>
                <w:b/>
                <w:sz w:val="21"/>
              </w:rPr>
            </w:pPr>
            <w:r>
              <w:rPr>
                <w:b/>
                <w:sz w:val="21"/>
              </w:rPr>
              <w:t>10.11</w:t>
            </w:r>
          </w:p>
        </w:tc>
        <w:tc>
          <w:tcPr>
            <w:tcW w:w="1544" w:type="dxa"/>
          </w:tcPr>
          <w:p>
            <w:pPr>
              <w:pStyle w:val="TableParagraph"/>
              <w:spacing w:before="133"/>
              <w:ind w:left="137"/>
              <w:rPr>
                <w:b/>
                <w:sz w:val="21"/>
              </w:rPr>
            </w:pPr>
            <w:r>
              <w:rPr>
                <w:b/>
                <w:sz w:val="21"/>
              </w:rPr>
              <w:t>机动车</w:t>
            </w:r>
          </w:p>
        </w:tc>
        <w:tc>
          <w:tcPr>
            <w:tcW w:w="7745" w:type="dxa"/>
          </w:tcPr>
          <w:p>
            <w:pPr>
              <w:pStyle w:val="TableParagraph"/>
              <w:spacing w:line="273" w:lineRule="auto" w:before="133"/>
              <w:ind w:left="140" w:right="302"/>
              <w:rPr>
                <w:sz w:val="21"/>
              </w:rPr>
            </w:pPr>
            <w:r>
              <w:rPr>
                <w:spacing w:val="-8"/>
                <w:sz w:val="21"/>
              </w:rPr>
              <w:t>指以动力装置驱动或者牵引，上道路行驶的供人员乘用或者用于运送物品以及进</w:t>
            </w:r>
            <w:r>
              <w:rPr>
                <w:spacing w:val="-5"/>
                <w:sz w:val="21"/>
              </w:rPr>
              <w:t>行工程专项作业的轮式车辆。</w:t>
            </w:r>
          </w:p>
        </w:tc>
      </w:tr>
      <w:tr>
        <w:trPr>
          <w:trHeight w:val="2029" w:hRule="atLeast"/>
        </w:trPr>
        <w:tc>
          <w:tcPr>
            <w:tcW w:w="865" w:type="dxa"/>
          </w:tcPr>
          <w:p>
            <w:pPr>
              <w:pStyle w:val="TableParagraph"/>
              <w:spacing w:before="156"/>
              <w:ind w:left="200"/>
              <w:rPr>
                <w:b/>
                <w:sz w:val="21"/>
              </w:rPr>
            </w:pPr>
            <w:r>
              <w:rPr>
                <w:b/>
                <w:sz w:val="21"/>
              </w:rPr>
              <w:t>10.12</w:t>
            </w:r>
          </w:p>
        </w:tc>
        <w:tc>
          <w:tcPr>
            <w:tcW w:w="1544" w:type="dxa"/>
          </w:tcPr>
          <w:p>
            <w:pPr>
              <w:pStyle w:val="TableParagraph"/>
              <w:spacing w:line="273" w:lineRule="auto" w:before="156"/>
              <w:ind w:left="137" w:right="137"/>
              <w:rPr>
                <w:b/>
                <w:sz w:val="21"/>
              </w:rPr>
            </w:pPr>
            <w:r>
              <w:rPr>
                <w:b/>
                <w:sz w:val="21"/>
              </w:rPr>
              <w:t>感染艾滋病病毒或患艾滋病</w:t>
            </w:r>
          </w:p>
        </w:tc>
        <w:tc>
          <w:tcPr>
            <w:tcW w:w="7745" w:type="dxa"/>
          </w:tcPr>
          <w:p>
            <w:pPr>
              <w:pStyle w:val="TableParagraph"/>
              <w:spacing w:line="273" w:lineRule="auto" w:before="156"/>
              <w:ind w:left="140" w:right="302"/>
              <w:jc w:val="both"/>
              <w:rPr>
                <w:sz w:val="21"/>
              </w:rPr>
            </w:pPr>
            <w:r>
              <w:rPr>
                <w:spacing w:val="-5"/>
                <w:sz w:val="21"/>
              </w:rPr>
              <w:t>艾滋病病毒指人类免疫缺陷病毒，英文缩写为 </w:t>
            </w:r>
            <w:r>
              <w:rPr>
                <w:sz w:val="21"/>
              </w:rPr>
              <w:t>HIV</w:t>
            </w:r>
            <w:r>
              <w:rPr>
                <w:spacing w:val="-3"/>
                <w:sz w:val="21"/>
              </w:rPr>
              <w:t>。艾滋病指人类免疫缺陷病毒</w:t>
            </w:r>
            <w:r>
              <w:rPr>
                <w:spacing w:val="-5"/>
                <w:sz w:val="21"/>
              </w:rPr>
              <w:t>引起的获得性免疫缺陷综合征，英文缩写为 </w:t>
            </w:r>
            <w:r>
              <w:rPr>
                <w:sz w:val="21"/>
              </w:rPr>
              <w:t>AIDS。</w:t>
            </w:r>
          </w:p>
          <w:p>
            <w:pPr>
              <w:pStyle w:val="TableParagraph"/>
              <w:spacing w:line="273" w:lineRule="auto" w:before="164"/>
              <w:ind w:left="140" w:right="302"/>
              <w:jc w:val="both"/>
              <w:rPr>
                <w:sz w:val="21"/>
              </w:rPr>
            </w:pPr>
            <w:r>
              <w:rPr>
                <w:spacing w:val="-6"/>
                <w:sz w:val="21"/>
              </w:rPr>
              <w:t>在人体血液或其他样本中检测到艾滋病病毒或其抗体呈阳性，没有出现临床症状</w:t>
            </w:r>
            <w:r>
              <w:rPr>
                <w:spacing w:val="-10"/>
                <w:sz w:val="21"/>
              </w:rPr>
              <w:t>或体征的，为感染艾滋病病毒；如果同时出现了明显临床症状或体征的，为患艾滋病。</w:t>
            </w:r>
          </w:p>
        </w:tc>
      </w:tr>
      <w:tr>
        <w:trPr>
          <w:trHeight w:val="870" w:hRule="atLeast"/>
        </w:trPr>
        <w:tc>
          <w:tcPr>
            <w:tcW w:w="865" w:type="dxa"/>
          </w:tcPr>
          <w:p>
            <w:pPr>
              <w:pStyle w:val="TableParagraph"/>
              <w:spacing w:before="130"/>
              <w:ind w:left="200"/>
              <w:rPr>
                <w:b/>
                <w:sz w:val="21"/>
              </w:rPr>
            </w:pPr>
            <w:r>
              <w:rPr>
                <w:b/>
                <w:sz w:val="21"/>
              </w:rPr>
              <w:t>10.13</w:t>
            </w:r>
          </w:p>
        </w:tc>
        <w:tc>
          <w:tcPr>
            <w:tcW w:w="1544" w:type="dxa"/>
          </w:tcPr>
          <w:p>
            <w:pPr>
              <w:pStyle w:val="TableParagraph"/>
              <w:spacing w:before="130"/>
              <w:ind w:left="137"/>
              <w:rPr>
                <w:b/>
                <w:sz w:val="21"/>
              </w:rPr>
            </w:pPr>
            <w:r>
              <w:rPr>
                <w:b/>
                <w:sz w:val="21"/>
              </w:rPr>
              <w:t>遗传性疾病</w:t>
            </w:r>
          </w:p>
        </w:tc>
        <w:tc>
          <w:tcPr>
            <w:tcW w:w="7745" w:type="dxa"/>
          </w:tcPr>
          <w:p>
            <w:pPr>
              <w:pStyle w:val="TableParagraph"/>
              <w:spacing w:line="273" w:lineRule="auto" w:before="130"/>
              <w:ind w:left="140" w:right="196"/>
              <w:rPr>
                <w:sz w:val="21"/>
              </w:rPr>
            </w:pPr>
            <w:r>
              <w:rPr>
                <w:spacing w:val="-9"/>
                <w:sz w:val="21"/>
              </w:rPr>
              <w:t>指生殖细胞或受精卵的遗传物质</w:t>
            </w:r>
            <w:r>
              <w:rPr>
                <w:sz w:val="21"/>
              </w:rPr>
              <w:t>（</w:t>
            </w:r>
            <w:r>
              <w:rPr>
                <w:spacing w:val="-3"/>
                <w:sz w:val="21"/>
              </w:rPr>
              <w:t>染色体和基因</w:t>
            </w:r>
            <w:r>
              <w:rPr>
                <w:spacing w:val="-82"/>
                <w:sz w:val="21"/>
              </w:rPr>
              <w:t>）</w:t>
            </w:r>
            <w:r>
              <w:rPr>
                <w:spacing w:val="-3"/>
                <w:sz w:val="21"/>
              </w:rPr>
              <w:t>发生突变或畸变所引起的疾病， 通常具有由亲代传至后代的垂直传递的特征。</w:t>
            </w:r>
          </w:p>
        </w:tc>
      </w:tr>
      <w:tr>
        <w:trPr>
          <w:trHeight w:val="987" w:hRule="atLeast"/>
        </w:trPr>
        <w:tc>
          <w:tcPr>
            <w:tcW w:w="865" w:type="dxa"/>
          </w:tcPr>
          <w:p>
            <w:pPr>
              <w:pStyle w:val="TableParagraph"/>
              <w:spacing w:before="88"/>
              <w:ind w:left="200"/>
              <w:rPr>
                <w:b/>
                <w:sz w:val="21"/>
              </w:rPr>
            </w:pPr>
            <w:r>
              <w:rPr>
                <w:b/>
                <w:sz w:val="21"/>
              </w:rPr>
              <w:t>10.14</w:t>
            </w:r>
          </w:p>
        </w:tc>
        <w:tc>
          <w:tcPr>
            <w:tcW w:w="1544" w:type="dxa"/>
          </w:tcPr>
          <w:p>
            <w:pPr>
              <w:pStyle w:val="TableParagraph"/>
              <w:spacing w:line="310" w:lineRule="atLeast" w:before="53"/>
              <w:ind w:left="137" w:right="137"/>
              <w:jc w:val="both"/>
              <w:rPr>
                <w:b/>
                <w:sz w:val="21"/>
              </w:rPr>
            </w:pPr>
            <w:r>
              <w:rPr>
                <w:b/>
                <w:sz w:val="21"/>
              </w:rPr>
              <w:t>先天性畸形、变形或染色体异常</w:t>
            </w:r>
          </w:p>
        </w:tc>
        <w:tc>
          <w:tcPr>
            <w:tcW w:w="7745" w:type="dxa"/>
          </w:tcPr>
          <w:p>
            <w:pPr>
              <w:pStyle w:val="TableParagraph"/>
              <w:spacing w:line="273" w:lineRule="auto" w:before="88"/>
              <w:ind w:left="140" w:right="302"/>
              <w:rPr>
                <w:sz w:val="21"/>
              </w:rPr>
            </w:pPr>
            <w:r>
              <w:rPr>
                <w:spacing w:val="-9"/>
                <w:sz w:val="21"/>
              </w:rPr>
              <w:t>先天性畸形、变形和染色体异常依照世界卫生组织《疾病和有关健康问题的国际</w:t>
            </w:r>
            <w:r>
              <w:rPr>
                <w:spacing w:val="-24"/>
                <w:sz w:val="21"/>
              </w:rPr>
              <w:t>统计分类》</w:t>
            </w:r>
            <w:r>
              <w:rPr>
                <w:spacing w:val="-1"/>
                <w:sz w:val="21"/>
              </w:rPr>
              <w:t>（ICD-10）</w:t>
            </w:r>
            <w:r>
              <w:rPr>
                <w:spacing w:val="-2"/>
                <w:sz w:val="21"/>
              </w:rPr>
              <w:t>确定。</w:t>
            </w:r>
          </w:p>
        </w:tc>
      </w:tr>
    </w:tbl>
    <w:p>
      <w:pPr>
        <w:spacing w:after="0" w:line="273" w:lineRule="auto"/>
        <w:rPr>
          <w:sz w:val="21"/>
        </w:rPr>
        <w:sectPr>
          <w:pgSz w:w="11910" w:h="16840"/>
          <w:pgMar w:header="0" w:footer="924" w:top="1160" w:bottom="1120" w:left="820" w:right="72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5"/>
        <w:gridCol w:w="1544"/>
        <w:gridCol w:w="7697"/>
      </w:tblGrid>
      <w:tr>
        <w:trPr>
          <w:trHeight w:val="1801" w:hRule="atLeast"/>
        </w:trPr>
        <w:tc>
          <w:tcPr>
            <w:tcW w:w="865" w:type="dxa"/>
          </w:tcPr>
          <w:p>
            <w:pPr>
              <w:pStyle w:val="TableParagraph"/>
              <w:spacing w:line="211" w:lineRule="exact"/>
              <w:ind w:right="134"/>
              <w:jc w:val="right"/>
              <w:rPr>
                <w:b/>
                <w:sz w:val="21"/>
              </w:rPr>
            </w:pPr>
            <w:r>
              <w:rPr>
                <w:b/>
                <w:sz w:val="21"/>
              </w:rPr>
              <w:t>10.15</w:t>
            </w:r>
          </w:p>
        </w:tc>
        <w:tc>
          <w:tcPr>
            <w:tcW w:w="1544" w:type="dxa"/>
          </w:tcPr>
          <w:p>
            <w:pPr>
              <w:pStyle w:val="TableParagraph"/>
              <w:spacing w:line="211" w:lineRule="exact"/>
              <w:ind w:left="137"/>
              <w:rPr>
                <w:b/>
                <w:sz w:val="21"/>
              </w:rPr>
            </w:pPr>
            <w:r>
              <w:rPr>
                <w:b/>
                <w:sz w:val="21"/>
              </w:rPr>
              <w:t>贷款利率</w:t>
            </w:r>
          </w:p>
        </w:tc>
        <w:tc>
          <w:tcPr>
            <w:tcW w:w="7697" w:type="dxa"/>
          </w:tcPr>
          <w:p>
            <w:pPr>
              <w:pStyle w:val="TableParagraph"/>
              <w:spacing w:line="211" w:lineRule="exact"/>
              <w:ind w:left="140"/>
              <w:rPr>
                <w:sz w:val="21"/>
              </w:rPr>
            </w:pPr>
            <w:r>
              <w:rPr>
                <w:sz w:val="21"/>
              </w:rPr>
              <w:t>贷款利率以同期银行 6 个月以内短期贷款利率上浮 20%为限，由我们于每月第 1</w:t>
            </w:r>
          </w:p>
          <w:p>
            <w:pPr>
              <w:pStyle w:val="TableParagraph"/>
              <w:spacing w:before="37"/>
              <w:ind w:left="140"/>
              <w:rPr>
                <w:sz w:val="21"/>
              </w:rPr>
            </w:pPr>
            <w:r>
              <w:rPr>
                <w:sz w:val="21"/>
              </w:rPr>
              <w:t>个工作日确定。</w:t>
            </w:r>
          </w:p>
          <w:p>
            <w:pPr>
              <w:pStyle w:val="TableParagraph"/>
              <w:spacing w:before="9"/>
              <w:rPr>
                <w:sz w:val="14"/>
              </w:rPr>
            </w:pPr>
          </w:p>
          <w:p>
            <w:pPr>
              <w:pStyle w:val="TableParagraph"/>
              <w:spacing w:line="273" w:lineRule="auto"/>
              <w:ind w:left="140" w:right="196"/>
              <w:jc w:val="both"/>
              <w:rPr>
                <w:sz w:val="21"/>
              </w:rPr>
            </w:pPr>
            <w:r>
              <w:rPr>
                <w:spacing w:val="-2"/>
                <w:sz w:val="21"/>
              </w:rPr>
              <w:t>欠交保险费</w:t>
            </w:r>
            <w:r>
              <w:rPr>
                <w:sz w:val="21"/>
              </w:rPr>
              <w:t>（</w:t>
            </w:r>
            <w:r>
              <w:rPr>
                <w:spacing w:val="-3"/>
                <w:sz w:val="21"/>
              </w:rPr>
              <w:t>包括自动垫交的保险费</w:t>
            </w:r>
            <w:r>
              <w:rPr>
                <w:sz w:val="21"/>
              </w:rPr>
              <w:t>）</w:t>
            </w:r>
            <w:r>
              <w:rPr>
                <w:spacing w:val="-3"/>
                <w:sz w:val="21"/>
              </w:rPr>
              <w:t>的利息也按当时我们已确定的贷款利率， </w:t>
            </w:r>
            <w:r>
              <w:rPr>
                <w:spacing w:val="-7"/>
                <w:sz w:val="21"/>
              </w:rPr>
              <w:t>按与保单贷款相同的方式进行计算。欠交保费的利息从欠交保费的对应保险费到</w:t>
            </w:r>
            <w:r>
              <w:rPr>
                <w:spacing w:val="-5"/>
                <w:sz w:val="21"/>
              </w:rPr>
              <w:t>期日次日零时开始计算。</w:t>
            </w:r>
          </w:p>
        </w:tc>
      </w:tr>
      <w:tr>
        <w:trPr>
          <w:trHeight w:val="1909" w:hRule="atLeast"/>
        </w:trPr>
        <w:tc>
          <w:tcPr>
            <w:tcW w:w="865" w:type="dxa"/>
          </w:tcPr>
          <w:p>
            <w:pPr>
              <w:pStyle w:val="TableParagraph"/>
              <w:spacing w:before="122"/>
              <w:ind w:right="134"/>
              <w:jc w:val="right"/>
              <w:rPr>
                <w:b/>
                <w:sz w:val="21"/>
              </w:rPr>
            </w:pPr>
            <w:r>
              <w:rPr>
                <w:b/>
                <w:sz w:val="21"/>
              </w:rPr>
              <w:t>10.16</w:t>
            </w:r>
          </w:p>
        </w:tc>
        <w:tc>
          <w:tcPr>
            <w:tcW w:w="1544" w:type="dxa"/>
          </w:tcPr>
          <w:p>
            <w:pPr>
              <w:pStyle w:val="TableParagraph"/>
              <w:spacing w:before="122"/>
              <w:ind w:left="137"/>
              <w:rPr>
                <w:b/>
                <w:sz w:val="21"/>
              </w:rPr>
            </w:pPr>
            <w:r>
              <w:rPr>
                <w:b/>
                <w:sz w:val="21"/>
              </w:rPr>
              <w:t>利息</w:t>
            </w:r>
          </w:p>
        </w:tc>
        <w:tc>
          <w:tcPr>
            <w:tcW w:w="7697" w:type="dxa"/>
          </w:tcPr>
          <w:p>
            <w:pPr>
              <w:pStyle w:val="TableParagraph"/>
              <w:spacing w:line="273" w:lineRule="auto" w:before="122"/>
              <w:ind w:left="140" w:right="253"/>
              <w:jc w:val="both"/>
              <w:rPr>
                <w:sz w:val="21"/>
              </w:rPr>
            </w:pPr>
            <w:r>
              <w:rPr>
                <w:spacing w:val="-7"/>
                <w:sz w:val="21"/>
              </w:rPr>
              <w:t>该欠交保险费利息按当时我们已确定的利率计算。此利率以同期银行 </w:t>
            </w:r>
            <w:r>
              <w:rPr>
                <w:sz w:val="21"/>
              </w:rPr>
              <w:t>6</w:t>
            </w:r>
            <w:r>
              <w:rPr>
                <w:spacing w:val="-9"/>
                <w:sz w:val="21"/>
              </w:rPr>
              <w:t> 个月以内短期贷款利率上浮 </w:t>
            </w:r>
            <w:r>
              <w:rPr>
                <w:sz w:val="21"/>
              </w:rPr>
              <w:t>20</w:t>
            </w:r>
            <w:r>
              <w:rPr>
                <w:spacing w:val="-7"/>
                <w:sz w:val="21"/>
              </w:rPr>
              <w:t>%为限，由我们于每月第 </w:t>
            </w:r>
            <w:r>
              <w:rPr>
                <w:sz w:val="21"/>
              </w:rPr>
              <w:t>1</w:t>
            </w:r>
            <w:r>
              <w:rPr>
                <w:spacing w:val="-9"/>
                <w:sz w:val="21"/>
              </w:rPr>
              <w:t> 个工作日确定。欠交保费的利息</w:t>
            </w:r>
            <w:r>
              <w:rPr>
                <w:spacing w:val="-6"/>
                <w:sz w:val="21"/>
              </w:rPr>
              <w:t>从欠交保费的对应保险费到期日次日零时开始计算，每次计息周期不超过 </w:t>
            </w:r>
            <w:r>
              <w:rPr>
                <w:sz w:val="21"/>
              </w:rPr>
              <w:t>6</w:t>
            </w:r>
            <w:r>
              <w:rPr>
                <w:spacing w:val="-18"/>
                <w:sz w:val="21"/>
              </w:rPr>
              <w:t> 个</w:t>
            </w:r>
          </w:p>
          <w:p>
            <w:pPr>
              <w:pStyle w:val="TableParagraph"/>
              <w:spacing w:line="273" w:lineRule="auto" w:before="7"/>
              <w:ind w:left="140" w:right="254"/>
              <w:jc w:val="both"/>
              <w:rPr>
                <w:sz w:val="21"/>
              </w:rPr>
            </w:pPr>
            <w:r>
              <w:rPr>
                <w:spacing w:val="-14"/>
                <w:sz w:val="21"/>
              </w:rPr>
              <w:t>月，若您 </w:t>
            </w:r>
            <w:r>
              <w:rPr>
                <w:sz w:val="21"/>
              </w:rPr>
              <w:t>6</w:t>
            </w:r>
            <w:r>
              <w:rPr>
                <w:spacing w:val="-9"/>
                <w:sz w:val="21"/>
              </w:rPr>
              <w:t> 个月未能足额偿还您所欠交的保险费本金及利息之和，则该本金及利</w:t>
            </w:r>
            <w:r>
              <w:rPr>
                <w:spacing w:val="-5"/>
                <w:sz w:val="21"/>
              </w:rPr>
              <w:t>息之和将作为新的本金，按当时我们确定的利率进行下一周期计息。</w:t>
            </w:r>
          </w:p>
        </w:tc>
      </w:tr>
      <w:tr>
        <w:trPr>
          <w:trHeight w:val="1029" w:hRule="atLeast"/>
        </w:trPr>
        <w:tc>
          <w:tcPr>
            <w:tcW w:w="865" w:type="dxa"/>
          </w:tcPr>
          <w:p>
            <w:pPr>
              <w:pStyle w:val="TableParagraph"/>
              <w:spacing w:before="4"/>
              <w:rPr>
                <w:sz w:val="15"/>
              </w:rPr>
            </w:pPr>
          </w:p>
          <w:p>
            <w:pPr>
              <w:pStyle w:val="TableParagraph"/>
              <w:ind w:right="134"/>
              <w:jc w:val="right"/>
              <w:rPr>
                <w:b/>
                <w:sz w:val="21"/>
              </w:rPr>
            </w:pPr>
            <w:r>
              <w:rPr>
                <w:b/>
                <w:sz w:val="21"/>
              </w:rPr>
              <w:t>10.17</w:t>
            </w:r>
          </w:p>
        </w:tc>
        <w:tc>
          <w:tcPr>
            <w:tcW w:w="1544" w:type="dxa"/>
          </w:tcPr>
          <w:p>
            <w:pPr>
              <w:pStyle w:val="TableParagraph"/>
              <w:spacing w:before="4"/>
              <w:rPr>
                <w:sz w:val="15"/>
              </w:rPr>
            </w:pPr>
          </w:p>
          <w:p>
            <w:pPr>
              <w:pStyle w:val="TableParagraph"/>
              <w:spacing w:line="273" w:lineRule="auto"/>
              <w:ind w:left="137" w:right="137"/>
              <w:rPr>
                <w:b/>
                <w:sz w:val="21"/>
              </w:rPr>
            </w:pPr>
            <w:r>
              <w:rPr>
                <w:b/>
                <w:sz w:val="21"/>
              </w:rPr>
              <w:t>肢体机能完全丧失</w:t>
            </w:r>
          </w:p>
        </w:tc>
        <w:tc>
          <w:tcPr>
            <w:tcW w:w="7697" w:type="dxa"/>
          </w:tcPr>
          <w:p>
            <w:pPr>
              <w:pStyle w:val="TableParagraph"/>
              <w:spacing w:before="4"/>
              <w:rPr>
                <w:sz w:val="15"/>
              </w:rPr>
            </w:pPr>
          </w:p>
          <w:p>
            <w:pPr>
              <w:pStyle w:val="TableParagraph"/>
              <w:spacing w:line="273" w:lineRule="auto"/>
              <w:ind w:left="140" w:right="253"/>
              <w:rPr>
                <w:sz w:val="21"/>
              </w:rPr>
            </w:pPr>
            <w:r>
              <w:rPr>
                <w:spacing w:val="-6"/>
                <w:sz w:val="21"/>
              </w:rPr>
              <w:t>指肢体的三大关节中的两大关节僵硬，或不能随意识活动。肢体是指包括肩关节</w:t>
            </w:r>
            <w:r>
              <w:rPr>
                <w:spacing w:val="-4"/>
                <w:sz w:val="21"/>
              </w:rPr>
              <w:t>的整个上肢或包括髋关节的整个下肢。</w:t>
            </w:r>
          </w:p>
        </w:tc>
      </w:tr>
      <w:tr>
        <w:trPr>
          <w:trHeight w:val="1560" w:hRule="atLeast"/>
        </w:trPr>
        <w:tc>
          <w:tcPr>
            <w:tcW w:w="865" w:type="dxa"/>
          </w:tcPr>
          <w:p>
            <w:pPr>
              <w:pStyle w:val="TableParagraph"/>
              <w:spacing w:before="178"/>
              <w:ind w:right="134"/>
              <w:jc w:val="right"/>
              <w:rPr>
                <w:b/>
                <w:sz w:val="21"/>
              </w:rPr>
            </w:pPr>
            <w:r>
              <w:rPr>
                <w:b/>
                <w:w w:val="95"/>
                <w:sz w:val="21"/>
              </w:rPr>
              <w:t>10.18</w:t>
            </w:r>
          </w:p>
        </w:tc>
        <w:tc>
          <w:tcPr>
            <w:tcW w:w="1544" w:type="dxa"/>
          </w:tcPr>
          <w:p>
            <w:pPr>
              <w:pStyle w:val="TableParagraph"/>
              <w:spacing w:line="271" w:lineRule="auto" w:before="178"/>
              <w:ind w:left="137" w:right="137"/>
              <w:jc w:val="both"/>
              <w:rPr>
                <w:b/>
                <w:sz w:val="21"/>
              </w:rPr>
            </w:pPr>
            <w:r>
              <w:rPr>
                <w:b/>
                <w:sz w:val="21"/>
              </w:rPr>
              <w:t>语言能力或咀嚼吞咽能力完全丧失</w:t>
            </w:r>
          </w:p>
        </w:tc>
        <w:tc>
          <w:tcPr>
            <w:tcW w:w="7697" w:type="dxa"/>
          </w:tcPr>
          <w:p>
            <w:pPr>
              <w:pStyle w:val="TableParagraph"/>
              <w:spacing w:line="271" w:lineRule="auto" w:before="178"/>
              <w:ind w:left="140" w:right="254"/>
              <w:jc w:val="both"/>
              <w:rPr>
                <w:sz w:val="21"/>
              </w:rPr>
            </w:pPr>
            <w:r>
              <w:rPr>
                <w:spacing w:val="-6"/>
                <w:sz w:val="21"/>
              </w:rPr>
              <w:t>语言能力完全丧失，指无法发出四种语音</w:t>
            </w:r>
            <w:r>
              <w:rPr>
                <w:sz w:val="21"/>
              </w:rPr>
              <w:t>（</w:t>
            </w:r>
            <w:r>
              <w:rPr>
                <w:spacing w:val="-8"/>
                <w:sz w:val="21"/>
              </w:rPr>
              <w:t>包括口唇音、齿舌音、口盖音和喉头音</w:t>
            </w:r>
            <w:r>
              <w:rPr>
                <w:spacing w:val="-15"/>
                <w:sz w:val="21"/>
              </w:rPr>
              <w:t>）</w:t>
            </w:r>
            <w:r>
              <w:rPr>
                <w:spacing w:val="-7"/>
                <w:sz w:val="21"/>
              </w:rPr>
              <w:t>中的任何三种、或声带全部切除，或因大脑语言中枢受伤害而患失语症。咀</w:t>
            </w:r>
            <w:r>
              <w:rPr>
                <w:spacing w:val="-9"/>
                <w:sz w:val="21"/>
              </w:rPr>
              <w:t>嚼吞咽能力完全丧失，指因牙齿以外的原因导致器质障碍或机能障碍，以致不能</w:t>
            </w:r>
            <w:r>
              <w:rPr>
                <w:spacing w:val="-5"/>
                <w:sz w:val="21"/>
              </w:rPr>
              <w:t>作咀嚼吞咽运动，除流质食物外不能摄取或吞咽的状态。</w:t>
            </w:r>
          </w:p>
        </w:tc>
      </w:tr>
      <w:tr>
        <w:trPr>
          <w:trHeight w:val="1320" w:hRule="atLeast"/>
        </w:trPr>
        <w:tc>
          <w:tcPr>
            <w:tcW w:w="865" w:type="dxa"/>
          </w:tcPr>
          <w:p>
            <w:pPr>
              <w:pStyle w:val="TableParagraph"/>
              <w:spacing w:before="109"/>
              <w:ind w:right="134"/>
              <w:jc w:val="right"/>
              <w:rPr>
                <w:b/>
                <w:sz w:val="21"/>
              </w:rPr>
            </w:pPr>
            <w:r>
              <w:rPr>
                <w:b/>
                <w:sz w:val="21"/>
              </w:rPr>
              <w:t>10.19</w:t>
            </w:r>
          </w:p>
        </w:tc>
        <w:tc>
          <w:tcPr>
            <w:tcW w:w="1544" w:type="dxa"/>
          </w:tcPr>
          <w:p>
            <w:pPr>
              <w:pStyle w:val="TableParagraph"/>
              <w:spacing w:line="273" w:lineRule="auto" w:before="109"/>
              <w:ind w:left="137" w:right="137"/>
              <w:rPr>
                <w:b/>
                <w:sz w:val="21"/>
              </w:rPr>
            </w:pPr>
            <w:r>
              <w:rPr>
                <w:b/>
                <w:sz w:val="21"/>
              </w:rPr>
              <w:t>六项基本日常生活活动</w:t>
            </w:r>
          </w:p>
        </w:tc>
        <w:tc>
          <w:tcPr>
            <w:tcW w:w="7697" w:type="dxa"/>
          </w:tcPr>
          <w:p>
            <w:pPr>
              <w:pStyle w:val="TableParagraph"/>
              <w:spacing w:before="109"/>
              <w:ind w:left="140"/>
              <w:rPr>
                <w:sz w:val="21"/>
              </w:rPr>
            </w:pPr>
            <w:r>
              <w:rPr>
                <w:w w:val="100"/>
                <w:sz w:val="21"/>
              </w:rPr>
              <w:t>（1</w:t>
            </w:r>
            <w:r>
              <w:rPr>
                <w:spacing w:val="-3"/>
                <w:w w:val="100"/>
                <w:sz w:val="21"/>
              </w:rPr>
              <w:t>）</w:t>
            </w:r>
            <w:r>
              <w:rPr>
                <w:spacing w:val="-11"/>
                <w:w w:val="100"/>
                <w:sz w:val="21"/>
              </w:rPr>
              <w:t>穿衣：自己能够穿衣及脱衣；</w:t>
            </w:r>
            <w:r>
              <w:rPr>
                <w:w w:val="100"/>
                <w:sz w:val="21"/>
              </w:rPr>
              <w:t>（</w:t>
            </w:r>
            <w:r>
              <w:rPr>
                <w:spacing w:val="-3"/>
                <w:w w:val="100"/>
                <w:sz w:val="21"/>
              </w:rPr>
              <w:t>2</w:t>
            </w:r>
            <w:r>
              <w:rPr>
                <w:w w:val="100"/>
                <w:sz w:val="21"/>
              </w:rPr>
              <w:t>）</w:t>
            </w:r>
            <w:r>
              <w:rPr>
                <w:spacing w:val="-3"/>
                <w:w w:val="100"/>
                <w:sz w:val="21"/>
              </w:rPr>
              <w:t>移动：自己从一个房间到另一个房间；</w:t>
            </w:r>
          </w:p>
          <w:p>
            <w:pPr>
              <w:pStyle w:val="TableParagraph"/>
              <w:spacing w:line="312" w:lineRule="exact" w:before="33"/>
              <w:ind w:left="140" w:right="259"/>
              <w:jc w:val="both"/>
              <w:rPr>
                <w:sz w:val="21"/>
              </w:rPr>
            </w:pPr>
            <w:r>
              <w:rPr>
                <w:w w:val="100"/>
                <w:sz w:val="21"/>
              </w:rPr>
              <w:t>（3</w:t>
            </w:r>
            <w:r>
              <w:rPr>
                <w:spacing w:val="-3"/>
                <w:w w:val="100"/>
                <w:sz w:val="21"/>
              </w:rPr>
              <w:t>）</w:t>
            </w:r>
            <w:r>
              <w:rPr>
                <w:spacing w:val="-11"/>
                <w:w w:val="100"/>
                <w:sz w:val="21"/>
              </w:rPr>
              <w:t>行动：自己上下床或上下轮椅；</w:t>
            </w:r>
            <w:r>
              <w:rPr>
                <w:w w:val="100"/>
                <w:sz w:val="21"/>
              </w:rPr>
              <w:t>（4</w:t>
            </w:r>
            <w:r>
              <w:rPr>
                <w:spacing w:val="-3"/>
                <w:w w:val="100"/>
                <w:sz w:val="21"/>
              </w:rPr>
              <w:t>）</w:t>
            </w:r>
            <w:r>
              <w:rPr>
                <w:spacing w:val="-12"/>
                <w:w w:val="100"/>
                <w:sz w:val="21"/>
              </w:rPr>
              <w:t>如厕：自己控制进行大小便；</w:t>
            </w:r>
            <w:r>
              <w:rPr>
                <w:w w:val="100"/>
                <w:sz w:val="21"/>
              </w:rPr>
              <w:t>（5</w:t>
            </w:r>
            <w:r>
              <w:rPr>
                <w:spacing w:val="-3"/>
                <w:w w:val="100"/>
                <w:sz w:val="21"/>
              </w:rPr>
              <w:t>）进</w:t>
            </w:r>
            <w:r>
              <w:rPr>
                <w:spacing w:val="-5"/>
                <w:w w:val="100"/>
                <w:sz w:val="21"/>
              </w:rPr>
              <w:t>食：自己从已准备好的碗或碟中取食物放入口中</w:t>
            </w:r>
            <w:r>
              <w:rPr>
                <w:spacing w:val="-123"/>
                <w:w w:val="100"/>
                <w:sz w:val="21"/>
              </w:rPr>
              <w:t>；</w:t>
            </w:r>
            <w:r>
              <w:rPr>
                <w:spacing w:val="-3"/>
                <w:w w:val="100"/>
                <w:sz w:val="21"/>
              </w:rPr>
              <w:t>（</w:t>
            </w:r>
            <w:r>
              <w:rPr>
                <w:w w:val="100"/>
                <w:sz w:val="21"/>
              </w:rPr>
              <w:t>6</w:t>
            </w:r>
            <w:r>
              <w:rPr>
                <w:spacing w:val="-15"/>
                <w:w w:val="100"/>
                <w:sz w:val="21"/>
              </w:rPr>
              <w:t>）</w:t>
            </w:r>
            <w:r>
              <w:rPr>
                <w:spacing w:val="-5"/>
                <w:w w:val="100"/>
                <w:sz w:val="21"/>
              </w:rPr>
              <w:t>洗澡：自己进行淋浴或盆</w:t>
            </w:r>
            <w:r>
              <w:rPr>
                <w:spacing w:val="-5"/>
                <w:sz w:val="21"/>
              </w:rPr>
              <w:t>浴。</w:t>
            </w:r>
          </w:p>
        </w:tc>
      </w:tr>
    </w:tbl>
    <w:p>
      <w:pPr>
        <w:pStyle w:val="BodyText"/>
        <w:rPr>
          <w:sz w:val="20"/>
        </w:rPr>
      </w:pPr>
    </w:p>
    <w:p>
      <w:pPr>
        <w:pStyle w:val="BodyText"/>
        <w:spacing w:before="2"/>
        <w:rPr>
          <w:sz w:val="12"/>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2"/>
        <w:gridCol w:w="1427"/>
        <w:gridCol w:w="7584"/>
      </w:tblGrid>
      <w:tr>
        <w:trPr>
          <w:trHeight w:val="523" w:hRule="atLeast"/>
        </w:trPr>
        <w:tc>
          <w:tcPr>
            <w:tcW w:w="862" w:type="dxa"/>
          </w:tcPr>
          <w:p>
            <w:pPr>
              <w:pStyle w:val="TableParagraph"/>
              <w:spacing w:line="211" w:lineRule="exact"/>
              <w:ind w:left="200"/>
              <w:rPr>
                <w:b/>
                <w:sz w:val="21"/>
              </w:rPr>
            </w:pPr>
            <w:r>
              <w:rPr>
                <w:b/>
                <w:sz w:val="21"/>
              </w:rPr>
              <w:t>10.20</w:t>
            </w:r>
          </w:p>
        </w:tc>
        <w:tc>
          <w:tcPr>
            <w:tcW w:w="1427" w:type="dxa"/>
          </w:tcPr>
          <w:p>
            <w:pPr>
              <w:pStyle w:val="TableParagraph"/>
              <w:spacing w:line="211" w:lineRule="exact"/>
              <w:ind w:left="132"/>
              <w:rPr>
                <w:b/>
                <w:sz w:val="21"/>
              </w:rPr>
            </w:pPr>
            <w:r>
              <w:rPr>
                <w:b/>
                <w:sz w:val="21"/>
              </w:rPr>
              <w:t>永久不可逆</w:t>
            </w:r>
          </w:p>
        </w:tc>
        <w:tc>
          <w:tcPr>
            <w:tcW w:w="7584" w:type="dxa"/>
          </w:tcPr>
          <w:p>
            <w:pPr>
              <w:pStyle w:val="TableParagraph"/>
              <w:spacing w:line="211" w:lineRule="exact"/>
              <w:ind w:left="236"/>
              <w:rPr>
                <w:sz w:val="21"/>
              </w:rPr>
            </w:pPr>
            <w:r>
              <w:rPr>
                <w:sz w:val="21"/>
              </w:rPr>
              <w:t>指自疾病确诊或意外伤害发生之日起，经过积极治疗 180 天后，仍无法通过现</w:t>
            </w:r>
          </w:p>
          <w:p>
            <w:pPr>
              <w:pStyle w:val="TableParagraph"/>
              <w:spacing w:line="255" w:lineRule="exact" w:before="37"/>
              <w:ind w:left="236"/>
              <w:rPr>
                <w:sz w:val="21"/>
              </w:rPr>
            </w:pPr>
            <w:r>
              <w:rPr>
                <w:sz w:val="21"/>
              </w:rPr>
              <w:t>有医疗手段恢复。</w:t>
            </w:r>
          </w:p>
        </w:tc>
      </w:tr>
    </w:tbl>
    <w:p>
      <w:pPr>
        <w:pStyle w:val="BodyText"/>
        <w:rPr>
          <w:sz w:val="20"/>
        </w:rPr>
      </w:pPr>
    </w:p>
    <w:p>
      <w:pPr>
        <w:pStyle w:val="BodyText"/>
        <w:spacing w:before="4"/>
        <w:rPr>
          <w:sz w:val="14"/>
        </w:rPr>
      </w:pPr>
    </w:p>
    <w:p>
      <w:pPr>
        <w:pStyle w:val="BodyText"/>
        <w:spacing w:before="37"/>
        <w:ind w:left="3972" w:right="4217"/>
        <w:jc w:val="center"/>
      </w:pPr>
      <w:r>
        <w:rPr/>
        <w:t>（保险条款内容结束）</w:t>
      </w:r>
    </w:p>
    <w:sectPr>
      <w:pgSz w:w="11910" w:h="16840"/>
      <w:pgMar w:header="0" w:footer="924" w:top="1160" w:bottom="1120" w:left="82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微软雅黑">
    <w:altName w:val="微软雅黑"/>
    <w:charset w:val="86"/>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58.369995pt;margin-top:780.699951pt;width:78.7pt;height:12pt;mso-position-horizontal-relative:page;mso-position-vertical-relative:page;z-index:-33928"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 共 </w:t>
                </w:r>
                <w:r>
                  <w:rPr>
                    <w:rFonts w:ascii="Times New Roman" w:eastAsia="Times New Roman"/>
                    <w:sz w:val="18"/>
                  </w:rPr>
                  <w:t>21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4"/>
      <w:numFmt w:val="decimal"/>
      <w:lvlText w:val="%1)"/>
      <w:lvlJc w:val="left"/>
      <w:pPr>
        <w:ind w:left="2254" w:hanging="335"/>
        <w:jc w:val="left"/>
      </w:pPr>
      <w:rPr>
        <w:rFonts w:hint="default" w:ascii="宋体" w:hAnsi="宋体" w:eastAsia="宋体" w:cs="宋体"/>
        <w:w w:val="100"/>
        <w:sz w:val="21"/>
        <w:szCs w:val="21"/>
      </w:rPr>
    </w:lvl>
    <w:lvl w:ilvl="1">
      <w:start w:val="1"/>
      <w:numFmt w:val="lowerLetter"/>
      <w:lvlText w:val="%2)"/>
      <w:lvlJc w:val="left"/>
      <w:pPr>
        <w:ind w:left="3094" w:hanging="394"/>
        <w:jc w:val="left"/>
      </w:pPr>
      <w:rPr>
        <w:rFonts w:hint="default" w:ascii="宋体" w:hAnsi="宋体" w:eastAsia="宋体" w:cs="宋体"/>
        <w:w w:val="100"/>
        <w:sz w:val="21"/>
        <w:szCs w:val="21"/>
      </w:rPr>
    </w:lvl>
    <w:lvl w:ilvl="2">
      <w:start w:val="0"/>
      <w:numFmt w:val="bullet"/>
      <w:lvlText w:val="•"/>
      <w:lvlJc w:val="left"/>
      <w:pPr>
        <w:ind w:left="3100" w:hanging="394"/>
      </w:pPr>
      <w:rPr>
        <w:rFonts w:hint="default"/>
      </w:rPr>
    </w:lvl>
    <w:lvl w:ilvl="3">
      <w:start w:val="0"/>
      <w:numFmt w:val="bullet"/>
      <w:lvlText w:val="•"/>
      <w:lvlJc w:val="left"/>
      <w:pPr>
        <w:ind w:left="3420" w:hanging="394"/>
      </w:pPr>
      <w:rPr>
        <w:rFonts w:hint="default"/>
      </w:rPr>
    </w:lvl>
    <w:lvl w:ilvl="4">
      <w:start w:val="0"/>
      <w:numFmt w:val="bullet"/>
      <w:lvlText w:val="•"/>
      <w:lvlJc w:val="left"/>
      <w:pPr>
        <w:ind w:left="4246" w:hanging="394"/>
      </w:pPr>
      <w:rPr>
        <w:rFonts w:hint="default"/>
      </w:rPr>
    </w:lvl>
    <w:lvl w:ilvl="5">
      <w:start w:val="0"/>
      <w:numFmt w:val="bullet"/>
      <w:lvlText w:val="•"/>
      <w:lvlJc w:val="left"/>
      <w:pPr>
        <w:ind w:left="5073" w:hanging="394"/>
      </w:pPr>
      <w:rPr>
        <w:rFonts w:hint="default"/>
      </w:rPr>
    </w:lvl>
    <w:lvl w:ilvl="6">
      <w:start w:val="0"/>
      <w:numFmt w:val="bullet"/>
      <w:lvlText w:val="•"/>
      <w:lvlJc w:val="left"/>
      <w:pPr>
        <w:ind w:left="5899" w:hanging="394"/>
      </w:pPr>
      <w:rPr>
        <w:rFonts w:hint="default"/>
      </w:rPr>
    </w:lvl>
    <w:lvl w:ilvl="7">
      <w:start w:val="0"/>
      <w:numFmt w:val="bullet"/>
      <w:lvlText w:val="•"/>
      <w:lvlJc w:val="left"/>
      <w:pPr>
        <w:ind w:left="6726" w:hanging="394"/>
      </w:pPr>
      <w:rPr>
        <w:rFonts w:hint="default"/>
      </w:rPr>
    </w:lvl>
    <w:lvl w:ilvl="8">
      <w:start w:val="0"/>
      <w:numFmt w:val="bullet"/>
      <w:lvlText w:val="•"/>
      <w:lvlJc w:val="left"/>
      <w:pPr>
        <w:ind w:left="7553" w:hanging="394"/>
      </w:pPr>
      <w:rPr>
        <w:rFonts w:hint="default"/>
      </w:rPr>
    </w:lvl>
  </w:abstractNum>
  <w:abstractNum w:abstractNumId="16">
    <w:multiLevelType w:val="hybridMultilevel"/>
    <w:lvl w:ilvl="0">
      <w:start w:val="1"/>
      <w:numFmt w:val="decimal"/>
      <w:lvlText w:val="%1)"/>
      <w:lvlJc w:val="left"/>
      <w:pPr>
        <w:ind w:left="807" w:hanging="335"/>
        <w:jc w:val="left"/>
      </w:pPr>
      <w:rPr>
        <w:rFonts w:hint="default" w:ascii="宋体" w:hAnsi="宋体" w:eastAsia="宋体" w:cs="宋体"/>
        <w:w w:val="100"/>
        <w:sz w:val="21"/>
        <w:szCs w:val="21"/>
      </w:rPr>
    </w:lvl>
    <w:lvl w:ilvl="1">
      <w:start w:val="1"/>
      <w:numFmt w:val="lowerLetter"/>
      <w:lvlText w:val="%2)"/>
      <w:lvlJc w:val="left"/>
      <w:pPr>
        <w:ind w:left="1647" w:hanging="394"/>
        <w:jc w:val="left"/>
      </w:pPr>
      <w:rPr>
        <w:rFonts w:hint="default" w:ascii="宋体" w:hAnsi="宋体" w:eastAsia="宋体" w:cs="宋体"/>
        <w:w w:val="100"/>
        <w:sz w:val="21"/>
        <w:szCs w:val="21"/>
      </w:rPr>
    </w:lvl>
    <w:lvl w:ilvl="2">
      <w:start w:val="0"/>
      <w:numFmt w:val="bullet"/>
      <w:lvlText w:val="•"/>
      <w:lvlJc w:val="left"/>
      <w:pPr>
        <w:ind w:left="2341" w:hanging="394"/>
      </w:pPr>
      <w:rPr>
        <w:rFonts w:hint="default"/>
      </w:rPr>
    </w:lvl>
    <w:lvl w:ilvl="3">
      <w:start w:val="0"/>
      <w:numFmt w:val="bullet"/>
      <w:lvlText w:val="•"/>
      <w:lvlJc w:val="left"/>
      <w:pPr>
        <w:ind w:left="3042" w:hanging="394"/>
      </w:pPr>
      <w:rPr>
        <w:rFonts w:hint="default"/>
      </w:rPr>
    </w:lvl>
    <w:lvl w:ilvl="4">
      <w:start w:val="0"/>
      <w:numFmt w:val="bullet"/>
      <w:lvlText w:val="•"/>
      <w:lvlJc w:val="left"/>
      <w:pPr>
        <w:ind w:left="3744" w:hanging="394"/>
      </w:pPr>
      <w:rPr>
        <w:rFonts w:hint="default"/>
      </w:rPr>
    </w:lvl>
    <w:lvl w:ilvl="5">
      <w:start w:val="0"/>
      <w:numFmt w:val="bullet"/>
      <w:lvlText w:val="•"/>
      <w:lvlJc w:val="left"/>
      <w:pPr>
        <w:ind w:left="4445" w:hanging="394"/>
      </w:pPr>
      <w:rPr>
        <w:rFonts w:hint="default"/>
      </w:rPr>
    </w:lvl>
    <w:lvl w:ilvl="6">
      <w:start w:val="0"/>
      <w:numFmt w:val="bullet"/>
      <w:lvlText w:val="•"/>
      <w:lvlJc w:val="left"/>
      <w:pPr>
        <w:ind w:left="5147" w:hanging="394"/>
      </w:pPr>
      <w:rPr>
        <w:rFonts w:hint="default"/>
      </w:rPr>
    </w:lvl>
    <w:lvl w:ilvl="7">
      <w:start w:val="0"/>
      <w:numFmt w:val="bullet"/>
      <w:lvlText w:val="•"/>
      <w:lvlJc w:val="left"/>
      <w:pPr>
        <w:ind w:left="5848" w:hanging="394"/>
      </w:pPr>
      <w:rPr>
        <w:rFonts w:hint="default"/>
      </w:rPr>
    </w:lvl>
    <w:lvl w:ilvl="8">
      <w:start w:val="0"/>
      <w:numFmt w:val="bullet"/>
      <w:lvlText w:val="•"/>
      <w:lvlJc w:val="left"/>
      <w:pPr>
        <w:ind w:left="6550" w:hanging="394"/>
      </w:pPr>
      <w:rPr>
        <w:rFonts w:hint="default"/>
      </w:rPr>
    </w:lvl>
  </w:abstractNum>
  <w:abstractNum w:abstractNumId="15">
    <w:multiLevelType w:val="hybridMultilevel"/>
    <w:lvl w:ilvl="0">
      <w:start w:val="3"/>
      <w:numFmt w:val="decimal"/>
      <w:lvlText w:val="%1."/>
      <w:lvlJc w:val="left"/>
      <w:pPr>
        <w:ind w:left="490" w:hanging="361"/>
        <w:jc w:val="left"/>
      </w:pPr>
      <w:rPr>
        <w:rFonts w:hint="default" w:ascii="宋体" w:hAnsi="宋体" w:eastAsia="宋体" w:cs="宋体"/>
        <w:w w:val="100"/>
        <w:sz w:val="21"/>
        <w:szCs w:val="21"/>
      </w:rPr>
    </w:lvl>
    <w:lvl w:ilvl="1">
      <w:start w:val="0"/>
      <w:numFmt w:val="bullet"/>
      <w:lvlText w:val="•"/>
      <w:lvlJc w:val="left"/>
      <w:pPr>
        <w:ind w:left="1195" w:hanging="361"/>
      </w:pPr>
      <w:rPr>
        <w:rFonts w:hint="default"/>
      </w:rPr>
    </w:lvl>
    <w:lvl w:ilvl="2">
      <w:start w:val="0"/>
      <w:numFmt w:val="bullet"/>
      <w:lvlText w:val="•"/>
      <w:lvlJc w:val="left"/>
      <w:pPr>
        <w:ind w:left="1890" w:hanging="361"/>
      </w:pPr>
      <w:rPr>
        <w:rFonts w:hint="default"/>
      </w:rPr>
    </w:lvl>
    <w:lvl w:ilvl="3">
      <w:start w:val="0"/>
      <w:numFmt w:val="bullet"/>
      <w:lvlText w:val="•"/>
      <w:lvlJc w:val="left"/>
      <w:pPr>
        <w:ind w:left="2585" w:hanging="361"/>
      </w:pPr>
      <w:rPr>
        <w:rFonts w:hint="default"/>
      </w:rPr>
    </w:lvl>
    <w:lvl w:ilvl="4">
      <w:start w:val="0"/>
      <w:numFmt w:val="bullet"/>
      <w:lvlText w:val="•"/>
      <w:lvlJc w:val="left"/>
      <w:pPr>
        <w:ind w:left="3281" w:hanging="361"/>
      </w:pPr>
      <w:rPr>
        <w:rFonts w:hint="default"/>
      </w:rPr>
    </w:lvl>
    <w:lvl w:ilvl="5">
      <w:start w:val="0"/>
      <w:numFmt w:val="bullet"/>
      <w:lvlText w:val="•"/>
      <w:lvlJc w:val="left"/>
      <w:pPr>
        <w:ind w:left="3976" w:hanging="361"/>
      </w:pPr>
      <w:rPr>
        <w:rFonts w:hint="default"/>
      </w:rPr>
    </w:lvl>
    <w:lvl w:ilvl="6">
      <w:start w:val="0"/>
      <w:numFmt w:val="bullet"/>
      <w:lvlText w:val="•"/>
      <w:lvlJc w:val="left"/>
      <w:pPr>
        <w:ind w:left="4671" w:hanging="361"/>
      </w:pPr>
      <w:rPr>
        <w:rFonts w:hint="default"/>
      </w:rPr>
    </w:lvl>
    <w:lvl w:ilvl="7">
      <w:start w:val="0"/>
      <w:numFmt w:val="bullet"/>
      <w:lvlText w:val="•"/>
      <w:lvlJc w:val="left"/>
      <w:pPr>
        <w:ind w:left="5367" w:hanging="361"/>
      </w:pPr>
      <w:rPr>
        <w:rFonts w:hint="default"/>
      </w:rPr>
    </w:lvl>
    <w:lvl w:ilvl="8">
      <w:start w:val="0"/>
      <w:numFmt w:val="bullet"/>
      <w:lvlText w:val="•"/>
      <w:lvlJc w:val="left"/>
      <w:pPr>
        <w:ind w:left="6062" w:hanging="361"/>
      </w:pPr>
      <w:rPr>
        <w:rFonts w:hint="default"/>
      </w:rPr>
    </w:lvl>
  </w:abstractNum>
  <w:abstractNum w:abstractNumId="14">
    <w:multiLevelType w:val="hybridMultilevel"/>
    <w:lvl w:ilvl="0">
      <w:start w:val="1"/>
      <w:numFmt w:val="decimal"/>
      <w:lvlText w:val="（%1）"/>
      <w:lvlJc w:val="left"/>
      <w:pPr>
        <w:ind w:left="850" w:hanging="721"/>
        <w:jc w:val="left"/>
      </w:pPr>
      <w:rPr>
        <w:rFonts w:hint="default" w:ascii="宋体" w:hAnsi="宋体" w:eastAsia="宋体" w:cs="宋体"/>
        <w:w w:val="100"/>
        <w:sz w:val="21"/>
        <w:szCs w:val="21"/>
      </w:rPr>
    </w:lvl>
    <w:lvl w:ilvl="1">
      <w:start w:val="0"/>
      <w:numFmt w:val="bullet"/>
      <w:lvlText w:val="•"/>
      <w:lvlJc w:val="left"/>
      <w:pPr>
        <w:ind w:left="1519" w:hanging="721"/>
      </w:pPr>
      <w:rPr>
        <w:rFonts w:hint="default"/>
      </w:rPr>
    </w:lvl>
    <w:lvl w:ilvl="2">
      <w:start w:val="0"/>
      <w:numFmt w:val="bullet"/>
      <w:lvlText w:val="•"/>
      <w:lvlJc w:val="left"/>
      <w:pPr>
        <w:ind w:left="2178" w:hanging="721"/>
      </w:pPr>
      <w:rPr>
        <w:rFonts w:hint="default"/>
      </w:rPr>
    </w:lvl>
    <w:lvl w:ilvl="3">
      <w:start w:val="0"/>
      <w:numFmt w:val="bullet"/>
      <w:lvlText w:val="•"/>
      <w:lvlJc w:val="left"/>
      <w:pPr>
        <w:ind w:left="2837" w:hanging="721"/>
      </w:pPr>
      <w:rPr>
        <w:rFonts w:hint="default"/>
      </w:rPr>
    </w:lvl>
    <w:lvl w:ilvl="4">
      <w:start w:val="0"/>
      <w:numFmt w:val="bullet"/>
      <w:lvlText w:val="•"/>
      <w:lvlJc w:val="left"/>
      <w:pPr>
        <w:ind w:left="3497" w:hanging="721"/>
      </w:pPr>
      <w:rPr>
        <w:rFonts w:hint="default"/>
      </w:rPr>
    </w:lvl>
    <w:lvl w:ilvl="5">
      <w:start w:val="0"/>
      <w:numFmt w:val="bullet"/>
      <w:lvlText w:val="•"/>
      <w:lvlJc w:val="left"/>
      <w:pPr>
        <w:ind w:left="4156" w:hanging="721"/>
      </w:pPr>
      <w:rPr>
        <w:rFonts w:hint="default"/>
      </w:rPr>
    </w:lvl>
    <w:lvl w:ilvl="6">
      <w:start w:val="0"/>
      <w:numFmt w:val="bullet"/>
      <w:lvlText w:val="•"/>
      <w:lvlJc w:val="left"/>
      <w:pPr>
        <w:ind w:left="4815" w:hanging="721"/>
      </w:pPr>
      <w:rPr>
        <w:rFonts w:hint="default"/>
      </w:rPr>
    </w:lvl>
    <w:lvl w:ilvl="7">
      <w:start w:val="0"/>
      <w:numFmt w:val="bullet"/>
      <w:lvlText w:val="•"/>
      <w:lvlJc w:val="left"/>
      <w:pPr>
        <w:ind w:left="5475" w:hanging="721"/>
      </w:pPr>
      <w:rPr>
        <w:rFonts w:hint="default"/>
      </w:rPr>
    </w:lvl>
    <w:lvl w:ilvl="8">
      <w:start w:val="0"/>
      <w:numFmt w:val="bullet"/>
      <w:lvlText w:val="•"/>
      <w:lvlJc w:val="left"/>
      <w:pPr>
        <w:ind w:left="6134" w:hanging="721"/>
      </w:pPr>
      <w:rPr>
        <w:rFonts w:hint="default"/>
      </w:rPr>
    </w:lvl>
  </w:abstractNum>
  <w:abstractNum w:abstractNumId="13">
    <w:multiLevelType w:val="hybridMultilevel"/>
    <w:lvl w:ilvl="0">
      <w:start w:val="1"/>
      <w:numFmt w:val="decimal"/>
      <w:lvlText w:val="（%1）"/>
      <w:lvlJc w:val="left"/>
      <w:pPr>
        <w:ind w:left="850" w:hanging="721"/>
        <w:jc w:val="left"/>
      </w:pPr>
      <w:rPr>
        <w:rFonts w:hint="default" w:ascii="宋体" w:hAnsi="宋体" w:eastAsia="宋体" w:cs="宋体"/>
        <w:w w:val="100"/>
        <w:sz w:val="21"/>
        <w:szCs w:val="21"/>
      </w:rPr>
    </w:lvl>
    <w:lvl w:ilvl="1">
      <w:start w:val="0"/>
      <w:numFmt w:val="bullet"/>
      <w:lvlText w:val="•"/>
      <w:lvlJc w:val="left"/>
      <w:pPr>
        <w:ind w:left="1519" w:hanging="721"/>
      </w:pPr>
      <w:rPr>
        <w:rFonts w:hint="default"/>
      </w:rPr>
    </w:lvl>
    <w:lvl w:ilvl="2">
      <w:start w:val="0"/>
      <w:numFmt w:val="bullet"/>
      <w:lvlText w:val="•"/>
      <w:lvlJc w:val="left"/>
      <w:pPr>
        <w:ind w:left="2178" w:hanging="721"/>
      </w:pPr>
      <w:rPr>
        <w:rFonts w:hint="default"/>
      </w:rPr>
    </w:lvl>
    <w:lvl w:ilvl="3">
      <w:start w:val="0"/>
      <w:numFmt w:val="bullet"/>
      <w:lvlText w:val="•"/>
      <w:lvlJc w:val="left"/>
      <w:pPr>
        <w:ind w:left="2837" w:hanging="721"/>
      </w:pPr>
      <w:rPr>
        <w:rFonts w:hint="default"/>
      </w:rPr>
    </w:lvl>
    <w:lvl w:ilvl="4">
      <w:start w:val="0"/>
      <w:numFmt w:val="bullet"/>
      <w:lvlText w:val="•"/>
      <w:lvlJc w:val="left"/>
      <w:pPr>
        <w:ind w:left="3497" w:hanging="721"/>
      </w:pPr>
      <w:rPr>
        <w:rFonts w:hint="default"/>
      </w:rPr>
    </w:lvl>
    <w:lvl w:ilvl="5">
      <w:start w:val="0"/>
      <w:numFmt w:val="bullet"/>
      <w:lvlText w:val="•"/>
      <w:lvlJc w:val="left"/>
      <w:pPr>
        <w:ind w:left="4156" w:hanging="721"/>
      </w:pPr>
      <w:rPr>
        <w:rFonts w:hint="default"/>
      </w:rPr>
    </w:lvl>
    <w:lvl w:ilvl="6">
      <w:start w:val="0"/>
      <w:numFmt w:val="bullet"/>
      <w:lvlText w:val="•"/>
      <w:lvlJc w:val="left"/>
      <w:pPr>
        <w:ind w:left="4815" w:hanging="721"/>
      </w:pPr>
      <w:rPr>
        <w:rFonts w:hint="default"/>
      </w:rPr>
    </w:lvl>
    <w:lvl w:ilvl="7">
      <w:start w:val="0"/>
      <w:numFmt w:val="bullet"/>
      <w:lvlText w:val="•"/>
      <w:lvlJc w:val="left"/>
      <w:pPr>
        <w:ind w:left="5475" w:hanging="721"/>
      </w:pPr>
      <w:rPr>
        <w:rFonts w:hint="default"/>
      </w:rPr>
    </w:lvl>
    <w:lvl w:ilvl="8">
      <w:start w:val="0"/>
      <w:numFmt w:val="bullet"/>
      <w:lvlText w:val="•"/>
      <w:lvlJc w:val="left"/>
      <w:pPr>
        <w:ind w:left="6134" w:hanging="721"/>
      </w:pPr>
      <w:rPr>
        <w:rFonts w:hint="default"/>
      </w:rPr>
    </w:lvl>
  </w:abstractNum>
  <w:abstractNum w:abstractNumId="12">
    <w:multiLevelType w:val="hybridMultilevel"/>
    <w:lvl w:ilvl="0">
      <w:start w:val="1"/>
      <w:numFmt w:val="decimal"/>
      <w:lvlText w:val="%1."/>
      <w:lvlJc w:val="left"/>
      <w:pPr>
        <w:ind w:left="1007" w:hanging="795"/>
        <w:jc w:val="left"/>
      </w:pPr>
      <w:rPr>
        <w:rFonts w:hint="default" w:ascii="宋体" w:hAnsi="宋体" w:eastAsia="宋体" w:cs="宋体"/>
        <w:b/>
        <w:bCs/>
        <w:spacing w:val="0"/>
        <w:w w:val="99"/>
        <w:sz w:val="24"/>
        <w:szCs w:val="24"/>
      </w:rPr>
    </w:lvl>
    <w:lvl w:ilvl="1">
      <w:start w:val="1"/>
      <w:numFmt w:val="decimal"/>
      <w:lvlText w:val="%1.%2"/>
      <w:lvlJc w:val="left"/>
      <w:pPr>
        <w:ind w:left="2534" w:hanging="795"/>
        <w:jc w:val="left"/>
      </w:pPr>
      <w:rPr>
        <w:rFonts w:hint="default" w:ascii="宋体" w:hAnsi="宋体" w:eastAsia="宋体" w:cs="宋体"/>
        <w:b/>
        <w:bCs/>
        <w:w w:val="99"/>
        <w:sz w:val="21"/>
        <w:szCs w:val="21"/>
      </w:rPr>
    </w:lvl>
    <w:lvl w:ilvl="2">
      <w:start w:val="1"/>
      <w:numFmt w:val="lowerLetter"/>
      <w:lvlText w:val="%3)"/>
      <w:lvlJc w:val="left"/>
      <w:pPr>
        <w:ind w:left="3094" w:hanging="394"/>
        <w:jc w:val="left"/>
      </w:pPr>
      <w:rPr>
        <w:rFonts w:hint="default" w:ascii="宋体" w:hAnsi="宋体" w:eastAsia="宋体" w:cs="宋体"/>
        <w:w w:val="100"/>
        <w:sz w:val="21"/>
        <w:szCs w:val="21"/>
      </w:rPr>
    </w:lvl>
    <w:lvl w:ilvl="3">
      <w:start w:val="0"/>
      <w:numFmt w:val="bullet"/>
      <w:lvlText w:val="•"/>
      <w:lvlJc w:val="left"/>
      <w:pPr>
        <w:ind w:left="3863" w:hanging="394"/>
      </w:pPr>
      <w:rPr>
        <w:rFonts w:hint="default"/>
      </w:rPr>
    </w:lvl>
    <w:lvl w:ilvl="4">
      <w:start w:val="0"/>
      <w:numFmt w:val="bullet"/>
      <w:lvlText w:val="•"/>
      <w:lvlJc w:val="left"/>
      <w:pPr>
        <w:ind w:left="4626" w:hanging="394"/>
      </w:pPr>
      <w:rPr>
        <w:rFonts w:hint="default"/>
      </w:rPr>
    </w:lvl>
    <w:lvl w:ilvl="5">
      <w:start w:val="0"/>
      <w:numFmt w:val="bullet"/>
      <w:lvlText w:val="•"/>
      <w:lvlJc w:val="left"/>
      <w:pPr>
        <w:ind w:left="5389" w:hanging="394"/>
      </w:pPr>
      <w:rPr>
        <w:rFonts w:hint="default"/>
      </w:rPr>
    </w:lvl>
    <w:lvl w:ilvl="6">
      <w:start w:val="0"/>
      <w:numFmt w:val="bullet"/>
      <w:lvlText w:val="•"/>
      <w:lvlJc w:val="left"/>
      <w:pPr>
        <w:ind w:left="6153" w:hanging="394"/>
      </w:pPr>
      <w:rPr>
        <w:rFonts w:hint="default"/>
      </w:rPr>
    </w:lvl>
    <w:lvl w:ilvl="7">
      <w:start w:val="0"/>
      <w:numFmt w:val="bullet"/>
      <w:lvlText w:val="•"/>
      <w:lvlJc w:val="left"/>
      <w:pPr>
        <w:ind w:left="6916" w:hanging="394"/>
      </w:pPr>
      <w:rPr>
        <w:rFonts w:hint="default"/>
      </w:rPr>
    </w:lvl>
    <w:lvl w:ilvl="8">
      <w:start w:val="0"/>
      <w:numFmt w:val="bullet"/>
      <w:lvlText w:val="•"/>
      <w:lvlJc w:val="left"/>
      <w:pPr>
        <w:ind w:left="7679" w:hanging="394"/>
      </w:pPr>
      <w:rPr>
        <w:rFonts w:hint="default"/>
      </w:rPr>
    </w:lvl>
  </w:abstractNum>
  <w:abstractNum w:abstractNumId="11">
    <w:multiLevelType w:val="hybridMultilevel"/>
    <w:lvl w:ilvl="0">
      <w:start w:val="10"/>
      <w:numFmt w:val="decimal"/>
      <w:lvlText w:val="%1"/>
      <w:lvlJc w:val="left"/>
      <w:pPr>
        <w:ind w:left="838" w:hanging="632"/>
        <w:jc w:val="left"/>
      </w:pPr>
      <w:rPr>
        <w:rFonts w:hint="default"/>
      </w:rPr>
    </w:lvl>
    <w:lvl w:ilvl="1">
      <w:start w:val="16"/>
      <w:numFmt w:val="decimal"/>
      <w:lvlText w:val="%1.%2"/>
      <w:lvlJc w:val="left"/>
      <w:pPr>
        <w:ind w:left="206" w:hanging="632"/>
        <w:jc w:val="left"/>
      </w:pPr>
      <w:rPr>
        <w:rFonts w:hint="default" w:ascii="宋体" w:hAnsi="宋体" w:eastAsia="宋体" w:cs="宋体"/>
        <w:w w:val="100"/>
        <w:sz w:val="21"/>
        <w:szCs w:val="21"/>
      </w:rPr>
    </w:lvl>
    <w:lvl w:ilvl="2">
      <w:start w:val="0"/>
      <w:numFmt w:val="bullet"/>
      <w:lvlText w:val="•"/>
      <w:lvlJc w:val="left"/>
      <w:pPr>
        <w:ind w:left="1043" w:hanging="632"/>
      </w:pPr>
      <w:rPr>
        <w:rFonts w:hint="default"/>
      </w:rPr>
    </w:lvl>
    <w:lvl w:ilvl="3">
      <w:start w:val="0"/>
      <w:numFmt w:val="bullet"/>
      <w:lvlText w:val="•"/>
      <w:lvlJc w:val="left"/>
      <w:pPr>
        <w:ind w:left="1246" w:hanging="632"/>
      </w:pPr>
      <w:rPr>
        <w:rFonts w:hint="default"/>
      </w:rPr>
    </w:lvl>
    <w:lvl w:ilvl="4">
      <w:start w:val="0"/>
      <w:numFmt w:val="bullet"/>
      <w:lvlText w:val="•"/>
      <w:lvlJc w:val="left"/>
      <w:pPr>
        <w:ind w:left="1449" w:hanging="632"/>
      </w:pPr>
      <w:rPr>
        <w:rFonts w:hint="default"/>
      </w:rPr>
    </w:lvl>
    <w:lvl w:ilvl="5">
      <w:start w:val="0"/>
      <w:numFmt w:val="bullet"/>
      <w:lvlText w:val="•"/>
      <w:lvlJc w:val="left"/>
      <w:pPr>
        <w:ind w:left="1652" w:hanging="632"/>
      </w:pPr>
      <w:rPr>
        <w:rFonts w:hint="default"/>
      </w:rPr>
    </w:lvl>
    <w:lvl w:ilvl="6">
      <w:start w:val="0"/>
      <w:numFmt w:val="bullet"/>
      <w:lvlText w:val="•"/>
      <w:lvlJc w:val="left"/>
      <w:pPr>
        <w:ind w:left="1855" w:hanging="632"/>
      </w:pPr>
      <w:rPr>
        <w:rFonts w:hint="default"/>
      </w:rPr>
    </w:lvl>
    <w:lvl w:ilvl="7">
      <w:start w:val="0"/>
      <w:numFmt w:val="bullet"/>
      <w:lvlText w:val="•"/>
      <w:lvlJc w:val="left"/>
      <w:pPr>
        <w:ind w:left="2058" w:hanging="632"/>
      </w:pPr>
      <w:rPr>
        <w:rFonts w:hint="default"/>
      </w:rPr>
    </w:lvl>
    <w:lvl w:ilvl="8">
      <w:start w:val="0"/>
      <w:numFmt w:val="bullet"/>
      <w:lvlText w:val="•"/>
      <w:lvlJc w:val="left"/>
      <w:pPr>
        <w:ind w:left="2261" w:hanging="632"/>
      </w:pPr>
      <w:rPr>
        <w:rFonts w:hint="default"/>
      </w:rPr>
    </w:lvl>
  </w:abstractNum>
  <w:abstractNum w:abstractNumId="10">
    <w:multiLevelType w:val="hybridMultilevel"/>
    <w:lvl w:ilvl="0">
      <w:start w:val="10"/>
      <w:numFmt w:val="decimal"/>
      <w:lvlText w:val="%1."/>
      <w:lvlJc w:val="left"/>
      <w:pPr>
        <w:ind w:left="624" w:hanging="423"/>
        <w:jc w:val="left"/>
      </w:pPr>
      <w:rPr>
        <w:rFonts w:hint="default" w:ascii="宋体" w:hAnsi="宋体" w:eastAsia="宋体" w:cs="宋体"/>
        <w:b/>
        <w:bCs/>
        <w:w w:val="99"/>
        <w:sz w:val="21"/>
        <w:szCs w:val="21"/>
      </w:rPr>
    </w:lvl>
    <w:lvl w:ilvl="1">
      <w:start w:val="1"/>
      <w:numFmt w:val="decimal"/>
      <w:lvlText w:val="%1.%2"/>
      <w:lvlJc w:val="left"/>
      <w:pPr>
        <w:ind w:left="833" w:hanging="526"/>
        <w:jc w:val="left"/>
      </w:pPr>
      <w:rPr>
        <w:rFonts w:hint="default" w:ascii="宋体" w:hAnsi="宋体" w:eastAsia="宋体" w:cs="宋体"/>
        <w:w w:val="100"/>
        <w:sz w:val="21"/>
        <w:szCs w:val="21"/>
      </w:rPr>
    </w:lvl>
    <w:lvl w:ilvl="2">
      <w:start w:val="0"/>
      <w:numFmt w:val="bullet"/>
      <w:lvlText w:val="•"/>
      <w:lvlJc w:val="left"/>
      <w:pPr>
        <w:ind w:left="1025" w:hanging="526"/>
      </w:pPr>
      <w:rPr>
        <w:rFonts w:hint="default"/>
      </w:rPr>
    </w:lvl>
    <w:lvl w:ilvl="3">
      <w:start w:val="0"/>
      <w:numFmt w:val="bullet"/>
      <w:lvlText w:val="•"/>
      <w:lvlJc w:val="left"/>
      <w:pPr>
        <w:ind w:left="1211" w:hanging="526"/>
      </w:pPr>
      <w:rPr>
        <w:rFonts w:hint="default"/>
      </w:rPr>
    </w:lvl>
    <w:lvl w:ilvl="4">
      <w:start w:val="0"/>
      <w:numFmt w:val="bullet"/>
      <w:lvlText w:val="•"/>
      <w:lvlJc w:val="left"/>
      <w:pPr>
        <w:ind w:left="1397" w:hanging="526"/>
      </w:pPr>
      <w:rPr>
        <w:rFonts w:hint="default"/>
      </w:rPr>
    </w:lvl>
    <w:lvl w:ilvl="5">
      <w:start w:val="0"/>
      <w:numFmt w:val="bullet"/>
      <w:lvlText w:val="•"/>
      <w:lvlJc w:val="left"/>
      <w:pPr>
        <w:ind w:left="1582" w:hanging="526"/>
      </w:pPr>
      <w:rPr>
        <w:rFonts w:hint="default"/>
      </w:rPr>
    </w:lvl>
    <w:lvl w:ilvl="6">
      <w:start w:val="0"/>
      <w:numFmt w:val="bullet"/>
      <w:lvlText w:val="•"/>
      <w:lvlJc w:val="left"/>
      <w:pPr>
        <w:ind w:left="1768" w:hanging="526"/>
      </w:pPr>
      <w:rPr>
        <w:rFonts w:hint="default"/>
      </w:rPr>
    </w:lvl>
    <w:lvl w:ilvl="7">
      <w:start w:val="0"/>
      <w:numFmt w:val="bullet"/>
      <w:lvlText w:val="•"/>
      <w:lvlJc w:val="left"/>
      <w:pPr>
        <w:ind w:left="1954" w:hanging="526"/>
      </w:pPr>
      <w:rPr>
        <w:rFonts w:hint="default"/>
      </w:rPr>
    </w:lvl>
    <w:lvl w:ilvl="8">
      <w:start w:val="0"/>
      <w:numFmt w:val="bullet"/>
      <w:lvlText w:val="•"/>
      <w:lvlJc w:val="left"/>
      <w:pPr>
        <w:ind w:left="2139" w:hanging="526"/>
      </w:pPr>
      <w:rPr>
        <w:rFonts w:hint="default"/>
      </w:rPr>
    </w:lvl>
  </w:abstractNum>
  <w:abstractNum w:abstractNumId="9">
    <w:multiLevelType w:val="hybridMultilevel"/>
    <w:lvl w:ilvl="0">
      <w:start w:val="6"/>
      <w:numFmt w:val="decimal"/>
      <w:lvlText w:val="%1."/>
      <w:lvlJc w:val="left"/>
      <w:pPr>
        <w:ind w:left="471" w:hanging="318"/>
        <w:jc w:val="left"/>
      </w:pPr>
      <w:rPr>
        <w:rFonts w:hint="default" w:ascii="宋体" w:hAnsi="宋体" w:eastAsia="宋体" w:cs="宋体"/>
        <w:b/>
        <w:bCs/>
        <w:w w:val="99"/>
        <w:sz w:val="21"/>
        <w:szCs w:val="21"/>
      </w:rPr>
    </w:lvl>
    <w:lvl w:ilvl="1">
      <w:start w:val="1"/>
      <w:numFmt w:val="decimal"/>
      <w:lvlText w:val="%1.%2"/>
      <w:lvlJc w:val="left"/>
      <w:pPr>
        <w:ind w:left="679" w:hanging="421"/>
        <w:jc w:val="left"/>
      </w:pPr>
      <w:rPr>
        <w:rFonts w:hint="default" w:ascii="宋体" w:hAnsi="宋体" w:eastAsia="宋体" w:cs="宋体"/>
        <w:w w:val="100"/>
        <w:sz w:val="21"/>
        <w:szCs w:val="21"/>
      </w:rPr>
    </w:lvl>
    <w:lvl w:ilvl="2">
      <w:start w:val="0"/>
      <w:numFmt w:val="bullet"/>
      <w:lvlText w:val="•"/>
      <w:lvlJc w:val="left"/>
      <w:pPr>
        <w:ind w:left="680" w:hanging="421"/>
      </w:pPr>
      <w:rPr>
        <w:rFonts w:hint="default"/>
      </w:rPr>
    </w:lvl>
    <w:lvl w:ilvl="3">
      <w:start w:val="0"/>
      <w:numFmt w:val="bullet"/>
      <w:lvlText w:val="•"/>
      <w:lvlJc w:val="left"/>
      <w:pPr>
        <w:ind w:left="890" w:hanging="421"/>
      </w:pPr>
      <w:rPr>
        <w:rFonts w:hint="default"/>
      </w:rPr>
    </w:lvl>
    <w:lvl w:ilvl="4">
      <w:start w:val="0"/>
      <w:numFmt w:val="bullet"/>
      <w:lvlText w:val="•"/>
      <w:lvlJc w:val="left"/>
      <w:pPr>
        <w:ind w:left="1100" w:hanging="421"/>
      </w:pPr>
      <w:rPr>
        <w:rFonts w:hint="default"/>
      </w:rPr>
    </w:lvl>
    <w:lvl w:ilvl="5">
      <w:start w:val="0"/>
      <w:numFmt w:val="bullet"/>
      <w:lvlText w:val="•"/>
      <w:lvlJc w:val="left"/>
      <w:pPr>
        <w:ind w:left="1310" w:hanging="421"/>
      </w:pPr>
      <w:rPr>
        <w:rFonts w:hint="default"/>
      </w:rPr>
    </w:lvl>
    <w:lvl w:ilvl="6">
      <w:start w:val="0"/>
      <w:numFmt w:val="bullet"/>
      <w:lvlText w:val="•"/>
      <w:lvlJc w:val="left"/>
      <w:pPr>
        <w:ind w:left="1521" w:hanging="421"/>
      </w:pPr>
      <w:rPr>
        <w:rFonts w:hint="default"/>
      </w:rPr>
    </w:lvl>
    <w:lvl w:ilvl="7">
      <w:start w:val="0"/>
      <w:numFmt w:val="bullet"/>
      <w:lvlText w:val="•"/>
      <w:lvlJc w:val="left"/>
      <w:pPr>
        <w:ind w:left="1731" w:hanging="421"/>
      </w:pPr>
      <w:rPr>
        <w:rFonts w:hint="default"/>
      </w:rPr>
    </w:lvl>
    <w:lvl w:ilvl="8">
      <w:start w:val="0"/>
      <w:numFmt w:val="bullet"/>
      <w:lvlText w:val="•"/>
      <w:lvlJc w:val="left"/>
      <w:pPr>
        <w:ind w:left="1941" w:hanging="421"/>
      </w:pPr>
      <w:rPr>
        <w:rFonts w:hint="default"/>
      </w:rPr>
    </w:lvl>
  </w:abstractNum>
  <w:abstractNum w:abstractNumId="8">
    <w:multiLevelType w:val="hybridMultilevel"/>
    <w:lvl w:ilvl="0">
      <w:start w:val="3"/>
      <w:numFmt w:val="decimal"/>
      <w:lvlText w:val="%1."/>
      <w:lvlJc w:val="left"/>
      <w:pPr>
        <w:ind w:left="516" w:hanging="317"/>
        <w:jc w:val="left"/>
      </w:pPr>
      <w:rPr>
        <w:rFonts w:hint="default" w:ascii="宋体" w:hAnsi="宋体" w:eastAsia="宋体" w:cs="宋体"/>
        <w:b/>
        <w:bCs/>
        <w:w w:val="99"/>
        <w:sz w:val="21"/>
        <w:szCs w:val="21"/>
      </w:rPr>
    </w:lvl>
    <w:lvl w:ilvl="1">
      <w:start w:val="1"/>
      <w:numFmt w:val="decimal"/>
      <w:lvlText w:val="%1.%2"/>
      <w:lvlJc w:val="left"/>
      <w:pPr>
        <w:ind w:left="620" w:hanging="420"/>
        <w:jc w:val="left"/>
      </w:pPr>
      <w:rPr>
        <w:rFonts w:hint="default" w:ascii="宋体" w:hAnsi="宋体" w:eastAsia="宋体" w:cs="宋体"/>
        <w:w w:val="100"/>
        <w:sz w:val="21"/>
        <w:szCs w:val="21"/>
      </w:rPr>
    </w:lvl>
    <w:lvl w:ilvl="2">
      <w:start w:val="0"/>
      <w:numFmt w:val="bullet"/>
      <w:lvlText w:val="•"/>
      <w:lvlJc w:val="left"/>
      <w:pPr>
        <w:ind w:left="800" w:hanging="420"/>
      </w:pPr>
      <w:rPr>
        <w:rFonts w:hint="default"/>
      </w:rPr>
    </w:lvl>
    <w:lvl w:ilvl="3">
      <w:start w:val="0"/>
      <w:numFmt w:val="bullet"/>
      <w:lvlText w:val="•"/>
      <w:lvlJc w:val="left"/>
      <w:pPr>
        <w:ind w:left="981" w:hanging="420"/>
      </w:pPr>
      <w:rPr>
        <w:rFonts w:hint="default"/>
      </w:rPr>
    </w:lvl>
    <w:lvl w:ilvl="4">
      <w:start w:val="0"/>
      <w:numFmt w:val="bullet"/>
      <w:lvlText w:val="•"/>
      <w:lvlJc w:val="left"/>
      <w:pPr>
        <w:ind w:left="1162" w:hanging="420"/>
      </w:pPr>
      <w:rPr>
        <w:rFonts w:hint="default"/>
      </w:rPr>
    </w:lvl>
    <w:lvl w:ilvl="5">
      <w:start w:val="0"/>
      <w:numFmt w:val="bullet"/>
      <w:lvlText w:val="•"/>
      <w:lvlJc w:val="left"/>
      <w:pPr>
        <w:ind w:left="1343" w:hanging="420"/>
      </w:pPr>
      <w:rPr>
        <w:rFonts w:hint="default"/>
      </w:rPr>
    </w:lvl>
    <w:lvl w:ilvl="6">
      <w:start w:val="0"/>
      <w:numFmt w:val="bullet"/>
      <w:lvlText w:val="•"/>
      <w:lvlJc w:val="left"/>
      <w:pPr>
        <w:ind w:left="1523" w:hanging="420"/>
      </w:pPr>
      <w:rPr>
        <w:rFonts w:hint="default"/>
      </w:rPr>
    </w:lvl>
    <w:lvl w:ilvl="7">
      <w:start w:val="0"/>
      <w:numFmt w:val="bullet"/>
      <w:lvlText w:val="•"/>
      <w:lvlJc w:val="left"/>
      <w:pPr>
        <w:ind w:left="1704" w:hanging="420"/>
      </w:pPr>
      <w:rPr>
        <w:rFonts w:hint="default"/>
      </w:rPr>
    </w:lvl>
    <w:lvl w:ilvl="8">
      <w:start w:val="0"/>
      <w:numFmt w:val="bullet"/>
      <w:lvlText w:val="•"/>
      <w:lvlJc w:val="left"/>
      <w:pPr>
        <w:ind w:left="1885" w:hanging="420"/>
      </w:pPr>
      <w:rPr>
        <w:rFonts w:hint="default"/>
      </w:rPr>
    </w:lvl>
  </w:abstractNum>
  <w:abstractNum w:abstractNumId="7">
    <w:multiLevelType w:val="hybridMultilevel"/>
    <w:lvl w:ilvl="0">
      <w:start w:val="2"/>
      <w:numFmt w:val="decimal"/>
      <w:lvlText w:val="%1"/>
      <w:lvlJc w:val="left"/>
      <w:pPr>
        <w:ind w:left="200" w:hanging="423"/>
        <w:jc w:val="left"/>
      </w:pPr>
      <w:rPr>
        <w:rFonts w:hint="default"/>
      </w:rPr>
    </w:lvl>
    <w:lvl w:ilvl="1">
      <w:start w:val="6"/>
      <w:numFmt w:val="decimal"/>
      <w:lvlText w:val="%1.%2"/>
      <w:lvlJc w:val="left"/>
      <w:pPr>
        <w:ind w:left="200" w:hanging="423"/>
        <w:jc w:val="left"/>
      </w:pPr>
      <w:rPr>
        <w:rFonts w:hint="default" w:ascii="宋体" w:hAnsi="宋体" w:eastAsia="宋体" w:cs="宋体"/>
        <w:w w:val="100"/>
        <w:sz w:val="21"/>
        <w:szCs w:val="21"/>
      </w:rPr>
    </w:lvl>
    <w:lvl w:ilvl="2">
      <w:start w:val="0"/>
      <w:numFmt w:val="bullet"/>
      <w:lvlText w:val="•"/>
      <w:lvlJc w:val="left"/>
      <w:pPr>
        <w:ind w:left="609" w:hanging="423"/>
      </w:pPr>
      <w:rPr>
        <w:rFonts w:hint="default"/>
      </w:rPr>
    </w:lvl>
    <w:lvl w:ilvl="3">
      <w:start w:val="0"/>
      <w:numFmt w:val="bullet"/>
      <w:lvlText w:val="•"/>
      <w:lvlJc w:val="left"/>
      <w:pPr>
        <w:ind w:left="814" w:hanging="423"/>
      </w:pPr>
      <w:rPr>
        <w:rFonts w:hint="default"/>
      </w:rPr>
    </w:lvl>
    <w:lvl w:ilvl="4">
      <w:start w:val="0"/>
      <w:numFmt w:val="bullet"/>
      <w:lvlText w:val="•"/>
      <w:lvlJc w:val="left"/>
      <w:pPr>
        <w:ind w:left="1018" w:hanging="423"/>
      </w:pPr>
      <w:rPr>
        <w:rFonts w:hint="default"/>
      </w:rPr>
    </w:lvl>
    <w:lvl w:ilvl="5">
      <w:start w:val="0"/>
      <w:numFmt w:val="bullet"/>
      <w:lvlText w:val="•"/>
      <w:lvlJc w:val="left"/>
      <w:pPr>
        <w:ind w:left="1223" w:hanging="423"/>
      </w:pPr>
      <w:rPr>
        <w:rFonts w:hint="default"/>
      </w:rPr>
    </w:lvl>
    <w:lvl w:ilvl="6">
      <w:start w:val="0"/>
      <w:numFmt w:val="bullet"/>
      <w:lvlText w:val="•"/>
      <w:lvlJc w:val="left"/>
      <w:pPr>
        <w:ind w:left="1428" w:hanging="423"/>
      </w:pPr>
      <w:rPr>
        <w:rFonts w:hint="default"/>
      </w:rPr>
    </w:lvl>
    <w:lvl w:ilvl="7">
      <w:start w:val="0"/>
      <w:numFmt w:val="bullet"/>
      <w:lvlText w:val="•"/>
      <w:lvlJc w:val="left"/>
      <w:pPr>
        <w:ind w:left="1632" w:hanging="423"/>
      </w:pPr>
      <w:rPr>
        <w:rFonts w:hint="default"/>
      </w:rPr>
    </w:lvl>
    <w:lvl w:ilvl="8">
      <w:start w:val="0"/>
      <w:numFmt w:val="bullet"/>
      <w:lvlText w:val="•"/>
      <w:lvlJc w:val="left"/>
      <w:pPr>
        <w:ind w:left="1837" w:hanging="423"/>
      </w:pPr>
      <w:rPr>
        <w:rFonts w:hint="default"/>
      </w:rPr>
    </w:lvl>
  </w:abstractNum>
  <w:abstractNum w:abstractNumId="6">
    <w:multiLevelType w:val="hybridMultilevel"/>
    <w:lvl w:ilvl="0">
      <w:start w:val="10"/>
      <w:numFmt w:val="decimal"/>
      <w:lvlText w:val="%1"/>
      <w:lvlJc w:val="left"/>
      <w:pPr>
        <w:ind w:left="686" w:hanging="527"/>
        <w:jc w:val="left"/>
      </w:pPr>
      <w:rPr>
        <w:rFonts w:hint="default"/>
      </w:rPr>
    </w:lvl>
    <w:lvl w:ilvl="1">
      <w:start w:val="7"/>
      <w:numFmt w:val="decimal"/>
      <w:lvlText w:val="%1.%2"/>
      <w:lvlJc w:val="left"/>
      <w:pPr>
        <w:ind w:left="160" w:hanging="527"/>
        <w:jc w:val="left"/>
      </w:pPr>
      <w:rPr>
        <w:rFonts w:hint="default" w:ascii="宋体" w:hAnsi="宋体" w:eastAsia="宋体" w:cs="宋体"/>
        <w:w w:val="100"/>
        <w:sz w:val="21"/>
        <w:szCs w:val="21"/>
      </w:rPr>
    </w:lvl>
    <w:lvl w:ilvl="2">
      <w:start w:val="0"/>
      <w:numFmt w:val="bullet"/>
      <w:lvlText w:val="•"/>
      <w:lvlJc w:val="left"/>
      <w:pPr>
        <w:ind w:left="895" w:hanging="527"/>
      </w:pPr>
      <w:rPr>
        <w:rFonts w:hint="default"/>
      </w:rPr>
    </w:lvl>
    <w:lvl w:ilvl="3">
      <w:start w:val="0"/>
      <w:numFmt w:val="bullet"/>
      <w:lvlText w:val="•"/>
      <w:lvlJc w:val="left"/>
      <w:pPr>
        <w:ind w:left="1111" w:hanging="527"/>
      </w:pPr>
      <w:rPr>
        <w:rFonts w:hint="default"/>
      </w:rPr>
    </w:lvl>
    <w:lvl w:ilvl="4">
      <w:start w:val="0"/>
      <w:numFmt w:val="bullet"/>
      <w:lvlText w:val="•"/>
      <w:lvlJc w:val="left"/>
      <w:pPr>
        <w:ind w:left="1327" w:hanging="527"/>
      </w:pPr>
      <w:rPr>
        <w:rFonts w:hint="default"/>
      </w:rPr>
    </w:lvl>
    <w:lvl w:ilvl="5">
      <w:start w:val="0"/>
      <w:numFmt w:val="bullet"/>
      <w:lvlText w:val="•"/>
      <w:lvlJc w:val="left"/>
      <w:pPr>
        <w:ind w:left="1542" w:hanging="527"/>
      </w:pPr>
      <w:rPr>
        <w:rFonts w:hint="default"/>
      </w:rPr>
    </w:lvl>
    <w:lvl w:ilvl="6">
      <w:start w:val="0"/>
      <w:numFmt w:val="bullet"/>
      <w:lvlText w:val="•"/>
      <w:lvlJc w:val="left"/>
      <w:pPr>
        <w:ind w:left="1758" w:hanging="527"/>
      </w:pPr>
      <w:rPr>
        <w:rFonts w:hint="default"/>
      </w:rPr>
    </w:lvl>
    <w:lvl w:ilvl="7">
      <w:start w:val="0"/>
      <w:numFmt w:val="bullet"/>
      <w:lvlText w:val="•"/>
      <w:lvlJc w:val="left"/>
      <w:pPr>
        <w:ind w:left="1974" w:hanging="527"/>
      </w:pPr>
      <w:rPr>
        <w:rFonts w:hint="default"/>
      </w:rPr>
    </w:lvl>
    <w:lvl w:ilvl="8">
      <w:start w:val="0"/>
      <w:numFmt w:val="bullet"/>
      <w:lvlText w:val="•"/>
      <w:lvlJc w:val="left"/>
      <w:pPr>
        <w:ind w:left="2189" w:hanging="527"/>
      </w:pPr>
      <w:rPr>
        <w:rFonts w:hint="default"/>
      </w:rPr>
    </w:lvl>
  </w:abstractNum>
  <w:abstractNum w:abstractNumId="5">
    <w:multiLevelType w:val="hybridMultilevel"/>
    <w:lvl w:ilvl="0">
      <w:start w:val="9"/>
      <w:numFmt w:val="decimal"/>
      <w:lvlText w:val="%1"/>
      <w:lvlJc w:val="left"/>
      <w:pPr>
        <w:ind w:left="733" w:hanging="423"/>
        <w:jc w:val="left"/>
      </w:pPr>
      <w:rPr>
        <w:rFonts w:hint="default"/>
      </w:rPr>
    </w:lvl>
    <w:lvl w:ilvl="1">
      <w:start w:val="1"/>
      <w:numFmt w:val="decimal"/>
      <w:lvlText w:val="%1.%2"/>
      <w:lvlJc w:val="left"/>
      <w:pPr>
        <w:ind w:left="311" w:hanging="423"/>
        <w:jc w:val="left"/>
      </w:pPr>
      <w:rPr>
        <w:rFonts w:hint="default" w:ascii="宋体" w:hAnsi="宋体" w:eastAsia="宋体" w:cs="宋体"/>
        <w:w w:val="100"/>
        <w:sz w:val="21"/>
        <w:szCs w:val="21"/>
      </w:rPr>
    </w:lvl>
    <w:lvl w:ilvl="2">
      <w:start w:val="0"/>
      <w:numFmt w:val="bullet"/>
      <w:lvlText w:val="•"/>
      <w:lvlJc w:val="left"/>
      <w:pPr>
        <w:ind w:left="942" w:hanging="423"/>
      </w:pPr>
      <w:rPr>
        <w:rFonts w:hint="default"/>
      </w:rPr>
    </w:lvl>
    <w:lvl w:ilvl="3">
      <w:start w:val="0"/>
      <w:numFmt w:val="bullet"/>
      <w:lvlText w:val="•"/>
      <w:lvlJc w:val="left"/>
      <w:pPr>
        <w:ind w:left="1144" w:hanging="423"/>
      </w:pPr>
      <w:rPr>
        <w:rFonts w:hint="default"/>
      </w:rPr>
    </w:lvl>
    <w:lvl w:ilvl="4">
      <w:start w:val="0"/>
      <w:numFmt w:val="bullet"/>
      <w:lvlText w:val="•"/>
      <w:lvlJc w:val="left"/>
      <w:pPr>
        <w:ind w:left="1347" w:hanging="423"/>
      </w:pPr>
      <w:rPr>
        <w:rFonts w:hint="default"/>
      </w:rPr>
    </w:lvl>
    <w:lvl w:ilvl="5">
      <w:start w:val="0"/>
      <w:numFmt w:val="bullet"/>
      <w:lvlText w:val="•"/>
      <w:lvlJc w:val="left"/>
      <w:pPr>
        <w:ind w:left="1549" w:hanging="423"/>
      </w:pPr>
      <w:rPr>
        <w:rFonts w:hint="default"/>
      </w:rPr>
    </w:lvl>
    <w:lvl w:ilvl="6">
      <w:start w:val="0"/>
      <w:numFmt w:val="bullet"/>
      <w:lvlText w:val="•"/>
      <w:lvlJc w:val="left"/>
      <w:pPr>
        <w:ind w:left="1751" w:hanging="423"/>
      </w:pPr>
      <w:rPr>
        <w:rFonts w:hint="default"/>
      </w:rPr>
    </w:lvl>
    <w:lvl w:ilvl="7">
      <w:start w:val="0"/>
      <w:numFmt w:val="bullet"/>
      <w:lvlText w:val="•"/>
      <w:lvlJc w:val="left"/>
      <w:pPr>
        <w:ind w:left="1954" w:hanging="423"/>
      </w:pPr>
      <w:rPr>
        <w:rFonts w:hint="default"/>
      </w:rPr>
    </w:lvl>
    <w:lvl w:ilvl="8">
      <w:start w:val="0"/>
      <w:numFmt w:val="bullet"/>
      <w:lvlText w:val="•"/>
      <w:lvlJc w:val="left"/>
      <w:pPr>
        <w:ind w:left="2156" w:hanging="423"/>
      </w:pPr>
      <w:rPr>
        <w:rFonts w:hint="default"/>
      </w:rPr>
    </w:lvl>
  </w:abstractNum>
  <w:abstractNum w:abstractNumId="4">
    <w:multiLevelType w:val="hybridMultilevel"/>
    <w:lvl w:ilvl="0">
      <w:start w:val="8"/>
      <w:numFmt w:val="decimal"/>
      <w:lvlText w:val="%1"/>
      <w:lvlJc w:val="left"/>
      <w:pPr>
        <w:ind w:left="311" w:hanging="423"/>
        <w:jc w:val="left"/>
      </w:pPr>
      <w:rPr>
        <w:rFonts w:hint="default"/>
      </w:rPr>
    </w:lvl>
    <w:lvl w:ilvl="1">
      <w:start w:val="1"/>
      <w:numFmt w:val="decimal"/>
      <w:lvlText w:val="%1.%2"/>
      <w:lvlJc w:val="left"/>
      <w:pPr>
        <w:ind w:left="311" w:hanging="423"/>
        <w:jc w:val="left"/>
      </w:pPr>
      <w:rPr>
        <w:rFonts w:hint="default" w:ascii="宋体" w:hAnsi="宋体" w:eastAsia="宋体" w:cs="宋体"/>
        <w:w w:val="100"/>
        <w:sz w:val="21"/>
        <w:szCs w:val="21"/>
      </w:rPr>
    </w:lvl>
    <w:lvl w:ilvl="2">
      <w:start w:val="0"/>
      <w:numFmt w:val="bullet"/>
      <w:lvlText w:val="•"/>
      <w:lvlJc w:val="left"/>
      <w:pPr>
        <w:ind w:left="768" w:hanging="423"/>
      </w:pPr>
      <w:rPr>
        <w:rFonts w:hint="default"/>
      </w:rPr>
    </w:lvl>
    <w:lvl w:ilvl="3">
      <w:start w:val="0"/>
      <w:numFmt w:val="bullet"/>
      <w:lvlText w:val="•"/>
      <w:lvlJc w:val="left"/>
      <w:pPr>
        <w:ind w:left="992" w:hanging="423"/>
      </w:pPr>
      <w:rPr>
        <w:rFonts w:hint="default"/>
      </w:rPr>
    </w:lvl>
    <w:lvl w:ilvl="4">
      <w:start w:val="0"/>
      <w:numFmt w:val="bullet"/>
      <w:lvlText w:val="•"/>
      <w:lvlJc w:val="left"/>
      <w:pPr>
        <w:ind w:left="1216" w:hanging="423"/>
      </w:pPr>
      <w:rPr>
        <w:rFonts w:hint="default"/>
      </w:rPr>
    </w:lvl>
    <w:lvl w:ilvl="5">
      <w:start w:val="0"/>
      <w:numFmt w:val="bullet"/>
      <w:lvlText w:val="•"/>
      <w:lvlJc w:val="left"/>
      <w:pPr>
        <w:ind w:left="1440" w:hanging="423"/>
      </w:pPr>
      <w:rPr>
        <w:rFonts w:hint="default"/>
      </w:rPr>
    </w:lvl>
    <w:lvl w:ilvl="6">
      <w:start w:val="0"/>
      <w:numFmt w:val="bullet"/>
      <w:lvlText w:val="•"/>
      <w:lvlJc w:val="left"/>
      <w:pPr>
        <w:ind w:left="1664" w:hanging="423"/>
      </w:pPr>
      <w:rPr>
        <w:rFonts w:hint="default"/>
      </w:rPr>
    </w:lvl>
    <w:lvl w:ilvl="7">
      <w:start w:val="0"/>
      <w:numFmt w:val="bullet"/>
      <w:lvlText w:val="•"/>
      <w:lvlJc w:val="left"/>
      <w:pPr>
        <w:ind w:left="1888" w:hanging="423"/>
      </w:pPr>
      <w:rPr>
        <w:rFonts w:hint="default"/>
      </w:rPr>
    </w:lvl>
    <w:lvl w:ilvl="8">
      <w:start w:val="0"/>
      <w:numFmt w:val="bullet"/>
      <w:lvlText w:val="•"/>
      <w:lvlJc w:val="left"/>
      <w:pPr>
        <w:ind w:left="2112" w:hanging="423"/>
      </w:pPr>
      <w:rPr>
        <w:rFonts w:hint="default"/>
      </w:rPr>
    </w:lvl>
  </w:abstractNum>
  <w:abstractNum w:abstractNumId="3">
    <w:multiLevelType w:val="hybridMultilevel"/>
    <w:lvl w:ilvl="0">
      <w:start w:val="4"/>
      <w:numFmt w:val="decimal"/>
      <w:lvlText w:val="%1."/>
      <w:lvlJc w:val="left"/>
      <w:pPr>
        <w:ind w:left="467" w:hanging="318"/>
        <w:jc w:val="left"/>
      </w:pPr>
      <w:rPr>
        <w:rFonts w:hint="default" w:ascii="宋体" w:hAnsi="宋体" w:eastAsia="宋体" w:cs="宋体"/>
        <w:b/>
        <w:bCs/>
        <w:w w:val="99"/>
        <w:sz w:val="21"/>
        <w:szCs w:val="21"/>
      </w:rPr>
    </w:lvl>
    <w:lvl w:ilvl="1">
      <w:start w:val="1"/>
      <w:numFmt w:val="decimal"/>
      <w:lvlText w:val="%1.%2"/>
      <w:lvlJc w:val="left"/>
      <w:pPr>
        <w:ind w:left="676" w:hanging="421"/>
        <w:jc w:val="left"/>
      </w:pPr>
      <w:rPr>
        <w:rFonts w:hint="default" w:ascii="宋体" w:hAnsi="宋体" w:eastAsia="宋体" w:cs="宋体"/>
        <w:w w:val="100"/>
        <w:sz w:val="21"/>
        <w:szCs w:val="21"/>
      </w:rPr>
    </w:lvl>
    <w:lvl w:ilvl="2">
      <w:start w:val="0"/>
      <w:numFmt w:val="bullet"/>
      <w:lvlText w:val="•"/>
      <w:lvlJc w:val="left"/>
      <w:pPr>
        <w:ind w:left="680" w:hanging="421"/>
      </w:pPr>
      <w:rPr>
        <w:rFonts w:hint="default"/>
      </w:rPr>
    </w:lvl>
    <w:lvl w:ilvl="3">
      <w:start w:val="0"/>
      <w:numFmt w:val="bullet"/>
      <w:lvlText w:val="•"/>
      <w:lvlJc w:val="left"/>
      <w:pPr>
        <w:ind w:left="889" w:hanging="421"/>
      </w:pPr>
      <w:rPr>
        <w:rFonts w:hint="default"/>
      </w:rPr>
    </w:lvl>
    <w:lvl w:ilvl="4">
      <w:start w:val="0"/>
      <w:numFmt w:val="bullet"/>
      <w:lvlText w:val="•"/>
      <w:lvlJc w:val="left"/>
      <w:pPr>
        <w:ind w:left="1098" w:hanging="421"/>
      </w:pPr>
      <w:rPr>
        <w:rFonts w:hint="default"/>
      </w:rPr>
    </w:lvl>
    <w:lvl w:ilvl="5">
      <w:start w:val="0"/>
      <w:numFmt w:val="bullet"/>
      <w:lvlText w:val="•"/>
      <w:lvlJc w:val="left"/>
      <w:pPr>
        <w:ind w:left="1308" w:hanging="421"/>
      </w:pPr>
      <w:rPr>
        <w:rFonts w:hint="default"/>
      </w:rPr>
    </w:lvl>
    <w:lvl w:ilvl="6">
      <w:start w:val="0"/>
      <w:numFmt w:val="bullet"/>
      <w:lvlText w:val="•"/>
      <w:lvlJc w:val="left"/>
      <w:pPr>
        <w:ind w:left="1517" w:hanging="421"/>
      </w:pPr>
      <w:rPr>
        <w:rFonts w:hint="default"/>
      </w:rPr>
    </w:lvl>
    <w:lvl w:ilvl="7">
      <w:start w:val="0"/>
      <w:numFmt w:val="bullet"/>
      <w:lvlText w:val="•"/>
      <w:lvlJc w:val="left"/>
      <w:pPr>
        <w:ind w:left="1726" w:hanging="421"/>
      </w:pPr>
      <w:rPr>
        <w:rFonts w:hint="default"/>
      </w:rPr>
    </w:lvl>
    <w:lvl w:ilvl="8">
      <w:start w:val="0"/>
      <w:numFmt w:val="bullet"/>
      <w:lvlText w:val="•"/>
      <w:lvlJc w:val="left"/>
      <w:pPr>
        <w:ind w:left="1936" w:hanging="421"/>
      </w:pPr>
      <w:rPr>
        <w:rFonts w:hint="default"/>
      </w:rPr>
    </w:lvl>
  </w:abstractNum>
  <w:abstractNum w:abstractNumId="2">
    <w:multiLevelType w:val="hybridMultilevel"/>
    <w:lvl w:ilvl="0">
      <w:start w:val="3"/>
      <w:numFmt w:val="decimal"/>
      <w:lvlText w:val="%1"/>
      <w:lvlJc w:val="left"/>
      <w:pPr>
        <w:ind w:left="676" w:hanging="423"/>
        <w:jc w:val="left"/>
      </w:pPr>
      <w:rPr>
        <w:rFonts w:hint="default"/>
      </w:rPr>
    </w:lvl>
    <w:lvl w:ilvl="1">
      <w:start w:val="3"/>
      <w:numFmt w:val="decimal"/>
      <w:lvlText w:val="%1.%2"/>
      <w:lvlJc w:val="left"/>
      <w:pPr>
        <w:ind w:left="676" w:hanging="423"/>
        <w:jc w:val="left"/>
      </w:pPr>
      <w:rPr>
        <w:rFonts w:hint="default" w:ascii="宋体" w:hAnsi="宋体" w:eastAsia="宋体" w:cs="宋体"/>
        <w:w w:val="100"/>
        <w:sz w:val="21"/>
        <w:szCs w:val="21"/>
      </w:rPr>
    </w:lvl>
    <w:lvl w:ilvl="2">
      <w:start w:val="0"/>
      <w:numFmt w:val="bullet"/>
      <w:lvlText w:val="•"/>
      <w:lvlJc w:val="left"/>
      <w:pPr>
        <w:ind w:left="1015" w:hanging="423"/>
      </w:pPr>
      <w:rPr>
        <w:rFonts w:hint="default"/>
      </w:rPr>
    </w:lvl>
    <w:lvl w:ilvl="3">
      <w:start w:val="0"/>
      <w:numFmt w:val="bullet"/>
      <w:lvlText w:val="•"/>
      <w:lvlJc w:val="left"/>
      <w:pPr>
        <w:ind w:left="1182" w:hanging="423"/>
      </w:pPr>
      <w:rPr>
        <w:rFonts w:hint="default"/>
      </w:rPr>
    </w:lvl>
    <w:lvl w:ilvl="4">
      <w:start w:val="0"/>
      <w:numFmt w:val="bullet"/>
      <w:lvlText w:val="•"/>
      <w:lvlJc w:val="left"/>
      <w:pPr>
        <w:ind w:left="1350" w:hanging="423"/>
      </w:pPr>
      <w:rPr>
        <w:rFonts w:hint="default"/>
      </w:rPr>
    </w:lvl>
    <w:lvl w:ilvl="5">
      <w:start w:val="0"/>
      <w:numFmt w:val="bullet"/>
      <w:lvlText w:val="•"/>
      <w:lvlJc w:val="left"/>
      <w:pPr>
        <w:ind w:left="1517" w:hanging="423"/>
      </w:pPr>
      <w:rPr>
        <w:rFonts w:hint="default"/>
      </w:rPr>
    </w:lvl>
    <w:lvl w:ilvl="6">
      <w:start w:val="0"/>
      <w:numFmt w:val="bullet"/>
      <w:lvlText w:val="•"/>
      <w:lvlJc w:val="left"/>
      <w:pPr>
        <w:ind w:left="1685" w:hanging="423"/>
      </w:pPr>
      <w:rPr>
        <w:rFonts w:hint="default"/>
      </w:rPr>
    </w:lvl>
    <w:lvl w:ilvl="7">
      <w:start w:val="0"/>
      <w:numFmt w:val="bullet"/>
      <w:lvlText w:val="•"/>
      <w:lvlJc w:val="left"/>
      <w:pPr>
        <w:ind w:left="1852" w:hanging="423"/>
      </w:pPr>
      <w:rPr>
        <w:rFonts w:hint="default"/>
      </w:rPr>
    </w:lvl>
    <w:lvl w:ilvl="8">
      <w:start w:val="0"/>
      <w:numFmt w:val="bullet"/>
      <w:lvlText w:val="•"/>
      <w:lvlJc w:val="left"/>
      <w:pPr>
        <w:ind w:left="2020" w:hanging="423"/>
      </w:pPr>
      <w:rPr>
        <w:rFonts w:hint="default"/>
      </w:rPr>
    </w:lvl>
  </w:abstractNum>
  <w:abstractNum w:abstractNumId="1">
    <w:multiLevelType w:val="hybridMultilevel"/>
    <w:lvl w:ilvl="0">
      <w:start w:val="1"/>
      <w:numFmt w:val="decimal"/>
      <w:lvlText w:val="%1."/>
      <w:lvlJc w:val="left"/>
      <w:pPr>
        <w:ind w:left="516" w:hanging="317"/>
        <w:jc w:val="left"/>
      </w:pPr>
      <w:rPr>
        <w:rFonts w:hint="default" w:ascii="宋体" w:hAnsi="宋体" w:eastAsia="宋体" w:cs="宋体"/>
        <w:b/>
        <w:bCs/>
        <w:w w:val="99"/>
        <w:sz w:val="21"/>
        <w:szCs w:val="21"/>
      </w:rPr>
    </w:lvl>
    <w:lvl w:ilvl="1">
      <w:start w:val="1"/>
      <w:numFmt w:val="decimal"/>
      <w:lvlText w:val="%1.%2"/>
      <w:lvlJc w:val="left"/>
      <w:pPr>
        <w:ind w:left="725" w:hanging="420"/>
        <w:jc w:val="left"/>
      </w:pPr>
      <w:rPr>
        <w:rFonts w:hint="default" w:ascii="宋体" w:hAnsi="宋体" w:eastAsia="宋体" w:cs="宋体"/>
        <w:w w:val="100"/>
        <w:sz w:val="21"/>
        <w:szCs w:val="21"/>
      </w:rPr>
    </w:lvl>
    <w:lvl w:ilvl="2">
      <w:start w:val="0"/>
      <w:numFmt w:val="bullet"/>
      <w:lvlText w:val="•"/>
      <w:lvlJc w:val="left"/>
      <w:pPr>
        <w:ind w:left="720" w:hanging="420"/>
      </w:pPr>
      <w:rPr>
        <w:rFonts w:hint="default"/>
      </w:rPr>
    </w:lvl>
    <w:lvl w:ilvl="3">
      <w:start w:val="0"/>
      <w:numFmt w:val="bullet"/>
      <w:lvlText w:val="•"/>
      <w:lvlJc w:val="left"/>
      <w:pPr>
        <w:ind w:left="924" w:hanging="420"/>
      </w:pPr>
      <w:rPr>
        <w:rFonts w:hint="default"/>
      </w:rPr>
    </w:lvl>
    <w:lvl w:ilvl="4">
      <w:start w:val="0"/>
      <w:numFmt w:val="bullet"/>
      <w:lvlText w:val="•"/>
      <w:lvlJc w:val="left"/>
      <w:pPr>
        <w:ind w:left="1129" w:hanging="420"/>
      </w:pPr>
      <w:rPr>
        <w:rFonts w:hint="default"/>
      </w:rPr>
    </w:lvl>
    <w:lvl w:ilvl="5">
      <w:start w:val="0"/>
      <w:numFmt w:val="bullet"/>
      <w:lvlText w:val="•"/>
      <w:lvlJc w:val="left"/>
      <w:pPr>
        <w:ind w:left="1333" w:hanging="420"/>
      </w:pPr>
      <w:rPr>
        <w:rFonts w:hint="default"/>
      </w:rPr>
    </w:lvl>
    <w:lvl w:ilvl="6">
      <w:start w:val="0"/>
      <w:numFmt w:val="bullet"/>
      <w:lvlText w:val="•"/>
      <w:lvlJc w:val="left"/>
      <w:pPr>
        <w:ind w:left="1538" w:hanging="420"/>
      </w:pPr>
      <w:rPr>
        <w:rFonts w:hint="default"/>
      </w:rPr>
    </w:lvl>
    <w:lvl w:ilvl="7">
      <w:start w:val="0"/>
      <w:numFmt w:val="bullet"/>
      <w:lvlText w:val="•"/>
      <w:lvlJc w:val="left"/>
      <w:pPr>
        <w:ind w:left="1742" w:hanging="420"/>
      </w:pPr>
      <w:rPr>
        <w:rFonts w:hint="default"/>
      </w:rPr>
    </w:lvl>
    <w:lvl w:ilvl="8">
      <w:start w:val="0"/>
      <w:numFmt w:val="bullet"/>
      <w:lvlText w:val="•"/>
      <w:lvlJc w:val="left"/>
      <w:pPr>
        <w:ind w:left="1947" w:hanging="420"/>
      </w:pPr>
      <w:rPr>
        <w:rFonts w:hint="default"/>
      </w:rPr>
    </w:lvl>
  </w:abstractNum>
  <w:abstractNum w:abstractNumId="0">
    <w:multiLevelType w:val="hybridMultilevel"/>
    <w:lvl w:ilvl="0">
      <w:start w:val="0"/>
      <w:numFmt w:val="bullet"/>
      <w:lvlText w:val=""/>
      <w:lvlJc w:val="left"/>
      <w:pPr>
        <w:ind w:left="1282" w:hanging="399"/>
      </w:pPr>
      <w:rPr>
        <w:rFonts w:hint="default" w:ascii="Wingdings" w:hAnsi="Wingdings" w:eastAsia="Wingdings" w:cs="Wingdings"/>
        <w:w w:val="100"/>
        <w:sz w:val="21"/>
        <w:szCs w:val="21"/>
      </w:rPr>
    </w:lvl>
    <w:lvl w:ilvl="1">
      <w:start w:val="0"/>
      <w:numFmt w:val="bullet"/>
      <w:lvlText w:val="•"/>
      <w:lvlJc w:val="left"/>
      <w:pPr>
        <w:ind w:left="2178" w:hanging="399"/>
      </w:pPr>
      <w:rPr>
        <w:rFonts w:hint="default"/>
      </w:rPr>
    </w:lvl>
    <w:lvl w:ilvl="2">
      <w:start w:val="0"/>
      <w:numFmt w:val="bullet"/>
      <w:lvlText w:val="•"/>
      <w:lvlJc w:val="left"/>
      <w:pPr>
        <w:ind w:left="3077" w:hanging="399"/>
      </w:pPr>
      <w:rPr>
        <w:rFonts w:hint="default"/>
      </w:rPr>
    </w:lvl>
    <w:lvl w:ilvl="3">
      <w:start w:val="0"/>
      <w:numFmt w:val="bullet"/>
      <w:lvlText w:val="•"/>
      <w:lvlJc w:val="left"/>
      <w:pPr>
        <w:ind w:left="3975" w:hanging="399"/>
      </w:pPr>
      <w:rPr>
        <w:rFonts w:hint="default"/>
      </w:rPr>
    </w:lvl>
    <w:lvl w:ilvl="4">
      <w:start w:val="0"/>
      <w:numFmt w:val="bullet"/>
      <w:lvlText w:val="•"/>
      <w:lvlJc w:val="left"/>
      <w:pPr>
        <w:ind w:left="4874" w:hanging="399"/>
      </w:pPr>
      <w:rPr>
        <w:rFonts w:hint="default"/>
      </w:rPr>
    </w:lvl>
    <w:lvl w:ilvl="5">
      <w:start w:val="0"/>
      <w:numFmt w:val="bullet"/>
      <w:lvlText w:val="•"/>
      <w:lvlJc w:val="left"/>
      <w:pPr>
        <w:ind w:left="5773" w:hanging="399"/>
      </w:pPr>
      <w:rPr>
        <w:rFonts w:hint="default"/>
      </w:rPr>
    </w:lvl>
    <w:lvl w:ilvl="6">
      <w:start w:val="0"/>
      <w:numFmt w:val="bullet"/>
      <w:lvlText w:val="•"/>
      <w:lvlJc w:val="left"/>
      <w:pPr>
        <w:ind w:left="6671" w:hanging="399"/>
      </w:pPr>
      <w:rPr>
        <w:rFonts w:hint="default"/>
      </w:rPr>
    </w:lvl>
    <w:lvl w:ilvl="7">
      <w:start w:val="0"/>
      <w:numFmt w:val="bullet"/>
      <w:lvlText w:val="•"/>
      <w:lvlJc w:val="left"/>
      <w:pPr>
        <w:ind w:left="7570" w:hanging="399"/>
      </w:pPr>
      <w:rPr>
        <w:rFonts w:hint="default"/>
      </w:rPr>
    </w:lvl>
    <w:lvl w:ilvl="8">
      <w:start w:val="0"/>
      <w:numFmt w:val="bullet"/>
      <w:lvlText w:val="•"/>
      <w:lvlJc w:val="left"/>
      <w:pPr>
        <w:ind w:left="8469" w:hanging="399"/>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697"/>
      <w:outlineLvl w:val="1"/>
    </w:pPr>
    <w:rPr>
      <w:rFonts w:ascii="微软雅黑" w:hAnsi="微软雅黑" w:eastAsia="微软雅黑" w:cs="微软雅黑"/>
      <w:b/>
      <w:bCs/>
      <w:sz w:val="32"/>
      <w:szCs w:val="32"/>
    </w:rPr>
  </w:style>
  <w:style w:styleId="Heading2" w:type="paragraph">
    <w:name w:val="Heading 2"/>
    <w:basedOn w:val="Normal"/>
    <w:uiPriority w:val="1"/>
    <w:qFormat/>
    <w:pPr>
      <w:ind w:left="2223"/>
      <w:outlineLvl w:val="2"/>
    </w:pPr>
    <w:rPr>
      <w:rFonts w:ascii="宋体" w:hAnsi="宋体" w:eastAsia="宋体" w:cs="宋体"/>
      <w:b/>
      <w:bCs/>
      <w:sz w:val="21"/>
      <w:szCs w:val="21"/>
    </w:rPr>
  </w:style>
  <w:style w:styleId="ListParagraph" w:type="paragraph">
    <w:name w:val="List Paragraph"/>
    <w:basedOn w:val="Normal"/>
    <w:uiPriority w:val="1"/>
    <w:qFormat/>
    <w:pPr>
      <w:ind w:left="2254" w:hanging="454"/>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白志华</dc:creator>
  <dc:title>个人终身寿险（万能型）条款</dc:title>
  <dcterms:created xsi:type="dcterms:W3CDTF">2018-10-20T01:31:03Z</dcterms:created>
  <dcterms:modified xsi:type="dcterms:W3CDTF">2018-10-20T01:31:03Z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2014-10-08T00:00:00Z</vt:filetime>
  </property>
  <property fmtid="{D5CDD505-2E9C-101B-9397-08002B2CF9AE}" pid="3" name="Creator">
    <vt:lpwstr>Microsoft® Office Word 2007</vt:lpwstr>
  </property>
  <property fmtid="{D5CDD505-2E9C-101B-9397-08002B2CF9AE}" pid="4" name="LastSaved">
    <vt:filetime>2018-10-19T00:00:00Z</vt:filetime>
  </property>
</Properties>
</file>