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648" w:firstLine="0"/>
        <w:jc w:val="right"/>
        <w:rPr>
          <w:sz w:val="16"/>
        </w:rPr>
      </w:pPr>
      <w:r>
        <w:rPr/>
        <w:drawing>
          <wp:anchor distT="0" distB="0" distL="0" distR="0" allowOverlap="1" layoutInCell="1" locked="0" behindDoc="0" simplePos="0" relativeHeight="1048">
            <wp:simplePos x="0" y="0"/>
            <wp:positionH relativeFrom="page">
              <wp:posOffset>5590856</wp:posOffset>
            </wp:positionH>
            <wp:positionV relativeFrom="paragraph">
              <wp:posOffset>185276</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平安人寿[2015]疾病保险 005 号</w:t>
      </w:r>
    </w:p>
    <w:p>
      <w:pPr>
        <w:pStyle w:val="BodyText"/>
        <w:rPr>
          <w:sz w:val="20"/>
        </w:rPr>
      </w:pPr>
    </w:p>
    <w:p>
      <w:pPr>
        <w:pStyle w:val="BodyText"/>
        <w:rPr>
          <w:sz w:val="20"/>
        </w:rPr>
      </w:pPr>
    </w:p>
    <w:p>
      <w:pPr>
        <w:pStyle w:val="BodyText"/>
        <w:spacing w:before="12"/>
        <w:rPr>
          <w:sz w:val="29"/>
        </w:rPr>
      </w:pPr>
    </w:p>
    <w:p>
      <w:pPr>
        <w:spacing w:after="0"/>
        <w:rPr>
          <w:sz w:val="29"/>
        </w:rPr>
        <w:sectPr>
          <w:type w:val="continuous"/>
          <w:pgSz w:w="11910" w:h="16840"/>
          <w:pgMar w:top="580" w:bottom="280" w:left="940" w:right="780"/>
        </w:sectPr>
      </w:pPr>
    </w:p>
    <w:p>
      <w:pPr>
        <w:pStyle w:val="Heading1"/>
        <w:jc w:val="right"/>
      </w:pPr>
      <w:r>
        <w:rPr/>
        <w:t>阅  读  指 引</w:t>
      </w:r>
    </w:p>
    <w:p>
      <w:pPr>
        <w:pStyle w:val="BodyText"/>
        <w:spacing w:before="11"/>
        <w:rPr>
          <w:rFonts w:ascii="微软雅黑"/>
          <w:b/>
          <w:sz w:val="18"/>
        </w:rPr>
      </w:pPr>
      <w:r>
        <w:rPr/>
        <w:br w:type="column"/>
      </w:r>
      <w:r>
        <w:rPr>
          <w:rFonts w:ascii="微软雅黑"/>
          <w:b/>
          <w:sz w:val="18"/>
        </w:rPr>
      </w:r>
    </w:p>
    <w:p>
      <w:pPr>
        <w:spacing w:before="0"/>
        <w:ind w:left="1672" w:right="0" w:firstLine="0"/>
        <w:jc w:val="left"/>
        <w:rPr>
          <w:sz w:val="16"/>
        </w:rPr>
      </w:pPr>
      <w:r>
        <w:rPr>
          <w:w w:val="95"/>
          <w:sz w:val="16"/>
        </w:rPr>
        <w:t>请扫描以查询验证条款</w:t>
      </w:r>
    </w:p>
    <w:p>
      <w:pPr>
        <w:spacing w:after="0"/>
        <w:jc w:val="left"/>
        <w:rPr>
          <w:sz w:val="16"/>
        </w:rPr>
        <w:sectPr>
          <w:type w:val="continuous"/>
          <w:pgSz w:w="11910" w:h="16840"/>
          <w:pgMar w:top="580" w:bottom="280" w:left="940" w:right="780"/>
          <w:cols w:num="2" w:equalWidth="0">
            <w:col w:w="5895" w:space="40"/>
            <w:col w:w="4255"/>
          </w:cols>
        </w:sectPr>
      </w:pPr>
    </w:p>
    <w:p>
      <w:pPr>
        <w:pStyle w:val="Heading4"/>
        <w:spacing w:line="499" w:lineRule="exact" w:before="104"/>
      </w:pPr>
      <w:r>
        <w:rPr/>
        <w:pict>
          <v:group style="position:absolute;margin-left:52.439999pt;margin-top:4.567696pt;width:498.75pt;height:666.15pt;mso-position-horizontal-relative:page;mso-position-vertical-relative:paragraph;z-index:-35992" coordorigin="1049,91" coordsize="9975,13323">
            <v:shape style="position:absolute;left:5501;top:6005;width:95;height:165" type="#_x0000_t75" stroked="false">
              <v:imagedata r:id="rId6" o:title=""/>
            </v:shape>
            <v:shape style="position:absolute;left:1048;top:91;width:9975;height:13323" type="#_x0000_t75" stroked="false">
              <v:imagedata r:id="rId7" o:title=""/>
            </v:shape>
            <w10:wrap type="none"/>
          </v:group>
        </w:pict>
      </w:r>
      <w:r>
        <w:rPr>
          <w:rFonts w:ascii="Arial" w:hAnsi="Arial" w:eastAsia="Arial"/>
          <w:w w:val="105"/>
          <w:position w:val="-11"/>
          <w:sz w:val="52"/>
        </w:rPr>
        <w:t></w:t>
      </w:r>
      <w:r>
        <w:rPr/>
        <w:t>平安附加平安福提前给付重大疾病保险（2015）产品提供重疾及特定轻度重疾保障</w:t>
      </w:r>
    </w:p>
    <w:p>
      <w:pPr>
        <w:spacing w:line="42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为了帮助您更好地了解产品，我们先介绍几个保险条款中常用的术语</w:t>
      </w:r>
    </w:p>
    <w:p>
      <w:pPr>
        <w:spacing w:line="295" w:lineRule="exact" w:before="0"/>
        <w:ind w:left="771" w:right="0" w:firstLine="0"/>
        <w:jc w:val="both"/>
        <w:rPr>
          <w:sz w:val="21"/>
        </w:rPr>
      </w:pPr>
      <w:r>
        <w:rPr>
          <w:rFonts w:ascii="Microsoft JhengHei" w:eastAsia="Microsoft JhengHei" w:hint="eastAsia"/>
          <w:b/>
          <w:sz w:val="21"/>
        </w:rPr>
        <w:t>被保险人</w:t>
      </w:r>
      <w:r>
        <w:rPr>
          <w:sz w:val="21"/>
        </w:rPr>
        <w:t>就是受合同保障的人。</w:t>
      </w:r>
    </w:p>
    <w:p>
      <w:pPr>
        <w:pStyle w:val="BodyText"/>
        <w:spacing w:before="33"/>
        <w:ind w:left="771"/>
        <w:jc w:val="both"/>
      </w:pPr>
      <w:r>
        <w:rPr>
          <w:rFonts w:ascii="Microsoft JhengHei" w:eastAsia="Microsoft JhengHei" w:hint="eastAsia"/>
          <w:b/>
        </w:rPr>
        <w:t>投保人</w:t>
      </w:r>
      <w:r>
        <w:rPr/>
        <w:t>就是购买保险并交纳保险费的人。</w:t>
      </w:r>
    </w:p>
    <w:p>
      <w:pPr>
        <w:pStyle w:val="BodyText"/>
        <w:spacing w:line="264" w:lineRule="auto" w:before="33"/>
        <w:ind w:left="771" w:right="5210"/>
      </w:pPr>
      <w:r>
        <w:rPr>
          <w:rFonts w:ascii="Microsoft JhengHei" w:eastAsia="Microsoft JhengHei" w:hint="eastAsia"/>
          <w:b/>
        </w:rPr>
        <w:t>受益人</w:t>
      </w:r>
      <w:r>
        <w:rPr/>
        <w:t>就是发生保险事故后领取保险金的人。</w:t>
      </w:r>
      <w:r>
        <w:rPr>
          <w:rFonts w:ascii="Microsoft JhengHei" w:eastAsia="Microsoft JhengHei" w:hint="eastAsia"/>
          <w:b/>
        </w:rPr>
        <w:t>保险人</w:t>
      </w:r>
      <w:r>
        <w:rPr/>
        <w:t>就是保险公司。</w:t>
      </w:r>
    </w:p>
    <w:p>
      <w:pPr>
        <w:pStyle w:val="Heading4"/>
        <w:spacing w:line="466" w:lineRule="exact"/>
      </w:pPr>
      <w:r>
        <w:rPr>
          <w:rFonts w:ascii="Arial" w:hAnsi="Arial" w:eastAsia="Arial"/>
          <w:position w:val="-11"/>
          <w:sz w:val="52"/>
        </w:rPr>
        <w:t></w:t>
      </w:r>
      <w:r>
        <w:rPr/>
        <w:t>下面我们举例说明本保险产品提供哪些保障</w:t>
      </w:r>
    </w:p>
    <w:p>
      <w:pPr>
        <w:pStyle w:val="BodyText"/>
        <w:spacing w:line="192" w:lineRule="exact"/>
        <w:ind w:left="771"/>
      </w:pPr>
      <w:r>
        <w:rPr>
          <w:spacing w:val="-7"/>
        </w:rPr>
        <w:t>例子：王先生为其妻子李女士</w:t>
      </w:r>
      <w:r>
        <w:rPr>
          <w:spacing w:val="0"/>
        </w:rPr>
        <w:t>（</w:t>
      </w:r>
      <w:r>
        <w:rPr>
          <w:spacing w:val="-1"/>
        </w:rPr>
        <w:t>3</w:t>
      </w:r>
      <w:r>
        <w:rPr/>
        <w:t>0</w:t>
      </w:r>
      <w:r>
        <w:rPr>
          <w:spacing w:val="-27"/>
        </w:rPr>
        <w:t> 岁</w:t>
      </w:r>
      <w:r>
        <w:rPr>
          <w:spacing w:val="-25"/>
        </w:rPr>
        <w:t>）</w:t>
      </w:r>
      <w:r>
        <w:rPr>
          <w:spacing w:val="-2"/>
        </w:rPr>
        <w:t>投保平安附加平安福提前给付重大疾病保险</w:t>
      </w:r>
      <w:r>
        <w:rPr>
          <w:spacing w:val="0"/>
        </w:rPr>
        <w:t>（</w:t>
      </w:r>
      <w:r>
        <w:rPr>
          <w:spacing w:val="-1"/>
        </w:rPr>
        <w:t>2</w:t>
      </w:r>
      <w:r>
        <w:rPr/>
        <w:t>0</w:t>
      </w:r>
      <w:r>
        <w:rPr>
          <w:spacing w:val="-1"/>
        </w:rPr>
        <w:t>15</w:t>
      </w:r>
      <w:r>
        <w:rPr>
          <w:spacing w:val="-129"/>
        </w:rPr>
        <w:t>）</w:t>
      </w:r>
      <w:r>
        <w:rPr/>
        <w:t>（简</w:t>
      </w:r>
    </w:p>
    <w:p>
      <w:pPr>
        <w:pStyle w:val="BodyText"/>
        <w:spacing w:before="36"/>
        <w:ind w:left="771"/>
      </w:pPr>
      <w:r>
        <w:rPr>
          <w:spacing w:val="-8"/>
        </w:rPr>
        <w:t>称平安福重疾 </w:t>
      </w:r>
      <w:r>
        <w:rPr/>
        <w:t>1</w:t>
      </w:r>
      <w:r>
        <w:rPr>
          <w:spacing w:val="-1"/>
        </w:rPr>
        <w:t>5</w:t>
      </w:r>
      <w:r>
        <w:rPr>
          <w:spacing w:val="-105"/>
        </w:rPr>
        <w:t>）</w:t>
      </w:r>
      <w:r>
        <w:rPr>
          <w:spacing w:val="-10"/>
        </w:rPr>
        <w:t>，基本保险金额 </w:t>
      </w:r>
      <w:r>
        <w:rPr>
          <w:spacing w:val="-1"/>
        </w:rPr>
        <w:t>3</w:t>
      </w:r>
      <w:r>
        <w:rPr/>
        <w:t>0</w:t>
      </w:r>
      <w:r>
        <w:rPr>
          <w:spacing w:val="-8"/>
        </w:rPr>
        <w:t> 万元，受益人为李女士，另外还投保平安平安福终身寿险</w:t>
      </w:r>
    </w:p>
    <w:p>
      <w:pPr>
        <w:pStyle w:val="BodyText"/>
        <w:spacing w:line="273" w:lineRule="auto" w:before="36"/>
        <w:ind w:left="770" w:right="764"/>
        <w:jc w:val="both"/>
      </w:pPr>
      <w:r>
        <w:rPr/>
        <w:t>（简称平安福</w:t>
      </w:r>
      <w:r>
        <w:rPr>
          <w:spacing w:val="-4"/>
        </w:rPr>
        <w:t>）</w:t>
      </w:r>
      <w:r>
        <w:rPr>
          <w:spacing w:val="-1"/>
        </w:rPr>
        <w:t>及平安附加长期意外伤害保险</w:t>
      </w:r>
      <w:r>
        <w:rPr>
          <w:spacing w:val="0"/>
        </w:rPr>
        <w:t>（</w:t>
      </w:r>
      <w:r>
        <w:rPr>
          <w:spacing w:val="-1"/>
        </w:rPr>
        <w:t>2</w:t>
      </w:r>
      <w:r>
        <w:rPr/>
        <w:t>0</w:t>
      </w:r>
      <w:r>
        <w:rPr>
          <w:spacing w:val="-1"/>
        </w:rPr>
        <w:t>13</w:t>
      </w:r>
      <w:r>
        <w:rPr>
          <w:spacing w:val="-109"/>
        </w:rPr>
        <w:t>）</w:t>
      </w:r>
      <w:r>
        <w:rPr/>
        <w:t>（</w:t>
      </w:r>
      <w:r>
        <w:rPr>
          <w:spacing w:val="-8"/>
        </w:rPr>
        <w:t>简称长期意外 </w:t>
      </w:r>
      <w:r>
        <w:rPr>
          <w:spacing w:val="-1"/>
        </w:rPr>
        <w:t>13</w:t>
      </w:r>
      <w:r>
        <w:rPr>
          <w:spacing w:val="-105"/>
        </w:rPr>
        <w:t>）</w:t>
      </w:r>
      <w:r>
        <w:rPr>
          <w:spacing w:val="-2"/>
        </w:rPr>
        <w:t>，平安福基本保险金</w:t>
      </w:r>
      <w:r>
        <w:rPr>
          <w:spacing w:val="-28"/>
        </w:rPr>
        <w:t>额 </w:t>
      </w:r>
      <w:r>
        <w:rPr/>
        <w:t>30</w:t>
      </w:r>
      <w:r>
        <w:rPr>
          <w:spacing w:val="-16"/>
        </w:rPr>
        <w:t> 万元，长期意外 </w:t>
      </w:r>
      <w:r>
        <w:rPr/>
        <w:t>13</w:t>
      </w:r>
      <w:r>
        <w:rPr>
          <w:spacing w:val="-15"/>
        </w:rPr>
        <w:t> 基本保险金额 </w:t>
      </w:r>
      <w:r>
        <w:rPr/>
        <w:t>50</w:t>
      </w:r>
      <w:r>
        <w:rPr>
          <w:spacing w:val="-10"/>
        </w:rPr>
        <w:t> 万元。李女士在保险期间内患轻度重疾原位癌，赔付后，又发生合同约定的重大疾病。</w:t>
      </w:r>
    </w:p>
    <w:p>
      <w:pPr>
        <w:pStyle w:val="BodyText"/>
        <w:spacing w:before="7" w:after="52"/>
        <w:ind w:left="770"/>
        <w:jc w:val="both"/>
      </w:pPr>
      <w:r>
        <w:rPr/>
        <w:t>本例中王先生为投保人，李女士为被保险人及受益人，平安人寿为保险人。</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5"/>
        <w:gridCol w:w="1335"/>
        <w:gridCol w:w="1928"/>
        <w:gridCol w:w="3993"/>
      </w:tblGrid>
      <w:tr>
        <w:trPr>
          <w:trHeight w:val="468" w:hRule="atLeast"/>
        </w:trPr>
        <w:tc>
          <w:tcPr>
            <w:tcW w:w="1475" w:type="dxa"/>
          </w:tcPr>
          <w:p>
            <w:pPr>
              <w:pStyle w:val="TableParagraph"/>
              <w:spacing w:line="363" w:lineRule="exact"/>
              <w:ind w:left="420"/>
              <w:rPr>
                <w:rFonts w:ascii="Microsoft JhengHei" w:eastAsia="Microsoft JhengHei" w:hint="eastAsia"/>
                <w:b/>
                <w:sz w:val="21"/>
              </w:rPr>
            </w:pPr>
            <w:r>
              <w:rPr>
                <w:rFonts w:ascii="Microsoft JhengHei" w:eastAsia="Microsoft JhengHei" w:hint="eastAsia"/>
                <w:b/>
                <w:sz w:val="21"/>
              </w:rPr>
              <w:t>保险金</w:t>
            </w:r>
          </w:p>
        </w:tc>
        <w:tc>
          <w:tcPr>
            <w:tcW w:w="1335" w:type="dxa"/>
          </w:tcPr>
          <w:p>
            <w:pPr>
              <w:pStyle w:val="TableParagraph"/>
              <w:spacing w:line="363" w:lineRule="exact"/>
              <w:ind w:left="122" w:right="113"/>
              <w:jc w:val="center"/>
              <w:rPr>
                <w:rFonts w:ascii="Microsoft JhengHei" w:eastAsia="Microsoft JhengHei" w:hint="eastAsia"/>
                <w:b/>
                <w:sz w:val="21"/>
              </w:rPr>
            </w:pPr>
            <w:r>
              <w:rPr>
                <w:rFonts w:ascii="Microsoft JhengHei" w:eastAsia="Microsoft JhengHei" w:hint="eastAsia"/>
                <w:b/>
                <w:sz w:val="21"/>
              </w:rPr>
              <w:t>领取人</w:t>
            </w:r>
          </w:p>
        </w:tc>
        <w:tc>
          <w:tcPr>
            <w:tcW w:w="1928" w:type="dxa"/>
          </w:tcPr>
          <w:p>
            <w:pPr>
              <w:pStyle w:val="TableParagraph"/>
              <w:spacing w:line="363" w:lineRule="exact"/>
              <w:ind w:left="50" w:right="43"/>
              <w:jc w:val="center"/>
              <w:rPr>
                <w:rFonts w:ascii="Microsoft JhengHei" w:eastAsia="Microsoft JhengHei" w:hint="eastAsia"/>
                <w:b/>
                <w:sz w:val="21"/>
              </w:rPr>
            </w:pPr>
            <w:r>
              <w:rPr>
                <w:rFonts w:ascii="Microsoft JhengHei" w:eastAsia="Microsoft JhengHei" w:hint="eastAsia"/>
                <w:b/>
                <w:sz w:val="21"/>
              </w:rPr>
              <w:t>给付金额</w:t>
            </w:r>
          </w:p>
        </w:tc>
        <w:tc>
          <w:tcPr>
            <w:tcW w:w="3993" w:type="dxa"/>
          </w:tcPr>
          <w:p>
            <w:pPr>
              <w:pStyle w:val="TableParagraph"/>
              <w:spacing w:line="363" w:lineRule="exact"/>
              <w:ind w:left="1555" w:right="1548"/>
              <w:jc w:val="center"/>
              <w:rPr>
                <w:rFonts w:ascii="Microsoft JhengHei" w:eastAsia="Microsoft JhengHei" w:hint="eastAsia"/>
                <w:b/>
                <w:sz w:val="21"/>
              </w:rPr>
            </w:pPr>
            <w:r>
              <w:rPr>
                <w:rFonts w:ascii="Microsoft JhengHei" w:eastAsia="Microsoft JhengHei" w:hint="eastAsia"/>
                <w:b/>
                <w:sz w:val="21"/>
              </w:rPr>
              <w:t>领取条件</w:t>
            </w:r>
          </w:p>
        </w:tc>
      </w:tr>
      <w:tr>
        <w:trPr>
          <w:trHeight w:val="1559" w:hRule="atLeast"/>
        </w:trPr>
        <w:tc>
          <w:tcPr>
            <w:tcW w:w="1475" w:type="dxa"/>
          </w:tcPr>
          <w:p>
            <w:pPr>
              <w:pStyle w:val="TableParagraph"/>
              <w:ind w:left="0"/>
              <w:rPr>
                <w:sz w:val="20"/>
              </w:rPr>
            </w:pPr>
          </w:p>
          <w:p>
            <w:pPr>
              <w:pStyle w:val="TableParagraph"/>
              <w:spacing w:before="3"/>
              <w:ind w:left="0"/>
              <w:rPr>
                <w:sz w:val="16"/>
              </w:rPr>
            </w:pPr>
          </w:p>
          <w:p>
            <w:pPr>
              <w:pStyle w:val="TableParagraph"/>
              <w:spacing w:line="237" w:lineRule="auto"/>
              <w:ind w:left="107" w:right="44"/>
              <w:rPr>
                <w:sz w:val="21"/>
              </w:rPr>
            </w:pPr>
            <w:r>
              <w:rPr>
                <w:sz w:val="21"/>
              </w:rPr>
              <w:t>特 定 轻度重疾保险金</w:t>
            </w:r>
          </w:p>
        </w:tc>
        <w:tc>
          <w:tcPr>
            <w:tcW w:w="1335" w:type="dxa"/>
          </w:tcPr>
          <w:p>
            <w:pPr>
              <w:pStyle w:val="TableParagraph"/>
              <w:ind w:left="0"/>
              <w:rPr>
                <w:sz w:val="20"/>
              </w:rPr>
            </w:pPr>
          </w:p>
          <w:p>
            <w:pPr>
              <w:pStyle w:val="TableParagraph"/>
              <w:spacing w:before="6"/>
              <w:ind w:left="0"/>
              <w:rPr>
                <w:sz w:val="26"/>
              </w:rPr>
            </w:pPr>
          </w:p>
          <w:p>
            <w:pPr>
              <w:pStyle w:val="TableParagraph"/>
              <w:spacing w:before="1"/>
              <w:ind w:left="122" w:right="113"/>
              <w:jc w:val="center"/>
              <w:rPr>
                <w:sz w:val="21"/>
              </w:rPr>
            </w:pPr>
            <w:r>
              <w:rPr>
                <w:sz w:val="21"/>
              </w:rPr>
              <w:t>妻子李女士</w:t>
            </w:r>
          </w:p>
        </w:tc>
        <w:tc>
          <w:tcPr>
            <w:tcW w:w="1928" w:type="dxa"/>
          </w:tcPr>
          <w:p>
            <w:pPr>
              <w:pStyle w:val="TableParagraph"/>
              <w:ind w:left="0"/>
              <w:rPr>
                <w:sz w:val="20"/>
              </w:rPr>
            </w:pPr>
          </w:p>
          <w:p>
            <w:pPr>
              <w:pStyle w:val="TableParagraph"/>
              <w:spacing w:before="6"/>
              <w:ind w:left="0"/>
              <w:rPr>
                <w:sz w:val="26"/>
              </w:rPr>
            </w:pPr>
          </w:p>
          <w:p>
            <w:pPr>
              <w:pStyle w:val="TableParagraph"/>
              <w:spacing w:before="1"/>
              <w:ind w:left="50" w:right="43"/>
              <w:jc w:val="center"/>
              <w:rPr>
                <w:sz w:val="21"/>
              </w:rPr>
            </w:pPr>
            <w:r>
              <w:rPr>
                <w:sz w:val="21"/>
              </w:rPr>
              <w:t>30 万×20 =6 万元</w:t>
            </w:r>
          </w:p>
        </w:tc>
        <w:tc>
          <w:tcPr>
            <w:tcW w:w="3993" w:type="dxa"/>
          </w:tcPr>
          <w:p>
            <w:pPr>
              <w:pStyle w:val="TableParagraph"/>
              <w:spacing w:line="260" w:lineRule="exact"/>
              <w:ind w:left="106"/>
              <w:rPr>
                <w:sz w:val="21"/>
              </w:rPr>
            </w:pPr>
            <w:r>
              <w:rPr>
                <w:sz w:val="21"/>
              </w:rPr>
              <w:t>等待期后被保险人经医院确诊初次发生</w:t>
            </w:r>
          </w:p>
          <w:p>
            <w:pPr>
              <w:pStyle w:val="TableParagraph"/>
              <w:spacing w:line="273" w:lineRule="auto" w:before="37"/>
              <w:ind w:left="106" w:right="57"/>
              <w:rPr>
                <w:sz w:val="21"/>
              </w:rPr>
            </w:pPr>
            <w:r>
              <w:rPr>
                <w:sz w:val="21"/>
              </w:rPr>
              <w:t>受保障的特定轻度重疾且确诊 28 日后仍生存。</w:t>
            </w:r>
          </w:p>
          <w:p>
            <w:pPr>
              <w:pStyle w:val="TableParagraph"/>
              <w:spacing w:line="273" w:lineRule="auto" w:before="7"/>
              <w:ind w:left="106" w:right="83"/>
              <w:rPr>
                <w:sz w:val="21"/>
              </w:rPr>
            </w:pPr>
            <w:r>
              <w:rPr>
                <w:sz w:val="21"/>
              </w:rPr>
              <w:t>我们提供保障的特定轻度重疾包括早期恶性病变、原位癌等共 8 种。</w:t>
            </w:r>
          </w:p>
        </w:tc>
      </w:tr>
      <w:tr>
        <w:trPr>
          <w:trHeight w:val="1247" w:hRule="atLeast"/>
        </w:trPr>
        <w:tc>
          <w:tcPr>
            <w:tcW w:w="1475" w:type="dxa"/>
          </w:tcPr>
          <w:p>
            <w:pPr>
              <w:pStyle w:val="TableParagraph"/>
              <w:spacing w:before="9"/>
              <w:ind w:left="0"/>
              <w:rPr>
                <w:sz w:val="22"/>
              </w:rPr>
            </w:pPr>
          </w:p>
          <w:p>
            <w:pPr>
              <w:pStyle w:val="TableParagraph"/>
              <w:spacing w:line="273" w:lineRule="auto"/>
              <w:ind w:left="107" w:right="44"/>
              <w:rPr>
                <w:sz w:val="21"/>
              </w:rPr>
            </w:pPr>
            <w:r>
              <w:rPr>
                <w:sz w:val="21"/>
              </w:rPr>
              <w:t>重 大 疾病保险金</w:t>
            </w:r>
          </w:p>
        </w:tc>
        <w:tc>
          <w:tcPr>
            <w:tcW w:w="1335" w:type="dxa"/>
          </w:tcPr>
          <w:p>
            <w:pPr>
              <w:pStyle w:val="TableParagraph"/>
              <w:ind w:left="0"/>
              <w:rPr>
                <w:sz w:val="20"/>
              </w:rPr>
            </w:pPr>
          </w:p>
          <w:p>
            <w:pPr>
              <w:pStyle w:val="TableParagraph"/>
              <w:spacing w:before="8"/>
              <w:ind w:left="0"/>
              <w:rPr>
                <w:sz w:val="14"/>
              </w:rPr>
            </w:pPr>
          </w:p>
          <w:p>
            <w:pPr>
              <w:pStyle w:val="TableParagraph"/>
              <w:ind w:left="122" w:right="113"/>
              <w:jc w:val="center"/>
              <w:rPr>
                <w:sz w:val="21"/>
              </w:rPr>
            </w:pPr>
            <w:r>
              <w:rPr>
                <w:sz w:val="21"/>
              </w:rPr>
              <w:t>妻子李女士</w:t>
            </w:r>
          </w:p>
        </w:tc>
        <w:tc>
          <w:tcPr>
            <w:tcW w:w="1928" w:type="dxa"/>
          </w:tcPr>
          <w:p>
            <w:pPr>
              <w:pStyle w:val="TableParagraph"/>
              <w:ind w:left="0"/>
              <w:rPr>
                <w:sz w:val="20"/>
              </w:rPr>
            </w:pPr>
          </w:p>
          <w:p>
            <w:pPr>
              <w:pStyle w:val="TableParagraph"/>
              <w:spacing w:before="8"/>
              <w:ind w:left="0"/>
              <w:rPr>
                <w:sz w:val="14"/>
              </w:rPr>
            </w:pPr>
          </w:p>
          <w:p>
            <w:pPr>
              <w:pStyle w:val="TableParagraph"/>
              <w:ind w:left="48" w:right="43"/>
              <w:jc w:val="center"/>
              <w:rPr>
                <w:sz w:val="21"/>
              </w:rPr>
            </w:pPr>
            <w:r>
              <w:rPr>
                <w:sz w:val="21"/>
              </w:rPr>
              <w:t>30 万元</w:t>
            </w:r>
          </w:p>
        </w:tc>
        <w:tc>
          <w:tcPr>
            <w:tcW w:w="3993" w:type="dxa"/>
          </w:tcPr>
          <w:p>
            <w:pPr>
              <w:pStyle w:val="TableParagraph"/>
              <w:spacing w:line="260" w:lineRule="exact"/>
              <w:ind w:left="106"/>
              <w:rPr>
                <w:sz w:val="21"/>
              </w:rPr>
            </w:pPr>
            <w:r>
              <w:rPr>
                <w:sz w:val="21"/>
              </w:rPr>
              <w:t>等待期后被保险人经医院确诊初次发生</w:t>
            </w:r>
          </w:p>
          <w:p>
            <w:pPr>
              <w:pStyle w:val="TableParagraph"/>
              <w:spacing w:before="37"/>
              <w:ind w:left="106"/>
              <w:rPr>
                <w:sz w:val="21"/>
              </w:rPr>
            </w:pPr>
            <w:r>
              <w:rPr>
                <w:sz w:val="21"/>
              </w:rPr>
              <w:t>受保障的重大疾病。</w:t>
            </w:r>
          </w:p>
          <w:p>
            <w:pPr>
              <w:pStyle w:val="TableParagraph"/>
              <w:spacing w:line="273" w:lineRule="auto" w:before="37"/>
              <w:ind w:left="106" w:right="94"/>
              <w:rPr>
                <w:sz w:val="21"/>
              </w:rPr>
            </w:pPr>
            <w:r>
              <w:rPr>
                <w:sz w:val="21"/>
              </w:rPr>
              <w:t>我们提供保障的重大疾病包括恶性肿瘤、急性心肌梗塞等共 45 种。</w:t>
            </w:r>
          </w:p>
        </w:tc>
      </w:tr>
      <w:tr>
        <w:trPr>
          <w:trHeight w:val="1200" w:hRule="atLeast"/>
        </w:trPr>
        <w:tc>
          <w:tcPr>
            <w:tcW w:w="8731" w:type="dxa"/>
            <w:gridSpan w:val="4"/>
          </w:tcPr>
          <w:p>
            <w:pPr>
              <w:pStyle w:val="TableParagraph"/>
              <w:spacing w:line="400" w:lineRule="exact" w:before="1"/>
              <w:ind w:left="107" w:right="98"/>
              <w:jc w:val="both"/>
              <w:rPr>
                <w:sz w:val="21"/>
              </w:rPr>
            </w:pPr>
            <w:r>
              <w:rPr>
                <w:spacing w:val="-9"/>
                <w:sz w:val="21"/>
              </w:rPr>
              <w:t>平安福重疾 </w:t>
            </w:r>
            <w:r>
              <w:rPr>
                <w:sz w:val="21"/>
              </w:rPr>
              <w:t>15</w:t>
            </w:r>
            <w:r>
              <w:rPr>
                <w:spacing w:val="-8"/>
                <w:sz w:val="21"/>
              </w:rPr>
              <w:t> 重大疾病保险金给付后，平安福的基本保险金额等额减少。主险合同约定的各</w:t>
            </w:r>
            <w:r>
              <w:rPr>
                <w:spacing w:val="-11"/>
                <w:sz w:val="21"/>
              </w:rPr>
              <w:t>项保险责任及保险单上载明的现金价值按减少后的基本保险金额确定。当主险合同基本保险金额减少至零时，主险合同终止。</w:t>
            </w:r>
          </w:p>
        </w:tc>
      </w:tr>
    </w:tbl>
    <w:p>
      <w:pPr>
        <w:pStyle w:val="Heading4"/>
        <w:spacing w:line="357" w:lineRule="exact" w:before="120"/>
        <w:ind w:left="788"/>
        <w:jc w:val="both"/>
      </w:pPr>
      <w:r>
        <w:rPr/>
        <w:t>以上举例仅供您更好地理解产品之用，您所购买产品的具体保险利益在保险合同中载明。</w:t>
      </w:r>
    </w:p>
    <w:p>
      <w:pPr>
        <w:spacing w:line="590" w:lineRule="exact" w:before="0"/>
        <w:ind w:left="245" w:right="0" w:firstLine="0"/>
        <w:jc w:val="left"/>
        <w:rPr>
          <w:rFonts w:ascii="Microsoft JhengHei" w:hAnsi="Microsoft JhengHei" w:eastAsia="Microsoft JhengHei" w:hint="eastAsia"/>
          <w:b/>
          <w:sz w:val="21"/>
        </w:rPr>
      </w:pPr>
      <w:r>
        <w:rPr/>
        <w:pict>
          <v:shapetype id="_x0000_t202" o:spt="202" coordsize="21600,21600" path="m,l,21600r21600,l21600,xe">
            <v:stroke joinstyle="miter"/>
            <v:path gradientshapeok="t" o:connecttype="rect"/>
          </v:shapetype>
          <v:shape style="position:absolute;margin-left:85.224998pt;margin-top:28.348284pt;width:437.6pt;height:137.9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3124"/>
                    <w:gridCol w:w="2867"/>
                  </w:tblGrid>
                  <w:tr>
                    <w:trPr>
                      <w:trHeight w:val="395" w:hRule="atLeast"/>
                    </w:trPr>
                    <w:tc>
                      <w:tcPr>
                        <w:tcW w:w="2746" w:type="dxa"/>
                        <w:tcBorders>
                          <w:top w:val="dotted" w:sz="6" w:space="0" w:color="000000"/>
                          <w:left w:val="dotted" w:sz="6" w:space="0" w:color="000000"/>
                        </w:tcBorders>
                      </w:tcPr>
                      <w:p>
                        <w:pPr>
                          <w:pStyle w:val="TableParagraph"/>
                          <w:spacing w:line="321" w:lineRule="exact" w:before="55"/>
                          <w:ind w:left="252"/>
                          <w:rPr>
                            <w:rFonts w:ascii="Microsoft JhengHei" w:eastAsia="Microsoft JhengHei" w:hint="eastAsia"/>
                            <w:b/>
                            <w:sz w:val="21"/>
                          </w:rPr>
                        </w:pPr>
                        <w:r>
                          <w:rPr>
                            <w:b/>
                            <w:sz w:val="21"/>
                          </w:rPr>
                          <w:t>1.</w:t>
                        </w:r>
                        <w:r>
                          <w:rPr>
                            <w:rFonts w:ascii="Microsoft JhengHei" w:eastAsia="Microsoft JhengHei" w:hint="eastAsia"/>
                            <w:b/>
                            <w:sz w:val="21"/>
                          </w:rPr>
                          <w:t>我们保什么、保多久</w:t>
                        </w:r>
                      </w:p>
                    </w:tc>
                    <w:tc>
                      <w:tcPr>
                        <w:tcW w:w="3124" w:type="dxa"/>
                        <w:tcBorders>
                          <w:top w:val="dotted" w:sz="6" w:space="0" w:color="000000"/>
                        </w:tcBorders>
                      </w:tcPr>
                      <w:p>
                        <w:pPr>
                          <w:pStyle w:val="TableParagraph"/>
                          <w:spacing w:line="320" w:lineRule="exact" w:before="56"/>
                          <w:ind w:left="392"/>
                          <w:rPr>
                            <w:rFonts w:ascii="Microsoft JhengHei" w:eastAsia="Microsoft JhengHei" w:hint="eastAsia"/>
                            <w:b/>
                            <w:sz w:val="21"/>
                          </w:rPr>
                        </w:pPr>
                        <w:r>
                          <w:rPr>
                            <w:b/>
                            <w:sz w:val="21"/>
                          </w:rPr>
                          <w:t>4.</w:t>
                        </w:r>
                        <w:r>
                          <w:rPr>
                            <w:rFonts w:ascii="Microsoft JhengHei" w:eastAsia="Microsoft JhengHei" w:hint="eastAsia"/>
                            <w:b/>
                            <w:sz w:val="21"/>
                          </w:rPr>
                          <w:t>如何领取保险金</w:t>
                        </w:r>
                      </w:p>
                    </w:tc>
                    <w:tc>
                      <w:tcPr>
                        <w:tcW w:w="2867" w:type="dxa"/>
                        <w:tcBorders>
                          <w:top w:val="dotted" w:sz="6" w:space="0" w:color="000000"/>
                          <w:right w:val="dotted" w:sz="6" w:space="0" w:color="000000"/>
                        </w:tcBorders>
                      </w:tcPr>
                      <w:p>
                        <w:pPr>
                          <w:pStyle w:val="TableParagraph"/>
                          <w:spacing w:line="266" w:lineRule="exact" w:before="109"/>
                          <w:ind w:left="523"/>
                          <w:rPr>
                            <w:sz w:val="21"/>
                          </w:rPr>
                        </w:pPr>
                        <w:r>
                          <w:rPr>
                            <w:sz w:val="21"/>
                          </w:rPr>
                          <w:t>6.2 减额交清</w:t>
                        </w:r>
                      </w:p>
                    </w:tc>
                  </w:tr>
                  <w:tr>
                    <w:trPr>
                      <w:trHeight w:val="220" w:hRule="atLeast"/>
                    </w:trPr>
                    <w:tc>
                      <w:tcPr>
                        <w:tcW w:w="2746" w:type="dxa"/>
                        <w:tcBorders>
                          <w:left w:val="dotted" w:sz="6" w:space="0" w:color="000000"/>
                        </w:tcBorders>
                      </w:tcPr>
                      <w:p>
                        <w:pPr>
                          <w:pStyle w:val="TableParagraph"/>
                          <w:spacing w:line="200" w:lineRule="exact"/>
                          <w:ind w:left="462"/>
                          <w:rPr>
                            <w:sz w:val="21"/>
                          </w:rPr>
                        </w:pPr>
                        <w:r>
                          <w:rPr>
                            <w:sz w:val="21"/>
                          </w:rPr>
                          <w:t>1.1 保险责任</w:t>
                        </w:r>
                      </w:p>
                    </w:tc>
                    <w:tc>
                      <w:tcPr>
                        <w:tcW w:w="3124" w:type="dxa"/>
                      </w:tcPr>
                      <w:p>
                        <w:pPr>
                          <w:pStyle w:val="TableParagraph"/>
                          <w:spacing w:line="200" w:lineRule="exact"/>
                          <w:ind w:left="602"/>
                          <w:rPr>
                            <w:sz w:val="21"/>
                          </w:rPr>
                        </w:pPr>
                        <w:r>
                          <w:rPr>
                            <w:sz w:val="21"/>
                          </w:rPr>
                          <w:t>4.1 受益人</w:t>
                        </w:r>
                      </w:p>
                    </w:tc>
                    <w:tc>
                      <w:tcPr>
                        <w:tcW w:w="2867" w:type="dxa"/>
                        <w:tcBorders>
                          <w:right w:val="dotted" w:sz="6" w:space="0" w:color="000000"/>
                        </w:tcBorders>
                      </w:tcPr>
                      <w:p>
                        <w:pPr>
                          <w:pStyle w:val="TableParagraph"/>
                          <w:spacing w:line="200" w:lineRule="exact"/>
                          <w:ind w:left="313"/>
                          <w:rPr>
                            <w:rFonts w:ascii="Microsoft JhengHei" w:eastAsia="Microsoft JhengHei" w:hint="eastAsia"/>
                            <w:b/>
                            <w:sz w:val="21"/>
                          </w:rPr>
                        </w:pPr>
                        <w:r>
                          <w:rPr>
                            <w:b/>
                            <w:sz w:val="21"/>
                          </w:rPr>
                          <w:t>7.</w:t>
                        </w:r>
                        <w:r>
                          <w:rPr>
                            <w:rFonts w:ascii="Microsoft JhengHei" w:eastAsia="Microsoft JhengHei" w:hint="eastAsia"/>
                            <w:b/>
                            <w:sz w:val="21"/>
                          </w:rPr>
                          <w:t>重大疾病释义</w:t>
                        </w:r>
                      </w:p>
                    </w:tc>
                  </w:tr>
                  <w:tr>
                    <w:trPr>
                      <w:trHeight w:val="219" w:hRule="atLeast"/>
                    </w:trPr>
                    <w:tc>
                      <w:tcPr>
                        <w:tcW w:w="2746" w:type="dxa"/>
                        <w:tcBorders>
                          <w:left w:val="dotted" w:sz="6" w:space="0" w:color="000000"/>
                        </w:tcBorders>
                      </w:tcPr>
                      <w:p>
                        <w:pPr>
                          <w:pStyle w:val="TableParagraph"/>
                          <w:spacing w:line="200" w:lineRule="exact"/>
                          <w:ind w:left="463"/>
                          <w:rPr>
                            <w:sz w:val="21"/>
                          </w:rPr>
                        </w:pPr>
                        <w:r>
                          <w:rPr>
                            <w:sz w:val="21"/>
                          </w:rPr>
                          <w:t>1.2 保险期间</w:t>
                        </w:r>
                      </w:p>
                    </w:tc>
                    <w:tc>
                      <w:tcPr>
                        <w:tcW w:w="3124" w:type="dxa"/>
                      </w:tcPr>
                      <w:p>
                        <w:pPr>
                          <w:pStyle w:val="TableParagraph"/>
                          <w:spacing w:line="200" w:lineRule="exact"/>
                          <w:ind w:left="602"/>
                          <w:rPr>
                            <w:sz w:val="21"/>
                          </w:rPr>
                        </w:pPr>
                        <w:r>
                          <w:rPr>
                            <w:sz w:val="21"/>
                          </w:rPr>
                          <w:t>4.2 保险金申请</w:t>
                        </w:r>
                      </w:p>
                    </w:tc>
                    <w:tc>
                      <w:tcPr>
                        <w:tcW w:w="2867" w:type="dxa"/>
                        <w:tcBorders>
                          <w:right w:val="dotted" w:sz="6" w:space="0" w:color="000000"/>
                        </w:tcBorders>
                      </w:tcPr>
                      <w:p>
                        <w:pPr>
                          <w:pStyle w:val="TableParagraph"/>
                          <w:spacing w:line="200" w:lineRule="exact"/>
                          <w:ind w:left="313"/>
                          <w:rPr>
                            <w:rFonts w:ascii="Microsoft JhengHei" w:eastAsia="Microsoft JhengHei" w:hint="eastAsia"/>
                            <w:b/>
                            <w:sz w:val="21"/>
                          </w:rPr>
                        </w:pPr>
                        <w:r>
                          <w:rPr>
                            <w:b/>
                            <w:sz w:val="21"/>
                          </w:rPr>
                          <w:t>8.</w:t>
                        </w:r>
                        <w:r>
                          <w:rPr>
                            <w:rFonts w:ascii="Microsoft JhengHei" w:eastAsia="Microsoft JhengHei" w:hint="eastAsia"/>
                            <w:b/>
                            <w:sz w:val="21"/>
                          </w:rPr>
                          <w:t>特定轻度重疾释义</w:t>
                        </w:r>
                      </w:p>
                    </w:tc>
                  </w:tr>
                  <w:tr>
                    <w:trPr>
                      <w:trHeight w:val="220" w:hRule="atLeast"/>
                    </w:trPr>
                    <w:tc>
                      <w:tcPr>
                        <w:tcW w:w="2746" w:type="dxa"/>
                        <w:tcBorders>
                          <w:left w:val="dotted" w:sz="6" w:space="0" w:color="000000"/>
                        </w:tcBorders>
                      </w:tcPr>
                      <w:p>
                        <w:pPr>
                          <w:pStyle w:val="TableParagraph"/>
                          <w:spacing w:line="200" w:lineRule="exact"/>
                          <w:ind w:left="252"/>
                          <w:rPr>
                            <w:rFonts w:ascii="Microsoft JhengHei" w:eastAsia="Microsoft JhengHei" w:hint="eastAsia"/>
                            <w:b/>
                            <w:sz w:val="21"/>
                          </w:rPr>
                        </w:pPr>
                        <w:r>
                          <w:rPr>
                            <w:b/>
                            <w:sz w:val="21"/>
                          </w:rPr>
                          <w:t>2.</w:t>
                        </w:r>
                        <w:r>
                          <w:rPr>
                            <w:rFonts w:ascii="Microsoft JhengHei" w:eastAsia="Microsoft JhengHei" w:hint="eastAsia"/>
                            <w:b/>
                            <w:sz w:val="21"/>
                          </w:rPr>
                          <w:t>我们不保什么</w:t>
                        </w:r>
                      </w:p>
                    </w:tc>
                    <w:tc>
                      <w:tcPr>
                        <w:tcW w:w="3124" w:type="dxa"/>
                      </w:tcPr>
                      <w:p>
                        <w:pPr>
                          <w:pStyle w:val="TableParagraph"/>
                          <w:spacing w:line="200" w:lineRule="exact"/>
                          <w:ind w:left="602"/>
                          <w:rPr>
                            <w:sz w:val="21"/>
                          </w:rPr>
                        </w:pPr>
                        <w:r>
                          <w:rPr>
                            <w:sz w:val="21"/>
                          </w:rPr>
                          <w:t>4.3 保险金的给付</w:t>
                        </w:r>
                      </w:p>
                    </w:tc>
                    <w:tc>
                      <w:tcPr>
                        <w:tcW w:w="2867" w:type="dxa"/>
                        <w:tcBorders>
                          <w:right w:val="dotted" w:sz="6" w:space="0" w:color="000000"/>
                        </w:tcBorders>
                      </w:tcPr>
                      <w:p>
                        <w:pPr>
                          <w:pStyle w:val="TableParagraph"/>
                          <w:spacing w:line="200" w:lineRule="exact"/>
                          <w:ind w:left="313"/>
                          <w:rPr>
                            <w:rFonts w:ascii="Microsoft JhengHei" w:eastAsia="Microsoft JhengHei" w:hint="eastAsia"/>
                            <w:b/>
                            <w:sz w:val="21"/>
                          </w:rPr>
                        </w:pPr>
                        <w:r>
                          <w:rPr>
                            <w:b/>
                            <w:sz w:val="21"/>
                          </w:rPr>
                          <w:t>9.</w:t>
                        </w:r>
                        <w:r>
                          <w:rPr>
                            <w:rFonts w:ascii="Microsoft JhengHei" w:eastAsia="Microsoft JhengHei" w:hint="eastAsia"/>
                            <w:b/>
                            <w:sz w:val="21"/>
                          </w:rPr>
                          <w:t>需关注的其他内容</w:t>
                        </w:r>
                      </w:p>
                    </w:tc>
                  </w:tr>
                  <w:tr>
                    <w:trPr>
                      <w:trHeight w:val="220" w:hRule="atLeast"/>
                    </w:trPr>
                    <w:tc>
                      <w:tcPr>
                        <w:tcW w:w="2746" w:type="dxa"/>
                        <w:tcBorders>
                          <w:left w:val="dotted" w:sz="6" w:space="0" w:color="000000"/>
                        </w:tcBorders>
                      </w:tcPr>
                      <w:p>
                        <w:pPr>
                          <w:pStyle w:val="TableParagraph"/>
                          <w:spacing w:line="200" w:lineRule="exact"/>
                          <w:ind w:left="462"/>
                          <w:rPr>
                            <w:sz w:val="21"/>
                          </w:rPr>
                        </w:pPr>
                        <w:r>
                          <w:rPr>
                            <w:sz w:val="21"/>
                          </w:rPr>
                          <w:t>2.1 责任免除</w:t>
                        </w:r>
                      </w:p>
                    </w:tc>
                    <w:tc>
                      <w:tcPr>
                        <w:tcW w:w="3124" w:type="dxa"/>
                      </w:tcPr>
                      <w:p>
                        <w:pPr>
                          <w:pStyle w:val="TableParagraph"/>
                          <w:spacing w:line="200" w:lineRule="exact"/>
                          <w:ind w:left="392"/>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2867" w:type="dxa"/>
                        <w:tcBorders>
                          <w:right w:val="dotted" w:sz="6" w:space="0" w:color="000000"/>
                        </w:tcBorders>
                      </w:tcPr>
                      <w:p>
                        <w:pPr>
                          <w:pStyle w:val="TableParagraph"/>
                          <w:spacing w:line="200" w:lineRule="exact"/>
                          <w:ind w:left="523"/>
                          <w:rPr>
                            <w:sz w:val="21"/>
                          </w:rPr>
                        </w:pPr>
                        <w:r>
                          <w:rPr>
                            <w:sz w:val="21"/>
                          </w:rPr>
                          <w:t>9.1 合同订立</w:t>
                        </w:r>
                      </w:p>
                    </w:tc>
                  </w:tr>
                  <w:tr>
                    <w:trPr>
                      <w:trHeight w:val="219" w:hRule="atLeast"/>
                    </w:trPr>
                    <w:tc>
                      <w:tcPr>
                        <w:tcW w:w="2746" w:type="dxa"/>
                        <w:tcBorders>
                          <w:left w:val="dotted" w:sz="6" w:space="0" w:color="000000"/>
                        </w:tcBorders>
                      </w:tcPr>
                      <w:p>
                        <w:pPr>
                          <w:pStyle w:val="TableParagraph"/>
                          <w:spacing w:line="200" w:lineRule="exact"/>
                          <w:ind w:left="462"/>
                          <w:rPr>
                            <w:sz w:val="21"/>
                          </w:rPr>
                        </w:pPr>
                        <w:r>
                          <w:rPr>
                            <w:sz w:val="21"/>
                          </w:rPr>
                          <w:t>2.2 其他免责条款</w:t>
                        </w:r>
                      </w:p>
                    </w:tc>
                    <w:tc>
                      <w:tcPr>
                        <w:tcW w:w="3124" w:type="dxa"/>
                      </w:tcPr>
                      <w:p>
                        <w:pPr>
                          <w:pStyle w:val="TableParagraph"/>
                          <w:spacing w:line="200" w:lineRule="exact"/>
                          <w:ind w:left="602"/>
                          <w:rPr>
                            <w:sz w:val="21"/>
                          </w:rPr>
                        </w:pPr>
                        <w:r>
                          <w:rPr>
                            <w:sz w:val="21"/>
                          </w:rPr>
                          <w:t>5.1 犹豫期</w:t>
                        </w:r>
                      </w:p>
                    </w:tc>
                    <w:tc>
                      <w:tcPr>
                        <w:tcW w:w="2867" w:type="dxa"/>
                        <w:tcBorders>
                          <w:right w:val="dotted" w:sz="6" w:space="0" w:color="000000"/>
                        </w:tcBorders>
                      </w:tcPr>
                      <w:p>
                        <w:pPr>
                          <w:pStyle w:val="TableParagraph"/>
                          <w:spacing w:line="200" w:lineRule="exact"/>
                          <w:ind w:left="524"/>
                          <w:rPr>
                            <w:sz w:val="21"/>
                          </w:rPr>
                        </w:pPr>
                        <w:r>
                          <w:rPr>
                            <w:sz w:val="21"/>
                          </w:rPr>
                          <w:t>9.2 合同生效</w:t>
                        </w:r>
                      </w:p>
                    </w:tc>
                  </w:tr>
                  <w:tr>
                    <w:trPr>
                      <w:trHeight w:val="220" w:hRule="atLeast"/>
                    </w:trPr>
                    <w:tc>
                      <w:tcPr>
                        <w:tcW w:w="2746" w:type="dxa"/>
                        <w:tcBorders>
                          <w:left w:val="dotted" w:sz="6" w:space="0" w:color="000000"/>
                        </w:tcBorders>
                      </w:tcPr>
                      <w:p>
                        <w:pPr>
                          <w:pStyle w:val="TableParagraph"/>
                          <w:spacing w:line="200" w:lineRule="exact"/>
                          <w:ind w:left="252"/>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124" w:type="dxa"/>
                      </w:tcPr>
                      <w:p>
                        <w:pPr>
                          <w:pStyle w:val="TableParagraph"/>
                          <w:spacing w:line="200" w:lineRule="exact"/>
                          <w:ind w:left="602"/>
                          <w:rPr>
                            <w:sz w:val="21"/>
                          </w:rPr>
                        </w:pPr>
                        <w:r>
                          <w:rPr>
                            <w:sz w:val="21"/>
                          </w:rPr>
                          <w:t>5.2 您解除合同的手续</w:t>
                        </w:r>
                      </w:p>
                    </w:tc>
                    <w:tc>
                      <w:tcPr>
                        <w:tcW w:w="2867" w:type="dxa"/>
                        <w:tcBorders>
                          <w:right w:val="dotted" w:sz="6" w:space="0" w:color="000000"/>
                        </w:tcBorders>
                      </w:tcPr>
                      <w:p>
                        <w:pPr>
                          <w:pStyle w:val="TableParagraph"/>
                          <w:spacing w:line="200" w:lineRule="exact"/>
                          <w:ind w:left="523"/>
                          <w:rPr>
                            <w:sz w:val="21"/>
                          </w:rPr>
                        </w:pPr>
                        <w:r>
                          <w:rPr>
                            <w:sz w:val="21"/>
                          </w:rPr>
                          <w:t>9.3 投保年龄</w:t>
                        </w:r>
                      </w:p>
                    </w:tc>
                  </w:tr>
                  <w:tr>
                    <w:trPr>
                      <w:trHeight w:val="220" w:hRule="atLeast"/>
                    </w:trPr>
                    <w:tc>
                      <w:tcPr>
                        <w:tcW w:w="2746" w:type="dxa"/>
                        <w:tcBorders>
                          <w:left w:val="dotted" w:sz="6" w:space="0" w:color="000000"/>
                        </w:tcBorders>
                      </w:tcPr>
                      <w:p>
                        <w:pPr>
                          <w:pStyle w:val="TableParagraph"/>
                          <w:spacing w:line="200" w:lineRule="exact"/>
                          <w:ind w:left="462"/>
                          <w:rPr>
                            <w:sz w:val="21"/>
                          </w:rPr>
                        </w:pPr>
                        <w:r>
                          <w:rPr>
                            <w:sz w:val="21"/>
                          </w:rPr>
                          <w:t>3.1 保险费的支付</w:t>
                        </w:r>
                      </w:p>
                    </w:tc>
                    <w:tc>
                      <w:tcPr>
                        <w:tcW w:w="3124" w:type="dxa"/>
                      </w:tcPr>
                      <w:p>
                        <w:pPr>
                          <w:pStyle w:val="TableParagraph"/>
                          <w:spacing w:line="200" w:lineRule="exact"/>
                          <w:ind w:left="1022"/>
                          <w:rPr>
                            <w:sz w:val="21"/>
                          </w:rPr>
                        </w:pPr>
                        <w:r>
                          <w:rPr>
                            <w:sz w:val="21"/>
                          </w:rPr>
                          <w:t>及风险</w:t>
                        </w:r>
                      </w:p>
                    </w:tc>
                    <w:tc>
                      <w:tcPr>
                        <w:tcW w:w="2867" w:type="dxa"/>
                        <w:tcBorders>
                          <w:right w:val="dotted" w:sz="6" w:space="0" w:color="000000"/>
                        </w:tcBorders>
                      </w:tcPr>
                      <w:p>
                        <w:pPr>
                          <w:pStyle w:val="TableParagraph"/>
                          <w:spacing w:line="200" w:lineRule="exact"/>
                          <w:ind w:left="524"/>
                          <w:rPr>
                            <w:sz w:val="21"/>
                          </w:rPr>
                        </w:pPr>
                        <w:r>
                          <w:rPr>
                            <w:sz w:val="21"/>
                          </w:rPr>
                          <w:t>9.4 年龄错误</w:t>
                        </w:r>
                      </w:p>
                    </w:tc>
                  </w:tr>
                  <w:tr>
                    <w:trPr>
                      <w:trHeight w:val="219" w:hRule="atLeast"/>
                    </w:trPr>
                    <w:tc>
                      <w:tcPr>
                        <w:tcW w:w="2746" w:type="dxa"/>
                        <w:tcBorders>
                          <w:left w:val="dotted" w:sz="6" w:space="0" w:color="000000"/>
                        </w:tcBorders>
                      </w:tcPr>
                      <w:p>
                        <w:pPr>
                          <w:pStyle w:val="TableParagraph"/>
                          <w:spacing w:line="200" w:lineRule="exact"/>
                          <w:ind w:left="462"/>
                          <w:rPr>
                            <w:sz w:val="21"/>
                          </w:rPr>
                        </w:pPr>
                        <w:r>
                          <w:rPr>
                            <w:sz w:val="21"/>
                          </w:rPr>
                          <w:t>3.2 宽限期</w:t>
                        </w:r>
                      </w:p>
                    </w:tc>
                    <w:tc>
                      <w:tcPr>
                        <w:tcW w:w="3124" w:type="dxa"/>
                      </w:tcPr>
                      <w:p>
                        <w:pPr>
                          <w:pStyle w:val="TableParagraph"/>
                          <w:spacing w:line="200" w:lineRule="exact"/>
                          <w:ind w:left="392"/>
                          <w:rPr>
                            <w:rFonts w:ascii="Microsoft JhengHei" w:eastAsia="Microsoft JhengHei" w:hint="eastAsia"/>
                            <w:b/>
                            <w:sz w:val="21"/>
                          </w:rPr>
                        </w:pPr>
                        <w:r>
                          <w:rPr>
                            <w:b/>
                            <w:sz w:val="21"/>
                          </w:rPr>
                          <w:t>6.</w:t>
                        </w:r>
                        <w:r>
                          <w:rPr>
                            <w:rFonts w:ascii="Microsoft JhengHei" w:eastAsia="Microsoft JhengHei" w:hint="eastAsia"/>
                            <w:b/>
                            <w:sz w:val="21"/>
                          </w:rPr>
                          <w:t>其他权益</w:t>
                        </w:r>
                      </w:p>
                    </w:tc>
                    <w:tc>
                      <w:tcPr>
                        <w:tcW w:w="2867" w:type="dxa"/>
                        <w:tcBorders>
                          <w:right w:val="dotted" w:sz="6" w:space="0" w:color="000000"/>
                        </w:tcBorders>
                      </w:tcPr>
                      <w:p>
                        <w:pPr>
                          <w:pStyle w:val="TableParagraph"/>
                          <w:spacing w:line="200" w:lineRule="exact"/>
                          <w:ind w:left="523"/>
                          <w:rPr>
                            <w:sz w:val="21"/>
                          </w:rPr>
                        </w:pPr>
                        <w:r>
                          <w:rPr>
                            <w:sz w:val="21"/>
                          </w:rPr>
                          <w:t>9.5 效力终止</w:t>
                        </w:r>
                      </w:p>
                    </w:tc>
                  </w:tr>
                  <w:tr>
                    <w:trPr>
                      <w:trHeight w:val="572" w:hRule="atLeast"/>
                    </w:trPr>
                    <w:tc>
                      <w:tcPr>
                        <w:tcW w:w="2746" w:type="dxa"/>
                        <w:tcBorders>
                          <w:left w:val="dotted" w:sz="6" w:space="0" w:color="000000"/>
                          <w:bottom w:val="dotted" w:sz="6" w:space="0" w:color="000000"/>
                        </w:tcBorders>
                      </w:tcPr>
                      <w:p>
                        <w:pPr>
                          <w:pStyle w:val="TableParagraph"/>
                          <w:spacing w:line="221" w:lineRule="exact"/>
                          <w:ind w:left="463"/>
                          <w:rPr>
                            <w:sz w:val="21"/>
                          </w:rPr>
                        </w:pPr>
                        <w:r>
                          <w:rPr>
                            <w:sz w:val="21"/>
                          </w:rPr>
                          <w:t>3.3 效力中止与恢复</w:t>
                        </w:r>
                      </w:p>
                    </w:tc>
                    <w:tc>
                      <w:tcPr>
                        <w:tcW w:w="3124" w:type="dxa"/>
                        <w:tcBorders>
                          <w:bottom w:val="dotted" w:sz="6" w:space="0" w:color="000000"/>
                        </w:tcBorders>
                      </w:tcPr>
                      <w:p>
                        <w:pPr>
                          <w:pStyle w:val="TableParagraph"/>
                          <w:spacing w:line="222" w:lineRule="exact"/>
                          <w:ind w:left="603"/>
                          <w:rPr>
                            <w:sz w:val="21"/>
                          </w:rPr>
                        </w:pPr>
                        <w:r>
                          <w:rPr>
                            <w:sz w:val="21"/>
                          </w:rPr>
                          <w:t>6.1 现金价值</w:t>
                        </w:r>
                      </w:p>
                    </w:tc>
                    <w:tc>
                      <w:tcPr>
                        <w:tcW w:w="2867" w:type="dxa"/>
                        <w:tcBorders>
                          <w:bottom w:val="dotted" w:sz="6" w:space="0" w:color="000000"/>
                          <w:right w:val="dotted" w:sz="6" w:space="0" w:color="000000"/>
                        </w:tcBorders>
                      </w:tcPr>
                      <w:p>
                        <w:pPr>
                          <w:pStyle w:val="TableParagraph"/>
                          <w:spacing w:line="209" w:lineRule="exact"/>
                          <w:ind w:left="523"/>
                          <w:rPr>
                            <w:sz w:val="21"/>
                          </w:rPr>
                        </w:pPr>
                        <w:r>
                          <w:rPr>
                            <w:sz w:val="21"/>
                          </w:rPr>
                          <w:t>9.6 适用主险合同条款</w:t>
                        </w:r>
                      </w:p>
                    </w:tc>
                  </w:tr>
                </w:tbl>
                <w:p>
                  <w:pPr>
                    <w:pStyle w:val="BodyText"/>
                  </w:pPr>
                </w:p>
              </w:txbxContent>
            </v:textbox>
            <w10:wrap type="none"/>
          </v:shape>
        </w:pict>
      </w: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pStyle w:val="BodyText"/>
        <w:rPr>
          <w:rFonts w:ascii="Microsoft JhengHei"/>
          <w:b/>
          <w:sz w:val="54"/>
        </w:rPr>
      </w:pPr>
    </w:p>
    <w:p>
      <w:pPr>
        <w:pStyle w:val="BodyText"/>
        <w:rPr>
          <w:rFonts w:ascii="Microsoft JhengHei"/>
          <w:b/>
          <w:sz w:val="54"/>
        </w:rPr>
      </w:pPr>
    </w:p>
    <w:p>
      <w:pPr>
        <w:pStyle w:val="BodyText"/>
        <w:spacing w:before="14"/>
        <w:rPr>
          <w:rFonts w:ascii="Microsoft JhengHei"/>
          <w:b/>
          <w:sz w:val="68"/>
        </w:rPr>
      </w:pPr>
    </w:p>
    <w:p>
      <w:pPr>
        <w:spacing w:line="316" w:lineRule="auto" w:before="0"/>
        <w:ind w:left="8021" w:right="78" w:firstLine="0"/>
        <w:jc w:val="left"/>
        <w:rPr>
          <w:sz w:val="18"/>
        </w:rPr>
      </w:pPr>
      <w:r>
        <w:rPr>
          <w:sz w:val="18"/>
        </w:rPr>
        <w:t>险种简称：平安福重疾 15 险种代码：1146</w:t>
      </w:r>
    </w:p>
    <w:p>
      <w:pPr>
        <w:spacing w:after="0" w:line="316" w:lineRule="auto"/>
        <w:jc w:val="left"/>
        <w:rPr>
          <w:sz w:val="18"/>
        </w:rPr>
        <w:sectPr>
          <w:type w:val="continuous"/>
          <w:pgSz w:w="11910" w:h="16840"/>
          <w:pgMar w:top="580" w:bottom="280" w:left="940" w:right="780"/>
        </w:sectPr>
      </w:pPr>
    </w:p>
    <w:p>
      <w:pPr>
        <w:pStyle w:val="BodyText"/>
        <w:ind w:left="234"/>
        <w:rPr>
          <w:sz w:val="20"/>
        </w:rPr>
      </w:pPr>
      <w:r>
        <w:rPr>
          <w:sz w:val="20"/>
        </w:rPr>
        <w:drawing>
          <wp:inline distT="0" distB="0" distL="0" distR="0">
            <wp:extent cx="2052287" cy="342042"/>
            <wp:effectExtent l="0" t="0" r="0" b="0"/>
            <wp:docPr id="3" name="image4.png" descr="新LOGO-K"/>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2052287" cy="342042"/>
                    </a:xfrm>
                    <a:prstGeom prst="rect">
                      <a:avLst/>
                    </a:prstGeom>
                  </pic:spPr>
                </pic:pic>
              </a:graphicData>
            </a:graphic>
          </wp:inline>
        </w:drawing>
      </w:r>
      <w:r>
        <w:rPr>
          <w:sz w:val="20"/>
        </w:rPr>
      </w:r>
    </w:p>
    <w:p>
      <w:pPr>
        <w:pStyle w:val="BodyText"/>
        <w:rPr>
          <w:sz w:val="20"/>
        </w:rPr>
      </w:pPr>
    </w:p>
    <w:p>
      <w:pPr>
        <w:pStyle w:val="BodyText"/>
        <w:spacing w:before="7"/>
        <w:rPr>
          <w:sz w:val="15"/>
        </w:rPr>
      </w:pPr>
      <w:r>
        <w:rPr/>
        <w:drawing>
          <wp:anchor distT="0" distB="0" distL="0" distR="0" allowOverlap="1" layoutInCell="1" locked="0" behindDoc="0" simplePos="0" relativeHeight="1096">
            <wp:simplePos x="0" y="0"/>
            <wp:positionH relativeFrom="page">
              <wp:posOffset>1475917</wp:posOffset>
            </wp:positionH>
            <wp:positionV relativeFrom="paragraph">
              <wp:posOffset>154398</wp:posOffset>
            </wp:positionV>
            <wp:extent cx="4715823" cy="230504"/>
            <wp:effectExtent l="0" t="0" r="0" b="0"/>
            <wp:wrapTopAndBottom/>
            <wp:docPr id="5" name="image5.png" descr="抬头"/>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4715823" cy="230504"/>
                    </a:xfrm>
                    <a:prstGeom prst="rect">
                      <a:avLst/>
                    </a:prstGeom>
                  </pic:spPr>
                </pic:pic>
              </a:graphicData>
            </a:graphic>
          </wp:anchor>
        </w:drawing>
      </w:r>
    </w:p>
    <w:p>
      <w:pPr>
        <w:pStyle w:val="BodyText"/>
        <w:spacing w:before="9"/>
        <w:rPr>
          <w:sz w:val="9"/>
        </w:rPr>
      </w:pPr>
    </w:p>
    <w:p>
      <w:pPr>
        <w:pStyle w:val="Heading1"/>
        <w:ind w:left="1391"/>
      </w:pPr>
      <w:r>
        <w:rPr/>
        <w:t>平安附加平安福提前给付重大疾病保险（2015）条款</w:t>
      </w:r>
    </w:p>
    <w:p>
      <w:pPr>
        <w:pStyle w:val="BodyText"/>
        <w:rPr>
          <w:rFonts w:ascii="微软雅黑"/>
          <w:b/>
          <w:sz w:val="24"/>
        </w:rPr>
      </w:pPr>
    </w:p>
    <w:p>
      <w:pPr>
        <w:pStyle w:val="BodyText"/>
        <w:ind w:left="221"/>
      </w:pPr>
      <w:r>
        <w:rPr/>
        <w:t>在本条款中，“您”指投保人，“我们”、“本公司”均指中国平安人寿保险股份有限公司。</w:t>
      </w:r>
    </w:p>
    <w:p>
      <w:pPr>
        <w:pStyle w:val="BodyText"/>
        <w:spacing w:before="11"/>
        <w:rPr>
          <w:sz w:val="26"/>
        </w:rPr>
      </w:pPr>
    </w:p>
    <w:p>
      <w:pPr>
        <w:pStyle w:val="Heading2"/>
        <w:tabs>
          <w:tab w:pos="981" w:val="left" w:leader="none"/>
        </w:tabs>
        <w:spacing w:line="506" w:lineRule="exact" w:before="1"/>
        <w:ind w:left="314"/>
        <w:rPr>
          <w:rFonts w:ascii="宋体" w:hAnsi="宋体" w:eastAsia="宋体" w:hint="eastAsia"/>
        </w:rPr>
      </w:pPr>
      <w:r>
        <w:rPr>
          <w:rFonts w:ascii="Arial" w:hAnsi="Arial" w:eastAsia="Arial"/>
          <w:position w:val="-19"/>
          <w:sz w:val="40"/>
        </w:rPr>
        <w:t></w:t>
        <w:tab/>
      </w:r>
      <w:r>
        <w:rPr>
          <w:rFonts w:ascii="宋体" w:hAnsi="宋体" w:eastAsia="宋体" w:hint="eastAsia"/>
          <w:w w:val="95"/>
        </w:rPr>
        <w:t>我们保什么、保多久</w:t>
      </w:r>
    </w:p>
    <w:p>
      <w:pPr>
        <w:pStyle w:val="Heading3"/>
      </w:pPr>
      <w:r>
        <w:rPr/>
        <w:t>这部分讲的是我们提供的保障及提供保障的期间。</w:t>
      </w:r>
    </w:p>
    <w:p>
      <w:pPr>
        <w:pStyle w:val="BodyText"/>
        <w:spacing w:before="3"/>
        <w:rPr>
          <w:sz w:val="13"/>
        </w:rPr>
      </w:pPr>
      <w:r>
        <w:rPr/>
        <w:pict>
          <v:group style="position:absolute;margin-left:45.66pt;margin-top:10.666113pt;width:503.95pt;height:1pt;mso-position-horizontal-relative:page;mso-position-vertical-relative:paragraph;z-index:1120;mso-wrap-distance-left:0;mso-wrap-distance-right:0" coordorigin="913,213" coordsize="10079,20">
            <v:line style="position:absolute" from="913,223" to="1674,223" stroked="true" strokeweight=".959pt" strokecolor="#000000">
              <v:stroke dashstyle="solid"/>
            </v:line>
            <v:rect style="position:absolute;left:1674;top:213;width:20;height:20" filled="true" fillcolor="#000000" stroked="false">
              <v:fill type="solid"/>
            </v:rect>
            <v:line style="position:absolute" from="1693,223" to="3989,223" stroked="true" strokeweight=".959pt" strokecolor="#000000">
              <v:stroke dashstyle="solid"/>
            </v:line>
            <v:rect style="position:absolute;left:3988;top:213;width:20;height:20" filled="true" fillcolor="#000000" stroked="false">
              <v:fill type="solid"/>
            </v:rect>
            <v:line style="position:absolute" from="4008,223" to="10992,223" stroked="true" strokeweight=".959pt" strokecolor="#000000">
              <v:stroke dashstyle="solid"/>
            </v:line>
            <w10:wrap type="topAndBottom"/>
          </v:group>
        </w:pict>
      </w:r>
    </w:p>
    <w:p>
      <w:pPr>
        <w:pStyle w:val="BodyText"/>
        <w:spacing w:before="2"/>
        <w:rPr>
          <w:sz w:val="14"/>
        </w:rPr>
      </w:pPr>
    </w:p>
    <w:p>
      <w:pPr>
        <w:pStyle w:val="ListParagraph"/>
        <w:numPr>
          <w:ilvl w:val="1"/>
          <w:numId w:val="1"/>
        </w:numPr>
        <w:tabs>
          <w:tab w:pos="981" w:val="left" w:leader="none"/>
          <w:tab w:pos="982" w:val="left" w:leader="none"/>
          <w:tab w:pos="3296" w:val="left" w:leader="none"/>
        </w:tabs>
        <w:spacing w:line="240" w:lineRule="auto" w:before="35" w:after="0"/>
        <w:ind w:left="982" w:right="0" w:hanging="761"/>
        <w:jc w:val="left"/>
        <w:rPr>
          <w:sz w:val="21"/>
        </w:rPr>
      </w:pPr>
      <w:r>
        <w:rPr>
          <w:b/>
          <w:sz w:val="21"/>
        </w:rPr>
        <w:t>保险责任</w:t>
        <w:tab/>
      </w:r>
      <w:r>
        <w:rPr>
          <w:sz w:val="21"/>
        </w:rPr>
        <w:t>在本附加险合同保险期间内，我们承担如下保险责任：</w:t>
      </w:r>
    </w:p>
    <w:p>
      <w:pPr>
        <w:pStyle w:val="BodyText"/>
        <w:spacing w:before="9"/>
      </w:pPr>
    </w:p>
    <w:p>
      <w:pPr>
        <w:tabs>
          <w:tab w:pos="3296" w:val="left" w:leader="none"/>
        </w:tabs>
        <w:spacing w:line="254" w:lineRule="auto" w:before="0"/>
        <w:ind w:left="3296" w:right="220" w:hanging="2315"/>
        <w:jc w:val="left"/>
        <w:rPr>
          <w:sz w:val="21"/>
        </w:rPr>
      </w:pPr>
      <w:r>
        <w:rPr/>
        <w:pict>
          <v:rect style="position:absolute;margin-left:204.839996pt;margin-top:19.119347pt;width:339.36pt;height:13.62pt;mso-position-horizontal-relative:page;mso-position-vertical-relative:paragraph;z-index:-35848" filled="true" fillcolor="#dadada" stroked="false">
            <v:fill type="solid"/>
            <w10:wrap type="none"/>
          </v:rect>
        </w:pict>
      </w:r>
      <w:r>
        <w:rPr>
          <w:rFonts w:ascii="等线" w:hAnsi="等线" w:eastAsia="等线" w:hint="eastAsia"/>
          <w:b/>
          <w:position w:val="1"/>
          <w:sz w:val="24"/>
        </w:rPr>
        <w:t>等待期</w:t>
        <w:tab/>
      </w:r>
      <w:r>
        <w:rPr>
          <w:sz w:val="21"/>
          <w:shd w:fill="DADADA" w:color="auto" w:val="clear"/>
        </w:rPr>
        <w:t>从本附加险合同生</w:t>
      </w:r>
      <w:r>
        <w:rPr>
          <w:spacing w:val="-14"/>
          <w:sz w:val="21"/>
          <w:shd w:fill="DADADA" w:color="auto" w:val="clear"/>
        </w:rPr>
        <w:t>效</w:t>
      </w:r>
      <w:r>
        <w:rPr>
          <w:sz w:val="21"/>
          <w:shd w:fill="DADADA" w:color="auto" w:val="clear"/>
        </w:rPr>
        <w:t>（或最后复效</w:t>
      </w:r>
      <w:r>
        <w:rPr>
          <w:spacing w:val="-14"/>
          <w:sz w:val="21"/>
          <w:shd w:fill="DADADA" w:color="auto" w:val="clear"/>
        </w:rPr>
        <w:t>）</w:t>
      </w:r>
      <w:r>
        <w:rPr>
          <w:sz w:val="21"/>
          <w:shd w:fill="DADADA" w:color="auto" w:val="clear"/>
        </w:rPr>
        <w:t>之日起</w:t>
      </w:r>
      <w:r>
        <w:rPr>
          <w:spacing w:val="-53"/>
          <w:sz w:val="21"/>
          <w:shd w:fill="DADADA" w:color="auto" w:val="clear"/>
        </w:rPr>
        <w:t> </w:t>
      </w:r>
      <w:r>
        <w:rPr>
          <w:sz w:val="21"/>
          <w:shd w:fill="DADADA" w:color="auto" w:val="clear"/>
        </w:rPr>
        <w:t>90</w:t>
      </w:r>
      <w:r>
        <w:rPr>
          <w:spacing w:val="-53"/>
          <w:sz w:val="21"/>
          <w:shd w:fill="DADADA" w:color="auto" w:val="clear"/>
        </w:rPr>
        <w:t> </w:t>
      </w:r>
      <w:r>
        <w:rPr>
          <w:sz w:val="21"/>
          <w:shd w:fill="DADADA" w:color="auto" w:val="clear"/>
        </w:rPr>
        <w:t>日内</w:t>
      </w:r>
      <w:r>
        <w:rPr>
          <w:spacing w:val="-14"/>
          <w:sz w:val="21"/>
          <w:shd w:fill="DADADA" w:color="auto" w:val="clear"/>
        </w:rPr>
        <w:t>，</w:t>
      </w:r>
      <w:r>
        <w:rPr>
          <w:sz w:val="21"/>
          <w:shd w:fill="DADADA" w:color="auto" w:val="clear"/>
        </w:rPr>
        <w:t>被保险人因疾病发生</w:t>
      </w:r>
      <w:r>
        <w:rPr>
          <w:spacing w:val="0"/>
          <w:sz w:val="21"/>
        </w:rPr>
        <w:t>下列情</w:t>
      </w:r>
      <w:r>
        <w:rPr>
          <w:sz w:val="21"/>
        </w:rPr>
        <w:t>形之</w:t>
      </w:r>
      <w:r>
        <w:rPr>
          <w:spacing w:val="0"/>
          <w:sz w:val="21"/>
        </w:rPr>
        <w:t>一的</w:t>
      </w:r>
      <w:r>
        <w:rPr>
          <w:spacing w:val="-105"/>
          <w:sz w:val="21"/>
        </w:rPr>
        <w:t>：</w:t>
      </w:r>
      <w:r>
        <w:rPr>
          <w:spacing w:val="0"/>
          <w:sz w:val="21"/>
        </w:rPr>
        <w:t>（一</w:t>
      </w:r>
      <w:r>
        <w:rPr>
          <w:spacing w:val="-107"/>
          <w:sz w:val="21"/>
        </w:rPr>
        <w:t>）</w:t>
      </w:r>
      <w:r>
        <w:rPr>
          <w:rFonts w:ascii="黑体" w:hAnsi="黑体" w:eastAsia="黑体" w:hint="eastAsia"/>
          <w:b/>
          <w:spacing w:val="1"/>
          <w:w w:val="99"/>
          <w:sz w:val="21"/>
        </w:rPr>
        <w:t>“</w:t>
      </w:r>
      <w:r>
        <w:rPr>
          <w:rFonts w:ascii="黑体" w:hAnsi="黑体" w:eastAsia="黑体" w:hint="eastAsia"/>
          <w:b/>
          <w:spacing w:val="0"/>
          <w:w w:val="99"/>
          <w:sz w:val="21"/>
        </w:rPr>
        <w:t>重大</w:t>
      </w:r>
      <w:r>
        <w:rPr>
          <w:rFonts w:ascii="黑体" w:hAnsi="黑体" w:eastAsia="黑体" w:hint="eastAsia"/>
          <w:b/>
          <w:spacing w:val="1"/>
          <w:w w:val="99"/>
          <w:sz w:val="21"/>
        </w:rPr>
        <w:t>疾</w:t>
      </w:r>
      <w:r>
        <w:rPr>
          <w:rFonts w:ascii="黑体" w:hAnsi="黑体" w:eastAsia="黑体" w:hint="eastAsia"/>
          <w:b/>
          <w:spacing w:val="0"/>
          <w:w w:val="99"/>
          <w:sz w:val="21"/>
        </w:rPr>
        <w:t>病</w:t>
      </w:r>
      <w:r>
        <w:rPr>
          <w:rFonts w:ascii="黑体" w:hAnsi="黑体" w:eastAsia="黑体" w:hint="eastAsia"/>
          <w:b/>
          <w:spacing w:val="12"/>
          <w:w w:val="99"/>
          <w:sz w:val="21"/>
        </w:rPr>
        <w:t>”</w:t>
      </w:r>
      <w:hyperlink w:history="true" w:anchor="_bookmark0">
        <w:r>
          <w:rPr>
            <w:rFonts w:ascii="黑体" w:hAnsi="黑体" w:eastAsia="黑体" w:hint="eastAsia"/>
            <w:b/>
            <w:w w:val="99"/>
            <w:position w:val="11"/>
            <w:sz w:val="11"/>
          </w:rPr>
          <w:t>1</w:t>
        </w:r>
      </w:hyperlink>
      <w:r>
        <w:rPr>
          <w:spacing w:val="0"/>
          <w:sz w:val="21"/>
        </w:rPr>
        <w:t>或</w:t>
      </w:r>
      <w:r>
        <w:rPr>
          <w:rFonts w:ascii="黑体" w:hAnsi="黑体" w:eastAsia="黑体" w:hint="eastAsia"/>
          <w:b/>
          <w:spacing w:val="0"/>
          <w:w w:val="99"/>
          <w:sz w:val="21"/>
        </w:rPr>
        <w:t>“特定</w:t>
      </w:r>
      <w:r>
        <w:rPr>
          <w:rFonts w:ascii="黑体" w:hAnsi="黑体" w:eastAsia="黑体" w:hint="eastAsia"/>
          <w:b/>
          <w:spacing w:val="1"/>
          <w:w w:val="99"/>
          <w:sz w:val="21"/>
        </w:rPr>
        <w:t>轻</w:t>
      </w:r>
      <w:r>
        <w:rPr>
          <w:rFonts w:ascii="黑体" w:hAnsi="黑体" w:eastAsia="黑体" w:hint="eastAsia"/>
          <w:b/>
          <w:spacing w:val="0"/>
          <w:w w:val="99"/>
          <w:sz w:val="21"/>
        </w:rPr>
        <w:t>度重</w:t>
      </w:r>
      <w:r>
        <w:rPr>
          <w:rFonts w:ascii="黑体" w:hAnsi="黑体" w:eastAsia="黑体" w:hint="eastAsia"/>
          <w:b/>
          <w:spacing w:val="1"/>
          <w:w w:val="99"/>
          <w:sz w:val="21"/>
        </w:rPr>
        <w:t>疾</w:t>
      </w:r>
      <w:r>
        <w:rPr>
          <w:rFonts w:ascii="黑体" w:hAnsi="黑体" w:eastAsia="黑体" w:hint="eastAsia"/>
          <w:b/>
          <w:spacing w:val="10"/>
          <w:w w:val="99"/>
          <w:sz w:val="21"/>
        </w:rPr>
        <w:t>”</w:t>
      </w:r>
      <w:hyperlink w:history="true" w:anchor="_bookmark1">
        <w:r>
          <w:rPr>
            <w:rFonts w:ascii="黑体" w:hAnsi="黑体" w:eastAsia="黑体" w:hint="eastAsia"/>
            <w:b/>
            <w:spacing w:val="0"/>
            <w:w w:val="99"/>
            <w:position w:val="11"/>
            <w:sz w:val="11"/>
          </w:rPr>
          <w:t>2</w:t>
        </w:r>
      </w:hyperlink>
      <w:r>
        <w:rPr>
          <w:spacing w:val="-105"/>
          <w:sz w:val="21"/>
        </w:rPr>
        <w:t>，</w:t>
      </w:r>
      <w:r>
        <w:rPr>
          <w:spacing w:val="0"/>
          <w:sz w:val="21"/>
        </w:rPr>
        <w:t>（二）</w:t>
      </w:r>
      <w:r>
        <w:rPr>
          <w:sz w:val="21"/>
        </w:rPr>
        <w:t>因导致</w:t>
      </w:r>
    </w:p>
    <w:p>
      <w:pPr>
        <w:pStyle w:val="BodyText"/>
        <w:spacing w:line="273" w:lineRule="auto" w:before="22"/>
        <w:ind w:left="3296" w:right="115"/>
      </w:pPr>
      <w:r>
        <w:rPr>
          <w:spacing w:val="-6"/>
          <w:shd w:fill="DADADA" w:color="auto" w:val="clear"/>
        </w:rPr>
        <w:t>“重大疾病”或“特定轻度重疾”的相关疾病就诊，我们不承担保险责任， 退还本附加险合同的现金价值</w:t>
      </w:r>
      <w:r>
        <w:rPr>
          <w:spacing w:val="-26"/>
          <w:shd w:fill="DADADA" w:color="auto" w:val="clear"/>
        </w:rPr>
        <w:t>，本附加险合同终止。这 </w:t>
      </w:r>
      <w:r>
        <w:rPr>
          <w:shd w:fill="DADADA" w:color="auto" w:val="clear"/>
        </w:rPr>
        <w:t>90</w:t>
      </w:r>
      <w:r>
        <w:rPr>
          <w:spacing w:val="-8"/>
          <w:shd w:fill="DADADA" w:color="auto" w:val="clear"/>
        </w:rPr>
        <w:t> 日的时间称为等待期</w:t>
      </w:r>
      <w:r>
        <w:rPr>
          <w:spacing w:val="-8"/>
        </w:rPr>
        <w:t>；被保险人因</w:t>
      </w:r>
      <w:r>
        <w:rPr>
          <w:rFonts w:ascii="黑体" w:hAnsi="黑体" w:eastAsia="黑体" w:hint="eastAsia"/>
          <w:b/>
          <w:spacing w:val="-16"/>
        </w:rPr>
        <w:t>意外伤害 </w:t>
      </w:r>
      <w:hyperlink w:history="true" w:anchor="_bookmark2">
        <w:r>
          <w:rPr>
            <w:rFonts w:ascii="黑体" w:hAnsi="黑体" w:eastAsia="黑体" w:hint="eastAsia"/>
            <w:b/>
            <w:position w:val="11"/>
            <w:sz w:val="11"/>
          </w:rPr>
          <w:t>3</w:t>
        </w:r>
      </w:hyperlink>
      <w:r>
        <w:rPr/>
        <w:t>发生上述两项情形之一的，无等待期。</w:t>
      </w:r>
    </w:p>
    <w:p>
      <w:pPr>
        <w:pStyle w:val="BodyText"/>
        <w:spacing w:line="273" w:lineRule="auto" w:before="4"/>
        <w:ind w:left="3296" w:right="220"/>
      </w:pPr>
      <w:r>
        <w:rPr/>
        <w:t>如果在等待期后发生保险事故，我们按照下列方式提前给付主险合同部分或全部保险金并相应调整主险合同各项保险利益：</w:t>
      </w:r>
    </w:p>
    <w:p>
      <w:pPr>
        <w:pStyle w:val="BodyText"/>
        <w:spacing w:before="5"/>
        <w:rPr>
          <w:sz w:val="19"/>
        </w:rPr>
      </w:pPr>
    </w:p>
    <w:p>
      <w:pPr>
        <w:tabs>
          <w:tab w:pos="3296" w:val="left" w:leader="none"/>
        </w:tabs>
        <w:spacing w:line="254" w:lineRule="auto" w:before="1"/>
        <w:ind w:left="3296" w:right="219" w:hanging="2315"/>
        <w:jc w:val="left"/>
        <w:rPr>
          <w:sz w:val="21"/>
        </w:rPr>
      </w:pPr>
      <w:r>
        <w:rPr>
          <w:rFonts w:ascii="等线" w:hAnsi="等线" w:eastAsia="等线" w:hint="eastAsia"/>
          <w:b/>
          <w:position w:val="1"/>
          <w:sz w:val="24"/>
        </w:rPr>
        <w:t>重大疾病保险金</w:t>
        <w:tab/>
      </w:r>
      <w:r>
        <w:rPr>
          <w:sz w:val="21"/>
        </w:rPr>
        <w:t>被保险人经</w:t>
      </w:r>
      <w:r>
        <w:rPr>
          <w:rFonts w:ascii="黑体" w:hAnsi="黑体" w:eastAsia="黑体" w:hint="eastAsia"/>
          <w:b/>
          <w:sz w:val="21"/>
        </w:rPr>
        <w:t>医院</w:t>
      </w:r>
      <w:r>
        <w:rPr>
          <w:rFonts w:ascii="黑体" w:hAnsi="黑体" w:eastAsia="黑体" w:hint="eastAsia"/>
          <w:b/>
          <w:spacing w:val="-44"/>
          <w:sz w:val="21"/>
        </w:rPr>
        <w:t> </w:t>
      </w:r>
      <w:hyperlink w:history="true" w:anchor="_bookmark3">
        <w:r>
          <w:rPr>
            <w:rFonts w:ascii="黑体" w:hAnsi="黑体" w:eastAsia="黑体" w:hint="eastAsia"/>
            <w:b/>
            <w:position w:val="11"/>
            <w:sz w:val="11"/>
          </w:rPr>
          <w:t>4</w:t>
        </w:r>
      </w:hyperlink>
      <w:r>
        <w:rPr>
          <w:sz w:val="21"/>
        </w:rPr>
        <w:t>确诊初次发</w:t>
      </w:r>
      <w:r>
        <w:rPr>
          <w:spacing w:val="-36"/>
          <w:sz w:val="21"/>
        </w:rPr>
        <w:t>生</w:t>
      </w:r>
      <w:r>
        <w:rPr>
          <w:sz w:val="21"/>
        </w:rPr>
        <w:t>“重大疾病</w:t>
      </w:r>
      <w:r>
        <w:rPr>
          <w:spacing w:val="-71"/>
          <w:sz w:val="21"/>
        </w:rPr>
        <w:t>”，</w:t>
      </w:r>
      <w:r>
        <w:rPr>
          <w:sz w:val="21"/>
        </w:rPr>
        <w:t>我们按照</w:t>
      </w:r>
      <w:r>
        <w:rPr>
          <w:rFonts w:ascii="黑体" w:hAnsi="黑体" w:eastAsia="黑体" w:hint="eastAsia"/>
          <w:b/>
          <w:sz w:val="21"/>
        </w:rPr>
        <w:t>基本保险金额</w:t>
      </w:r>
      <w:r>
        <w:rPr>
          <w:rFonts w:ascii="黑体" w:hAnsi="黑体" w:eastAsia="黑体" w:hint="eastAsia"/>
          <w:b/>
          <w:spacing w:val="-45"/>
          <w:sz w:val="21"/>
        </w:rPr>
        <w:t> </w:t>
      </w:r>
      <w:hyperlink w:history="true" w:anchor="_bookmark4">
        <w:r>
          <w:rPr>
            <w:rFonts w:ascii="黑体" w:hAnsi="黑体" w:eastAsia="黑体" w:hint="eastAsia"/>
            <w:b/>
            <w:position w:val="11"/>
            <w:sz w:val="11"/>
          </w:rPr>
          <w:t>5</w:t>
        </w:r>
      </w:hyperlink>
      <w:r>
        <w:rPr>
          <w:sz w:val="21"/>
        </w:rPr>
        <w:t>给付重大疾病保险金。</w:t>
      </w:r>
    </w:p>
    <w:p>
      <w:pPr>
        <w:pStyle w:val="BodyText"/>
        <w:spacing w:before="8"/>
        <w:rPr>
          <w:sz w:val="23"/>
        </w:rPr>
      </w:pPr>
    </w:p>
    <w:p>
      <w:pPr>
        <w:pStyle w:val="BodyText"/>
        <w:spacing w:line="273" w:lineRule="auto"/>
        <w:ind w:left="3296" w:right="220"/>
        <w:jc w:val="both"/>
      </w:pPr>
      <w:r>
        <w:rPr/>
        <w:t>我们给付重大疾病保险金后，本附加险合同终止，主险合同基本保险金额按给付的重大疾病保险金等额减少；主险合同约定的各项保险责任及保险单上载明的现金价值按减少后的基本保险金额确定。当主险合同基本保险金额减少至零时，主险合同终止。</w:t>
      </w:r>
    </w:p>
    <w:p>
      <w:pPr>
        <w:pStyle w:val="BodyText"/>
        <w:spacing w:before="3"/>
        <w:rPr>
          <w:sz w:val="18"/>
        </w:rPr>
      </w:pPr>
    </w:p>
    <w:p>
      <w:pPr>
        <w:spacing w:after="0"/>
        <w:rPr>
          <w:sz w:val="18"/>
        </w:rPr>
        <w:sectPr>
          <w:pgSz w:w="11910" w:h="16840"/>
          <w:pgMar w:top="800" w:bottom="280" w:left="800" w:right="800"/>
        </w:sectPr>
      </w:pPr>
    </w:p>
    <w:p>
      <w:pPr>
        <w:pStyle w:val="Heading2"/>
        <w:spacing w:line="232" w:lineRule="auto"/>
        <w:ind w:left="981"/>
      </w:pPr>
      <w:r>
        <w:rPr/>
        <w:t>特定轻度重疾保险金</w:t>
      </w:r>
    </w:p>
    <w:p>
      <w:pPr>
        <w:pStyle w:val="BodyText"/>
        <w:spacing w:line="273" w:lineRule="auto" w:before="53"/>
        <w:ind w:left="150" w:right="116"/>
      </w:pPr>
      <w:r>
        <w:rPr/>
        <w:br w:type="column"/>
      </w:r>
      <w:r>
        <w:rPr>
          <w:spacing w:val="-12"/>
        </w:rPr>
        <w:t>被保险人经医院确诊初次发生“特定轻度重疾”但此前未发生“重大疾病”，</w:t>
      </w:r>
      <w:r>
        <w:rPr>
          <w:spacing w:val="-22"/>
        </w:rPr>
        <w:t>且确诊 </w:t>
      </w:r>
      <w:r>
        <w:rPr/>
        <w:t>28</w:t>
      </w:r>
      <w:r>
        <w:rPr>
          <w:spacing w:val="-10"/>
        </w:rPr>
        <w:t> 日后仍生存的，我们按照基本保险金额的 </w:t>
      </w:r>
      <w:r>
        <w:rPr/>
        <w:t>20%给付特定轻度重疾保险金。</w:t>
      </w:r>
    </w:p>
    <w:p>
      <w:pPr>
        <w:pStyle w:val="BodyText"/>
        <w:spacing w:line="273" w:lineRule="auto" w:before="7"/>
        <w:ind w:left="150" w:right="218"/>
      </w:pPr>
      <w:r>
        <w:rPr/>
        <w:t>特定轻度重疾保险金给付以一次为限。我们给付特定轻度重疾保险金后， 本附加险合同继续有效，基本保险金额不变。</w:t>
      </w:r>
    </w:p>
    <w:p>
      <w:pPr>
        <w:spacing w:after="0" w:line="273" w:lineRule="auto"/>
        <w:sectPr>
          <w:type w:val="continuous"/>
          <w:pgSz w:w="11910" w:h="16840"/>
          <w:pgMar w:top="580" w:bottom="280" w:left="800" w:right="800"/>
          <w:cols w:num="2" w:equalWidth="0">
            <w:col w:w="3107" w:space="40"/>
            <w:col w:w="7163"/>
          </w:cols>
        </w:sectPr>
      </w:pPr>
    </w:p>
    <w:p>
      <w:pPr>
        <w:pStyle w:val="BodyText"/>
        <w:spacing w:before="2"/>
        <w:rPr>
          <w:sz w:val="22"/>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21" w:right="129" w:firstLine="0"/>
        <w:jc w:val="left"/>
        <w:rPr>
          <w:sz w:val="18"/>
        </w:rPr>
      </w:pPr>
      <w:bookmarkStart w:name="_bookmark0" w:id="1"/>
      <w:bookmarkEnd w:id="1"/>
      <w:r>
        <w:rPr/>
      </w:r>
      <w:r>
        <w:rPr>
          <w:rFonts w:ascii="Microsoft JhengHei" w:hAnsi="Microsoft JhengHei" w:eastAsia="Microsoft JhengHei" w:hint="eastAsia"/>
          <w:b/>
          <w:position w:val="9"/>
          <w:sz w:val="9"/>
        </w:rPr>
        <w:t>1 </w:t>
      </w:r>
      <w:r>
        <w:rPr>
          <w:rFonts w:ascii="Microsoft JhengHei" w:hAnsi="Microsoft JhengHei" w:eastAsia="Microsoft JhengHei" w:hint="eastAsia"/>
          <w:b/>
          <w:sz w:val="18"/>
        </w:rPr>
        <w:t>重大疾病</w:t>
      </w:r>
      <w:r>
        <w:rPr>
          <w:spacing w:val="-2"/>
          <w:sz w:val="18"/>
        </w:rPr>
        <w:t>指被保险人初次发生符合</w:t>
      </w:r>
      <w:r>
        <w:rPr>
          <w:sz w:val="18"/>
        </w:rPr>
        <w:t>“7</w:t>
      </w:r>
      <w:r>
        <w:rPr>
          <w:spacing w:val="-10"/>
          <w:sz w:val="18"/>
        </w:rPr>
        <w:t> 重大疾病释义”定义的疾病，或初次接受符合</w:t>
      </w:r>
      <w:r>
        <w:rPr>
          <w:sz w:val="18"/>
        </w:rPr>
        <w:t>“7</w:t>
      </w:r>
      <w:r>
        <w:rPr>
          <w:spacing w:val="-9"/>
          <w:sz w:val="18"/>
        </w:rPr>
        <w:t> 重大疾病释义”定义的手术。该疾病</w:t>
      </w:r>
      <w:r>
        <w:rPr>
          <w:spacing w:val="-12"/>
          <w:sz w:val="18"/>
        </w:rPr>
        <w:t>或手术应当由专科医生明确诊断。专科医生应当同时满足以下四项资格条件</w:t>
      </w:r>
      <w:r>
        <w:rPr>
          <w:spacing w:val="-144"/>
          <w:sz w:val="18"/>
        </w:rPr>
        <w:t>：</w:t>
      </w:r>
      <w:r>
        <w:rPr>
          <w:sz w:val="18"/>
        </w:rPr>
        <w:t>（1</w:t>
      </w:r>
      <w:r>
        <w:rPr>
          <w:spacing w:val="-54"/>
          <w:sz w:val="18"/>
        </w:rPr>
        <w:t>）</w:t>
      </w:r>
      <w:r>
        <w:rPr>
          <w:spacing w:val="-10"/>
          <w:sz w:val="18"/>
        </w:rPr>
        <w:t>具有有效的中华人民共和国《医师资格证书》；</w:t>
      </w:r>
    </w:p>
    <w:p>
      <w:pPr>
        <w:spacing w:line="285" w:lineRule="auto" w:before="30"/>
        <w:ind w:left="221" w:right="219" w:firstLine="0"/>
        <w:jc w:val="left"/>
        <w:rPr>
          <w:sz w:val="18"/>
        </w:rPr>
      </w:pPr>
      <w:r>
        <w:rPr>
          <w:sz w:val="18"/>
        </w:rPr>
        <w:t>（2</w:t>
      </w:r>
      <w:r>
        <w:rPr>
          <w:spacing w:val="-8"/>
          <w:sz w:val="18"/>
        </w:rPr>
        <w:t>）</w:t>
      </w:r>
      <w:r>
        <w:rPr>
          <w:spacing w:val="-10"/>
          <w:sz w:val="18"/>
        </w:rPr>
        <w:t>具有有效的中华人民共和国《医师执业证书》，并按期到相关部门登记注册；</w:t>
      </w:r>
      <w:r>
        <w:rPr>
          <w:sz w:val="18"/>
        </w:rPr>
        <w:t>（3</w:t>
      </w:r>
      <w:r>
        <w:rPr>
          <w:spacing w:val="-8"/>
          <w:sz w:val="18"/>
        </w:rPr>
        <w:t>）</w:t>
      </w:r>
      <w:r>
        <w:rPr>
          <w:sz w:val="18"/>
        </w:rPr>
        <w:t>具有有效的中华人民共和国主治医师或</w:t>
      </w:r>
      <w:r>
        <w:rPr>
          <w:spacing w:val="-11"/>
          <w:sz w:val="18"/>
        </w:rPr>
        <w:t>主治医师以上职称的《医师职称证书》；</w:t>
      </w:r>
      <w:r>
        <w:rPr>
          <w:sz w:val="18"/>
        </w:rPr>
        <w:t>（4）在二级或二级以上医院的相应科室从事临床工作三年以上。</w:t>
      </w:r>
    </w:p>
    <w:p>
      <w:pPr>
        <w:spacing w:line="266" w:lineRule="exact" w:before="0"/>
        <w:ind w:left="221" w:right="0" w:firstLine="0"/>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特定轻度重疾</w:t>
      </w:r>
      <w:r>
        <w:rPr>
          <w:spacing w:val="-5"/>
          <w:sz w:val="18"/>
        </w:rPr>
        <w:t>指被保险人初次发生符合“</w:t>
      </w:r>
      <w:r>
        <w:rPr>
          <w:sz w:val="18"/>
        </w:rPr>
        <w:t>8</w:t>
      </w:r>
      <w:r>
        <w:rPr>
          <w:spacing w:val="-16"/>
          <w:sz w:val="18"/>
        </w:rPr>
        <w:t> 特定轻度重疾释义”定义的疾病，或初次接受符合</w:t>
      </w:r>
      <w:r>
        <w:rPr>
          <w:sz w:val="18"/>
        </w:rPr>
        <w:t>“8</w:t>
      </w:r>
      <w:r>
        <w:rPr>
          <w:spacing w:val="-11"/>
          <w:sz w:val="18"/>
        </w:rPr>
        <w:t> 特定轻度重疾释义”的手术。</w:t>
      </w:r>
    </w:p>
    <w:p>
      <w:pPr>
        <w:spacing w:line="229" w:lineRule="exact" w:before="25"/>
        <w:ind w:left="221" w:right="0" w:firstLine="0"/>
        <w:jc w:val="left"/>
        <w:rPr>
          <w:sz w:val="18"/>
        </w:rPr>
      </w:pPr>
      <w:r>
        <w:rPr>
          <w:sz w:val="18"/>
        </w:rPr>
        <w:t>该疾病或手术应当由专科医生明确诊断。</w:t>
      </w:r>
    </w:p>
    <w:p>
      <w:pPr>
        <w:spacing w:line="29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96" w:lineRule="exact" w:before="0"/>
        <w:ind w:left="221" w:right="0" w:firstLine="0"/>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w:t>
      </w:r>
    </w:p>
    <w:p>
      <w:pPr>
        <w:spacing w:line="285" w:lineRule="auto" w:before="24"/>
        <w:ind w:left="221" w:right="220" w:firstLine="0"/>
        <w:jc w:val="left"/>
        <w:rPr>
          <w:sz w:val="18"/>
        </w:rPr>
      </w:pPr>
      <w:r>
        <w:rPr>
          <w:spacing w:val="-6"/>
          <w:sz w:val="18"/>
          <w:shd w:fill="DADADA" w:color="auto" w:val="clear"/>
        </w:rPr>
        <w:t>酒、护理、养老等非以直接诊治病人为目的的医疗机构。</w:t>
      </w:r>
      <w:r>
        <w:rPr>
          <w:spacing w:val="-1"/>
          <w:sz w:val="18"/>
        </w:rPr>
        <w:t>该医院必须具有符合国家有关医院管理规则设置标准的医疗设备，且全天二十四小时有合格医师及护士驻院提供医疗及护理服务。</w:t>
      </w:r>
    </w:p>
    <w:p>
      <w:pPr>
        <w:spacing w:line="266" w:lineRule="exact" w:before="0"/>
        <w:ind w:left="22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基本保险金额</w:t>
      </w:r>
      <w:r>
        <w:rPr>
          <w:sz w:val="18"/>
        </w:rPr>
        <w:t>指投保时您购买的金额，会在投保书以及保险单上载明。</w:t>
      </w:r>
    </w:p>
    <w:p>
      <w:pPr>
        <w:spacing w:after="0" w:line="266" w:lineRule="exact"/>
        <w:jc w:val="left"/>
        <w:rPr>
          <w:sz w:val="18"/>
        </w:rPr>
        <w:sectPr>
          <w:type w:val="continuous"/>
          <w:pgSz w:w="11910" w:h="16840"/>
          <w:pgMar w:top="580" w:bottom="280" w:left="800" w:right="800"/>
        </w:sectPr>
      </w:pPr>
    </w:p>
    <w:p>
      <w:pPr>
        <w:pStyle w:val="Heading2"/>
        <w:spacing w:line="232" w:lineRule="auto" w:before="18"/>
      </w:pPr>
      <w:r>
        <w:rPr/>
        <w:t>我们所保障的重大疾病</w:t>
      </w: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rPr>
          <w:rFonts w:ascii="等线"/>
          <w:b/>
          <w:sz w:val="24"/>
        </w:rPr>
      </w:pPr>
    </w:p>
    <w:p>
      <w:pPr>
        <w:pStyle w:val="BodyText"/>
        <w:spacing w:before="7"/>
        <w:rPr>
          <w:rFonts w:ascii="等线"/>
          <w:b/>
          <w:sz w:val="32"/>
        </w:rPr>
      </w:pPr>
    </w:p>
    <w:p>
      <w:pPr>
        <w:spacing w:line="232" w:lineRule="auto" w:before="0"/>
        <w:ind w:left="101" w:right="0" w:firstLine="0"/>
        <w:jc w:val="left"/>
        <w:rPr>
          <w:rFonts w:ascii="等线" w:eastAsia="等线" w:hint="eastAsia"/>
          <w:b/>
          <w:sz w:val="24"/>
        </w:rPr>
      </w:pPr>
      <w:r>
        <w:rPr>
          <w:rFonts w:ascii="等线" w:eastAsia="等线" w:hint="eastAsia"/>
          <w:b/>
          <w:sz w:val="24"/>
        </w:rPr>
        <w:t>我们所保障的特定轻度重疾</w:t>
      </w:r>
    </w:p>
    <w:p>
      <w:pPr>
        <w:pStyle w:val="BodyText"/>
        <w:spacing w:line="273" w:lineRule="auto" w:before="40"/>
        <w:ind w:left="101" w:right="100"/>
      </w:pPr>
      <w:r>
        <w:rPr/>
        <w:br w:type="column"/>
      </w:r>
      <w:r>
        <w:rPr>
          <w:spacing w:val="-4"/>
        </w:rPr>
        <w:t>我们提供保障的重大疾病共有 </w:t>
      </w:r>
      <w:r>
        <w:rPr/>
        <w:t>45</w:t>
      </w:r>
      <w:r>
        <w:rPr>
          <w:spacing w:val="-8"/>
        </w:rPr>
        <w:t> 种，名称如下，具体释义见</w:t>
      </w:r>
      <w:r>
        <w:rPr/>
        <w:t>“7</w:t>
      </w:r>
      <w:r>
        <w:rPr>
          <w:spacing w:val="-11"/>
        </w:rPr>
        <w:t> 重大疾病</w:t>
      </w:r>
      <w:r>
        <w:rPr>
          <w:spacing w:val="-33"/>
        </w:rPr>
        <w:t>释义”。</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4262"/>
      </w:tblGrid>
      <w:tr>
        <w:trPr>
          <w:trHeight w:val="329" w:hRule="atLeast"/>
        </w:trPr>
        <w:tc>
          <w:tcPr>
            <w:tcW w:w="6727" w:type="dxa"/>
            <w:gridSpan w:val="2"/>
          </w:tcPr>
          <w:p>
            <w:pPr>
              <w:pStyle w:val="TableParagraph"/>
              <w:spacing w:line="269" w:lineRule="exact"/>
              <w:ind w:left="107"/>
              <w:rPr>
                <w:b/>
                <w:sz w:val="21"/>
              </w:rPr>
            </w:pPr>
            <w:r>
              <w:rPr>
                <w:b/>
                <w:sz w:val="21"/>
              </w:rPr>
              <w:t>第 1 类：与恶性肿瘤相关的疾病</w:t>
            </w:r>
          </w:p>
        </w:tc>
      </w:tr>
      <w:tr>
        <w:trPr>
          <w:trHeight w:val="468" w:hRule="atLeast"/>
        </w:trPr>
        <w:tc>
          <w:tcPr>
            <w:tcW w:w="2465" w:type="dxa"/>
            <w:tcBorders>
              <w:right w:val="nil"/>
            </w:tcBorders>
          </w:tcPr>
          <w:p>
            <w:pPr>
              <w:pStyle w:val="TableParagraph"/>
              <w:spacing w:before="64"/>
              <w:ind w:left="107"/>
              <w:rPr>
                <w:sz w:val="21"/>
              </w:rPr>
            </w:pPr>
            <w:r>
              <w:rPr>
                <w:sz w:val="21"/>
              </w:rPr>
              <w:t>1、恶性肿瘤</w:t>
            </w:r>
          </w:p>
        </w:tc>
        <w:tc>
          <w:tcPr>
            <w:tcW w:w="4262" w:type="dxa"/>
            <w:tcBorders>
              <w:left w:val="nil"/>
            </w:tcBorders>
          </w:tcPr>
          <w:p>
            <w:pPr>
              <w:pStyle w:val="TableParagraph"/>
              <w:spacing w:before="64"/>
              <w:ind w:left="112"/>
              <w:rPr>
                <w:sz w:val="21"/>
              </w:rPr>
            </w:pPr>
            <w:r>
              <w:rPr>
                <w:sz w:val="21"/>
              </w:rPr>
              <w:t>2、侵蚀性葡萄胎（或称恶性葡萄胎）</w:t>
            </w:r>
          </w:p>
        </w:tc>
      </w:tr>
      <w:tr>
        <w:trPr>
          <w:trHeight w:val="329" w:hRule="atLeast"/>
        </w:trPr>
        <w:tc>
          <w:tcPr>
            <w:tcW w:w="6727" w:type="dxa"/>
            <w:gridSpan w:val="2"/>
          </w:tcPr>
          <w:p>
            <w:pPr>
              <w:pStyle w:val="TableParagraph"/>
              <w:spacing w:line="260" w:lineRule="exact"/>
              <w:ind w:left="107"/>
              <w:rPr>
                <w:b/>
                <w:sz w:val="21"/>
              </w:rPr>
            </w:pPr>
            <w:r>
              <w:rPr>
                <w:b/>
                <w:sz w:val="21"/>
              </w:rPr>
              <w:t>第 2 类：与心脏或脑血管相关的疾病</w:t>
            </w:r>
          </w:p>
        </w:tc>
      </w:tr>
      <w:tr>
        <w:trPr>
          <w:trHeight w:val="1559" w:hRule="atLeast"/>
        </w:trPr>
        <w:tc>
          <w:tcPr>
            <w:tcW w:w="2465"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262" w:type="dxa"/>
            <w:tcBorders>
              <w:left w:val="nil"/>
            </w:tcBorders>
          </w:tcPr>
          <w:p>
            <w:pPr>
              <w:pStyle w:val="TableParagraph"/>
              <w:spacing w:line="260" w:lineRule="exact"/>
              <w:ind w:left="112"/>
              <w:rPr>
                <w:sz w:val="21"/>
              </w:rPr>
            </w:pPr>
            <w:r>
              <w:rPr>
                <w:sz w:val="21"/>
              </w:rPr>
              <w:t>4、严重原发性肺动脉高压</w:t>
            </w:r>
          </w:p>
          <w:p>
            <w:pPr>
              <w:pStyle w:val="TableParagraph"/>
              <w:spacing w:before="37"/>
              <w:ind w:left="112"/>
              <w:rPr>
                <w:sz w:val="21"/>
              </w:rPr>
            </w:pPr>
            <w:r>
              <w:rPr>
                <w:sz w:val="21"/>
              </w:rPr>
              <w:t>6、严重的原发性心肌病</w:t>
            </w:r>
          </w:p>
          <w:p>
            <w:pPr>
              <w:pStyle w:val="TableParagraph"/>
              <w:spacing w:line="273" w:lineRule="auto" w:before="37"/>
              <w:ind w:left="428" w:right="33" w:hanging="316"/>
              <w:rPr>
                <w:sz w:val="21"/>
              </w:rPr>
            </w:pPr>
            <w:r>
              <w:rPr>
                <w:sz w:val="21"/>
              </w:rPr>
              <w:t>8、冠状动脉搭桥术（或称冠状动脉旁路移植术）</w:t>
            </w:r>
          </w:p>
        </w:tc>
      </w:tr>
      <w:tr>
        <w:trPr>
          <w:trHeight w:val="312" w:hRule="atLeast"/>
        </w:trPr>
        <w:tc>
          <w:tcPr>
            <w:tcW w:w="6727" w:type="dxa"/>
            <w:gridSpan w:val="2"/>
          </w:tcPr>
          <w:p>
            <w:pPr>
              <w:pStyle w:val="TableParagraph"/>
              <w:spacing w:line="261" w:lineRule="exact"/>
              <w:ind w:left="107"/>
              <w:rPr>
                <w:b/>
                <w:sz w:val="21"/>
              </w:rPr>
            </w:pPr>
            <w:r>
              <w:rPr>
                <w:b/>
                <w:sz w:val="21"/>
              </w:rPr>
              <w:t>第 3 类：与器官功能严重受损相关的疾病</w:t>
            </w:r>
          </w:p>
        </w:tc>
      </w:tr>
      <w:tr>
        <w:trPr>
          <w:trHeight w:val="2807" w:hRule="atLeast"/>
        </w:trPr>
        <w:tc>
          <w:tcPr>
            <w:tcW w:w="2465" w:type="dxa"/>
            <w:tcBorders>
              <w:right w:val="nil"/>
            </w:tcBorders>
          </w:tcPr>
          <w:p>
            <w:pPr>
              <w:pStyle w:val="TableParagraph"/>
              <w:spacing w:line="260"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262" w:type="dxa"/>
            <w:tcBorders>
              <w:left w:val="nil"/>
            </w:tcBorders>
          </w:tcPr>
          <w:p>
            <w:pPr>
              <w:pStyle w:val="TableParagraph"/>
              <w:spacing w:line="260" w:lineRule="exact"/>
              <w:ind w:left="112"/>
              <w:rPr>
                <w:sz w:val="21"/>
              </w:rPr>
            </w:pPr>
            <w:r>
              <w:rPr>
                <w:sz w:val="21"/>
              </w:rPr>
              <w:t>12、重大器官移植术或造血干细胞移植术</w:t>
            </w:r>
          </w:p>
          <w:p>
            <w:pPr>
              <w:pStyle w:val="TableParagraph"/>
              <w:spacing w:before="37"/>
              <w:ind w:left="112"/>
              <w:rPr>
                <w:sz w:val="21"/>
              </w:rPr>
            </w:pPr>
            <w:r>
              <w:rPr>
                <w:sz w:val="21"/>
              </w:rPr>
              <w:t>14、慢性肝功能衰竭失代偿期</w:t>
            </w:r>
          </w:p>
          <w:p>
            <w:pPr>
              <w:pStyle w:val="TableParagraph"/>
              <w:spacing w:before="37"/>
              <w:ind w:left="112"/>
              <w:rPr>
                <w:sz w:val="21"/>
              </w:rPr>
            </w:pPr>
            <w:r>
              <w:rPr>
                <w:sz w:val="21"/>
              </w:rPr>
              <w:t>16、系统性红斑狼疮并发肾功能损害</w:t>
            </w:r>
          </w:p>
          <w:p>
            <w:pPr>
              <w:pStyle w:val="TableParagraph"/>
              <w:spacing w:before="37"/>
              <w:ind w:left="112"/>
              <w:rPr>
                <w:sz w:val="21"/>
              </w:rPr>
            </w:pPr>
            <w:r>
              <w:rPr>
                <w:sz w:val="21"/>
              </w:rPr>
              <w:t>18、急性或亚急性重症肝炎</w:t>
            </w:r>
          </w:p>
          <w:p>
            <w:pPr>
              <w:pStyle w:val="TableParagraph"/>
              <w:spacing w:line="273" w:lineRule="auto" w:before="37"/>
              <w:ind w:left="532" w:right="91" w:hanging="420"/>
              <w:rPr>
                <w:sz w:val="21"/>
              </w:rPr>
            </w:pPr>
            <w:r>
              <w:rPr>
                <w:sz w:val="21"/>
              </w:rPr>
              <w:t>20、终末期肾病（或称慢性肾功能衰竭尿毒症期）</w:t>
            </w:r>
          </w:p>
          <w:p>
            <w:pPr>
              <w:pStyle w:val="TableParagraph"/>
              <w:spacing w:before="8"/>
              <w:ind w:left="112"/>
              <w:rPr>
                <w:sz w:val="21"/>
              </w:rPr>
            </w:pPr>
            <w:r>
              <w:rPr>
                <w:sz w:val="21"/>
              </w:rPr>
              <w:t>23、急性坏死性胰腺炎开腹手术</w:t>
            </w:r>
          </w:p>
          <w:p>
            <w:pPr>
              <w:pStyle w:val="TableParagraph"/>
              <w:spacing w:before="37"/>
              <w:ind w:left="112"/>
              <w:rPr>
                <w:sz w:val="21"/>
              </w:rPr>
            </w:pPr>
            <w:r>
              <w:rPr>
                <w:sz w:val="21"/>
              </w:rPr>
              <w:t>25、严重肝豆状核变性（Wilson 病）</w:t>
            </w:r>
          </w:p>
          <w:p>
            <w:pPr>
              <w:pStyle w:val="TableParagraph"/>
              <w:spacing w:before="37"/>
              <w:ind w:left="112"/>
              <w:rPr>
                <w:sz w:val="21"/>
              </w:rPr>
            </w:pPr>
            <w:r>
              <w:rPr>
                <w:sz w:val="21"/>
              </w:rPr>
              <w:t>27、严重弥漫性系统性硬皮病</w:t>
            </w:r>
          </w:p>
        </w:tc>
      </w:tr>
      <w:tr>
        <w:trPr>
          <w:trHeight w:val="311" w:hRule="atLeast"/>
        </w:trPr>
        <w:tc>
          <w:tcPr>
            <w:tcW w:w="6727" w:type="dxa"/>
            <w:gridSpan w:val="2"/>
          </w:tcPr>
          <w:p>
            <w:pPr>
              <w:pStyle w:val="TableParagraph"/>
              <w:spacing w:line="260" w:lineRule="exact"/>
              <w:ind w:left="107"/>
              <w:rPr>
                <w:b/>
                <w:sz w:val="21"/>
              </w:rPr>
            </w:pPr>
            <w:r>
              <w:rPr>
                <w:b/>
                <w:sz w:val="21"/>
              </w:rPr>
              <w:t>第 4 类：与神经系统相关的疾病</w:t>
            </w:r>
          </w:p>
        </w:tc>
      </w:tr>
      <w:tr>
        <w:trPr>
          <w:trHeight w:val="1872" w:hRule="atLeast"/>
        </w:trPr>
        <w:tc>
          <w:tcPr>
            <w:tcW w:w="2465" w:type="dxa"/>
            <w:tcBorders>
              <w:right w:val="nil"/>
            </w:tcBorders>
          </w:tcPr>
          <w:p>
            <w:pPr>
              <w:pStyle w:val="TableParagraph"/>
              <w:spacing w:line="261"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262" w:type="dxa"/>
            <w:tcBorders>
              <w:left w:val="nil"/>
            </w:tcBorders>
          </w:tcPr>
          <w:p>
            <w:pPr>
              <w:pStyle w:val="TableParagraph"/>
              <w:spacing w:line="261" w:lineRule="exact"/>
              <w:ind w:left="112"/>
              <w:rPr>
                <w:sz w:val="21"/>
              </w:rPr>
            </w:pPr>
            <w:r>
              <w:rPr>
                <w:sz w:val="21"/>
              </w:rPr>
              <w:t>29、脑炎后遗症或脑膜炎后遗症</w:t>
            </w:r>
          </w:p>
          <w:p>
            <w:pPr>
              <w:pStyle w:val="TableParagraph"/>
              <w:spacing w:before="37"/>
              <w:ind w:left="112"/>
              <w:rPr>
                <w:sz w:val="21"/>
              </w:rPr>
            </w:pPr>
            <w:r>
              <w:rPr>
                <w:sz w:val="21"/>
              </w:rPr>
              <w:t>31、严重阿尔茨海默病</w:t>
            </w:r>
          </w:p>
          <w:p>
            <w:pPr>
              <w:pStyle w:val="TableParagraph"/>
              <w:spacing w:before="37"/>
              <w:ind w:left="112"/>
              <w:rPr>
                <w:sz w:val="21"/>
              </w:rPr>
            </w:pPr>
            <w:r>
              <w:rPr>
                <w:sz w:val="21"/>
              </w:rPr>
              <w:t>33、严重的多发性硬化</w:t>
            </w:r>
          </w:p>
          <w:p>
            <w:pPr>
              <w:pStyle w:val="TableParagraph"/>
              <w:spacing w:before="37"/>
              <w:ind w:left="112"/>
              <w:rPr>
                <w:sz w:val="21"/>
              </w:rPr>
            </w:pPr>
            <w:r>
              <w:rPr>
                <w:sz w:val="21"/>
              </w:rPr>
              <w:t>35、严重运动神经元病</w:t>
            </w:r>
          </w:p>
          <w:p>
            <w:pPr>
              <w:pStyle w:val="TableParagraph"/>
              <w:spacing w:before="37"/>
              <w:ind w:left="112"/>
              <w:rPr>
                <w:sz w:val="21"/>
              </w:rPr>
            </w:pPr>
            <w:r>
              <w:rPr>
                <w:sz w:val="21"/>
              </w:rPr>
              <w:t>37、非阿尔茨海默病所致严重痴呆</w:t>
            </w:r>
          </w:p>
        </w:tc>
      </w:tr>
      <w:tr>
        <w:trPr>
          <w:trHeight w:val="311" w:hRule="atLeast"/>
        </w:trPr>
        <w:tc>
          <w:tcPr>
            <w:tcW w:w="6727" w:type="dxa"/>
            <w:gridSpan w:val="2"/>
          </w:tcPr>
          <w:p>
            <w:pPr>
              <w:pStyle w:val="TableParagraph"/>
              <w:spacing w:line="260" w:lineRule="exact"/>
              <w:ind w:left="107"/>
              <w:rPr>
                <w:b/>
                <w:sz w:val="21"/>
              </w:rPr>
            </w:pPr>
            <w:r>
              <w:rPr>
                <w:b/>
                <w:sz w:val="21"/>
              </w:rPr>
              <w:t>第 5 类：其他重大疾病</w:t>
            </w:r>
          </w:p>
        </w:tc>
      </w:tr>
      <w:tr>
        <w:trPr>
          <w:trHeight w:val="1248" w:hRule="atLeast"/>
        </w:trPr>
        <w:tc>
          <w:tcPr>
            <w:tcW w:w="2465"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262" w:type="dxa"/>
            <w:tcBorders>
              <w:left w:val="nil"/>
            </w:tcBorders>
          </w:tcPr>
          <w:p>
            <w:pPr>
              <w:pStyle w:val="TableParagraph"/>
              <w:spacing w:line="260" w:lineRule="exact"/>
              <w:ind w:left="112"/>
              <w:rPr>
                <w:sz w:val="21"/>
              </w:rPr>
            </w:pPr>
            <w:r>
              <w:rPr>
                <w:sz w:val="21"/>
              </w:rPr>
              <w:t>40、严重的 1 型糖尿病</w:t>
            </w:r>
          </w:p>
          <w:p>
            <w:pPr>
              <w:pStyle w:val="TableParagraph"/>
              <w:spacing w:before="37"/>
              <w:ind w:left="112"/>
              <w:rPr>
                <w:sz w:val="21"/>
              </w:rPr>
            </w:pPr>
            <w:r>
              <w:rPr>
                <w:sz w:val="21"/>
              </w:rPr>
              <w:t>42、严重类风湿性关节炎</w:t>
            </w:r>
          </w:p>
          <w:p>
            <w:pPr>
              <w:pStyle w:val="TableParagraph"/>
              <w:spacing w:before="37"/>
              <w:ind w:left="112"/>
              <w:rPr>
                <w:sz w:val="21"/>
              </w:rPr>
            </w:pPr>
            <w:r>
              <w:rPr>
                <w:sz w:val="21"/>
              </w:rPr>
              <w:t>44、经输血导致的艾滋病病毒感染</w:t>
            </w:r>
          </w:p>
        </w:tc>
      </w:tr>
    </w:tbl>
    <w:p>
      <w:pPr>
        <w:pStyle w:val="BodyText"/>
        <w:spacing w:before="2"/>
        <w:rPr>
          <w:sz w:val="22"/>
        </w:rPr>
      </w:pPr>
    </w:p>
    <w:p>
      <w:pPr>
        <w:pStyle w:val="BodyText"/>
        <w:spacing w:line="273" w:lineRule="auto"/>
        <w:ind w:left="102" w:right="101"/>
      </w:pPr>
      <w:r>
        <w:rPr>
          <w:spacing w:val="-4"/>
        </w:rPr>
        <w:t>我们提供保障的特定轻度重疾共有 </w:t>
      </w:r>
      <w:r>
        <w:rPr/>
        <w:t>8</w:t>
      </w:r>
      <w:r>
        <w:rPr>
          <w:spacing w:val="-14"/>
        </w:rPr>
        <w:t> 种，名称如下，具体释义见</w:t>
      </w:r>
      <w:r>
        <w:rPr/>
        <w:t>“8</w:t>
      </w:r>
      <w:r>
        <w:rPr>
          <w:spacing w:val="-14"/>
        </w:rPr>
        <w:t> 特定轻</w:t>
      </w:r>
      <w:r>
        <w:rPr>
          <w:spacing w:val="-26"/>
        </w:rPr>
        <w:t>度重疾释义”。</w:t>
      </w:r>
    </w:p>
    <w:p>
      <w:pPr>
        <w:spacing w:after="0" w:line="273" w:lineRule="auto"/>
        <w:sectPr>
          <w:pgSz w:w="11910" w:h="16840"/>
          <w:pgMar w:top="1060" w:bottom="280" w:left="1680" w:right="920"/>
          <w:cols w:num="2" w:equalWidth="0">
            <w:col w:w="2227" w:space="88"/>
            <w:col w:w="6995"/>
          </w:cols>
        </w:sectPr>
      </w:pPr>
    </w:p>
    <w:p>
      <w:pPr>
        <w:pStyle w:val="BodyText"/>
        <w:spacing w:before="10"/>
        <w:rPr>
          <w:sz w:val="14"/>
        </w:rPr>
      </w:pPr>
    </w:p>
    <w:tbl>
      <w:tblPr>
        <w:tblW w:w="0" w:type="auto"/>
        <w:jc w:val="left"/>
        <w:tblInd w:w="2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4389"/>
      </w:tblGrid>
      <w:tr>
        <w:trPr>
          <w:trHeight w:val="311" w:hRule="atLeast"/>
        </w:trPr>
        <w:tc>
          <w:tcPr>
            <w:tcW w:w="6727" w:type="dxa"/>
            <w:gridSpan w:val="2"/>
          </w:tcPr>
          <w:p>
            <w:pPr>
              <w:pStyle w:val="TableParagraph"/>
              <w:spacing w:line="260" w:lineRule="exact"/>
              <w:ind w:left="107"/>
              <w:rPr>
                <w:b/>
                <w:sz w:val="21"/>
              </w:rPr>
            </w:pPr>
            <w:r>
              <w:rPr>
                <w:b/>
                <w:sz w:val="21"/>
              </w:rPr>
              <w:t>第 1 类：与恶性肿瘤相关的疾病</w:t>
            </w:r>
          </w:p>
        </w:tc>
      </w:tr>
      <w:tr>
        <w:trPr>
          <w:trHeight w:val="623" w:hRule="atLeast"/>
        </w:trPr>
        <w:tc>
          <w:tcPr>
            <w:tcW w:w="2338" w:type="dxa"/>
            <w:tcBorders>
              <w:right w:val="nil"/>
            </w:tcBorders>
          </w:tcPr>
          <w:p>
            <w:pPr>
              <w:pStyle w:val="TableParagraph"/>
              <w:spacing w:line="260" w:lineRule="exact"/>
              <w:ind w:left="107"/>
              <w:rPr>
                <w:sz w:val="21"/>
              </w:rPr>
            </w:pPr>
            <w:r>
              <w:rPr>
                <w:sz w:val="21"/>
              </w:rPr>
              <w:t>1、早期恶性病变</w:t>
            </w:r>
          </w:p>
          <w:p>
            <w:pPr>
              <w:pStyle w:val="TableParagraph"/>
              <w:spacing w:before="37"/>
              <w:ind w:left="107"/>
              <w:rPr>
                <w:sz w:val="21"/>
              </w:rPr>
            </w:pPr>
            <w:r>
              <w:rPr>
                <w:sz w:val="21"/>
              </w:rPr>
              <w:t>3、皮肤癌</w:t>
            </w:r>
          </w:p>
        </w:tc>
        <w:tc>
          <w:tcPr>
            <w:tcW w:w="4389" w:type="dxa"/>
            <w:tcBorders>
              <w:left w:val="nil"/>
            </w:tcBorders>
          </w:tcPr>
          <w:p>
            <w:pPr>
              <w:pStyle w:val="TableParagraph"/>
              <w:spacing w:line="260" w:lineRule="exact"/>
              <w:ind w:left="239"/>
              <w:rPr>
                <w:sz w:val="21"/>
              </w:rPr>
            </w:pPr>
            <w:r>
              <w:rPr>
                <w:sz w:val="21"/>
              </w:rPr>
              <w:t>2、原位癌</w:t>
            </w:r>
          </w:p>
        </w:tc>
      </w:tr>
      <w:tr>
        <w:trPr>
          <w:trHeight w:val="312" w:hRule="atLeast"/>
        </w:trPr>
        <w:tc>
          <w:tcPr>
            <w:tcW w:w="6727" w:type="dxa"/>
            <w:gridSpan w:val="2"/>
          </w:tcPr>
          <w:p>
            <w:pPr>
              <w:pStyle w:val="TableParagraph"/>
              <w:spacing w:line="261" w:lineRule="exact"/>
              <w:ind w:left="107"/>
              <w:rPr>
                <w:b/>
                <w:sz w:val="21"/>
              </w:rPr>
            </w:pPr>
            <w:r>
              <w:rPr>
                <w:b/>
                <w:sz w:val="21"/>
              </w:rPr>
              <w:t>第 2 类：与心脏或脑血管相关的疾病</w:t>
            </w:r>
          </w:p>
        </w:tc>
      </w:tr>
      <w:tr>
        <w:trPr>
          <w:trHeight w:val="311" w:hRule="atLeast"/>
        </w:trPr>
        <w:tc>
          <w:tcPr>
            <w:tcW w:w="2338" w:type="dxa"/>
            <w:tcBorders>
              <w:right w:val="nil"/>
            </w:tcBorders>
          </w:tcPr>
          <w:p>
            <w:pPr>
              <w:pStyle w:val="TableParagraph"/>
              <w:spacing w:line="260" w:lineRule="exact"/>
              <w:ind w:left="107"/>
              <w:rPr>
                <w:sz w:val="21"/>
              </w:rPr>
            </w:pPr>
            <w:r>
              <w:rPr>
                <w:sz w:val="21"/>
              </w:rPr>
              <w:t>4、心脏瓣膜介入手术</w:t>
            </w:r>
          </w:p>
        </w:tc>
        <w:tc>
          <w:tcPr>
            <w:tcW w:w="4389" w:type="dxa"/>
            <w:tcBorders>
              <w:left w:val="nil"/>
            </w:tcBorders>
          </w:tcPr>
          <w:p>
            <w:pPr>
              <w:pStyle w:val="TableParagraph"/>
              <w:spacing w:line="260" w:lineRule="exact"/>
              <w:ind w:left="239"/>
              <w:rPr>
                <w:sz w:val="21"/>
              </w:rPr>
            </w:pPr>
            <w:r>
              <w:rPr>
                <w:sz w:val="21"/>
              </w:rPr>
              <w:t>5、主动脉内手术</w:t>
            </w:r>
          </w:p>
        </w:tc>
      </w:tr>
      <w:tr>
        <w:trPr>
          <w:trHeight w:val="311" w:hRule="atLeast"/>
        </w:trPr>
        <w:tc>
          <w:tcPr>
            <w:tcW w:w="6727" w:type="dxa"/>
            <w:gridSpan w:val="2"/>
          </w:tcPr>
          <w:p>
            <w:pPr>
              <w:pStyle w:val="TableParagraph"/>
              <w:spacing w:line="260" w:lineRule="exact"/>
              <w:ind w:left="107"/>
              <w:rPr>
                <w:b/>
                <w:sz w:val="21"/>
              </w:rPr>
            </w:pPr>
            <w:r>
              <w:rPr>
                <w:b/>
                <w:sz w:val="21"/>
              </w:rPr>
              <w:t>第 3 类：与器官功能严重受损相关的疾病</w:t>
            </w:r>
          </w:p>
        </w:tc>
      </w:tr>
      <w:tr>
        <w:trPr>
          <w:trHeight w:val="312" w:hRule="atLeast"/>
        </w:trPr>
        <w:tc>
          <w:tcPr>
            <w:tcW w:w="6727" w:type="dxa"/>
            <w:gridSpan w:val="2"/>
          </w:tcPr>
          <w:p>
            <w:pPr>
              <w:pStyle w:val="TableParagraph"/>
              <w:spacing w:line="261" w:lineRule="exact"/>
              <w:ind w:left="107"/>
              <w:rPr>
                <w:sz w:val="21"/>
              </w:rPr>
            </w:pPr>
            <w:r>
              <w:rPr>
                <w:sz w:val="21"/>
              </w:rPr>
              <w:t>6、听力严重受损</w:t>
            </w:r>
          </w:p>
        </w:tc>
      </w:tr>
      <w:tr>
        <w:trPr>
          <w:trHeight w:val="311" w:hRule="atLeast"/>
        </w:trPr>
        <w:tc>
          <w:tcPr>
            <w:tcW w:w="6727" w:type="dxa"/>
            <w:gridSpan w:val="2"/>
          </w:tcPr>
          <w:p>
            <w:pPr>
              <w:pStyle w:val="TableParagraph"/>
              <w:spacing w:line="260" w:lineRule="exact"/>
              <w:ind w:left="107"/>
              <w:rPr>
                <w:b/>
                <w:sz w:val="21"/>
              </w:rPr>
            </w:pPr>
            <w:r>
              <w:rPr>
                <w:b/>
                <w:sz w:val="21"/>
              </w:rPr>
              <w:t>第 4 类：与神经系统相关的疾病</w:t>
            </w:r>
          </w:p>
        </w:tc>
      </w:tr>
      <w:tr>
        <w:trPr>
          <w:trHeight w:val="312" w:hRule="atLeast"/>
        </w:trPr>
        <w:tc>
          <w:tcPr>
            <w:tcW w:w="2338" w:type="dxa"/>
            <w:tcBorders>
              <w:right w:val="nil"/>
            </w:tcBorders>
          </w:tcPr>
          <w:p>
            <w:pPr>
              <w:pStyle w:val="TableParagraph"/>
              <w:spacing w:line="260" w:lineRule="exact"/>
              <w:ind w:left="107"/>
              <w:rPr>
                <w:sz w:val="21"/>
              </w:rPr>
            </w:pPr>
            <w:r>
              <w:rPr>
                <w:sz w:val="21"/>
              </w:rPr>
              <w:t>7、脑损伤</w:t>
            </w:r>
          </w:p>
        </w:tc>
        <w:tc>
          <w:tcPr>
            <w:tcW w:w="4389" w:type="dxa"/>
            <w:tcBorders>
              <w:left w:val="nil"/>
            </w:tcBorders>
          </w:tcPr>
          <w:p>
            <w:pPr>
              <w:pStyle w:val="TableParagraph"/>
              <w:spacing w:line="260" w:lineRule="exact"/>
              <w:ind w:left="239"/>
              <w:rPr>
                <w:sz w:val="21"/>
              </w:rPr>
            </w:pPr>
            <w:r>
              <w:rPr>
                <w:sz w:val="21"/>
              </w:rPr>
              <w:t>8、脑垂体瘤、脑囊肿、脑动脉瘤及脑血管瘤</w:t>
            </w:r>
          </w:p>
        </w:tc>
      </w:tr>
    </w:tbl>
    <w:p>
      <w:pPr>
        <w:spacing w:after="0" w:line="260" w:lineRule="exact"/>
        <w:rPr>
          <w:sz w:val="21"/>
        </w:rPr>
        <w:sectPr>
          <w:type w:val="continuous"/>
          <w:pgSz w:w="11910" w:h="16840"/>
          <w:pgMar w:top="580" w:bottom="280" w:left="1680" w:right="920"/>
        </w:sectPr>
      </w:pPr>
    </w:p>
    <w:p>
      <w:pPr>
        <w:pStyle w:val="ListParagraph"/>
        <w:numPr>
          <w:ilvl w:val="1"/>
          <w:numId w:val="1"/>
        </w:numPr>
        <w:tabs>
          <w:tab w:pos="981" w:val="left" w:leader="none"/>
          <w:tab w:pos="982" w:val="left" w:leader="none"/>
          <w:tab w:pos="3296" w:val="left" w:leader="none"/>
        </w:tabs>
        <w:spacing w:line="240" w:lineRule="auto" w:before="20" w:after="0"/>
        <w:ind w:left="982" w:right="0" w:hanging="761"/>
        <w:jc w:val="left"/>
        <w:rPr>
          <w:sz w:val="21"/>
        </w:rPr>
      </w:pPr>
      <w:r>
        <w:rPr>
          <w:b/>
          <w:sz w:val="21"/>
        </w:rPr>
        <w:t>保险期间</w:t>
        <w:tab/>
      </w:r>
      <w:r>
        <w:rPr>
          <w:sz w:val="21"/>
        </w:rPr>
        <w:t>本附加险合同的保险期间为终身，自本附加险合同生效日零时起至本附加</w:t>
      </w:r>
    </w:p>
    <w:p>
      <w:pPr>
        <w:pStyle w:val="BodyText"/>
        <w:spacing w:before="37"/>
        <w:ind w:left="3296"/>
      </w:pPr>
      <w:r>
        <w:rPr/>
        <w:t>险合同约定终止时止。</w:t>
      </w:r>
    </w:p>
    <w:p>
      <w:pPr>
        <w:pStyle w:val="BodyText"/>
        <w:rPr>
          <w:sz w:val="25"/>
        </w:rPr>
      </w:pPr>
    </w:p>
    <w:p>
      <w:pPr>
        <w:tabs>
          <w:tab w:pos="981" w:val="left" w:leader="none"/>
        </w:tabs>
        <w:spacing w:line="506" w:lineRule="exact" w:before="26"/>
        <w:ind w:left="314" w:right="0" w:firstLine="0"/>
        <w:jc w:val="left"/>
        <w:rPr>
          <w:b/>
          <w:sz w:val="24"/>
        </w:rPr>
      </w:pPr>
      <w:r>
        <w:rPr>
          <w:rFonts w:ascii="Arial" w:hAnsi="Arial" w:eastAsia="Arial"/>
          <w:b/>
          <w:position w:val="-19"/>
          <w:sz w:val="40"/>
        </w:rPr>
        <w:t></w:t>
        <w:tab/>
      </w:r>
      <w:r>
        <w:rPr>
          <w:b/>
          <w:w w:val="95"/>
          <w:sz w:val="24"/>
        </w:rPr>
        <w:t>我们不保什么</w:t>
      </w:r>
    </w:p>
    <w:p>
      <w:pPr>
        <w:pStyle w:val="Heading3"/>
      </w:pPr>
      <w:r>
        <w:rPr/>
        <w:t>这部分讲的是我们不承担保险责任的情况。</w:t>
      </w:r>
    </w:p>
    <w:p>
      <w:pPr>
        <w:pStyle w:val="BodyText"/>
        <w:spacing w:before="4"/>
        <w:rPr>
          <w:sz w:val="13"/>
        </w:rPr>
      </w:pPr>
      <w:r>
        <w:rPr/>
        <w:pict>
          <v:group style="position:absolute;margin-left:45.66pt;margin-top:10.703516pt;width:503.95pt;height:1pt;mso-position-horizontal-relative:page;mso-position-vertical-relative:paragraph;z-index:1192;mso-wrap-distance-left:0;mso-wrap-distance-right:0" coordorigin="913,214" coordsize="10079,20">
            <v:line style="position:absolute" from="913,224" to="1674,224" stroked="true" strokeweight=".96pt" strokecolor="#000000">
              <v:stroke dashstyle="solid"/>
            </v:line>
            <v:rect style="position:absolute;left:1674;top:214;width:20;height:20" filled="true" fillcolor="#000000" stroked="false">
              <v:fill type="solid"/>
            </v:rect>
            <v:line style="position:absolute" from="1693,224" to="3989,224" stroked="true" strokeweight=".96pt" strokecolor="#000000">
              <v:stroke dashstyle="solid"/>
            </v:line>
            <v:rect style="position:absolute;left:3988;top:214;width:20;height:20" filled="true" fillcolor="#000000" stroked="false">
              <v:fill type="solid"/>
            </v:rect>
            <v:line style="position:absolute" from="4008,224" to="10992,224" stroked="true" strokeweight=".96pt" strokecolor="#000000">
              <v:stroke dashstyle="solid"/>
            </v:line>
            <w10:wrap type="topAndBottom"/>
          </v:group>
        </w:pict>
      </w:r>
    </w:p>
    <w:p>
      <w:pPr>
        <w:pStyle w:val="BodyText"/>
        <w:spacing w:before="1"/>
        <w:rPr>
          <w:sz w:val="14"/>
        </w:rPr>
      </w:pPr>
    </w:p>
    <w:p>
      <w:pPr>
        <w:pStyle w:val="ListParagraph"/>
        <w:numPr>
          <w:ilvl w:val="1"/>
          <w:numId w:val="2"/>
        </w:numPr>
        <w:tabs>
          <w:tab w:pos="981" w:val="left" w:leader="none"/>
          <w:tab w:pos="982" w:val="left" w:leader="none"/>
          <w:tab w:pos="3296" w:val="left" w:leader="none"/>
        </w:tabs>
        <w:spacing w:line="240" w:lineRule="auto" w:before="35" w:after="0"/>
        <w:ind w:left="982" w:right="0" w:hanging="761"/>
        <w:jc w:val="left"/>
        <w:rPr>
          <w:sz w:val="21"/>
        </w:rPr>
      </w:pPr>
      <w:r>
        <w:rPr>
          <w:b/>
          <w:sz w:val="21"/>
        </w:rPr>
        <w:t>责任免除</w:t>
        <w:tab/>
      </w:r>
      <w:r>
        <w:rPr>
          <w:sz w:val="21"/>
          <w:shd w:fill="DADADA" w:color="auto" w:val="clear"/>
        </w:rPr>
        <w:t>因下列情形之一导致被保险人初次发生“重大疾病”或“特定轻度重疾”</w:t>
      </w:r>
    </w:p>
    <w:p>
      <w:pPr>
        <w:pStyle w:val="BodyText"/>
        <w:spacing w:before="36"/>
        <w:ind w:left="3296"/>
      </w:pPr>
      <w:r>
        <w:rPr>
          <w:shd w:fill="DADADA" w:color="auto" w:val="clear"/>
        </w:rPr>
        <w:t>的，我们不承担给付保险金的责任：</w:t>
      </w:r>
    </w:p>
    <w:p>
      <w:pPr>
        <w:pStyle w:val="BodyText"/>
        <w:spacing w:before="36"/>
        <w:ind w:left="3296"/>
      </w:pPr>
      <w:r>
        <w:rPr>
          <w:shd w:fill="DADADA" w:color="auto" w:val="clear"/>
        </w:rPr>
        <w:t>（1）投保人对被保险人的故意杀害、故意伤害；</w:t>
      </w:r>
    </w:p>
    <w:p>
      <w:pPr>
        <w:pStyle w:val="BodyText"/>
        <w:spacing w:before="36"/>
        <w:ind w:left="3296"/>
      </w:pPr>
      <w:r>
        <w:rPr>
          <w:shd w:fill="DADADA" w:color="auto" w:val="clear"/>
        </w:rPr>
        <w:t>（2）被保险人故意自伤、故意犯罪或者抗拒依法采取的刑事强制措施；</w:t>
      </w:r>
    </w:p>
    <w:p>
      <w:pPr>
        <w:pStyle w:val="BodyText"/>
        <w:rPr>
          <w:sz w:val="20"/>
        </w:rPr>
      </w:pPr>
    </w:p>
    <w:p>
      <w:pPr>
        <w:pStyle w:val="BodyText"/>
        <w:spacing w:before="10"/>
        <w:rPr>
          <w:sz w:val="27"/>
        </w:rPr>
      </w:pPr>
    </w:p>
    <w:p>
      <w:pPr>
        <w:spacing w:after="0"/>
        <w:rPr>
          <w:sz w:val="27"/>
        </w:rPr>
        <w:sectPr>
          <w:pgSz w:w="11910" w:h="16840"/>
          <w:pgMar w:top="1420" w:bottom="280" w:left="800" w:right="800"/>
        </w:sectPr>
      </w:pPr>
    </w:p>
    <w:p>
      <w:pPr>
        <w:pStyle w:val="BodyText"/>
        <w:spacing w:before="7"/>
        <w:rPr>
          <w:sz w:val="26"/>
        </w:rPr>
      </w:pPr>
    </w:p>
    <w:p>
      <w:pPr>
        <w:pStyle w:val="BodyText"/>
        <w:ind w:left="3800"/>
      </w:pPr>
      <w:r>
        <w:rPr/>
        <w:t>病毒感染</w:t>
      </w:r>
      <w:r>
        <w:rPr>
          <w:spacing w:val="-105"/>
        </w:rPr>
        <w:t>）</w:t>
      </w:r>
      <w:r>
        <w:rPr/>
        <w:t>；</w:t>
      </w:r>
    </w:p>
    <w:p>
      <w:pPr>
        <w:pStyle w:val="BodyText"/>
        <w:spacing w:before="37"/>
        <w:ind w:left="3296"/>
      </w:pPr>
      <w:r>
        <w:rPr>
          <w:shd w:fill="DADADA" w:color="auto" w:val="clear"/>
        </w:rPr>
        <w:t>（6）战争、军事冲突、暴乱或武装叛乱；</w:t>
      </w:r>
    </w:p>
    <w:p>
      <w:pPr>
        <w:pStyle w:val="BodyText"/>
        <w:spacing w:before="37"/>
        <w:ind w:left="3296"/>
      </w:pPr>
      <w:r>
        <w:rPr>
          <w:shd w:fill="DADADA" w:color="auto" w:val="clear"/>
        </w:rPr>
        <w:t>（7）核爆炸、核辐射或核污染；</w:t>
      </w:r>
    </w:p>
    <w:p>
      <w:pPr>
        <w:pStyle w:val="BodyText"/>
        <w:spacing w:before="35"/>
        <w:ind w:left="132"/>
      </w:pPr>
      <w:r>
        <w:rPr/>
        <w:br w:type="column"/>
      </w:r>
      <w:r>
        <w:rPr/>
        <w:t>（不包括经输血导致的艾滋病</w:t>
      </w: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ind w:left="417"/>
      </w:pPr>
      <w:r>
        <w:rPr/>
        <w:pict>
          <v:shape style="position:absolute;margin-left:203.850006pt;margin-top:-93.876343pt;width:203.85pt;height:46.8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8"/>
                    <w:gridCol w:w="298"/>
                    <w:gridCol w:w="472"/>
                  </w:tblGrid>
                  <w:tr>
                    <w:trPr>
                      <w:trHeight w:val="267" w:hRule="atLeast"/>
                    </w:trPr>
                    <w:tc>
                      <w:tcPr>
                        <w:tcW w:w="3586"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（3）被保险人主动吸食或注射</w:t>
                        </w:r>
                        <w:r>
                          <w:rPr>
                            <w:rFonts w:ascii="黑体" w:eastAsia="黑体" w:hint="eastAsia"/>
                            <w:b/>
                            <w:spacing w:val="-16"/>
                            <w:sz w:val="21"/>
                          </w:rPr>
                          <w:t>毒品 </w:t>
                        </w:r>
                        <w:hyperlink w:history="true" w:anchor="_bookmark5">
                          <w:r>
                            <w:rPr>
                              <w:rFonts w:ascii="黑体" w:eastAsia="黑体" w:hint="eastAsia"/>
                              <w:b/>
                              <w:position w:val="11"/>
                              <w:sz w:val="11"/>
                            </w:rPr>
                            <w:t>6</w:t>
                          </w:r>
                        </w:hyperlink>
                        <w:r>
                          <w:rPr>
                            <w:sz w:val="21"/>
                          </w:rPr>
                          <w:t>；</w:t>
                        </w:r>
                      </w:p>
                    </w:tc>
                    <w:tc>
                      <w:tcPr>
                        <w:tcW w:w="472" w:type="dxa"/>
                        <w:tcBorders>
                          <w:top w:val="single" w:sz="18" w:space="0" w:color="FFFFFF"/>
                          <w:bottom w:val="single" w:sz="18" w:space="0" w:color="FFFFFF"/>
                        </w:tcBorders>
                      </w:tcPr>
                      <w:p>
                        <w:pPr>
                          <w:pStyle w:val="TableParagraph"/>
                          <w:ind w:left="0"/>
                          <w:rPr>
                            <w:rFonts w:ascii="Times New Roman"/>
                            <w:sz w:val="18"/>
                          </w:rPr>
                        </w:pPr>
                      </w:p>
                    </w:tc>
                  </w:tr>
                  <w:tr>
                    <w:trPr>
                      <w:trHeight w:val="266" w:hRule="atLeast"/>
                    </w:trPr>
                    <w:tc>
                      <w:tcPr>
                        <w:tcW w:w="3288" w:type="dxa"/>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sz w:val="21"/>
                          </w:rPr>
                          <w:t>（4）被保险人</w:t>
                        </w:r>
                        <w:r>
                          <w:rPr>
                            <w:rFonts w:ascii="黑体" w:eastAsia="黑体" w:hint="eastAsia"/>
                            <w:b/>
                            <w:spacing w:val="-10"/>
                            <w:sz w:val="21"/>
                          </w:rPr>
                          <w:t>酒后驾驶 </w:t>
                        </w:r>
                        <w:hyperlink w:history="true" w:anchor="_bookmark6">
                          <w:r>
                            <w:rPr>
                              <w:rFonts w:ascii="黑体" w:eastAsia="黑体" w:hint="eastAsia"/>
                              <w:b/>
                              <w:position w:val="11"/>
                              <w:sz w:val="11"/>
                            </w:rPr>
                            <w:t>7</w:t>
                          </w:r>
                        </w:hyperlink>
                        <w:r>
                          <w:rPr>
                            <w:rFonts w:ascii="黑体" w:eastAsia="黑体" w:hint="eastAsia"/>
                            <w:b/>
                            <w:spacing w:val="-12"/>
                            <w:sz w:val="21"/>
                          </w:rPr>
                          <w:t>机动车 </w:t>
                        </w:r>
                        <w:hyperlink w:history="true" w:anchor="_bookmark7">
                          <w:r>
                            <w:rPr>
                              <w:rFonts w:ascii="黑体" w:eastAsia="黑体" w:hint="eastAsia"/>
                              <w:b/>
                              <w:position w:val="11"/>
                              <w:sz w:val="11"/>
                            </w:rPr>
                            <w:t>8</w:t>
                          </w:r>
                        </w:hyperlink>
                        <w:r>
                          <w:rPr>
                            <w:sz w:val="21"/>
                          </w:rPr>
                          <w:t>；</w:t>
                        </w:r>
                      </w:p>
                    </w:tc>
                    <w:tc>
                      <w:tcPr>
                        <w:tcW w:w="770" w:type="dxa"/>
                        <w:gridSpan w:val="2"/>
                        <w:tcBorders>
                          <w:top w:val="single" w:sz="18" w:space="0" w:color="FFFFFF"/>
                          <w:bottom w:val="single" w:sz="18" w:space="0" w:color="FFFFFF"/>
                        </w:tcBorders>
                      </w:tcPr>
                      <w:p>
                        <w:pPr>
                          <w:pStyle w:val="TableParagraph"/>
                          <w:ind w:left="0"/>
                          <w:rPr>
                            <w:rFonts w:ascii="Times New Roman"/>
                            <w:sz w:val="18"/>
                          </w:rPr>
                        </w:pPr>
                      </w:p>
                    </w:tc>
                  </w:tr>
                  <w:tr>
                    <w:trPr>
                      <w:trHeight w:val="269" w:hRule="atLeast"/>
                    </w:trPr>
                    <w:tc>
                      <w:tcPr>
                        <w:tcW w:w="4058" w:type="dxa"/>
                        <w:gridSpan w:val="3"/>
                        <w:tcBorders>
                          <w:top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（5）被保险人</w:t>
                        </w:r>
                        <w:r>
                          <w:rPr>
                            <w:rFonts w:ascii="黑体" w:eastAsia="黑体" w:hint="eastAsia"/>
                            <w:b/>
                            <w:spacing w:val="-1"/>
                            <w:sz w:val="21"/>
                          </w:rPr>
                          <w:t>感染艾滋病病毒或患艾滋病 </w:t>
                        </w:r>
                        <w:hyperlink w:history="true" w:anchor="_bookmark8">
                          <w:r>
                            <w:rPr>
                              <w:rFonts w:ascii="黑体" w:eastAsia="黑体" w:hint="eastAsia"/>
                              <w:b/>
                              <w:position w:val="11"/>
                              <w:sz w:val="11"/>
                            </w:rPr>
                            <w:t>9</w:t>
                          </w:r>
                        </w:hyperlink>
                      </w:p>
                    </w:tc>
                  </w:tr>
                </w:tbl>
                <w:p>
                  <w:pPr>
                    <w:pStyle w:val="BodyText"/>
                  </w:pPr>
                </w:p>
              </w:txbxContent>
            </v:textbox>
            <w10:wrap type="none"/>
          </v:shape>
        </w:pict>
      </w:r>
      <w:r>
        <w:rPr/>
        <w:pict>
          <v:shape style="position:absolute;margin-left:203.850006pt;margin-top:-.276339pt;width:224.55pt;height:33.2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587"/>
                    <w:gridCol w:w="2748"/>
                  </w:tblGrid>
                  <w:tr>
                    <w:trPr>
                      <w:trHeight w:val="267" w:hRule="atLeast"/>
                    </w:trPr>
                    <w:tc>
                      <w:tcPr>
                        <w:tcW w:w="1684" w:type="dxa"/>
                        <w:gridSpan w:val="2"/>
                        <w:tcBorders>
                          <w:top w:val="single" w:sz="18" w:space="0" w:color="FFFFFF"/>
                          <w:bottom w:val="single" w:sz="18" w:space="0" w:color="FFFFFF"/>
                        </w:tcBorders>
                        <w:shd w:val="clear" w:color="auto" w:fill="DADADA"/>
                      </w:tcPr>
                      <w:p>
                        <w:pPr>
                          <w:pStyle w:val="TableParagraph"/>
                          <w:spacing w:line="238" w:lineRule="exact"/>
                          <w:ind w:left="19" w:right="-29"/>
                          <w:rPr>
                            <w:rFonts w:ascii="黑体" w:eastAsia="黑体" w:hint="eastAsia"/>
                            <w:b/>
                            <w:sz w:val="11"/>
                          </w:rPr>
                        </w:pPr>
                        <w:r>
                          <w:rPr>
                            <w:sz w:val="21"/>
                          </w:rPr>
                          <w:t>（8</w:t>
                        </w:r>
                        <w:r>
                          <w:rPr>
                            <w:spacing w:val="-72"/>
                            <w:sz w:val="21"/>
                          </w:rPr>
                          <w:t>）</w:t>
                        </w:r>
                        <w:r>
                          <w:rPr>
                            <w:rFonts w:ascii="黑体" w:eastAsia="黑体" w:hint="eastAsia"/>
                            <w:b/>
                            <w:w w:val="99"/>
                            <w:sz w:val="21"/>
                          </w:rPr>
                          <w:t>遗传性疾病</w:t>
                        </w:r>
                        <w:r>
                          <w:rPr>
                            <w:rFonts w:ascii="黑体" w:eastAsia="黑体" w:hint="eastAsia"/>
                            <w:b/>
                            <w:spacing w:val="-43"/>
                            <w:sz w:val="21"/>
                          </w:rPr>
                          <w:t> </w:t>
                        </w:r>
                        <w:hyperlink w:history="true" w:anchor="_bookmark9">
                          <w:r>
                            <w:rPr>
                              <w:rFonts w:ascii="黑体" w:eastAsia="黑体" w:hint="eastAsia"/>
                              <w:b/>
                              <w:spacing w:val="-15"/>
                              <w:w w:val="99"/>
                              <w:position w:val="11"/>
                              <w:sz w:val="11"/>
                            </w:rPr>
                            <w:t>1</w:t>
                          </w:r>
                          <w:r>
                            <w:rPr>
                              <w:spacing w:val="-195"/>
                              <w:sz w:val="21"/>
                            </w:rPr>
                            <w:t>（</w:t>
                          </w:r>
                          <w:r>
                            <w:rPr>
                              <w:rFonts w:ascii="黑体" w:eastAsia="黑体" w:hint="eastAsia"/>
                              <w:b/>
                              <w:w w:val="99"/>
                              <w:position w:val="11"/>
                              <w:sz w:val="11"/>
                            </w:rPr>
                            <w:t>0</w:t>
                          </w:r>
                        </w:hyperlink>
                      </w:p>
                    </w:tc>
                    <w:tc>
                      <w:tcPr>
                        <w:tcW w:w="2748" w:type="dxa"/>
                        <w:tcBorders>
                          <w:top w:val="single" w:sz="18" w:space="0" w:color="FFFFFF"/>
                          <w:bottom w:val="single" w:sz="18" w:space="0" w:color="FFFFFF"/>
                        </w:tcBorders>
                      </w:tcPr>
                      <w:p>
                        <w:pPr>
                          <w:pStyle w:val="TableParagraph"/>
                          <w:spacing w:line="238" w:lineRule="exact"/>
                          <w:ind w:left="157"/>
                          <w:rPr>
                            <w:sz w:val="21"/>
                          </w:rPr>
                        </w:pPr>
                        <w:r>
                          <w:rPr>
                            <w:sz w:val="21"/>
                          </w:rPr>
                          <w:t>不包括严重肾髓质囊性病及</w:t>
                        </w:r>
                      </w:p>
                    </w:tc>
                  </w:tr>
                  <w:tr>
                    <w:trPr>
                      <w:trHeight w:val="267" w:hRule="atLeast"/>
                    </w:trPr>
                    <w:tc>
                      <w:tcPr>
                        <w:tcW w:w="1097" w:type="dxa"/>
                        <w:tcBorders>
                          <w:top w:val="single" w:sz="18" w:space="0" w:color="FFFFFF"/>
                          <w:bottom w:val="single" w:sz="18" w:space="0" w:color="FFFFFF"/>
                        </w:tcBorders>
                      </w:tcPr>
                      <w:p>
                        <w:pPr>
                          <w:pStyle w:val="TableParagraph"/>
                          <w:spacing w:line="238" w:lineRule="exact"/>
                          <w:ind w:left="485" w:right="-29"/>
                          <w:rPr>
                            <w:sz w:val="21"/>
                          </w:rPr>
                        </w:pPr>
                        <w:r>
                          <w:rPr>
                            <w:sz w:val="21"/>
                          </w:rPr>
                          <w:t>病</w:t>
                        </w:r>
                        <w:r>
                          <w:rPr>
                            <w:spacing w:val="-105"/>
                            <w:sz w:val="21"/>
                          </w:rPr>
                          <w:t>））</w:t>
                        </w:r>
                        <w:r>
                          <w:rPr>
                            <w:sz w:val="21"/>
                          </w:rPr>
                          <w:t>，</w:t>
                        </w:r>
                      </w:p>
                    </w:tc>
                    <w:tc>
                      <w:tcPr>
                        <w:tcW w:w="3335" w:type="dxa"/>
                        <w:gridSpan w:val="2"/>
                        <w:tcBorders>
                          <w:top w:val="single" w:sz="18" w:space="0" w:color="FFFFFF"/>
                          <w:bottom w:val="single" w:sz="18" w:space="0" w:color="FFFFFF"/>
                        </w:tcBorders>
                        <w:shd w:val="clear" w:color="auto" w:fill="DADADA"/>
                      </w:tcPr>
                      <w:p>
                        <w:pPr>
                          <w:pStyle w:val="TableParagraph"/>
                          <w:spacing w:line="238" w:lineRule="exact"/>
                          <w:ind w:left="19" w:right="-29"/>
                          <w:rPr>
                            <w:sz w:val="21"/>
                          </w:rPr>
                        </w:pPr>
                        <w:r>
                          <w:rPr>
                            <w:rFonts w:ascii="黑体" w:eastAsia="黑体" w:hint="eastAsia"/>
                            <w:b/>
                            <w:spacing w:val="-4"/>
                            <w:sz w:val="21"/>
                          </w:rPr>
                          <w:t>先天性畸形、变形或染色体异常 </w:t>
                        </w:r>
                        <w:hyperlink w:history="true" w:anchor="_bookmark10">
                          <w:r>
                            <w:rPr>
                              <w:rFonts w:ascii="黑体" w:eastAsia="黑体" w:hint="eastAsia"/>
                              <w:b/>
                              <w:position w:val="11"/>
                              <w:sz w:val="11"/>
                            </w:rPr>
                            <w:t>11</w:t>
                          </w:r>
                        </w:hyperlink>
                        <w:r>
                          <w:rPr>
                            <w:sz w:val="21"/>
                          </w:rPr>
                          <w:t>。</w:t>
                        </w:r>
                      </w:p>
                    </w:tc>
                  </w:tr>
                </w:tbl>
                <w:p>
                  <w:pPr>
                    <w:pStyle w:val="BodyText"/>
                  </w:pPr>
                </w:p>
              </w:txbxContent>
            </v:textbox>
            <w10:wrap type="none"/>
          </v:shape>
        </w:pict>
      </w:r>
      <w:r>
        <w:rPr/>
        <w:t>严重肝豆状核变性（Wilson</w:t>
      </w:r>
    </w:p>
    <w:p>
      <w:pPr>
        <w:spacing w:after="0"/>
        <w:sectPr>
          <w:type w:val="continuous"/>
          <w:pgSz w:w="11910" w:h="16840"/>
          <w:pgMar w:top="580" w:bottom="280" w:left="800" w:right="800"/>
          <w:cols w:num="2" w:equalWidth="0">
            <w:col w:w="7182" w:space="40"/>
            <w:col w:w="3088"/>
          </w:cols>
        </w:sectPr>
      </w:pPr>
    </w:p>
    <w:p>
      <w:pPr>
        <w:pStyle w:val="BodyText"/>
        <w:spacing w:before="12"/>
        <w:rPr>
          <w:sz w:val="23"/>
        </w:rPr>
      </w:pPr>
    </w:p>
    <w:p>
      <w:pPr>
        <w:pStyle w:val="BodyText"/>
        <w:spacing w:line="273" w:lineRule="auto" w:before="36"/>
        <w:ind w:left="3296" w:right="164"/>
      </w:pPr>
      <w:r>
        <w:rPr>
          <w:shd w:fill="DADADA" w:color="auto" w:val="clear"/>
        </w:rPr>
        <w:t>发生上述第（1）项情形导致被保险人初次发生“重大疾病”的，本附加险合同终止，我们向被保险人退还本附加险合同的现金价值。</w:t>
      </w:r>
    </w:p>
    <w:p>
      <w:pPr>
        <w:pStyle w:val="BodyText"/>
        <w:spacing w:line="273" w:lineRule="auto" w:before="8"/>
        <w:ind w:left="3296" w:right="220"/>
      </w:pPr>
      <w:r>
        <w:rPr>
          <w:shd w:fill="DADADA" w:color="auto" w:val="clear"/>
        </w:rPr>
        <w:t>发生上述其他情形导致被保险人初次发生“重大疾病”的，本附加险合同终止，我们向您退还本附加险合同的现金价值。</w:t>
      </w:r>
    </w:p>
    <w:p>
      <w:pPr>
        <w:pStyle w:val="BodyText"/>
        <w:spacing w:before="4"/>
        <w:rPr>
          <w:sz w:val="22"/>
        </w:rPr>
      </w:pPr>
    </w:p>
    <w:p>
      <w:pPr>
        <w:pStyle w:val="ListParagraph"/>
        <w:numPr>
          <w:ilvl w:val="1"/>
          <w:numId w:val="2"/>
        </w:numPr>
        <w:tabs>
          <w:tab w:pos="981" w:val="left" w:leader="none"/>
          <w:tab w:pos="982" w:val="left" w:leader="none"/>
          <w:tab w:pos="3296" w:val="left" w:leader="none"/>
        </w:tabs>
        <w:spacing w:line="240" w:lineRule="auto" w:before="0" w:after="0"/>
        <w:ind w:left="982" w:right="0" w:hanging="761"/>
        <w:jc w:val="left"/>
        <w:rPr>
          <w:sz w:val="21"/>
        </w:rPr>
      </w:pPr>
      <w:r>
        <w:rPr>
          <w:b/>
          <w:sz w:val="21"/>
        </w:rPr>
        <w:t>其他免责条款</w:t>
        <w:tab/>
      </w:r>
      <w:r>
        <w:rPr>
          <w:sz w:val="21"/>
        </w:rPr>
        <w:t>除“2.1</w:t>
      </w:r>
      <w:r>
        <w:rPr>
          <w:spacing w:val="-55"/>
          <w:sz w:val="21"/>
        </w:rPr>
        <w:t> </w:t>
      </w:r>
      <w:r>
        <w:rPr>
          <w:sz w:val="21"/>
        </w:rPr>
        <w:t>责任免除”外，本附加险合同中还有一些免除保险人责任的条款，</w:t>
      </w:r>
    </w:p>
    <w:p>
      <w:pPr>
        <w:pStyle w:val="BodyText"/>
        <w:spacing w:before="37"/>
        <w:ind w:left="3296"/>
      </w:pPr>
      <w:r>
        <w:rPr/>
        <w:t>详见 1.1、7、8、脚注 4 中背景突出显示的内容。</w:t>
      </w:r>
    </w:p>
    <w:p>
      <w:pPr>
        <w:pStyle w:val="BodyText"/>
        <w:spacing w:before="12"/>
        <w:rPr>
          <w:sz w:val="24"/>
        </w:rPr>
      </w:pPr>
    </w:p>
    <w:p>
      <w:pPr>
        <w:tabs>
          <w:tab w:pos="981" w:val="left" w:leader="none"/>
        </w:tabs>
        <w:spacing w:line="506" w:lineRule="exact" w:before="26"/>
        <w:ind w:left="314" w:right="0" w:firstLine="0"/>
        <w:jc w:val="left"/>
        <w:rPr>
          <w:b/>
          <w:sz w:val="24"/>
        </w:rPr>
      </w:pPr>
      <w:r>
        <w:rPr>
          <w:rFonts w:ascii="Arial" w:hAnsi="Arial" w:eastAsia="Arial"/>
          <w:b/>
          <w:position w:val="-19"/>
          <w:sz w:val="40"/>
        </w:rPr>
        <w:t></w:t>
        <w:tab/>
      </w:r>
      <w:r>
        <w:rPr>
          <w:b/>
          <w:w w:val="95"/>
          <w:sz w:val="24"/>
        </w:rPr>
        <w:t>如何支付保险费</w:t>
      </w:r>
    </w:p>
    <w:p>
      <w:pPr>
        <w:pStyle w:val="Heading3"/>
      </w:pPr>
      <w:r>
        <w:rPr/>
        <w:t>这部分讲的是您应当按时交纳保险费，如果不及时交费可能会导致合同效力中止。</w:t>
      </w:r>
    </w:p>
    <w:p>
      <w:pPr>
        <w:pStyle w:val="BodyText"/>
        <w:spacing w:before="4"/>
        <w:rPr>
          <w:sz w:val="13"/>
        </w:rPr>
      </w:pPr>
      <w:r>
        <w:rPr/>
        <w:pict>
          <v:group style="position:absolute;margin-left:45.66pt;margin-top:10.700031pt;width:503.95pt;height:1pt;mso-position-horizontal-relative:page;mso-position-vertical-relative:paragraph;z-index:1216;mso-wrap-distance-left:0;mso-wrap-distance-right:0" coordorigin="913,214" coordsize="10079,20">
            <v:line style="position:absolute" from="913,224" to="1674,224" stroked="true" strokeweight=".96pt" strokecolor="#000000">
              <v:stroke dashstyle="solid"/>
            </v:line>
            <v:rect style="position:absolute;left:1674;top:214;width:20;height:20" filled="true" fillcolor="#000000" stroked="false">
              <v:fill type="solid"/>
            </v:rect>
            <v:line style="position:absolute" from="1693,224" to="3989,224" stroked="true" strokeweight=".96pt" strokecolor="#000000">
              <v:stroke dashstyle="solid"/>
            </v:line>
            <v:rect style="position:absolute;left:3988;top:214;width:20;height:20" filled="true" fillcolor="#000000" stroked="false">
              <v:fill type="solid"/>
            </v:rect>
            <v:line style="position:absolute" from="4008,224" to="10992,224" stroked="true" strokeweight=".96pt" strokecolor="#000000">
              <v:stroke dashstyle="solid"/>
            </v:line>
            <w10:wrap type="topAndBottom"/>
          </v:group>
        </w:pict>
      </w:r>
    </w:p>
    <w:p>
      <w:pPr>
        <w:pStyle w:val="BodyText"/>
        <w:spacing w:before="11"/>
        <w:rPr>
          <w:sz w:val="17"/>
        </w:rPr>
      </w:pPr>
    </w:p>
    <w:p>
      <w:pPr>
        <w:tabs>
          <w:tab w:pos="981" w:val="left" w:leader="none"/>
          <w:tab w:pos="3296" w:val="left" w:leader="none"/>
        </w:tabs>
        <w:spacing w:before="35"/>
        <w:ind w:left="221" w:right="0" w:firstLine="0"/>
        <w:jc w:val="left"/>
        <w:rPr>
          <w:sz w:val="21"/>
        </w:rPr>
      </w:pPr>
      <w:r>
        <w:rPr>
          <w:b/>
          <w:sz w:val="21"/>
        </w:rPr>
        <w:t>3.1</w:t>
        <w:tab/>
        <w:t>保险费的支付</w:t>
        <w:tab/>
      </w:r>
      <w:r>
        <w:rPr>
          <w:sz w:val="21"/>
        </w:rPr>
        <w:t>本附加险合同的交费方式和交费期间由您和我们约定并在保险单上载明。</w:t>
      </w:r>
    </w:p>
    <w:p>
      <w:pPr>
        <w:pStyle w:val="BodyText"/>
        <w:rPr>
          <w:sz w:val="20"/>
        </w:rPr>
      </w:pPr>
    </w:p>
    <w:p>
      <w:pPr>
        <w:pStyle w:val="BodyText"/>
        <w:spacing w:before="12"/>
        <w:rPr>
          <w:sz w:val="17"/>
        </w:rPr>
      </w:pPr>
      <w:r>
        <w:rPr/>
        <w:pict>
          <v:line style="position:absolute;mso-position-horizontal-relative:page;mso-position-vertical-relative:paragraph;z-index:1240;mso-wrap-distance-left:0;mso-wrap-distance-right:0" from="51.060001pt,14.00423pt" to="195.060001pt,14.00423pt" stroked="true" strokeweight=".54pt" strokecolor="#000000">
            <v:stroke dashstyle="solid"/>
            <w10:wrap type="topAndBottom"/>
          </v:line>
        </w:pict>
      </w:r>
    </w:p>
    <w:p>
      <w:pPr>
        <w:spacing w:line="259" w:lineRule="auto" w:before="17"/>
        <w:ind w:left="221" w:right="218" w:hanging="1"/>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221" w:right="222" w:firstLine="0"/>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221" w:right="219"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HIV。艾滋病指人类免疫缺陷病毒引起的获得性免疫缺陷综合征，英文缩写为AIDS。</w:t>
      </w:r>
    </w:p>
    <w:p>
      <w:pPr>
        <w:spacing w:line="285" w:lineRule="auto" w:before="14"/>
        <w:ind w:left="221" w:right="18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221" w:right="0" w:firstLine="0"/>
        <w:jc w:val="left"/>
        <w:rPr>
          <w:sz w:val="18"/>
        </w:rPr>
      </w:pPr>
      <w:r>
        <w:rPr>
          <w:sz w:val="18"/>
        </w:rPr>
        <w:t>直传递的特征。</w:t>
      </w:r>
    </w:p>
    <w:p>
      <w:pPr>
        <w:spacing w:line="280" w:lineRule="exact" w:before="37"/>
        <w:ind w:left="221" w:right="218" w:hanging="1"/>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type w:val="continuous"/>
          <w:pgSz w:w="11910" w:h="16840"/>
          <w:pgMar w:top="580" w:bottom="280" w:left="800" w:right="800"/>
        </w:sectPr>
      </w:pPr>
    </w:p>
    <w:p>
      <w:pPr>
        <w:spacing w:line="273" w:lineRule="auto" w:before="40"/>
        <w:ind w:left="3296" w:right="219" w:firstLine="0"/>
        <w:jc w:val="left"/>
        <w:rPr>
          <w:sz w:val="21"/>
        </w:rPr>
      </w:pPr>
      <w:r>
        <w:rPr>
          <w:spacing w:val="-10"/>
          <w:sz w:val="21"/>
        </w:rPr>
        <w:t>分期支付保险费的，在支付首期保险费后，您应当在</w:t>
      </w:r>
      <w:r>
        <w:rPr>
          <w:rFonts w:ascii="黑体" w:eastAsia="黑体" w:hint="eastAsia"/>
          <w:b/>
          <w:spacing w:val="-6"/>
          <w:sz w:val="21"/>
        </w:rPr>
        <w:t>保险费约定支付日 </w:t>
      </w:r>
      <w:hyperlink w:history="true" w:anchor="_bookmark11">
        <w:r>
          <w:rPr>
            <w:rFonts w:ascii="黑体" w:eastAsia="黑体" w:hint="eastAsia"/>
            <w:b/>
            <w:position w:val="11"/>
            <w:sz w:val="11"/>
          </w:rPr>
          <w:t>12</w:t>
        </w:r>
      </w:hyperlink>
      <w:r>
        <w:rPr>
          <w:sz w:val="21"/>
        </w:rPr>
        <w:t>支付其余各期的保险费。</w:t>
      </w:r>
    </w:p>
    <w:p>
      <w:pPr>
        <w:pStyle w:val="BodyText"/>
        <w:spacing w:before="7"/>
        <w:ind w:left="3296"/>
      </w:pPr>
      <w:r>
        <w:rPr/>
        <w:t>本附加险合同的保险费必须随主险合同保险费一同支付，不能单独支付。</w:t>
      </w:r>
    </w:p>
    <w:p>
      <w:pPr>
        <w:pStyle w:val="BodyText"/>
        <w:spacing w:before="5"/>
        <w:rPr>
          <w:sz w:val="2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4"/>
        <w:gridCol w:w="6990"/>
      </w:tblGrid>
      <w:tr>
        <w:trPr>
          <w:trHeight w:val="1962" w:hRule="atLeast"/>
        </w:trPr>
        <w:tc>
          <w:tcPr>
            <w:tcW w:w="713" w:type="dxa"/>
          </w:tcPr>
          <w:p>
            <w:pPr>
              <w:pStyle w:val="TableParagraph"/>
              <w:spacing w:line="210" w:lineRule="exact"/>
              <w:ind w:left="108"/>
              <w:rPr>
                <w:b/>
                <w:sz w:val="21"/>
              </w:rPr>
            </w:pPr>
            <w:r>
              <w:rPr>
                <w:b/>
                <w:sz w:val="21"/>
              </w:rPr>
              <w:t>3.2</w:t>
            </w:r>
          </w:p>
        </w:tc>
        <w:tc>
          <w:tcPr>
            <w:tcW w:w="2374" w:type="dxa"/>
          </w:tcPr>
          <w:p>
            <w:pPr>
              <w:pStyle w:val="TableParagraph"/>
              <w:spacing w:line="210" w:lineRule="exact"/>
              <w:ind w:left="155"/>
              <w:rPr>
                <w:b/>
                <w:sz w:val="21"/>
              </w:rPr>
            </w:pPr>
            <w:r>
              <w:rPr>
                <w:b/>
                <w:sz w:val="21"/>
              </w:rPr>
              <w:t>宽限期</w:t>
            </w:r>
          </w:p>
        </w:tc>
        <w:tc>
          <w:tcPr>
            <w:tcW w:w="6990" w:type="dxa"/>
          </w:tcPr>
          <w:p>
            <w:pPr>
              <w:pStyle w:val="TableParagraph"/>
              <w:spacing w:line="210" w:lineRule="exact"/>
              <w:ind w:left="96"/>
              <w:rPr>
                <w:sz w:val="21"/>
              </w:rPr>
            </w:pPr>
            <w:r>
              <w:rPr>
                <w:sz w:val="21"/>
              </w:rPr>
              <w:t>分期支付保险费的，在支付首期保险费后，除本附加险合同另有约定外，</w:t>
            </w:r>
          </w:p>
          <w:p>
            <w:pPr>
              <w:pStyle w:val="TableParagraph"/>
              <w:spacing w:line="273" w:lineRule="auto" w:before="37"/>
              <w:ind w:left="96" w:right="103"/>
              <w:jc w:val="both"/>
              <w:rPr>
                <w:sz w:val="21"/>
              </w:rPr>
            </w:pPr>
            <w:r>
              <w:rPr>
                <w:spacing w:val="-6"/>
                <w:sz w:val="21"/>
              </w:rPr>
              <w:t>如果您到期未支付保险费，自保险费约定支付日的次日零时起 </w:t>
            </w:r>
            <w:r>
              <w:rPr>
                <w:sz w:val="21"/>
              </w:rPr>
              <w:t>60</w:t>
            </w:r>
            <w:r>
              <w:rPr>
                <w:spacing w:val="-12"/>
                <w:sz w:val="21"/>
              </w:rPr>
              <w:t> 日为宽限期。宽限期内发生的保险事故，我们仍会承担保险责任，但在给付保险金时会扣减您欠交的保险费。</w:t>
            </w:r>
          </w:p>
          <w:p>
            <w:pPr>
              <w:pStyle w:val="TableParagraph"/>
              <w:spacing w:line="273" w:lineRule="auto" w:before="7"/>
              <w:ind w:left="96" w:right="104"/>
              <w:jc w:val="both"/>
              <w:rPr>
                <w:sz w:val="21"/>
              </w:rPr>
            </w:pPr>
            <w:r>
              <w:rPr>
                <w:sz w:val="21"/>
              </w:rPr>
              <w:t>如果您宽限期结束之后仍未支付保险费，则本附加险合同自宽限期满的次日零时起效力中止。</w:t>
            </w:r>
          </w:p>
        </w:tc>
      </w:tr>
      <w:tr>
        <w:trPr>
          <w:trHeight w:val="2487" w:hRule="atLeast"/>
        </w:trPr>
        <w:tc>
          <w:tcPr>
            <w:tcW w:w="713" w:type="dxa"/>
          </w:tcPr>
          <w:p>
            <w:pPr>
              <w:pStyle w:val="TableParagraph"/>
              <w:spacing w:before="127"/>
              <w:ind w:left="108"/>
              <w:rPr>
                <w:b/>
                <w:sz w:val="21"/>
              </w:rPr>
            </w:pPr>
            <w:r>
              <w:rPr>
                <w:b/>
                <w:sz w:val="21"/>
              </w:rPr>
              <w:t>3.3</w:t>
            </w:r>
          </w:p>
        </w:tc>
        <w:tc>
          <w:tcPr>
            <w:tcW w:w="2374" w:type="dxa"/>
          </w:tcPr>
          <w:p>
            <w:pPr>
              <w:pStyle w:val="TableParagraph"/>
              <w:spacing w:before="127"/>
              <w:ind w:left="155"/>
              <w:rPr>
                <w:b/>
                <w:sz w:val="21"/>
              </w:rPr>
            </w:pPr>
            <w:r>
              <w:rPr>
                <w:b/>
                <w:w w:val="95"/>
                <w:sz w:val="21"/>
              </w:rPr>
              <w:t>效力中止与恢复</w:t>
            </w:r>
          </w:p>
        </w:tc>
        <w:tc>
          <w:tcPr>
            <w:tcW w:w="6990" w:type="dxa"/>
          </w:tcPr>
          <w:p>
            <w:pPr>
              <w:pStyle w:val="TableParagraph"/>
              <w:spacing w:before="127"/>
              <w:ind w:left="96"/>
              <w:rPr>
                <w:sz w:val="21"/>
              </w:rPr>
            </w:pPr>
            <w:r>
              <w:rPr>
                <w:sz w:val="21"/>
              </w:rPr>
              <w:t>在本附加险合同效力中止期间，我们不承担保险责任。</w:t>
            </w:r>
          </w:p>
          <w:p>
            <w:pPr>
              <w:pStyle w:val="TableParagraph"/>
              <w:spacing w:line="273" w:lineRule="auto" w:before="36"/>
              <w:ind w:left="96" w:right="46"/>
              <w:rPr>
                <w:sz w:val="21"/>
              </w:rPr>
            </w:pPr>
            <w:r>
              <w:rPr>
                <w:sz w:val="21"/>
              </w:rPr>
              <w:t>本附加险合同效力中止后 2 年内，您可以申请恢复合同效力。经您与我们协商并达成协议，自您补交保险费之日起，合同效力恢复。</w:t>
            </w:r>
          </w:p>
          <w:p>
            <w:pPr>
              <w:pStyle w:val="TableParagraph"/>
              <w:spacing w:before="7"/>
              <w:ind w:left="96"/>
              <w:rPr>
                <w:sz w:val="21"/>
              </w:rPr>
            </w:pPr>
            <w:r>
              <w:rPr>
                <w:sz w:val="21"/>
              </w:rPr>
              <w:t>主险合同效力中止期间，本附加险合同不得单独申请复效。</w:t>
            </w:r>
          </w:p>
          <w:p>
            <w:pPr>
              <w:pStyle w:val="TableParagraph"/>
              <w:spacing w:line="273" w:lineRule="auto" w:before="37"/>
              <w:ind w:left="96" w:right="104"/>
              <w:jc w:val="both"/>
              <w:rPr>
                <w:sz w:val="21"/>
              </w:rPr>
            </w:pPr>
            <w:r>
              <w:rPr>
                <w:spacing w:val="-2"/>
                <w:sz w:val="21"/>
              </w:rPr>
              <w:t>自本附加险合同效力中止之日起满 </w:t>
            </w:r>
            <w:r>
              <w:rPr>
                <w:sz w:val="21"/>
              </w:rPr>
              <w:t>2</w:t>
            </w:r>
            <w:r>
              <w:rPr>
                <w:spacing w:val="-5"/>
                <w:sz w:val="21"/>
              </w:rPr>
              <w:t> 年您和我们未达成协议的，我们有权解除合同。我们解除合同的，向您退还合同效力中止时本附加险合同的现金价值。</w:t>
            </w:r>
          </w:p>
        </w:tc>
      </w:tr>
      <w:tr>
        <w:trPr>
          <w:trHeight w:val="1113" w:hRule="atLeast"/>
        </w:trPr>
        <w:tc>
          <w:tcPr>
            <w:tcW w:w="713" w:type="dxa"/>
            <w:tcBorders>
              <w:bottom w:val="single" w:sz="8" w:space="0" w:color="000000"/>
            </w:tcBorders>
          </w:tcPr>
          <w:p>
            <w:pPr>
              <w:pStyle w:val="TableParagraph"/>
              <w:spacing w:before="241"/>
              <w:ind w:left="201"/>
              <w:rPr>
                <w:rFonts w:ascii="Arial" w:hAnsi="Arial"/>
                <w:b/>
                <w:sz w:val="40"/>
              </w:rPr>
            </w:pPr>
            <w:r>
              <w:rPr>
                <w:rFonts w:ascii="Arial" w:hAnsi="Arial"/>
                <w:b/>
                <w:w w:val="118"/>
                <w:sz w:val="40"/>
              </w:rPr>
              <w:t></w:t>
            </w:r>
          </w:p>
        </w:tc>
        <w:tc>
          <w:tcPr>
            <w:tcW w:w="9364" w:type="dxa"/>
            <w:gridSpan w:val="2"/>
            <w:tcBorders>
              <w:bottom w:val="single" w:sz="8" w:space="0" w:color="000000"/>
            </w:tcBorders>
          </w:tcPr>
          <w:p>
            <w:pPr>
              <w:pStyle w:val="TableParagraph"/>
              <w:spacing w:before="139"/>
              <w:ind w:left="155"/>
              <w:rPr>
                <w:b/>
                <w:sz w:val="24"/>
              </w:rPr>
            </w:pPr>
            <w:r>
              <w:rPr>
                <w:b/>
                <w:w w:val="95"/>
                <w:sz w:val="24"/>
              </w:rPr>
              <w:t>如何领取保险金</w:t>
            </w:r>
          </w:p>
          <w:p>
            <w:pPr>
              <w:pStyle w:val="TableParagraph"/>
              <w:spacing w:before="133"/>
              <w:ind w:left="155"/>
              <w:rPr>
                <w:sz w:val="24"/>
              </w:rPr>
            </w:pPr>
            <w:r>
              <w:rPr>
                <w:sz w:val="24"/>
              </w:rPr>
              <w:t>这部分讲的是发生重大疾病或特定轻度重疾后受益人如何领取保险金。</w:t>
            </w:r>
          </w:p>
        </w:tc>
      </w:tr>
      <w:tr>
        <w:trPr>
          <w:trHeight w:val="1028"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4.1</w:t>
            </w:r>
          </w:p>
        </w:tc>
        <w:tc>
          <w:tcPr>
            <w:tcW w:w="2374" w:type="dxa"/>
            <w:tcBorders>
              <w:top w:val="single" w:sz="8" w:space="0" w:color="000000"/>
            </w:tcBorders>
          </w:tcPr>
          <w:p>
            <w:pPr>
              <w:pStyle w:val="TableParagraph"/>
              <w:ind w:left="0"/>
              <w:rPr>
                <w:sz w:val="19"/>
              </w:rPr>
            </w:pPr>
          </w:p>
          <w:p>
            <w:pPr>
              <w:pStyle w:val="TableParagraph"/>
              <w:ind w:left="155"/>
              <w:rPr>
                <w:b/>
                <w:sz w:val="21"/>
              </w:rPr>
            </w:pPr>
            <w:r>
              <w:rPr>
                <w:b/>
                <w:sz w:val="21"/>
              </w:rPr>
              <w:t>受益人</w:t>
            </w:r>
          </w:p>
        </w:tc>
        <w:tc>
          <w:tcPr>
            <w:tcW w:w="6990" w:type="dxa"/>
            <w:tcBorders>
              <w:top w:val="single" w:sz="8" w:space="0" w:color="000000"/>
            </w:tcBorders>
          </w:tcPr>
          <w:p>
            <w:pPr>
              <w:pStyle w:val="TableParagraph"/>
              <w:ind w:left="0"/>
              <w:rPr>
                <w:sz w:val="19"/>
              </w:rPr>
            </w:pPr>
          </w:p>
          <w:p>
            <w:pPr>
              <w:pStyle w:val="TableParagraph"/>
              <w:spacing w:line="273" w:lineRule="auto"/>
              <w:ind w:left="96" w:right="102"/>
              <w:rPr>
                <w:sz w:val="21"/>
              </w:rPr>
            </w:pPr>
            <w:r>
              <w:rPr>
                <w:sz w:val="21"/>
              </w:rPr>
              <w:t>除另有指定外，重大疾病保险金及特定轻度重疾保险金受益人为被保险人本人。</w:t>
            </w:r>
          </w:p>
        </w:tc>
      </w:tr>
      <w:tr>
        <w:trPr>
          <w:trHeight w:val="587" w:hRule="atLeast"/>
        </w:trPr>
        <w:tc>
          <w:tcPr>
            <w:tcW w:w="713" w:type="dxa"/>
          </w:tcPr>
          <w:p>
            <w:pPr>
              <w:pStyle w:val="TableParagraph"/>
              <w:spacing w:before="127"/>
              <w:ind w:left="108"/>
              <w:rPr>
                <w:b/>
                <w:sz w:val="21"/>
              </w:rPr>
            </w:pPr>
            <w:r>
              <w:rPr>
                <w:b/>
                <w:sz w:val="21"/>
              </w:rPr>
              <w:t>4.2</w:t>
            </w:r>
          </w:p>
        </w:tc>
        <w:tc>
          <w:tcPr>
            <w:tcW w:w="2374" w:type="dxa"/>
          </w:tcPr>
          <w:p>
            <w:pPr>
              <w:pStyle w:val="TableParagraph"/>
              <w:spacing w:before="127"/>
              <w:ind w:left="155"/>
              <w:rPr>
                <w:b/>
                <w:sz w:val="21"/>
              </w:rPr>
            </w:pPr>
            <w:r>
              <w:rPr>
                <w:b/>
                <w:w w:val="95"/>
                <w:sz w:val="21"/>
              </w:rPr>
              <w:t>保险金申请</w:t>
            </w:r>
          </w:p>
        </w:tc>
        <w:tc>
          <w:tcPr>
            <w:tcW w:w="6990" w:type="dxa"/>
          </w:tcPr>
          <w:p>
            <w:pPr>
              <w:pStyle w:val="TableParagraph"/>
              <w:spacing w:before="127"/>
              <w:ind w:left="96"/>
              <w:rPr>
                <w:sz w:val="21"/>
              </w:rPr>
            </w:pPr>
            <w:r>
              <w:rPr>
                <w:sz w:val="21"/>
              </w:rPr>
              <w:t>在申请保险金时，请按照下列方式办理：</w:t>
            </w:r>
          </w:p>
        </w:tc>
      </w:tr>
      <w:tr>
        <w:trPr>
          <w:trHeight w:val="2789" w:hRule="atLeast"/>
        </w:trPr>
        <w:tc>
          <w:tcPr>
            <w:tcW w:w="713" w:type="dxa"/>
          </w:tcPr>
          <w:p>
            <w:pPr>
              <w:pStyle w:val="TableParagraph"/>
              <w:ind w:left="0"/>
              <w:rPr>
                <w:rFonts w:ascii="Times New Roman"/>
                <w:sz w:val="20"/>
              </w:rPr>
            </w:pPr>
          </w:p>
        </w:tc>
        <w:tc>
          <w:tcPr>
            <w:tcW w:w="2374" w:type="dxa"/>
          </w:tcPr>
          <w:p>
            <w:pPr>
              <w:pStyle w:val="TableParagraph"/>
              <w:spacing w:line="232" w:lineRule="auto" w:before="114"/>
              <w:ind w:left="155" w:right="92"/>
              <w:jc w:val="both"/>
              <w:rPr>
                <w:rFonts w:ascii="等线" w:eastAsia="等线" w:hint="eastAsia"/>
                <w:b/>
                <w:sz w:val="24"/>
              </w:rPr>
            </w:pPr>
            <w:r>
              <w:rPr>
                <w:rFonts w:ascii="等线" w:eastAsia="等线" w:hint="eastAsia"/>
                <w:b/>
                <w:sz w:val="24"/>
              </w:rPr>
              <w:t>重大疾病保险金和特定轻度重疾保险金申请</w:t>
            </w:r>
          </w:p>
        </w:tc>
        <w:tc>
          <w:tcPr>
            <w:tcW w:w="6990" w:type="dxa"/>
          </w:tcPr>
          <w:p>
            <w:pPr>
              <w:pStyle w:val="TableParagraph"/>
              <w:spacing w:before="137"/>
              <w:ind w:left="96"/>
              <w:rPr>
                <w:sz w:val="21"/>
              </w:rPr>
            </w:pPr>
            <w:r>
              <w:rPr>
                <w:sz w:val="21"/>
              </w:rPr>
              <w:t>由受益人填写保险金给付申请书，并提供下列证明和资料：</w:t>
            </w:r>
          </w:p>
          <w:p>
            <w:pPr>
              <w:pStyle w:val="TableParagraph"/>
              <w:spacing w:before="37"/>
              <w:ind w:left="96"/>
              <w:rPr>
                <w:sz w:val="21"/>
              </w:rPr>
            </w:pPr>
            <w:r>
              <w:rPr>
                <w:sz w:val="21"/>
              </w:rPr>
              <w:t>（1）保险合同；</w:t>
            </w:r>
          </w:p>
          <w:p>
            <w:pPr>
              <w:pStyle w:val="TableParagraph"/>
              <w:spacing w:before="37"/>
              <w:ind w:left="96"/>
              <w:rPr>
                <w:sz w:val="21"/>
              </w:rPr>
            </w:pPr>
            <w:r>
              <w:rPr>
                <w:sz w:val="21"/>
              </w:rPr>
              <w:t>（2）受益人的</w:t>
            </w:r>
            <w:r>
              <w:rPr>
                <w:rFonts w:ascii="黑体" w:eastAsia="黑体" w:hint="eastAsia"/>
                <w:b/>
                <w:sz w:val="21"/>
              </w:rPr>
              <w:t>有效身份证件 </w:t>
            </w:r>
            <w:hyperlink w:history="true" w:anchor="_bookmark12">
              <w:r>
                <w:rPr>
                  <w:rFonts w:ascii="黑体" w:eastAsia="黑体" w:hint="eastAsia"/>
                  <w:b/>
                  <w:position w:val="11"/>
                  <w:sz w:val="11"/>
                </w:rPr>
                <w:t>13</w:t>
              </w:r>
            </w:hyperlink>
            <w:r>
              <w:rPr>
                <w:sz w:val="21"/>
              </w:rPr>
              <w:t>；</w:t>
            </w:r>
          </w:p>
          <w:p>
            <w:pPr>
              <w:pStyle w:val="TableParagraph"/>
              <w:spacing w:line="273" w:lineRule="auto" w:before="37"/>
              <w:ind w:left="636" w:right="38" w:hanging="524"/>
              <w:rPr>
                <w:sz w:val="21"/>
              </w:rPr>
            </w:pPr>
            <w:r>
              <w:rPr>
                <w:sz w:val="21"/>
              </w:rPr>
              <w:t>（3）医院出具的附有病理显微镜检查、血液检验及其他科学方法检验报告的疾病诊断证明书；</w:t>
            </w:r>
          </w:p>
          <w:p>
            <w:pPr>
              <w:pStyle w:val="TableParagraph"/>
              <w:spacing w:before="8"/>
              <w:ind w:left="96"/>
              <w:rPr>
                <w:sz w:val="21"/>
              </w:rPr>
            </w:pPr>
            <w:r>
              <w:rPr>
                <w:sz w:val="21"/>
              </w:rPr>
              <w:t>（4）与确认保险事故的性质、原因等有关的其他证明和资料。</w:t>
            </w:r>
          </w:p>
          <w:p>
            <w:pPr>
              <w:pStyle w:val="TableParagraph"/>
              <w:spacing w:line="273" w:lineRule="auto" w:before="37"/>
              <w:ind w:left="96" w:right="103"/>
              <w:rPr>
                <w:sz w:val="21"/>
              </w:rPr>
            </w:pPr>
            <w:r>
              <w:rPr>
                <w:sz w:val="21"/>
              </w:rPr>
              <w:t>以上证明和资料不完整的，我们将一次性通知受益人补充提供有关证明和资料。</w:t>
            </w:r>
          </w:p>
        </w:tc>
      </w:tr>
      <w:tr>
        <w:trPr>
          <w:trHeight w:val="1963" w:hRule="atLeast"/>
        </w:trPr>
        <w:tc>
          <w:tcPr>
            <w:tcW w:w="713" w:type="dxa"/>
          </w:tcPr>
          <w:p>
            <w:pPr>
              <w:pStyle w:val="TableParagraph"/>
              <w:spacing w:before="128"/>
              <w:ind w:left="108"/>
              <w:rPr>
                <w:b/>
                <w:sz w:val="21"/>
              </w:rPr>
            </w:pPr>
            <w:r>
              <w:rPr>
                <w:b/>
                <w:sz w:val="21"/>
              </w:rPr>
              <w:t>4.3</w:t>
            </w:r>
          </w:p>
        </w:tc>
        <w:tc>
          <w:tcPr>
            <w:tcW w:w="2374" w:type="dxa"/>
          </w:tcPr>
          <w:p>
            <w:pPr>
              <w:pStyle w:val="TableParagraph"/>
              <w:spacing w:before="128"/>
              <w:ind w:left="155"/>
              <w:rPr>
                <w:b/>
                <w:sz w:val="21"/>
              </w:rPr>
            </w:pPr>
            <w:r>
              <w:rPr>
                <w:b/>
                <w:w w:val="95"/>
                <w:sz w:val="21"/>
              </w:rPr>
              <w:t>保险金的给付</w:t>
            </w:r>
          </w:p>
        </w:tc>
        <w:tc>
          <w:tcPr>
            <w:tcW w:w="6990" w:type="dxa"/>
          </w:tcPr>
          <w:p>
            <w:pPr>
              <w:pStyle w:val="TableParagraph"/>
              <w:spacing w:before="128"/>
              <w:ind w:left="96"/>
              <w:rPr>
                <w:sz w:val="21"/>
              </w:rPr>
            </w:pPr>
            <w:r>
              <w:rPr>
                <w:sz w:val="21"/>
              </w:rPr>
              <w:t>我们在收到保险金给付申请书及上述有关证明和资料后，将在 5 日内作出</w:t>
            </w:r>
          </w:p>
          <w:p>
            <w:pPr>
              <w:pStyle w:val="TableParagraph"/>
              <w:spacing w:before="37"/>
              <w:ind w:left="96"/>
              <w:rPr>
                <w:sz w:val="21"/>
              </w:rPr>
            </w:pPr>
            <w:r>
              <w:rPr>
                <w:sz w:val="21"/>
              </w:rPr>
              <w:t>核定；情形复杂的，在 30 日内作出核定。</w:t>
            </w:r>
          </w:p>
          <w:p>
            <w:pPr>
              <w:pStyle w:val="TableParagraph"/>
              <w:spacing w:line="310" w:lineRule="atLeast" w:before="2"/>
              <w:ind w:right="104"/>
              <w:jc w:val="both"/>
              <w:rPr>
                <w:sz w:val="21"/>
              </w:rPr>
            </w:pPr>
            <w:r>
              <w:rPr>
                <w:spacing w:val="-5"/>
                <w:sz w:val="21"/>
              </w:rPr>
              <w:t>对属于保险责任的，我们在与受益人达成给付保险金的协议后 </w:t>
            </w:r>
            <w:r>
              <w:rPr>
                <w:sz w:val="21"/>
              </w:rPr>
              <w:t>10</w:t>
            </w:r>
            <w:r>
              <w:rPr>
                <w:spacing w:val="-20"/>
                <w:sz w:val="21"/>
              </w:rPr>
              <w:t> 日内，履</w:t>
            </w:r>
            <w:r>
              <w:rPr>
                <w:sz w:val="21"/>
              </w:rPr>
              <w:t>行给付保险金义务；若我们在收到保险金给付申请书及上述有关证明和资</w:t>
            </w:r>
            <w:r>
              <w:rPr>
                <w:spacing w:val="-10"/>
                <w:sz w:val="21"/>
              </w:rPr>
              <w:t>料后第 </w:t>
            </w:r>
            <w:r>
              <w:rPr>
                <w:sz w:val="21"/>
              </w:rPr>
              <w:t>30</w:t>
            </w:r>
            <w:r>
              <w:rPr>
                <w:spacing w:val="-8"/>
                <w:sz w:val="21"/>
              </w:rPr>
              <w:t> 日仍未作出核定，除支付保险金外，我们将从第 </w:t>
            </w:r>
            <w:r>
              <w:rPr>
                <w:sz w:val="21"/>
              </w:rPr>
              <w:t>31</w:t>
            </w:r>
            <w:r>
              <w:rPr>
                <w:spacing w:val="-7"/>
                <w:sz w:val="21"/>
              </w:rPr>
              <w:t> 日起按超过天数赔偿受益人因此受到的利息损失。利息按照我们公示的利率按单利计</w:t>
            </w:r>
          </w:p>
        </w:tc>
      </w:tr>
    </w:tbl>
    <w:p>
      <w:pPr>
        <w:pStyle w:val="BodyText"/>
        <w:spacing w:before="11"/>
        <w:rPr>
          <w:sz w:val="12"/>
        </w:rPr>
      </w:pPr>
      <w:r>
        <w:rPr/>
        <w:pict>
          <v:line style="position:absolute;mso-position-horizontal-relative:page;mso-position-vertical-relative:paragraph;z-index:1312;mso-wrap-distance-left:0;mso-wrap-distance-right:0" from="51.060001pt,10.658438pt" to="195.060001pt,10.658438pt" stroked="true" strokeweight=".54pt" strokecolor="#000000">
            <v:stroke dashstyle="solid"/>
            <w10:wrap type="topAndBottom"/>
          </v:line>
        </w:pict>
      </w:r>
    </w:p>
    <w:p>
      <w:pPr>
        <w:spacing w:line="242" w:lineRule="auto" w:before="0"/>
        <w:ind w:left="221" w:right="217" w:firstLine="0"/>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line="260" w:lineRule="exact" w:before="23"/>
        <w:ind w:left="221" w:right="219" w:firstLine="0"/>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有效身份证件</w:t>
      </w:r>
      <w:r>
        <w:rPr>
          <w:spacing w:val="-9"/>
          <w:sz w:val="18"/>
        </w:rPr>
        <w:t>指由政府主管部门规定的证明个人身份的证件，如：居民身份证、按规定可使用的有效护照、军官证、警官证、士兵证等证件。</w:t>
      </w:r>
    </w:p>
    <w:p>
      <w:pPr>
        <w:spacing w:after="0" w:line="260" w:lineRule="exact"/>
        <w:jc w:val="left"/>
        <w:rPr>
          <w:sz w:val="18"/>
        </w:rPr>
        <w:sectPr>
          <w:pgSz w:w="11910" w:h="16840"/>
          <w:pgMar w:top="1060" w:bottom="280" w:left="800" w:right="800"/>
        </w:sectPr>
      </w:pPr>
    </w:p>
    <w:p>
      <w:pPr>
        <w:pStyle w:val="BodyText"/>
        <w:spacing w:line="273" w:lineRule="auto" w:before="20"/>
        <w:ind w:left="3296" w:right="220"/>
        <w:jc w:val="both"/>
      </w:pPr>
      <w:r>
        <w:rPr/>
        <w:t>算，且保证该利率不低于中国人民银行公布的同期金融机构人民币活期存款基准利率。若我们要求投保人、被保险人或者受益人补充提供有关证明和资料的，则上述的 30 日不包括补充提供有关证明和资料的期间。</w:t>
      </w:r>
    </w:p>
    <w:p>
      <w:pPr>
        <w:pStyle w:val="BodyText"/>
        <w:spacing w:line="273" w:lineRule="auto" w:before="7"/>
        <w:ind w:left="3296" w:right="220"/>
        <w:jc w:val="both"/>
      </w:pPr>
      <w:r>
        <w:rPr>
          <w:spacing w:val="-1"/>
        </w:rPr>
        <w:t>对不属于保险责任的，我们自作出核定之日起 </w:t>
      </w:r>
      <w:r>
        <w:rPr/>
        <w:t>3</w:t>
      </w:r>
      <w:r>
        <w:rPr>
          <w:spacing w:val="-5"/>
        </w:rPr>
        <w:t> 日内向受益人发出拒绝给付保险金通知书并说明理由。</w:t>
      </w:r>
    </w:p>
    <w:p>
      <w:pPr>
        <w:pStyle w:val="BodyText"/>
        <w:rPr>
          <w:sz w:val="20"/>
        </w:rPr>
      </w:pPr>
    </w:p>
    <w:p>
      <w:pPr>
        <w:pStyle w:val="BodyText"/>
        <w:spacing w:before="4"/>
        <w:rPr>
          <w:sz w:val="10"/>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75"/>
        <w:gridCol w:w="6995"/>
      </w:tblGrid>
      <w:tr>
        <w:trPr>
          <w:trHeight w:val="900" w:hRule="atLeast"/>
        </w:trPr>
        <w:tc>
          <w:tcPr>
            <w:tcW w:w="713" w:type="dxa"/>
            <w:tcBorders>
              <w:bottom w:val="single" w:sz="8" w:space="0" w:color="000000"/>
            </w:tcBorders>
          </w:tcPr>
          <w:p>
            <w:pPr>
              <w:pStyle w:val="TableParagraph"/>
              <w:spacing w:before="28"/>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line="240" w:lineRule="exact"/>
              <w:ind w:left="155"/>
              <w:rPr>
                <w:b/>
                <w:sz w:val="24"/>
              </w:rPr>
            </w:pPr>
            <w:r>
              <w:rPr>
                <w:b/>
                <w:sz w:val="24"/>
              </w:rPr>
              <w:t>如何退保</w:t>
            </w:r>
          </w:p>
          <w:p>
            <w:pPr>
              <w:pStyle w:val="TableParagraph"/>
              <w:spacing w:before="133"/>
              <w:ind w:left="155" w:right="-15"/>
              <w:rPr>
                <w:sz w:val="24"/>
              </w:rPr>
            </w:pPr>
            <w:r>
              <w:rPr>
                <w:spacing w:val="-9"/>
                <w:sz w:val="24"/>
              </w:rPr>
              <w:t>这部分讲的是您可以随时申请退保，在犹豫期内退保没有损失，犹豫期后退保会有损失。</w:t>
            </w:r>
          </w:p>
        </w:tc>
      </w:tr>
      <w:tr>
        <w:trPr>
          <w:trHeight w:val="2588"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5.1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犹豫期</w:t>
            </w:r>
          </w:p>
        </w:tc>
        <w:tc>
          <w:tcPr>
            <w:tcW w:w="6995" w:type="dxa"/>
            <w:tcBorders>
              <w:top w:val="single" w:sz="8" w:space="0" w:color="000000"/>
            </w:tcBorders>
          </w:tcPr>
          <w:p>
            <w:pPr>
              <w:pStyle w:val="TableParagraph"/>
              <w:ind w:left="0"/>
              <w:rPr>
                <w:sz w:val="19"/>
              </w:rPr>
            </w:pPr>
          </w:p>
          <w:p>
            <w:pPr>
              <w:pStyle w:val="TableParagraph"/>
              <w:spacing w:line="273" w:lineRule="auto"/>
              <w:ind w:right="111"/>
              <w:rPr>
                <w:sz w:val="21"/>
              </w:rPr>
            </w:pPr>
            <w:r>
              <w:rPr>
                <w:spacing w:val="-6"/>
                <w:sz w:val="21"/>
              </w:rPr>
              <w:t>自您签收本附加险合同次日起，有 </w:t>
            </w:r>
            <w:r>
              <w:rPr>
                <w:sz w:val="21"/>
              </w:rPr>
              <w:t>10</w:t>
            </w:r>
            <w:r>
              <w:rPr>
                <w:spacing w:val="-9"/>
                <w:sz w:val="21"/>
              </w:rPr>
              <w:t> 日的犹豫期。在此期间请您认真审视本附加险合同，如果您认为本附加险合同与您的需求不相符，您可以在此期间提出解除本附加险合同，我们将无息退还您所支付的全部保险费。 解除本附加险合同时，您需要填写申请书，并提供您的保险合同及有效身</w:t>
            </w:r>
          </w:p>
          <w:p>
            <w:pPr>
              <w:pStyle w:val="TableParagraph"/>
              <w:spacing w:line="273" w:lineRule="auto" w:before="7"/>
              <w:ind w:right="5"/>
              <w:rPr>
                <w:sz w:val="21"/>
              </w:rPr>
            </w:pPr>
            <w:r>
              <w:rPr>
                <w:spacing w:val="-5"/>
                <w:sz w:val="21"/>
              </w:rPr>
              <w:t>份证件。自我们收到您解除合同的书面申请时起，本附加险合同即被解除， 合同解除前发生的保险事故我们不承担保险责任。</w:t>
            </w:r>
          </w:p>
          <w:p>
            <w:pPr>
              <w:pStyle w:val="TableParagraph"/>
              <w:spacing w:before="7"/>
              <w:rPr>
                <w:sz w:val="21"/>
              </w:rPr>
            </w:pPr>
            <w:r>
              <w:rPr>
                <w:spacing w:val="-3"/>
                <w:sz w:val="21"/>
              </w:rPr>
              <w:t>若您申请解除本附加险合同，主险合同必须与本附加险合同同时申请解除。</w:t>
            </w:r>
          </w:p>
        </w:tc>
      </w:tr>
      <w:tr>
        <w:trPr>
          <w:trHeight w:val="3111" w:hRule="atLeast"/>
        </w:trPr>
        <w:tc>
          <w:tcPr>
            <w:tcW w:w="713" w:type="dxa"/>
          </w:tcPr>
          <w:p>
            <w:pPr>
              <w:pStyle w:val="TableParagraph"/>
              <w:spacing w:before="127"/>
              <w:ind w:left="108"/>
              <w:rPr>
                <w:b/>
                <w:sz w:val="21"/>
              </w:rPr>
            </w:pPr>
            <w:r>
              <w:rPr>
                <w:b/>
                <w:sz w:val="21"/>
              </w:rPr>
              <w:t>5.2</w:t>
            </w:r>
          </w:p>
        </w:tc>
        <w:tc>
          <w:tcPr>
            <w:tcW w:w="2375" w:type="dxa"/>
          </w:tcPr>
          <w:p>
            <w:pPr>
              <w:pStyle w:val="TableParagraph"/>
              <w:spacing w:line="273" w:lineRule="auto" w:before="127"/>
              <w:ind w:left="155" w:right="91"/>
              <w:rPr>
                <w:b/>
                <w:sz w:val="21"/>
              </w:rPr>
            </w:pPr>
            <w:r>
              <w:rPr>
                <w:b/>
                <w:sz w:val="21"/>
              </w:rPr>
              <w:t>您解除合同的手续及风险</w:t>
            </w:r>
          </w:p>
        </w:tc>
        <w:tc>
          <w:tcPr>
            <w:tcW w:w="6995" w:type="dxa"/>
          </w:tcPr>
          <w:p>
            <w:pPr>
              <w:pStyle w:val="TableParagraph"/>
              <w:spacing w:line="273" w:lineRule="auto" w:before="127"/>
              <w:ind w:right="110"/>
              <w:rPr>
                <w:sz w:val="21"/>
              </w:rPr>
            </w:pPr>
            <w:r>
              <w:rPr>
                <w:sz w:val="21"/>
              </w:rPr>
              <w:t>您在犹豫期后可以申请解除本附加险合同，请填写解除合同申请书并向我们提供下列资料：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37"/>
              <w:ind w:right="11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7"/>
              <w:ind w:right="5"/>
              <w:rPr>
                <w:sz w:val="21"/>
              </w:rPr>
            </w:pPr>
            <w:r>
              <w:rPr>
                <w:spacing w:val="-3"/>
                <w:sz w:val="21"/>
              </w:rPr>
              <w:t>若您申请解除本附加险合同，主险合同必须与本附加险合同同时申请解除。您在犹豫期后解除合同会遭受一定损失。</w:t>
            </w:r>
          </w:p>
          <w:p>
            <w:pPr>
              <w:pStyle w:val="TableParagraph"/>
              <w:spacing w:before="7"/>
              <w:rPr>
                <w:sz w:val="21"/>
              </w:rPr>
            </w:pPr>
            <w:r>
              <w:rPr>
                <w:sz w:val="21"/>
              </w:rPr>
              <w:t>解除合同后，您会失去原有的保障。</w:t>
            </w:r>
          </w:p>
        </w:tc>
      </w:tr>
      <w:tr>
        <w:trPr>
          <w:trHeight w:val="1113" w:hRule="atLeast"/>
        </w:trPr>
        <w:tc>
          <w:tcPr>
            <w:tcW w:w="713" w:type="dxa"/>
            <w:tcBorders>
              <w:bottom w:val="single" w:sz="8" w:space="0" w:color="000000"/>
            </w:tcBorders>
          </w:tcPr>
          <w:p>
            <w:pPr>
              <w:pStyle w:val="TableParagraph"/>
              <w:spacing w:before="241"/>
              <w:ind w:left="0" w:right="153"/>
              <w:jc w:val="right"/>
              <w:rPr>
                <w:rFonts w:ascii="Arial" w:hAnsi="Arial"/>
                <w:b/>
                <w:sz w:val="40"/>
              </w:rPr>
            </w:pPr>
            <w:r>
              <w:rPr>
                <w:rFonts w:ascii="Arial" w:hAnsi="Arial"/>
                <w:b/>
                <w:w w:val="118"/>
                <w:sz w:val="40"/>
              </w:rPr>
              <w:t></w:t>
            </w:r>
          </w:p>
        </w:tc>
        <w:tc>
          <w:tcPr>
            <w:tcW w:w="9370" w:type="dxa"/>
            <w:gridSpan w:val="2"/>
            <w:tcBorders>
              <w:bottom w:val="single" w:sz="8" w:space="0" w:color="000000"/>
            </w:tcBorders>
          </w:tcPr>
          <w:p>
            <w:pPr>
              <w:pStyle w:val="TableParagraph"/>
              <w:spacing w:before="139"/>
              <w:ind w:left="155"/>
              <w:rPr>
                <w:b/>
                <w:sz w:val="24"/>
              </w:rPr>
            </w:pPr>
            <w:r>
              <w:rPr>
                <w:b/>
                <w:sz w:val="24"/>
              </w:rPr>
              <w:t>其他权益</w:t>
            </w:r>
          </w:p>
          <w:p>
            <w:pPr>
              <w:pStyle w:val="TableParagraph"/>
              <w:spacing w:before="133"/>
              <w:ind w:left="155"/>
              <w:rPr>
                <w:sz w:val="24"/>
              </w:rPr>
            </w:pPr>
            <w:r>
              <w:rPr>
                <w:sz w:val="24"/>
              </w:rPr>
              <w:t>这部分讲的是您所拥有的其他相关权益。</w:t>
            </w:r>
          </w:p>
        </w:tc>
      </w:tr>
      <w:tr>
        <w:trPr>
          <w:trHeight w:val="1652" w:hRule="atLeast"/>
        </w:trPr>
        <w:tc>
          <w:tcPr>
            <w:tcW w:w="713" w:type="dxa"/>
            <w:tcBorders>
              <w:top w:val="single" w:sz="8" w:space="0" w:color="000000"/>
            </w:tcBorders>
          </w:tcPr>
          <w:p>
            <w:pPr>
              <w:pStyle w:val="TableParagraph"/>
              <w:ind w:left="0"/>
              <w:rPr>
                <w:sz w:val="19"/>
              </w:rPr>
            </w:pPr>
          </w:p>
          <w:p>
            <w:pPr>
              <w:pStyle w:val="TableParagraph"/>
              <w:ind w:left="108"/>
              <w:rPr>
                <w:b/>
                <w:sz w:val="21"/>
              </w:rPr>
            </w:pPr>
            <w:r>
              <w:rPr>
                <w:b/>
                <w:sz w:val="21"/>
              </w:rPr>
              <w:t>6.1</w:t>
            </w:r>
          </w:p>
        </w:tc>
        <w:tc>
          <w:tcPr>
            <w:tcW w:w="2375" w:type="dxa"/>
            <w:tcBorders>
              <w:top w:val="single" w:sz="8" w:space="0" w:color="000000"/>
            </w:tcBorders>
          </w:tcPr>
          <w:p>
            <w:pPr>
              <w:pStyle w:val="TableParagraph"/>
              <w:ind w:left="0"/>
              <w:rPr>
                <w:sz w:val="19"/>
              </w:rPr>
            </w:pPr>
          </w:p>
          <w:p>
            <w:pPr>
              <w:pStyle w:val="TableParagraph"/>
              <w:ind w:left="155"/>
              <w:rPr>
                <w:b/>
                <w:sz w:val="21"/>
              </w:rPr>
            </w:pPr>
            <w:r>
              <w:rPr>
                <w:b/>
                <w:sz w:val="21"/>
              </w:rPr>
              <w:t>现金价值</w:t>
            </w:r>
          </w:p>
        </w:tc>
        <w:tc>
          <w:tcPr>
            <w:tcW w:w="6995" w:type="dxa"/>
            <w:tcBorders>
              <w:top w:val="single" w:sz="8" w:space="0" w:color="000000"/>
            </w:tcBorders>
          </w:tcPr>
          <w:p>
            <w:pPr>
              <w:pStyle w:val="TableParagraph"/>
              <w:ind w:left="0"/>
              <w:rPr>
                <w:sz w:val="19"/>
              </w:rPr>
            </w:pPr>
          </w:p>
          <w:p>
            <w:pPr>
              <w:pStyle w:val="TableParagraph"/>
              <w:spacing w:line="273" w:lineRule="auto"/>
              <w:ind w:right="110"/>
              <w:rPr>
                <w:sz w:val="21"/>
              </w:rPr>
            </w:pPr>
            <w:r>
              <w:rPr>
                <w:sz w:val="21"/>
              </w:rPr>
              <w:t>指保险单所具有的价值。通常体现为解除合同时，由本公司退还的那部分金额。</w:t>
            </w:r>
          </w:p>
          <w:p>
            <w:pPr>
              <w:pStyle w:val="TableParagraph"/>
              <w:spacing w:line="273" w:lineRule="auto" w:before="7"/>
              <w:ind w:right="110"/>
              <w:rPr>
                <w:sz w:val="21"/>
              </w:rPr>
            </w:pPr>
            <w:r>
              <w:rPr>
                <w:sz w:val="21"/>
              </w:rPr>
              <w:t>本附加险合同保单年度末的现金价值会在保险单上载明。保单年度内的现金价值，您可以向我们咨询。</w:t>
            </w:r>
          </w:p>
        </w:tc>
      </w:tr>
      <w:tr>
        <w:trPr>
          <w:trHeight w:val="2587" w:hRule="atLeast"/>
        </w:trPr>
        <w:tc>
          <w:tcPr>
            <w:tcW w:w="713" w:type="dxa"/>
          </w:tcPr>
          <w:p>
            <w:pPr>
              <w:pStyle w:val="TableParagraph"/>
              <w:spacing w:before="128"/>
              <w:ind w:left="108"/>
              <w:rPr>
                <w:b/>
                <w:sz w:val="21"/>
              </w:rPr>
            </w:pPr>
            <w:r>
              <w:rPr>
                <w:b/>
                <w:sz w:val="21"/>
              </w:rPr>
              <w:t>6.2</w:t>
            </w:r>
          </w:p>
        </w:tc>
        <w:tc>
          <w:tcPr>
            <w:tcW w:w="2375" w:type="dxa"/>
          </w:tcPr>
          <w:p>
            <w:pPr>
              <w:pStyle w:val="TableParagraph"/>
              <w:spacing w:before="128"/>
              <w:ind w:left="155"/>
              <w:rPr>
                <w:b/>
                <w:sz w:val="21"/>
              </w:rPr>
            </w:pPr>
            <w:r>
              <w:rPr>
                <w:b/>
                <w:sz w:val="21"/>
              </w:rPr>
              <w:t>减额交清</w:t>
            </w:r>
          </w:p>
        </w:tc>
        <w:tc>
          <w:tcPr>
            <w:tcW w:w="6995" w:type="dxa"/>
          </w:tcPr>
          <w:p>
            <w:pPr>
              <w:pStyle w:val="TableParagraph"/>
              <w:spacing w:line="273" w:lineRule="auto" w:before="128"/>
              <w:ind w:right="110"/>
              <w:jc w:val="both"/>
              <w:rPr>
                <w:sz w:val="21"/>
              </w:rPr>
            </w:pPr>
            <w:r>
              <w:rPr>
                <w:sz w:val="21"/>
              </w:rPr>
              <w:t>当您无法继续交费时，可用现金价值作为一次交清的保险费，基本保险金额将减少，合同继续有效。</w:t>
            </w:r>
          </w:p>
          <w:p>
            <w:pPr>
              <w:pStyle w:val="TableParagraph"/>
              <w:spacing w:line="312" w:lineRule="exact" w:before="3"/>
              <w:ind w:right="108"/>
              <w:jc w:val="both"/>
              <w:rPr>
                <w:sz w:val="21"/>
              </w:rPr>
            </w:pPr>
            <w:r>
              <w:rPr>
                <w:sz w:val="21"/>
              </w:rPr>
              <w:t>即如果您决定不再支付续期保险费，我们将以本附加险合同宽限期开始前一日的现金价值扣除您尚未偿还的各项欠款之后的余额作为一次交清的</w:t>
            </w:r>
            <w:r>
              <w:rPr>
                <w:rFonts w:ascii="黑体" w:eastAsia="黑体" w:hint="eastAsia"/>
                <w:b/>
                <w:sz w:val="21"/>
              </w:rPr>
              <w:t>净保险费 </w:t>
            </w:r>
            <w:hyperlink w:history="true" w:anchor="_bookmark13">
              <w:r>
                <w:rPr>
                  <w:rFonts w:ascii="黑体" w:eastAsia="黑体" w:hint="eastAsia"/>
                  <w:b/>
                  <w:position w:val="11"/>
                  <w:sz w:val="11"/>
                </w:rPr>
                <w:t>14</w:t>
              </w:r>
            </w:hyperlink>
            <w:r>
              <w:rPr>
                <w:sz w:val="21"/>
              </w:rPr>
              <w:t>，购买与主险合同减额交清后的基本保险金额相等的基本保险金额。如果现金价值仍有剩余，我们将退还给您；如果现金价值不足，我们将以本附加险合同宽限期开始前一日的现金价值扣除您尚未偿还的各项欠款之后的余额，重新计算本附加险合同的基本保险金额。</w:t>
            </w:r>
          </w:p>
        </w:tc>
      </w:tr>
    </w:tbl>
    <w:p>
      <w:pPr>
        <w:pStyle w:val="BodyText"/>
        <w:spacing w:before="10"/>
        <w:rPr>
          <w:sz w:val="16"/>
        </w:rPr>
      </w:pPr>
      <w:r>
        <w:rPr/>
        <w:pict>
          <v:line style="position:absolute;mso-position-horizontal-relative:page;mso-position-vertical-relative:paragraph;z-index:1336;mso-wrap-distance-left:0;mso-wrap-distance-right:0" from="51.060001pt,13.244437pt" to="195.060001pt,13.244437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080" w:bottom="280" w:left="800" w:right="800"/>
        </w:sectPr>
      </w:pPr>
    </w:p>
    <w:p>
      <w:pPr>
        <w:pStyle w:val="BodyText"/>
        <w:spacing w:line="273" w:lineRule="auto" w:before="20"/>
        <w:ind w:left="3296" w:right="220"/>
        <w:jc w:val="both"/>
      </w:pPr>
      <w:r>
        <w:rPr/>
        <w:t>减额交清后，本附加险合同的基本保险金额会相应减少，您不需要再支付保险费，本附加险合同继续有效。</w:t>
      </w:r>
    </w:p>
    <w:p>
      <w:pPr>
        <w:pStyle w:val="BodyText"/>
        <w:spacing w:line="273" w:lineRule="auto" w:before="7"/>
        <w:ind w:left="3296" w:right="220"/>
        <w:jc w:val="both"/>
      </w:pPr>
      <w:r>
        <w:rPr/>
        <w:t>本附加险合同必须随主险合同一起办理减额交清，不能单独办理，且本附加险合同减额交清后的基本保险金额不得高于主险合同减额交清后的基本保险金额。</w:t>
      </w:r>
    </w:p>
    <w:p>
      <w:pPr>
        <w:pStyle w:val="BodyText"/>
        <w:spacing w:before="9"/>
        <w:rPr>
          <w:sz w:val="27"/>
        </w:rPr>
      </w:pPr>
    </w:p>
    <w:p>
      <w:pPr>
        <w:tabs>
          <w:tab w:pos="981" w:val="left" w:leader="none"/>
        </w:tabs>
        <w:spacing w:before="61"/>
        <w:ind w:left="221" w:right="0" w:firstLine="0"/>
        <w:jc w:val="left"/>
        <w:rPr>
          <w:b/>
          <w:sz w:val="24"/>
        </w:rPr>
      </w:pPr>
      <w:r>
        <w:rPr/>
        <w:pict>
          <v:group style="position:absolute;margin-left:45.66pt;margin-top:31.149771pt;width:503.95pt;height:1pt;mso-position-horizontal-relative:page;mso-position-vertical-relative:paragraph;z-index:1360;mso-wrap-distance-left:0;mso-wrap-distance-right:0" coordorigin="913,623" coordsize="10079,20">
            <v:line style="position:absolute" from="913,633" to="1674,633" stroked="true" strokeweight=".96pt" strokecolor="#000000">
              <v:stroke dashstyle="solid"/>
            </v:line>
            <v:rect style="position:absolute;left:1674;top:622;width:20;height:20" filled="true" fillcolor="#000000" stroked="false">
              <v:fill type="solid"/>
            </v:rect>
            <v:line style="position:absolute" from="1693,633" to="3989,633" stroked="true" strokeweight=".96pt" strokecolor="#000000">
              <v:stroke dashstyle="solid"/>
            </v:line>
            <v:rect style="position:absolute;left:3988;top:622;width:20;height:20" filled="true" fillcolor="#000000" stroked="false">
              <v:fill type="solid"/>
            </v:rect>
            <v:line style="position:absolute" from="4008,633" to="10992,633" stroked="true" strokeweight=".96pt" strokecolor="#000000">
              <v:stroke dashstyle="solid"/>
            </v:line>
            <w10:wrap type="topAndBottom"/>
          </v:group>
        </w:pict>
      </w:r>
      <w:r>
        <w:rPr>
          <w:rFonts w:ascii="Arial" w:hAnsi="Arial" w:eastAsia="Arial"/>
          <w:b/>
          <w:position w:val="-3"/>
          <w:sz w:val="40"/>
        </w:rPr>
        <w:t></w:t>
        <w:tab/>
      </w:r>
      <w:r>
        <w:rPr>
          <w:b/>
          <w:w w:val="95"/>
          <w:sz w:val="24"/>
        </w:rPr>
        <w:t>重大疾病释义</w:t>
      </w:r>
    </w:p>
    <w:p>
      <w:pPr>
        <w:pStyle w:val="BodyText"/>
        <w:spacing w:before="8"/>
        <w:rPr>
          <w:b/>
          <w:sz w:val="12"/>
        </w:rPr>
      </w:pPr>
    </w:p>
    <w:p>
      <w:pPr>
        <w:pStyle w:val="Heading4"/>
        <w:tabs>
          <w:tab w:pos="3296" w:val="left" w:leader="none"/>
        </w:tabs>
        <w:spacing w:before="36"/>
        <w:ind w:left="981"/>
        <w:rPr>
          <w:rFonts w:ascii="宋体" w:eastAsia="宋体" w:hint="eastAsia"/>
        </w:rPr>
      </w:pPr>
      <w:r>
        <w:rPr>
          <w:rFonts w:ascii="宋体" w:eastAsia="宋体" w:hint="eastAsia"/>
          <w:position w:val="2"/>
        </w:rPr>
        <w:t>第</w:t>
      </w:r>
      <w:r>
        <w:rPr>
          <w:rFonts w:ascii="宋体" w:eastAsia="宋体" w:hint="eastAsia"/>
          <w:spacing w:val="-53"/>
          <w:position w:val="2"/>
        </w:rPr>
        <w:t> </w:t>
      </w:r>
      <w:r>
        <w:rPr>
          <w:rFonts w:ascii="宋体" w:eastAsia="宋体" w:hint="eastAsia"/>
          <w:position w:val="2"/>
        </w:rPr>
        <w:t>1</w:t>
      </w:r>
      <w:r>
        <w:rPr>
          <w:rFonts w:ascii="宋体" w:eastAsia="宋体" w:hint="eastAsia"/>
          <w:spacing w:val="-54"/>
          <w:position w:val="2"/>
        </w:rPr>
        <w:t> </w:t>
      </w:r>
      <w:r>
        <w:rPr>
          <w:rFonts w:ascii="宋体" w:eastAsia="宋体" w:hint="eastAsia"/>
          <w:position w:val="2"/>
        </w:rPr>
        <w:t>类：</w:t>
        <w:tab/>
      </w:r>
      <w:r>
        <w:rPr>
          <w:rFonts w:ascii="宋体" w:eastAsia="宋体" w:hint="eastAsia"/>
          <w:w w:val="95"/>
        </w:rPr>
        <w:t>与恶性肿瘤相关的疾病</w:t>
      </w:r>
    </w:p>
    <w:p>
      <w:pPr>
        <w:pStyle w:val="BodyText"/>
        <w:spacing w:before="10"/>
        <w:rPr>
          <w:b/>
        </w:rPr>
      </w:pPr>
    </w:p>
    <w:p>
      <w:pPr>
        <w:pStyle w:val="BodyText"/>
        <w:tabs>
          <w:tab w:pos="3296" w:val="left" w:leader="none"/>
        </w:tabs>
        <w:spacing w:line="266" w:lineRule="auto"/>
        <w:ind w:left="3296" w:right="220" w:hanging="2315"/>
        <w:jc w:val="both"/>
      </w:pPr>
      <w:r>
        <w:rPr>
          <w:rFonts w:ascii="等线" w:eastAsia="等线" w:hint="eastAsia"/>
          <w:b/>
          <w:position w:val="1"/>
          <w:sz w:val="24"/>
        </w:rPr>
        <w:t>恶性肿瘤</w:t>
        <w:tab/>
      </w:r>
      <w:r>
        <w:rPr/>
        <w:t>指恶性细胞不受控制的进行性增长和扩散，浸润和破坏周围正常组织，可 以经血管、淋巴管和体腔扩散转移到身体其它部位的疾病。经病理学检查结果明确诊断，临床诊断属于世界卫生组织《疾病和有关健康问题的国际</w:t>
      </w:r>
      <w:r>
        <w:rPr>
          <w:spacing w:val="-1"/>
        </w:rPr>
        <w:t>统计分类</w:t>
      </w:r>
      <w:r>
        <w:rPr>
          <w:spacing w:val="-105"/>
        </w:rPr>
        <w:t>》</w:t>
      </w:r>
      <w:r>
        <w:rPr>
          <w:spacing w:val="-1"/>
        </w:rPr>
        <w:t>（ICD-10）</w:t>
      </w:r>
      <w:r>
        <w:rPr/>
        <w:t>的恶性肿瘤范畴。</w:t>
      </w:r>
      <w:r>
        <w:rPr>
          <w:shd w:fill="DADADA" w:color="auto" w:val="clear"/>
        </w:rPr>
        <w:t>下列疾病不在保障范围内：</w:t>
      </w:r>
    </w:p>
    <w:p>
      <w:pPr>
        <w:pStyle w:val="BodyText"/>
        <w:spacing w:before="13"/>
        <w:ind w:left="3296"/>
      </w:pPr>
      <w:r>
        <w:rPr>
          <w:shd w:fill="DADADA" w:color="auto" w:val="clear"/>
        </w:rPr>
        <w:t>（1）原位癌；</w:t>
      </w:r>
    </w:p>
    <w:p>
      <w:pPr>
        <w:pStyle w:val="BodyText"/>
        <w:spacing w:before="36"/>
        <w:ind w:left="3296"/>
      </w:pPr>
      <w:r>
        <w:rPr>
          <w:shd w:fill="DADADA" w:color="auto" w:val="clear"/>
        </w:rPr>
        <w:t>（2）相当于Binet 分期方案 A 期程度的慢性淋巴细胞白血病；</w:t>
      </w:r>
    </w:p>
    <w:p>
      <w:pPr>
        <w:pStyle w:val="BodyText"/>
        <w:spacing w:before="36"/>
        <w:ind w:left="3296"/>
      </w:pPr>
      <w:r>
        <w:rPr>
          <w:shd w:fill="DADADA" w:color="auto" w:val="clear"/>
        </w:rPr>
        <w:t>（3）相当于Ann Arbor 分期方案 I 期程度的何杰金氏病；</w:t>
      </w:r>
    </w:p>
    <w:p>
      <w:pPr>
        <w:pStyle w:val="BodyText"/>
        <w:spacing w:before="36"/>
        <w:ind w:left="3296"/>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296"/>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822" w:right="220" w:hanging="526"/>
      </w:pPr>
      <w:r>
        <w:rPr>
          <w:spacing w:val="-7"/>
          <w:shd w:fill="DADADA" w:color="auto" w:val="clear"/>
        </w:rPr>
        <w:t>（6）</w:t>
      </w:r>
      <w:r>
        <w:rPr>
          <w:spacing w:val="-1"/>
          <w:shd w:fill="DADADA" w:color="auto" w:val="clear"/>
        </w:rPr>
        <w:t>感染艾滋病病毒或患艾滋病期间所患恶性肿瘤</w:t>
      </w:r>
      <w:r>
        <w:rPr/>
        <w:t>（不包括经输血导致的艾滋病病毒感染</w:t>
      </w:r>
      <w:r>
        <w:rPr>
          <w:spacing w:val="-105"/>
        </w:rPr>
        <w:t>）</w:t>
      </w:r>
      <w:r>
        <w:rPr/>
        <w:t>。</w:t>
      </w:r>
    </w:p>
    <w:p>
      <w:pPr>
        <w:pStyle w:val="BodyText"/>
        <w:spacing w:before="2"/>
        <w:rPr>
          <w:sz w:val="18"/>
        </w:rPr>
      </w:pPr>
    </w:p>
    <w:p>
      <w:pPr>
        <w:spacing w:after="0"/>
        <w:rPr>
          <w:sz w:val="18"/>
        </w:rPr>
        <w:sectPr>
          <w:pgSz w:w="11910" w:h="16840"/>
          <w:pgMar w:top="1080" w:bottom="280" w:left="800" w:right="800"/>
        </w:sectPr>
      </w:pPr>
    </w:p>
    <w:p>
      <w:pPr>
        <w:pStyle w:val="Heading2"/>
        <w:spacing w:line="232" w:lineRule="auto"/>
        <w:ind w:left="981"/>
      </w:pPr>
      <w:r>
        <w:rPr>
          <w:spacing w:val="-11"/>
        </w:rPr>
        <w:t>侵蚀性葡萄胎</w:t>
      </w:r>
      <w:r>
        <w:rPr/>
        <w:t>（或称恶性葡萄胎）</w:t>
      </w:r>
    </w:p>
    <w:p>
      <w:pPr>
        <w:pStyle w:val="BodyText"/>
        <w:spacing w:line="273" w:lineRule="auto" w:before="53"/>
        <w:ind w:left="175" w:right="22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80" w:bottom="280" w:left="800" w:right="800"/>
          <w:cols w:num="2" w:equalWidth="0">
            <w:col w:w="3081" w:space="40"/>
            <w:col w:w="7189"/>
          </w:cols>
        </w:sectPr>
      </w:pPr>
    </w:p>
    <w:p>
      <w:pPr>
        <w:pStyle w:val="BodyText"/>
        <w:spacing w:before="6"/>
        <w:rPr>
          <w:sz w:val="20"/>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2</w:t>
      </w:r>
      <w:r>
        <w:rPr>
          <w:rFonts w:ascii="宋体" w:eastAsia="宋体" w:hint="eastAsia"/>
          <w:spacing w:val="-54"/>
        </w:rPr>
        <w:t> </w:t>
      </w:r>
      <w:r>
        <w:rPr>
          <w:rFonts w:ascii="宋体" w:eastAsia="宋体" w:hint="eastAsia"/>
        </w:rPr>
        <w:t>类：</w:t>
        <w:tab/>
      </w:r>
      <w:r>
        <w:rPr>
          <w:rFonts w:ascii="宋体" w:eastAsia="宋体" w:hint="eastAsia"/>
          <w:w w:val="95"/>
        </w:rPr>
        <w:t>与心脏或脑血管相关的疾病</w:t>
      </w:r>
    </w:p>
    <w:p>
      <w:pPr>
        <w:pStyle w:val="BodyText"/>
        <w:spacing w:before="10"/>
        <w:rPr>
          <w:b/>
        </w:rPr>
      </w:pPr>
    </w:p>
    <w:p>
      <w:pPr>
        <w:pStyle w:val="BodyText"/>
        <w:tabs>
          <w:tab w:pos="3296" w:val="left" w:leader="none"/>
        </w:tabs>
        <w:spacing w:line="254" w:lineRule="auto"/>
        <w:ind w:left="3296" w:right="220" w:hanging="2315"/>
      </w:pPr>
      <w:r>
        <w:rPr>
          <w:rFonts w:ascii="等线" w:eastAsia="等线" w:hint="eastAsia"/>
          <w:b/>
          <w:position w:val="1"/>
          <w:sz w:val="24"/>
        </w:rPr>
        <w:t>急性心ft梗塞</w:t>
        <w:tab/>
      </w:r>
      <w:r>
        <w:rPr/>
        <w:t>指因冠状动脉阻塞导致的相应区域供血不足造成部分心肌坏死。须满足下 列至少三项条件：</w:t>
      </w:r>
    </w:p>
    <w:p>
      <w:pPr>
        <w:pStyle w:val="BodyText"/>
        <w:spacing w:before="24"/>
        <w:ind w:left="3296"/>
      </w:pPr>
      <w:r>
        <w:rPr/>
        <w:t>（1）典型临床表现，例如急性胸痛等；</w:t>
      </w:r>
    </w:p>
    <w:p>
      <w:pPr>
        <w:pStyle w:val="BodyText"/>
        <w:spacing w:before="36"/>
        <w:ind w:left="3296"/>
      </w:pPr>
      <w:r>
        <w:rPr/>
        <w:t>（2）新近的心电图改变提示急性心肌梗塞；</w:t>
      </w:r>
    </w:p>
    <w:p>
      <w:pPr>
        <w:pStyle w:val="BodyText"/>
        <w:spacing w:line="273" w:lineRule="auto" w:before="36"/>
        <w:ind w:left="3822" w:right="164" w:hanging="526"/>
      </w:pPr>
      <w:r>
        <w:rPr/>
        <w:t>（3）心肌酶或肌钙蛋白有诊断意义的升高，或呈符合急性心肌梗塞的动态性变化；</w:t>
      </w:r>
    </w:p>
    <w:p>
      <w:pPr>
        <w:pStyle w:val="BodyText"/>
        <w:spacing w:before="7"/>
        <w:ind w:left="3296"/>
      </w:pPr>
      <w:r>
        <w:rPr/>
        <w:t>（4）发病 90 日后，经检查证实左心室功能降低，如左心室射血分数低于</w:t>
      </w:r>
    </w:p>
    <w:p>
      <w:pPr>
        <w:pStyle w:val="BodyText"/>
        <w:spacing w:before="37"/>
        <w:ind w:left="3805" w:right="5939"/>
        <w:jc w:val="center"/>
      </w:pPr>
      <w:r>
        <w:rPr/>
        <w:t>50%。</w:t>
      </w:r>
    </w:p>
    <w:p>
      <w:pPr>
        <w:pStyle w:val="BodyText"/>
        <w:spacing w:before="5"/>
        <w:rPr>
          <w:sz w:val="20"/>
        </w:rPr>
      </w:pPr>
    </w:p>
    <w:p>
      <w:pPr>
        <w:spacing w:after="0"/>
        <w:rPr>
          <w:sz w:val="20"/>
        </w:rPr>
        <w:sectPr>
          <w:type w:val="continuous"/>
          <w:pgSz w:w="11910" w:h="16840"/>
          <w:pgMar w:top="580" w:bottom="280" w:left="800" w:right="800"/>
        </w:sectPr>
      </w:pPr>
    </w:p>
    <w:p>
      <w:pPr>
        <w:pStyle w:val="Heading2"/>
        <w:spacing w:line="232" w:lineRule="auto" w:before="31"/>
        <w:ind w:left="981"/>
      </w:pPr>
      <w:r>
        <w:rPr/>
        <w:t>严重原发性肺动脉高压</w:t>
      </w:r>
    </w:p>
    <w:p>
      <w:pPr>
        <w:pStyle w:val="BodyText"/>
        <w:spacing w:line="273" w:lineRule="auto" w:before="53"/>
        <w:ind w:left="150" w:right="220"/>
        <w:jc w:val="both"/>
      </w:pPr>
      <w:r>
        <w:rPr/>
        <w:br w:type="column"/>
      </w:r>
      <w:r>
        <w:rPr/>
        <w:t>指不明原因的肺动脉压力持续性增高，进行性发展而导致的慢性疾病，已经造成</w:t>
      </w:r>
      <w:r>
        <w:rPr>
          <w:rFonts w:ascii="黑体" w:eastAsia="黑体" w:hint="eastAsia"/>
          <w:b/>
        </w:rPr>
        <w:t>永久不可逆 </w:t>
      </w:r>
      <w:hyperlink w:history="true" w:anchor="_bookmark14">
        <w:r>
          <w:rPr>
            <w:rFonts w:ascii="黑体" w:eastAsia="黑体" w:hint="eastAsia"/>
            <w:b/>
            <w:position w:val="11"/>
            <w:sz w:val="11"/>
          </w:rPr>
          <w:t>15</w:t>
        </w:r>
      </w:hyperlink>
      <w:r>
        <w:rPr/>
        <w:t>性的体力活动能力受限，达到美国纽约心脏病学会</w:t>
      </w:r>
      <w:r>
        <w:rPr>
          <w:rFonts w:ascii="黑体" w:eastAsia="黑体" w:hint="eastAsia"/>
          <w:b/>
        </w:rPr>
        <w:t>心功能状态分级 </w:t>
      </w:r>
      <w:hyperlink w:history="true" w:anchor="_bookmark15">
        <w:r>
          <w:rPr>
            <w:rFonts w:ascii="黑体" w:eastAsia="黑体" w:hint="eastAsia"/>
            <w:b/>
            <w:position w:val="11"/>
            <w:sz w:val="11"/>
          </w:rPr>
          <w:t>16</w:t>
        </w:r>
      </w:hyperlink>
      <w:r>
        <w:rPr/>
        <w:t>IV 级，且静息状态下肺动脉平均压超过 30mmHg。</w:t>
      </w:r>
    </w:p>
    <w:p>
      <w:pPr>
        <w:spacing w:after="0" w:line="273" w:lineRule="auto"/>
        <w:jc w:val="both"/>
        <w:sectPr>
          <w:type w:val="continuous"/>
          <w:pgSz w:w="11910" w:h="16840"/>
          <w:pgMar w:top="580" w:bottom="280" w:left="800" w:right="800"/>
          <w:cols w:num="2" w:equalWidth="0">
            <w:col w:w="3107" w:space="40"/>
            <w:col w:w="7163"/>
          </w:cols>
        </w:sectPr>
      </w:pPr>
    </w:p>
    <w:p>
      <w:pPr>
        <w:pStyle w:val="BodyText"/>
        <w:rPr>
          <w:sz w:val="20"/>
        </w:rPr>
      </w:pPr>
    </w:p>
    <w:p>
      <w:pPr>
        <w:pStyle w:val="BodyText"/>
        <w:rPr>
          <w:sz w:val="24"/>
        </w:rPr>
      </w:pPr>
    </w:p>
    <w:p>
      <w:pPr>
        <w:pStyle w:val="BodyText"/>
        <w:spacing w:line="20" w:lineRule="exact"/>
        <w:ind w:left="21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86" w:lineRule="exact" w:before="22"/>
        <w:ind w:left="22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86" w:lineRule="exact" w:before="0"/>
        <w:ind w:left="22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5"/>
        <w:ind w:left="221" w:right="0" w:firstLine="0"/>
        <w:jc w:val="left"/>
        <w:rPr>
          <w:sz w:val="18"/>
        </w:rPr>
      </w:pPr>
      <w:r>
        <w:rPr>
          <w:sz w:val="18"/>
        </w:rPr>
        <w:t>Ⅰ级：体力活动不受限制，日常活动不引起乏力、心悸、呼吸困难或心绞痛等症状；</w:t>
      </w:r>
    </w:p>
    <w:p>
      <w:pPr>
        <w:spacing w:before="24"/>
        <w:ind w:left="221" w:right="0" w:firstLine="0"/>
        <w:jc w:val="left"/>
        <w:rPr>
          <w:sz w:val="18"/>
        </w:rPr>
      </w:pPr>
      <w:r>
        <w:rPr>
          <w:sz w:val="18"/>
        </w:rPr>
        <w:t>Ⅱ级：体力活动轻度受限，休息时无症状，日常活动即可引起乏力、心悸、呼吸困难或心绞痛等症状；</w:t>
      </w:r>
    </w:p>
    <w:p>
      <w:pPr>
        <w:spacing w:line="266" w:lineRule="auto" w:before="23"/>
        <w:ind w:left="221" w:right="3783" w:firstLine="0"/>
        <w:jc w:val="left"/>
        <w:rPr>
          <w:sz w:val="18"/>
        </w:rPr>
      </w:pPr>
      <w:r>
        <w:rPr>
          <w:sz w:val="18"/>
        </w:rPr>
        <w:t>Ⅲ级：体力活动明显受限，休息时无症状，轻于日常的活动即可引起上述症状； Ⅳ级：不能从事任何体力活动，休息时亦有症状，体力活动后加重。</w:t>
      </w:r>
    </w:p>
    <w:p>
      <w:pPr>
        <w:spacing w:after="0" w:line="266" w:lineRule="auto"/>
        <w:jc w:val="left"/>
        <w:rPr>
          <w:sz w:val="18"/>
        </w:rPr>
        <w:sectPr>
          <w:type w:val="continuous"/>
          <w:pgSz w:w="11910" w:h="16840"/>
          <w:pgMar w:top="580" w:bottom="280" w:left="800" w:right="800"/>
        </w:sectPr>
      </w:pPr>
    </w:p>
    <w:p>
      <w:pPr>
        <w:pStyle w:val="BodyText"/>
        <w:tabs>
          <w:tab w:pos="3176" w:val="left" w:leader="none"/>
        </w:tabs>
        <w:spacing w:line="254" w:lineRule="auto" w:before="4"/>
        <w:ind w:left="3176" w:right="140" w:hanging="2315"/>
      </w:pPr>
      <w:r>
        <w:rPr>
          <w:rFonts w:ascii="等线" w:eastAsia="等线" w:hint="eastAsia"/>
          <w:b/>
          <w:position w:val="1"/>
          <w:sz w:val="24"/>
        </w:rPr>
        <w:t>心脏瓣膜手术</w:t>
        <w:tab/>
      </w:r>
      <w:r>
        <w:rPr/>
        <w:t>指为治疗心脏瓣膜疾病，实际实施了开胸进行的心脏瓣膜置换或修复的手 术。</w:t>
      </w:r>
    </w:p>
    <w:p>
      <w:pPr>
        <w:pStyle w:val="BodyText"/>
        <w:spacing w:before="7"/>
        <w:rPr>
          <w:sz w:val="19"/>
        </w:rPr>
      </w:pPr>
    </w:p>
    <w:p>
      <w:pPr>
        <w:spacing w:after="0"/>
        <w:rPr>
          <w:sz w:val="19"/>
        </w:rPr>
        <w:sectPr>
          <w:pgSz w:w="11910" w:h="16840"/>
          <w:pgMar w:top="1060" w:bottom="280" w:left="920" w:right="880"/>
        </w:sectPr>
      </w:pPr>
    </w:p>
    <w:p>
      <w:pPr>
        <w:pStyle w:val="Heading2"/>
        <w:spacing w:line="232" w:lineRule="auto"/>
        <w:ind w:left="861"/>
      </w:pPr>
      <w:r>
        <w:rPr/>
        <w:t>严重的原发性心ft </w:t>
      </w:r>
      <w:r>
        <w:rPr>
          <w:w w:val="105"/>
        </w:rPr>
        <w:t>病</w:t>
      </w:r>
    </w:p>
    <w:p>
      <w:pPr>
        <w:pStyle w:val="BodyText"/>
        <w:spacing w:line="273" w:lineRule="auto" w:before="53"/>
        <w:ind w:left="150" w:right="139"/>
        <w:jc w:val="both"/>
      </w:pPr>
      <w:r>
        <w:rPr/>
        <w:br w:type="column"/>
      </w:r>
      <w:r>
        <w:rPr/>
        <w:t>指不明原因引起的一类心肌病变，包括原发性扩张型心肌病、原发性肥厚型心肌病及原发性限制型心肌病三种，病变必须已造成事实上心室功能障碍而出现明显的心功能衰竭（指按照美国纽约心脏病学会提出的心功能状</w:t>
      </w:r>
      <w:r>
        <w:rPr>
          <w:spacing w:val="-3"/>
        </w:rPr>
        <w:t>态分级的标准判定，心功能状态已达Ⅳ级</w:t>
      </w:r>
      <w:r>
        <w:rPr>
          <w:spacing w:val="-105"/>
        </w:rPr>
        <w:t>）</w:t>
      </w:r>
      <w:r>
        <w:rPr>
          <w:spacing w:val="-5"/>
        </w:rPr>
        <w:t>，且有相关住院医疗记录显示Ⅳ</w:t>
      </w:r>
      <w:r>
        <w:rPr>
          <w:spacing w:val="-9"/>
        </w:rPr>
        <w:t>级心功能衰竭状态已持续至少 </w:t>
      </w:r>
      <w:r>
        <w:rPr/>
        <w:t>180</w:t>
      </w:r>
      <w:r>
        <w:rPr>
          <w:spacing w:val="-8"/>
        </w:rPr>
        <w:t> 日。本病须经专科医生明确诊断。</w:t>
      </w:r>
    </w:p>
    <w:p>
      <w:pPr>
        <w:pStyle w:val="BodyText"/>
        <w:spacing w:before="8"/>
        <w:ind w:left="150"/>
        <w:jc w:val="both"/>
      </w:pPr>
      <w:r>
        <w:rPr>
          <w:shd w:fill="DADADA" w:color="auto" w:val="clear"/>
        </w:rPr>
        <w:t>继发于全身性疾病或其它器官系统疾病造成的心肌病变不在保障范围内。</w:t>
      </w:r>
    </w:p>
    <w:p>
      <w:pPr>
        <w:spacing w:after="0"/>
        <w:jc w:val="both"/>
        <w:sectPr>
          <w:type w:val="continuous"/>
          <w:pgSz w:w="11910" w:h="16840"/>
          <w:pgMar w:top="580" w:bottom="280" w:left="920" w:right="880"/>
          <w:cols w:num="2" w:equalWidth="0">
            <w:col w:w="2987" w:space="40"/>
            <w:col w:w="7083"/>
          </w:cols>
        </w:sectPr>
      </w:pPr>
    </w:p>
    <w:p>
      <w:pPr>
        <w:pStyle w:val="BodyText"/>
        <w:spacing w:before="6"/>
        <w:rPr>
          <w:sz w:val="20"/>
        </w:rPr>
      </w:pPr>
    </w:p>
    <w:p>
      <w:pPr>
        <w:pStyle w:val="BodyText"/>
        <w:tabs>
          <w:tab w:pos="3176" w:val="left" w:leader="none"/>
        </w:tabs>
        <w:spacing w:line="264" w:lineRule="auto" w:before="16"/>
        <w:ind w:left="3176" w:right="140" w:hanging="2315"/>
        <w:jc w:val="both"/>
      </w:pPr>
      <w:r>
        <w:rPr>
          <w:rFonts w:ascii="等线" w:eastAsia="等线" w:hint="eastAsia"/>
          <w:b/>
          <w:position w:val="1"/>
          <w:sz w:val="24"/>
        </w:rPr>
        <w:t>脑中风后遗症</w:t>
        <w:tab/>
      </w:r>
      <w:r>
        <w:rPr/>
        <w:t>指因脑血管的突发病变引起脑血管出血、栓塞或梗塞，并导致神经系统永 久性的功能障碍。神经系统永久性的功能障碍，指疾病确诊</w:t>
      </w:r>
      <w:r>
        <w:rPr>
          <w:spacing w:val="-21"/>
        </w:rPr>
        <w:t> </w:t>
      </w:r>
      <w:r>
        <w:rPr/>
        <w:t>180</w:t>
      </w:r>
      <w:r>
        <w:rPr>
          <w:spacing w:val="-21"/>
        </w:rPr>
        <w:t> </w:t>
      </w:r>
      <w:r>
        <w:rPr/>
        <w:t>日后，仍遗留下列一种或一种以上障碍：</w:t>
      </w:r>
    </w:p>
    <w:p>
      <w:pPr>
        <w:spacing w:before="15"/>
        <w:ind w:left="3176" w:right="0" w:firstLine="0"/>
        <w:jc w:val="left"/>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p>
      <w:pPr>
        <w:spacing w:before="36"/>
        <w:ind w:left="3176"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7"/>
        <w:ind w:left="3702" w:right="76" w:hanging="526"/>
        <w:jc w:val="left"/>
        <w:rPr>
          <w:sz w:val="21"/>
        </w:rPr>
      </w:pPr>
      <w:r>
        <w:rPr>
          <w:sz w:val="21"/>
        </w:rPr>
        <w:t>（3）自主生活能力完全丧失，无法独立完成</w:t>
      </w:r>
      <w:r>
        <w:rPr>
          <w:rFonts w:ascii="黑体" w:eastAsia="黑体" w:hint="eastAsia"/>
          <w:b/>
          <w:sz w:val="21"/>
        </w:rPr>
        <w:t>六项基本日常Th活活动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11"/>
        <w:rPr>
          <w:sz w:val="13"/>
        </w:rPr>
      </w:pPr>
    </w:p>
    <w:p>
      <w:pPr>
        <w:spacing w:after="0"/>
        <w:rPr>
          <w:sz w:val="13"/>
        </w:rPr>
        <w:sectPr>
          <w:type w:val="continuous"/>
          <w:pgSz w:w="11910" w:h="16840"/>
          <w:pgMar w:top="580" w:bottom="280" w:left="920" w:right="880"/>
        </w:sectPr>
      </w:pPr>
    </w:p>
    <w:p>
      <w:pPr>
        <w:pStyle w:val="Heading2"/>
        <w:spacing w:line="232" w:lineRule="auto" w:before="31"/>
        <w:ind w:left="861"/>
        <w:jc w:val="both"/>
      </w:pPr>
      <w:r>
        <w:rPr>
          <w:spacing w:val="-9"/>
        </w:rPr>
        <w:t>冠状动脉搭桥术</w:t>
      </w:r>
      <w:r>
        <w:rPr/>
        <w:t>（或</w:t>
      </w:r>
      <w:r>
        <w:rPr>
          <w:spacing w:val="25"/>
        </w:rPr>
        <w:t>称冠状动脉旁路移</w:t>
      </w:r>
      <w:r>
        <w:rPr/>
        <w:t>植术）</w:t>
      </w:r>
    </w:p>
    <w:p>
      <w:pPr>
        <w:pStyle w:val="BodyText"/>
        <w:spacing w:line="273" w:lineRule="auto" w:before="53"/>
        <w:ind w:left="150" w:right="140"/>
      </w:pPr>
      <w:r>
        <w:rPr/>
        <w:br w:type="column"/>
      </w:r>
      <w:r>
        <w:rPr/>
        <w:t>指为治疗严重的冠心病，实际实施了开胸进行的冠状动脉血管旁路移植的手术。</w:t>
      </w:r>
    </w:p>
    <w:p>
      <w:pPr>
        <w:pStyle w:val="BodyText"/>
        <w:spacing w:line="273" w:lineRule="auto" w:before="7"/>
        <w:ind w:left="150" w:right="140"/>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80" w:bottom="280" w:left="920" w:right="880"/>
          <w:cols w:num="2" w:equalWidth="0">
            <w:col w:w="2987" w:space="40"/>
            <w:col w:w="7083"/>
          </w:cols>
        </w:sectPr>
      </w:pPr>
    </w:p>
    <w:p>
      <w:pPr>
        <w:pStyle w:val="BodyText"/>
        <w:spacing w:before="12"/>
        <w:rPr>
          <w:sz w:val="13"/>
        </w:rPr>
      </w:pPr>
    </w:p>
    <w:p>
      <w:pPr>
        <w:pStyle w:val="BodyText"/>
        <w:tabs>
          <w:tab w:pos="3176" w:val="left" w:leader="none"/>
        </w:tabs>
        <w:spacing w:line="254" w:lineRule="auto" w:before="17"/>
        <w:ind w:left="3176" w:right="140" w:hanging="2315"/>
      </w:pPr>
      <w:r>
        <w:rPr>
          <w:rFonts w:ascii="等线" w:eastAsia="等线" w:hint="eastAsia"/>
          <w:b/>
          <w:position w:val="1"/>
          <w:sz w:val="24"/>
        </w:rPr>
        <w:t>主动脉手术</w:t>
        <w:tab/>
      </w:r>
      <w:r>
        <w:rPr/>
        <w:t>指为治疗主动脉疾病，实际实施了开胸或开腹进行的切除、置换、修补病 损主动脉血管的手术。</w:t>
      </w:r>
    </w:p>
    <w:p>
      <w:pPr>
        <w:pStyle w:val="BodyText"/>
        <w:spacing w:line="273" w:lineRule="auto" w:before="24"/>
        <w:ind w:left="3176" w:right="207"/>
      </w:pPr>
      <w:r>
        <w:rPr/>
        <w:t>主动脉指胸主动脉和腹主动脉，</w:t>
      </w:r>
      <w:r>
        <w:rPr>
          <w:shd w:fill="DADADA" w:color="auto" w:val="clear"/>
        </w:rPr>
        <w:t>不包括胸主动脉和腹主动脉的分支血管。动脉内血管成形术不在保障范围内。</w:t>
      </w:r>
    </w:p>
    <w:p>
      <w:pPr>
        <w:pStyle w:val="BodyText"/>
        <w:spacing w:before="11"/>
        <w:rPr>
          <w:sz w:val="13"/>
        </w:rPr>
      </w:pPr>
    </w:p>
    <w:p>
      <w:pPr>
        <w:spacing w:after="0"/>
        <w:rPr>
          <w:sz w:val="13"/>
        </w:rPr>
        <w:sectPr>
          <w:type w:val="continuous"/>
          <w:pgSz w:w="11910" w:h="16840"/>
          <w:pgMar w:top="580" w:bottom="280" w:left="920" w:right="880"/>
        </w:sectPr>
      </w:pPr>
    </w:p>
    <w:p>
      <w:pPr>
        <w:pStyle w:val="Heading2"/>
        <w:spacing w:line="232" w:lineRule="auto"/>
        <w:ind w:left="861"/>
      </w:pPr>
      <w:r>
        <w:rPr/>
        <w:t>严重感染性心内膜炎</w:t>
      </w:r>
    </w:p>
    <w:p>
      <w:pPr>
        <w:pStyle w:val="BodyText"/>
        <w:spacing w:line="256" w:lineRule="auto" w:before="53"/>
        <w:ind w:left="150" w:right="140"/>
      </w:pPr>
      <w:r>
        <w:rPr/>
        <w:br w:type="column"/>
      </w:r>
      <w:r>
        <w:rPr/>
        <w:t>指因感染性微生物造成心脏内膜发炎，经由专科医生确诊，并符合下</w:t>
      </w:r>
      <w:r>
        <w:rPr>
          <w:rFonts w:ascii="Times New Roman" w:eastAsia="Times New Roman"/>
          <w:w w:val="110"/>
        </w:rPr>
        <w:t>列</w:t>
      </w:r>
      <w:r>
        <w:rPr>
          <w:spacing w:val="-58"/>
        </w:rPr>
        <w:t>所</w:t>
      </w:r>
      <w:r>
        <w:rPr/>
        <w:t>有条件:</w:t>
      </w:r>
    </w:p>
    <w:p>
      <w:pPr>
        <w:pStyle w:val="BodyText"/>
        <w:spacing w:before="22"/>
        <w:ind w:left="150"/>
      </w:pPr>
      <w:r>
        <w:rPr/>
        <w:t>（1）以下方法之一血液培养测试结果为阳性，证实存在感染性微生物：</w:t>
      </w:r>
    </w:p>
    <w:p>
      <w:pPr>
        <w:pStyle w:val="BodyText"/>
        <w:tabs>
          <w:tab w:pos="677" w:val="left" w:leader="none"/>
        </w:tabs>
        <w:spacing w:before="36"/>
        <w:ind w:left="256"/>
      </w:pPr>
      <w:r>
        <w:rPr/>
        <w:t>①</w:t>
        <w:tab/>
      </w:r>
      <w:r>
        <w:rPr>
          <w:spacing w:val="-1"/>
        </w:rPr>
        <w:t>微生物：在赘生物或心脏内脓疡经培养或组织检查证实有微生物；</w:t>
      </w:r>
    </w:p>
    <w:p>
      <w:pPr>
        <w:pStyle w:val="BodyText"/>
        <w:tabs>
          <w:tab w:pos="677" w:val="left" w:leader="none"/>
        </w:tabs>
        <w:spacing w:before="36"/>
        <w:ind w:left="256"/>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677" w:val="left" w:leader="none"/>
        </w:tabs>
        <w:spacing w:before="20"/>
        <w:ind w:left="256"/>
      </w:pPr>
      <w:r>
        <w:rPr/>
        <w:t>③</w:t>
        <w:tab/>
      </w:r>
      <w:r>
        <w:rPr>
          <w:spacing w:val="-1"/>
        </w:rPr>
        <w:t>分别两次血液培养证实有微生物，且与心内膜炎符合；</w:t>
      </w:r>
    </w:p>
    <w:p>
      <w:pPr>
        <w:pStyle w:val="BodyText"/>
        <w:spacing w:line="273" w:lineRule="auto" w:before="36"/>
        <w:ind w:left="676" w:right="140" w:hanging="526"/>
      </w:pPr>
      <w:r>
        <w:rPr>
          <w:spacing w:val="-7"/>
        </w:rPr>
        <w:t>（2）</w:t>
      </w:r>
      <w:r>
        <w:rPr>
          <w:spacing w:val="-2"/>
        </w:rPr>
        <w:t>出现明显的心功能衰竭</w:t>
      </w:r>
      <w:r>
        <w:rPr/>
        <w:t>（指按照美国纽约心脏病学会提出的心功能状态分级的标准判定，心功能状态已达Ⅳ级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80" w:bottom="280" w:left="920" w:right="880"/>
          <w:cols w:num="2" w:equalWidth="0">
            <w:col w:w="2987" w:space="40"/>
            <w:col w:w="7083"/>
          </w:cols>
        </w:sectPr>
      </w:pPr>
    </w:p>
    <w:p>
      <w:pPr>
        <w:pStyle w:val="BodyText"/>
        <w:spacing w:before="6"/>
        <w:rPr>
          <w:sz w:val="14"/>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42" w:lineRule="auto" w:before="21"/>
        <w:ind w:left="101" w:right="137"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60" w:lineRule="exact" w:before="23"/>
        <w:ind w:left="101" w:right="139" w:firstLine="0"/>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64" w:lineRule="auto" w:before="0"/>
        <w:ind w:left="101" w:right="13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3" w:lineRule="exact" w:before="2"/>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4"/>
        <w:ind w:left="101" w:right="0" w:firstLine="0"/>
        <w:jc w:val="left"/>
        <w:rPr>
          <w:sz w:val="18"/>
        </w:rPr>
      </w:pPr>
      <w:r>
        <w:rPr>
          <w:sz w:val="18"/>
        </w:rPr>
        <w:t>（1）穿衣：自己能够穿衣及脱衣；</w:t>
      </w:r>
    </w:p>
    <w:p>
      <w:pPr>
        <w:spacing w:before="23"/>
        <w:ind w:left="101" w:right="0" w:firstLine="0"/>
        <w:jc w:val="left"/>
        <w:rPr>
          <w:sz w:val="18"/>
        </w:rPr>
      </w:pPr>
      <w:r>
        <w:rPr>
          <w:sz w:val="18"/>
        </w:rPr>
        <w:t>（2）移动：自己从一个房间到另一个房间；</w:t>
      </w:r>
    </w:p>
    <w:p>
      <w:pPr>
        <w:spacing w:before="24"/>
        <w:ind w:left="101" w:right="0" w:firstLine="0"/>
        <w:jc w:val="left"/>
        <w:rPr>
          <w:sz w:val="18"/>
        </w:rPr>
      </w:pPr>
      <w:r>
        <w:rPr>
          <w:sz w:val="18"/>
        </w:rPr>
        <w:t>（3）行动：自己上下床或上下轮椅；</w:t>
      </w:r>
    </w:p>
    <w:p>
      <w:pPr>
        <w:spacing w:before="24"/>
        <w:ind w:left="101" w:right="0" w:firstLine="0"/>
        <w:jc w:val="left"/>
        <w:rPr>
          <w:sz w:val="18"/>
        </w:rPr>
      </w:pPr>
      <w:r>
        <w:rPr>
          <w:sz w:val="18"/>
        </w:rPr>
        <w:t>（4）如厕：自己控制进行大小便；</w:t>
      </w:r>
    </w:p>
    <w:p>
      <w:pPr>
        <w:spacing w:before="23"/>
        <w:ind w:left="101" w:right="0" w:firstLine="0"/>
        <w:jc w:val="left"/>
        <w:rPr>
          <w:sz w:val="18"/>
        </w:rPr>
      </w:pPr>
      <w:r>
        <w:rPr>
          <w:sz w:val="18"/>
        </w:rPr>
        <w:t>（5）进食：自己从已准备好的碗或碟中取食物放入口中；</w:t>
      </w:r>
    </w:p>
    <w:p>
      <w:pPr>
        <w:spacing w:before="25"/>
        <w:ind w:left="101" w:right="0" w:firstLine="0"/>
        <w:jc w:val="left"/>
        <w:rPr>
          <w:sz w:val="18"/>
        </w:rPr>
      </w:pPr>
      <w:r>
        <w:rPr>
          <w:sz w:val="18"/>
        </w:rPr>
        <w:t>（6）洗澡：自己进行淋浴或盆浴。</w:t>
      </w:r>
    </w:p>
    <w:p>
      <w:pPr>
        <w:spacing w:after="0"/>
        <w:jc w:val="left"/>
        <w:rPr>
          <w:sz w:val="18"/>
        </w:rPr>
        <w:sectPr>
          <w:type w:val="continuous"/>
          <w:pgSz w:w="11910" w:h="16840"/>
          <w:pgMar w:top="580" w:bottom="280" w:left="920" w:right="8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394" w:hRule="atLeast"/>
        </w:trPr>
        <w:tc>
          <w:tcPr>
            <w:tcW w:w="2419" w:type="dxa"/>
          </w:tcPr>
          <w:p>
            <w:pPr>
              <w:pStyle w:val="TableParagraph"/>
              <w:spacing w:line="208" w:lineRule="exact"/>
              <w:ind w:left="200"/>
              <w:rPr>
                <w:b/>
                <w:sz w:val="21"/>
              </w:rPr>
            </w:pPr>
            <w:r>
              <w:rPr>
                <w:b/>
                <w:sz w:val="21"/>
              </w:rPr>
              <w:t>第 3 类：</w:t>
            </w:r>
          </w:p>
        </w:tc>
        <w:tc>
          <w:tcPr>
            <w:tcW w:w="7187" w:type="dxa"/>
          </w:tcPr>
          <w:p>
            <w:pPr>
              <w:pStyle w:val="TableParagraph"/>
              <w:spacing w:line="208" w:lineRule="exact"/>
              <w:rPr>
                <w:b/>
                <w:sz w:val="21"/>
              </w:rPr>
            </w:pPr>
            <w:r>
              <w:rPr>
                <w:b/>
                <w:w w:val="95"/>
                <w:sz w:val="21"/>
              </w:rPr>
              <w:t>与器官功能严重受损相关的疾病</w:t>
            </w:r>
          </w:p>
        </w:tc>
      </w:tr>
      <w:tr>
        <w:trPr>
          <w:trHeight w:val="2467" w:hRule="atLeast"/>
        </w:trPr>
        <w:tc>
          <w:tcPr>
            <w:tcW w:w="2419" w:type="dxa"/>
          </w:tcPr>
          <w:p>
            <w:pPr>
              <w:pStyle w:val="TableParagraph"/>
              <w:spacing w:line="232" w:lineRule="auto" w:before="112"/>
              <w:ind w:left="200" w:right="94"/>
              <w:rPr>
                <w:rFonts w:ascii="等线" w:eastAsia="等线" w:hint="eastAsia"/>
                <w:b/>
                <w:sz w:val="24"/>
              </w:rPr>
            </w:pPr>
            <w:r>
              <w:rPr>
                <w:rFonts w:ascii="等线" w:eastAsia="等线" w:hint="eastAsia"/>
                <w:b/>
                <w:sz w:val="24"/>
              </w:rPr>
              <w:t>重型再生障碍性贫血</w:t>
            </w:r>
          </w:p>
        </w:tc>
        <w:tc>
          <w:tcPr>
            <w:tcW w:w="7187" w:type="dxa"/>
          </w:tcPr>
          <w:p>
            <w:pPr>
              <w:pStyle w:val="TableParagraph"/>
              <w:spacing w:line="273" w:lineRule="auto" w:before="134"/>
              <w:ind w:right="30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tabs>
                <w:tab w:pos="622" w:val="left" w:leader="none"/>
              </w:tabs>
              <w:spacing w:before="37"/>
              <w:ind w:left="20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22" w:val="left" w:leader="none"/>
              </w:tabs>
              <w:spacing w:before="37"/>
              <w:ind w:left="201"/>
              <w:rPr>
                <w:sz w:val="21"/>
              </w:rPr>
            </w:pPr>
            <w:r>
              <w:rPr>
                <w:sz w:val="21"/>
              </w:rPr>
              <w:t>②</w:t>
              <w:tab/>
            </w:r>
            <w:r>
              <w:rPr>
                <w:spacing w:val="-1"/>
                <w:sz w:val="21"/>
              </w:rPr>
              <w:t>网织红细胞</w:t>
            </w:r>
            <w:r>
              <w:rPr>
                <w:sz w:val="21"/>
              </w:rPr>
              <w:t>＜1%；</w:t>
            </w:r>
          </w:p>
          <w:p>
            <w:pPr>
              <w:pStyle w:val="TableParagraph"/>
              <w:tabs>
                <w:tab w:pos="622" w:val="left" w:leader="none"/>
              </w:tabs>
              <w:spacing w:before="37"/>
              <w:ind w:left="20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843" w:hRule="atLeast"/>
        </w:trPr>
        <w:tc>
          <w:tcPr>
            <w:tcW w:w="2419" w:type="dxa"/>
          </w:tcPr>
          <w:p>
            <w:pPr>
              <w:pStyle w:val="TableParagraph"/>
              <w:spacing w:line="232" w:lineRule="auto" w:before="111"/>
              <w:ind w:left="200" w:right="94"/>
              <w:rPr>
                <w:rFonts w:ascii="等线" w:eastAsia="等线" w:hint="eastAsia"/>
                <w:b/>
                <w:sz w:val="24"/>
              </w:rPr>
            </w:pPr>
            <w:r>
              <w:rPr>
                <w:rFonts w:ascii="等线" w:eastAsia="等线" w:hint="eastAsia"/>
                <w:b/>
                <w:sz w:val="24"/>
              </w:rPr>
              <w:t>重大器官移植术或造血干细胞移植术</w:t>
            </w:r>
          </w:p>
        </w:tc>
        <w:tc>
          <w:tcPr>
            <w:tcW w:w="7187" w:type="dxa"/>
          </w:tcPr>
          <w:p>
            <w:pPr>
              <w:pStyle w:val="TableParagraph"/>
              <w:spacing w:line="273" w:lineRule="auto" w:before="134"/>
              <w:ind w:right="301"/>
              <w:rPr>
                <w:sz w:val="21"/>
              </w:rPr>
            </w:pPr>
            <w:r>
              <w:rPr>
                <w:sz w:val="21"/>
              </w:rPr>
              <w:t>重大器官移植术，指因相应器官功能衰竭，已经实施了肾脏、肝脏、心脏或肺脏的异体移植手术。</w:t>
            </w:r>
          </w:p>
          <w:p>
            <w:pPr>
              <w:pStyle w:val="TableParagraph"/>
              <w:spacing w:line="273" w:lineRule="auto" w:before="7"/>
              <w:ind w:right="197"/>
              <w:rPr>
                <w:sz w:val="21"/>
              </w:rPr>
            </w:pPr>
            <w:r>
              <w:rPr>
                <w:sz w:val="21"/>
              </w:rPr>
              <w:t>造血干细胞移植术，指因造血功能损害或造血系统恶性肿瘤，已经实施了</w:t>
            </w:r>
            <w:r>
              <w:rPr>
                <w:spacing w:val="-4"/>
                <w:sz w:val="21"/>
              </w:rPr>
              <w:t>造血干细胞</w:t>
            </w:r>
            <w:r>
              <w:rPr>
                <w:sz w:val="21"/>
              </w:rPr>
              <w:t>（</w:t>
            </w:r>
            <w:r>
              <w:rPr>
                <w:spacing w:val="-2"/>
                <w:sz w:val="21"/>
              </w:rPr>
              <w:t>包括骨髓造血干细胞、外周血造血干细胞和脐血造血干细胞</w:t>
            </w:r>
            <w:r>
              <w:rPr>
                <w:sz w:val="21"/>
              </w:rPr>
              <w:t>） 的异体移植手术。</w:t>
            </w:r>
          </w:p>
        </w:tc>
      </w:tr>
      <w:tr>
        <w:trPr>
          <w:trHeight w:val="1220" w:hRule="atLeast"/>
        </w:trPr>
        <w:tc>
          <w:tcPr>
            <w:tcW w:w="2419" w:type="dxa"/>
          </w:tcPr>
          <w:p>
            <w:pPr>
              <w:pStyle w:val="TableParagraph"/>
              <w:spacing w:before="102"/>
              <w:ind w:left="200"/>
              <w:rPr>
                <w:rFonts w:ascii="等线" w:eastAsia="等线" w:hint="eastAsia"/>
                <w:b/>
                <w:sz w:val="24"/>
              </w:rPr>
            </w:pPr>
            <w:r>
              <w:rPr>
                <w:rFonts w:ascii="等线" w:eastAsia="等线" w:hint="eastAsia"/>
                <w:b/>
                <w:sz w:val="24"/>
              </w:rPr>
              <w:t>双耳失聪</w:t>
            </w:r>
          </w:p>
        </w:tc>
        <w:tc>
          <w:tcPr>
            <w:tcW w:w="7187" w:type="dxa"/>
          </w:tcPr>
          <w:p>
            <w:pPr>
              <w:pStyle w:val="TableParagraph"/>
              <w:spacing w:before="134"/>
              <w:rPr>
                <w:sz w:val="21"/>
              </w:rPr>
            </w:pPr>
            <w:r>
              <w:rPr>
                <w:sz w:val="21"/>
              </w:rPr>
              <w:t>指因疾病或意外伤害导致双耳听力永久不可逆性丧失，在 500 赫兹、1000</w:t>
            </w:r>
          </w:p>
          <w:p>
            <w:pPr>
              <w:pStyle w:val="TableParagraph"/>
              <w:spacing w:line="273" w:lineRule="auto" w:before="36"/>
              <w:ind w:right="197" w:hanging="1"/>
              <w:rPr>
                <w:sz w:val="21"/>
              </w:rPr>
            </w:pPr>
            <w:r>
              <w:rPr>
                <w:spacing w:val="-14"/>
                <w:sz w:val="21"/>
              </w:rPr>
              <w:t>赫兹和 </w:t>
            </w:r>
            <w:r>
              <w:rPr>
                <w:sz w:val="21"/>
              </w:rPr>
              <w:t>2000</w:t>
            </w:r>
            <w:r>
              <w:rPr>
                <w:spacing w:val="-12"/>
                <w:sz w:val="21"/>
              </w:rPr>
              <w:t> 赫兹语音频率下，平均听阈大于 </w:t>
            </w:r>
            <w:r>
              <w:rPr>
                <w:sz w:val="21"/>
              </w:rPr>
              <w:t>90</w:t>
            </w:r>
            <w:r>
              <w:rPr>
                <w:spacing w:val="-9"/>
                <w:sz w:val="21"/>
              </w:rPr>
              <w:t> 分贝，且经纯音听力测试、声导抗检测或听觉诱发电位检测等证实。</w:t>
            </w:r>
          </w:p>
        </w:tc>
      </w:tr>
      <w:tr>
        <w:trPr>
          <w:trHeight w:val="2155" w:hRule="atLeast"/>
        </w:trPr>
        <w:tc>
          <w:tcPr>
            <w:tcW w:w="2419" w:type="dxa"/>
          </w:tcPr>
          <w:p>
            <w:pPr>
              <w:pStyle w:val="TableParagraph"/>
              <w:spacing w:line="232" w:lineRule="auto" w:before="112"/>
              <w:ind w:left="200" w:right="94"/>
              <w:rPr>
                <w:rFonts w:ascii="等线" w:eastAsia="等线" w:hint="eastAsia"/>
                <w:b/>
                <w:sz w:val="24"/>
              </w:rPr>
            </w:pPr>
            <w:r>
              <w:rPr>
                <w:rFonts w:ascii="等线" w:eastAsia="等线" w:hint="eastAsia"/>
                <w:b/>
                <w:sz w:val="24"/>
              </w:rPr>
              <w:t>慢性肝功能衰竭失代偿期</w:t>
            </w:r>
          </w:p>
        </w:tc>
        <w:tc>
          <w:tcPr>
            <w:tcW w:w="7187" w:type="dxa"/>
          </w:tcPr>
          <w:p>
            <w:pPr>
              <w:pStyle w:val="TableParagraph"/>
              <w:spacing w:before="134"/>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1" w:lineRule="auto" w:before="36"/>
              <w:ind w:right="1944"/>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419" w:type="dxa"/>
          </w:tcPr>
          <w:p>
            <w:pPr>
              <w:pStyle w:val="TableParagraph"/>
              <w:spacing w:before="101"/>
              <w:ind w:left="200"/>
              <w:rPr>
                <w:rFonts w:ascii="等线" w:eastAsia="等线" w:hint="eastAsia"/>
                <w:b/>
                <w:sz w:val="24"/>
              </w:rPr>
            </w:pPr>
            <w:r>
              <w:rPr>
                <w:rFonts w:ascii="等线" w:eastAsia="等线" w:hint="eastAsia"/>
                <w:b/>
                <w:sz w:val="24"/>
              </w:rPr>
              <w:t>双目失明</w:t>
            </w:r>
          </w:p>
        </w:tc>
        <w:tc>
          <w:tcPr>
            <w:tcW w:w="7187" w:type="dxa"/>
          </w:tcPr>
          <w:p>
            <w:pPr>
              <w:pStyle w:val="TableParagraph"/>
              <w:spacing w:line="273" w:lineRule="auto" w:before="134"/>
              <w:ind w:right="301"/>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6"/>
              <w:ind w:left="621" w:right="301" w:hanging="526"/>
              <w:rPr>
                <w:sz w:val="21"/>
              </w:rPr>
            </w:pPr>
            <w:r>
              <w:rPr>
                <w:spacing w:val="-11"/>
                <w:sz w:val="21"/>
              </w:rPr>
              <w:t>（2）</w:t>
            </w:r>
            <w:r>
              <w:rPr>
                <w:spacing w:val="-8"/>
                <w:sz w:val="21"/>
              </w:rPr>
              <w:t>矫正视力低于 </w:t>
            </w:r>
            <w:r>
              <w:rPr>
                <w:spacing w:val="-7"/>
                <w:sz w:val="21"/>
              </w:rPr>
              <w:t>0.02（</w:t>
            </w:r>
            <w:r>
              <w:rPr>
                <w:spacing w:val="-4"/>
                <w:sz w:val="21"/>
              </w:rPr>
              <w:t>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tc>
      </w:tr>
      <w:tr>
        <w:trPr>
          <w:trHeight w:val="3844" w:hRule="atLeast"/>
        </w:trPr>
        <w:tc>
          <w:tcPr>
            <w:tcW w:w="2419" w:type="dxa"/>
          </w:tcPr>
          <w:p>
            <w:pPr>
              <w:pStyle w:val="TableParagraph"/>
              <w:spacing w:line="232" w:lineRule="auto" w:before="112"/>
              <w:ind w:left="200" w:right="94"/>
              <w:rPr>
                <w:rFonts w:ascii="等线" w:eastAsia="等线" w:hint="eastAsia"/>
                <w:b/>
                <w:sz w:val="24"/>
              </w:rPr>
            </w:pPr>
            <w:r>
              <w:rPr>
                <w:rFonts w:ascii="等线" w:eastAsia="等线" w:hint="eastAsia"/>
                <w:b/>
                <w:sz w:val="24"/>
              </w:rPr>
              <w:t>系统性红斑狼疮并发肾功能损害</w:t>
            </w:r>
          </w:p>
        </w:tc>
        <w:tc>
          <w:tcPr>
            <w:tcW w:w="7187" w:type="dxa"/>
          </w:tcPr>
          <w:p>
            <w:pPr>
              <w:pStyle w:val="TableParagraph"/>
              <w:spacing w:line="273" w:lineRule="auto" w:before="134"/>
              <w:ind w:right="301"/>
              <w:jc w:val="both"/>
              <w:rPr>
                <w:sz w:val="21"/>
              </w:rPr>
            </w:pPr>
            <w:r>
              <w:rPr>
                <w:sz w:val="21"/>
              </w:rPr>
              <w:t>指一种自身免疫性结缔组织病，于体内有大量致病性自身抗体和免疫复合物，造成组织损伤。系统性红斑狼疮的诊断必须经专科医生明确诊断，并须同时满足下列条件：</w:t>
            </w:r>
          </w:p>
          <w:p>
            <w:pPr>
              <w:pStyle w:val="TableParagraph"/>
              <w:spacing w:before="7"/>
              <w:jc w:val="both"/>
              <w:rPr>
                <w:sz w:val="21"/>
              </w:rPr>
            </w:pPr>
            <w:r>
              <w:rPr>
                <w:sz w:val="21"/>
              </w:rPr>
              <w:t>（1）临床表现至少具备下列条件中的 4 个：</w:t>
            </w:r>
          </w:p>
          <w:p>
            <w:pPr>
              <w:pStyle w:val="TableParagraph"/>
              <w:tabs>
                <w:tab w:pos="622" w:val="left" w:leader="none"/>
              </w:tabs>
              <w:spacing w:before="37"/>
              <w:ind w:left="201"/>
              <w:rPr>
                <w:sz w:val="21"/>
              </w:rPr>
            </w:pPr>
            <w:r>
              <w:rPr>
                <w:sz w:val="21"/>
              </w:rPr>
              <w:t>①</w:t>
              <w:tab/>
            </w:r>
            <w:r>
              <w:rPr>
                <w:spacing w:val="-1"/>
                <w:sz w:val="21"/>
              </w:rPr>
              <w:t>蝶形红斑或盘形红斑；</w:t>
            </w:r>
          </w:p>
          <w:p>
            <w:pPr>
              <w:pStyle w:val="TableParagraph"/>
              <w:tabs>
                <w:tab w:pos="622" w:val="left" w:leader="none"/>
              </w:tabs>
              <w:spacing w:before="37"/>
              <w:ind w:left="201"/>
              <w:rPr>
                <w:sz w:val="21"/>
              </w:rPr>
            </w:pPr>
            <w:r>
              <w:rPr>
                <w:sz w:val="21"/>
              </w:rPr>
              <w:t>②</w:t>
              <w:tab/>
            </w:r>
            <w:r>
              <w:rPr>
                <w:spacing w:val="-1"/>
                <w:sz w:val="21"/>
              </w:rPr>
              <w:t>光敏感；</w:t>
            </w:r>
          </w:p>
          <w:p>
            <w:pPr>
              <w:pStyle w:val="TableParagraph"/>
              <w:tabs>
                <w:tab w:pos="622" w:val="left" w:leader="none"/>
              </w:tabs>
              <w:spacing w:before="37"/>
              <w:ind w:left="201"/>
              <w:rPr>
                <w:sz w:val="21"/>
              </w:rPr>
            </w:pPr>
            <w:r>
              <w:rPr>
                <w:sz w:val="21"/>
              </w:rPr>
              <w:t>③</w:t>
              <w:tab/>
            </w:r>
            <w:r>
              <w:rPr>
                <w:spacing w:val="-1"/>
                <w:sz w:val="21"/>
              </w:rPr>
              <w:t>口鼻腔黏膜溃疡；</w:t>
            </w:r>
          </w:p>
          <w:p>
            <w:pPr>
              <w:pStyle w:val="TableParagraph"/>
              <w:tabs>
                <w:tab w:pos="622" w:val="left" w:leader="none"/>
              </w:tabs>
              <w:spacing w:before="37"/>
              <w:ind w:left="201"/>
              <w:rPr>
                <w:sz w:val="21"/>
              </w:rPr>
            </w:pPr>
            <w:r>
              <w:rPr>
                <w:sz w:val="21"/>
              </w:rPr>
              <w:t>④</w:t>
              <w:tab/>
            </w:r>
            <w:r>
              <w:rPr>
                <w:spacing w:val="-1"/>
                <w:sz w:val="21"/>
              </w:rPr>
              <w:t>非畸形性关节炎或多关节痛；</w:t>
            </w:r>
          </w:p>
          <w:p>
            <w:pPr>
              <w:pStyle w:val="TableParagraph"/>
              <w:tabs>
                <w:tab w:pos="622" w:val="left" w:leader="none"/>
              </w:tabs>
              <w:spacing w:before="37"/>
              <w:ind w:left="201"/>
              <w:rPr>
                <w:sz w:val="21"/>
              </w:rPr>
            </w:pPr>
            <w:r>
              <w:rPr>
                <w:sz w:val="21"/>
              </w:rPr>
              <w:t>⑤</w:t>
              <w:tab/>
            </w:r>
            <w:r>
              <w:rPr>
                <w:spacing w:val="-1"/>
                <w:sz w:val="21"/>
              </w:rPr>
              <w:t>胸膜炎或心包炎；</w:t>
            </w:r>
          </w:p>
          <w:p>
            <w:pPr>
              <w:pStyle w:val="TableParagraph"/>
              <w:tabs>
                <w:tab w:pos="622" w:val="left" w:leader="none"/>
              </w:tabs>
              <w:spacing w:before="37"/>
              <w:ind w:left="201"/>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2" w:val="left" w:leader="none"/>
              </w:tabs>
              <w:spacing w:line="310" w:lineRule="atLeast" w:before="1"/>
              <w:ind w:left="621" w:right="303" w:hanging="420"/>
              <w:rPr>
                <w:sz w:val="21"/>
              </w:rPr>
            </w:pPr>
            <w:r>
              <w:rPr>
                <w:sz w:val="21"/>
              </w:rPr>
              <w:t>⑦</w:t>
              <w:tab/>
              <w:tab/>
            </w:r>
            <w:r>
              <w:rPr>
                <w:spacing w:val="-10"/>
                <w:sz w:val="21"/>
              </w:rPr>
              <w:t>血象异常</w:t>
            </w:r>
            <w:r>
              <w:rPr>
                <w:sz w:val="21"/>
              </w:rPr>
              <w:t>（</w:t>
            </w:r>
            <w:r>
              <w:rPr>
                <w:spacing w:val="-10"/>
                <w:sz w:val="21"/>
              </w:rPr>
              <w:t>白细胞小于 </w:t>
            </w:r>
            <w:r>
              <w:rPr>
                <w:sz w:val="21"/>
              </w:rPr>
              <w:t>4000/μl</w:t>
            </w:r>
            <w:r>
              <w:rPr>
                <w:spacing w:val="-15"/>
                <w:sz w:val="21"/>
              </w:rPr>
              <w:t> 或血小板小于 </w:t>
            </w:r>
            <w:r>
              <w:rPr>
                <w:sz w:val="21"/>
              </w:rPr>
              <w:t>100000/μl</w:t>
            </w:r>
            <w:r>
              <w:rPr>
                <w:spacing w:val="-12"/>
                <w:sz w:val="21"/>
              </w:rPr>
              <w:t> 或溶血性贫血</w:t>
            </w:r>
            <w:r>
              <w:rPr>
                <w:spacing w:val="-105"/>
                <w:sz w:val="21"/>
              </w:rPr>
              <w:t>）</w:t>
            </w:r>
            <w:r>
              <w:rPr>
                <w:sz w:val="21"/>
              </w:rPr>
              <w:t>。</w:t>
            </w:r>
          </w:p>
        </w:tc>
      </w:tr>
    </w:tbl>
    <w:p>
      <w:pPr>
        <w:spacing w:after="0" w:line="310" w:lineRule="atLeast"/>
        <w:rPr>
          <w:sz w:val="21"/>
        </w:rPr>
        <w:sectPr>
          <w:pgSz w:w="11910" w:h="16840"/>
          <w:pgMar w:top="148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082"/>
      </w:tblGrid>
      <w:tr>
        <w:trPr>
          <w:trHeight w:val="5074" w:hRule="atLeast"/>
        </w:trPr>
        <w:tc>
          <w:tcPr>
            <w:tcW w:w="2419" w:type="dxa"/>
          </w:tcPr>
          <w:p>
            <w:pPr>
              <w:pStyle w:val="TableParagraph"/>
              <w:ind w:left="0"/>
              <w:rPr>
                <w:rFonts w:ascii="Times New Roman"/>
                <w:sz w:val="20"/>
              </w:rPr>
            </w:pPr>
          </w:p>
        </w:tc>
        <w:tc>
          <w:tcPr>
            <w:tcW w:w="7082" w:type="dxa"/>
          </w:tcPr>
          <w:p>
            <w:pPr>
              <w:pStyle w:val="TableParagraph"/>
              <w:spacing w:line="210" w:lineRule="exact"/>
              <w:rPr>
                <w:sz w:val="21"/>
              </w:rPr>
            </w:pPr>
            <w:r>
              <w:rPr>
                <w:sz w:val="21"/>
              </w:rPr>
              <w:t>（2）检测结果至少具备下列条件中的 2 个：</w:t>
            </w:r>
          </w:p>
          <w:p>
            <w:pPr>
              <w:pStyle w:val="TableParagraph"/>
              <w:tabs>
                <w:tab w:pos="622" w:val="left" w:leader="none"/>
              </w:tabs>
              <w:spacing w:before="37"/>
              <w:ind w:left="201"/>
              <w:rPr>
                <w:sz w:val="21"/>
              </w:rPr>
            </w:pPr>
            <w:r>
              <w:rPr>
                <w:sz w:val="21"/>
              </w:rPr>
              <w:t>①</w:t>
              <w:tab/>
            </w:r>
            <w:r>
              <w:rPr>
                <w:spacing w:val="50"/>
                <w:sz w:val="21"/>
              </w:rPr>
              <w:t>抗</w:t>
            </w:r>
            <w:r>
              <w:rPr>
                <w:sz w:val="21"/>
              </w:rPr>
              <w:t>dsDNA</w:t>
            </w:r>
            <w:r>
              <w:rPr>
                <w:spacing w:val="-10"/>
                <w:sz w:val="21"/>
              </w:rPr>
              <w:t> 抗体阳性；</w:t>
            </w:r>
          </w:p>
          <w:p>
            <w:pPr>
              <w:pStyle w:val="TableParagraph"/>
              <w:tabs>
                <w:tab w:pos="622" w:val="left" w:leader="none"/>
              </w:tabs>
              <w:spacing w:before="37"/>
              <w:ind w:left="201"/>
              <w:rPr>
                <w:sz w:val="21"/>
              </w:rPr>
            </w:pPr>
            <w:r>
              <w:rPr>
                <w:sz w:val="21"/>
              </w:rPr>
              <w:t>②</w:t>
              <w:tab/>
            </w:r>
            <w:r>
              <w:rPr>
                <w:spacing w:val="-28"/>
                <w:sz w:val="21"/>
              </w:rPr>
              <w:t>抗 </w:t>
            </w:r>
            <w:r>
              <w:rPr>
                <w:sz w:val="21"/>
              </w:rPr>
              <w:t>Sm</w:t>
            </w:r>
            <w:r>
              <w:rPr>
                <w:spacing w:val="-10"/>
                <w:sz w:val="21"/>
              </w:rPr>
              <w:t> 抗体阳性；</w:t>
            </w:r>
          </w:p>
          <w:p>
            <w:pPr>
              <w:pStyle w:val="TableParagraph"/>
              <w:tabs>
                <w:tab w:pos="622" w:val="left" w:leader="none"/>
              </w:tabs>
              <w:spacing w:before="37"/>
              <w:ind w:left="201"/>
              <w:rPr>
                <w:sz w:val="21"/>
              </w:rPr>
            </w:pPr>
            <w:r>
              <w:rPr>
                <w:sz w:val="21"/>
              </w:rPr>
              <w:t>③</w:t>
              <w:tab/>
            </w:r>
            <w:r>
              <w:rPr>
                <w:spacing w:val="-1"/>
                <w:sz w:val="21"/>
              </w:rPr>
              <w:t>抗核抗体阳性；</w:t>
            </w:r>
          </w:p>
          <w:p>
            <w:pPr>
              <w:pStyle w:val="TableParagraph"/>
              <w:tabs>
                <w:tab w:pos="622" w:val="left" w:leader="none"/>
              </w:tabs>
              <w:spacing w:before="37"/>
              <w:ind w:left="201"/>
              <w:rPr>
                <w:sz w:val="21"/>
              </w:rPr>
            </w:pPr>
            <w:r>
              <w:rPr>
                <w:sz w:val="21"/>
              </w:rPr>
              <w:t>④</w:t>
              <w:tab/>
            </w:r>
            <w:r>
              <w:rPr>
                <w:spacing w:val="-1"/>
                <w:sz w:val="21"/>
              </w:rPr>
              <w:t>皮肤狼疮带试验</w:t>
            </w:r>
            <w:r>
              <w:rPr>
                <w:sz w:val="21"/>
              </w:rPr>
              <w:t>（非病损部位）或肾活检阳性；</w:t>
            </w:r>
          </w:p>
          <w:p>
            <w:pPr>
              <w:pStyle w:val="TableParagraph"/>
              <w:tabs>
                <w:tab w:pos="621" w:val="left" w:leader="none"/>
              </w:tabs>
              <w:spacing w:before="37"/>
              <w:ind w:left="201"/>
              <w:rPr>
                <w:sz w:val="21"/>
              </w:rPr>
            </w:pPr>
            <w:r>
              <w:rPr>
                <w:sz w:val="21"/>
              </w:rPr>
              <w:t>⑤</w:t>
              <w:tab/>
              <w:t>C3</w:t>
            </w:r>
            <w:r>
              <w:rPr>
                <w:spacing w:val="-9"/>
                <w:sz w:val="21"/>
              </w:rPr>
              <w:t> 低于正常值。</w:t>
            </w:r>
          </w:p>
          <w:p>
            <w:pPr>
              <w:pStyle w:val="TableParagraph"/>
              <w:spacing w:before="37"/>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22" w:val="left" w:leader="none"/>
              </w:tabs>
              <w:spacing w:line="273" w:lineRule="auto" w:before="37"/>
              <w:ind w:left="621" w:right="196" w:hanging="420"/>
              <w:rPr>
                <w:sz w:val="21"/>
              </w:rPr>
            </w:pPr>
            <w:r>
              <w:rPr>
                <w:sz w:val="21"/>
              </w:rPr>
              <w:t>①</w:t>
              <w:tab/>
              <w:tab/>
              <w:t>系统性红斑狼疮造成肾脏功能损害，尿蛋白＞2g/24</w:t>
            </w:r>
            <w:r>
              <w:rPr>
                <w:spacing w:val="-7"/>
                <w:sz w:val="21"/>
              </w:rPr>
              <w:t> 小时且持续性蛋</w:t>
            </w:r>
            <w:r>
              <w:rPr>
                <w:spacing w:val="-1"/>
                <w:sz w:val="21"/>
              </w:rPr>
              <w:t>白尿＞+++；</w:t>
            </w:r>
          </w:p>
          <w:p>
            <w:pPr>
              <w:pStyle w:val="TableParagraph"/>
              <w:tabs>
                <w:tab w:pos="622" w:val="left" w:leader="none"/>
              </w:tabs>
              <w:spacing w:line="273" w:lineRule="auto" w:before="7"/>
              <w:ind w:right="1418"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tabs>
                <w:tab w:pos="2195" w:val="left" w:leader="none"/>
              </w:tabs>
              <w:spacing w:before="7"/>
              <w:rPr>
                <w:sz w:val="21"/>
              </w:rPr>
            </w:pPr>
            <w:r>
              <w:rPr>
                <w:sz w:val="21"/>
              </w:rPr>
              <w:t>Ⅰ型（微小病变型）</w:t>
              <w:tab/>
              <w:t>镜下阴性，尿液正常；</w:t>
            </w:r>
          </w:p>
          <w:p>
            <w:pPr>
              <w:pStyle w:val="TableParagraph"/>
              <w:tabs>
                <w:tab w:pos="2195" w:val="left" w:leader="none"/>
              </w:tabs>
              <w:spacing w:before="37"/>
              <w:rPr>
                <w:sz w:val="21"/>
              </w:rPr>
            </w:pPr>
            <w:r>
              <w:rPr>
                <w:sz w:val="21"/>
              </w:rPr>
              <w:t>Ⅱ型（系膜病变型）</w:t>
              <w:tab/>
              <w:t>中度蛋白尿，偶有尿沉渣改变；</w:t>
            </w:r>
          </w:p>
          <w:p>
            <w:pPr>
              <w:pStyle w:val="TableParagraph"/>
              <w:tabs>
                <w:tab w:pos="2826" w:val="left" w:leader="none"/>
              </w:tabs>
              <w:spacing w:before="37"/>
              <w:rPr>
                <w:sz w:val="21"/>
              </w:rPr>
            </w:pPr>
            <w:r>
              <w:rPr>
                <w:sz w:val="21"/>
              </w:rPr>
              <w:t>Ⅲ型（局灶及节段增生型）</w:t>
              <w:tab/>
            </w:r>
            <w:r>
              <w:rPr>
                <w:spacing w:val="-1"/>
                <w:sz w:val="21"/>
              </w:rPr>
              <w:t>蛋白</w:t>
            </w:r>
            <w:r>
              <w:rPr>
                <w:sz w:val="21"/>
              </w:rPr>
              <w:t>尿，尿沉渣改变；</w:t>
            </w:r>
          </w:p>
          <w:p>
            <w:pPr>
              <w:pStyle w:val="TableParagraph"/>
              <w:tabs>
                <w:tab w:pos="2195" w:val="left" w:leader="none"/>
              </w:tabs>
              <w:spacing w:before="37"/>
              <w:rPr>
                <w:sz w:val="21"/>
              </w:rPr>
            </w:pPr>
            <w:r>
              <w:rPr>
                <w:sz w:val="21"/>
              </w:rPr>
              <w:t>Ⅳ型（弥漫增生型）</w:t>
              <w:tab/>
            </w:r>
            <w:r>
              <w:rPr>
                <w:spacing w:val="-1"/>
                <w:sz w:val="21"/>
              </w:rPr>
              <w:t>急性</w:t>
            </w:r>
            <w:r>
              <w:rPr>
                <w:sz w:val="21"/>
              </w:rPr>
              <w:t>肾炎伴有尿沉渣改变及/或肾病综合征；</w:t>
            </w:r>
          </w:p>
          <w:p>
            <w:pPr>
              <w:pStyle w:val="TableParagraph"/>
              <w:tabs>
                <w:tab w:pos="1566" w:val="left" w:leader="none"/>
              </w:tabs>
              <w:spacing w:before="37"/>
              <w:rPr>
                <w:sz w:val="21"/>
              </w:rPr>
            </w:pPr>
            <w:r>
              <w:rPr>
                <w:sz w:val="21"/>
              </w:rPr>
              <w:t>Ⅴ型（膜型）</w:t>
              <w:tab/>
            </w:r>
            <w:r>
              <w:rPr>
                <w:spacing w:val="-1"/>
                <w:sz w:val="21"/>
              </w:rPr>
              <w:t>肾病</w:t>
            </w:r>
            <w:r>
              <w:rPr>
                <w:sz w:val="21"/>
              </w:rPr>
              <w:t>综合征或重度蛋白尿。</w:t>
            </w:r>
          </w:p>
        </w:tc>
      </w:tr>
      <w:tr>
        <w:trPr>
          <w:trHeight w:val="1219"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语言能力丧失</w:t>
            </w:r>
          </w:p>
        </w:tc>
        <w:tc>
          <w:tcPr>
            <w:tcW w:w="7082" w:type="dxa"/>
          </w:tcPr>
          <w:p>
            <w:pPr>
              <w:pStyle w:val="TableParagraph"/>
              <w:spacing w:line="273" w:lineRule="auto" w:before="136"/>
              <w:ind w:right="198"/>
              <w:rPr>
                <w:sz w:val="21"/>
              </w:rPr>
            </w:pPr>
            <w:r>
              <w:rPr>
                <w:spacing w:val="-5"/>
                <w:sz w:val="21"/>
              </w:rPr>
              <w:t>指因疾病或意外伤害导致完全丧失语言能力，经过积极治疗至少</w:t>
            </w:r>
            <w:r>
              <w:rPr>
                <w:sz w:val="21"/>
              </w:rPr>
              <w:t>12</w:t>
            </w:r>
            <w:r>
              <w:rPr>
                <w:spacing w:val="-60"/>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rPr>
                <w:sz w:val="21"/>
              </w:rPr>
            </w:pPr>
            <w:r>
              <w:rPr>
                <w:sz w:val="21"/>
                <w:shd w:fill="DADADA" w:color="auto" w:val="clear"/>
              </w:rPr>
              <w:t>精神心理因素所致的语言能力丧失不在保障范围内。</w:t>
            </w:r>
          </w:p>
        </w:tc>
      </w:tr>
      <w:tr>
        <w:trPr>
          <w:trHeight w:val="2155"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急性或亚急性重症肝炎</w:t>
            </w:r>
          </w:p>
        </w:tc>
        <w:tc>
          <w:tcPr>
            <w:tcW w:w="7082" w:type="dxa"/>
          </w:tcPr>
          <w:p>
            <w:pPr>
              <w:pStyle w:val="TableParagraph"/>
              <w:spacing w:line="273" w:lineRule="auto" w:before="136"/>
              <w:ind w:right="196"/>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1532"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严重溃疡性结肠炎</w:t>
            </w:r>
          </w:p>
        </w:tc>
        <w:tc>
          <w:tcPr>
            <w:tcW w:w="7082" w:type="dxa"/>
          </w:tcPr>
          <w:p>
            <w:pPr>
              <w:pStyle w:val="TableParagraph"/>
              <w:spacing w:line="273" w:lineRule="auto" w:before="137"/>
              <w:ind w:right="196"/>
              <w:jc w:val="both"/>
              <w:rPr>
                <w:sz w:val="21"/>
              </w:rPr>
            </w:pPr>
            <w:r>
              <w:rPr>
                <w:sz w:val="21"/>
              </w:rPr>
              <w:t>指伴有致命性电解质紊乱的急性暴发性溃疡性结肠炎，病变累及全结肠， 表现为严重的血便和系统性症状体征，已经造成瘘管并伴有肠梗阻或肠穿孔，治疗通常采取全结肠切除和回肠造瘘术。溃疡性结肠炎必须根据组织病理学特点诊断，并且被保险人已经接受了结肠切除和回肠造瘘术。</w:t>
            </w:r>
          </w:p>
        </w:tc>
      </w:tr>
      <w:tr>
        <w:trPr>
          <w:trHeight w:val="1244" w:hRule="atLeast"/>
        </w:trPr>
        <w:tc>
          <w:tcPr>
            <w:tcW w:w="2419" w:type="dxa"/>
          </w:tcPr>
          <w:p>
            <w:pPr>
              <w:pStyle w:val="TableParagraph"/>
              <w:spacing w:line="232" w:lineRule="auto" w:before="114"/>
              <w:ind w:left="200" w:right="94"/>
              <w:jc w:val="both"/>
              <w:rPr>
                <w:rFonts w:ascii="等线" w:eastAsia="等线" w:hint="eastAsia"/>
                <w:b/>
                <w:sz w:val="24"/>
              </w:rPr>
            </w:pPr>
            <w:r>
              <w:rPr>
                <w:rFonts w:ascii="等线" w:eastAsia="等线" w:hint="eastAsia"/>
                <w:b/>
                <w:spacing w:val="-13"/>
                <w:sz w:val="24"/>
              </w:rPr>
              <w:t>终末期肾病</w:t>
            </w:r>
            <w:r>
              <w:rPr>
                <w:rFonts w:ascii="等线" w:eastAsia="等线" w:hint="eastAsia"/>
                <w:b/>
                <w:sz w:val="24"/>
              </w:rPr>
              <w:t>（或称慢</w:t>
            </w:r>
            <w:r>
              <w:rPr>
                <w:rFonts w:ascii="等线" w:eastAsia="等线" w:hint="eastAsia"/>
                <w:b/>
                <w:spacing w:val="25"/>
                <w:sz w:val="24"/>
              </w:rPr>
              <w:t>性肾功能衰竭尿毒</w:t>
            </w:r>
            <w:r>
              <w:rPr>
                <w:rFonts w:ascii="等线" w:eastAsia="等线" w:hint="eastAsia"/>
                <w:b/>
                <w:sz w:val="24"/>
              </w:rPr>
              <w:t>症期）</w:t>
            </w:r>
          </w:p>
        </w:tc>
        <w:tc>
          <w:tcPr>
            <w:tcW w:w="7082" w:type="dxa"/>
          </w:tcPr>
          <w:p>
            <w:pPr>
              <w:pStyle w:val="TableParagraph"/>
              <w:spacing w:before="137"/>
              <w:rPr>
                <w:sz w:val="21"/>
              </w:rPr>
            </w:pPr>
            <w:r>
              <w:rPr>
                <w:sz w:val="21"/>
              </w:rPr>
              <w:t>指双肾功能慢性不可逆性衰竭，达到尿毒症期，经诊断后已经进行了至少</w:t>
            </w:r>
          </w:p>
          <w:p>
            <w:pPr>
              <w:pStyle w:val="TableParagraph"/>
              <w:spacing w:before="37"/>
              <w:rPr>
                <w:sz w:val="21"/>
              </w:rPr>
            </w:pPr>
            <w:r>
              <w:rPr>
                <w:sz w:val="21"/>
              </w:rPr>
              <w:t>90 日的规律性透析治疗或实施了肾脏移植手术。</w:t>
            </w:r>
          </w:p>
        </w:tc>
      </w:tr>
      <w:tr>
        <w:trPr>
          <w:trHeight w:val="1836" w:hRule="atLeast"/>
        </w:trPr>
        <w:tc>
          <w:tcPr>
            <w:tcW w:w="2419" w:type="dxa"/>
          </w:tcPr>
          <w:p>
            <w:pPr>
              <w:pStyle w:val="TableParagraph"/>
              <w:spacing w:before="96"/>
              <w:ind w:left="200"/>
              <w:rPr>
                <w:rFonts w:ascii="等线" w:eastAsia="等线" w:hint="eastAsia"/>
                <w:b/>
                <w:sz w:val="24"/>
              </w:rPr>
            </w:pPr>
            <w:r>
              <w:rPr>
                <w:rFonts w:ascii="等线" w:eastAsia="等线" w:hint="eastAsia"/>
                <w:b/>
                <w:sz w:val="24"/>
              </w:rPr>
              <w:t>终末期肺病</w:t>
            </w:r>
          </w:p>
        </w:tc>
        <w:tc>
          <w:tcPr>
            <w:tcW w:w="7082" w:type="dxa"/>
          </w:tcPr>
          <w:p>
            <w:pPr>
              <w:pStyle w:val="TableParagraph"/>
              <w:spacing w:line="273" w:lineRule="auto" w:before="129"/>
              <w:ind w:right="264"/>
              <w:rPr>
                <w:sz w:val="21"/>
              </w:rPr>
            </w:pPr>
            <w:r>
              <w:rPr>
                <w:sz w:val="21"/>
              </w:rPr>
              <w:t>指经专科医生明确诊断，且被保险人已出现慢性呼吸功能衰竭，其诊断标准必须满足下列所有条件：</w:t>
            </w:r>
          </w:p>
          <w:p>
            <w:pPr>
              <w:pStyle w:val="TableParagraph"/>
              <w:spacing w:before="8"/>
              <w:rPr>
                <w:sz w:val="21"/>
              </w:rPr>
            </w:pPr>
            <w:r>
              <w:rPr>
                <w:sz w:val="21"/>
              </w:rPr>
              <w:t>（1）肺功能测试其 FEV1 持续低于 1 升；</w:t>
            </w:r>
          </w:p>
          <w:p>
            <w:pPr>
              <w:pStyle w:val="TableParagraph"/>
              <w:spacing w:before="37"/>
              <w:ind w:left="96"/>
              <w:rPr>
                <w:sz w:val="21"/>
              </w:rPr>
            </w:pPr>
            <w:r>
              <w:rPr>
                <w:sz w:val="21"/>
              </w:rPr>
              <w:t>（2）动脉血气分析氧分压低于 55mmHg；</w:t>
            </w:r>
          </w:p>
          <w:p>
            <w:pPr>
              <w:pStyle w:val="TableParagraph"/>
              <w:spacing w:before="37"/>
              <w:ind w:left="96"/>
              <w:rPr>
                <w:sz w:val="21"/>
              </w:rPr>
            </w:pPr>
            <w:r>
              <w:rPr>
                <w:sz w:val="21"/>
              </w:rPr>
              <w:t>（3）病人缺氧必须进行输氧治疗。</w:t>
            </w:r>
          </w:p>
        </w:tc>
      </w:tr>
      <w:tr>
        <w:trPr>
          <w:trHeight w:val="1035"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胰腺移植</w:t>
            </w:r>
          </w:p>
        </w:tc>
        <w:tc>
          <w:tcPr>
            <w:tcW w:w="7082" w:type="dxa"/>
          </w:tcPr>
          <w:p>
            <w:pPr>
              <w:pStyle w:val="TableParagraph"/>
              <w:spacing w:line="273" w:lineRule="auto" w:before="137"/>
              <w:ind w:right="196"/>
              <w:rPr>
                <w:sz w:val="21"/>
              </w:rPr>
            </w:pPr>
            <w:r>
              <w:rPr>
                <w:sz w:val="21"/>
              </w:rPr>
              <w:t>指因胰腺功能衰竭，已经实施了在全身麻醉下进行的胰腺的异体器官移植手术。</w:t>
            </w:r>
          </w:p>
          <w:p>
            <w:pPr>
              <w:pStyle w:val="TableParagraph"/>
              <w:spacing w:line="255" w:lineRule="exact" w:before="7"/>
              <w:rPr>
                <w:sz w:val="21"/>
              </w:rPr>
            </w:pPr>
            <w:r>
              <w:rPr>
                <w:sz w:val="21"/>
                <w:shd w:fill="DADADA" w:color="auto" w:val="clear"/>
              </w:rPr>
              <w:t>单纯胰岛移植、部分胰腺组织或细胞的移植不在保障范围内。</w:t>
            </w:r>
          </w:p>
        </w:tc>
      </w:tr>
    </w:tbl>
    <w:p>
      <w:pPr>
        <w:spacing w:after="0" w:line="255" w:lineRule="exact"/>
        <w:rPr>
          <w:sz w:val="21"/>
        </w:rPr>
        <w:sectPr>
          <w:pgSz w:w="11910" w:h="16840"/>
          <w:pgMar w:top="1160" w:bottom="280" w:left="1480" w:right="720"/>
        </w:sectPr>
      </w:pPr>
    </w:p>
    <w:p>
      <w:pPr>
        <w:pStyle w:val="Heading2"/>
        <w:spacing w:line="232" w:lineRule="auto" w:before="18"/>
      </w:pPr>
      <w:r>
        <w:rPr/>
        <w:t>急性坏死性胰腺炎开腹手术</w:t>
      </w:r>
    </w:p>
    <w:p>
      <w:pPr>
        <w:pStyle w:val="BodyText"/>
        <w:spacing w:line="273" w:lineRule="auto" w:before="40"/>
        <w:ind w:left="101" w:right="220"/>
      </w:pPr>
      <w:r>
        <w:rPr/>
        <w:br w:type="column"/>
      </w:r>
      <w:r>
        <w:rPr/>
        <w:t>指由专科医生确诊为急性坏死性胰腺炎，并已经接受了开腹手术进行坏死组织清除、病灶切除或胰腺部分切除的治疗。</w:t>
      </w:r>
    </w:p>
    <w:p>
      <w:pPr>
        <w:pStyle w:val="BodyText"/>
        <w:spacing w:line="273" w:lineRule="auto" w:before="7"/>
        <w:ind w:left="101" w:right="220"/>
      </w:pPr>
      <w:r>
        <w:rPr>
          <w:shd w:fill="DADADA" w:color="auto" w:val="clear"/>
        </w:rPr>
        <w:t>因酗酒或饮酒过量所致的急性坏死性胰腺炎以及腹腔镜手术不在保障范围内。</w:t>
      </w:r>
    </w:p>
    <w:p>
      <w:pPr>
        <w:spacing w:after="0" w:line="273" w:lineRule="auto"/>
        <w:sectPr>
          <w:pgSz w:w="11910" w:h="16840"/>
          <w:pgMar w:top="1060" w:bottom="280" w:left="1680" w:right="800"/>
          <w:cols w:num="2" w:equalWidth="0">
            <w:col w:w="2227" w:space="88"/>
            <w:col w:w="7115"/>
          </w:cols>
        </w:sectPr>
      </w:pPr>
    </w:p>
    <w:p>
      <w:pPr>
        <w:pStyle w:val="BodyText"/>
        <w:spacing w:before="3"/>
        <w:rPr>
          <w:sz w:val="18"/>
        </w:rPr>
      </w:pPr>
    </w:p>
    <w:p>
      <w:pPr>
        <w:tabs>
          <w:tab w:pos="2416" w:val="left" w:leader="none"/>
        </w:tabs>
        <w:spacing w:before="17"/>
        <w:ind w:left="101" w:right="0" w:firstLine="0"/>
        <w:jc w:val="left"/>
        <w:rPr>
          <w:sz w:val="21"/>
        </w:rPr>
      </w:pPr>
      <w:r>
        <w:rPr>
          <w:rFonts w:ascii="等线" w:eastAsia="等线" w:hint="eastAsia"/>
          <w:b/>
          <w:position w:val="1"/>
          <w:sz w:val="24"/>
        </w:rPr>
        <w:t>严重肾髓质囊性病</w:t>
        <w:tab/>
      </w:r>
      <w:r>
        <w:rPr>
          <w:sz w:val="21"/>
        </w:rPr>
        <w:t>指经专科医生明确诊断为肾髓质囊性病，且须同时满足下列条件：</w:t>
      </w:r>
    </w:p>
    <w:p>
      <w:pPr>
        <w:pStyle w:val="BodyText"/>
        <w:spacing w:before="20"/>
        <w:ind w:left="2416"/>
      </w:pPr>
      <w:r>
        <w:rPr/>
        <w:t>（1）肾髓质有囊肿、肾小管萎缩及间质纤维化等病理改变；</w:t>
      </w:r>
    </w:p>
    <w:p>
      <w:pPr>
        <w:pStyle w:val="BodyText"/>
        <w:spacing w:before="36"/>
        <w:ind w:left="2416"/>
      </w:pPr>
      <w:r>
        <w:rPr/>
        <w:t>（2）贫血、多尿及肾功能衰竭等临床表现；</w:t>
      </w:r>
    </w:p>
    <w:p>
      <w:pPr>
        <w:pStyle w:val="BodyText"/>
        <w:spacing w:before="36"/>
        <w:ind w:left="2416"/>
      </w:pPr>
      <w:r>
        <w:rPr/>
        <w:t>（3）诊断须由肾组织活检确定。</w:t>
      </w:r>
    </w:p>
    <w:p>
      <w:pPr>
        <w:pStyle w:val="BodyText"/>
        <w:spacing w:before="4"/>
        <w:rPr>
          <w:sz w:val="20"/>
        </w:rPr>
      </w:pPr>
    </w:p>
    <w:p>
      <w:pPr>
        <w:spacing w:after="0"/>
        <w:rPr>
          <w:sz w:val="20"/>
        </w:rPr>
        <w:sectPr>
          <w:type w:val="continuous"/>
          <w:pgSz w:w="11910" w:h="16840"/>
          <w:pgMar w:top="580" w:bottom="280" w:left="1680" w:right="800"/>
        </w:sectPr>
      </w:pPr>
    </w:p>
    <w:p>
      <w:pPr>
        <w:pStyle w:val="Heading2"/>
        <w:spacing w:line="323" w:lineRule="exact" w:before="21"/>
      </w:pPr>
      <w:r>
        <w:rPr/>
        <w:t>严重肝豆状核变性</w:t>
      </w:r>
    </w:p>
    <w:p>
      <w:pPr>
        <w:spacing w:line="323" w:lineRule="exact" w:before="0"/>
        <w:ind w:left="101" w:right="0" w:firstLine="0"/>
        <w:jc w:val="left"/>
        <w:rPr>
          <w:rFonts w:ascii="等线" w:eastAsia="等线" w:hint="eastAsia"/>
          <w:b/>
          <w:sz w:val="24"/>
        </w:rPr>
      </w:pPr>
      <w:r>
        <w:rPr>
          <w:rFonts w:ascii="等线" w:eastAsia="等线" w:hint="eastAsia"/>
          <w:b/>
          <w:sz w:val="24"/>
        </w:rPr>
        <w:t>（Wilson 病）</w:t>
      </w:r>
    </w:p>
    <w:p>
      <w:pPr>
        <w:pStyle w:val="BodyText"/>
        <w:spacing w:line="273" w:lineRule="auto" w:before="53"/>
        <w:ind w:left="102" w:right="220"/>
      </w:pPr>
      <w:r>
        <w:rPr/>
        <w:br w:type="column"/>
      </w:r>
      <w:r>
        <w:rPr/>
        <w:t>指由于铜代谢障碍所引起的一种疾病，其特点为肝硬化与双侧脑基底神经节变性同时存在，且须经专科医生明确诊断，并同时必须具备下列情况：</w:t>
      </w:r>
    </w:p>
    <w:p>
      <w:pPr>
        <w:pStyle w:val="BodyText"/>
        <w:spacing w:line="271" w:lineRule="auto" w:before="7"/>
        <w:ind w:left="627" w:right="59" w:hanging="526"/>
      </w:pPr>
      <w:r>
        <w:rPr/>
        <w:t>（1）临床表现包括：进行性加剧的肢体震颤，肌强直，吞咽及发音 困难， 精神异常；</w:t>
      </w:r>
    </w:p>
    <w:p>
      <w:pPr>
        <w:pStyle w:val="BodyText"/>
        <w:spacing w:before="9"/>
        <w:ind w:left="102"/>
      </w:pPr>
      <w:r>
        <w:rPr/>
        <w:t>（2）角膜色素环（K-F</w:t>
      </w:r>
      <w:r>
        <w:rPr>
          <w:spacing w:val="-29"/>
        </w:rPr>
        <w:t> 环</w:t>
      </w:r>
      <w:r>
        <w:rPr>
          <w:spacing w:val="-105"/>
        </w:rPr>
        <w:t>）；</w:t>
      </w:r>
    </w:p>
    <w:p>
      <w:pPr>
        <w:pStyle w:val="BodyText"/>
        <w:spacing w:before="36"/>
        <w:ind w:left="101"/>
      </w:pPr>
      <w:r>
        <w:rPr/>
        <w:t>（3）血清铜和血清铜蓝蛋白降低，尿铜增加；</w:t>
      </w:r>
    </w:p>
    <w:p>
      <w:pPr>
        <w:pStyle w:val="BodyText"/>
        <w:spacing w:before="36"/>
        <w:ind w:left="101"/>
      </w:pPr>
      <w:r>
        <w:rPr/>
        <w:t>（4）食管静脉曲张；</w:t>
      </w:r>
    </w:p>
    <w:p>
      <w:pPr>
        <w:pStyle w:val="BodyText"/>
        <w:spacing w:before="36"/>
        <w:ind w:left="101"/>
      </w:pPr>
      <w:r>
        <w:rPr/>
        <w:t>（5）腹水。</w:t>
      </w:r>
    </w:p>
    <w:p>
      <w:pPr>
        <w:spacing w:after="0"/>
        <w:sectPr>
          <w:type w:val="continuous"/>
          <w:pgSz w:w="11910" w:h="16840"/>
          <w:pgMar w:top="580" w:bottom="280" w:left="1680" w:right="800"/>
          <w:cols w:num="2" w:equalWidth="0">
            <w:col w:w="2227" w:space="88"/>
            <w:col w:w="7115"/>
          </w:cols>
        </w:sectPr>
      </w:pPr>
    </w:p>
    <w:p>
      <w:pPr>
        <w:pStyle w:val="BodyText"/>
        <w:spacing w:before="6"/>
        <w:rPr>
          <w:sz w:val="20"/>
        </w:rPr>
      </w:pPr>
    </w:p>
    <w:p>
      <w:pPr>
        <w:spacing w:after="0"/>
        <w:rPr>
          <w:sz w:val="20"/>
        </w:rPr>
        <w:sectPr>
          <w:type w:val="continuous"/>
          <w:pgSz w:w="11910" w:h="16840"/>
          <w:pgMar w:top="580" w:bottom="280" w:left="1680" w:right="800"/>
        </w:sectPr>
      </w:pPr>
    </w:p>
    <w:p>
      <w:pPr>
        <w:pStyle w:val="Heading2"/>
        <w:spacing w:line="232" w:lineRule="auto"/>
      </w:pPr>
      <w:r>
        <w:rPr/>
        <w:t>严重自身免疫性肝炎</w:t>
      </w:r>
    </w:p>
    <w:p>
      <w:pPr>
        <w:pStyle w:val="BodyText"/>
        <w:spacing w:line="273" w:lineRule="auto" w:before="53"/>
        <w:ind w:left="101" w:right="220"/>
        <w:jc w:val="both"/>
      </w:pPr>
      <w:r>
        <w:rPr/>
        <w:br w:type="column"/>
      </w:r>
      <w:r>
        <w:rPr/>
        <w:t>指一种原因不明的慢性肝脏的坏死性炎性疾病，机体免疫机制被破坏，产生针对肝脏自身抗原的抗体导致自身免疫反应，从而破坏肝细胞造成肝脏炎症坏死，进而发展为肝硬化。必须满足所有以下条件：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7"/>
        <w:ind w:left="101"/>
      </w:pPr>
      <w:r>
        <w:rPr/>
        <w:t>（1）高γ球蛋白血症；</w:t>
      </w:r>
    </w:p>
    <w:p>
      <w:pPr>
        <w:pStyle w:val="BodyText"/>
        <w:spacing w:line="273" w:lineRule="auto" w:before="36"/>
        <w:ind w:left="627" w:right="220" w:hanging="526"/>
      </w:pPr>
      <w:r>
        <w:rPr/>
        <w:t>（2）</w:t>
      </w:r>
      <w:r>
        <w:rPr>
          <w:spacing w:val="-3"/>
        </w:rPr>
        <w:t>血液中存在高水平的自身免疫抗体，如 </w:t>
      </w:r>
      <w:r>
        <w:rPr/>
        <w:t>ANA（抗核抗体</w:t>
      </w:r>
      <w:r>
        <w:rPr>
          <w:spacing w:val="-106"/>
        </w:rPr>
        <w:t>）</w:t>
      </w:r>
      <w:r>
        <w:rPr/>
        <w:t>、SMA（抗平滑肌抗体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01"/>
        <w:jc w:val="both"/>
      </w:pPr>
      <w:r>
        <w:rPr/>
        <w:t>（3）肝脏活检证实免疫性肝炎；</w:t>
      </w:r>
    </w:p>
    <w:p>
      <w:pPr>
        <w:pStyle w:val="BodyText"/>
        <w:spacing w:before="37"/>
        <w:ind w:left="101"/>
        <w:jc w:val="both"/>
      </w:pPr>
      <w:r>
        <w:rPr/>
        <w:t>（4）临床已经出现腹水、食道静脉曲张和脾肿大等肝硬化表现。</w:t>
      </w:r>
    </w:p>
    <w:p>
      <w:pPr>
        <w:spacing w:after="0"/>
        <w:jc w:val="both"/>
        <w:sectPr>
          <w:type w:val="continuous"/>
          <w:pgSz w:w="11910" w:h="16840"/>
          <w:pgMar w:top="580" w:bottom="280" w:left="1680" w:right="800"/>
          <w:cols w:num="2" w:equalWidth="0">
            <w:col w:w="2227" w:space="88"/>
            <w:col w:w="7115"/>
          </w:cols>
        </w:sectPr>
      </w:pPr>
    </w:p>
    <w:p>
      <w:pPr>
        <w:pStyle w:val="BodyText"/>
        <w:spacing w:before="6"/>
        <w:rPr>
          <w:sz w:val="20"/>
        </w:rPr>
      </w:pPr>
    </w:p>
    <w:p>
      <w:pPr>
        <w:spacing w:after="0"/>
        <w:rPr>
          <w:sz w:val="20"/>
        </w:rPr>
        <w:sectPr>
          <w:type w:val="continuous"/>
          <w:pgSz w:w="11910" w:h="16840"/>
          <w:pgMar w:top="580" w:bottom="280" w:left="1680" w:right="800"/>
        </w:sectPr>
      </w:pPr>
    </w:p>
    <w:p>
      <w:pPr>
        <w:pStyle w:val="Heading2"/>
        <w:spacing w:line="232" w:lineRule="auto" w:before="31"/>
      </w:pPr>
      <w:r>
        <w:rPr/>
        <w:t>严重弥漫性系统性硬皮病</w:t>
      </w:r>
    </w:p>
    <w:p>
      <w:pPr>
        <w:pStyle w:val="BodyText"/>
        <w:spacing w:line="273" w:lineRule="auto" w:before="53"/>
        <w:ind w:left="102" w:right="220"/>
        <w:jc w:val="both"/>
      </w:pPr>
      <w:r>
        <w:rPr/>
        <w:br w:type="column"/>
      </w:r>
      <w:r>
        <w:rPr/>
        <w:t>指一种系统性胶原血管病引起进行性的皮肤/血管和内脏器官的弥漫性纤维化。本病症须经专科医生明确诊断，并由活检和血清学证据支持并且疾病已经影响到心脏、肺或肾脏等内脏器官并且达到下列标准之一：</w:t>
      </w:r>
    </w:p>
    <w:p>
      <w:pPr>
        <w:pStyle w:val="BodyText"/>
        <w:spacing w:before="7"/>
        <w:ind w:left="102"/>
      </w:pPr>
      <w:r>
        <w:rPr/>
        <w:t>（1）肺纤维化，已经出现肺动脉高压、肺心病；</w:t>
      </w:r>
    </w:p>
    <w:p>
      <w:pPr>
        <w:pStyle w:val="BodyText"/>
        <w:spacing w:line="273" w:lineRule="auto" w:before="37"/>
        <w:ind w:left="627" w:right="164" w:hanging="526"/>
      </w:pPr>
      <w:r>
        <w:rPr/>
        <w:t>（2）心脏功能损害，心脏功能衰竭程度达到纽约心脏病学会的心功能分级标准之心功能 IV 级；</w:t>
      </w:r>
    </w:p>
    <w:p>
      <w:pPr>
        <w:pStyle w:val="BodyText"/>
        <w:spacing w:line="271" w:lineRule="auto" w:before="8"/>
        <w:ind w:left="102" w:right="2913" w:hanging="1"/>
      </w:pPr>
      <w:r>
        <w:rPr/>
        <w:t>（3）肾脏功能损害，已经出现肾功能衰竭。</w:t>
      </w:r>
      <w:r>
        <w:rPr>
          <w:shd w:fill="DADADA" w:color="auto" w:val="clear"/>
        </w:rPr>
        <w:t>下列疾病不在保障范围内：</w:t>
      </w:r>
    </w:p>
    <w:p>
      <w:pPr>
        <w:pStyle w:val="BodyText"/>
        <w:spacing w:before="10"/>
        <w:ind w:left="102"/>
        <w:jc w:val="both"/>
      </w:pPr>
      <w:r>
        <w:rPr>
          <w:shd w:fill="DADADA" w:color="auto" w:val="clear"/>
        </w:rPr>
        <w:t>（1）局限硬皮病；</w:t>
      </w:r>
    </w:p>
    <w:p>
      <w:pPr>
        <w:pStyle w:val="BodyText"/>
        <w:spacing w:before="37"/>
        <w:ind w:left="102"/>
        <w:jc w:val="both"/>
      </w:pPr>
      <w:r>
        <w:rPr>
          <w:shd w:fill="DADADA" w:color="auto" w:val="clear"/>
        </w:rPr>
        <w:t>（2）嗜酸细胞筋膜炎；</w:t>
      </w:r>
    </w:p>
    <w:p>
      <w:pPr>
        <w:pStyle w:val="BodyText"/>
        <w:spacing w:before="37"/>
        <w:ind w:left="102"/>
        <w:jc w:val="both"/>
      </w:pPr>
      <w:r>
        <w:rPr>
          <w:shd w:fill="DADADA" w:color="auto" w:val="clear"/>
        </w:rPr>
        <w:t>（3）CREST 综合征。</w:t>
      </w:r>
    </w:p>
    <w:p>
      <w:pPr>
        <w:spacing w:after="0"/>
        <w:jc w:val="both"/>
        <w:sectPr>
          <w:type w:val="continuous"/>
          <w:pgSz w:w="11910" w:h="16840"/>
          <w:pgMar w:top="580" w:bottom="280" w:left="1680" w:right="800"/>
          <w:cols w:num="2" w:equalWidth="0">
            <w:col w:w="2227" w:space="88"/>
            <w:col w:w="7115"/>
          </w:cols>
        </w:sectPr>
      </w:pPr>
    </w:p>
    <w:p>
      <w:pPr>
        <w:pStyle w:val="BodyText"/>
        <w:spacing w:before="10"/>
      </w:pPr>
    </w:p>
    <w:p>
      <w:pPr>
        <w:pStyle w:val="Heading4"/>
        <w:tabs>
          <w:tab w:pos="2416" w:val="left" w:leader="none"/>
        </w:tabs>
        <w:spacing w:before="35"/>
        <w:ind w:left="10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9"/>
        <w:rPr>
          <w:b/>
        </w:rPr>
      </w:pPr>
    </w:p>
    <w:p>
      <w:pPr>
        <w:pStyle w:val="BodyText"/>
        <w:tabs>
          <w:tab w:pos="2416" w:val="left" w:leader="none"/>
        </w:tabs>
        <w:spacing w:line="266" w:lineRule="auto" w:before="1"/>
        <w:ind w:left="2416" w:right="220" w:hanging="2315"/>
        <w:jc w:val="both"/>
      </w:pPr>
      <w:r>
        <w:rPr>
          <w:rFonts w:ascii="等线" w:eastAsia="等线" w:hint="eastAsia"/>
          <w:b/>
          <w:position w:val="1"/>
          <w:sz w:val="24"/>
        </w:rPr>
        <w:t>良性脑肿瘤</w:t>
        <w:tab/>
      </w:r>
      <w:r>
        <w:rPr/>
        <w:t>指脑的良性肿瘤，已经引起颅内压增高，临床表现为视神经乳头水肿、精 神症状、癫痫及运动感觉障碍等，并危及生命。须由头颅断层扫描（</w:t>
      </w:r>
      <w:r>
        <w:rPr>
          <w:spacing w:val="-1"/>
        </w:rPr>
        <w:t>C</w:t>
      </w:r>
      <w:r>
        <w:rPr/>
        <w:t>T</w:t>
      </w:r>
      <w:r>
        <w:rPr>
          <w:spacing w:val="-105"/>
        </w:rPr>
        <w:t>）、</w:t>
      </w:r>
      <w:r>
        <w:rPr/>
        <w:t>核磁共振检查（MRI）或正电子发射断层扫描（PET）等影像学检查证实， 并须满足下列至少一项条件：</w:t>
      </w:r>
    </w:p>
    <w:p>
      <w:pPr>
        <w:pStyle w:val="BodyText"/>
        <w:spacing w:before="14"/>
        <w:ind w:left="2416"/>
      </w:pPr>
      <w:r>
        <w:rPr/>
        <w:t>（1）实际实施了开颅进行的脑肿瘤完全切除或部分切除的手术；</w:t>
      </w:r>
    </w:p>
    <w:p>
      <w:pPr>
        <w:spacing w:after="0"/>
        <w:sectPr>
          <w:type w:val="continuous"/>
          <w:pgSz w:w="11910" w:h="16840"/>
          <w:pgMar w:top="580" w:bottom="280" w:left="168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706" w:hRule="atLeast"/>
        </w:trPr>
        <w:tc>
          <w:tcPr>
            <w:tcW w:w="2419" w:type="dxa"/>
          </w:tcPr>
          <w:p>
            <w:pPr>
              <w:pStyle w:val="TableParagraph"/>
              <w:ind w:left="0"/>
              <w:rPr>
                <w:rFonts w:ascii="Times New Roman"/>
                <w:sz w:val="20"/>
              </w:rPr>
            </w:pPr>
          </w:p>
        </w:tc>
        <w:tc>
          <w:tcPr>
            <w:tcW w:w="7187" w:type="dxa"/>
          </w:tcPr>
          <w:p>
            <w:pPr>
              <w:pStyle w:val="TableParagraph"/>
              <w:spacing w:line="210" w:lineRule="exact"/>
              <w:rPr>
                <w:sz w:val="21"/>
              </w:rPr>
            </w:pPr>
            <w:r>
              <w:rPr>
                <w:sz w:val="21"/>
              </w:rPr>
              <w:t>（2）实际实施了对脑肿瘤进行的放射治疗。</w:t>
            </w:r>
          </w:p>
          <w:p>
            <w:pPr>
              <w:pStyle w:val="TableParagraph"/>
              <w:spacing w:before="37"/>
              <w:rPr>
                <w:sz w:val="21"/>
              </w:rPr>
            </w:pPr>
            <w:r>
              <w:rPr>
                <w:sz w:val="21"/>
                <w:shd w:fill="DADADA" w:color="auto" w:val="clear"/>
              </w:rPr>
              <w:t>脑垂体瘤、脑囊肿、脑血管性疾病不在保障范围内。</w:t>
            </w:r>
          </w:p>
        </w:tc>
      </w:tr>
      <w:tr>
        <w:trPr>
          <w:trHeight w:val="2155"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脑炎后遗症或脑膜炎后遗症</w:t>
            </w:r>
          </w:p>
        </w:tc>
        <w:tc>
          <w:tcPr>
            <w:tcW w:w="7187" w:type="dxa"/>
          </w:tcPr>
          <w:p>
            <w:pPr>
              <w:pStyle w:val="TableParagraph"/>
              <w:spacing w:line="273" w:lineRule="auto" w:before="137"/>
              <w:ind w:right="30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21" w:right="244" w:hanging="526"/>
              <w:rPr>
                <w:sz w:val="21"/>
              </w:rPr>
            </w:pPr>
            <w:r>
              <w:rPr>
                <w:sz w:val="21"/>
              </w:rPr>
              <w:t>（3）自主生活能力完全丧失，无法独立完成六项基本日常生活活动中的三项或三项以上。</w:t>
            </w:r>
          </w:p>
        </w:tc>
      </w:tr>
      <w:tr>
        <w:trPr>
          <w:trHeight w:val="1531"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深度昏迷</w:t>
            </w:r>
          </w:p>
        </w:tc>
        <w:tc>
          <w:tcPr>
            <w:tcW w:w="7187" w:type="dxa"/>
          </w:tcPr>
          <w:p>
            <w:pPr>
              <w:pStyle w:val="TableParagraph"/>
              <w:spacing w:line="273" w:lineRule="auto" w:before="136"/>
              <w:ind w:right="301"/>
              <w:jc w:val="both"/>
              <w:rPr>
                <w:sz w:val="21"/>
              </w:rPr>
            </w:pPr>
            <w:r>
              <w:rPr>
                <w:sz w:val="21"/>
              </w:rPr>
              <w:t>指因疾病或意外伤害导致意识丧失，对外界刺激和体内需求均无反应，昏迷程度按照格拉斯哥昏迷分级（Glasgow coma scale）</w:t>
            </w:r>
            <w:r>
              <w:rPr>
                <w:spacing w:val="-10"/>
                <w:sz w:val="21"/>
              </w:rPr>
              <w:t>结果为 </w:t>
            </w:r>
            <w:r>
              <w:rPr>
                <w:sz w:val="21"/>
              </w:rPr>
              <w:t>5</w:t>
            </w:r>
            <w:r>
              <w:rPr>
                <w:spacing w:val="-20"/>
                <w:sz w:val="21"/>
              </w:rPr>
              <w:t> 分或 </w:t>
            </w:r>
            <w:r>
              <w:rPr>
                <w:sz w:val="21"/>
              </w:rPr>
              <w:t>5</w:t>
            </w:r>
            <w:r>
              <w:rPr>
                <w:spacing w:val="-19"/>
                <w:sz w:val="21"/>
              </w:rPr>
              <w:t> 分</w:t>
            </w:r>
            <w:r>
              <w:rPr>
                <w:spacing w:val="-21"/>
                <w:sz w:val="21"/>
              </w:rPr>
              <w:t>以下，且已经持续使用呼吸机及其它生命维持系统 </w:t>
            </w:r>
            <w:r>
              <w:rPr>
                <w:sz w:val="21"/>
              </w:rPr>
              <w:t>96</w:t>
            </w:r>
            <w:r>
              <w:rPr>
                <w:spacing w:val="-10"/>
                <w:sz w:val="21"/>
              </w:rPr>
              <w:t> 小时以上。</w:t>
            </w:r>
          </w:p>
          <w:p>
            <w:pPr>
              <w:pStyle w:val="TableParagraph"/>
              <w:spacing w:before="7"/>
              <w:jc w:val="both"/>
              <w:rPr>
                <w:sz w:val="21"/>
              </w:rPr>
            </w:pPr>
            <w:r>
              <w:rPr>
                <w:sz w:val="21"/>
                <w:shd w:fill="DADADA" w:color="auto" w:val="clear"/>
              </w:rPr>
              <w:t>因酗酒或药物滥用导致的深度昏迷不在保障范围内。</w:t>
            </w:r>
          </w:p>
        </w:tc>
      </w:tr>
      <w:tr>
        <w:trPr>
          <w:trHeight w:val="2156"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严重阿尔茨海默病</w:t>
            </w:r>
          </w:p>
        </w:tc>
        <w:tc>
          <w:tcPr>
            <w:tcW w:w="7187" w:type="dxa"/>
          </w:tcPr>
          <w:p>
            <w:pPr>
              <w:pStyle w:val="TableParagraph"/>
              <w:spacing w:line="273" w:lineRule="auto" w:before="137"/>
              <w:ind w:right="301"/>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等影像学检查证实，且自主生活能力完全丧失，无法独立完成六项基本日常生活活动中的三项或三项以上。</w:t>
            </w:r>
          </w:p>
          <w:p>
            <w:pPr>
              <w:pStyle w:val="TableParagraph"/>
              <w:spacing w:before="7"/>
              <w:jc w:val="both"/>
              <w:rPr>
                <w:sz w:val="21"/>
              </w:rPr>
            </w:pPr>
            <w:r>
              <w:rPr>
                <w:sz w:val="21"/>
                <w:shd w:fill="DADADA" w:color="auto" w:val="clear"/>
              </w:rPr>
              <w:t>神经官能症和精神疾病不在保障范围内。</w:t>
            </w:r>
          </w:p>
        </w:tc>
      </w:tr>
      <w:tr>
        <w:trPr>
          <w:trHeight w:val="1219"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瘫痪</w:t>
            </w:r>
          </w:p>
        </w:tc>
        <w:tc>
          <w:tcPr>
            <w:tcW w:w="7187" w:type="dxa"/>
          </w:tcPr>
          <w:p>
            <w:pPr>
              <w:pStyle w:val="TableParagraph"/>
              <w:spacing w:line="273" w:lineRule="auto" w:before="137"/>
              <w:ind w:right="301"/>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9"/>
                <w:sz w:val="21"/>
              </w:rPr>
              <w:t> 日后或意外伤害发生 </w:t>
            </w:r>
            <w:r>
              <w:rPr>
                <w:sz w:val="21"/>
              </w:rPr>
              <w:t>180</w:t>
            </w:r>
            <w:r>
              <w:rPr>
                <w:spacing w:val="-6"/>
                <w:sz w:val="21"/>
              </w:rPr>
              <w:t> 日后，每肢三大关节中的两大关节仍然完全僵硬，或不能随意识活动。</w:t>
            </w:r>
          </w:p>
        </w:tc>
      </w:tr>
      <w:tr>
        <w:trPr>
          <w:trHeight w:val="2779"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严重的多发性硬化</w:t>
            </w:r>
          </w:p>
        </w:tc>
        <w:tc>
          <w:tcPr>
            <w:tcW w:w="7187" w:type="dxa"/>
          </w:tcPr>
          <w:p>
            <w:pPr>
              <w:pStyle w:val="TableParagraph"/>
              <w:spacing w:line="273" w:lineRule="auto" w:before="136"/>
              <w:ind w:right="197"/>
              <w:rPr>
                <w:sz w:val="21"/>
              </w:rPr>
            </w:pPr>
            <w:r>
              <w:rPr>
                <w:sz w:val="21"/>
              </w:rPr>
              <w:t>指因中枢神经系统脱髓鞘而导致的不可逆的身体部位的功能障碍，需由神</w:t>
            </w:r>
            <w:r>
              <w:rPr>
                <w:spacing w:val="-11"/>
                <w:sz w:val="21"/>
              </w:rPr>
              <w:t>经科专科医生提供明确诊断，并有头颅断层扫描</w:t>
            </w:r>
            <w:r>
              <w:rPr>
                <w:sz w:val="21"/>
              </w:rPr>
              <w:t>（CT</w:t>
            </w:r>
            <w:r>
              <w:rPr>
                <w:spacing w:val="-89"/>
                <w:sz w:val="21"/>
              </w:rPr>
              <w:t>）</w:t>
            </w:r>
            <w:r>
              <w:rPr>
                <w:spacing w:val="-14"/>
                <w:sz w:val="21"/>
              </w:rPr>
              <w:t>或核磁共振检查</w:t>
            </w:r>
            <w:r>
              <w:rPr>
                <w:sz w:val="21"/>
              </w:rPr>
              <w:t>（MRI）结果诊断报告。不可逆的身体部位功能障碍指诊断为功能障碍后需已经持</w:t>
            </w:r>
            <w:r>
              <w:rPr>
                <w:spacing w:val="-28"/>
                <w:sz w:val="21"/>
              </w:rPr>
              <w:t>续 </w:t>
            </w:r>
            <w:r>
              <w:rPr>
                <w:sz w:val="21"/>
              </w:rPr>
              <w:t>180</w:t>
            </w:r>
            <w:r>
              <w:rPr>
                <w:spacing w:val="-12"/>
                <w:sz w:val="21"/>
              </w:rPr>
              <w:t> 日以上。</w:t>
            </w:r>
          </w:p>
          <w:p>
            <w:pPr>
              <w:pStyle w:val="TableParagraph"/>
              <w:spacing w:before="7"/>
              <w:rPr>
                <w:sz w:val="21"/>
              </w:rPr>
            </w:pPr>
            <w:r>
              <w:rPr>
                <w:sz w:val="21"/>
              </w:rPr>
              <w:t>由神经科专科医生提供的明确诊断必须同时包含下列内容：</w:t>
            </w:r>
          </w:p>
          <w:p>
            <w:pPr>
              <w:pStyle w:val="TableParagraph"/>
              <w:spacing w:before="37"/>
              <w:rPr>
                <w:sz w:val="21"/>
              </w:rPr>
            </w:pPr>
            <w:r>
              <w:rPr>
                <w:sz w:val="21"/>
              </w:rPr>
              <w:t>（1）明确出现因视神经、脑干和脊髓损伤而导致的临床表现；</w:t>
            </w:r>
          </w:p>
          <w:p>
            <w:pPr>
              <w:pStyle w:val="TableParagraph"/>
              <w:spacing w:before="37"/>
              <w:rPr>
                <w:sz w:val="21"/>
              </w:rPr>
            </w:pPr>
            <w:r>
              <w:rPr>
                <w:sz w:val="21"/>
              </w:rPr>
              <w:t>（2）神经系统散在的多部位病变；</w:t>
            </w:r>
          </w:p>
          <w:p>
            <w:pPr>
              <w:pStyle w:val="TableParagraph"/>
              <w:spacing w:before="37"/>
              <w:rPr>
                <w:sz w:val="21"/>
              </w:rPr>
            </w:pPr>
            <w:r>
              <w:rPr>
                <w:sz w:val="21"/>
              </w:rPr>
              <w:t>（3）有明确的上述症状及神经损伤反复恶化、减轻的病史纪录。</w:t>
            </w:r>
          </w:p>
        </w:tc>
      </w:tr>
      <w:tr>
        <w:trPr>
          <w:trHeight w:val="2156"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187" w:type="dxa"/>
          </w:tcPr>
          <w:p>
            <w:pPr>
              <w:pStyle w:val="TableParagraph"/>
              <w:spacing w:line="273" w:lineRule="auto" w:before="137"/>
              <w:ind w:right="301"/>
              <w:rPr>
                <w:sz w:val="21"/>
              </w:rPr>
            </w:pPr>
            <w:r>
              <w:rPr>
                <w:sz w:val="21"/>
              </w:rPr>
              <w:t>是一种中枢神经系统的退行性疾病，临床表现为震颤麻痹、共济失调等。须满足下列全部条件：</w:t>
            </w:r>
          </w:p>
          <w:p>
            <w:pPr>
              <w:pStyle w:val="TableParagraph"/>
              <w:spacing w:before="8"/>
              <w:rPr>
                <w:sz w:val="21"/>
              </w:rPr>
            </w:pPr>
            <w:r>
              <w:rPr>
                <w:sz w:val="21"/>
              </w:rPr>
              <w:t>（1）药物治疗无法控制病情；</w:t>
            </w:r>
          </w:p>
          <w:p>
            <w:pPr>
              <w:pStyle w:val="TableParagraph"/>
              <w:spacing w:line="271" w:lineRule="auto" w:before="37"/>
              <w:ind w:left="578" w:right="243" w:hanging="483"/>
              <w:rPr>
                <w:sz w:val="21"/>
              </w:rPr>
            </w:pPr>
            <w:r>
              <w:rPr>
                <w:sz w:val="21"/>
              </w:rPr>
              <w:t>（2）自主生活能力完全丧失，无法独立完成六项基本日常生活活动中的三项或三项以上。</w:t>
            </w:r>
          </w:p>
          <w:p>
            <w:pPr>
              <w:pStyle w:val="TableParagraph"/>
              <w:spacing w:before="9"/>
              <w:rPr>
                <w:sz w:val="21"/>
              </w:rPr>
            </w:pPr>
            <w:r>
              <w:rPr>
                <w:sz w:val="21"/>
                <w:shd w:fill="DADADA" w:color="auto" w:val="clear"/>
              </w:rPr>
              <w:t>继发性帕金森综合征不在保障范围内。</w:t>
            </w:r>
          </w:p>
        </w:tc>
      </w:tr>
      <w:tr>
        <w:trPr>
          <w:trHeight w:val="1348"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严重运动神经元病</w:t>
            </w:r>
          </w:p>
        </w:tc>
        <w:tc>
          <w:tcPr>
            <w:tcW w:w="7187" w:type="dxa"/>
          </w:tcPr>
          <w:p>
            <w:pPr>
              <w:pStyle w:val="TableParagraph"/>
              <w:spacing w:line="310" w:lineRule="atLeast" w:before="102"/>
              <w:ind w:right="30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bl>
    <w:p>
      <w:pPr>
        <w:spacing w:after="0" w:line="310" w:lineRule="atLeast"/>
        <w:jc w:val="both"/>
        <w:rPr>
          <w:sz w:val="21"/>
        </w:rPr>
        <w:sectPr>
          <w:pgSz w:w="11910" w:h="16840"/>
          <w:pgMar w:top="1160" w:bottom="280" w:left="1480" w:right="6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9"/>
        <w:gridCol w:w="7187"/>
      </w:tblGrid>
      <w:tr>
        <w:trPr>
          <w:trHeight w:val="2596" w:hRule="atLeast"/>
        </w:trPr>
        <w:tc>
          <w:tcPr>
            <w:tcW w:w="2419" w:type="dxa"/>
          </w:tcPr>
          <w:p>
            <w:pPr>
              <w:pStyle w:val="TableParagraph"/>
              <w:spacing w:line="248" w:lineRule="exact"/>
              <w:ind w:left="200"/>
              <w:rPr>
                <w:rFonts w:ascii="等线" w:eastAsia="等线" w:hint="eastAsia"/>
                <w:b/>
                <w:sz w:val="24"/>
              </w:rPr>
            </w:pPr>
            <w:r>
              <w:rPr>
                <w:rFonts w:ascii="等线" w:eastAsia="等线" w:hint="eastAsia"/>
                <w:b/>
                <w:sz w:val="24"/>
              </w:rPr>
              <w:t>严重脑损伤</w:t>
            </w:r>
          </w:p>
        </w:tc>
        <w:tc>
          <w:tcPr>
            <w:tcW w:w="7187" w:type="dxa"/>
          </w:tcPr>
          <w:p>
            <w:pPr>
              <w:pStyle w:val="TableParagraph"/>
              <w:spacing w:line="228" w:lineRule="exact"/>
              <w:rPr>
                <w:sz w:val="21"/>
              </w:rPr>
            </w:pPr>
            <w:r>
              <w:rPr>
                <w:sz w:val="21"/>
              </w:rPr>
              <w:t>指因头部遭受机械性外力，引起脑重要部位损伤，导致神经系统永久性的</w:t>
            </w:r>
          </w:p>
          <w:p>
            <w:pPr>
              <w:pStyle w:val="TableParagraph"/>
              <w:spacing w:line="273" w:lineRule="auto" w:before="37"/>
              <w:ind w:right="301"/>
              <w:jc w:val="both"/>
              <w:rPr>
                <w:sz w:val="21"/>
              </w:rPr>
            </w:pPr>
            <w:r>
              <w:rPr>
                <w:sz w:val="21"/>
              </w:rPr>
              <w:t>功能障碍。须由头颅断层扫描</w:t>
            </w:r>
            <w:r>
              <w:rPr>
                <w:spacing w:val="1"/>
                <w:sz w:val="21"/>
              </w:rPr>
              <w:t>（</w:t>
            </w:r>
            <w:r>
              <w:rPr>
                <w:spacing w:val="-1"/>
                <w:sz w:val="21"/>
              </w:rPr>
              <w:t>C</w:t>
            </w:r>
            <w:r>
              <w:rPr>
                <w:spacing w:val="3"/>
                <w:sz w:val="21"/>
              </w:rPr>
              <w:t>T</w:t>
            </w:r>
            <w:r>
              <w:rPr>
                <w:spacing w:val="-105"/>
                <w:sz w:val="21"/>
              </w:rPr>
              <w:t>）</w:t>
            </w:r>
            <w:r>
              <w:rPr>
                <w:sz w:val="21"/>
              </w:rPr>
              <w:t>、核磁共振检查</w:t>
            </w:r>
            <w:r>
              <w:rPr>
                <w:spacing w:val="1"/>
                <w:sz w:val="21"/>
              </w:rPr>
              <w:t>（</w:t>
            </w:r>
            <w:r>
              <w:rPr>
                <w:spacing w:val="-1"/>
                <w:sz w:val="21"/>
              </w:rPr>
              <w:t>M</w:t>
            </w:r>
            <w:r>
              <w:rPr>
                <w:sz w:val="21"/>
              </w:rPr>
              <w:t>R</w:t>
            </w:r>
            <w:r>
              <w:rPr>
                <w:spacing w:val="1"/>
                <w:sz w:val="21"/>
              </w:rPr>
              <w:t>I</w:t>
            </w:r>
            <w:r>
              <w:rPr>
                <w:spacing w:val="0"/>
                <w:sz w:val="21"/>
              </w:rPr>
              <w:t>）</w:t>
            </w:r>
            <w:r>
              <w:rPr>
                <w:sz w:val="21"/>
              </w:rPr>
              <w:t>或正电子发射</w:t>
            </w:r>
            <w:r>
              <w:rPr>
                <w:spacing w:val="-4"/>
                <w:sz w:val="21"/>
              </w:rPr>
              <w:t>断层扫描</w:t>
            </w:r>
            <w:r>
              <w:rPr>
                <w:spacing w:val="-1"/>
                <w:sz w:val="21"/>
              </w:rPr>
              <w:t>（PET）</w:t>
            </w:r>
            <w:r>
              <w:rPr>
                <w:spacing w:val="-3"/>
                <w:sz w:val="21"/>
              </w:rPr>
              <w:t>等影像学检查证实。神经系统永久性的功能障碍，指脑损</w:t>
            </w:r>
            <w:r>
              <w:rPr>
                <w:spacing w:val="-29"/>
                <w:sz w:val="21"/>
              </w:rPr>
              <w:t>伤 </w:t>
            </w:r>
            <w:r>
              <w:rPr>
                <w:sz w:val="21"/>
              </w:rPr>
              <w:t>180</w:t>
            </w:r>
            <w:r>
              <w:rPr>
                <w:spacing w:val="-8"/>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577" w:right="244" w:hanging="483"/>
              <w:rPr>
                <w:sz w:val="21"/>
              </w:rPr>
            </w:pPr>
            <w:r>
              <w:rPr>
                <w:sz w:val="21"/>
              </w:rPr>
              <w:t>（3）自主生活能力完全丧失，无法独立完成六项基本日常生活活动中的三项或三项以上。</w:t>
            </w:r>
          </w:p>
        </w:tc>
      </w:tr>
      <w:tr>
        <w:trPr>
          <w:trHeight w:val="2467"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非阿尔茨海默病所致严重痴呆</w:t>
            </w:r>
          </w:p>
        </w:tc>
        <w:tc>
          <w:tcPr>
            <w:tcW w:w="7187" w:type="dxa"/>
          </w:tcPr>
          <w:p>
            <w:pPr>
              <w:pStyle w:val="TableParagraph"/>
              <w:spacing w:line="273" w:lineRule="auto" w:before="137"/>
              <w:ind w:right="301"/>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经专科医生明确诊断，并且由完整的临床、实验室和影像学检查结果证实。</w:t>
            </w:r>
          </w:p>
          <w:p>
            <w:pPr>
              <w:pStyle w:val="TableParagraph"/>
              <w:spacing w:before="7"/>
              <w:jc w:val="both"/>
              <w:rPr>
                <w:sz w:val="21"/>
              </w:rPr>
            </w:pPr>
            <w:r>
              <w:rPr>
                <w:sz w:val="21"/>
                <w:shd w:fill="DADADA" w:color="auto" w:val="clear"/>
              </w:rPr>
              <w:t>神经官能症、精神疾病及酒精中毒所致脑损害不在保障范围内。</w:t>
            </w:r>
          </w:p>
        </w:tc>
      </w:tr>
      <w:tr>
        <w:trPr>
          <w:trHeight w:val="1540"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植物人状态</w:t>
            </w:r>
          </w:p>
        </w:tc>
        <w:tc>
          <w:tcPr>
            <w:tcW w:w="7187" w:type="dxa"/>
          </w:tcPr>
          <w:p>
            <w:pPr>
              <w:pStyle w:val="TableParagraph"/>
              <w:spacing w:line="273" w:lineRule="auto" w:before="136"/>
              <w:ind w:right="301"/>
              <w:jc w:val="both"/>
              <w:rPr>
                <w:sz w:val="21"/>
              </w:rPr>
            </w:pPr>
            <w:r>
              <w:rPr>
                <w:sz w:val="21"/>
              </w:rPr>
              <w:t>指经专科医师确诊，由于意外事故或疾病所致大脑皮质全面坏死，意识完全丧失，但脑干及脑干以下中枢神经功能仍保持完好，且此情况持续一个月或以上。</w:t>
            </w:r>
          </w:p>
          <w:p>
            <w:pPr>
              <w:pStyle w:val="TableParagraph"/>
              <w:spacing w:before="7"/>
              <w:jc w:val="both"/>
              <w:rPr>
                <w:sz w:val="21"/>
              </w:rPr>
            </w:pPr>
            <w:r>
              <w:rPr>
                <w:sz w:val="21"/>
                <w:shd w:fill="DADADA" w:color="auto" w:val="clear"/>
              </w:rPr>
              <w:t>由于酗酒或滥用药物所致的植物人状态不在保障范围内。</w:t>
            </w:r>
          </w:p>
        </w:tc>
      </w:tr>
      <w:tr>
        <w:trPr>
          <w:trHeight w:val="587" w:hRule="atLeast"/>
        </w:trPr>
        <w:tc>
          <w:tcPr>
            <w:tcW w:w="2419" w:type="dxa"/>
          </w:tcPr>
          <w:p>
            <w:pPr>
              <w:pStyle w:val="TableParagraph"/>
              <w:spacing w:before="128"/>
              <w:ind w:left="200"/>
              <w:rPr>
                <w:b/>
                <w:sz w:val="21"/>
              </w:rPr>
            </w:pPr>
            <w:r>
              <w:rPr>
                <w:b/>
                <w:sz w:val="21"/>
              </w:rPr>
              <w:t>第 5 类：</w:t>
            </w:r>
          </w:p>
        </w:tc>
        <w:tc>
          <w:tcPr>
            <w:tcW w:w="7187" w:type="dxa"/>
          </w:tcPr>
          <w:p>
            <w:pPr>
              <w:pStyle w:val="TableParagraph"/>
              <w:spacing w:before="128"/>
              <w:rPr>
                <w:b/>
                <w:sz w:val="21"/>
              </w:rPr>
            </w:pPr>
            <w:r>
              <w:rPr>
                <w:b/>
                <w:w w:val="95"/>
                <w:sz w:val="21"/>
              </w:rPr>
              <w:t>其他重大疾病</w:t>
            </w:r>
          </w:p>
        </w:tc>
      </w:tr>
      <w:tr>
        <w:trPr>
          <w:trHeight w:val="907" w:hRule="atLeast"/>
        </w:trPr>
        <w:tc>
          <w:tcPr>
            <w:tcW w:w="2419" w:type="dxa"/>
          </w:tcPr>
          <w:p>
            <w:pPr>
              <w:pStyle w:val="TableParagraph"/>
              <w:spacing w:before="105"/>
              <w:ind w:left="200"/>
              <w:rPr>
                <w:rFonts w:ascii="等线" w:eastAsia="等线" w:hint="eastAsia"/>
                <w:b/>
                <w:sz w:val="24"/>
              </w:rPr>
            </w:pPr>
            <w:r>
              <w:rPr>
                <w:rFonts w:ascii="等线" w:eastAsia="等线" w:hint="eastAsia"/>
                <w:b/>
                <w:sz w:val="24"/>
              </w:rPr>
              <w:t>多个肢体缺失</w:t>
            </w:r>
          </w:p>
        </w:tc>
        <w:tc>
          <w:tcPr>
            <w:tcW w:w="7187" w:type="dxa"/>
          </w:tcPr>
          <w:p>
            <w:pPr>
              <w:pStyle w:val="TableParagraph"/>
              <w:spacing w:line="273" w:lineRule="auto" w:before="137"/>
              <w:ind w:right="301"/>
              <w:rPr>
                <w:sz w:val="21"/>
              </w:rPr>
            </w:pPr>
            <w:r>
              <w:rPr>
                <w:sz w:val="21"/>
              </w:rPr>
              <w:t>指因疾病或意外伤害导致两个或两个以上肢体自腕关节或踝关节近端（靠近躯干端）以上完全性断离。</w:t>
            </w:r>
          </w:p>
        </w:tc>
      </w:tr>
      <w:tr>
        <w:trPr>
          <w:trHeight w:val="2467" w:hRule="atLeast"/>
        </w:trPr>
        <w:tc>
          <w:tcPr>
            <w:tcW w:w="2419" w:type="dxa"/>
          </w:tcPr>
          <w:p>
            <w:pPr>
              <w:pStyle w:val="TableParagraph"/>
              <w:spacing w:before="104"/>
              <w:ind w:left="200"/>
              <w:rPr>
                <w:rFonts w:ascii="等线" w:eastAsia="等线" w:hint="eastAsia"/>
                <w:b/>
                <w:sz w:val="24"/>
              </w:rPr>
            </w:pPr>
            <w:r>
              <w:rPr>
                <w:rFonts w:ascii="等线" w:eastAsia="等线" w:hint="eastAsia"/>
                <w:b/>
                <w:sz w:val="24"/>
              </w:rPr>
              <w:t>严重的 1 型糖尿病</w:t>
            </w:r>
          </w:p>
        </w:tc>
        <w:tc>
          <w:tcPr>
            <w:tcW w:w="7187" w:type="dxa"/>
          </w:tcPr>
          <w:p>
            <w:pPr>
              <w:pStyle w:val="TableParagraph"/>
              <w:spacing w:line="273" w:lineRule="auto" w:before="136"/>
              <w:ind w:right="300"/>
              <w:jc w:val="both"/>
              <w:rPr>
                <w:sz w:val="21"/>
              </w:rPr>
            </w:pPr>
            <w:r>
              <w:rPr>
                <w:sz w:val="21"/>
              </w:rPr>
              <w:t>指由于胰岛素分泌绝对不足引起的慢性血糖升高，且已经持续性地依赖外</w:t>
            </w:r>
            <w:r>
              <w:rPr>
                <w:spacing w:val="-6"/>
                <w:sz w:val="21"/>
              </w:rPr>
              <w:t>源性胰岛素维持 </w:t>
            </w:r>
            <w:r>
              <w:rPr>
                <w:sz w:val="21"/>
              </w:rPr>
              <w:t>180</w:t>
            </w:r>
            <w:r>
              <w:rPr>
                <w:spacing w:val="-10"/>
                <w:sz w:val="21"/>
              </w:rPr>
              <w:t> 日以上。须经血胰岛素测定、血 </w:t>
            </w:r>
            <w:r>
              <w:rPr>
                <w:sz w:val="21"/>
              </w:rPr>
              <w:t>C</w:t>
            </w:r>
            <w:r>
              <w:rPr>
                <w:spacing w:val="-13"/>
                <w:sz w:val="21"/>
              </w:rPr>
              <w:t> 肽测定或尿 </w:t>
            </w:r>
            <w:r>
              <w:rPr>
                <w:sz w:val="21"/>
              </w:rPr>
              <w:t>C</w:t>
            </w:r>
            <w:r>
              <w:rPr>
                <w:spacing w:val="-14"/>
                <w:sz w:val="21"/>
              </w:rPr>
              <w:t> 肽测定，结果异常，并由内分泌科专科医生明确诊断。并须在本附加险合同保</w:t>
            </w:r>
            <w:r>
              <w:rPr>
                <w:spacing w:val="-18"/>
                <w:sz w:val="21"/>
              </w:rPr>
              <w:t>险期间内，满足下述至少 </w:t>
            </w:r>
            <w:r>
              <w:rPr>
                <w:sz w:val="21"/>
              </w:rPr>
              <w:t>1</w:t>
            </w:r>
            <w:r>
              <w:rPr>
                <w:spacing w:val="-12"/>
                <w:sz w:val="21"/>
              </w:rPr>
              <w:t> 个条件：</w:t>
            </w:r>
          </w:p>
          <w:p>
            <w:pPr>
              <w:pStyle w:val="TableParagraph"/>
              <w:spacing w:before="7"/>
              <w:jc w:val="both"/>
              <w:rPr>
                <w:sz w:val="21"/>
              </w:rPr>
            </w:pPr>
            <w:r>
              <w:rPr>
                <w:sz w:val="21"/>
              </w:rPr>
              <w:t>（1）已出现增殖性视网膜病变；</w:t>
            </w:r>
          </w:p>
          <w:p>
            <w:pPr>
              <w:pStyle w:val="TableParagraph"/>
              <w:spacing w:before="37"/>
              <w:jc w:val="both"/>
              <w:rPr>
                <w:sz w:val="21"/>
              </w:rPr>
            </w:pPr>
            <w:r>
              <w:rPr>
                <w:sz w:val="21"/>
              </w:rPr>
              <w:t>（2）须植入心脏起搏器治疗心脏病；</w:t>
            </w:r>
          </w:p>
          <w:p>
            <w:pPr>
              <w:pStyle w:val="TableParagraph"/>
              <w:spacing w:before="37"/>
              <w:jc w:val="both"/>
              <w:rPr>
                <w:sz w:val="21"/>
              </w:rPr>
            </w:pPr>
            <w:r>
              <w:rPr>
                <w:sz w:val="21"/>
              </w:rPr>
              <w:t>（3）因坏疽需切除至少一个脚趾。</w:t>
            </w:r>
          </w:p>
        </w:tc>
      </w:tr>
      <w:tr>
        <w:trPr>
          <w:trHeight w:val="908" w:hRule="atLeast"/>
        </w:trPr>
        <w:tc>
          <w:tcPr>
            <w:tcW w:w="2419" w:type="dxa"/>
          </w:tcPr>
          <w:p>
            <w:pPr>
              <w:pStyle w:val="TableParagraph"/>
              <w:spacing w:before="104"/>
              <w:ind w:left="200"/>
              <w:rPr>
                <w:rFonts w:ascii="等线" w:hAnsi="等线" w:eastAsia="等线" w:hint="eastAsia"/>
                <w:b/>
                <w:sz w:val="24"/>
              </w:rPr>
            </w:pPr>
            <w:r>
              <w:rPr>
                <w:rFonts w:ascii="等线" w:hAnsi="等线" w:eastAsia="等线" w:hint="eastAsia"/>
                <w:b/>
                <w:sz w:val="24"/>
              </w:rPr>
              <w:t>严重Ⅲ度烧伤</w:t>
            </w:r>
          </w:p>
        </w:tc>
        <w:tc>
          <w:tcPr>
            <w:tcW w:w="7187" w:type="dxa"/>
          </w:tcPr>
          <w:p>
            <w:pPr>
              <w:pStyle w:val="TableParagraph"/>
              <w:spacing w:line="273" w:lineRule="auto" w:before="137"/>
              <w:ind w:right="157"/>
              <w:rPr>
                <w:sz w:val="21"/>
              </w:rPr>
            </w:pPr>
            <w:r>
              <w:rPr>
                <w:sz w:val="21"/>
              </w:rPr>
              <w:t>指烧伤程度为Ⅲ度，且Ⅲ度烧伤的面积达到全身体表面积的20%或20%以上。体表面积根据《中国新九分法》计算。</w:t>
            </w:r>
          </w:p>
        </w:tc>
      </w:tr>
      <w:tr>
        <w:trPr>
          <w:trHeight w:val="2908" w:hRule="atLeast"/>
        </w:trPr>
        <w:tc>
          <w:tcPr>
            <w:tcW w:w="2419" w:type="dxa"/>
          </w:tcPr>
          <w:p>
            <w:pPr>
              <w:pStyle w:val="TableParagraph"/>
              <w:spacing w:line="232" w:lineRule="auto" w:before="114"/>
              <w:ind w:left="200" w:right="94"/>
              <w:rPr>
                <w:rFonts w:ascii="等线" w:eastAsia="等线" w:hint="eastAsia"/>
                <w:b/>
                <w:sz w:val="24"/>
              </w:rPr>
            </w:pPr>
            <w:r>
              <w:rPr>
                <w:rFonts w:ascii="等线" w:eastAsia="等线" w:hint="eastAsia"/>
                <w:b/>
                <w:sz w:val="24"/>
              </w:rPr>
              <w:t>严重类风湿性关节炎</w:t>
            </w:r>
          </w:p>
        </w:tc>
        <w:tc>
          <w:tcPr>
            <w:tcW w:w="7187" w:type="dxa"/>
          </w:tcPr>
          <w:p>
            <w:pPr>
              <w:pStyle w:val="TableParagraph"/>
              <w:spacing w:line="273" w:lineRule="auto" w:before="137"/>
              <w:ind w:right="299"/>
              <w:jc w:val="both"/>
              <w:rPr>
                <w:sz w:val="21"/>
              </w:rPr>
            </w:pPr>
            <w:r>
              <w:rPr>
                <w:sz w:val="21"/>
              </w:rPr>
              <w:t>指广泛分布的慢性进行性多关节病变，表现为关节严重变形，侵犯至少三个主要关节或关节组，[如:双手（多手指）关节、双足（多足趾）关节、</w:t>
            </w:r>
            <w:r>
              <w:rPr>
                <w:spacing w:val="-5"/>
                <w:sz w:val="21"/>
              </w:rPr>
              <w:t>双腕关节、双膝关节和双髋关节]。被保人所患的类风湿性关节炎必须明确</w:t>
            </w:r>
            <w:r>
              <w:rPr>
                <w:spacing w:val="-4"/>
                <w:sz w:val="21"/>
              </w:rPr>
              <w:t>诊断并且已经达到类风湿性关节炎功能分级</w:t>
            </w:r>
            <w:r>
              <w:rPr>
                <w:sz w:val="21"/>
              </w:rPr>
              <w:t>IV</w:t>
            </w:r>
            <w:r>
              <w:rPr>
                <w:spacing w:val="-9"/>
                <w:sz w:val="21"/>
              </w:rPr>
              <w:t> 级的永久不可逆性关节功能障碍（生活不能自理，且丧失工作能力）并须满足下列全部条件：</w:t>
            </w:r>
          </w:p>
          <w:p>
            <w:pPr>
              <w:pStyle w:val="TableParagraph"/>
              <w:spacing w:before="7"/>
              <w:jc w:val="both"/>
              <w:rPr>
                <w:sz w:val="21"/>
              </w:rPr>
            </w:pPr>
            <w:r>
              <w:rPr>
                <w:sz w:val="21"/>
              </w:rPr>
              <w:t>（1）晨僵；</w:t>
            </w:r>
          </w:p>
          <w:p>
            <w:pPr>
              <w:pStyle w:val="TableParagraph"/>
              <w:spacing w:before="36"/>
              <w:jc w:val="both"/>
              <w:rPr>
                <w:sz w:val="21"/>
              </w:rPr>
            </w:pPr>
            <w:r>
              <w:rPr>
                <w:sz w:val="21"/>
              </w:rPr>
              <w:t>（2）对称性关节炎；</w:t>
            </w:r>
          </w:p>
          <w:p>
            <w:pPr>
              <w:pStyle w:val="TableParagraph"/>
              <w:spacing w:before="36"/>
              <w:jc w:val="both"/>
              <w:rPr>
                <w:sz w:val="21"/>
              </w:rPr>
            </w:pPr>
            <w:r>
              <w:rPr>
                <w:sz w:val="21"/>
              </w:rPr>
              <w:t>（3）类风湿性皮下结节；</w:t>
            </w:r>
          </w:p>
          <w:p>
            <w:pPr>
              <w:pStyle w:val="TableParagraph"/>
              <w:spacing w:line="255" w:lineRule="exact" w:before="36"/>
              <w:jc w:val="both"/>
              <w:rPr>
                <w:sz w:val="21"/>
              </w:rPr>
            </w:pPr>
            <w:r>
              <w:rPr>
                <w:sz w:val="21"/>
              </w:rPr>
              <w:t>（4）类风湿因子滴度升高；</w:t>
            </w:r>
          </w:p>
        </w:tc>
      </w:tr>
    </w:tbl>
    <w:p>
      <w:pPr>
        <w:spacing w:after="0" w:line="255" w:lineRule="exact"/>
        <w:jc w:val="both"/>
        <w:rPr>
          <w:sz w:val="21"/>
        </w:rPr>
        <w:sectPr>
          <w:pgSz w:w="11910" w:h="16840"/>
          <w:pgMar w:top="1140" w:bottom="280" w:left="1480" w:right="600"/>
        </w:sectPr>
      </w:pPr>
    </w:p>
    <w:p>
      <w:pPr>
        <w:pStyle w:val="BodyText"/>
        <w:spacing w:line="273" w:lineRule="auto" w:before="20"/>
        <w:ind w:left="3296" w:right="1641"/>
      </w:pPr>
      <w:r>
        <w:rPr/>
        <w:t>（5）X 线显示严重的关节（软骨和骨）破坏和关节畸形。类风湿性关节炎功能分级标准：</w:t>
      </w:r>
    </w:p>
    <w:p>
      <w:pPr>
        <w:pStyle w:val="BodyText"/>
        <w:spacing w:before="7"/>
        <w:ind w:left="3296"/>
      </w:pPr>
      <w:r>
        <w:rPr>
          <w:spacing w:val="-1"/>
        </w:rPr>
        <w:t>Ⅰ级 胜任日常生活各项活动</w:t>
      </w:r>
      <w:r>
        <w:rPr/>
        <w:t>（包括生活自理，职业和非职业活动</w:t>
      </w:r>
      <w:r>
        <w:rPr>
          <w:spacing w:val="-105"/>
        </w:rPr>
        <w:t>）</w:t>
      </w:r>
      <w:r>
        <w:rPr/>
        <w:t>；</w:t>
      </w:r>
    </w:p>
    <w:p>
      <w:pPr>
        <w:pStyle w:val="BodyText"/>
        <w:spacing w:before="37"/>
        <w:ind w:left="3296"/>
      </w:pPr>
      <w:r>
        <w:rPr/>
        <w:t>Ⅱ级 生活自理和工作，非职业活动受限；</w:t>
      </w:r>
    </w:p>
    <w:p>
      <w:pPr>
        <w:pStyle w:val="BodyText"/>
        <w:spacing w:before="37"/>
        <w:ind w:left="3296"/>
      </w:pPr>
      <w:r>
        <w:rPr/>
        <w:t>Ⅲ级 生活自理和工作，职业和非职业活动受限；</w:t>
      </w:r>
    </w:p>
    <w:p>
      <w:pPr>
        <w:pStyle w:val="BodyText"/>
        <w:spacing w:before="37"/>
        <w:ind w:left="3296"/>
      </w:pPr>
      <w:r>
        <w:rPr/>
        <w:t>Ⅳ级 生活不能自理，且丧失工作能力。</w:t>
      </w:r>
    </w:p>
    <w:p>
      <w:pPr>
        <w:pStyle w:val="BodyText"/>
        <w:spacing w:before="10"/>
      </w:pPr>
    </w:p>
    <w:p>
      <w:pPr>
        <w:pStyle w:val="BodyText"/>
        <w:tabs>
          <w:tab w:pos="3296" w:val="left" w:leader="none"/>
        </w:tabs>
        <w:spacing w:line="264" w:lineRule="auto"/>
        <w:ind w:left="3296" w:right="220" w:hanging="2315"/>
        <w:jc w:val="both"/>
      </w:pPr>
      <w:r>
        <w:rPr>
          <w:rFonts w:ascii="等线" w:eastAsia="等线" w:hint="eastAsia"/>
          <w:b/>
          <w:position w:val="1"/>
          <w:sz w:val="24"/>
        </w:rPr>
        <w:t>象皮病</w:t>
        <w:tab/>
      </w:r>
      <w:r>
        <w:rPr/>
        <w:t>指末期丝虫病，已经到达国际淋巴学会分级为三度淋巴水肿，其临床表现 为肢体非凹陷性水肿伴畸形增大、硬皮症和疣状增生。此病症须经专科医生根据临床表现和微丝蚴的化验结果确诊。</w:t>
      </w:r>
    </w:p>
    <w:p>
      <w:pPr>
        <w:pStyle w:val="BodyText"/>
        <w:spacing w:before="10"/>
        <w:rPr>
          <w:sz w:val="18"/>
        </w:rPr>
      </w:pPr>
    </w:p>
    <w:p>
      <w:pPr>
        <w:spacing w:after="0"/>
        <w:rPr>
          <w:sz w:val="18"/>
        </w:rPr>
        <w:sectPr>
          <w:pgSz w:w="11910" w:h="16840"/>
          <w:pgMar w:top="1080" w:bottom="280" w:left="800" w:right="800"/>
        </w:sectPr>
      </w:pPr>
    </w:p>
    <w:p>
      <w:pPr>
        <w:pStyle w:val="Heading2"/>
        <w:spacing w:line="232" w:lineRule="auto" w:before="31"/>
        <w:ind w:left="981"/>
      </w:pPr>
      <w:r>
        <w:rPr/>
        <w:t>经输血导致的艾滋病病毒感染</w:t>
      </w:r>
    </w:p>
    <w:p>
      <w:pPr>
        <w:pStyle w:val="BodyText"/>
        <w:spacing w:line="273" w:lineRule="auto" w:before="53"/>
        <w:ind w:left="150" w:right="163"/>
      </w:pPr>
      <w:r>
        <w:rPr/>
        <w:br w:type="column"/>
      </w:r>
      <w:r>
        <w:rPr/>
        <w:t>指被保险人因输血而感染上人类免疫缺陷病毒（HIV），必须满足以下全部条件：</w:t>
      </w:r>
    </w:p>
    <w:p>
      <w:pPr>
        <w:pStyle w:val="BodyText"/>
        <w:spacing w:before="7"/>
        <w:ind w:left="150"/>
      </w:pPr>
      <w:r>
        <w:rPr/>
        <w:t>（1）在保障起始日或复效日之后，被保险人因输血而感染 HIV；</w:t>
      </w:r>
    </w:p>
    <w:p>
      <w:pPr>
        <w:pStyle w:val="BodyText"/>
        <w:spacing w:line="273" w:lineRule="auto" w:before="37"/>
        <w:ind w:left="676" w:right="163" w:hanging="526"/>
      </w:pPr>
      <w:r>
        <w:rPr/>
        <w:t>（2）提供输血治疗的输血中心或医院出具该项输血感染属医疗责任事故的报告，或者法院终审裁定为医疗责任；</w:t>
      </w:r>
    </w:p>
    <w:p>
      <w:pPr>
        <w:pStyle w:val="BodyText"/>
        <w:spacing w:before="8"/>
        <w:ind w:left="150"/>
      </w:pPr>
      <w:r>
        <w:rPr/>
        <w:t>（3）受感染的被保险人不是血友病患者。</w:t>
      </w:r>
    </w:p>
    <w:p>
      <w:pPr>
        <w:pStyle w:val="BodyText"/>
        <w:spacing w:line="273" w:lineRule="auto" w:before="37"/>
        <w:ind w:left="150" w:right="220"/>
        <w:jc w:val="both"/>
      </w:pPr>
      <w:r>
        <w:rPr>
          <w:shd w:fill="DADADA" w:color="auto" w:val="clear"/>
        </w:rPr>
        <w:t>任何因其他传播方式（包括：性传播或静脉注射毒品）</w:t>
      </w:r>
      <w:r>
        <w:rPr>
          <w:spacing w:val="-6"/>
          <w:shd w:fill="DADADA" w:color="auto" w:val="clear"/>
        </w:rPr>
        <w:t>导致的 </w:t>
      </w:r>
      <w:r>
        <w:rPr>
          <w:shd w:fill="DADADA" w:color="auto" w:val="clear"/>
        </w:rPr>
        <w:t>HIV</w:t>
      </w:r>
      <w:r>
        <w:rPr>
          <w:spacing w:val="-6"/>
          <w:shd w:fill="DADADA" w:color="auto" w:val="clear"/>
        </w:rPr>
        <w:t> 感染不</w:t>
      </w:r>
      <w:r>
        <w:rPr>
          <w:spacing w:val="-210"/>
          <w:shd w:fill="DADADA" w:color="auto" w:val="clear"/>
        </w:rPr>
        <w:t>在</w:t>
      </w:r>
      <w:r>
        <w:rPr>
          <w:shd w:fill="DADADA" w:color="auto" w:val="clear"/>
        </w:rPr>
        <w:t>保障范围内。</w:t>
      </w:r>
      <w:r>
        <w:rPr/>
        <w:t>本公司具有获得使用被保险人的所有血液样本的权利和能 够对这些样本进行独立检验的权利。</w:t>
      </w:r>
    </w:p>
    <w:p>
      <w:pPr>
        <w:spacing w:after="0" w:line="273" w:lineRule="auto"/>
        <w:jc w:val="both"/>
        <w:sectPr>
          <w:type w:val="continuous"/>
          <w:pgSz w:w="11910" w:h="16840"/>
          <w:pgMar w:top="580" w:bottom="280" w:left="800" w:right="800"/>
          <w:cols w:num="2" w:equalWidth="0">
            <w:col w:w="3107" w:space="40"/>
            <w:col w:w="7163"/>
          </w:cols>
        </w:sectPr>
      </w:pPr>
    </w:p>
    <w:p>
      <w:pPr>
        <w:pStyle w:val="BodyText"/>
        <w:spacing w:before="3"/>
        <w:rPr>
          <w:sz w:val="18"/>
        </w:rPr>
      </w:pPr>
    </w:p>
    <w:p>
      <w:pPr>
        <w:pStyle w:val="BodyText"/>
        <w:tabs>
          <w:tab w:pos="3296" w:val="left" w:leader="none"/>
        </w:tabs>
        <w:spacing w:line="254" w:lineRule="auto" w:before="17"/>
        <w:ind w:left="3296" w:right="220" w:hanging="2315"/>
      </w:pPr>
      <w:r>
        <w:rPr>
          <w:rFonts w:ascii="等线" w:eastAsia="等线" w:hint="eastAsia"/>
          <w:b/>
          <w:position w:val="1"/>
          <w:sz w:val="24"/>
        </w:rPr>
        <w:t>严重ft营养不良症</w:t>
        <w:tab/>
      </w:r>
      <w:r>
        <w:rPr/>
        <w:t>指一组原发于肌肉的疾病，临床表现为与神经系统无关的肌肉无力和肌肉 萎缩。且须满足下列全部条件：</w:t>
      </w:r>
    </w:p>
    <w:p>
      <w:pPr>
        <w:pStyle w:val="BodyText"/>
        <w:spacing w:line="273" w:lineRule="auto" w:before="24"/>
        <w:ind w:left="3822" w:right="164" w:hanging="526"/>
      </w:pPr>
      <w:r>
        <w:rPr/>
        <w:t>（1）肌肉组织活检结果满足肌营养不良症的肌肉细胞变性、坏死等阳性改变；</w:t>
      </w:r>
    </w:p>
    <w:p>
      <w:pPr>
        <w:pStyle w:val="BodyText"/>
        <w:spacing w:line="273" w:lineRule="auto" w:before="7"/>
        <w:ind w:left="3822" w:right="164" w:hanging="526"/>
      </w:pPr>
      <w:r>
        <w:rPr/>
        <w:t>（2）自主生活能力完全丧失，无法独立完成六项基本日常生活活动中的三项或三项以上。</w:t>
      </w:r>
    </w:p>
    <w:p>
      <w:pPr>
        <w:pStyle w:val="BodyText"/>
        <w:rPr>
          <w:sz w:val="20"/>
        </w:rPr>
      </w:pPr>
    </w:p>
    <w:p>
      <w:pPr>
        <w:pStyle w:val="Heading2"/>
        <w:tabs>
          <w:tab w:pos="981" w:val="left" w:leader="none"/>
        </w:tabs>
        <w:spacing w:before="161"/>
        <w:ind w:left="314"/>
        <w:rPr>
          <w:rFonts w:ascii="宋体" w:hAnsi="宋体" w:eastAsia="宋体" w:hint="eastAsia"/>
        </w:rPr>
      </w:pPr>
      <w:r>
        <w:rPr/>
        <w:pict>
          <v:group style="position:absolute;margin-left:45.66pt;margin-top:36.149769pt;width:503.95pt;height:1pt;mso-position-horizontal-relative:page;mso-position-vertical-relative:paragraph;z-index:1432;mso-wrap-distance-left:0;mso-wrap-distance-right:0" coordorigin="913,723" coordsize="10079,20">
            <v:line style="position:absolute" from="913,733" to="1674,733" stroked="true" strokeweight=".96pt" strokecolor="#000000">
              <v:stroke dashstyle="solid"/>
            </v:line>
            <v:rect style="position:absolute;left:1674;top:722;width:20;height:20" filled="true" fillcolor="#000000" stroked="false">
              <v:fill type="solid"/>
            </v:rect>
            <v:line style="position:absolute" from="1693,733" to="3989,733" stroked="true" strokeweight=".96pt" strokecolor="#000000">
              <v:stroke dashstyle="solid"/>
            </v:line>
            <v:rect style="position:absolute;left:3988;top:722;width:20;height:20" filled="true" fillcolor="#000000" stroked="false">
              <v:fill type="solid"/>
            </v:rect>
            <v:line style="position:absolute" from="4008,733" to="10992,7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特定轻度重疾释义</w:t>
      </w:r>
    </w:p>
    <w:p>
      <w:pPr>
        <w:pStyle w:val="BodyText"/>
        <w:spacing w:before="1"/>
        <w:rPr>
          <w:b/>
          <w:sz w:val="14"/>
        </w:rPr>
      </w:pPr>
    </w:p>
    <w:p>
      <w:pPr>
        <w:pStyle w:val="Heading4"/>
        <w:tabs>
          <w:tab w:pos="3296" w:val="left" w:leader="none"/>
        </w:tabs>
        <w:spacing w:before="35"/>
        <w:ind w:left="981"/>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1</w:t>
      </w:r>
      <w:r>
        <w:rPr>
          <w:rFonts w:ascii="宋体" w:eastAsia="宋体" w:hint="eastAsia"/>
          <w:spacing w:val="-54"/>
        </w:rPr>
        <w:t> </w:t>
      </w:r>
      <w:r>
        <w:rPr>
          <w:rFonts w:ascii="宋体" w:eastAsia="宋体" w:hint="eastAsia"/>
        </w:rPr>
        <w:t>类：</w:t>
        <w:tab/>
      </w:r>
      <w:r>
        <w:rPr>
          <w:rFonts w:ascii="宋体" w:eastAsia="宋体" w:hint="eastAsia"/>
          <w:w w:val="95"/>
        </w:rPr>
        <w:t>与恶性肿瘤相关的疾病</w:t>
      </w:r>
    </w:p>
    <w:p>
      <w:pPr>
        <w:pStyle w:val="BodyText"/>
        <w:spacing w:before="4"/>
        <w:rPr>
          <w:b/>
          <w:sz w:val="22"/>
        </w:rPr>
      </w:pPr>
    </w:p>
    <w:p>
      <w:pPr>
        <w:pStyle w:val="BodyText"/>
        <w:tabs>
          <w:tab w:pos="3296" w:val="left" w:leader="none"/>
        </w:tabs>
        <w:spacing w:line="321" w:lineRule="exact"/>
        <w:ind w:left="981"/>
      </w:pPr>
      <w:r>
        <w:rPr>
          <w:rFonts w:ascii="等线" w:eastAsia="等线" w:hint="eastAsia"/>
          <w:b/>
          <w:position w:val="-2"/>
          <w:sz w:val="24"/>
        </w:rPr>
        <w:t>早期恶性病变</w:t>
        <w:tab/>
      </w:r>
      <w:r>
        <w:rPr/>
        <w:t>指经组织病理学检查被明确诊断为下列恶性病变</w:t>
      </w:r>
      <w:r>
        <w:rPr>
          <w:spacing w:val="-39"/>
        </w:rPr>
        <w:t>，</w:t>
      </w:r>
      <w:r>
        <w:rPr/>
        <w:t>并且接受了相应的治疗。</w:t>
      </w:r>
    </w:p>
    <w:p>
      <w:pPr>
        <w:pStyle w:val="BodyText"/>
        <w:spacing w:line="265" w:lineRule="exact"/>
        <w:ind w:left="3296"/>
      </w:pPr>
      <w:r>
        <w:rPr/>
        <w:t>（1）相当于Binet 分期方案 A 期程度的慢性淋巴细胞白血病；</w:t>
      </w:r>
    </w:p>
    <w:p>
      <w:pPr>
        <w:pStyle w:val="BodyText"/>
        <w:spacing w:before="37"/>
        <w:ind w:left="3297"/>
      </w:pPr>
      <w:r>
        <w:rPr/>
        <w:t>（2）相当于Ann Arbor 分期方案 I 期程度的何杰金氏病；</w:t>
      </w:r>
    </w:p>
    <w:p>
      <w:pPr>
        <w:pStyle w:val="BodyText"/>
        <w:spacing w:before="36"/>
        <w:ind w:left="3297"/>
      </w:pPr>
      <w:r>
        <w:rPr>
          <w:position w:val="1"/>
        </w:rPr>
        <w:t>（3）TNM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5"/>
        <w:rPr>
          <w:sz w:val="24"/>
        </w:rPr>
      </w:pPr>
    </w:p>
    <w:p>
      <w:pPr>
        <w:pStyle w:val="BodyText"/>
        <w:tabs>
          <w:tab w:pos="3296" w:val="left" w:leader="none"/>
        </w:tabs>
        <w:spacing w:line="321" w:lineRule="exact"/>
        <w:ind w:left="981"/>
      </w:pPr>
      <w:r>
        <w:rPr>
          <w:rFonts w:ascii="等线" w:eastAsia="等线" w:hint="eastAsia"/>
          <w:b/>
          <w:position w:val="-2"/>
          <w:sz w:val="24"/>
        </w:rPr>
        <w:t>原位癌</w:t>
        <w:tab/>
      </w:r>
      <w:r>
        <w:rPr/>
        <w:t>指恶性肿瘤细胞未穿透基底膜的原位无浸润的恶性肿瘤。</w:t>
      </w:r>
    </w:p>
    <w:p>
      <w:pPr>
        <w:pStyle w:val="BodyText"/>
        <w:spacing w:line="273" w:lineRule="auto"/>
        <w:ind w:left="3296" w:right="220"/>
      </w:pPr>
      <w:r>
        <w:rPr>
          <w:shd w:fill="DADADA" w:color="auto" w:val="clear"/>
        </w:rPr>
        <w:t>诊断需以固定组织标本的病理组织学检查结果为依据，任何组织涂片和穿刺活检结果均不能作为诊断依据。</w:t>
      </w:r>
    </w:p>
    <w:p>
      <w:pPr>
        <w:pStyle w:val="BodyText"/>
        <w:spacing w:before="5"/>
        <w:rPr>
          <w:sz w:val="24"/>
        </w:rPr>
      </w:pPr>
    </w:p>
    <w:p>
      <w:pPr>
        <w:pStyle w:val="BodyText"/>
        <w:tabs>
          <w:tab w:pos="3296" w:val="left" w:leader="none"/>
        </w:tabs>
        <w:spacing w:line="225" w:lineRule="auto" w:before="1"/>
        <w:ind w:left="3296" w:right="220" w:hanging="2315"/>
      </w:pPr>
      <w:r>
        <w:rPr>
          <w:rFonts w:ascii="等线" w:eastAsia="等线" w:hint="eastAsia"/>
          <w:b/>
          <w:position w:val="-2"/>
          <w:sz w:val="24"/>
        </w:rPr>
        <w:t>皮肤癌</w:t>
        <w:tab/>
      </w:r>
      <w:r>
        <w:rPr/>
        <w:t>指皮肤表皮发生的恶性肿瘤。皮肤癌的诊断必须由专科医生诊断并且经病 理学检查结果确诊。</w:t>
      </w:r>
    </w:p>
    <w:p>
      <w:pPr>
        <w:pStyle w:val="BodyText"/>
        <w:spacing w:before="37"/>
        <w:ind w:left="3296"/>
      </w:pPr>
      <w:r>
        <w:rPr>
          <w:shd w:fill="DADADA" w:color="auto" w:val="clear"/>
        </w:rPr>
        <w:t>恶性黑色素瘤及已发生转移的皮肤癌不在保障范围内。</w:t>
      </w:r>
    </w:p>
    <w:p>
      <w:pPr>
        <w:spacing w:after="0"/>
        <w:sectPr>
          <w:type w:val="continuous"/>
          <w:pgSz w:w="11910" w:h="16840"/>
          <w:pgMar w:top="58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3"/>
        <w:gridCol w:w="2394"/>
        <w:gridCol w:w="6972"/>
      </w:tblGrid>
      <w:tr>
        <w:trPr>
          <w:trHeight w:val="419" w:hRule="atLeast"/>
        </w:trPr>
        <w:tc>
          <w:tcPr>
            <w:tcW w:w="713" w:type="dxa"/>
          </w:tcPr>
          <w:p>
            <w:pPr>
              <w:pStyle w:val="TableParagraph"/>
              <w:ind w:left="0"/>
              <w:rPr>
                <w:rFonts w:ascii="Times New Roman"/>
                <w:sz w:val="20"/>
              </w:rPr>
            </w:pPr>
          </w:p>
        </w:tc>
        <w:tc>
          <w:tcPr>
            <w:tcW w:w="2394" w:type="dxa"/>
          </w:tcPr>
          <w:p>
            <w:pPr>
              <w:pStyle w:val="TableParagraph"/>
              <w:spacing w:line="235" w:lineRule="exact"/>
              <w:ind w:left="155"/>
              <w:rPr>
                <w:b/>
                <w:sz w:val="21"/>
              </w:rPr>
            </w:pPr>
            <w:r>
              <w:rPr>
                <w:b/>
                <w:sz w:val="21"/>
              </w:rPr>
              <w:t>第 2 类：</w:t>
            </w:r>
          </w:p>
        </w:tc>
        <w:tc>
          <w:tcPr>
            <w:tcW w:w="6972" w:type="dxa"/>
          </w:tcPr>
          <w:p>
            <w:pPr>
              <w:pStyle w:val="TableParagraph"/>
              <w:spacing w:line="210" w:lineRule="exact"/>
              <w:ind w:left="76"/>
              <w:rPr>
                <w:b/>
                <w:sz w:val="21"/>
              </w:rPr>
            </w:pPr>
            <w:r>
              <w:rPr>
                <w:b/>
                <w:w w:val="95"/>
                <w:sz w:val="21"/>
              </w:rPr>
              <w:t>与心脏或脑血管相关的疾病</w:t>
            </w:r>
          </w:p>
        </w:tc>
      </w:tr>
      <w:tr>
        <w:trPr>
          <w:trHeight w:val="899" w:hRule="atLeast"/>
        </w:trPr>
        <w:tc>
          <w:tcPr>
            <w:tcW w:w="713" w:type="dxa"/>
          </w:tcPr>
          <w:p>
            <w:pPr>
              <w:pStyle w:val="TableParagraph"/>
              <w:ind w:left="0"/>
              <w:rPr>
                <w:rFonts w:ascii="Times New Roman"/>
                <w:sz w:val="20"/>
              </w:rPr>
            </w:pPr>
          </w:p>
        </w:tc>
        <w:tc>
          <w:tcPr>
            <w:tcW w:w="2394" w:type="dxa"/>
          </w:tcPr>
          <w:p>
            <w:pPr>
              <w:pStyle w:val="TableParagraph"/>
              <w:spacing w:before="118"/>
              <w:ind w:left="155"/>
              <w:rPr>
                <w:rFonts w:ascii="等线" w:eastAsia="等线" w:hint="eastAsia"/>
                <w:b/>
                <w:sz w:val="24"/>
              </w:rPr>
            </w:pPr>
            <w:r>
              <w:rPr>
                <w:rFonts w:ascii="等线" w:eastAsia="等线" w:hint="eastAsia"/>
                <w:b/>
                <w:sz w:val="24"/>
              </w:rPr>
              <w:t>心脏瓣膜介入手术</w:t>
            </w:r>
          </w:p>
        </w:tc>
        <w:tc>
          <w:tcPr>
            <w:tcW w:w="6972" w:type="dxa"/>
          </w:tcPr>
          <w:p>
            <w:pPr>
              <w:pStyle w:val="TableParagraph"/>
              <w:spacing w:line="273" w:lineRule="auto" w:before="119"/>
              <w:ind w:left="76" w:right="106"/>
              <w:rPr>
                <w:sz w:val="21"/>
              </w:rPr>
            </w:pPr>
            <w:r>
              <w:rPr>
                <w:sz w:val="21"/>
              </w:rPr>
              <w:t>为了治疗心脏瓣膜疾病，实际实施了非开胸的经胸壁打孔内镜手术或经皮经导管介入手术进行的心脏瓣膜置换或修复手术。</w:t>
            </w:r>
          </w:p>
        </w:tc>
      </w:tr>
      <w:tr>
        <w:trPr>
          <w:trHeight w:val="908" w:hRule="atLeast"/>
        </w:trPr>
        <w:tc>
          <w:tcPr>
            <w:tcW w:w="713" w:type="dxa"/>
          </w:tcPr>
          <w:p>
            <w:pPr>
              <w:pStyle w:val="TableParagraph"/>
              <w:ind w:left="0"/>
              <w:rPr>
                <w:rFonts w:ascii="Times New Roman"/>
                <w:sz w:val="20"/>
              </w:rPr>
            </w:pPr>
          </w:p>
        </w:tc>
        <w:tc>
          <w:tcPr>
            <w:tcW w:w="2394" w:type="dxa"/>
          </w:tcPr>
          <w:p>
            <w:pPr>
              <w:pStyle w:val="TableParagraph"/>
              <w:spacing w:before="127"/>
              <w:ind w:left="155"/>
              <w:rPr>
                <w:rFonts w:ascii="等线" w:eastAsia="等线" w:hint="eastAsia"/>
                <w:b/>
                <w:sz w:val="24"/>
              </w:rPr>
            </w:pPr>
            <w:r>
              <w:rPr>
                <w:rFonts w:ascii="等线" w:eastAsia="等线" w:hint="eastAsia"/>
                <w:b/>
                <w:sz w:val="24"/>
              </w:rPr>
              <w:t>主动脉内手术</w:t>
            </w:r>
          </w:p>
        </w:tc>
        <w:tc>
          <w:tcPr>
            <w:tcW w:w="6972" w:type="dxa"/>
          </w:tcPr>
          <w:p>
            <w:pPr>
              <w:pStyle w:val="TableParagraph"/>
              <w:spacing w:before="128"/>
              <w:ind w:left="76"/>
              <w:rPr>
                <w:sz w:val="21"/>
              </w:rPr>
            </w:pPr>
            <w:r>
              <w:rPr>
                <w:sz w:val="21"/>
              </w:rPr>
              <w:t>为了治疗主动脉疾病实际实施了经皮经导管进行的动脉内手术。</w:t>
            </w:r>
          </w:p>
          <w:p>
            <w:pPr>
              <w:pStyle w:val="TableParagraph"/>
              <w:spacing w:before="37"/>
              <w:ind w:left="76"/>
              <w:rPr>
                <w:sz w:val="21"/>
              </w:rPr>
            </w:pPr>
            <w:r>
              <w:rPr>
                <w:sz w:val="21"/>
              </w:rPr>
              <w:t>主动脉指胸主动脉和腹主动脉，</w:t>
            </w:r>
            <w:r>
              <w:rPr>
                <w:sz w:val="21"/>
                <w:shd w:fill="DADADA" w:color="auto" w:val="clear"/>
              </w:rPr>
              <w:t>不包括胸主动脉和腹主动脉的分支血管。</w:t>
            </w:r>
          </w:p>
        </w:tc>
      </w:tr>
      <w:tr>
        <w:trPr>
          <w:trHeight w:val="595" w:hRule="atLeast"/>
        </w:trPr>
        <w:tc>
          <w:tcPr>
            <w:tcW w:w="713" w:type="dxa"/>
          </w:tcPr>
          <w:p>
            <w:pPr>
              <w:pStyle w:val="TableParagraph"/>
              <w:ind w:left="0"/>
              <w:rPr>
                <w:rFonts w:ascii="Times New Roman"/>
                <w:sz w:val="20"/>
              </w:rPr>
            </w:pPr>
          </w:p>
        </w:tc>
        <w:tc>
          <w:tcPr>
            <w:tcW w:w="2394" w:type="dxa"/>
          </w:tcPr>
          <w:p>
            <w:pPr>
              <w:pStyle w:val="TableParagraph"/>
              <w:spacing w:before="128"/>
              <w:ind w:left="155"/>
              <w:rPr>
                <w:b/>
                <w:sz w:val="21"/>
              </w:rPr>
            </w:pPr>
            <w:r>
              <w:rPr>
                <w:b/>
                <w:sz w:val="21"/>
              </w:rPr>
              <w:t>第 3 类：</w:t>
            </w:r>
          </w:p>
        </w:tc>
        <w:tc>
          <w:tcPr>
            <w:tcW w:w="6972" w:type="dxa"/>
          </w:tcPr>
          <w:p>
            <w:pPr>
              <w:pStyle w:val="TableParagraph"/>
              <w:spacing w:before="128"/>
              <w:ind w:left="76"/>
              <w:rPr>
                <w:b/>
                <w:sz w:val="21"/>
              </w:rPr>
            </w:pPr>
            <w:r>
              <w:rPr>
                <w:b/>
                <w:w w:val="95"/>
                <w:sz w:val="21"/>
              </w:rPr>
              <w:t>与器官功能严重受损相关的疾病</w:t>
            </w:r>
          </w:p>
        </w:tc>
      </w:tr>
      <w:tr>
        <w:trPr>
          <w:trHeight w:val="1219" w:hRule="atLeast"/>
        </w:trPr>
        <w:tc>
          <w:tcPr>
            <w:tcW w:w="713" w:type="dxa"/>
          </w:tcPr>
          <w:p>
            <w:pPr>
              <w:pStyle w:val="TableParagraph"/>
              <w:ind w:left="0"/>
              <w:rPr>
                <w:rFonts w:ascii="Times New Roman"/>
                <w:sz w:val="20"/>
              </w:rPr>
            </w:pPr>
          </w:p>
        </w:tc>
        <w:tc>
          <w:tcPr>
            <w:tcW w:w="2394" w:type="dxa"/>
          </w:tcPr>
          <w:p>
            <w:pPr>
              <w:pStyle w:val="TableParagraph"/>
              <w:spacing w:before="126"/>
              <w:ind w:left="155"/>
              <w:rPr>
                <w:rFonts w:ascii="等线" w:eastAsia="等线" w:hint="eastAsia"/>
                <w:b/>
                <w:sz w:val="24"/>
              </w:rPr>
            </w:pPr>
            <w:r>
              <w:rPr>
                <w:rFonts w:ascii="等线" w:eastAsia="等线" w:hint="eastAsia"/>
                <w:b/>
                <w:sz w:val="24"/>
              </w:rPr>
              <w:t>听力严重受损</w:t>
            </w:r>
          </w:p>
        </w:tc>
        <w:tc>
          <w:tcPr>
            <w:tcW w:w="6972" w:type="dxa"/>
          </w:tcPr>
          <w:p>
            <w:pPr>
              <w:pStyle w:val="TableParagraph"/>
              <w:spacing w:before="127"/>
              <w:ind w:left="76"/>
              <w:rPr>
                <w:sz w:val="21"/>
              </w:rPr>
            </w:pPr>
            <w:r>
              <w:rPr>
                <w:sz w:val="21"/>
              </w:rPr>
              <w:t>指因疾病或意外伤害导致双耳听力永久不可逆性丧失，在 500 赫兹、1000</w:t>
            </w:r>
          </w:p>
          <w:p>
            <w:pPr>
              <w:pStyle w:val="TableParagraph"/>
              <w:spacing w:line="273" w:lineRule="auto" w:before="36"/>
              <w:ind w:left="76" w:right="1" w:hanging="1"/>
              <w:rPr>
                <w:sz w:val="21"/>
              </w:rPr>
            </w:pPr>
            <w:r>
              <w:rPr>
                <w:spacing w:val="-14"/>
                <w:sz w:val="21"/>
              </w:rPr>
              <w:t>赫兹和 </w:t>
            </w:r>
            <w:r>
              <w:rPr>
                <w:sz w:val="21"/>
              </w:rPr>
              <w:t>2000</w:t>
            </w:r>
            <w:r>
              <w:rPr>
                <w:spacing w:val="-12"/>
                <w:sz w:val="21"/>
              </w:rPr>
              <w:t> 赫兹语音频率下，平均听阈大于 </w:t>
            </w:r>
            <w:r>
              <w:rPr>
                <w:sz w:val="21"/>
              </w:rPr>
              <w:t>70</w:t>
            </w:r>
            <w:r>
              <w:rPr>
                <w:spacing w:val="-9"/>
                <w:sz w:val="21"/>
              </w:rPr>
              <w:t> 分贝，且经纯音听力测试、声导抗检测或听觉诱发电位检测等证实。</w:t>
            </w:r>
          </w:p>
        </w:tc>
      </w:tr>
      <w:tr>
        <w:trPr>
          <w:trHeight w:val="615" w:hRule="atLeast"/>
        </w:trPr>
        <w:tc>
          <w:tcPr>
            <w:tcW w:w="713" w:type="dxa"/>
          </w:tcPr>
          <w:p>
            <w:pPr>
              <w:pStyle w:val="TableParagraph"/>
              <w:ind w:left="0"/>
              <w:rPr>
                <w:rFonts w:ascii="Times New Roman"/>
                <w:sz w:val="20"/>
              </w:rPr>
            </w:pPr>
          </w:p>
        </w:tc>
        <w:tc>
          <w:tcPr>
            <w:tcW w:w="2394" w:type="dxa"/>
          </w:tcPr>
          <w:p>
            <w:pPr>
              <w:pStyle w:val="TableParagraph"/>
              <w:spacing w:before="119"/>
              <w:ind w:left="155"/>
              <w:rPr>
                <w:b/>
                <w:sz w:val="24"/>
              </w:rPr>
            </w:pPr>
            <w:r>
              <w:rPr>
                <w:b/>
                <w:sz w:val="24"/>
              </w:rPr>
              <w:t>第 4 类：</w:t>
            </w:r>
          </w:p>
        </w:tc>
        <w:tc>
          <w:tcPr>
            <w:tcW w:w="6972" w:type="dxa"/>
          </w:tcPr>
          <w:p>
            <w:pPr>
              <w:pStyle w:val="TableParagraph"/>
              <w:spacing w:before="128"/>
              <w:ind w:left="76"/>
              <w:rPr>
                <w:b/>
                <w:sz w:val="21"/>
              </w:rPr>
            </w:pPr>
            <w:r>
              <w:rPr>
                <w:b/>
                <w:w w:val="95"/>
                <w:sz w:val="21"/>
              </w:rPr>
              <w:t>与神经系统相关的疾病</w:t>
            </w:r>
          </w:p>
        </w:tc>
      </w:tr>
      <w:tr>
        <w:trPr>
          <w:trHeight w:val="2769" w:hRule="atLeast"/>
        </w:trPr>
        <w:tc>
          <w:tcPr>
            <w:tcW w:w="713" w:type="dxa"/>
          </w:tcPr>
          <w:p>
            <w:pPr>
              <w:pStyle w:val="TableParagraph"/>
              <w:ind w:left="0"/>
              <w:rPr>
                <w:rFonts w:ascii="Times New Roman"/>
                <w:sz w:val="20"/>
              </w:rPr>
            </w:pPr>
          </w:p>
        </w:tc>
        <w:tc>
          <w:tcPr>
            <w:tcW w:w="2394" w:type="dxa"/>
          </w:tcPr>
          <w:p>
            <w:pPr>
              <w:pStyle w:val="TableParagraph"/>
              <w:spacing w:before="116"/>
              <w:ind w:left="155"/>
              <w:rPr>
                <w:rFonts w:ascii="等线" w:eastAsia="等线" w:hint="eastAsia"/>
                <w:b/>
                <w:sz w:val="24"/>
              </w:rPr>
            </w:pPr>
            <w:r>
              <w:rPr>
                <w:rFonts w:ascii="等线" w:eastAsia="等线" w:hint="eastAsia"/>
                <w:b/>
                <w:sz w:val="24"/>
              </w:rPr>
              <w:t>脑损伤</w:t>
            </w:r>
          </w:p>
        </w:tc>
        <w:tc>
          <w:tcPr>
            <w:tcW w:w="6972" w:type="dxa"/>
          </w:tcPr>
          <w:p>
            <w:pPr>
              <w:pStyle w:val="TableParagraph"/>
              <w:spacing w:line="273" w:lineRule="auto" w:before="117"/>
              <w:ind w:left="76" w:right="106"/>
              <w:jc w:val="both"/>
              <w:rPr>
                <w:sz w:val="21"/>
              </w:rPr>
            </w:pPr>
            <w:r>
              <w:rPr>
                <w:sz w:val="21"/>
              </w:rPr>
              <w:t>指因头部遭受机械性外力，引起脑重要部位损伤，导致神经系统的功能障碍。须由头颅断层扫描</w:t>
            </w:r>
            <w:r>
              <w:rPr>
                <w:spacing w:val="1"/>
                <w:sz w:val="21"/>
              </w:rPr>
              <w:t>（</w:t>
            </w:r>
            <w:r>
              <w:rPr>
                <w:sz w:val="21"/>
              </w:rPr>
              <w:t>C</w:t>
            </w:r>
            <w:r>
              <w:rPr>
                <w:spacing w:val="2"/>
                <w:sz w:val="21"/>
              </w:rPr>
              <w:t>T</w:t>
            </w:r>
            <w:r>
              <w:rPr>
                <w:spacing w:val="-104"/>
                <w:sz w:val="21"/>
              </w:rPr>
              <w:t>）</w:t>
            </w:r>
            <w:r>
              <w:rPr>
                <w:sz w:val="21"/>
              </w:rPr>
              <w:t>、核磁共振检查</w:t>
            </w:r>
            <w:r>
              <w:rPr>
                <w:spacing w:val="0"/>
                <w:sz w:val="21"/>
              </w:rPr>
              <w:t>（</w:t>
            </w:r>
            <w:r>
              <w:rPr>
                <w:spacing w:val="-1"/>
                <w:sz w:val="21"/>
              </w:rPr>
              <w:t>M</w:t>
            </w:r>
            <w:r>
              <w:rPr>
                <w:sz w:val="21"/>
              </w:rPr>
              <w:t>R</w:t>
            </w:r>
            <w:r>
              <w:rPr>
                <w:spacing w:val="1"/>
                <w:sz w:val="21"/>
              </w:rPr>
              <w:t>I</w:t>
            </w:r>
            <w:r>
              <w:rPr>
                <w:spacing w:val="0"/>
                <w:sz w:val="21"/>
              </w:rPr>
              <w:t>）</w:t>
            </w:r>
            <w:r>
              <w:rPr>
                <w:sz w:val="21"/>
              </w:rPr>
              <w:t>或正电子发射断层扫描（PET）</w:t>
            </w:r>
            <w:r>
              <w:rPr>
                <w:spacing w:val="-1"/>
                <w:sz w:val="21"/>
              </w:rPr>
              <w:t>等影像学检查证实。神经系统的功能障碍，指脑损伤 </w:t>
            </w:r>
            <w:r>
              <w:rPr>
                <w:sz w:val="21"/>
              </w:rPr>
              <w:t>30</w:t>
            </w:r>
            <w:r>
              <w:rPr>
                <w:spacing w:val="-6"/>
                <w:sz w:val="21"/>
              </w:rPr>
              <w:t> 天后， 仍遗留下列一种或一种以上障碍：</w:t>
            </w:r>
          </w:p>
          <w:p>
            <w:pPr>
              <w:pStyle w:val="TableParagraph"/>
              <w:spacing w:before="7"/>
              <w:ind w:left="76"/>
              <w:rPr>
                <w:sz w:val="21"/>
              </w:rPr>
            </w:pPr>
            <w:r>
              <w:rPr>
                <w:sz w:val="21"/>
              </w:rPr>
              <w:t>（1）一肢或一肢以上肢体机能完全丧失；</w:t>
            </w:r>
          </w:p>
          <w:p>
            <w:pPr>
              <w:pStyle w:val="TableParagraph"/>
              <w:spacing w:before="36"/>
              <w:ind w:left="76"/>
              <w:rPr>
                <w:sz w:val="21"/>
              </w:rPr>
            </w:pPr>
            <w:r>
              <w:rPr>
                <w:sz w:val="21"/>
              </w:rPr>
              <w:t>（2）语言能力或咀嚼吞咽能力完全丧失；</w:t>
            </w:r>
          </w:p>
          <w:p>
            <w:pPr>
              <w:pStyle w:val="TableParagraph"/>
              <w:spacing w:line="273" w:lineRule="auto" w:before="36"/>
              <w:ind w:left="602" w:right="48" w:hanging="526"/>
              <w:rPr>
                <w:sz w:val="21"/>
              </w:rPr>
            </w:pPr>
            <w:r>
              <w:rPr>
                <w:sz w:val="21"/>
              </w:rPr>
              <w:t>（3）自主生活能力完全丧失，无法独立完成六项基本日常生活活动中的一项或一项以上。</w:t>
            </w:r>
          </w:p>
        </w:tc>
      </w:tr>
      <w:tr>
        <w:trPr>
          <w:trHeight w:val="1864" w:hRule="atLeast"/>
        </w:trPr>
        <w:tc>
          <w:tcPr>
            <w:tcW w:w="713" w:type="dxa"/>
          </w:tcPr>
          <w:p>
            <w:pPr>
              <w:pStyle w:val="TableParagraph"/>
              <w:ind w:left="0"/>
              <w:rPr>
                <w:rFonts w:ascii="Times New Roman"/>
                <w:sz w:val="20"/>
              </w:rPr>
            </w:pPr>
          </w:p>
        </w:tc>
        <w:tc>
          <w:tcPr>
            <w:tcW w:w="2394" w:type="dxa"/>
          </w:tcPr>
          <w:p>
            <w:pPr>
              <w:pStyle w:val="TableParagraph"/>
              <w:spacing w:line="235" w:lineRule="auto" w:before="133"/>
              <w:ind w:left="155" w:right="73"/>
              <w:jc w:val="both"/>
              <w:rPr>
                <w:rFonts w:ascii="等线" w:eastAsia="等线" w:hint="eastAsia"/>
                <w:b/>
                <w:sz w:val="24"/>
              </w:rPr>
            </w:pPr>
            <w:r>
              <w:rPr>
                <w:rFonts w:ascii="等线" w:eastAsia="等线" w:hint="eastAsia"/>
                <w:b/>
                <w:sz w:val="24"/>
              </w:rPr>
              <w:t>脑垂体瘤、脑囊肿、脑动脉瘤及脑血管瘤</w:t>
            </w:r>
          </w:p>
        </w:tc>
        <w:tc>
          <w:tcPr>
            <w:tcW w:w="6972" w:type="dxa"/>
          </w:tcPr>
          <w:p>
            <w:pPr>
              <w:pStyle w:val="TableParagraph"/>
              <w:spacing w:line="273" w:lineRule="auto" w:before="128"/>
              <w:ind w:left="76" w:right="108"/>
              <w:rPr>
                <w:sz w:val="21"/>
              </w:rPr>
            </w:pPr>
            <w:r>
              <w:rPr>
                <w:sz w:val="21"/>
              </w:rPr>
              <w:t>指经头颅断层扫描</w:t>
            </w:r>
            <w:r>
              <w:rPr>
                <w:spacing w:val="1"/>
                <w:sz w:val="21"/>
              </w:rPr>
              <w:t>（</w:t>
            </w:r>
            <w:r>
              <w:rPr>
                <w:spacing w:val="-1"/>
                <w:sz w:val="21"/>
              </w:rPr>
              <w:t>C</w:t>
            </w:r>
            <w:r>
              <w:rPr>
                <w:spacing w:val="2"/>
                <w:sz w:val="21"/>
              </w:rPr>
              <w:t>T</w:t>
            </w:r>
            <w:r>
              <w:rPr>
                <w:spacing w:val="-105"/>
                <w:sz w:val="21"/>
              </w:rPr>
              <w:t>）</w:t>
            </w:r>
            <w:r>
              <w:rPr>
                <w:sz w:val="21"/>
              </w:rPr>
              <w:t>、核磁共振检查</w:t>
            </w:r>
            <w:r>
              <w:rPr>
                <w:spacing w:val="1"/>
                <w:sz w:val="21"/>
              </w:rPr>
              <w:t>（</w:t>
            </w:r>
            <w:r>
              <w:rPr>
                <w:spacing w:val="-1"/>
                <w:sz w:val="21"/>
              </w:rPr>
              <w:t>M</w:t>
            </w:r>
            <w:r>
              <w:rPr>
                <w:sz w:val="21"/>
              </w:rPr>
              <w:t>R</w:t>
            </w:r>
            <w:r>
              <w:rPr>
                <w:spacing w:val="0"/>
                <w:sz w:val="21"/>
              </w:rPr>
              <w:t>I）</w:t>
            </w:r>
            <w:r>
              <w:rPr>
                <w:sz w:val="21"/>
              </w:rPr>
              <w:t>或其他影像学检查被确诊为下列病变，并实际接受了手术或放射治疗。</w:t>
            </w:r>
          </w:p>
          <w:p>
            <w:pPr>
              <w:pStyle w:val="TableParagraph"/>
              <w:spacing w:before="7"/>
              <w:ind w:left="76"/>
              <w:rPr>
                <w:sz w:val="21"/>
              </w:rPr>
            </w:pPr>
            <w:r>
              <w:rPr>
                <w:sz w:val="21"/>
              </w:rPr>
              <w:t>（1）脑垂体瘤；</w:t>
            </w:r>
          </w:p>
          <w:p>
            <w:pPr>
              <w:pStyle w:val="TableParagraph"/>
              <w:spacing w:before="36"/>
              <w:ind w:left="76"/>
              <w:rPr>
                <w:sz w:val="21"/>
              </w:rPr>
            </w:pPr>
            <w:r>
              <w:rPr>
                <w:sz w:val="21"/>
              </w:rPr>
              <w:t>（2）脑囊肿；</w:t>
            </w:r>
          </w:p>
          <w:p>
            <w:pPr>
              <w:pStyle w:val="TableParagraph"/>
              <w:spacing w:before="36"/>
              <w:ind w:left="76"/>
              <w:rPr>
                <w:sz w:val="21"/>
              </w:rPr>
            </w:pPr>
            <w:r>
              <w:rPr>
                <w:sz w:val="21"/>
              </w:rPr>
              <w:t>（3）脑动脉瘤、脑血管瘤。</w:t>
            </w:r>
          </w:p>
        </w:tc>
      </w:tr>
      <w:tr>
        <w:trPr>
          <w:trHeight w:val="1113" w:hRule="atLeast"/>
        </w:trPr>
        <w:tc>
          <w:tcPr>
            <w:tcW w:w="713" w:type="dxa"/>
            <w:tcBorders>
              <w:bottom w:val="single" w:sz="8" w:space="0" w:color="000000"/>
            </w:tcBorders>
          </w:tcPr>
          <w:p>
            <w:pPr>
              <w:pStyle w:val="TableParagraph"/>
              <w:spacing w:before="5"/>
              <w:ind w:left="0"/>
              <w:rPr>
                <w:sz w:val="30"/>
              </w:rPr>
            </w:pPr>
          </w:p>
          <w:p>
            <w:pPr>
              <w:pStyle w:val="TableParagraph"/>
              <w:ind w:left="201"/>
              <w:rPr>
                <w:rFonts w:ascii="Arial" w:hAnsi="Arial"/>
                <w:b/>
                <w:sz w:val="40"/>
              </w:rPr>
            </w:pPr>
            <w:r>
              <w:rPr>
                <w:rFonts w:ascii="Arial" w:hAnsi="Arial"/>
                <w:b/>
                <w:w w:val="118"/>
                <w:sz w:val="40"/>
              </w:rPr>
              <w:t></w:t>
            </w:r>
          </w:p>
        </w:tc>
        <w:tc>
          <w:tcPr>
            <w:tcW w:w="9366" w:type="dxa"/>
            <w:gridSpan w:val="2"/>
            <w:tcBorders>
              <w:bottom w:val="single" w:sz="8" w:space="0" w:color="000000"/>
            </w:tcBorders>
          </w:tcPr>
          <w:p>
            <w:pPr>
              <w:pStyle w:val="TableParagraph"/>
              <w:spacing w:before="139"/>
              <w:ind w:left="155"/>
              <w:rPr>
                <w:b/>
                <w:sz w:val="24"/>
              </w:rPr>
            </w:pPr>
            <w:r>
              <w:rPr>
                <w:b/>
                <w:w w:val="95"/>
                <w:sz w:val="24"/>
              </w:rPr>
              <w:t>需关注的其他内容</w:t>
            </w:r>
          </w:p>
          <w:p>
            <w:pPr>
              <w:pStyle w:val="TableParagraph"/>
              <w:spacing w:before="133"/>
              <w:ind w:left="155"/>
              <w:rPr>
                <w:sz w:val="24"/>
              </w:rPr>
            </w:pPr>
            <w:r>
              <w:rPr>
                <w:sz w:val="24"/>
              </w:rPr>
              <w:t>这部分讲的是您应当注意的其他事项。</w:t>
            </w:r>
          </w:p>
        </w:tc>
      </w:tr>
      <w:tr>
        <w:trPr>
          <w:trHeight w:val="1029" w:hRule="atLeast"/>
        </w:trPr>
        <w:tc>
          <w:tcPr>
            <w:tcW w:w="713" w:type="dxa"/>
            <w:tcBorders>
              <w:top w:val="single" w:sz="8" w:space="0" w:color="000000"/>
            </w:tcBorders>
          </w:tcPr>
          <w:p>
            <w:pPr>
              <w:pStyle w:val="TableParagraph"/>
              <w:spacing w:before="1"/>
              <w:ind w:left="0"/>
              <w:rPr>
                <w:sz w:val="19"/>
              </w:rPr>
            </w:pPr>
          </w:p>
          <w:p>
            <w:pPr>
              <w:pStyle w:val="TableParagraph"/>
              <w:ind w:left="108"/>
              <w:rPr>
                <w:b/>
                <w:sz w:val="21"/>
              </w:rPr>
            </w:pPr>
            <w:r>
              <w:rPr>
                <w:b/>
                <w:sz w:val="21"/>
              </w:rPr>
              <w:t>9.1</w:t>
            </w:r>
          </w:p>
        </w:tc>
        <w:tc>
          <w:tcPr>
            <w:tcW w:w="2394" w:type="dxa"/>
            <w:tcBorders>
              <w:top w:val="single" w:sz="8" w:space="0" w:color="000000"/>
            </w:tcBorders>
          </w:tcPr>
          <w:p>
            <w:pPr>
              <w:pStyle w:val="TableParagraph"/>
              <w:spacing w:before="1"/>
              <w:ind w:left="0"/>
              <w:rPr>
                <w:sz w:val="19"/>
              </w:rPr>
            </w:pPr>
          </w:p>
          <w:p>
            <w:pPr>
              <w:pStyle w:val="TableParagraph"/>
              <w:ind w:left="155"/>
              <w:rPr>
                <w:b/>
                <w:sz w:val="21"/>
              </w:rPr>
            </w:pPr>
            <w:r>
              <w:rPr>
                <w:b/>
                <w:sz w:val="21"/>
              </w:rPr>
              <w:t>合同订立</w:t>
            </w:r>
          </w:p>
        </w:tc>
        <w:tc>
          <w:tcPr>
            <w:tcW w:w="6972" w:type="dxa"/>
            <w:tcBorders>
              <w:top w:val="single" w:sz="8" w:space="0" w:color="000000"/>
            </w:tcBorders>
          </w:tcPr>
          <w:p>
            <w:pPr>
              <w:pStyle w:val="TableParagraph"/>
              <w:spacing w:before="1"/>
              <w:ind w:left="0"/>
              <w:rPr>
                <w:sz w:val="19"/>
              </w:rPr>
            </w:pPr>
          </w:p>
          <w:p>
            <w:pPr>
              <w:pStyle w:val="TableParagraph"/>
              <w:spacing w:line="273" w:lineRule="auto"/>
              <w:ind w:left="76" w:right="107"/>
              <w:rPr>
                <w:sz w:val="21"/>
              </w:rPr>
            </w:pPr>
            <w:r>
              <w:rPr>
                <w:sz w:val="21"/>
              </w:rPr>
              <w:t>平安附加平安福提前给付重大疾病保险（2015）合同由主险合同投保人提出申请，经我们同意而订立。</w:t>
            </w:r>
          </w:p>
        </w:tc>
      </w:tr>
      <w:tr>
        <w:trPr>
          <w:trHeight w:val="1207" w:hRule="atLeast"/>
        </w:trPr>
        <w:tc>
          <w:tcPr>
            <w:tcW w:w="713" w:type="dxa"/>
          </w:tcPr>
          <w:p>
            <w:pPr>
              <w:pStyle w:val="TableParagraph"/>
              <w:spacing w:before="128"/>
              <w:ind w:left="108"/>
              <w:rPr>
                <w:b/>
                <w:sz w:val="21"/>
              </w:rPr>
            </w:pPr>
            <w:r>
              <w:rPr>
                <w:b/>
                <w:sz w:val="21"/>
              </w:rPr>
              <w:t>9.2</w:t>
            </w:r>
          </w:p>
        </w:tc>
        <w:tc>
          <w:tcPr>
            <w:tcW w:w="2394" w:type="dxa"/>
          </w:tcPr>
          <w:p>
            <w:pPr>
              <w:pStyle w:val="TableParagraph"/>
              <w:spacing w:before="128"/>
              <w:ind w:left="155"/>
              <w:rPr>
                <w:b/>
                <w:sz w:val="21"/>
              </w:rPr>
            </w:pPr>
            <w:r>
              <w:rPr>
                <w:b/>
                <w:sz w:val="21"/>
              </w:rPr>
              <w:t>合同生效</w:t>
            </w:r>
          </w:p>
        </w:tc>
        <w:tc>
          <w:tcPr>
            <w:tcW w:w="6972" w:type="dxa"/>
          </w:tcPr>
          <w:p>
            <w:pPr>
              <w:pStyle w:val="TableParagraph"/>
              <w:spacing w:line="273" w:lineRule="auto" w:before="128"/>
              <w:ind w:left="76" w:right="3113"/>
              <w:rPr>
                <w:sz w:val="21"/>
              </w:rPr>
            </w:pPr>
            <w:r>
              <w:rPr>
                <w:sz w:val="21"/>
              </w:rPr>
              <w:t>本附加险合同须与主险合同同时投保。 本附加险合同的生效日与主险合同相同。</w:t>
            </w:r>
          </w:p>
          <w:p>
            <w:pPr>
              <w:pStyle w:val="TableParagraph"/>
              <w:spacing w:before="7"/>
              <w:ind w:left="76"/>
              <w:rPr>
                <w:sz w:val="21"/>
              </w:rPr>
            </w:pPr>
            <w:r>
              <w:rPr>
                <w:sz w:val="21"/>
              </w:rPr>
              <w:t>本附加险合同的保单周年日同主险合同的保单周年日。</w:t>
            </w:r>
          </w:p>
        </w:tc>
      </w:tr>
      <w:tr>
        <w:trPr>
          <w:trHeight w:val="727" w:hRule="atLeast"/>
        </w:trPr>
        <w:tc>
          <w:tcPr>
            <w:tcW w:w="713" w:type="dxa"/>
          </w:tcPr>
          <w:p>
            <w:pPr>
              <w:pStyle w:val="TableParagraph"/>
              <w:spacing w:before="140"/>
              <w:ind w:left="108"/>
              <w:rPr>
                <w:b/>
                <w:sz w:val="21"/>
              </w:rPr>
            </w:pPr>
            <w:r>
              <w:rPr>
                <w:b/>
                <w:sz w:val="21"/>
              </w:rPr>
              <w:t>9.3</w:t>
            </w:r>
          </w:p>
        </w:tc>
        <w:tc>
          <w:tcPr>
            <w:tcW w:w="2394" w:type="dxa"/>
          </w:tcPr>
          <w:p>
            <w:pPr>
              <w:pStyle w:val="TableParagraph"/>
              <w:spacing w:before="140"/>
              <w:ind w:left="155"/>
              <w:rPr>
                <w:b/>
                <w:sz w:val="21"/>
              </w:rPr>
            </w:pPr>
            <w:r>
              <w:rPr>
                <w:b/>
                <w:sz w:val="21"/>
              </w:rPr>
              <w:t>投保年龄</w:t>
            </w:r>
          </w:p>
        </w:tc>
        <w:tc>
          <w:tcPr>
            <w:tcW w:w="6972" w:type="dxa"/>
          </w:tcPr>
          <w:p>
            <w:pPr>
              <w:pStyle w:val="TableParagraph"/>
              <w:spacing w:line="310" w:lineRule="atLeast" w:before="105"/>
              <w:ind w:left="76" w:right="106"/>
              <w:rPr>
                <w:sz w:val="21"/>
              </w:rPr>
            </w:pPr>
            <w:r>
              <w:rPr>
                <w:sz w:val="21"/>
              </w:rPr>
              <w:t>指投保时被保险人的年龄，投保年龄以</w:t>
            </w:r>
            <w:r>
              <w:rPr>
                <w:rFonts w:ascii="黑体" w:eastAsia="黑体" w:hint="eastAsia"/>
                <w:b/>
                <w:sz w:val="21"/>
              </w:rPr>
              <w:t>周岁 </w:t>
            </w:r>
            <w:hyperlink w:history="true" w:anchor="_bookmark19">
              <w:r>
                <w:rPr>
                  <w:rFonts w:ascii="黑体" w:eastAsia="黑体" w:hint="eastAsia"/>
                  <w:b/>
                  <w:position w:val="11"/>
                  <w:sz w:val="11"/>
                </w:rPr>
                <w:t>20</w:t>
              </w:r>
            </w:hyperlink>
            <w:r>
              <w:rPr>
                <w:sz w:val="21"/>
              </w:rPr>
              <w:t>计算。本附加险合同接受的投保年龄为 18 周岁至 55 周岁。</w:t>
            </w:r>
          </w:p>
        </w:tc>
      </w:tr>
    </w:tbl>
    <w:p>
      <w:pPr>
        <w:pStyle w:val="BodyText"/>
        <w:rPr>
          <w:sz w:val="20"/>
        </w:rPr>
      </w:pPr>
    </w:p>
    <w:p>
      <w:pPr>
        <w:pStyle w:val="BodyText"/>
        <w:rPr>
          <w:sz w:val="20"/>
        </w:rPr>
      </w:pPr>
    </w:p>
    <w:p>
      <w:pPr>
        <w:pStyle w:val="BodyText"/>
        <w:spacing w:before="2"/>
        <w:rPr>
          <w:sz w:val="18"/>
        </w:rPr>
      </w:pPr>
      <w:r>
        <w:rPr/>
        <w:pict>
          <v:line style="position:absolute;mso-position-horizontal-relative:page;mso-position-vertical-relative:paragraph;z-index:1456;mso-wrap-distance-left:0;mso-wrap-distance-right:0" from="51.060001pt,14.175125pt" to="195.060001pt,14.175125pt" stroked="true" strokeweight=".54pt" strokecolor="#000000">
            <v:stroke dashstyle="solid"/>
            <w10:wrap type="topAndBottom"/>
          </v:line>
        </w:pict>
      </w:r>
    </w:p>
    <w:p>
      <w:pPr>
        <w:spacing w:line="286" w:lineRule="exact" w:before="0"/>
        <w:ind w:left="221" w:right="0" w:firstLine="0"/>
        <w:jc w:val="left"/>
        <w:rPr>
          <w:sz w:val="18"/>
        </w:rPr>
      </w:pPr>
      <w:bookmarkStart w:name="_bookmark19" w:id="20"/>
      <w:bookmarkEnd w:id="20"/>
      <w:r>
        <w:rPr/>
      </w:r>
      <w:r>
        <w:rPr>
          <w:rFonts w:ascii="Microsoft JhengHei" w:eastAsia="Microsoft JhengHei" w:hint="eastAsia"/>
          <w:b/>
          <w:position w:val="9"/>
          <w:sz w:val="9"/>
        </w:rPr>
        <w:t>20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86" w:lineRule="exact"/>
        <w:jc w:val="left"/>
        <w:rPr>
          <w:sz w:val="18"/>
        </w:rPr>
        <w:sectPr>
          <w:pgSz w:w="11910" w:h="16840"/>
          <w:pgMar w:top="1160" w:bottom="280" w:left="80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
        <w:gridCol w:w="2223"/>
        <w:gridCol w:w="7301"/>
      </w:tblGrid>
      <w:tr>
        <w:trPr>
          <w:trHeight w:val="1183" w:hRule="atLeast"/>
        </w:trPr>
        <w:tc>
          <w:tcPr>
            <w:tcW w:w="739" w:type="dxa"/>
          </w:tcPr>
          <w:p>
            <w:pPr>
              <w:pStyle w:val="TableParagraph"/>
              <w:spacing w:line="210" w:lineRule="exact"/>
              <w:ind w:left="181" w:right="200"/>
              <w:jc w:val="center"/>
              <w:rPr>
                <w:b/>
                <w:sz w:val="21"/>
              </w:rPr>
            </w:pPr>
            <w:r>
              <w:rPr>
                <w:b/>
                <w:sz w:val="21"/>
              </w:rPr>
              <w:t>9.4</w:t>
            </w:r>
          </w:p>
        </w:tc>
        <w:tc>
          <w:tcPr>
            <w:tcW w:w="2223" w:type="dxa"/>
          </w:tcPr>
          <w:p>
            <w:pPr>
              <w:pStyle w:val="TableParagraph"/>
              <w:spacing w:line="210" w:lineRule="exact"/>
              <w:ind w:left="221"/>
              <w:rPr>
                <w:b/>
                <w:sz w:val="21"/>
              </w:rPr>
            </w:pPr>
            <w:r>
              <w:rPr>
                <w:b/>
                <w:sz w:val="21"/>
              </w:rPr>
              <w:t>年龄错误</w:t>
            </w:r>
          </w:p>
          <w:p>
            <w:pPr>
              <w:pStyle w:val="TableParagraph"/>
              <w:spacing w:before="6"/>
              <w:ind w:left="0"/>
              <w:rPr>
                <w:sz w:val="7"/>
              </w:rPr>
            </w:pPr>
          </w:p>
          <w:p>
            <w:pPr>
              <w:pStyle w:val="TableParagraph"/>
              <w:ind w:left="225"/>
              <w:rPr>
                <w:sz w:val="20"/>
              </w:rPr>
            </w:pPr>
            <w:r>
              <w:rPr>
                <w:sz w:val="20"/>
              </w:rPr>
              <w:drawing>
                <wp:inline distT="0" distB="0" distL="0" distR="0">
                  <wp:extent cx="544830" cy="544829"/>
                  <wp:effectExtent l="0" t="0" r="0" b="0"/>
                  <wp:docPr id="7" name="image6.png" descr="D:\Users\sangying875\Desktop\年龄错误.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544830" cy="544829"/>
                          </a:xfrm>
                          <a:prstGeom prst="rect">
                            <a:avLst/>
                          </a:prstGeom>
                        </pic:spPr>
                      </pic:pic>
                    </a:graphicData>
                  </a:graphic>
                </wp:inline>
              </w:drawing>
            </w:r>
            <w:r>
              <w:rPr>
                <w:sz w:val="20"/>
              </w:rPr>
            </w:r>
          </w:p>
        </w:tc>
        <w:tc>
          <w:tcPr>
            <w:tcW w:w="7301" w:type="dxa"/>
          </w:tcPr>
          <w:p>
            <w:pPr>
              <w:pStyle w:val="TableParagraph"/>
              <w:spacing w:line="210" w:lineRule="exact"/>
              <w:ind w:left="313"/>
              <w:rPr>
                <w:sz w:val="21"/>
              </w:rPr>
            </w:pPr>
            <w:r>
              <w:rPr>
                <w:sz w:val="21"/>
              </w:rPr>
              <w:t>您在申请投保时，应将与有效身份证件相符的被保险人的出生日期在投保</w:t>
            </w:r>
          </w:p>
          <w:p>
            <w:pPr>
              <w:pStyle w:val="TableParagraph"/>
              <w:spacing w:line="273" w:lineRule="auto" w:before="37"/>
              <w:ind w:left="355" w:right="198"/>
              <w:rPr>
                <w:sz w:val="21"/>
              </w:rPr>
            </w:pPr>
            <w:r>
              <w:rPr>
                <w:sz w:val="21"/>
              </w:rPr>
              <w:t>书上填明，如果发生错误按照《中华人民共和国保险法》处理（请扫描二维码查看相关内容</w:t>
            </w:r>
            <w:r>
              <w:rPr>
                <w:spacing w:val="-105"/>
                <w:sz w:val="21"/>
              </w:rPr>
              <w:t>）</w:t>
            </w:r>
            <w:r>
              <w:rPr>
                <w:sz w:val="21"/>
              </w:rPr>
              <w:t>。</w:t>
            </w:r>
          </w:p>
        </w:tc>
      </w:tr>
      <w:tr>
        <w:trPr>
          <w:trHeight w:val="1375" w:hRule="atLeast"/>
        </w:trPr>
        <w:tc>
          <w:tcPr>
            <w:tcW w:w="739" w:type="dxa"/>
          </w:tcPr>
          <w:p>
            <w:pPr>
              <w:pStyle w:val="TableParagraph"/>
              <w:spacing w:before="9"/>
              <w:ind w:left="0"/>
              <w:rPr>
                <w:sz w:val="21"/>
              </w:rPr>
            </w:pPr>
          </w:p>
          <w:p>
            <w:pPr>
              <w:pStyle w:val="TableParagraph"/>
              <w:ind w:left="181" w:right="200"/>
              <w:jc w:val="center"/>
              <w:rPr>
                <w:b/>
                <w:sz w:val="21"/>
              </w:rPr>
            </w:pPr>
            <w:r>
              <w:rPr>
                <w:b/>
                <w:sz w:val="21"/>
              </w:rPr>
              <w:t>9.5</w:t>
            </w:r>
          </w:p>
        </w:tc>
        <w:tc>
          <w:tcPr>
            <w:tcW w:w="2223" w:type="dxa"/>
          </w:tcPr>
          <w:p>
            <w:pPr>
              <w:pStyle w:val="TableParagraph"/>
              <w:spacing w:before="9"/>
              <w:ind w:left="0"/>
              <w:rPr>
                <w:sz w:val="21"/>
              </w:rPr>
            </w:pPr>
          </w:p>
          <w:p>
            <w:pPr>
              <w:pStyle w:val="TableParagraph"/>
              <w:ind w:left="221"/>
              <w:rPr>
                <w:b/>
                <w:sz w:val="21"/>
              </w:rPr>
            </w:pPr>
            <w:r>
              <w:rPr>
                <w:b/>
                <w:sz w:val="21"/>
              </w:rPr>
              <w:t>效力终止</w:t>
            </w:r>
          </w:p>
        </w:tc>
        <w:tc>
          <w:tcPr>
            <w:tcW w:w="7301" w:type="dxa"/>
          </w:tcPr>
          <w:p>
            <w:pPr>
              <w:pStyle w:val="TableParagraph"/>
              <w:spacing w:before="9"/>
              <w:ind w:left="0"/>
              <w:rPr>
                <w:sz w:val="21"/>
              </w:rPr>
            </w:pPr>
          </w:p>
          <w:p>
            <w:pPr>
              <w:pStyle w:val="TableParagraph"/>
              <w:ind w:left="313"/>
              <w:rPr>
                <w:sz w:val="21"/>
              </w:rPr>
            </w:pPr>
            <w:r>
              <w:rPr>
                <w:sz w:val="21"/>
              </w:rPr>
              <w:t>当发生下列情形之一时，本附加险合同效力终止：</w:t>
            </w:r>
          </w:p>
          <w:p>
            <w:pPr>
              <w:pStyle w:val="TableParagraph"/>
              <w:spacing w:before="36"/>
              <w:ind w:left="313"/>
              <w:rPr>
                <w:sz w:val="21"/>
              </w:rPr>
            </w:pPr>
            <w:r>
              <w:rPr>
                <w:sz w:val="21"/>
              </w:rPr>
              <w:t>（1）主险合同效力终止；</w:t>
            </w:r>
          </w:p>
          <w:p>
            <w:pPr>
              <w:pStyle w:val="TableParagraph"/>
              <w:spacing w:before="36"/>
              <w:ind w:left="313"/>
              <w:rPr>
                <w:sz w:val="21"/>
              </w:rPr>
            </w:pPr>
            <w:r>
              <w:rPr>
                <w:sz w:val="21"/>
              </w:rPr>
              <w:t>（2）您申请解除本附加险合同。</w:t>
            </w:r>
          </w:p>
        </w:tc>
      </w:tr>
      <w:tr>
        <w:trPr>
          <w:trHeight w:val="2586" w:hRule="atLeast"/>
        </w:trPr>
        <w:tc>
          <w:tcPr>
            <w:tcW w:w="739" w:type="dxa"/>
          </w:tcPr>
          <w:p>
            <w:pPr>
              <w:pStyle w:val="TableParagraph"/>
              <w:spacing w:before="127"/>
              <w:ind w:left="181" w:right="200"/>
              <w:jc w:val="center"/>
              <w:rPr>
                <w:b/>
                <w:sz w:val="21"/>
              </w:rPr>
            </w:pPr>
            <w:r>
              <w:rPr>
                <w:b/>
                <w:sz w:val="21"/>
              </w:rPr>
              <w:t>9.6</w:t>
            </w:r>
          </w:p>
        </w:tc>
        <w:tc>
          <w:tcPr>
            <w:tcW w:w="2223" w:type="dxa"/>
          </w:tcPr>
          <w:p>
            <w:pPr>
              <w:pStyle w:val="TableParagraph"/>
              <w:spacing w:before="127"/>
              <w:ind w:left="221"/>
              <w:rPr>
                <w:b/>
                <w:sz w:val="21"/>
              </w:rPr>
            </w:pPr>
            <w:r>
              <w:rPr>
                <w:b/>
                <w:w w:val="95"/>
                <w:sz w:val="21"/>
              </w:rPr>
              <w:t>适用主险合同条款</w:t>
            </w:r>
          </w:p>
        </w:tc>
        <w:tc>
          <w:tcPr>
            <w:tcW w:w="7301" w:type="dxa"/>
          </w:tcPr>
          <w:p>
            <w:pPr>
              <w:pStyle w:val="TableParagraph"/>
              <w:spacing w:before="127"/>
              <w:ind w:left="313"/>
              <w:rPr>
                <w:sz w:val="21"/>
              </w:rPr>
            </w:pPr>
            <w:r>
              <w:rPr>
                <w:sz w:val="21"/>
              </w:rPr>
              <w:t>下列各项条款，适用主险合同条款：</w:t>
            </w:r>
          </w:p>
          <w:p>
            <w:pPr>
              <w:pStyle w:val="TableParagraph"/>
              <w:spacing w:before="36"/>
              <w:ind w:left="313"/>
              <w:rPr>
                <w:sz w:val="21"/>
              </w:rPr>
            </w:pPr>
            <w:r>
              <w:rPr>
                <w:sz w:val="21"/>
              </w:rPr>
              <w:t>（1）保险事故通知；</w:t>
            </w:r>
          </w:p>
          <w:p>
            <w:pPr>
              <w:pStyle w:val="TableParagraph"/>
              <w:spacing w:before="36"/>
              <w:ind w:left="313"/>
              <w:rPr>
                <w:sz w:val="21"/>
              </w:rPr>
            </w:pPr>
            <w:r>
              <w:rPr>
                <w:sz w:val="21"/>
              </w:rPr>
              <w:t>（2）明确说明与如实告知；</w:t>
            </w:r>
          </w:p>
          <w:p>
            <w:pPr>
              <w:pStyle w:val="TableParagraph"/>
              <w:spacing w:before="36"/>
              <w:ind w:left="313"/>
              <w:rPr>
                <w:sz w:val="21"/>
              </w:rPr>
            </w:pPr>
            <w:r>
              <w:rPr>
                <w:sz w:val="21"/>
              </w:rPr>
              <w:t>（3）本公司合同解除权的限制；</w:t>
            </w:r>
          </w:p>
          <w:p>
            <w:pPr>
              <w:pStyle w:val="TableParagraph"/>
              <w:spacing w:before="36"/>
              <w:ind w:left="313"/>
              <w:rPr>
                <w:sz w:val="21"/>
              </w:rPr>
            </w:pPr>
            <w:r>
              <w:rPr>
                <w:sz w:val="21"/>
              </w:rPr>
              <w:t>（4）未还款项；</w:t>
            </w:r>
          </w:p>
          <w:p>
            <w:pPr>
              <w:pStyle w:val="TableParagraph"/>
              <w:spacing w:before="36"/>
              <w:ind w:left="313"/>
              <w:rPr>
                <w:sz w:val="21"/>
              </w:rPr>
            </w:pPr>
            <w:r>
              <w:rPr>
                <w:sz w:val="21"/>
              </w:rPr>
              <w:t>（5）合同内容变更；</w:t>
            </w:r>
          </w:p>
          <w:p>
            <w:pPr>
              <w:pStyle w:val="TableParagraph"/>
              <w:spacing w:before="36"/>
              <w:ind w:left="313"/>
              <w:rPr>
                <w:sz w:val="21"/>
              </w:rPr>
            </w:pPr>
            <w:r>
              <w:rPr>
                <w:sz w:val="21"/>
              </w:rPr>
              <w:t>（6）联系方式变更；</w:t>
            </w:r>
          </w:p>
          <w:p>
            <w:pPr>
              <w:pStyle w:val="TableParagraph"/>
              <w:spacing w:line="255" w:lineRule="exact" w:before="36"/>
              <w:ind w:left="313"/>
              <w:rPr>
                <w:sz w:val="21"/>
              </w:rPr>
            </w:pPr>
            <w:r>
              <w:rPr>
                <w:sz w:val="21"/>
              </w:rPr>
              <w:t>（7）争议处理。</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pStyle w:val="BodyText"/>
        <w:spacing w:before="35"/>
        <w:ind w:left="5057" w:right="4742"/>
        <w:jc w:val="center"/>
      </w:pPr>
      <w:r>
        <w:rPr/>
        <w:t>（完）</w:t>
      </w:r>
    </w:p>
    <w:sectPr>
      <w:pgSz w:w="11910" w:h="16840"/>
      <w:pgMar w:top="11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982" w:hanging="761"/>
        <w:jc w:val="left"/>
      </w:pPr>
      <w:rPr>
        <w:rFonts w:hint="default"/>
      </w:rPr>
    </w:lvl>
    <w:lvl w:ilvl="1">
      <w:start w:val="1"/>
      <w:numFmt w:val="decimal"/>
      <w:lvlText w:val="%1.%2"/>
      <w:lvlJc w:val="left"/>
      <w:pPr>
        <w:ind w:left="982" w:hanging="761"/>
        <w:jc w:val="left"/>
      </w:pPr>
      <w:rPr>
        <w:rFonts w:hint="default" w:ascii="宋体" w:hAnsi="宋体" w:eastAsia="宋体" w:cs="宋体"/>
        <w:b/>
        <w:bCs/>
        <w:w w:val="99"/>
        <w:sz w:val="21"/>
        <w:szCs w:val="21"/>
      </w:rPr>
    </w:lvl>
    <w:lvl w:ilvl="2">
      <w:start w:val="0"/>
      <w:numFmt w:val="bullet"/>
      <w:lvlText w:val="•"/>
      <w:lvlJc w:val="left"/>
      <w:pPr>
        <w:ind w:left="2845" w:hanging="761"/>
      </w:pPr>
      <w:rPr>
        <w:rFonts w:hint="default"/>
      </w:rPr>
    </w:lvl>
    <w:lvl w:ilvl="3">
      <w:start w:val="0"/>
      <w:numFmt w:val="bullet"/>
      <w:lvlText w:val="•"/>
      <w:lvlJc w:val="left"/>
      <w:pPr>
        <w:ind w:left="3777" w:hanging="761"/>
      </w:pPr>
      <w:rPr>
        <w:rFonts w:hint="default"/>
      </w:rPr>
    </w:lvl>
    <w:lvl w:ilvl="4">
      <w:start w:val="0"/>
      <w:numFmt w:val="bullet"/>
      <w:lvlText w:val="•"/>
      <w:lvlJc w:val="left"/>
      <w:pPr>
        <w:ind w:left="4710" w:hanging="761"/>
      </w:pPr>
      <w:rPr>
        <w:rFonts w:hint="default"/>
      </w:rPr>
    </w:lvl>
    <w:lvl w:ilvl="5">
      <w:start w:val="0"/>
      <w:numFmt w:val="bullet"/>
      <w:lvlText w:val="•"/>
      <w:lvlJc w:val="left"/>
      <w:pPr>
        <w:ind w:left="5643" w:hanging="761"/>
      </w:pPr>
      <w:rPr>
        <w:rFonts w:hint="default"/>
      </w:rPr>
    </w:lvl>
    <w:lvl w:ilvl="6">
      <w:start w:val="0"/>
      <w:numFmt w:val="bullet"/>
      <w:lvlText w:val="•"/>
      <w:lvlJc w:val="left"/>
      <w:pPr>
        <w:ind w:left="6575" w:hanging="761"/>
      </w:pPr>
      <w:rPr>
        <w:rFonts w:hint="default"/>
      </w:rPr>
    </w:lvl>
    <w:lvl w:ilvl="7">
      <w:start w:val="0"/>
      <w:numFmt w:val="bullet"/>
      <w:lvlText w:val="•"/>
      <w:lvlJc w:val="left"/>
      <w:pPr>
        <w:ind w:left="7508" w:hanging="761"/>
      </w:pPr>
      <w:rPr>
        <w:rFonts w:hint="default"/>
      </w:rPr>
    </w:lvl>
    <w:lvl w:ilvl="8">
      <w:start w:val="0"/>
      <w:numFmt w:val="bullet"/>
      <w:lvlText w:val="•"/>
      <w:lvlJc w:val="left"/>
      <w:pPr>
        <w:ind w:left="8441" w:hanging="761"/>
      </w:pPr>
      <w:rPr>
        <w:rFonts w:hint="default"/>
      </w:rPr>
    </w:lvl>
  </w:abstractNum>
  <w:abstractNum w:abstractNumId="0">
    <w:multiLevelType w:val="hybridMultilevel"/>
    <w:lvl w:ilvl="0">
      <w:start w:val="1"/>
      <w:numFmt w:val="decimal"/>
      <w:lvlText w:val="%1"/>
      <w:lvlJc w:val="left"/>
      <w:pPr>
        <w:ind w:left="982" w:hanging="761"/>
        <w:jc w:val="left"/>
      </w:pPr>
      <w:rPr>
        <w:rFonts w:hint="default"/>
      </w:rPr>
    </w:lvl>
    <w:lvl w:ilvl="1">
      <w:start w:val="1"/>
      <w:numFmt w:val="decimal"/>
      <w:lvlText w:val="%1.%2"/>
      <w:lvlJc w:val="left"/>
      <w:pPr>
        <w:ind w:left="982" w:hanging="761"/>
        <w:jc w:val="left"/>
      </w:pPr>
      <w:rPr>
        <w:rFonts w:hint="default" w:ascii="宋体" w:hAnsi="宋体" w:eastAsia="宋体" w:cs="宋体"/>
        <w:b/>
        <w:bCs/>
        <w:w w:val="99"/>
        <w:sz w:val="21"/>
        <w:szCs w:val="21"/>
      </w:rPr>
    </w:lvl>
    <w:lvl w:ilvl="2">
      <w:start w:val="0"/>
      <w:numFmt w:val="bullet"/>
      <w:lvlText w:val="•"/>
      <w:lvlJc w:val="left"/>
      <w:pPr>
        <w:ind w:left="2845" w:hanging="761"/>
      </w:pPr>
      <w:rPr>
        <w:rFonts w:hint="default"/>
      </w:rPr>
    </w:lvl>
    <w:lvl w:ilvl="3">
      <w:start w:val="0"/>
      <w:numFmt w:val="bullet"/>
      <w:lvlText w:val="•"/>
      <w:lvlJc w:val="left"/>
      <w:pPr>
        <w:ind w:left="3777" w:hanging="761"/>
      </w:pPr>
      <w:rPr>
        <w:rFonts w:hint="default"/>
      </w:rPr>
    </w:lvl>
    <w:lvl w:ilvl="4">
      <w:start w:val="0"/>
      <w:numFmt w:val="bullet"/>
      <w:lvlText w:val="•"/>
      <w:lvlJc w:val="left"/>
      <w:pPr>
        <w:ind w:left="4710" w:hanging="761"/>
      </w:pPr>
      <w:rPr>
        <w:rFonts w:hint="default"/>
      </w:rPr>
    </w:lvl>
    <w:lvl w:ilvl="5">
      <w:start w:val="0"/>
      <w:numFmt w:val="bullet"/>
      <w:lvlText w:val="•"/>
      <w:lvlJc w:val="left"/>
      <w:pPr>
        <w:ind w:left="5643" w:hanging="761"/>
      </w:pPr>
      <w:rPr>
        <w:rFonts w:hint="default"/>
      </w:rPr>
    </w:lvl>
    <w:lvl w:ilvl="6">
      <w:start w:val="0"/>
      <w:numFmt w:val="bullet"/>
      <w:lvlText w:val="•"/>
      <w:lvlJc w:val="left"/>
      <w:pPr>
        <w:ind w:left="6575" w:hanging="761"/>
      </w:pPr>
      <w:rPr>
        <w:rFonts w:hint="default"/>
      </w:rPr>
    </w:lvl>
    <w:lvl w:ilvl="7">
      <w:start w:val="0"/>
      <w:numFmt w:val="bullet"/>
      <w:lvlText w:val="•"/>
      <w:lvlJc w:val="left"/>
      <w:pPr>
        <w:ind w:left="7508" w:hanging="761"/>
      </w:pPr>
      <w:rPr>
        <w:rFonts w:hint="default"/>
      </w:rPr>
    </w:lvl>
    <w:lvl w:ilvl="8">
      <w:start w:val="0"/>
      <w:numFmt w:val="bullet"/>
      <w:lvlText w:val="•"/>
      <w:lvlJc w:val="left"/>
      <w:pPr>
        <w:ind w:left="8441" w:hanging="7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101"/>
      <w:outlineLvl w:val="2"/>
    </w:pPr>
    <w:rPr>
      <w:rFonts w:ascii="等线" w:hAnsi="等线" w:eastAsia="等线" w:cs="等线"/>
      <w:b/>
      <w:bCs/>
      <w:sz w:val="24"/>
      <w:szCs w:val="24"/>
    </w:rPr>
  </w:style>
  <w:style w:styleId="Heading3" w:type="paragraph">
    <w:name w:val="Heading 3"/>
    <w:basedOn w:val="Normal"/>
    <w:uiPriority w:val="1"/>
    <w:qFormat/>
    <w:pPr>
      <w:spacing w:line="255" w:lineRule="exact"/>
      <w:ind w:left="981"/>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35"/>
      <w:ind w:left="982" w:hanging="761"/>
    </w:pPr>
    <w:rPr>
      <w:rFonts w:ascii="宋体" w:hAnsi="宋体" w:eastAsia="宋体" w:cs="宋体"/>
    </w:rPr>
  </w:style>
  <w:style w:styleId="TableParagraph" w:type="paragraph">
    <w:name w:val="Table Paragraph"/>
    <w:basedOn w:val="Normal"/>
    <w:uiPriority w:val="1"/>
    <w:qFormat/>
    <w:pPr>
      <w:ind w:left="9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2018-10-19T23:32:25Z</dcterms:created>
  <dcterms:modified xsi:type="dcterms:W3CDTF">2018-10-19T23:32:25Z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2015-03-10T00:00:00Z</vt:filetime>
  </property>
  <property fmtid="{D5CDD505-2E9C-101B-9397-08002B2CF9AE}" pid="3" name="Creator">
    <vt:lpwstr>Acrobat PDFMaker 11 Word 版</vt:lpwstr>
  </property>
  <property fmtid="{D5CDD505-2E9C-101B-9397-08002B2CF9AE}" pid="4" name="LastSaved">
    <vt:filetime>2018-10-19T00:00:00Z</vt:filetime>
  </property>
</Properties>
</file>