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43"/>
        </w:rPr>
      </w:pPr>
    </w:p>
    <w:p>
      <w:pPr>
        <w:pStyle w:val="Heading1"/>
        <w:jc w:val="right"/>
      </w:pPr>
      <w:r>
        <w:rPr/>
        <w:t>阅  读  指 引</w:t>
      </w:r>
    </w:p>
    <w:p>
      <w:pPr>
        <w:spacing w:before="38"/>
        <w:ind w:left="1239" w:right="638" w:firstLine="0"/>
        <w:jc w:val="center"/>
        <w:rPr>
          <w:sz w:val="16"/>
        </w:rPr>
      </w:pPr>
      <w:r>
        <w:rPr/>
        <w:br w:type="column"/>
      </w:r>
      <w:r>
        <w:rPr>
          <w:sz w:val="16"/>
        </w:rPr>
        <w:t>平安人寿[2012]疾病保险 080 号</w:t>
      </w:r>
    </w:p>
    <w:p>
      <w:pPr>
        <w:pStyle w:val="BodyText"/>
        <w:spacing w:before="1"/>
        <w:rPr>
          <w:sz w:val="3"/>
        </w:rPr>
      </w:pPr>
    </w:p>
    <w:p>
      <w:pPr>
        <w:pStyle w:val="BodyText"/>
        <w:ind w:left="2085"/>
        <w:rPr>
          <w:sz w:val="20"/>
        </w:rPr>
      </w:pPr>
      <w:r>
        <w:rPr>
          <w:sz w:val="20"/>
        </w:rPr>
        <w:drawing>
          <wp:inline distT="0" distB="0" distL="0" distR="0">
            <wp:extent cx="434340"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0" cy="434340"/>
                    </a:xfrm>
                    <a:prstGeom prst="rect">
                      <a:avLst/>
                    </a:prstGeom>
                  </pic:spPr>
                </pic:pic>
              </a:graphicData>
            </a:graphic>
          </wp:inline>
        </w:drawing>
      </w:r>
      <w:r>
        <w:rPr>
          <w:sz w:val="20"/>
        </w:rPr>
      </w:r>
    </w:p>
    <w:p>
      <w:pPr>
        <w:spacing w:before="57"/>
        <w:ind w:left="1234" w:right="638" w:firstLine="0"/>
        <w:jc w:val="center"/>
        <w:rPr>
          <w:sz w:val="16"/>
        </w:rPr>
      </w:pPr>
      <w:r>
        <w:rPr>
          <w:sz w:val="16"/>
        </w:rPr>
        <w:t>请扫描以查询验证条款</w:t>
      </w:r>
    </w:p>
    <w:p>
      <w:pPr>
        <w:spacing w:after="0"/>
        <w:jc w:val="center"/>
        <w:rPr>
          <w:sz w:val="16"/>
        </w:rPr>
        <w:sectPr>
          <w:type w:val="continuous"/>
          <w:pgSz w:w="11910" w:h="16840"/>
          <w:pgMar w:top="560" w:bottom="280" w:left="840" w:right="800"/>
          <w:cols w:num="2" w:equalWidth="0">
            <w:col w:w="5993" w:space="40"/>
            <w:col w:w="4237"/>
          </w:cols>
        </w:sectPr>
      </w:pPr>
    </w:p>
    <w:p>
      <w:pPr>
        <w:pStyle w:val="BodyText"/>
        <w:spacing w:before="13"/>
        <w:ind w:left="588"/>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52"/>
          <w:w w:val="100"/>
        </w:rPr>
        <w:t>对</w:t>
      </w:r>
      <w:r>
        <w:rPr>
          <w:spacing w:val="-63"/>
          <w:w w:val="100"/>
          <w:position w:val="-7"/>
        </w:rPr>
        <w:t>．</w:t>
      </w:r>
      <w:r>
        <w:rPr>
          <w:b/>
          <w:spacing w:val="-149"/>
          <w:w w:val="100"/>
        </w:rPr>
        <w:t>“</w:t>
      </w:r>
      <w:r>
        <w:rPr>
          <w:spacing w:val="-63"/>
          <w:w w:val="100"/>
          <w:position w:val="-7"/>
        </w:rPr>
        <w:t>．</w:t>
      </w:r>
      <w:r>
        <w:rPr>
          <w:b/>
          <w:spacing w:val="-149"/>
          <w:w w:val="100"/>
        </w:rPr>
        <w:t>平</w:t>
      </w:r>
      <w:r>
        <w:rPr>
          <w:spacing w:val="-63"/>
          <w:w w:val="100"/>
          <w:position w:val="-7"/>
        </w:rPr>
        <w:t>．</w:t>
      </w:r>
      <w:r>
        <w:rPr>
          <w:b/>
          <w:spacing w:val="-149"/>
          <w:w w:val="100"/>
        </w:rPr>
        <w:t>安</w:t>
      </w:r>
      <w:r>
        <w:rPr>
          <w:spacing w:val="-63"/>
          <w:w w:val="100"/>
          <w:position w:val="-7"/>
        </w:rPr>
        <w:t>．</w:t>
      </w:r>
      <w:r>
        <w:rPr>
          <w:b/>
          <w:spacing w:val="-149"/>
          <w:w w:val="100"/>
        </w:rPr>
        <w:t>附</w:t>
      </w:r>
      <w:r>
        <w:rPr>
          <w:spacing w:val="-63"/>
          <w:w w:val="100"/>
          <w:position w:val="-7"/>
        </w:rPr>
        <w:t>．</w:t>
      </w:r>
      <w:r>
        <w:rPr>
          <w:b/>
          <w:spacing w:val="-149"/>
          <w:w w:val="100"/>
        </w:rPr>
        <w:t>加</w:t>
      </w:r>
      <w:r>
        <w:rPr>
          <w:spacing w:val="-63"/>
          <w:w w:val="100"/>
          <w:position w:val="-7"/>
        </w:rPr>
        <w:t>．</w:t>
      </w:r>
      <w:r>
        <w:rPr>
          <w:b/>
          <w:spacing w:val="-149"/>
          <w:w w:val="100"/>
        </w:rPr>
        <w:t>护</w:t>
      </w:r>
      <w:r>
        <w:rPr>
          <w:spacing w:val="-63"/>
          <w:w w:val="100"/>
          <w:position w:val="-7"/>
        </w:rPr>
        <w:t>．</w:t>
      </w:r>
      <w:r>
        <w:rPr>
          <w:b/>
          <w:spacing w:val="-152"/>
          <w:w w:val="100"/>
        </w:rPr>
        <w:t>身</w:t>
      </w:r>
      <w:r>
        <w:rPr>
          <w:spacing w:val="-63"/>
          <w:w w:val="100"/>
          <w:position w:val="-7"/>
        </w:rPr>
        <w:t>．</w:t>
      </w:r>
      <w:r>
        <w:rPr>
          <w:b/>
          <w:spacing w:val="-149"/>
          <w:w w:val="100"/>
        </w:rPr>
        <w:t>福</w:t>
      </w:r>
      <w:r>
        <w:rPr>
          <w:spacing w:val="-63"/>
          <w:w w:val="100"/>
          <w:position w:val="-7"/>
        </w:rPr>
        <w:t>．</w:t>
      </w:r>
      <w:r>
        <w:rPr>
          <w:b/>
          <w:spacing w:val="-149"/>
          <w:w w:val="100"/>
        </w:rPr>
        <w:t>重</w:t>
      </w:r>
      <w:r>
        <w:rPr>
          <w:spacing w:val="-63"/>
          <w:w w:val="100"/>
          <w:position w:val="-7"/>
        </w:rPr>
        <w:t>．</w:t>
      </w:r>
      <w:r>
        <w:rPr>
          <w:b/>
          <w:spacing w:val="-149"/>
          <w:w w:val="100"/>
        </w:rPr>
        <w:t>大</w:t>
      </w:r>
      <w:r>
        <w:rPr>
          <w:spacing w:val="-63"/>
          <w:w w:val="100"/>
          <w:position w:val="-7"/>
        </w:rPr>
        <w:t>．</w:t>
      </w:r>
      <w:r>
        <w:rPr>
          <w:b/>
          <w:spacing w:val="-149"/>
          <w:w w:val="100"/>
        </w:rPr>
        <w:t>疾</w:t>
      </w:r>
      <w:r>
        <w:rPr>
          <w:spacing w:val="-63"/>
          <w:w w:val="100"/>
          <w:position w:val="-7"/>
        </w:rPr>
        <w:t>．</w:t>
      </w:r>
      <w:r>
        <w:rPr>
          <w:b/>
          <w:spacing w:val="-149"/>
          <w:w w:val="100"/>
        </w:rPr>
        <w:t>病</w:t>
      </w:r>
      <w:r>
        <w:rPr>
          <w:spacing w:val="-63"/>
          <w:w w:val="100"/>
          <w:position w:val="-7"/>
        </w:rPr>
        <w:t>．</w:t>
      </w:r>
      <w:r>
        <w:rPr>
          <w:b/>
          <w:spacing w:val="-149"/>
          <w:w w:val="100"/>
        </w:rPr>
        <w:t>保</w:t>
      </w:r>
      <w:r>
        <w:rPr>
          <w:spacing w:val="-63"/>
          <w:w w:val="100"/>
          <w:position w:val="-7"/>
        </w:rPr>
        <w:t>．</w:t>
      </w:r>
      <w:r>
        <w:rPr>
          <w:b/>
          <w:spacing w:val="-149"/>
          <w:w w:val="100"/>
        </w:rPr>
        <w:t>险</w:t>
      </w:r>
      <w:r>
        <w:rPr>
          <w:spacing w:val="-63"/>
          <w:w w:val="100"/>
          <w:position w:val="-7"/>
        </w:rPr>
        <w:t>．</w:t>
      </w:r>
      <w:r>
        <w:rPr>
          <w:b/>
          <w:spacing w:val="-149"/>
          <w:w w:val="100"/>
        </w:rPr>
        <w:t>合</w:t>
      </w:r>
      <w:r>
        <w:rPr>
          <w:spacing w:val="-63"/>
          <w:w w:val="100"/>
          <w:position w:val="-7"/>
        </w:rPr>
        <w:t>．</w:t>
      </w:r>
      <w:r>
        <w:rPr>
          <w:b/>
          <w:spacing w:val="-152"/>
          <w:w w:val="100"/>
        </w:rPr>
        <w:t>同</w:t>
      </w:r>
      <w:r>
        <w:rPr>
          <w:spacing w:val="-63"/>
          <w:w w:val="100"/>
          <w:position w:val="-7"/>
        </w:rPr>
        <w:t>．</w:t>
      </w:r>
      <w:r>
        <w:rPr>
          <w:b/>
          <w:spacing w:val="-149"/>
          <w:w w:val="100"/>
        </w:rPr>
        <w:t>”</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152"/>
          <w:w w:val="100"/>
        </w:rPr>
        <w:t>。</w:t>
      </w:r>
      <w:r>
        <w:rPr>
          <w:w w:val="100"/>
          <w:position w:val="-7"/>
        </w:rPr>
        <w:t>．</w:t>
      </w:r>
    </w:p>
    <w:p>
      <w:pPr>
        <w:pStyle w:val="BodyText"/>
        <w:spacing w:before="8"/>
        <w:rPr>
          <w:sz w:val="39"/>
        </w:rPr>
      </w:pPr>
    </w:p>
    <w:p>
      <w:pPr>
        <w:pStyle w:val="Heading3"/>
        <w:tabs>
          <w:tab w:pos="1355" w:val="left" w:leader="none"/>
        </w:tabs>
      </w:pPr>
      <w:r>
        <w:rPr/>
        <w:pict>
          <v:group style="position:absolute;margin-left:47.279999pt;margin-top:-7.29227pt;width:502.1pt;height:630.4pt;mso-position-horizontal-relative:page;mso-position-vertical-relative:paragraph;z-index:-33952" coordorigin="946,-146" coordsize="10042,12608">
            <v:shape style="position:absolute;left:945;top:-146;width:10042;height:12608" type="#_x0000_t75" stroked="false">
              <v:imagedata r:id="rId6" o:title=""/>
            </v:shape>
            <v:rect style="position:absolute;left:1603;top:5862;width:9179;height:6061" filled="false" stroked="true" strokeweight=".75pt" strokecolor="#000000">
              <v:stroke dashstyle="shortdot"/>
            </v:rect>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737" w:val="left" w:leader="none"/>
          <w:tab w:pos="1738" w:val="left" w:leader="none"/>
          <w:tab w:pos="9618" w:val="right" w:leader="dot"/>
        </w:tabs>
        <w:spacing w:line="240" w:lineRule="auto" w:before="26" w:after="0"/>
        <w:ind w:left="173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355" w:val="left" w:leader="none"/>
        </w:tabs>
        <w:spacing w:before="22"/>
        <w:ind w:left="3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7" w:val="left" w:leader="none"/>
          <w:tab w:pos="1738" w:val="left" w:leader="none"/>
        </w:tabs>
        <w:spacing w:line="240" w:lineRule="auto" w:before="25" w:after="0"/>
        <w:ind w:left="1737" w:right="0" w:hanging="420"/>
        <w:jc w:val="left"/>
        <w:rPr>
          <w:sz w:val="21"/>
        </w:rPr>
      </w:pPr>
      <w:r>
        <w:rPr>
          <w:spacing w:val="-3"/>
          <w:sz w:val="21"/>
        </w:rPr>
        <w:t>在某些情况下，我们不承担保险责任，详见条款正文中背景突出显示的内容</w:t>
      </w:r>
    </w:p>
    <w:p>
      <w:pPr>
        <w:pStyle w:val="BodyText"/>
        <w:spacing w:before="21"/>
        <w:ind w:left="1737"/>
      </w:pPr>
      <w:r>
        <w:rPr/>
        <w:t>……………………………………………………………………2.2、2.3、8.1、9.3、9.4</w:t>
      </w:r>
    </w:p>
    <w:p>
      <w:pPr>
        <w:pStyle w:val="ListParagraph"/>
        <w:numPr>
          <w:ilvl w:val="0"/>
          <w:numId w:val="1"/>
        </w:numPr>
        <w:tabs>
          <w:tab w:pos="1737" w:val="left" w:leader="none"/>
          <w:tab w:pos="1738" w:val="left" w:leader="none"/>
          <w:tab w:pos="9618" w:val="right" w:leader="dot"/>
        </w:tabs>
        <w:spacing w:line="240" w:lineRule="auto" w:before="36" w:after="0"/>
        <w:ind w:left="17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737" w:val="left" w:leader="none"/>
          <w:tab w:pos="1738" w:val="left" w:leader="none"/>
          <w:tab w:pos="9408" w:val="right" w:leader="dot"/>
        </w:tabs>
        <w:spacing w:line="240" w:lineRule="auto" w:before="22" w:after="0"/>
        <w:ind w:left="17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737" w:val="left" w:leader="none"/>
          <w:tab w:pos="1738" w:val="left" w:leader="none"/>
        </w:tabs>
        <w:spacing w:line="240" w:lineRule="auto" w:before="22" w:after="0"/>
        <w:ind w:left="1737" w:right="0" w:hanging="419"/>
        <w:jc w:val="left"/>
        <w:rPr>
          <w:sz w:val="21"/>
        </w:rPr>
      </w:pPr>
      <w:r>
        <w:rPr>
          <w:spacing w:val="-3"/>
          <w:sz w:val="21"/>
        </w:rPr>
        <w:t>保险条款有关于重大疾病及特定轻度重疾的释义，请您留意………………… </w:t>
      </w:r>
      <w:r>
        <w:rPr>
          <w:sz w:val="21"/>
        </w:rPr>
        <w:t>9.3、9.4</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8.2</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pacing w:val="-3"/>
          <w:sz w:val="21"/>
        </w:rPr>
        <w:t>若您申请解除本附加险合同，主险合同必须同时申请解除…………………… </w:t>
      </w:r>
      <w:r>
        <w:rPr>
          <w:sz w:val="21"/>
        </w:rPr>
        <w:t>1.4、7.1</w:t>
      </w:r>
    </w:p>
    <w:p>
      <w:pPr>
        <w:pStyle w:val="Heading3"/>
        <w:tabs>
          <w:tab w:pos="1355" w:val="left" w:leader="none"/>
        </w:tabs>
        <w:spacing w:before="22"/>
      </w:pPr>
      <w:r>
        <w:rPr>
          <w:rFonts w:ascii="Arial" w:hAnsi="Arial" w:eastAsia="Arial"/>
          <w:w w:val="105"/>
          <w:position w:val="-11"/>
          <w:sz w:val="52"/>
        </w:rPr>
        <w:t></w:t>
        <w:tab/>
      </w:r>
      <w:r>
        <w:rPr>
          <w:spacing w:val="-3"/>
        </w:rPr>
        <w:t>条款是保险合同的重要内容，为充分保障您的权益，请您仔细阅读本条款。</w:t>
      </w:r>
    </w:p>
    <w:p>
      <w:pPr>
        <w:tabs>
          <w:tab w:pos="1355" w:val="left" w:leader="none"/>
        </w:tabs>
        <w:spacing w:before="25"/>
        <w:ind w:left="345"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60" w:bottom="280" w:left="840" w:right="800"/>
        </w:sectPr>
      </w:pPr>
    </w:p>
    <w:p>
      <w:pPr>
        <w:pStyle w:val="Heading3"/>
        <w:spacing w:line="349" w:lineRule="exact"/>
        <w:ind w:left="1089"/>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1724" w:val="left" w:leader="none"/>
        </w:tabs>
        <w:spacing w:line="266" w:lineRule="exact" w:before="0" w:after="0"/>
        <w:ind w:left="1723" w:right="0" w:hanging="423"/>
        <w:jc w:val="left"/>
        <w:rPr>
          <w:sz w:val="21"/>
        </w:rPr>
      </w:pPr>
      <w:r>
        <w:rPr>
          <w:spacing w:val="-3"/>
          <w:sz w:val="21"/>
        </w:rPr>
        <w:t>合同订立</w:t>
      </w:r>
    </w:p>
    <w:p>
      <w:pPr>
        <w:pStyle w:val="ListParagraph"/>
        <w:numPr>
          <w:ilvl w:val="1"/>
          <w:numId w:val="2"/>
        </w:numPr>
        <w:tabs>
          <w:tab w:pos="1724" w:val="left" w:leader="none"/>
        </w:tabs>
        <w:spacing w:line="240" w:lineRule="auto" w:before="6" w:after="0"/>
        <w:ind w:left="1723" w:right="0" w:hanging="423"/>
        <w:jc w:val="left"/>
        <w:rPr>
          <w:sz w:val="21"/>
        </w:rPr>
      </w:pPr>
      <w:r>
        <w:rPr>
          <w:spacing w:val="-3"/>
          <w:sz w:val="21"/>
        </w:rPr>
        <w:t>合同生效</w:t>
      </w:r>
    </w:p>
    <w:p>
      <w:pPr>
        <w:pStyle w:val="ListParagraph"/>
        <w:numPr>
          <w:ilvl w:val="1"/>
          <w:numId w:val="2"/>
        </w:numPr>
        <w:tabs>
          <w:tab w:pos="1724" w:val="left" w:leader="none"/>
        </w:tabs>
        <w:spacing w:line="240" w:lineRule="auto" w:before="3" w:after="0"/>
        <w:ind w:left="1723" w:right="0" w:hanging="423"/>
        <w:jc w:val="left"/>
        <w:rPr>
          <w:sz w:val="21"/>
        </w:rPr>
      </w:pPr>
      <w:r>
        <w:rPr>
          <w:spacing w:val="-3"/>
          <w:sz w:val="21"/>
        </w:rPr>
        <w:t>投保年龄</w:t>
      </w:r>
    </w:p>
    <w:p>
      <w:pPr>
        <w:pStyle w:val="ListParagraph"/>
        <w:numPr>
          <w:ilvl w:val="1"/>
          <w:numId w:val="2"/>
        </w:numPr>
        <w:tabs>
          <w:tab w:pos="1724" w:val="left" w:leader="none"/>
        </w:tabs>
        <w:spacing w:line="240" w:lineRule="auto" w:before="5" w:after="0"/>
        <w:ind w:left="1723" w:right="0" w:hanging="423"/>
        <w:jc w:val="left"/>
        <w:rPr>
          <w:sz w:val="21"/>
        </w:rPr>
      </w:pPr>
      <w:r>
        <w:rPr>
          <w:spacing w:val="-2"/>
          <w:sz w:val="21"/>
        </w:rPr>
        <w:t>犹豫期</w:t>
      </w:r>
    </w:p>
    <w:p>
      <w:pPr>
        <w:pStyle w:val="ListParagraph"/>
        <w:numPr>
          <w:ilvl w:val="1"/>
          <w:numId w:val="2"/>
        </w:numPr>
        <w:tabs>
          <w:tab w:pos="1724" w:val="left" w:leader="none"/>
        </w:tabs>
        <w:spacing w:line="243" w:lineRule="exact" w:before="5" w:after="0"/>
        <w:ind w:left="1723" w:right="0" w:hanging="423"/>
        <w:jc w:val="left"/>
        <w:rPr>
          <w:sz w:val="21"/>
        </w:rPr>
      </w:pPr>
      <w:r>
        <w:rPr>
          <w:spacing w:val="-3"/>
          <w:sz w:val="21"/>
        </w:rPr>
        <w:t>保险期间</w:t>
      </w:r>
    </w:p>
    <w:p>
      <w:pPr>
        <w:pStyle w:val="Heading3"/>
        <w:spacing w:line="325" w:lineRule="exact"/>
        <w:ind w:left="1089"/>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1724" w:val="left" w:leader="none"/>
        </w:tabs>
        <w:spacing w:line="266" w:lineRule="exact" w:before="0" w:after="0"/>
        <w:ind w:left="1723" w:right="0" w:hanging="423"/>
        <w:jc w:val="left"/>
        <w:rPr>
          <w:sz w:val="21"/>
        </w:rPr>
      </w:pPr>
      <w:r>
        <w:rPr>
          <w:spacing w:val="-3"/>
          <w:sz w:val="21"/>
        </w:rPr>
        <w:t>保险金额</w:t>
      </w:r>
    </w:p>
    <w:p>
      <w:pPr>
        <w:pStyle w:val="ListParagraph"/>
        <w:numPr>
          <w:ilvl w:val="1"/>
          <w:numId w:val="3"/>
        </w:numPr>
        <w:tabs>
          <w:tab w:pos="1724" w:val="left" w:leader="none"/>
        </w:tabs>
        <w:spacing w:line="240" w:lineRule="auto" w:before="5" w:after="0"/>
        <w:ind w:left="1723" w:right="0" w:hanging="423"/>
        <w:jc w:val="left"/>
        <w:rPr>
          <w:sz w:val="21"/>
        </w:rPr>
      </w:pPr>
      <w:r>
        <w:rPr>
          <w:spacing w:val="-3"/>
          <w:sz w:val="21"/>
        </w:rPr>
        <w:t>保险责任</w:t>
      </w:r>
    </w:p>
    <w:p>
      <w:pPr>
        <w:pStyle w:val="BodyText"/>
        <w:spacing w:line="244" w:lineRule="exact" w:before="59"/>
        <w:ind w:left="1095"/>
      </w:pPr>
      <w:r>
        <w:rPr/>
        <w:br w:type="column"/>
      </w:r>
      <w:r>
        <w:rPr/>
        <w:t>5.2 减额交清</w:t>
      </w:r>
    </w:p>
    <w:p>
      <w:pPr>
        <w:pStyle w:val="Heading3"/>
        <w:spacing w:line="326" w:lineRule="exact"/>
        <w:ind w:left="883"/>
        <w:rPr>
          <w:rFonts w:ascii="Microsoft JhengHei" w:eastAsia="Microsoft JhengHei" w:hint="eastAsia"/>
        </w:rPr>
      </w:pPr>
      <w:r>
        <w:rPr/>
        <w:t>6.</w:t>
      </w:r>
      <w:r>
        <w:rPr>
          <w:rFonts w:ascii="Microsoft JhengHei" w:eastAsia="Microsoft JhengHei" w:hint="eastAsia"/>
        </w:rPr>
        <w:t>合同效力的恢复</w:t>
      </w:r>
    </w:p>
    <w:p>
      <w:pPr>
        <w:pStyle w:val="BodyText"/>
        <w:spacing w:line="234" w:lineRule="exact"/>
        <w:ind w:left="1095"/>
      </w:pPr>
      <w:r>
        <w:rPr/>
        <w:t>6.1 效力恢复</w:t>
      </w:r>
    </w:p>
    <w:p>
      <w:pPr>
        <w:pStyle w:val="Heading3"/>
        <w:spacing w:line="325" w:lineRule="exact"/>
        <w:ind w:left="883"/>
        <w:rPr>
          <w:rFonts w:ascii="Microsoft JhengHei" w:eastAsia="Microsoft JhengHei" w:hint="eastAsia"/>
        </w:rPr>
      </w:pPr>
      <w:r>
        <w:rPr/>
        <w:t>7.</w:t>
      </w:r>
      <w:r>
        <w:rPr>
          <w:rFonts w:ascii="Microsoft JhengHei" w:eastAsia="Microsoft JhengHei" w:hint="eastAsia"/>
        </w:rPr>
        <w:t>如何解除保险合同</w:t>
      </w:r>
    </w:p>
    <w:p>
      <w:pPr>
        <w:pStyle w:val="BodyText"/>
        <w:spacing w:line="244" w:lineRule="auto"/>
        <w:ind w:left="1515" w:hanging="421"/>
      </w:pPr>
      <w:r>
        <w:rPr/>
        <w:t>7.1 您解除合同的手续及风险</w:t>
      </w:r>
    </w:p>
    <w:p>
      <w:pPr>
        <w:pStyle w:val="Heading3"/>
        <w:spacing w:line="289" w:lineRule="exact" w:before="8"/>
        <w:ind w:left="883"/>
        <w:rPr>
          <w:rFonts w:ascii="Microsoft JhengHei" w:eastAsia="Microsoft JhengHei" w:hint="eastAsia"/>
        </w:rPr>
      </w:pPr>
      <w:r>
        <w:rPr/>
        <w:t>8.</w:t>
      </w:r>
      <w:r>
        <w:rPr>
          <w:rFonts w:ascii="Microsoft JhengHei" w:eastAsia="Microsoft JhengHei" w:hint="eastAsia"/>
        </w:rPr>
        <w:t>其他需要关注的事项</w:t>
      </w:r>
    </w:p>
    <w:p>
      <w:pPr>
        <w:pStyle w:val="ListParagraph"/>
        <w:numPr>
          <w:ilvl w:val="1"/>
          <w:numId w:val="4"/>
        </w:numPr>
        <w:tabs>
          <w:tab w:pos="1518" w:val="left" w:leader="none"/>
        </w:tabs>
        <w:spacing w:line="266" w:lineRule="exact" w:before="0" w:after="0"/>
        <w:ind w:left="1517" w:right="0" w:hanging="422"/>
        <w:jc w:val="left"/>
        <w:rPr>
          <w:sz w:val="21"/>
        </w:rPr>
      </w:pPr>
      <w:r>
        <w:rPr>
          <w:spacing w:val="-3"/>
          <w:sz w:val="21"/>
        </w:rPr>
        <w:t>年龄错误</w:t>
      </w:r>
    </w:p>
    <w:p>
      <w:pPr>
        <w:pStyle w:val="ListParagraph"/>
        <w:numPr>
          <w:ilvl w:val="1"/>
          <w:numId w:val="4"/>
        </w:numPr>
        <w:tabs>
          <w:tab w:pos="1518" w:val="left" w:leader="none"/>
        </w:tabs>
        <w:spacing w:line="240" w:lineRule="auto" w:before="6" w:after="0"/>
        <w:ind w:left="1517" w:right="0" w:hanging="422"/>
        <w:jc w:val="left"/>
        <w:rPr>
          <w:sz w:val="21"/>
        </w:rPr>
      </w:pPr>
      <w:r>
        <w:rPr>
          <w:spacing w:val="-3"/>
          <w:sz w:val="21"/>
        </w:rPr>
        <w:t>效力终止</w:t>
      </w:r>
    </w:p>
    <w:p>
      <w:pPr>
        <w:pStyle w:val="ListParagraph"/>
        <w:numPr>
          <w:ilvl w:val="1"/>
          <w:numId w:val="5"/>
        </w:numPr>
        <w:tabs>
          <w:tab w:pos="940" w:val="left" w:leader="none"/>
        </w:tabs>
        <w:spacing w:line="240" w:lineRule="auto" w:before="150" w:after="0"/>
        <w:ind w:left="1013" w:right="0" w:hanging="497"/>
        <w:jc w:val="left"/>
        <w:rPr>
          <w:sz w:val="21"/>
        </w:rPr>
      </w:pPr>
      <w:r>
        <w:rPr>
          <w:spacing w:val="-3"/>
          <w:w w:val="100"/>
          <w:sz w:val="21"/>
        </w:rPr>
        <w:br w:type="column"/>
      </w:r>
      <w:r>
        <w:rPr>
          <w:spacing w:val="-3"/>
          <w:sz w:val="21"/>
        </w:rPr>
        <w:t>永久不可逆</w:t>
      </w:r>
    </w:p>
    <w:p>
      <w:pPr>
        <w:pStyle w:val="ListParagraph"/>
        <w:numPr>
          <w:ilvl w:val="1"/>
          <w:numId w:val="5"/>
        </w:numPr>
        <w:tabs>
          <w:tab w:pos="1043" w:val="left" w:leader="none"/>
        </w:tabs>
        <w:spacing w:line="240" w:lineRule="auto" w:before="5" w:after="0"/>
        <w:ind w:left="1042" w:right="0" w:hanging="526"/>
        <w:jc w:val="left"/>
        <w:rPr>
          <w:sz w:val="21"/>
        </w:rPr>
      </w:pPr>
      <w:r>
        <w:rPr>
          <w:spacing w:val="-3"/>
          <w:sz w:val="21"/>
        </w:rPr>
        <w:t>心功能状态分级</w:t>
      </w:r>
    </w:p>
    <w:p>
      <w:pPr>
        <w:pStyle w:val="ListParagraph"/>
        <w:numPr>
          <w:ilvl w:val="1"/>
          <w:numId w:val="5"/>
        </w:numPr>
        <w:tabs>
          <w:tab w:pos="1043" w:val="left" w:leader="none"/>
        </w:tabs>
        <w:spacing w:line="240" w:lineRule="auto" w:before="5" w:after="0"/>
        <w:ind w:left="1042" w:right="0" w:hanging="526"/>
        <w:jc w:val="left"/>
        <w:rPr>
          <w:sz w:val="21"/>
        </w:rPr>
      </w:pPr>
      <w:r>
        <w:rPr>
          <w:spacing w:val="-2"/>
          <w:sz w:val="21"/>
        </w:rPr>
        <w:t>意外伤害</w:t>
      </w:r>
    </w:p>
    <w:p>
      <w:pPr>
        <w:pStyle w:val="ListParagraph"/>
        <w:numPr>
          <w:ilvl w:val="1"/>
          <w:numId w:val="5"/>
        </w:numPr>
        <w:tabs>
          <w:tab w:pos="1043" w:val="left" w:leader="none"/>
        </w:tabs>
        <w:spacing w:line="240" w:lineRule="auto" w:before="3" w:after="0"/>
        <w:ind w:left="1042" w:right="0" w:hanging="526"/>
        <w:jc w:val="left"/>
        <w:rPr>
          <w:sz w:val="21"/>
        </w:rPr>
      </w:pPr>
      <w:r>
        <w:rPr>
          <w:sz w:val="21"/>
        </w:rPr>
        <w:t>医院</w:t>
      </w:r>
    </w:p>
    <w:p>
      <w:pPr>
        <w:pStyle w:val="ListParagraph"/>
        <w:numPr>
          <w:ilvl w:val="1"/>
          <w:numId w:val="5"/>
        </w:numPr>
        <w:tabs>
          <w:tab w:pos="1043" w:val="left" w:leader="none"/>
        </w:tabs>
        <w:spacing w:line="240" w:lineRule="auto" w:before="6" w:after="0"/>
        <w:ind w:left="1042" w:right="0" w:hanging="526"/>
        <w:jc w:val="left"/>
        <w:rPr>
          <w:sz w:val="21"/>
        </w:rPr>
      </w:pPr>
      <w:r>
        <w:rPr>
          <w:sz w:val="21"/>
        </w:rPr>
        <w:t>毒品</w:t>
      </w:r>
    </w:p>
    <w:p>
      <w:pPr>
        <w:pStyle w:val="ListParagraph"/>
        <w:numPr>
          <w:ilvl w:val="1"/>
          <w:numId w:val="5"/>
        </w:numPr>
        <w:tabs>
          <w:tab w:pos="1043" w:val="left" w:leader="none"/>
        </w:tabs>
        <w:spacing w:line="240" w:lineRule="auto" w:before="6" w:after="0"/>
        <w:ind w:left="1042" w:right="0" w:hanging="525"/>
        <w:jc w:val="left"/>
        <w:rPr>
          <w:sz w:val="21"/>
        </w:rPr>
      </w:pPr>
      <w:r>
        <w:rPr>
          <w:spacing w:val="-2"/>
          <w:sz w:val="21"/>
        </w:rPr>
        <w:t>酒后驾驶</w:t>
      </w:r>
    </w:p>
    <w:p>
      <w:pPr>
        <w:pStyle w:val="ListParagraph"/>
        <w:numPr>
          <w:ilvl w:val="1"/>
          <w:numId w:val="5"/>
        </w:numPr>
        <w:tabs>
          <w:tab w:pos="1043" w:val="left" w:leader="none"/>
        </w:tabs>
        <w:spacing w:line="240" w:lineRule="auto" w:before="3" w:after="0"/>
        <w:ind w:left="1042" w:right="0" w:hanging="525"/>
        <w:jc w:val="left"/>
        <w:rPr>
          <w:sz w:val="21"/>
        </w:rPr>
      </w:pPr>
      <w:r>
        <w:rPr>
          <w:spacing w:val="-3"/>
          <w:sz w:val="21"/>
        </w:rPr>
        <w:t>无合法有效驾驶证驾驶</w:t>
      </w:r>
    </w:p>
    <w:p>
      <w:pPr>
        <w:pStyle w:val="ListParagraph"/>
        <w:numPr>
          <w:ilvl w:val="1"/>
          <w:numId w:val="5"/>
        </w:numPr>
        <w:tabs>
          <w:tab w:pos="1043" w:val="left" w:leader="none"/>
        </w:tabs>
        <w:spacing w:line="240" w:lineRule="auto" w:before="5" w:after="0"/>
        <w:ind w:left="1042" w:right="0" w:hanging="525"/>
        <w:jc w:val="left"/>
        <w:rPr>
          <w:sz w:val="21"/>
        </w:rPr>
      </w:pPr>
      <w:r>
        <w:rPr>
          <w:spacing w:val="-3"/>
          <w:sz w:val="21"/>
        </w:rPr>
        <w:t>无有效行驶证</w:t>
      </w:r>
    </w:p>
    <w:p>
      <w:pPr>
        <w:pStyle w:val="ListParagraph"/>
        <w:numPr>
          <w:ilvl w:val="1"/>
          <w:numId w:val="5"/>
        </w:numPr>
        <w:tabs>
          <w:tab w:pos="1043" w:val="left" w:leader="none"/>
        </w:tabs>
        <w:spacing w:line="240" w:lineRule="auto" w:before="5" w:after="0"/>
        <w:ind w:left="1042" w:right="0" w:hanging="525"/>
        <w:jc w:val="left"/>
        <w:rPr>
          <w:sz w:val="21"/>
        </w:rPr>
      </w:pPr>
      <w:r>
        <w:rPr/>
        <w:pict>
          <v:shapetype id="_x0000_t202" o:spt="202" coordsize="21600,21600" path="m,l,21600r21600,l21600,xe">
            <v:stroke joinstyle="miter"/>
            <v:path gradientshapeok="t" o:connecttype="rect"/>
          </v:shapetype>
          <v:shape style="position:absolute;margin-left:93.980003pt;margin-top:12.776589pt;width:275.4pt;height:150.6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778"/>
                    <w:gridCol w:w="837"/>
                    <w:gridCol w:w="2264"/>
                  </w:tblGrid>
                  <w:tr>
                    <w:trPr>
                      <w:trHeight w:val="561" w:hRule="atLeast"/>
                    </w:trPr>
                    <w:tc>
                      <w:tcPr>
                        <w:tcW w:w="2409" w:type="dxa"/>
                        <w:gridSpan w:val="2"/>
                      </w:tcPr>
                      <w:p>
                        <w:pPr>
                          <w:pStyle w:val="TableParagraph"/>
                          <w:spacing w:line="181" w:lineRule="exact"/>
                          <w:ind w:left="261"/>
                          <w:rPr>
                            <w:sz w:val="21"/>
                          </w:rPr>
                        </w:pPr>
                        <w:r>
                          <w:rPr>
                            <w:sz w:val="21"/>
                          </w:rPr>
                          <w:t>2.3 责任免除</w:t>
                        </w:r>
                      </w:p>
                      <w:p>
                        <w:pPr>
                          <w:pStyle w:val="TableParagraph"/>
                          <w:spacing w:line="335" w:lineRule="exact"/>
                          <w:ind w:left="50"/>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3101" w:type="dxa"/>
                        <w:gridSpan w:val="2"/>
                      </w:tcPr>
                      <w:p>
                        <w:pPr>
                          <w:pStyle w:val="TableParagraph"/>
                          <w:spacing w:line="181" w:lineRule="exact"/>
                          <w:ind w:left="465"/>
                          <w:rPr>
                            <w:sz w:val="21"/>
                          </w:rPr>
                        </w:pPr>
                        <w:r>
                          <w:rPr>
                            <w:sz w:val="21"/>
                          </w:rPr>
                          <w:t>8.3 适用主险合同条款</w:t>
                        </w:r>
                      </w:p>
                      <w:p>
                        <w:pPr>
                          <w:pStyle w:val="TableParagraph"/>
                          <w:spacing w:line="335" w:lineRule="exact"/>
                          <w:ind w:left="254"/>
                          <w:rPr>
                            <w:rFonts w:ascii="Microsoft JhengHei" w:eastAsia="Microsoft JhengHei" w:hint="eastAsia"/>
                            <w:b/>
                            <w:sz w:val="21"/>
                          </w:rPr>
                        </w:pPr>
                        <w:r>
                          <w:rPr>
                            <w:b/>
                            <w:sz w:val="21"/>
                          </w:rPr>
                          <w:t>9.</w:t>
                        </w:r>
                        <w:r>
                          <w:rPr>
                            <w:rFonts w:ascii="Microsoft JhengHei" w:eastAsia="Microsoft JhengHei" w:hint="eastAsia"/>
                            <w:b/>
                            <w:sz w:val="21"/>
                          </w:rPr>
                          <w:t>释义</w:t>
                        </w:r>
                      </w:p>
                    </w:tc>
                  </w:tr>
                  <w:tr>
                    <w:trPr>
                      <w:trHeight w:val="244" w:hRule="atLeast"/>
                    </w:trPr>
                    <w:tc>
                      <w:tcPr>
                        <w:tcW w:w="631" w:type="dxa"/>
                      </w:tcPr>
                      <w:p>
                        <w:pPr>
                          <w:pStyle w:val="TableParagraph"/>
                          <w:spacing w:line="211" w:lineRule="exact"/>
                          <w:ind w:right="52"/>
                          <w:jc w:val="right"/>
                          <w:rPr>
                            <w:sz w:val="21"/>
                          </w:rPr>
                        </w:pPr>
                        <w:r>
                          <w:rPr>
                            <w:sz w:val="21"/>
                          </w:rPr>
                          <w:t>3.1</w:t>
                        </w:r>
                      </w:p>
                    </w:tc>
                    <w:tc>
                      <w:tcPr>
                        <w:tcW w:w="1778" w:type="dxa"/>
                      </w:tcPr>
                      <w:p>
                        <w:pPr>
                          <w:pStyle w:val="TableParagraph"/>
                          <w:spacing w:line="211" w:lineRule="exact"/>
                          <w:ind w:left="52"/>
                          <w:rPr>
                            <w:sz w:val="21"/>
                          </w:rPr>
                        </w:pPr>
                        <w:r>
                          <w:rPr>
                            <w:sz w:val="21"/>
                          </w:rPr>
                          <w:t>受益人</w:t>
                        </w:r>
                      </w:p>
                    </w:tc>
                    <w:tc>
                      <w:tcPr>
                        <w:tcW w:w="837" w:type="dxa"/>
                      </w:tcPr>
                      <w:p>
                        <w:pPr>
                          <w:pStyle w:val="TableParagraph"/>
                          <w:spacing w:line="211" w:lineRule="exact"/>
                          <w:ind w:right="52"/>
                          <w:jc w:val="right"/>
                          <w:rPr>
                            <w:sz w:val="21"/>
                          </w:rPr>
                        </w:pPr>
                        <w:r>
                          <w:rPr>
                            <w:sz w:val="21"/>
                          </w:rPr>
                          <w:t>9.1</w:t>
                        </w:r>
                      </w:p>
                    </w:tc>
                    <w:tc>
                      <w:tcPr>
                        <w:tcW w:w="2264" w:type="dxa"/>
                      </w:tcPr>
                      <w:p>
                        <w:pPr>
                          <w:pStyle w:val="TableParagraph"/>
                          <w:spacing w:line="211" w:lineRule="exact"/>
                          <w:ind w:left="51"/>
                          <w:rPr>
                            <w:sz w:val="21"/>
                          </w:rPr>
                        </w:pPr>
                        <w:r>
                          <w:rPr>
                            <w:sz w:val="21"/>
                          </w:rPr>
                          <w:t>周岁</w:t>
                        </w:r>
                      </w:p>
                    </w:tc>
                  </w:tr>
                  <w:tr>
                    <w:trPr>
                      <w:trHeight w:val="279" w:hRule="atLeast"/>
                    </w:trPr>
                    <w:tc>
                      <w:tcPr>
                        <w:tcW w:w="631" w:type="dxa"/>
                      </w:tcPr>
                      <w:p>
                        <w:pPr>
                          <w:pStyle w:val="TableParagraph"/>
                          <w:spacing w:line="245" w:lineRule="exact"/>
                          <w:ind w:right="52"/>
                          <w:jc w:val="right"/>
                          <w:rPr>
                            <w:sz w:val="21"/>
                          </w:rPr>
                        </w:pPr>
                        <w:r>
                          <w:rPr>
                            <w:sz w:val="21"/>
                          </w:rPr>
                          <w:t>3.2</w:t>
                        </w:r>
                      </w:p>
                    </w:tc>
                    <w:tc>
                      <w:tcPr>
                        <w:tcW w:w="1778" w:type="dxa"/>
                      </w:tcPr>
                      <w:p>
                        <w:pPr>
                          <w:pStyle w:val="TableParagraph"/>
                          <w:spacing w:line="245" w:lineRule="exact"/>
                          <w:ind w:left="52"/>
                          <w:rPr>
                            <w:sz w:val="21"/>
                          </w:rPr>
                        </w:pPr>
                        <w:r>
                          <w:rPr>
                            <w:sz w:val="21"/>
                          </w:rPr>
                          <w:t>保险金申请</w:t>
                        </w:r>
                      </w:p>
                    </w:tc>
                    <w:tc>
                      <w:tcPr>
                        <w:tcW w:w="837" w:type="dxa"/>
                      </w:tcPr>
                      <w:p>
                        <w:pPr>
                          <w:pStyle w:val="TableParagraph"/>
                          <w:spacing w:line="245" w:lineRule="exact"/>
                          <w:ind w:right="52"/>
                          <w:jc w:val="right"/>
                          <w:rPr>
                            <w:sz w:val="21"/>
                          </w:rPr>
                        </w:pPr>
                        <w:r>
                          <w:rPr>
                            <w:sz w:val="21"/>
                          </w:rPr>
                          <w:t>9.2</w:t>
                        </w:r>
                      </w:p>
                    </w:tc>
                    <w:tc>
                      <w:tcPr>
                        <w:tcW w:w="2264" w:type="dxa"/>
                      </w:tcPr>
                      <w:p>
                        <w:pPr>
                          <w:pStyle w:val="TableParagraph"/>
                          <w:spacing w:line="245" w:lineRule="exact"/>
                          <w:ind w:left="51"/>
                          <w:rPr>
                            <w:sz w:val="21"/>
                          </w:rPr>
                        </w:pPr>
                        <w:r>
                          <w:rPr>
                            <w:sz w:val="21"/>
                          </w:rPr>
                          <w:t>有效身份证件</w:t>
                        </w:r>
                      </w:p>
                    </w:tc>
                  </w:tr>
                  <w:tr>
                    <w:trPr>
                      <w:trHeight w:val="280" w:hRule="atLeast"/>
                    </w:trPr>
                    <w:tc>
                      <w:tcPr>
                        <w:tcW w:w="631" w:type="dxa"/>
                      </w:tcPr>
                      <w:p>
                        <w:pPr>
                          <w:pStyle w:val="TableParagraph"/>
                          <w:spacing w:line="246" w:lineRule="exact"/>
                          <w:ind w:right="52"/>
                          <w:jc w:val="right"/>
                          <w:rPr>
                            <w:sz w:val="21"/>
                          </w:rPr>
                        </w:pPr>
                        <w:r>
                          <w:rPr>
                            <w:sz w:val="21"/>
                          </w:rPr>
                          <w:t>3.3</w:t>
                        </w:r>
                      </w:p>
                    </w:tc>
                    <w:tc>
                      <w:tcPr>
                        <w:tcW w:w="1778" w:type="dxa"/>
                      </w:tcPr>
                      <w:p>
                        <w:pPr>
                          <w:pStyle w:val="TableParagraph"/>
                          <w:spacing w:line="246" w:lineRule="exact"/>
                          <w:ind w:left="52"/>
                          <w:rPr>
                            <w:sz w:val="21"/>
                          </w:rPr>
                        </w:pPr>
                        <w:r>
                          <w:rPr>
                            <w:sz w:val="21"/>
                          </w:rPr>
                          <w:t>保险金的给付</w:t>
                        </w:r>
                      </w:p>
                    </w:tc>
                    <w:tc>
                      <w:tcPr>
                        <w:tcW w:w="837" w:type="dxa"/>
                      </w:tcPr>
                      <w:p>
                        <w:pPr>
                          <w:pStyle w:val="TableParagraph"/>
                          <w:spacing w:line="246" w:lineRule="exact"/>
                          <w:ind w:right="52"/>
                          <w:jc w:val="right"/>
                          <w:rPr>
                            <w:sz w:val="21"/>
                          </w:rPr>
                        </w:pPr>
                        <w:r>
                          <w:rPr>
                            <w:sz w:val="21"/>
                          </w:rPr>
                          <w:t>9.3</w:t>
                        </w:r>
                      </w:p>
                    </w:tc>
                    <w:tc>
                      <w:tcPr>
                        <w:tcW w:w="2264" w:type="dxa"/>
                      </w:tcPr>
                      <w:p>
                        <w:pPr>
                          <w:pStyle w:val="TableParagraph"/>
                          <w:spacing w:line="246" w:lineRule="exact"/>
                          <w:ind w:left="51"/>
                          <w:rPr>
                            <w:sz w:val="21"/>
                          </w:rPr>
                        </w:pPr>
                        <w:r>
                          <w:rPr>
                            <w:sz w:val="21"/>
                          </w:rPr>
                          <w:t>重大疾病</w:t>
                        </w:r>
                      </w:p>
                    </w:tc>
                  </w:tr>
                  <w:tr>
                    <w:trPr>
                      <w:trHeight w:val="246" w:hRule="atLeast"/>
                    </w:trPr>
                    <w:tc>
                      <w:tcPr>
                        <w:tcW w:w="631" w:type="dxa"/>
                      </w:tcPr>
                      <w:p>
                        <w:pPr>
                          <w:pStyle w:val="TableParagraph"/>
                          <w:spacing w:line="226" w:lineRule="exact"/>
                          <w:ind w:right="52"/>
                          <w:jc w:val="right"/>
                          <w:rPr>
                            <w:sz w:val="21"/>
                          </w:rPr>
                        </w:pPr>
                        <w:r>
                          <w:rPr>
                            <w:sz w:val="21"/>
                          </w:rPr>
                          <w:t>3.4</w:t>
                        </w:r>
                      </w:p>
                    </w:tc>
                    <w:tc>
                      <w:tcPr>
                        <w:tcW w:w="1778" w:type="dxa"/>
                      </w:tcPr>
                      <w:p>
                        <w:pPr>
                          <w:pStyle w:val="TableParagraph"/>
                          <w:spacing w:line="226" w:lineRule="exact"/>
                          <w:ind w:left="52"/>
                          <w:rPr>
                            <w:sz w:val="21"/>
                          </w:rPr>
                        </w:pPr>
                        <w:r>
                          <w:rPr>
                            <w:sz w:val="21"/>
                          </w:rPr>
                          <w:t>诉讼时效</w:t>
                        </w:r>
                      </w:p>
                    </w:tc>
                    <w:tc>
                      <w:tcPr>
                        <w:tcW w:w="837" w:type="dxa"/>
                      </w:tcPr>
                      <w:p>
                        <w:pPr>
                          <w:pStyle w:val="TableParagraph"/>
                          <w:spacing w:line="226" w:lineRule="exact"/>
                          <w:ind w:right="52"/>
                          <w:jc w:val="right"/>
                          <w:rPr>
                            <w:sz w:val="21"/>
                          </w:rPr>
                        </w:pPr>
                        <w:r>
                          <w:rPr>
                            <w:sz w:val="21"/>
                          </w:rPr>
                          <w:t>9.4</w:t>
                        </w:r>
                      </w:p>
                    </w:tc>
                    <w:tc>
                      <w:tcPr>
                        <w:tcW w:w="2264" w:type="dxa"/>
                      </w:tcPr>
                      <w:p>
                        <w:pPr>
                          <w:pStyle w:val="TableParagraph"/>
                          <w:spacing w:line="226" w:lineRule="exact"/>
                          <w:ind w:left="51"/>
                          <w:rPr>
                            <w:sz w:val="21"/>
                          </w:rPr>
                        </w:pPr>
                        <w:r>
                          <w:rPr>
                            <w:sz w:val="21"/>
                          </w:rPr>
                          <w:t>特定轻度重疾</w:t>
                        </w:r>
                      </w:p>
                    </w:tc>
                  </w:tr>
                  <w:tr>
                    <w:trPr>
                      <w:trHeight w:val="359" w:hRule="atLeast"/>
                    </w:trPr>
                    <w:tc>
                      <w:tcPr>
                        <w:tcW w:w="2409" w:type="dxa"/>
                        <w:gridSpan w:val="2"/>
                      </w:tcPr>
                      <w:p>
                        <w:pPr>
                          <w:pStyle w:val="TableParagraph"/>
                          <w:spacing w:line="302" w:lineRule="exact"/>
                          <w:ind w:left="50"/>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837" w:type="dxa"/>
                      </w:tcPr>
                      <w:p>
                        <w:pPr>
                          <w:pStyle w:val="TableParagraph"/>
                          <w:spacing w:before="3"/>
                          <w:ind w:right="52"/>
                          <w:jc w:val="right"/>
                          <w:rPr>
                            <w:sz w:val="21"/>
                          </w:rPr>
                        </w:pPr>
                        <w:r>
                          <w:rPr>
                            <w:sz w:val="21"/>
                          </w:rPr>
                          <w:t>9.5</w:t>
                        </w:r>
                      </w:p>
                    </w:tc>
                    <w:tc>
                      <w:tcPr>
                        <w:tcW w:w="2264" w:type="dxa"/>
                      </w:tcPr>
                      <w:p>
                        <w:pPr>
                          <w:pStyle w:val="TableParagraph"/>
                          <w:spacing w:before="3"/>
                          <w:ind w:left="51"/>
                          <w:rPr>
                            <w:sz w:val="21"/>
                          </w:rPr>
                        </w:pPr>
                        <w:r>
                          <w:rPr>
                            <w:sz w:val="21"/>
                          </w:rPr>
                          <w:t>专科医生</w:t>
                        </w:r>
                      </w:p>
                    </w:tc>
                  </w:tr>
                  <w:tr>
                    <w:trPr>
                      <w:trHeight w:val="234" w:hRule="atLeast"/>
                    </w:trPr>
                    <w:tc>
                      <w:tcPr>
                        <w:tcW w:w="2409" w:type="dxa"/>
                        <w:gridSpan w:val="2"/>
                      </w:tcPr>
                      <w:p>
                        <w:pPr>
                          <w:pStyle w:val="TableParagraph"/>
                          <w:spacing w:line="211" w:lineRule="exact"/>
                          <w:ind w:left="261"/>
                          <w:rPr>
                            <w:sz w:val="21"/>
                          </w:rPr>
                        </w:pPr>
                        <w:r>
                          <w:rPr>
                            <w:sz w:val="21"/>
                          </w:rPr>
                          <w:t>4.1 保险费的支付</w:t>
                        </w:r>
                      </w:p>
                    </w:tc>
                    <w:tc>
                      <w:tcPr>
                        <w:tcW w:w="837" w:type="dxa"/>
                      </w:tcPr>
                      <w:p>
                        <w:pPr>
                          <w:pStyle w:val="TableParagraph"/>
                          <w:spacing w:line="211" w:lineRule="exact"/>
                          <w:ind w:right="52"/>
                          <w:jc w:val="right"/>
                          <w:rPr>
                            <w:sz w:val="21"/>
                          </w:rPr>
                        </w:pPr>
                        <w:r>
                          <w:rPr>
                            <w:sz w:val="21"/>
                          </w:rPr>
                          <w:t>9.6</w:t>
                        </w:r>
                      </w:p>
                    </w:tc>
                    <w:tc>
                      <w:tcPr>
                        <w:tcW w:w="2264" w:type="dxa"/>
                      </w:tcPr>
                      <w:p>
                        <w:pPr>
                          <w:pStyle w:val="TableParagraph"/>
                          <w:spacing w:line="211" w:lineRule="exact"/>
                          <w:ind w:left="51"/>
                          <w:rPr>
                            <w:sz w:val="21"/>
                          </w:rPr>
                        </w:pPr>
                        <w:r>
                          <w:rPr>
                            <w:sz w:val="21"/>
                          </w:rPr>
                          <w:t>肢体机能完全丧失</w:t>
                        </w:r>
                      </w:p>
                    </w:tc>
                  </w:tr>
                  <w:tr>
                    <w:trPr>
                      <w:trHeight w:val="279" w:hRule="atLeast"/>
                    </w:trPr>
                    <w:tc>
                      <w:tcPr>
                        <w:tcW w:w="2409" w:type="dxa"/>
                        <w:gridSpan w:val="2"/>
                      </w:tcPr>
                      <w:p>
                        <w:pPr>
                          <w:pStyle w:val="TableParagraph"/>
                          <w:spacing w:line="246" w:lineRule="exact"/>
                          <w:ind w:left="261"/>
                          <w:rPr>
                            <w:sz w:val="21"/>
                          </w:rPr>
                        </w:pPr>
                        <w:r>
                          <w:rPr>
                            <w:sz w:val="21"/>
                          </w:rPr>
                          <w:t>4.2 保险费率调整</w:t>
                        </w:r>
                      </w:p>
                    </w:tc>
                    <w:tc>
                      <w:tcPr>
                        <w:tcW w:w="837" w:type="dxa"/>
                      </w:tcPr>
                      <w:p>
                        <w:pPr>
                          <w:pStyle w:val="TableParagraph"/>
                          <w:spacing w:line="246" w:lineRule="exact"/>
                          <w:ind w:right="52"/>
                          <w:jc w:val="right"/>
                          <w:rPr>
                            <w:sz w:val="21"/>
                          </w:rPr>
                        </w:pPr>
                        <w:r>
                          <w:rPr>
                            <w:sz w:val="21"/>
                          </w:rPr>
                          <w:t>9.7</w:t>
                        </w:r>
                      </w:p>
                    </w:tc>
                    <w:tc>
                      <w:tcPr>
                        <w:tcW w:w="2264" w:type="dxa"/>
                      </w:tcPr>
                      <w:p>
                        <w:pPr>
                          <w:pStyle w:val="TableParagraph"/>
                          <w:spacing w:line="246" w:lineRule="exact"/>
                          <w:ind w:left="56"/>
                          <w:rPr>
                            <w:sz w:val="21"/>
                          </w:rPr>
                        </w:pPr>
                        <w:r>
                          <w:rPr>
                            <w:sz w:val="21"/>
                          </w:rPr>
                          <w:t>语言能力或咀嚼吞咽能</w:t>
                        </w:r>
                      </w:p>
                    </w:tc>
                  </w:tr>
                  <w:tr>
                    <w:trPr>
                      <w:trHeight w:val="279" w:hRule="atLeast"/>
                    </w:trPr>
                    <w:tc>
                      <w:tcPr>
                        <w:tcW w:w="2409" w:type="dxa"/>
                        <w:gridSpan w:val="2"/>
                      </w:tcPr>
                      <w:p>
                        <w:pPr>
                          <w:pStyle w:val="TableParagraph"/>
                          <w:spacing w:line="260" w:lineRule="exact"/>
                          <w:ind w:left="50"/>
                          <w:rPr>
                            <w:rFonts w:ascii="Microsoft JhengHei" w:eastAsia="Microsoft JhengHei" w:hint="eastAsia"/>
                            <w:b/>
                            <w:sz w:val="21"/>
                          </w:rPr>
                        </w:pPr>
                        <w:r>
                          <w:rPr>
                            <w:b/>
                            <w:sz w:val="21"/>
                          </w:rPr>
                          <w:t>5. </w:t>
                        </w:r>
                        <w:r>
                          <w:rPr>
                            <w:rFonts w:ascii="Microsoft JhengHei" w:eastAsia="Microsoft JhengHei" w:hint="eastAsia"/>
                            <w:b/>
                            <w:sz w:val="21"/>
                          </w:rPr>
                          <w:t>现金价值权益</w:t>
                        </w:r>
                      </w:p>
                    </w:tc>
                    <w:tc>
                      <w:tcPr>
                        <w:tcW w:w="837" w:type="dxa"/>
                      </w:tcPr>
                      <w:p>
                        <w:pPr>
                          <w:pStyle w:val="TableParagraph"/>
                          <w:rPr>
                            <w:rFonts w:ascii="Times New Roman"/>
                            <w:sz w:val="20"/>
                          </w:rPr>
                        </w:pPr>
                      </w:p>
                    </w:tc>
                    <w:tc>
                      <w:tcPr>
                        <w:tcW w:w="2264" w:type="dxa"/>
                      </w:tcPr>
                      <w:p>
                        <w:pPr>
                          <w:pStyle w:val="TableParagraph"/>
                          <w:spacing w:line="245" w:lineRule="exact"/>
                          <w:ind w:left="89"/>
                          <w:rPr>
                            <w:sz w:val="21"/>
                          </w:rPr>
                        </w:pPr>
                        <w:r>
                          <w:rPr>
                            <w:sz w:val="21"/>
                          </w:rPr>
                          <w:t>力完全丧失</w:t>
                        </w:r>
                      </w:p>
                    </w:tc>
                  </w:tr>
                  <w:tr>
                    <w:trPr>
                      <w:trHeight w:val="246" w:hRule="atLeast"/>
                    </w:trPr>
                    <w:tc>
                      <w:tcPr>
                        <w:tcW w:w="2409" w:type="dxa"/>
                        <w:gridSpan w:val="2"/>
                      </w:tcPr>
                      <w:p>
                        <w:pPr>
                          <w:pStyle w:val="TableParagraph"/>
                          <w:spacing w:line="226" w:lineRule="exact"/>
                          <w:ind w:left="261"/>
                          <w:rPr>
                            <w:sz w:val="21"/>
                          </w:rPr>
                        </w:pPr>
                        <w:r>
                          <w:rPr>
                            <w:sz w:val="21"/>
                          </w:rPr>
                          <w:t>5.1 现金价值</w:t>
                        </w:r>
                      </w:p>
                    </w:tc>
                    <w:tc>
                      <w:tcPr>
                        <w:tcW w:w="837" w:type="dxa"/>
                      </w:tcPr>
                      <w:p>
                        <w:pPr>
                          <w:pStyle w:val="TableParagraph"/>
                          <w:spacing w:line="226" w:lineRule="exact"/>
                          <w:ind w:right="52"/>
                          <w:jc w:val="right"/>
                          <w:rPr>
                            <w:sz w:val="21"/>
                          </w:rPr>
                        </w:pPr>
                        <w:r>
                          <w:rPr>
                            <w:sz w:val="21"/>
                          </w:rPr>
                          <w:t>9.8</w:t>
                        </w:r>
                      </w:p>
                    </w:tc>
                    <w:tc>
                      <w:tcPr>
                        <w:tcW w:w="2264" w:type="dxa"/>
                      </w:tcPr>
                      <w:p>
                        <w:pPr>
                          <w:pStyle w:val="TableParagraph"/>
                          <w:spacing w:line="226" w:lineRule="exact"/>
                          <w:ind w:left="51"/>
                          <w:rPr>
                            <w:sz w:val="21"/>
                          </w:rPr>
                        </w:pPr>
                        <w:r>
                          <w:rPr>
                            <w:sz w:val="21"/>
                          </w:rPr>
                          <w:t>六项基本日常生活活动</w:t>
                        </w:r>
                      </w:p>
                    </w:tc>
                  </w:tr>
                </w:tbl>
                <w:p>
                  <w:pPr>
                    <w:pStyle w:val="BodyText"/>
                  </w:pPr>
                </w:p>
              </w:txbxContent>
            </v:textbox>
            <w10:wrap type="none"/>
          </v:shape>
        </w:pict>
      </w:r>
      <w:r>
        <w:rPr>
          <w:spacing w:val="-3"/>
          <w:sz w:val="21"/>
        </w:rPr>
        <w:t>机动车</w:t>
      </w:r>
    </w:p>
    <w:p>
      <w:pPr>
        <w:pStyle w:val="ListParagraph"/>
        <w:numPr>
          <w:ilvl w:val="1"/>
          <w:numId w:val="5"/>
        </w:numPr>
        <w:tabs>
          <w:tab w:pos="1060" w:val="left" w:leader="none"/>
        </w:tabs>
        <w:spacing w:line="244" w:lineRule="auto" w:before="3" w:after="0"/>
        <w:ind w:left="1013" w:right="685" w:hanging="496"/>
        <w:jc w:val="left"/>
        <w:rPr>
          <w:sz w:val="21"/>
        </w:rPr>
      </w:pPr>
      <w:r>
        <w:rPr>
          <w:spacing w:val="10"/>
          <w:sz w:val="21"/>
        </w:rPr>
        <w:t>感染艾滋病病毒或患艾滋病</w:t>
      </w:r>
    </w:p>
    <w:p>
      <w:pPr>
        <w:pStyle w:val="ListParagraph"/>
        <w:numPr>
          <w:ilvl w:val="1"/>
          <w:numId w:val="5"/>
        </w:numPr>
        <w:tabs>
          <w:tab w:pos="1043" w:val="left" w:leader="none"/>
        </w:tabs>
        <w:spacing w:line="240" w:lineRule="auto" w:before="2" w:after="0"/>
        <w:ind w:left="1042" w:right="0" w:hanging="525"/>
        <w:jc w:val="left"/>
        <w:rPr>
          <w:sz w:val="21"/>
        </w:rPr>
      </w:pPr>
      <w:r>
        <w:rPr>
          <w:spacing w:val="-3"/>
          <w:sz w:val="21"/>
        </w:rPr>
        <w:t>遗传性疾病</w:t>
      </w:r>
    </w:p>
    <w:p>
      <w:pPr>
        <w:pStyle w:val="ListParagraph"/>
        <w:numPr>
          <w:ilvl w:val="1"/>
          <w:numId w:val="5"/>
        </w:numPr>
        <w:tabs>
          <w:tab w:pos="1043" w:val="left" w:leader="none"/>
        </w:tabs>
        <w:spacing w:line="244" w:lineRule="auto" w:before="3" w:after="0"/>
        <w:ind w:left="1014" w:right="685" w:hanging="497"/>
        <w:jc w:val="left"/>
        <w:rPr>
          <w:sz w:val="21"/>
        </w:rPr>
      </w:pPr>
      <w:r>
        <w:rPr>
          <w:spacing w:val="-9"/>
          <w:sz w:val="21"/>
        </w:rPr>
        <w:t>先天性畸形、变形或染色体异常</w:t>
      </w:r>
    </w:p>
    <w:p>
      <w:pPr>
        <w:pStyle w:val="ListParagraph"/>
        <w:numPr>
          <w:ilvl w:val="1"/>
          <w:numId w:val="5"/>
        </w:numPr>
        <w:tabs>
          <w:tab w:pos="1044" w:val="left" w:leader="none"/>
        </w:tabs>
        <w:spacing w:line="240" w:lineRule="auto" w:before="1" w:after="0"/>
        <w:ind w:left="1043" w:right="0" w:hanging="526"/>
        <w:jc w:val="left"/>
        <w:rPr>
          <w:sz w:val="21"/>
        </w:rPr>
      </w:pPr>
      <w:r>
        <w:rPr>
          <w:spacing w:val="-3"/>
          <w:sz w:val="21"/>
        </w:rPr>
        <w:t>保险费约定支付日</w:t>
      </w:r>
    </w:p>
    <w:p>
      <w:pPr>
        <w:pStyle w:val="ListParagraph"/>
        <w:numPr>
          <w:ilvl w:val="1"/>
          <w:numId w:val="5"/>
        </w:numPr>
        <w:tabs>
          <w:tab w:pos="1044" w:val="left" w:leader="none"/>
        </w:tabs>
        <w:spacing w:line="240" w:lineRule="auto" w:before="3" w:after="0"/>
        <w:ind w:left="1043" w:right="0" w:hanging="526"/>
        <w:jc w:val="left"/>
        <w:rPr>
          <w:sz w:val="21"/>
        </w:rPr>
      </w:pPr>
      <w:r>
        <w:rPr>
          <w:spacing w:val="-2"/>
          <w:sz w:val="21"/>
        </w:rPr>
        <w:t>净保险费</w:t>
      </w:r>
    </w:p>
    <w:p>
      <w:pPr>
        <w:spacing w:after="0" w:line="240" w:lineRule="auto"/>
        <w:jc w:val="left"/>
        <w:rPr>
          <w:sz w:val="21"/>
        </w:rPr>
        <w:sectPr>
          <w:type w:val="continuous"/>
          <w:pgSz w:w="11910" w:h="16840"/>
          <w:pgMar w:top="560" w:bottom="280" w:left="840" w:right="800"/>
          <w:cols w:num="3" w:equalWidth="0">
            <w:col w:w="2780" w:space="40"/>
            <w:col w:w="3409" w:space="39"/>
            <w:col w:w="400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spacing w:line="314" w:lineRule="auto" w:before="0"/>
        <w:ind w:left="8340" w:right="129" w:firstLine="0"/>
        <w:jc w:val="left"/>
        <w:rPr>
          <w:sz w:val="18"/>
        </w:rPr>
      </w:pPr>
      <w:r>
        <w:rPr>
          <w:sz w:val="18"/>
        </w:rPr>
        <w:t>险种简称：护身福重疾险种代码：1107</w:t>
      </w:r>
    </w:p>
    <w:p>
      <w:pPr>
        <w:spacing w:after="0" w:line="314" w:lineRule="auto"/>
        <w:jc w:val="left"/>
        <w:rPr>
          <w:sz w:val="18"/>
        </w:rPr>
        <w:sectPr>
          <w:type w:val="continuous"/>
          <w:pgSz w:w="11910" w:h="16840"/>
          <w:pgMar w:top="560" w:bottom="280" w:left="840" w:right="800"/>
        </w:sectPr>
      </w:pPr>
    </w:p>
    <w:p>
      <w:pPr>
        <w:pStyle w:val="BodyText"/>
        <w:ind w:left="223"/>
        <w:rPr>
          <w:sz w:val="20"/>
        </w:rPr>
      </w:pPr>
      <w:r>
        <w:rPr/>
        <w:pict>
          <v:shape style="position:absolute;margin-left:164.400009pt;margin-top:711.000977pt;width:379.8pt;height:60.5pt;mso-position-horizontal-relative:page;mso-position-vertical-relative:page;z-index:-33880" coordorigin="3288,14220" coordsize="7596,1210" path="m9439,15156l3288,15156,3288,15430,9439,15430,9439,15156m10884,14844l3288,14844,3288,15118,10884,15118,10884,14844m10884,14532l3288,14532,3288,14806,10884,14806,10884,14532m10884,14220l3288,14220,3288,14494,10884,14494,10884,14220e" filled="true" fillcolor="#dadada" stroked="false">
            <v:path arrowok="t"/>
            <v:fill type="solid"/>
            <w10:wrap type="none"/>
          </v:shape>
        </w:pict>
      </w:r>
      <w:r>
        <w:rPr>
          <w:sz w:val="20"/>
        </w:rPr>
        <w:drawing>
          <wp:inline distT="0" distB="0" distL="0" distR="0">
            <wp:extent cx="205228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spacing w:before="7"/>
        <w:rPr>
          <w:sz w:val="26"/>
        </w:rPr>
      </w:pPr>
      <w:r>
        <w:rPr/>
        <w:drawing>
          <wp:anchor distT="0" distB="0" distL="0" distR="0" allowOverlap="1" layoutInCell="1" locked="0" behindDoc="0" simplePos="0" relativeHeight="1072">
            <wp:simplePos x="0" y="0"/>
            <wp:positionH relativeFrom="page">
              <wp:posOffset>1516633</wp:posOffset>
            </wp:positionH>
            <wp:positionV relativeFrom="paragraph">
              <wp:posOffset>245770</wp:posOffset>
            </wp:positionV>
            <wp:extent cx="4614499"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9" cy="225551"/>
                    </a:xfrm>
                    <a:prstGeom prst="rect">
                      <a:avLst/>
                    </a:prstGeom>
                  </pic:spPr>
                </pic:pic>
              </a:graphicData>
            </a:graphic>
          </wp:anchor>
        </w:drawing>
      </w:r>
    </w:p>
    <w:p>
      <w:pPr>
        <w:pStyle w:val="BodyText"/>
        <w:rPr>
          <w:sz w:val="6"/>
        </w:rPr>
      </w:pPr>
    </w:p>
    <w:p>
      <w:pPr>
        <w:pStyle w:val="Heading1"/>
        <w:spacing w:line="505" w:lineRule="exact"/>
        <w:ind w:left="2088" w:right="2090"/>
      </w:pPr>
      <w:r>
        <w:rPr>
          <w:w w:val="95"/>
        </w:rPr>
        <w:t>平安附加护身福重大疾病保险条款</w:t>
      </w:r>
    </w:p>
    <w:p>
      <w:pPr>
        <w:pStyle w:val="BodyText"/>
        <w:spacing w:before="107"/>
        <w:ind w:left="2089" w:right="2090"/>
        <w:jc w:val="center"/>
      </w:pPr>
      <w:r>
        <w:rPr/>
        <w:t>（平保寿发［2012］232 号，2012 年 9 月呈报中国保监会备案）</w:t>
      </w:r>
    </w:p>
    <w:p>
      <w:pPr>
        <w:pStyle w:val="BodyText"/>
        <w:rPr>
          <w:sz w:val="20"/>
        </w:rPr>
      </w:pPr>
    </w:p>
    <w:p>
      <w:pPr>
        <w:pStyle w:val="BodyText"/>
        <w:rPr>
          <w:sz w:val="20"/>
        </w:rPr>
      </w:pPr>
    </w:p>
    <w:p>
      <w:pPr>
        <w:pStyle w:val="BodyText"/>
        <w:spacing w:before="137"/>
        <w:ind w:left="220"/>
      </w:pPr>
      <w:r>
        <w:rPr/>
        <w:t>在本条款中，“您”指投保人，“我们”、“本公司”均指中国平安人寿保险股份有限公司。</w:t>
      </w:r>
    </w:p>
    <w:p>
      <w:pPr>
        <w:pStyle w:val="BodyText"/>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769"/>
        <w:gridCol w:w="7704"/>
      </w:tblGrid>
      <w:tr>
        <w:trPr>
          <w:trHeight w:val="522" w:hRule="atLeast"/>
        </w:trPr>
        <w:tc>
          <w:tcPr>
            <w:tcW w:w="607" w:type="dxa"/>
            <w:tcBorders>
              <w:bottom w:val="single" w:sz="8" w:space="0" w:color="000000"/>
            </w:tcBorders>
          </w:tcPr>
          <w:p>
            <w:pPr>
              <w:pStyle w:val="TableParagraph"/>
              <w:spacing w:line="423" w:lineRule="exact"/>
              <w:ind w:right="31"/>
              <w:jc w:val="center"/>
              <w:rPr>
                <w:rFonts w:ascii="Arial" w:hAnsi="Arial"/>
                <w:b/>
                <w:sz w:val="40"/>
              </w:rPr>
            </w:pPr>
            <w:r>
              <w:rPr>
                <w:rFonts w:ascii="Arial" w:hAnsi="Arial"/>
                <w:b/>
                <w:w w:val="119"/>
                <w:sz w:val="40"/>
              </w:rPr>
              <w:t></w:t>
            </w:r>
          </w:p>
        </w:tc>
        <w:tc>
          <w:tcPr>
            <w:tcW w:w="9473" w:type="dxa"/>
            <w:gridSpan w:val="2"/>
            <w:tcBorders>
              <w:bottom w:val="single" w:sz="8" w:space="0" w:color="000000"/>
            </w:tcBorders>
          </w:tcPr>
          <w:p>
            <w:pPr>
              <w:pStyle w:val="TableParagraph"/>
              <w:spacing w:before="14"/>
              <w:ind w:left="141"/>
              <w:rPr>
                <w:b/>
                <w:sz w:val="24"/>
              </w:rPr>
            </w:pPr>
            <w:r>
              <w:rPr>
                <w:b/>
                <w:w w:val="95"/>
                <w:sz w:val="24"/>
              </w:rPr>
              <w:t>您与我们的合同</w:t>
            </w:r>
          </w:p>
        </w:tc>
      </w:tr>
      <w:tr>
        <w:trPr>
          <w:trHeight w:val="1044" w:hRule="atLeast"/>
        </w:trPr>
        <w:tc>
          <w:tcPr>
            <w:tcW w:w="607" w:type="dxa"/>
            <w:tcBorders>
              <w:top w:val="single" w:sz="8" w:space="0" w:color="000000"/>
            </w:tcBorders>
          </w:tcPr>
          <w:p>
            <w:pPr>
              <w:pStyle w:val="TableParagraph"/>
              <w:spacing w:before="2"/>
              <w:rPr>
                <w:sz w:val="19"/>
              </w:rPr>
            </w:pPr>
          </w:p>
          <w:p>
            <w:pPr>
              <w:pStyle w:val="TableParagraph"/>
              <w:ind w:left="88" w:right="160"/>
              <w:jc w:val="center"/>
              <w:rPr>
                <w:b/>
                <w:sz w:val="21"/>
              </w:rPr>
            </w:pPr>
            <w:r>
              <w:rPr>
                <w:b/>
                <w:sz w:val="21"/>
              </w:rPr>
              <w:t>1.1</w:t>
            </w:r>
          </w:p>
        </w:tc>
        <w:tc>
          <w:tcPr>
            <w:tcW w:w="1769" w:type="dxa"/>
            <w:tcBorders>
              <w:top w:val="single" w:sz="8" w:space="0" w:color="000000"/>
            </w:tcBorders>
          </w:tcPr>
          <w:p>
            <w:pPr>
              <w:pStyle w:val="TableParagraph"/>
              <w:spacing w:before="2"/>
              <w:rPr>
                <w:sz w:val="19"/>
              </w:rPr>
            </w:pPr>
          </w:p>
          <w:p>
            <w:pPr>
              <w:pStyle w:val="TableParagraph"/>
              <w:ind w:left="141"/>
              <w:rPr>
                <w:b/>
                <w:sz w:val="21"/>
              </w:rPr>
            </w:pPr>
            <w:r>
              <w:rPr>
                <w:b/>
                <w:sz w:val="21"/>
              </w:rPr>
              <w:t>合同订立</w:t>
            </w:r>
          </w:p>
        </w:tc>
        <w:tc>
          <w:tcPr>
            <w:tcW w:w="7704" w:type="dxa"/>
            <w:tcBorders>
              <w:top w:val="single" w:sz="8" w:space="0" w:color="000000"/>
            </w:tcBorders>
          </w:tcPr>
          <w:p>
            <w:pPr>
              <w:pStyle w:val="TableParagraph"/>
              <w:spacing w:before="2"/>
              <w:rPr>
                <w:sz w:val="19"/>
              </w:rPr>
            </w:pPr>
          </w:p>
          <w:p>
            <w:pPr>
              <w:pStyle w:val="TableParagraph"/>
              <w:rPr>
                <w:sz w:val="21"/>
              </w:rPr>
            </w:pPr>
            <w:r>
              <w:rPr>
                <w:spacing w:val="-8"/>
                <w:w w:val="100"/>
                <w:sz w:val="21"/>
              </w:rPr>
              <w:t>“平安附加护身福重大疾病保险合同”</w:t>
            </w:r>
            <w:r>
              <w:rPr>
                <w:w w:val="100"/>
                <w:sz w:val="21"/>
              </w:rPr>
              <w:t>（</w:t>
            </w:r>
            <w:r>
              <w:rPr>
                <w:spacing w:val="-12"/>
                <w:w w:val="100"/>
                <w:sz w:val="21"/>
              </w:rPr>
              <w:t>以下简称“本附加险合同”</w:t>
            </w:r>
            <w:r>
              <w:rPr>
                <w:w w:val="100"/>
                <w:sz w:val="21"/>
              </w:rPr>
              <w:t>）</w:t>
            </w:r>
            <w:r>
              <w:rPr>
                <w:spacing w:val="-3"/>
                <w:w w:val="100"/>
                <w:sz w:val="21"/>
              </w:rPr>
              <w:t>由主保险合同</w:t>
            </w:r>
          </w:p>
          <w:p>
            <w:pPr>
              <w:pStyle w:val="TableParagraph"/>
              <w:spacing w:before="36"/>
              <w:rPr>
                <w:sz w:val="21"/>
              </w:rPr>
            </w:pPr>
            <w:r>
              <w:rPr>
                <w:w w:val="100"/>
                <w:sz w:val="21"/>
              </w:rPr>
              <w:t>（</w:t>
            </w:r>
            <w:r>
              <w:rPr>
                <w:spacing w:val="-14"/>
                <w:w w:val="100"/>
                <w:sz w:val="21"/>
              </w:rPr>
              <w:t>以下简称“主险合同”</w:t>
            </w:r>
            <w:r>
              <w:rPr>
                <w:spacing w:val="-3"/>
                <w:w w:val="100"/>
                <w:sz w:val="21"/>
              </w:rPr>
              <w:t>）投保人提出申请，经我们同意而订立。</w:t>
            </w:r>
          </w:p>
        </w:tc>
      </w:tr>
      <w:tr>
        <w:trPr>
          <w:trHeight w:val="1247" w:hRule="atLeast"/>
        </w:trPr>
        <w:tc>
          <w:tcPr>
            <w:tcW w:w="607" w:type="dxa"/>
          </w:tcPr>
          <w:p>
            <w:pPr>
              <w:pStyle w:val="TableParagraph"/>
              <w:spacing w:before="142"/>
              <w:ind w:left="88" w:right="160"/>
              <w:jc w:val="center"/>
              <w:rPr>
                <w:b/>
                <w:sz w:val="21"/>
              </w:rPr>
            </w:pPr>
            <w:r>
              <w:rPr>
                <w:b/>
                <w:sz w:val="21"/>
              </w:rPr>
              <w:t>1.2</w:t>
            </w:r>
          </w:p>
        </w:tc>
        <w:tc>
          <w:tcPr>
            <w:tcW w:w="1769" w:type="dxa"/>
          </w:tcPr>
          <w:p>
            <w:pPr>
              <w:pStyle w:val="TableParagraph"/>
              <w:spacing w:before="142"/>
              <w:ind w:left="141"/>
              <w:rPr>
                <w:b/>
                <w:sz w:val="21"/>
              </w:rPr>
            </w:pPr>
            <w:r>
              <w:rPr>
                <w:b/>
                <w:sz w:val="21"/>
              </w:rPr>
              <w:t>合同生效</w:t>
            </w:r>
          </w:p>
        </w:tc>
        <w:tc>
          <w:tcPr>
            <w:tcW w:w="7704" w:type="dxa"/>
          </w:tcPr>
          <w:p>
            <w:pPr>
              <w:pStyle w:val="TableParagraph"/>
              <w:spacing w:line="273" w:lineRule="auto" w:before="142"/>
              <w:ind w:right="3917"/>
              <w:rPr>
                <w:sz w:val="21"/>
              </w:rPr>
            </w:pPr>
            <w:r>
              <w:rPr>
                <w:spacing w:val="-3"/>
                <w:sz w:val="21"/>
              </w:rPr>
              <w:t>本附加险合同须与主险合同同时投保。 本附加险合同的生效日与主险合同相同。</w:t>
            </w:r>
          </w:p>
          <w:p>
            <w:pPr>
              <w:pStyle w:val="TableParagraph"/>
              <w:spacing w:before="7"/>
              <w:rPr>
                <w:sz w:val="21"/>
              </w:rPr>
            </w:pPr>
            <w:r>
              <w:rPr>
                <w:sz w:val="21"/>
              </w:rPr>
              <w:t>本附加险合同的保单周年日同主险合同的保单周年日。</w:t>
            </w:r>
          </w:p>
        </w:tc>
      </w:tr>
      <w:tr>
        <w:trPr>
          <w:trHeight w:val="936" w:hRule="atLeast"/>
        </w:trPr>
        <w:tc>
          <w:tcPr>
            <w:tcW w:w="607" w:type="dxa"/>
          </w:tcPr>
          <w:p>
            <w:pPr>
              <w:pStyle w:val="TableParagraph"/>
              <w:spacing w:before="142"/>
              <w:ind w:left="88" w:right="160"/>
              <w:jc w:val="center"/>
              <w:rPr>
                <w:b/>
                <w:sz w:val="21"/>
              </w:rPr>
            </w:pPr>
            <w:r>
              <w:rPr>
                <w:b/>
                <w:sz w:val="21"/>
              </w:rPr>
              <w:t>1.3</w:t>
            </w:r>
          </w:p>
        </w:tc>
        <w:tc>
          <w:tcPr>
            <w:tcW w:w="1769" w:type="dxa"/>
          </w:tcPr>
          <w:p>
            <w:pPr>
              <w:pStyle w:val="TableParagraph"/>
              <w:spacing w:before="142"/>
              <w:ind w:left="141"/>
              <w:rPr>
                <w:b/>
                <w:sz w:val="21"/>
              </w:rPr>
            </w:pPr>
            <w:r>
              <w:rPr>
                <w:b/>
                <w:sz w:val="21"/>
              </w:rPr>
              <w:t>投保年龄</w:t>
            </w:r>
          </w:p>
        </w:tc>
        <w:tc>
          <w:tcPr>
            <w:tcW w:w="7704" w:type="dxa"/>
          </w:tcPr>
          <w:p>
            <w:pPr>
              <w:pStyle w:val="TableParagraph"/>
              <w:spacing w:line="273" w:lineRule="auto" w:before="142"/>
              <w:ind w:right="105" w:hanging="1"/>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18 周岁至 55 周岁。</w:t>
            </w:r>
          </w:p>
        </w:tc>
      </w:tr>
      <w:tr>
        <w:trPr>
          <w:trHeight w:val="2495" w:hRule="atLeast"/>
        </w:trPr>
        <w:tc>
          <w:tcPr>
            <w:tcW w:w="607" w:type="dxa"/>
          </w:tcPr>
          <w:p>
            <w:pPr>
              <w:pStyle w:val="TableParagraph"/>
              <w:spacing w:before="142"/>
              <w:ind w:left="88" w:right="160"/>
              <w:jc w:val="center"/>
              <w:rPr>
                <w:b/>
                <w:sz w:val="21"/>
              </w:rPr>
            </w:pPr>
            <w:r>
              <w:rPr>
                <w:b/>
                <w:sz w:val="21"/>
              </w:rPr>
              <w:t>1.4</w:t>
            </w:r>
          </w:p>
        </w:tc>
        <w:tc>
          <w:tcPr>
            <w:tcW w:w="1769" w:type="dxa"/>
          </w:tcPr>
          <w:p>
            <w:pPr>
              <w:pStyle w:val="TableParagraph"/>
              <w:spacing w:before="142"/>
              <w:ind w:left="141"/>
              <w:rPr>
                <w:b/>
                <w:sz w:val="21"/>
              </w:rPr>
            </w:pPr>
            <w:r>
              <w:rPr>
                <w:b/>
                <w:sz w:val="21"/>
              </w:rPr>
              <w:t>犹豫期</w:t>
            </w:r>
          </w:p>
        </w:tc>
        <w:tc>
          <w:tcPr>
            <w:tcW w:w="7704" w:type="dxa"/>
          </w:tcPr>
          <w:p>
            <w:pPr>
              <w:pStyle w:val="TableParagraph"/>
              <w:spacing w:line="273" w:lineRule="auto" w:before="142"/>
              <w:ind w:right="101"/>
              <w:jc w:val="both"/>
              <w:rPr>
                <w:sz w:val="21"/>
              </w:rPr>
            </w:pPr>
            <w:r>
              <w:rPr>
                <w:spacing w:val="-8"/>
                <w:sz w:val="21"/>
              </w:rPr>
              <w:t>自您签收本附加险合同次日起，有 </w:t>
            </w:r>
            <w:r>
              <w:rPr>
                <w:sz w:val="21"/>
              </w:rPr>
              <w:t>10</w:t>
            </w:r>
            <w:r>
              <w:rPr>
                <w:spacing w:val="-10"/>
                <w:sz w:val="21"/>
              </w:rPr>
              <w:t> 日的犹豫期。在此期间请您认真审视本附加险</w:t>
            </w:r>
            <w:r>
              <w:rPr>
                <w:spacing w:val="-5"/>
                <w:sz w:val="21"/>
              </w:rPr>
              <w:t>合同，如果您认为本附加险合同与您的需求不相符，您可以在此期间提出解除本附</w:t>
            </w:r>
            <w:r>
              <w:rPr>
                <w:spacing w:val="-4"/>
                <w:sz w:val="21"/>
              </w:rPr>
              <w:t>加险合同，我们将无息退还您所支付的全部保险费。</w:t>
            </w:r>
          </w:p>
          <w:p>
            <w:pPr>
              <w:pStyle w:val="TableParagraph"/>
              <w:spacing w:before="7"/>
              <w:rPr>
                <w:sz w:val="21"/>
              </w:rPr>
            </w:pPr>
            <w:r>
              <w:rPr>
                <w:spacing w:val="-12"/>
                <w:sz w:val="21"/>
              </w:rPr>
              <w:t>解除本附加险合同时，您需要填写申请书，并提供您的保险合同及</w:t>
            </w:r>
            <w:r>
              <w:rPr>
                <w:rFonts w:ascii="黑体" w:eastAsia="黑体" w:hint="eastAsia"/>
                <w:b/>
                <w:spacing w:val="-11"/>
                <w:sz w:val="21"/>
              </w:rPr>
              <w:t>有效身份证件</w:t>
            </w:r>
            <w:r>
              <w:rPr>
                <w:sz w:val="21"/>
              </w:rPr>
              <w:t>（见</w:t>
            </w:r>
          </w:p>
          <w:p>
            <w:pPr>
              <w:pStyle w:val="TableParagraph"/>
              <w:spacing w:line="273" w:lineRule="auto" w:before="37"/>
              <w:ind w:left="-1" w:right="103"/>
              <w:jc w:val="both"/>
              <w:rPr>
                <w:sz w:val="21"/>
              </w:rPr>
            </w:pPr>
            <w:r>
              <w:rPr>
                <w:w w:val="100"/>
                <w:sz w:val="21"/>
              </w:rPr>
              <w:t>9.2</w:t>
            </w:r>
            <w:r>
              <w:rPr>
                <w:spacing w:val="-109"/>
                <w:w w:val="100"/>
                <w:sz w:val="21"/>
              </w:rPr>
              <w:t>）</w:t>
            </w:r>
            <w:r>
              <w:rPr>
                <w:spacing w:val="-9"/>
                <w:w w:val="100"/>
                <w:sz w:val="21"/>
              </w:rPr>
              <w:t>。自我们收到您解除合同的书面申请时起，本附加险合同即被解除,合同解除前</w:t>
            </w:r>
            <w:r>
              <w:rPr>
                <w:spacing w:val="-5"/>
                <w:sz w:val="21"/>
              </w:rPr>
              <w:t>发生的保险事故我们不承担保险责任。</w:t>
            </w:r>
          </w:p>
          <w:p>
            <w:pPr>
              <w:pStyle w:val="TableParagraph"/>
              <w:spacing w:before="7"/>
              <w:jc w:val="both"/>
              <w:rPr>
                <w:sz w:val="21"/>
              </w:rPr>
            </w:pPr>
            <w:r>
              <w:rPr>
                <w:sz w:val="21"/>
              </w:rPr>
              <w:t>若您申请解除本附加险合同，主险合同必须与本附加险合同同时申请解除。</w:t>
            </w:r>
          </w:p>
        </w:tc>
      </w:tr>
      <w:tr>
        <w:trPr>
          <w:trHeight w:val="960" w:hRule="atLeast"/>
        </w:trPr>
        <w:tc>
          <w:tcPr>
            <w:tcW w:w="607" w:type="dxa"/>
          </w:tcPr>
          <w:p>
            <w:pPr>
              <w:pStyle w:val="TableParagraph"/>
              <w:spacing w:before="142"/>
              <w:ind w:left="88" w:right="160"/>
              <w:jc w:val="center"/>
              <w:rPr>
                <w:b/>
                <w:sz w:val="21"/>
              </w:rPr>
            </w:pPr>
            <w:r>
              <w:rPr>
                <w:b/>
                <w:sz w:val="21"/>
              </w:rPr>
              <w:t>1.5</w:t>
            </w:r>
          </w:p>
        </w:tc>
        <w:tc>
          <w:tcPr>
            <w:tcW w:w="1769" w:type="dxa"/>
          </w:tcPr>
          <w:p>
            <w:pPr>
              <w:pStyle w:val="TableParagraph"/>
              <w:spacing w:before="142"/>
              <w:ind w:left="141"/>
              <w:rPr>
                <w:b/>
                <w:sz w:val="21"/>
              </w:rPr>
            </w:pPr>
            <w:r>
              <w:rPr>
                <w:b/>
                <w:sz w:val="21"/>
              </w:rPr>
              <w:t>保险期间</w:t>
            </w:r>
          </w:p>
        </w:tc>
        <w:tc>
          <w:tcPr>
            <w:tcW w:w="7704" w:type="dxa"/>
          </w:tcPr>
          <w:p>
            <w:pPr>
              <w:pStyle w:val="TableParagraph"/>
              <w:spacing w:line="273" w:lineRule="auto" w:before="142"/>
              <w:ind w:right="106"/>
              <w:rPr>
                <w:sz w:val="21"/>
              </w:rPr>
            </w:pPr>
            <w:r>
              <w:rPr>
                <w:sz w:val="21"/>
              </w:rPr>
              <w:t>本附加险合同的保险期间为终身，自本附加险合同生效日起至本附加险合同约定终止时止。</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47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我们提供的保障</w:t>
            </w:r>
          </w:p>
        </w:tc>
      </w:tr>
      <w:tr>
        <w:trPr>
          <w:trHeight w:val="1094"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2.1</w:t>
            </w:r>
          </w:p>
        </w:tc>
        <w:tc>
          <w:tcPr>
            <w:tcW w:w="1769" w:type="dxa"/>
            <w:tcBorders>
              <w:top w:val="single" w:sz="8" w:space="0" w:color="000000"/>
            </w:tcBorders>
          </w:tcPr>
          <w:p>
            <w:pPr>
              <w:pStyle w:val="TableParagraph"/>
              <w:rPr>
                <w:sz w:val="23"/>
              </w:rPr>
            </w:pPr>
          </w:p>
          <w:p>
            <w:pPr>
              <w:pStyle w:val="TableParagraph"/>
              <w:ind w:left="141"/>
              <w:rPr>
                <w:b/>
                <w:sz w:val="21"/>
              </w:rPr>
            </w:pPr>
            <w:r>
              <w:rPr>
                <w:b/>
                <w:sz w:val="21"/>
              </w:rPr>
              <w:t>保险金额</w:t>
            </w:r>
          </w:p>
        </w:tc>
        <w:tc>
          <w:tcPr>
            <w:tcW w:w="7704" w:type="dxa"/>
            <w:tcBorders>
              <w:top w:val="single" w:sz="8" w:space="0" w:color="000000"/>
            </w:tcBorders>
          </w:tcPr>
          <w:p>
            <w:pPr>
              <w:pStyle w:val="TableParagraph"/>
              <w:rPr>
                <w:sz w:val="23"/>
              </w:rPr>
            </w:pPr>
          </w:p>
          <w:p>
            <w:pPr>
              <w:pStyle w:val="TableParagraph"/>
              <w:spacing w:line="273" w:lineRule="auto"/>
              <w:ind w:right="106"/>
              <w:rPr>
                <w:sz w:val="21"/>
              </w:rPr>
            </w:pPr>
            <w:r>
              <w:rPr>
                <w:sz w:val="21"/>
              </w:rPr>
              <w:t>本附加险合同的基本保险金额由您在投保时与我们约定并在保险单上载明。若该金额发生变更，则以变更后的金额为基本保险金额。</w:t>
            </w:r>
          </w:p>
        </w:tc>
      </w:tr>
      <w:tr>
        <w:trPr>
          <w:trHeight w:val="798" w:hRule="atLeast"/>
        </w:trPr>
        <w:tc>
          <w:tcPr>
            <w:tcW w:w="607" w:type="dxa"/>
          </w:tcPr>
          <w:p>
            <w:pPr>
              <w:pStyle w:val="TableParagraph"/>
              <w:spacing w:before="142"/>
              <w:ind w:left="88" w:right="160"/>
              <w:jc w:val="center"/>
              <w:rPr>
                <w:b/>
                <w:sz w:val="21"/>
              </w:rPr>
            </w:pPr>
            <w:r>
              <w:rPr>
                <w:b/>
                <w:sz w:val="21"/>
              </w:rPr>
              <w:t>2.2</w:t>
            </w:r>
          </w:p>
        </w:tc>
        <w:tc>
          <w:tcPr>
            <w:tcW w:w="1769" w:type="dxa"/>
          </w:tcPr>
          <w:p>
            <w:pPr>
              <w:pStyle w:val="TableParagraph"/>
              <w:spacing w:before="142"/>
              <w:ind w:left="141"/>
              <w:rPr>
                <w:b/>
                <w:sz w:val="21"/>
              </w:rPr>
            </w:pPr>
            <w:r>
              <w:rPr>
                <w:b/>
                <w:sz w:val="21"/>
              </w:rPr>
              <w:t>保险责任</w:t>
            </w:r>
          </w:p>
        </w:tc>
        <w:tc>
          <w:tcPr>
            <w:tcW w:w="7704" w:type="dxa"/>
          </w:tcPr>
          <w:p>
            <w:pPr>
              <w:pStyle w:val="TableParagraph"/>
              <w:spacing w:before="142"/>
              <w:rPr>
                <w:sz w:val="21"/>
              </w:rPr>
            </w:pPr>
            <w:r>
              <w:rPr>
                <w:sz w:val="21"/>
              </w:rPr>
              <w:t>在本附加险合同有效期内，我们承担如下保险责任：</w:t>
            </w:r>
          </w:p>
        </w:tc>
      </w:tr>
      <w:tr>
        <w:trPr>
          <w:trHeight w:val="1209" w:hRule="atLeast"/>
        </w:trPr>
        <w:tc>
          <w:tcPr>
            <w:tcW w:w="607" w:type="dxa"/>
          </w:tcPr>
          <w:p>
            <w:pPr>
              <w:pStyle w:val="TableParagraph"/>
              <w:rPr>
                <w:rFonts w:ascii="Times New Roman"/>
                <w:sz w:val="20"/>
              </w:rPr>
            </w:pPr>
          </w:p>
        </w:tc>
        <w:tc>
          <w:tcPr>
            <w:tcW w:w="1769" w:type="dxa"/>
          </w:tcPr>
          <w:p>
            <w:pPr>
              <w:pStyle w:val="TableParagraph"/>
              <w:spacing w:line="293" w:lineRule="exact"/>
              <w:ind w:left="141"/>
              <w:rPr>
                <w:rFonts w:ascii="等线" w:eastAsia="等线" w:hint="eastAsia"/>
                <w:b/>
                <w:sz w:val="24"/>
              </w:rPr>
            </w:pPr>
            <w:r>
              <w:rPr>
                <w:rFonts w:ascii="等线" w:eastAsia="等线" w:hint="eastAsia"/>
                <w:b/>
                <w:sz w:val="24"/>
              </w:rPr>
              <w:t>等待期</w:t>
            </w:r>
          </w:p>
        </w:tc>
        <w:tc>
          <w:tcPr>
            <w:tcW w:w="7704" w:type="dxa"/>
          </w:tcPr>
          <w:p>
            <w:pPr>
              <w:pStyle w:val="TableParagraph"/>
              <w:spacing w:line="243" w:lineRule="exact"/>
              <w:rPr>
                <w:sz w:val="21"/>
              </w:rPr>
            </w:pPr>
            <w:r>
              <w:rPr>
                <w:spacing w:val="-6"/>
                <w:sz w:val="21"/>
              </w:rPr>
              <w:t>从本附加险合同生效</w:t>
            </w:r>
            <w:r>
              <w:rPr>
                <w:sz w:val="21"/>
              </w:rPr>
              <w:t>（</w:t>
            </w:r>
            <w:r>
              <w:rPr>
                <w:spacing w:val="-3"/>
                <w:sz w:val="21"/>
              </w:rPr>
              <w:t>或最后复效</w:t>
            </w:r>
            <w:r>
              <w:rPr>
                <w:spacing w:val="-27"/>
                <w:sz w:val="21"/>
              </w:rPr>
              <w:t>）</w:t>
            </w:r>
            <w:r>
              <w:rPr>
                <w:spacing w:val="-10"/>
                <w:sz w:val="21"/>
              </w:rPr>
              <w:t>之日起 </w:t>
            </w:r>
            <w:r>
              <w:rPr>
                <w:sz w:val="21"/>
              </w:rPr>
              <w:t>90</w:t>
            </w:r>
            <w:r>
              <w:rPr>
                <w:spacing w:val="-9"/>
                <w:sz w:val="21"/>
              </w:rPr>
              <w:t> 日内，被保险人因疾病发生下列情形</w:t>
            </w:r>
          </w:p>
          <w:p>
            <w:pPr>
              <w:pStyle w:val="TableParagraph"/>
              <w:spacing w:line="310" w:lineRule="atLeast" w:before="2"/>
              <w:ind w:right="103"/>
              <w:jc w:val="both"/>
              <w:rPr>
                <w:rFonts w:ascii="黑体" w:hAnsi="黑体" w:eastAsia="黑体" w:hint="eastAsia"/>
                <w:b/>
                <w:sz w:val="21"/>
              </w:rPr>
            </w:pPr>
            <w:r>
              <w:rPr>
                <w:spacing w:val="-36"/>
                <w:w w:val="100"/>
                <w:sz w:val="21"/>
              </w:rPr>
              <w:t>之一的：</w:t>
            </w:r>
            <w:r>
              <w:rPr>
                <w:w w:val="100"/>
                <w:sz w:val="21"/>
              </w:rPr>
              <w:t>（一</w:t>
            </w:r>
            <w:r>
              <w:rPr>
                <w:spacing w:val="-142"/>
                <w:w w:val="100"/>
                <w:sz w:val="21"/>
              </w:rPr>
              <w:t>）</w:t>
            </w:r>
            <w:r>
              <w:rPr>
                <w:rFonts w:ascii="黑体" w:hAnsi="黑体" w:eastAsia="黑体" w:hint="eastAsia"/>
                <w:b/>
                <w:w w:val="100"/>
                <w:sz w:val="21"/>
              </w:rPr>
              <w:t>“重大疾病</w:t>
            </w:r>
            <w:r>
              <w:rPr>
                <w:rFonts w:ascii="黑体" w:hAnsi="黑体" w:eastAsia="黑体" w:hint="eastAsia"/>
                <w:b/>
                <w:spacing w:val="-140"/>
                <w:w w:val="100"/>
                <w:sz w:val="21"/>
              </w:rPr>
              <w:t>”</w:t>
            </w:r>
            <w:r>
              <w:rPr>
                <w:w w:val="100"/>
                <w:sz w:val="21"/>
              </w:rPr>
              <w:t>（见</w:t>
            </w:r>
            <w:r>
              <w:rPr>
                <w:spacing w:val="-55"/>
                <w:sz w:val="21"/>
              </w:rPr>
              <w:t> </w:t>
            </w:r>
            <w:r>
              <w:rPr>
                <w:w w:val="100"/>
                <w:sz w:val="21"/>
              </w:rPr>
              <w:t>9.</w:t>
            </w:r>
            <w:r>
              <w:rPr>
                <w:spacing w:val="-3"/>
                <w:w w:val="100"/>
                <w:sz w:val="21"/>
              </w:rPr>
              <w:t>3</w:t>
            </w:r>
            <w:r>
              <w:rPr>
                <w:spacing w:val="-34"/>
                <w:w w:val="100"/>
                <w:sz w:val="21"/>
              </w:rPr>
              <w:t>）或</w:t>
            </w:r>
            <w:r>
              <w:rPr>
                <w:rFonts w:ascii="黑体" w:hAnsi="黑体" w:eastAsia="黑体" w:hint="eastAsia"/>
                <w:b/>
                <w:spacing w:val="-1"/>
                <w:w w:val="100"/>
                <w:sz w:val="21"/>
              </w:rPr>
              <w:t>“特定轻度重疾</w:t>
            </w:r>
            <w:r>
              <w:rPr>
                <w:rFonts w:ascii="黑体" w:hAnsi="黑体" w:eastAsia="黑体" w:hint="eastAsia"/>
                <w:b/>
                <w:spacing w:val="-137"/>
                <w:w w:val="100"/>
                <w:sz w:val="21"/>
              </w:rPr>
              <w:t>”</w:t>
            </w:r>
            <w:r>
              <w:rPr>
                <w:spacing w:val="-3"/>
                <w:w w:val="100"/>
                <w:sz w:val="21"/>
              </w:rPr>
              <w:t>（</w:t>
            </w:r>
            <w:r>
              <w:rPr>
                <w:w w:val="100"/>
                <w:sz w:val="21"/>
              </w:rPr>
              <w:t>见</w:t>
            </w:r>
            <w:r>
              <w:rPr>
                <w:spacing w:val="-53"/>
                <w:sz w:val="21"/>
              </w:rPr>
              <w:t> </w:t>
            </w:r>
            <w:r>
              <w:rPr>
                <w:w w:val="100"/>
                <w:sz w:val="21"/>
              </w:rPr>
              <w:t>9.</w:t>
            </w:r>
            <w:r>
              <w:rPr>
                <w:spacing w:val="-3"/>
                <w:w w:val="100"/>
                <w:sz w:val="21"/>
              </w:rPr>
              <w:t>4</w:t>
            </w:r>
            <w:r>
              <w:rPr>
                <w:spacing w:val="-106"/>
                <w:w w:val="100"/>
                <w:sz w:val="21"/>
              </w:rPr>
              <w:t>）</w:t>
            </w:r>
            <w:r>
              <w:rPr>
                <w:spacing w:val="-140"/>
                <w:w w:val="100"/>
                <w:sz w:val="21"/>
              </w:rPr>
              <w:t>，</w:t>
            </w:r>
            <w:r>
              <w:rPr>
                <w:w w:val="100"/>
                <w:sz w:val="21"/>
              </w:rPr>
              <w:t>（</w:t>
            </w:r>
            <w:r>
              <w:rPr>
                <w:spacing w:val="-3"/>
                <w:w w:val="100"/>
                <w:sz w:val="21"/>
              </w:rPr>
              <w:t>二</w:t>
            </w:r>
            <w:r>
              <w:rPr>
                <w:spacing w:val="-34"/>
                <w:w w:val="100"/>
                <w:sz w:val="21"/>
              </w:rPr>
              <w:t>）</w:t>
            </w:r>
            <w:r>
              <w:rPr>
                <w:spacing w:val="-9"/>
                <w:w w:val="100"/>
                <w:sz w:val="21"/>
              </w:rPr>
              <w:t>因导致“重</w:t>
            </w:r>
            <w:r>
              <w:rPr>
                <w:spacing w:val="-3"/>
                <w:sz w:val="21"/>
              </w:rPr>
              <w:t>大疾病”或“特定轻度重疾”的相关疾病就诊，我们不承担保险责任，退还本附加</w:t>
            </w:r>
            <w:r>
              <w:rPr>
                <w:spacing w:val="-10"/>
                <w:sz w:val="21"/>
              </w:rPr>
              <w:t>险合同的现金价值，本附加险合同终止。这 </w:t>
            </w:r>
            <w:r>
              <w:rPr>
                <w:sz w:val="21"/>
              </w:rPr>
              <w:t>90</w:t>
            </w:r>
            <w:r>
              <w:rPr>
                <w:spacing w:val="-9"/>
                <w:sz w:val="21"/>
              </w:rPr>
              <w:t> 日的时间称为等待期；被保险人因</w:t>
            </w:r>
            <w:r>
              <w:rPr>
                <w:rFonts w:ascii="黑体" w:hAnsi="黑体" w:eastAsia="黑体" w:hint="eastAsia"/>
                <w:b/>
                <w:sz w:val="21"/>
              </w:rPr>
              <w:t>意</w:t>
            </w:r>
          </w:p>
        </w:tc>
      </w:tr>
    </w:tbl>
    <w:p>
      <w:pPr>
        <w:spacing w:after="0" w:line="310" w:lineRule="atLeast"/>
        <w:jc w:val="both"/>
        <w:rPr>
          <w:rFonts w:ascii="黑体" w:hAnsi="黑体" w:eastAsia="黑体" w:hint="eastAsia"/>
          <w:sz w:val="21"/>
        </w:rPr>
        <w:sectPr>
          <w:pgSz w:w="11910" w:h="16840"/>
          <w:pgMar w:top="660" w:bottom="280" w:left="800" w:right="80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708"/>
        <w:gridCol w:w="7733"/>
      </w:tblGrid>
      <w:tr>
        <w:trPr>
          <w:trHeight w:val="261" w:hRule="atLeast"/>
        </w:trPr>
        <w:tc>
          <w:tcPr>
            <w:tcW w:w="529" w:type="dxa"/>
          </w:tcPr>
          <w:p>
            <w:pPr>
              <w:pStyle w:val="TableParagraph"/>
              <w:rPr>
                <w:rFonts w:ascii="Times New Roman"/>
                <w:sz w:val="18"/>
              </w:rPr>
            </w:pPr>
          </w:p>
        </w:tc>
        <w:tc>
          <w:tcPr>
            <w:tcW w:w="1708" w:type="dxa"/>
          </w:tcPr>
          <w:p>
            <w:pPr>
              <w:pStyle w:val="TableParagraph"/>
              <w:rPr>
                <w:rFonts w:ascii="Times New Roman"/>
                <w:sz w:val="18"/>
              </w:rPr>
            </w:pPr>
          </w:p>
        </w:tc>
        <w:tc>
          <w:tcPr>
            <w:tcW w:w="7733" w:type="dxa"/>
          </w:tcPr>
          <w:p>
            <w:pPr>
              <w:pStyle w:val="TableParagraph"/>
              <w:spacing w:line="211" w:lineRule="exact"/>
              <w:ind w:left="80"/>
              <w:rPr>
                <w:sz w:val="21"/>
              </w:rPr>
            </w:pPr>
            <w:r>
              <w:rPr>
                <w:rFonts w:ascii="黑体" w:eastAsia="黑体" w:hint="eastAsia"/>
                <w:b/>
                <w:sz w:val="21"/>
              </w:rPr>
              <w:t>外伤害</w:t>
            </w:r>
            <w:r>
              <w:rPr>
                <w:sz w:val="21"/>
              </w:rPr>
              <w:t>（见 9.11）发生上述两项情形之一的，无等待期。</w:t>
            </w:r>
          </w:p>
        </w:tc>
      </w:tr>
      <w:tr>
        <w:trPr>
          <w:trHeight w:val="467"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733" w:type="dxa"/>
          </w:tcPr>
          <w:p>
            <w:pPr>
              <w:pStyle w:val="TableParagraph"/>
              <w:spacing w:line="261" w:lineRule="exact"/>
              <w:ind w:left="81"/>
              <w:rPr>
                <w:sz w:val="21"/>
              </w:rPr>
            </w:pPr>
            <w:r>
              <w:rPr>
                <w:sz w:val="21"/>
              </w:rPr>
              <w:t>如果在等待期后发生保险事故，我们按照下列方式给付保险金：</w:t>
            </w:r>
          </w:p>
        </w:tc>
      </w:tr>
      <w:tr>
        <w:trPr>
          <w:trHeight w:val="493" w:hRule="atLeast"/>
        </w:trPr>
        <w:tc>
          <w:tcPr>
            <w:tcW w:w="529" w:type="dxa"/>
          </w:tcPr>
          <w:p>
            <w:pPr>
              <w:pStyle w:val="TableParagraph"/>
              <w:rPr>
                <w:rFonts w:ascii="Times New Roman"/>
                <w:sz w:val="20"/>
              </w:rPr>
            </w:pPr>
          </w:p>
        </w:tc>
        <w:tc>
          <w:tcPr>
            <w:tcW w:w="1708" w:type="dxa"/>
          </w:tcPr>
          <w:p>
            <w:pPr>
              <w:pStyle w:val="TableParagraph"/>
              <w:spacing w:before="140"/>
              <w:ind w:left="161"/>
              <w:rPr>
                <w:rFonts w:ascii="等线" w:eastAsia="等线" w:hint="eastAsia"/>
                <w:b/>
                <w:sz w:val="24"/>
              </w:rPr>
            </w:pPr>
            <w:r>
              <w:rPr>
                <w:rFonts w:ascii="等线" w:eastAsia="等线" w:hint="eastAsia"/>
                <w:b/>
                <w:sz w:val="24"/>
              </w:rPr>
              <w:t>重大疾病保 </w:t>
            </w:r>
          </w:p>
        </w:tc>
        <w:tc>
          <w:tcPr>
            <w:tcW w:w="7733" w:type="dxa"/>
          </w:tcPr>
          <w:p>
            <w:pPr>
              <w:pStyle w:val="TableParagraph"/>
              <w:spacing w:before="142"/>
              <w:ind w:left="80"/>
              <w:rPr>
                <w:sz w:val="21"/>
              </w:rPr>
            </w:pPr>
            <w:r>
              <w:rPr>
                <w:w w:val="100"/>
                <w:sz w:val="21"/>
              </w:rPr>
              <w:t>被保险人经</w:t>
            </w:r>
            <w:r>
              <w:rPr>
                <w:rFonts w:ascii="黑体" w:hAnsi="黑体" w:eastAsia="黑体" w:hint="eastAsia"/>
                <w:b/>
                <w:w w:val="100"/>
                <w:sz w:val="21"/>
              </w:rPr>
              <w:t>医院</w:t>
            </w:r>
            <w:r>
              <w:rPr>
                <w:w w:val="100"/>
                <w:sz w:val="21"/>
              </w:rPr>
              <w:t>（见</w:t>
            </w:r>
            <w:r>
              <w:rPr>
                <w:sz w:val="21"/>
              </w:rPr>
              <w:t> </w:t>
            </w:r>
            <w:r>
              <w:rPr>
                <w:spacing w:val="-3"/>
                <w:w w:val="100"/>
                <w:sz w:val="21"/>
              </w:rPr>
              <w:t>9</w:t>
            </w:r>
            <w:r>
              <w:rPr>
                <w:w w:val="100"/>
                <w:sz w:val="21"/>
              </w:rPr>
              <w:t>.1</w:t>
            </w:r>
            <w:r>
              <w:rPr>
                <w:spacing w:val="-3"/>
                <w:w w:val="100"/>
                <w:sz w:val="21"/>
              </w:rPr>
              <w:t>2</w:t>
            </w:r>
            <w:r>
              <w:rPr>
                <w:w w:val="100"/>
                <w:sz w:val="21"/>
              </w:rPr>
              <w:t>）</w:t>
            </w:r>
            <w:r>
              <w:rPr>
                <w:spacing w:val="-10"/>
                <w:w w:val="100"/>
                <w:sz w:val="21"/>
              </w:rPr>
              <w:t>诊断初次发生“重大疾病”，我们按照基本保险金额给</w:t>
            </w:r>
          </w:p>
        </w:tc>
      </w:tr>
      <w:tr>
        <w:trPr>
          <w:trHeight w:val="481" w:hRule="atLeast"/>
        </w:trPr>
        <w:tc>
          <w:tcPr>
            <w:tcW w:w="529" w:type="dxa"/>
          </w:tcPr>
          <w:p>
            <w:pPr>
              <w:pStyle w:val="TableParagraph"/>
              <w:rPr>
                <w:rFonts w:ascii="Times New Roman"/>
                <w:sz w:val="20"/>
              </w:rPr>
            </w:pPr>
          </w:p>
        </w:tc>
        <w:tc>
          <w:tcPr>
            <w:tcW w:w="1708" w:type="dxa"/>
          </w:tcPr>
          <w:p>
            <w:pPr>
              <w:pStyle w:val="TableParagraph"/>
              <w:spacing w:line="296" w:lineRule="exact"/>
              <w:ind w:left="161"/>
              <w:rPr>
                <w:rFonts w:ascii="等线" w:eastAsia="等线" w:hint="eastAsia"/>
                <w:b/>
                <w:sz w:val="24"/>
              </w:rPr>
            </w:pPr>
            <w:r>
              <w:rPr>
                <w:rFonts w:ascii="等线" w:eastAsia="等线" w:hint="eastAsia"/>
                <w:b/>
                <w:sz w:val="24"/>
              </w:rPr>
              <w:t>险金</w:t>
            </w:r>
          </w:p>
        </w:tc>
        <w:tc>
          <w:tcPr>
            <w:tcW w:w="7733" w:type="dxa"/>
          </w:tcPr>
          <w:p>
            <w:pPr>
              <w:pStyle w:val="TableParagraph"/>
              <w:spacing w:line="236" w:lineRule="exact"/>
              <w:ind w:left="81"/>
              <w:rPr>
                <w:sz w:val="21"/>
              </w:rPr>
            </w:pPr>
            <w:r>
              <w:rPr>
                <w:sz w:val="21"/>
              </w:rPr>
              <w:t>付“重大疾病保险金”。</w:t>
            </w:r>
          </w:p>
        </w:tc>
      </w:tr>
      <w:tr>
        <w:trPr>
          <w:trHeight w:val="446"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733" w:type="dxa"/>
          </w:tcPr>
          <w:p>
            <w:pPr>
              <w:pStyle w:val="TableParagraph"/>
              <w:spacing w:before="120"/>
              <w:ind w:left="80"/>
              <w:rPr>
                <w:sz w:val="21"/>
              </w:rPr>
            </w:pPr>
            <w:r>
              <w:rPr>
                <w:sz w:val="21"/>
              </w:rPr>
              <w:t>我们给付“重大疾病保险金”后，本附加险合同终止，主险合同基本保险金额按给</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733" w:type="dxa"/>
          </w:tcPr>
          <w:p>
            <w:pPr>
              <w:pStyle w:val="TableParagraph"/>
              <w:spacing w:line="261" w:lineRule="exact"/>
              <w:ind w:left="80"/>
              <w:rPr>
                <w:sz w:val="21"/>
              </w:rPr>
            </w:pPr>
            <w:r>
              <w:rPr>
                <w:sz w:val="21"/>
              </w:rPr>
              <w:t>付的重大疾病保险金等额减少；主险合同约定的各项保险责任及保险单上载明的现</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733" w:type="dxa"/>
          </w:tcPr>
          <w:p>
            <w:pPr>
              <w:pStyle w:val="TableParagraph"/>
              <w:spacing w:line="261" w:lineRule="exact"/>
              <w:ind w:left="80"/>
              <w:rPr>
                <w:sz w:val="21"/>
              </w:rPr>
            </w:pPr>
            <w:r>
              <w:rPr>
                <w:sz w:val="21"/>
              </w:rPr>
              <w:t>金价值按减少后的基本保险金额确定。当主险合同基本保险金额减少至零时，主险</w:t>
            </w:r>
          </w:p>
        </w:tc>
      </w:tr>
      <w:tr>
        <w:trPr>
          <w:trHeight w:val="468"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733" w:type="dxa"/>
          </w:tcPr>
          <w:p>
            <w:pPr>
              <w:pStyle w:val="TableParagraph"/>
              <w:spacing w:line="261" w:lineRule="exact"/>
              <w:ind w:left="80"/>
              <w:rPr>
                <w:sz w:val="21"/>
              </w:rPr>
            </w:pPr>
            <w:r>
              <w:rPr>
                <w:sz w:val="21"/>
              </w:rPr>
              <w:t>合同终止。</w:t>
            </w:r>
          </w:p>
        </w:tc>
      </w:tr>
      <w:tr>
        <w:trPr>
          <w:trHeight w:val="493" w:hRule="atLeast"/>
        </w:trPr>
        <w:tc>
          <w:tcPr>
            <w:tcW w:w="529" w:type="dxa"/>
          </w:tcPr>
          <w:p>
            <w:pPr>
              <w:pStyle w:val="TableParagraph"/>
              <w:rPr>
                <w:rFonts w:ascii="Times New Roman"/>
                <w:sz w:val="20"/>
              </w:rPr>
            </w:pPr>
          </w:p>
        </w:tc>
        <w:tc>
          <w:tcPr>
            <w:tcW w:w="1708" w:type="dxa"/>
          </w:tcPr>
          <w:p>
            <w:pPr>
              <w:pStyle w:val="TableParagraph"/>
              <w:spacing w:before="140"/>
              <w:ind w:left="161"/>
              <w:rPr>
                <w:rFonts w:ascii="等线" w:eastAsia="等线" w:hint="eastAsia"/>
                <w:b/>
                <w:sz w:val="24"/>
              </w:rPr>
            </w:pPr>
            <w:r>
              <w:rPr>
                <w:rFonts w:ascii="等线" w:eastAsia="等线" w:hint="eastAsia"/>
                <w:b/>
                <w:sz w:val="24"/>
              </w:rPr>
              <w:t>特定轻度重 </w:t>
            </w:r>
          </w:p>
        </w:tc>
        <w:tc>
          <w:tcPr>
            <w:tcW w:w="7733" w:type="dxa"/>
          </w:tcPr>
          <w:p>
            <w:pPr>
              <w:pStyle w:val="TableParagraph"/>
              <w:spacing w:before="142"/>
              <w:ind w:left="80"/>
              <w:rPr>
                <w:sz w:val="21"/>
              </w:rPr>
            </w:pPr>
            <w:r>
              <w:rPr>
                <w:spacing w:val="-12"/>
                <w:w w:val="100"/>
                <w:sz w:val="21"/>
              </w:rPr>
              <w:t>被保险人经医院诊断初次发生“特定轻度重疾”但此前未发生“重大疾病”，且确诊</w:t>
            </w:r>
          </w:p>
        </w:tc>
      </w:tr>
      <w:tr>
        <w:trPr>
          <w:trHeight w:val="598" w:hRule="atLeast"/>
        </w:trPr>
        <w:tc>
          <w:tcPr>
            <w:tcW w:w="529" w:type="dxa"/>
          </w:tcPr>
          <w:p>
            <w:pPr>
              <w:pStyle w:val="TableParagraph"/>
              <w:rPr>
                <w:rFonts w:ascii="Times New Roman"/>
                <w:sz w:val="20"/>
              </w:rPr>
            </w:pPr>
          </w:p>
        </w:tc>
        <w:tc>
          <w:tcPr>
            <w:tcW w:w="1708" w:type="dxa"/>
          </w:tcPr>
          <w:p>
            <w:pPr>
              <w:pStyle w:val="TableParagraph"/>
              <w:spacing w:line="293" w:lineRule="exact"/>
              <w:ind w:left="161"/>
              <w:rPr>
                <w:rFonts w:ascii="等线" w:eastAsia="等线" w:hint="eastAsia"/>
                <w:b/>
                <w:sz w:val="24"/>
              </w:rPr>
            </w:pPr>
            <w:r>
              <w:rPr>
                <w:rFonts w:ascii="等线" w:eastAsia="等线" w:hint="eastAsia"/>
                <w:b/>
                <w:sz w:val="24"/>
              </w:rPr>
              <w:t>疾保险金</w:t>
            </w:r>
          </w:p>
        </w:tc>
        <w:tc>
          <w:tcPr>
            <w:tcW w:w="7733" w:type="dxa"/>
          </w:tcPr>
          <w:p>
            <w:pPr>
              <w:pStyle w:val="TableParagraph"/>
              <w:spacing w:line="236" w:lineRule="exact"/>
              <w:ind w:left="80"/>
              <w:rPr>
                <w:sz w:val="21"/>
              </w:rPr>
            </w:pPr>
            <w:r>
              <w:rPr>
                <w:sz w:val="21"/>
              </w:rPr>
              <w:t>28 日后仍生存的，我们按照基本保险金额的 20%给付“特定轻度重疾保险金”。</w:t>
            </w:r>
          </w:p>
          <w:p>
            <w:pPr>
              <w:pStyle w:val="TableParagraph"/>
              <w:spacing w:before="37"/>
              <w:ind w:left="81"/>
              <w:rPr>
                <w:sz w:val="21"/>
              </w:rPr>
            </w:pPr>
            <w:r>
              <w:rPr>
                <w:sz w:val="21"/>
              </w:rPr>
              <w:t>“特定轻度重疾保险金”给付以一次为限。我们给付“特定轻度重疾保险金”后，</w:t>
            </w:r>
          </w:p>
        </w:tc>
      </w:tr>
      <w:tr>
        <w:trPr>
          <w:trHeight w:val="468"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733" w:type="dxa"/>
          </w:tcPr>
          <w:p>
            <w:pPr>
              <w:pStyle w:val="TableParagraph"/>
              <w:spacing w:line="261" w:lineRule="exact"/>
              <w:ind w:left="81"/>
              <w:rPr>
                <w:sz w:val="21"/>
              </w:rPr>
            </w:pPr>
            <w:r>
              <w:rPr>
                <w:sz w:val="21"/>
              </w:rPr>
              <w:t>本附加险合同继续有效，基本保险金额不变。</w:t>
            </w:r>
          </w:p>
        </w:tc>
      </w:tr>
      <w:tr>
        <w:trPr>
          <w:trHeight w:val="468" w:hRule="atLeast"/>
        </w:trPr>
        <w:tc>
          <w:tcPr>
            <w:tcW w:w="529" w:type="dxa"/>
          </w:tcPr>
          <w:p>
            <w:pPr>
              <w:pStyle w:val="TableParagraph"/>
              <w:spacing w:before="142"/>
              <w:ind w:left="50"/>
              <w:rPr>
                <w:b/>
                <w:sz w:val="21"/>
              </w:rPr>
            </w:pPr>
            <w:r>
              <w:rPr>
                <w:b/>
                <w:sz w:val="21"/>
              </w:rPr>
              <w:t>2.3</w:t>
            </w:r>
          </w:p>
        </w:tc>
        <w:tc>
          <w:tcPr>
            <w:tcW w:w="1708" w:type="dxa"/>
          </w:tcPr>
          <w:p>
            <w:pPr>
              <w:pStyle w:val="TableParagraph"/>
              <w:spacing w:before="142"/>
              <w:ind w:left="161"/>
              <w:rPr>
                <w:b/>
                <w:sz w:val="21"/>
              </w:rPr>
            </w:pPr>
            <w:r>
              <w:rPr>
                <w:b/>
                <w:sz w:val="21"/>
              </w:rPr>
              <w:t>责任免除</w:t>
            </w:r>
          </w:p>
        </w:tc>
        <w:tc>
          <w:tcPr>
            <w:tcW w:w="7733" w:type="dxa"/>
          </w:tcPr>
          <w:p>
            <w:pPr>
              <w:pStyle w:val="TableParagraph"/>
              <w:spacing w:before="142"/>
              <w:ind w:left="80"/>
              <w:rPr>
                <w:sz w:val="21"/>
              </w:rPr>
            </w:pPr>
            <w:r>
              <w:rPr>
                <w:sz w:val="21"/>
                <w:shd w:fill="DADADA" w:color="auto" w:val="clear"/>
              </w:rPr>
              <w:t>因下列情形之一导致被保险人初次发生“重大疾病”或“特定轻度重疾”的，我们</w:t>
            </w:r>
          </w:p>
        </w:tc>
      </w:tr>
      <w:tr>
        <w:trPr>
          <w:trHeight w:val="312"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733" w:type="dxa"/>
          </w:tcPr>
          <w:p>
            <w:pPr>
              <w:pStyle w:val="TableParagraph"/>
              <w:spacing w:line="261" w:lineRule="exact"/>
              <w:ind w:left="80"/>
              <w:rPr>
                <w:sz w:val="21"/>
              </w:rPr>
            </w:pPr>
            <w:r>
              <w:rPr>
                <w:sz w:val="21"/>
                <w:shd w:fill="DADADA" w:color="auto" w:val="clear"/>
              </w:rPr>
              <w:t>不承担给付保险金的责任：</w:t>
            </w:r>
          </w:p>
        </w:tc>
      </w:tr>
      <w:tr>
        <w:trPr>
          <w:trHeight w:val="312"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733" w:type="dxa"/>
          </w:tcPr>
          <w:p>
            <w:pPr>
              <w:pStyle w:val="TableParagraph"/>
              <w:spacing w:line="261" w:lineRule="exact"/>
              <w:ind w:left="80"/>
              <w:rPr>
                <w:sz w:val="21"/>
              </w:rPr>
            </w:pPr>
            <w:r>
              <w:rPr>
                <w:sz w:val="21"/>
                <w:shd w:fill="DADADA" w:color="auto" w:val="clear"/>
              </w:rPr>
              <w:t>（1）投保人对被保险人的故意杀害、故意伤害；</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733" w:type="dxa"/>
          </w:tcPr>
          <w:p>
            <w:pPr>
              <w:pStyle w:val="TableParagraph"/>
              <w:spacing w:line="261" w:lineRule="exact"/>
              <w:ind w:left="80"/>
              <w:rPr>
                <w:sz w:val="21"/>
              </w:rPr>
            </w:pPr>
            <w:r>
              <w:rPr>
                <w:sz w:val="21"/>
                <w:shd w:fill="DADADA" w:color="auto" w:val="clear"/>
              </w:rPr>
              <w:t>（2）被保险人故意自伤、故意犯罪或者抗拒依法采取的刑事强制措施；</w:t>
            </w:r>
          </w:p>
        </w:tc>
      </w:tr>
      <w:tr>
        <w:trPr>
          <w:trHeight w:val="312"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733" w:type="dxa"/>
          </w:tcPr>
          <w:p>
            <w:pPr>
              <w:pStyle w:val="TableParagraph"/>
              <w:spacing w:line="261" w:lineRule="exact"/>
              <w:ind w:left="80"/>
              <w:rPr>
                <w:sz w:val="21"/>
              </w:rPr>
            </w:pPr>
            <w:r>
              <w:rPr>
                <w:w w:val="100"/>
                <w:sz w:val="21"/>
                <w:shd w:fill="DADADA" w:color="auto" w:val="clear"/>
              </w:rPr>
              <w:t>（3</w:t>
            </w:r>
            <w:r>
              <w:rPr>
                <w:spacing w:val="-3"/>
                <w:w w:val="100"/>
                <w:sz w:val="21"/>
                <w:shd w:fill="DADADA" w:color="auto" w:val="clear"/>
              </w:rPr>
              <w:t>）被保险人主动吸食或注射</w:t>
            </w:r>
            <w:r>
              <w:rPr>
                <w:rFonts w:ascii="黑体" w:eastAsia="黑体" w:hint="eastAsia"/>
                <w:b/>
                <w:w w:val="100"/>
                <w:sz w:val="21"/>
                <w:shd w:fill="DADADA" w:color="auto" w:val="clear"/>
              </w:rPr>
              <w:t>毒品</w:t>
            </w:r>
            <w:r>
              <w:rPr>
                <w:w w:val="100"/>
                <w:sz w:val="21"/>
                <w:shd w:fill="DADADA" w:color="auto" w:val="clear"/>
              </w:rPr>
              <w:t>（见</w:t>
            </w:r>
            <w:r>
              <w:rPr>
                <w:spacing w:val="-55"/>
                <w:sz w:val="21"/>
                <w:shd w:fill="DADADA" w:color="auto" w:val="clear"/>
              </w:rPr>
              <w:t> </w:t>
            </w:r>
            <w:r>
              <w:rPr>
                <w:w w:val="100"/>
                <w:sz w:val="21"/>
                <w:shd w:fill="DADADA" w:color="auto" w:val="clear"/>
              </w:rPr>
              <w:t>9.1</w:t>
            </w:r>
            <w:r>
              <w:rPr>
                <w:spacing w:val="-3"/>
                <w:w w:val="100"/>
                <w:sz w:val="21"/>
                <w:shd w:fill="DADADA" w:color="auto" w:val="clear"/>
              </w:rPr>
              <w:t>3</w:t>
            </w:r>
            <w:r>
              <w:rPr>
                <w:spacing w:val="-106"/>
                <w:w w:val="100"/>
                <w:sz w:val="21"/>
                <w:shd w:fill="DADADA" w:color="auto" w:val="clear"/>
              </w:rPr>
              <w:t>）</w:t>
            </w:r>
            <w:r>
              <w:rPr>
                <w:w w:val="100"/>
                <w:sz w:val="21"/>
                <w:shd w:fill="DADADA" w:color="auto" w:val="clear"/>
              </w:rPr>
              <w:t>；</w:t>
            </w:r>
          </w:p>
        </w:tc>
      </w:tr>
      <w:tr>
        <w:trPr>
          <w:trHeight w:val="330"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733" w:type="dxa"/>
          </w:tcPr>
          <w:p>
            <w:pPr>
              <w:pStyle w:val="TableParagraph"/>
              <w:spacing w:line="261" w:lineRule="exact"/>
              <w:ind w:left="80"/>
              <w:rPr>
                <w:rFonts w:ascii="黑体" w:eastAsia="黑体" w:hint="eastAsia"/>
                <w:b/>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41"/>
                <w:sz w:val="21"/>
                <w:shd w:fill="DADADA" w:color="auto" w:val="clear"/>
              </w:rPr>
              <w:t> </w:t>
            </w:r>
            <w:r>
              <w:rPr>
                <w:w w:val="100"/>
                <w:sz w:val="21"/>
                <w:shd w:fill="DADADA" w:color="auto" w:val="clear"/>
              </w:rPr>
              <w:t>9.</w:t>
            </w:r>
            <w:r>
              <w:rPr>
                <w:spacing w:val="-3"/>
                <w:w w:val="100"/>
                <w:sz w:val="21"/>
                <w:shd w:fill="DADADA" w:color="auto" w:val="clear"/>
              </w:rPr>
              <w:t>1</w:t>
            </w:r>
            <w:r>
              <w:rPr>
                <w:spacing w:val="-1"/>
                <w:w w:val="100"/>
                <w:sz w:val="21"/>
                <w:shd w:fill="DADADA" w:color="auto" w:val="clear"/>
              </w:rPr>
              <w:t>4</w:t>
            </w:r>
            <w:r>
              <w:rPr>
                <w:spacing w:val="-106"/>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41"/>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1</w:t>
            </w:r>
            <w:r>
              <w:rPr>
                <w:spacing w:val="-1"/>
                <w:w w:val="100"/>
                <w:sz w:val="21"/>
                <w:shd w:fill="DADADA" w:color="auto" w:val="clear"/>
              </w:rPr>
              <w:t>5</w:t>
            </w:r>
            <w:r>
              <w:rPr>
                <w:spacing w:val="-108"/>
                <w:w w:val="100"/>
                <w:sz w:val="21"/>
                <w:shd w:fill="DADADA" w:color="auto" w:val="clear"/>
              </w:rPr>
              <w:t>）</w:t>
            </w:r>
            <w:r>
              <w:rPr>
                <w:spacing w:val="-3"/>
                <w:w w:val="100"/>
                <w:sz w:val="21"/>
                <w:shd w:fill="DADADA" w:color="auto" w:val="clear"/>
              </w:rPr>
              <w:t>，或驾驶</w:t>
            </w:r>
            <w:r>
              <w:rPr>
                <w:rFonts w:ascii="黑体" w:eastAsia="黑体" w:hint="eastAsia"/>
                <w:b/>
                <w:w w:val="100"/>
                <w:sz w:val="21"/>
                <w:shd w:fill="DADADA" w:color="auto" w:val="clear"/>
              </w:rPr>
              <w:t>无</w:t>
            </w:r>
          </w:p>
        </w:tc>
      </w:tr>
    </w:tbl>
    <w:p>
      <w:pPr>
        <w:spacing w:line="249" w:lineRule="exact" w:before="0"/>
        <w:ind w:left="1980" w:right="2090" w:firstLine="0"/>
        <w:jc w:val="center"/>
        <w:rPr>
          <w:sz w:val="21"/>
        </w:rPr>
      </w:pPr>
      <w:r>
        <w:rPr>
          <w:rFonts w:ascii="黑体" w:eastAsia="黑体" w:hint="eastAsia"/>
          <w:b/>
          <w:w w:val="100"/>
          <w:sz w:val="21"/>
          <w:shd w:fill="DADADA" w:color="auto" w:val="clear"/>
        </w:rPr>
        <w:t>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1</w:t>
      </w:r>
      <w:r>
        <w:rPr>
          <w:spacing w:val="-1"/>
          <w:w w:val="100"/>
          <w:sz w:val="21"/>
          <w:shd w:fill="DADADA" w:color="auto" w:val="clear"/>
        </w:rPr>
        <w:t>6</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w w:val="100"/>
          <w:sz w:val="21"/>
          <w:shd w:fill="DADADA" w:color="auto" w:val="clear"/>
        </w:rPr>
        <w:t>7</w:t>
      </w:r>
      <w:r>
        <w:rPr>
          <w:spacing w:val="-106"/>
          <w:w w:val="100"/>
          <w:sz w:val="21"/>
          <w:shd w:fill="DADADA" w:color="auto" w:val="clear"/>
        </w:rPr>
        <w:t>）</w:t>
      </w:r>
      <w:r>
        <w:rPr>
          <w:w w:val="100"/>
          <w:sz w:val="21"/>
          <w:shd w:fill="DADADA" w:color="auto" w:val="clear"/>
        </w:rPr>
        <w:t>；</w:t>
      </w:r>
    </w:p>
    <w:p>
      <w:pPr>
        <w:spacing w:before="37"/>
        <w:ind w:left="2488"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8</w:t>
      </w:r>
      <w:r>
        <w:rPr>
          <w:spacing w:val="-106"/>
          <w:w w:val="100"/>
          <w:sz w:val="21"/>
          <w:shd w:fill="DADADA" w:color="auto" w:val="clear"/>
        </w:rPr>
        <w:t>）</w:t>
      </w:r>
      <w:r>
        <w:rPr>
          <w:w w:val="100"/>
          <w:sz w:val="21"/>
          <w:shd w:fill="DADADA" w:color="auto" w:val="clear"/>
        </w:rPr>
        <w:t>；</w:t>
      </w:r>
    </w:p>
    <w:p>
      <w:pPr>
        <w:pStyle w:val="BodyText"/>
        <w:spacing w:before="37"/>
        <w:ind w:left="2488"/>
      </w:pPr>
      <w:r>
        <w:rPr>
          <w:shd w:fill="DADADA" w:color="auto" w:val="clear"/>
        </w:rPr>
        <w:t>（6）战争、军事冲突、暴乱或武装叛乱；</w:t>
      </w:r>
    </w:p>
    <w:p>
      <w:pPr>
        <w:pStyle w:val="BodyText"/>
        <w:spacing w:before="37"/>
        <w:ind w:left="2488"/>
      </w:pPr>
      <w:r>
        <w:rPr>
          <w:shd w:fill="DADADA" w:color="auto" w:val="clear"/>
        </w:rPr>
        <w:t>（7）核爆炸、核辐射或核污染；</w:t>
      </w:r>
    </w:p>
    <w:p>
      <w:pPr>
        <w:spacing w:before="37"/>
        <w:ind w:left="2488" w:right="0" w:firstLine="0"/>
        <w:jc w:val="left"/>
        <w:rPr>
          <w:sz w:val="21"/>
        </w:rPr>
      </w:pPr>
      <w:r>
        <w:rPr>
          <w:w w:val="100"/>
          <w:sz w:val="21"/>
          <w:shd w:fill="DADADA" w:color="auto" w:val="clear"/>
        </w:rPr>
        <w:t>（8</w:t>
      </w:r>
      <w:r>
        <w:rPr>
          <w:spacing w:val="-3"/>
          <w:w w:val="100"/>
          <w:sz w:val="21"/>
          <w:shd w:fill="DADADA" w:color="auto" w:val="clear"/>
        </w:rPr>
        <w:t>）</w:t>
      </w:r>
      <w:r>
        <w:rPr>
          <w:rFonts w:ascii="黑体" w:eastAsia="黑体" w:hint="eastAsia"/>
          <w:b/>
          <w:w w:val="100"/>
          <w:sz w:val="21"/>
          <w:shd w:fill="DADADA" w:color="auto" w:val="clear"/>
        </w:rPr>
        <w:t>遗传性疾病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w:t>
      </w:r>
      <w:r>
        <w:rPr>
          <w:spacing w:val="-3"/>
          <w:w w:val="100"/>
          <w:sz w:val="21"/>
          <w:shd w:fill="DADADA" w:color="auto" w:val="clear"/>
        </w:rPr>
        <w:t>1</w:t>
      </w:r>
      <w:r>
        <w:rPr>
          <w:spacing w:val="-1"/>
          <w:w w:val="100"/>
          <w:sz w:val="21"/>
          <w:shd w:fill="DADADA" w:color="auto" w:val="clear"/>
        </w:rPr>
        <w:t>9</w:t>
      </w:r>
      <w:r>
        <w:rPr>
          <w:spacing w:val="-106"/>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先天性畸形、变形或染色体异常</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20</w:t>
      </w:r>
      <w:r>
        <w:rPr>
          <w:spacing w:val="-108"/>
          <w:w w:val="100"/>
          <w:sz w:val="21"/>
          <w:shd w:fill="DADADA" w:color="auto" w:val="clear"/>
        </w:rPr>
        <w:t>）</w:t>
      </w:r>
      <w:r>
        <w:rPr>
          <w:spacing w:val="-3"/>
          <w:w w:val="100"/>
          <w:sz w:val="21"/>
          <w:shd w:fill="DADADA" w:color="auto" w:val="clear"/>
        </w:rPr>
        <w:t>。</w:t>
      </w:r>
    </w:p>
    <w:p>
      <w:pPr>
        <w:pStyle w:val="BodyText"/>
        <w:spacing w:line="273" w:lineRule="auto" w:before="37"/>
        <w:ind w:left="2488" w:right="220"/>
      </w:pPr>
      <w:r>
        <w:rPr>
          <w:shd w:fill="DADADA" w:color="auto" w:val="clear"/>
        </w:rPr>
        <w:t>发生上述第１项情形导致被保险人初次发生“重大疾病”的，本附加险合同终止， 我们向被保险人退还本附加险合同的现金价值。</w:t>
      </w:r>
    </w:p>
    <w:p>
      <w:pPr>
        <w:pStyle w:val="BodyText"/>
        <w:spacing w:line="273" w:lineRule="auto" w:before="7"/>
        <w:ind w:left="2488" w:right="220"/>
      </w:pPr>
      <w:r>
        <w:rPr>
          <w:spacing w:val="-3"/>
          <w:shd w:fill="DADADA" w:color="auto" w:val="clear"/>
        </w:rPr>
        <w:t>发生上述其他情形导致被保险人初次发生“重大疾病”的，本附加险合同终止，我</w:t>
      </w:r>
      <w:r>
        <w:rPr>
          <w:spacing w:val="-212"/>
          <w:shd w:fill="DADADA" w:color="auto" w:val="clear"/>
        </w:rPr>
        <w:t>们</w:t>
      </w:r>
      <w:r>
        <w:rPr>
          <w:spacing w:val="-3"/>
          <w:shd w:fill="DADADA" w:color="auto" w:val="clear"/>
        </w:rPr>
        <w:t>向您退还本附加险合同的现金价值。</w:t>
      </w:r>
    </w:p>
    <w:p>
      <w:pPr>
        <w:pStyle w:val="BodyText"/>
        <w:spacing w:before="12"/>
        <w:rPr>
          <w:sz w:val="29"/>
        </w:rPr>
      </w:pPr>
    </w:p>
    <w:p>
      <w:pPr>
        <w:pStyle w:val="Heading2"/>
        <w:tabs>
          <w:tab w:pos="860" w:val="left" w:leader="none"/>
        </w:tabs>
        <w:spacing w:before="1"/>
        <w:rPr>
          <w:rFonts w:ascii="宋体" w:hAnsi="宋体" w:eastAsia="宋体" w:hint="eastAsia"/>
        </w:rPr>
      </w:pPr>
      <w:r>
        <w:rPr/>
        <w:pict>
          <v:group style="position:absolute;margin-left:45.599998pt;margin-top:28.209768pt;width:504.05pt;height:1pt;mso-position-horizontal-relative:page;mso-position-vertical-relative:paragraph;z-index:1120;mso-wrap-distance-left:0;mso-wrap-distance-right:0" coordorigin="912,564" coordsize="10081,20">
            <v:line style="position:absolute" from="912,574" to="1553,574" stroked="true" strokeweight=".96pt" strokecolor="#000000">
              <v:stroke dashstyle="solid"/>
            </v:line>
            <v:rect style="position:absolute;left:1552;top:564;width:20;height:20" filled="true" fillcolor="#000000" stroked="false">
              <v:fill type="solid"/>
            </v:rect>
            <v:line style="position:absolute" from="1572,574" to="3180,574" stroked="true" strokeweight=".96pt" strokecolor="#000000">
              <v:stroke dashstyle="solid"/>
            </v:line>
            <v:rect style="position:absolute;left:3180;top:564;width:20;height:20" filled="true" fillcolor="#000000" stroked="false">
              <v:fill type="solid"/>
            </v:rect>
            <v:line style="position:absolute" from="3199,574" to="10992,574"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1"/>
        <w:rPr>
          <w:b/>
          <w:sz w:val="17"/>
        </w:rPr>
      </w:pPr>
    </w:p>
    <w:p>
      <w:pPr>
        <w:pStyle w:val="ListParagraph"/>
        <w:numPr>
          <w:ilvl w:val="1"/>
          <w:numId w:val="6"/>
        </w:numPr>
        <w:tabs>
          <w:tab w:pos="860" w:val="left" w:leader="none"/>
          <w:tab w:pos="861" w:val="left" w:leader="none"/>
          <w:tab w:pos="2487" w:val="left" w:leader="none"/>
        </w:tabs>
        <w:spacing w:line="240" w:lineRule="auto" w:before="36" w:after="0"/>
        <w:ind w:left="860" w:right="0" w:hanging="640"/>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及</w:t>
      </w:r>
      <w:r>
        <w:rPr>
          <w:spacing w:val="-3"/>
          <w:sz w:val="21"/>
        </w:rPr>
        <w:t>特</w:t>
      </w:r>
      <w:r>
        <w:rPr>
          <w:sz w:val="21"/>
        </w:rPr>
        <w:t>定</w:t>
      </w:r>
      <w:r>
        <w:rPr>
          <w:spacing w:val="-3"/>
          <w:sz w:val="21"/>
        </w:rPr>
        <w:t>轻</w:t>
      </w:r>
      <w:r>
        <w:rPr>
          <w:sz w:val="21"/>
        </w:rPr>
        <w:t>度</w:t>
      </w:r>
      <w:r>
        <w:rPr>
          <w:spacing w:val="-3"/>
          <w:sz w:val="21"/>
        </w:rPr>
        <w:t>重</w:t>
      </w:r>
      <w:r>
        <w:rPr>
          <w:sz w:val="21"/>
        </w:rPr>
        <w:t>疾</w:t>
      </w:r>
      <w:r>
        <w:rPr>
          <w:spacing w:val="-3"/>
          <w:sz w:val="21"/>
        </w:rPr>
        <w:t>保</w:t>
      </w:r>
      <w:r>
        <w:rPr>
          <w:sz w:val="21"/>
        </w:rPr>
        <w:t>险金</w:t>
      </w:r>
      <w:r>
        <w:rPr>
          <w:spacing w:val="-3"/>
          <w:sz w:val="21"/>
        </w:rPr>
        <w:t>受</w:t>
      </w:r>
      <w:r>
        <w:rPr>
          <w:sz w:val="21"/>
        </w:rPr>
        <w:t>益</w:t>
      </w:r>
      <w:r>
        <w:rPr>
          <w:spacing w:val="-3"/>
          <w:sz w:val="21"/>
        </w:rPr>
        <w:t>人</w:t>
      </w:r>
      <w:r>
        <w:rPr>
          <w:sz w:val="21"/>
        </w:rPr>
        <w:t>为</w:t>
      </w:r>
      <w:r>
        <w:rPr>
          <w:spacing w:val="-3"/>
          <w:sz w:val="21"/>
        </w:rPr>
        <w:t>被</w:t>
      </w:r>
      <w:r>
        <w:rPr>
          <w:sz w:val="21"/>
        </w:rPr>
        <w:t>保</w:t>
      </w:r>
      <w:r>
        <w:rPr>
          <w:spacing w:val="-3"/>
          <w:sz w:val="21"/>
        </w:rPr>
        <w:t>险</w:t>
      </w:r>
      <w:r>
        <w:rPr>
          <w:sz w:val="21"/>
        </w:rPr>
        <w:t>人</w:t>
      </w:r>
      <w:r>
        <w:rPr>
          <w:spacing w:val="-3"/>
          <w:sz w:val="21"/>
        </w:rPr>
        <w:t>本</w:t>
      </w:r>
      <w:r>
        <w:rPr>
          <w:sz w:val="21"/>
        </w:rPr>
        <w:t>人。</w:t>
      </w:r>
    </w:p>
    <w:p>
      <w:pPr>
        <w:pStyle w:val="BodyText"/>
        <w:spacing w:before="8"/>
        <w:rPr>
          <w:sz w:val="26"/>
        </w:rPr>
      </w:pPr>
    </w:p>
    <w:p>
      <w:pPr>
        <w:pStyle w:val="ListParagraph"/>
        <w:numPr>
          <w:ilvl w:val="1"/>
          <w:numId w:val="6"/>
        </w:numPr>
        <w:tabs>
          <w:tab w:pos="860" w:val="left" w:leader="none"/>
          <w:tab w:pos="861" w:val="left" w:leader="none"/>
          <w:tab w:pos="2487" w:val="left" w:leader="none"/>
        </w:tabs>
        <w:spacing w:line="240" w:lineRule="auto" w:before="0" w:after="0"/>
        <w:ind w:left="860" w:right="0" w:hanging="640"/>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11"/>
        <w:rPr>
          <w:sz w:val="23"/>
        </w:rPr>
      </w:pPr>
    </w:p>
    <w:p>
      <w:pPr>
        <w:spacing w:after="0"/>
        <w:rPr>
          <w:sz w:val="23"/>
        </w:rPr>
        <w:sectPr>
          <w:pgSz w:w="11910" w:h="16840"/>
          <w:pgMar w:top="1160" w:bottom="280" w:left="800" w:right="800"/>
        </w:sectPr>
      </w:pPr>
    </w:p>
    <w:p>
      <w:pPr>
        <w:pStyle w:val="Heading2"/>
        <w:spacing w:line="235" w:lineRule="auto"/>
        <w:ind w:left="860"/>
        <w:jc w:val="both"/>
      </w:pPr>
      <w:r>
        <w:rPr/>
        <w:t>重大疾病保险金和特定轻度重疾保险金申请</w:t>
      </w:r>
    </w:p>
    <w:p>
      <w:pPr>
        <w:pStyle w:val="BodyText"/>
        <w:spacing w:before="37"/>
        <w:ind w:left="123"/>
      </w:pPr>
      <w:r>
        <w:rPr/>
        <w:br w:type="column"/>
      </w:r>
      <w:r>
        <w:rPr/>
        <w:t>由受益人填写保险金给付申请书，并提供下列证明和资料：</w:t>
      </w:r>
    </w:p>
    <w:p>
      <w:pPr>
        <w:pStyle w:val="BodyText"/>
        <w:spacing w:before="37"/>
        <w:ind w:left="123"/>
      </w:pPr>
      <w:r>
        <w:rPr/>
        <w:t>（1）保险合同；</w:t>
      </w:r>
    </w:p>
    <w:p>
      <w:pPr>
        <w:pStyle w:val="BodyText"/>
        <w:spacing w:before="37"/>
        <w:ind w:left="123"/>
      </w:pPr>
      <w:r>
        <w:rPr/>
        <w:t>（2）受益人的有效身份证件；</w:t>
      </w:r>
    </w:p>
    <w:p>
      <w:pPr>
        <w:pStyle w:val="BodyText"/>
        <w:spacing w:line="273" w:lineRule="auto" w:before="37"/>
        <w:ind w:left="663" w:right="215" w:hanging="524"/>
      </w:pPr>
      <w:r>
        <w:rPr>
          <w:spacing w:val="-16"/>
        </w:rPr>
        <w:t>（3）</w:t>
      </w:r>
      <w:r>
        <w:rPr>
          <w:spacing w:val="-6"/>
        </w:rPr>
        <w:t>医院出具的附有病理显微镜检查、血液检验及其他科学方法检验报告的疾病诊</w:t>
      </w:r>
      <w:r>
        <w:rPr>
          <w:spacing w:val="-4"/>
        </w:rPr>
        <w:t>断证明书；</w:t>
      </w:r>
    </w:p>
    <w:p>
      <w:pPr>
        <w:pStyle w:val="BodyText"/>
        <w:spacing w:before="7"/>
        <w:ind w:left="123"/>
      </w:pPr>
      <w:r>
        <w:rPr/>
        <w:t>（4）所能提供的与确认保险事故的性质、原因等有关的其他证明和资料。</w:t>
      </w:r>
    </w:p>
    <w:p>
      <w:pPr>
        <w:pStyle w:val="BodyText"/>
        <w:spacing w:before="36"/>
        <w:ind w:left="123"/>
      </w:pPr>
      <w:r>
        <w:rPr/>
        <w:t>以上证明和资料不完整的，我们将一次性通知受益人补充提供有关证明和资料。</w:t>
      </w:r>
    </w:p>
    <w:p>
      <w:pPr>
        <w:spacing w:after="0"/>
        <w:sectPr>
          <w:type w:val="continuous"/>
          <w:pgSz w:w="11910" w:h="16840"/>
          <w:pgMar w:top="560" w:bottom="280" w:left="800" w:right="800"/>
          <w:cols w:num="2" w:equalWidth="0">
            <w:col w:w="2325" w:space="40"/>
            <w:col w:w="7945"/>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589"/>
        <w:gridCol w:w="7885"/>
      </w:tblGrid>
      <w:tr>
        <w:trPr>
          <w:trHeight w:val="2913" w:hRule="atLeast"/>
        </w:trPr>
        <w:tc>
          <w:tcPr>
            <w:tcW w:w="607" w:type="dxa"/>
          </w:tcPr>
          <w:p>
            <w:pPr>
              <w:pStyle w:val="TableParagraph"/>
              <w:spacing w:line="209" w:lineRule="exact"/>
              <w:ind w:left="88" w:right="160"/>
              <w:jc w:val="center"/>
              <w:rPr>
                <w:b/>
                <w:sz w:val="21"/>
              </w:rPr>
            </w:pPr>
            <w:r>
              <w:rPr>
                <w:b/>
                <w:sz w:val="21"/>
              </w:rPr>
              <w:t>3.3</w:t>
            </w:r>
          </w:p>
        </w:tc>
        <w:tc>
          <w:tcPr>
            <w:tcW w:w="1589" w:type="dxa"/>
          </w:tcPr>
          <w:p>
            <w:pPr>
              <w:pStyle w:val="TableParagraph"/>
              <w:spacing w:line="209" w:lineRule="exact"/>
              <w:ind w:left="141"/>
              <w:rPr>
                <w:b/>
                <w:sz w:val="21"/>
              </w:rPr>
            </w:pPr>
            <w:r>
              <w:rPr>
                <w:b/>
                <w:sz w:val="21"/>
              </w:rPr>
              <w:t>保险金的给付</w:t>
            </w:r>
          </w:p>
        </w:tc>
        <w:tc>
          <w:tcPr>
            <w:tcW w:w="7885" w:type="dxa"/>
          </w:tcPr>
          <w:p>
            <w:pPr>
              <w:pStyle w:val="TableParagraph"/>
              <w:spacing w:line="209" w:lineRule="exact"/>
              <w:ind w:left="180"/>
              <w:jc w:val="both"/>
              <w:rPr>
                <w:sz w:val="21"/>
              </w:rPr>
            </w:pPr>
            <w:r>
              <w:rPr>
                <w:sz w:val="21"/>
              </w:rPr>
              <w:t>我们在收到保险金给付申请书及上述有关证明和资料后，将在 5 日内作出核定；情</w:t>
            </w:r>
          </w:p>
          <w:p>
            <w:pPr>
              <w:pStyle w:val="TableParagraph"/>
              <w:spacing w:before="37"/>
              <w:ind w:left="180"/>
              <w:jc w:val="both"/>
              <w:rPr>
                <w:sz w:val="21"/>
              </w:rPr>
            </w:pPr>
            <w:r>
              <w:rPr>
                <w:sz w:val="21"/>
              </w:rPr>
              <w:t>形复杂的，在 30 日内作出核定。</w:t>
            </w:r>
          </w:p>
          <w:p>
            <w:pPr>
              <w:pStyle w:val="TableParagraph"/>
              <w:spacing w:before="37"/>
              <w:ind w:left="180"/>
              <w:jc w:val="both"/>
              <w:rPr>
                <w:sz w:val="21"/>
              </w:rPr>
            </w:pPr>
            <w:r>
              <w:rPr>
                <w:spacing w:val="-8"/>
                <w:sz w:val="21"/>
              </w:rPr>
              <w:t>对属于保险责任的，我们在与受益人达成给付保险金的协议后 </w:t>
            </w:r>
            <w:r>
              <w:rPr>
                <w:sz w:val="21"/>
              </w:rPr>
              <w:t>10</w:t>
            </w:r>
            <w:r>
              <w:rPr>
                <w:spacing w:val="-10"/>
                <w:sz w:val="21"/>
              </w:rPr>
              <w:t> 日内，履行给付保</w:t>
            </w:r>
          </w:p>
          <w:p>
            <w:pPr>
              <w:pStyle w:val="TableParagraph"/>
              <w:spacing w:before="37"/>
              <w:ind w:left="180"/>
              <w:jc w:val="both"/>
              <w:rPr>
                <w:sz w:val="21"/>
              </w:rPr>
            </w:pPr>
            <w:r>
              <w:rPr>
                <w:spacing w:val="-13"/>
                <w:sz w:val="21"/>
              </w:rPr>
              <w:t>险金义务；若我们在收齐相关证明和资料后第 </w:t>
            </w:r>
            <w:r>
              <w:rPr>
                <w:sz w:val="21"/>
              </w:rPr>
              <w:t>30</w:t>
            </w:r>
            <w:r>
              <w:rPr>
                <w:spacing w:val="-13"/>
                <w:sz w:val="21"/>
              </w:rPr>
              <w:t> 日仍未作出核定，除支付保险金外，</w:t>
            </w:r>
          </w:p>
          <w:p>
            <w:pPr>
              <w:pStyle w:val="TableParagraph"/>
              <w:spacing w:line="273" w:lineRule="auto" w:before="37"/>
              <w:ind w:left="180" w:right="103" w:hanging="1"/>
              <w:jc w:val="both"/>
              <w:rPr>
                <w:sz w:val="21"/>
              </w:rPr>
            </w:pPr>
            <w:r>
              <w:rPr>
                <w:spacing w:val="-8"/>
                <w:sz w:val="21"/>
              </w:rPr>
              <w:t>我们将从第 </w:t>
            </w:r>
            <w:r>
              <w:rPr>
                <w:sz w:val="21"/>
              </w:rPr>
              <w:t>31</w:t>
            </w:r>
            <w:r>
              <w:rPr>
                <w:spacing w:val="-10"/>
                <w:sz w:val="21"/>
              </w:rPr>
              <w:t> 日起按超过天数赔偿受益人因此受到的利息损失。利息按照我们公示的利率按单利计算，且保证该利率不低于中国人民银行公布的同期金融机构人民币</w:t>
            </w:r>
            <w:r>
              <w:rPr>
                <w:spacing w:val="-5"/>
                <w:sz w:val="21"/>
              </w:rPr>
              <w:t>活期存款基准利率。</w:t>
            </w:r>
          </w:p>
          <w:p>
            <w:pPr>
              <w:pStyle w:val="TableParagraph"/>
              <w:spacing w:line="273" w:lineRule="auto" w:before="7"/>
              <w:ind w:left="180" w:right="103" w:hanging="1"/>
              <w:jc w:val="both"/>
              <w:rPr>
                <w:sz w:val="21"/>
              </w:rPr>
            </w:pPr>
            <w:r>
              <w:rPr>
                <w:spacing w:val="-4"/>
                <w:sz w:val="21"/>
              </w:rPr>
              <w:t>对不属于保险责任的，我们自作出核定之日起 </w:t>
            </w:r>
            <w:r>
              <w:rPr>
                <w:sz w:val="21"/>
              </w:rPr>
              <w:t>3</w:t>
            </w:r>
            <w:r>
              <w:rPr>
                <w:spacing w:val="-5"/>
                <w:sz w:val="21"/>
              </w:rPr>
              <w:t> 日内向受益人发出拒绝给付保险金</w:t>
            </w:r>
            <w:r>
              <w:rPr>
                <w:spacing w:val="-3"/>
                <w:sz w:val="21"/>
              </w:rPr>
              <w:t>通知书并说明理由。</w:t>
            </w:r>
          </w:p>
        </w:tc>
      </w:tr>
      <w:tr>
        <w:trPr>
          <w:trHeight w:val="960" w:hRule="atLeast"/>
        </w:trPr>
        <w:tc>
          <w:tcPr>
            <w:tcW w:w="607" w:type="dxa"/>
          </w:tcPr>
          <w:p>
            <w:pPr>
              <w:pStyle w:val="TableParagraph"/>
              <w:spacing w:before="140"/>
              <w:ind w:left="88" w:right="160"/>
              <w:jc w:val="center"/>
              <w:rPr>
                <w:b/>
                <w:sz w:val="21"/>
              </w:rPr>
            </w:pPr>
            <w:r>
              <w:rPr>
                <w:b/>
                <w:sz w:val="21"/>
              </w:rPr>
              <w:t>3.4</w:t>
            </w:r>
          </w:p>
        </w:tc>
        <w:tc>
          <w:tcPr>
            <w:tcW w:w="1589" w:type="dxa"/>
          </w:tcPr>
          <w:p>
            <w:pPr>
              <w:pStyle w:val="TableParagraph"/>
              <w:spacing w:before="140"/>
              <w:ind w:left="141"/>
              <w:rPr>
                <w:b/>
                <w:sz w:val="21"/>
              </w:rPr>
            </w:pPr>
            <w:r>
              <w:rPr>
                <w:b/>
                <w:sz w:val="21"/>
              </w:rPr>
              <w:t>诉讼时效</w:t>
            </w:r>
          </w:p>
        </w:tc>
        <w:tc>
          <w:tcPr>
            <w:tcW w:w="7885" w:type="dxa"/>
          </w:tcPr>
          <w:p>
            <w:pPr>
              <w:pStyle w:val="TableParagraph"/>
              <w:spacing w:line="273" w:lineRule="auto" w:before="140"/>
              <w:ind w:left="180" w:right="30"/>
              <w:rPr>
                <w:sz w:val="21"/>
              </w:rPr>
            </w:pPr>
            <w:r>
              <w:rPr>
                <w:sz w:val="21"/>
              </w:rPr>
              <w:t>受益人向我们请求给付保险金的诉讼时效期间为 2 年，自其知道或者应当知道保险事故发生之日起计算。</w:t>
            </w:r>
          </w:p>
        </w:tc>
      </w:tr>
      <w:tr>
        <w:trPr>
          <w:trHeight w:val="753" w:hRule="atLeast"/>
        </w:trPr>
        <w:tc>
          <w:tcPr>
            <w:tcW w:w="607" w:type="dxa"/>
            <w:tcBorders>
              <w:bottom w:val="single" w:sz="8" w:space="0" w:color="000000"/>
            </w:tcBorders>
          </w:tcPr>
          <w:p>
            <w:pPr>
              <w:pStyle w:val="TableParagraph"/>
              <w:spacing w:before="192"/>
              <w:ind w:right="31"/>
              <w:jc w:val="center"/>
              <w:rPr>
                <w:rFonts w:ascii="Arial" w:hAnsi="Arial"/>
                <w:b/>
                <w:sz w:val="40"/>
              </w:rPr>
            </w:pPr>
            <w:r>
              <w:rPr>
                <w:rFonts w:ascii="Arial" w:hAnsi="Arial"/>
                <w:b/>
                <w:w w:val="119"/>
                <w:sz w:val="40"/>
              </w:rPr>
              <w:t></w:t>
            </w:r>
          </w:p>
        </w:tc>
        <w:tc>
          <w:tcPr>
            <w:tcW w:w="9474" w:type="dxa"/>
            <w:gridSpan w:val="2"/>
            <w:tcBorders>
              <w:bottom w:val="single" w:sz="8" w:space="0" w:color="000000"/>
            </w:tcBorders>
          </w:tcPr>
          <w:p>
            <w:pPr>
              <w:pStyle w:val="TableParagraph"/>
              <w:spacing w:before="8"/>
              <w:rPr>
                <w:sz w:val="18"/>
              </w:rPr>
            </w:pPr>
          </w:p>
          <w:p>
            <w:pPr>
              <w:pStyle w:val="TableParagraph"/>
              <w:ind w:left="141"/>
              <w:rPr>
                <w:b/>
                <w:sz w:val="24"/>
              </w:rPr>
            </w:pPr>
            <w:r>
              <w:rPr>
                <w:b/>
                <w:w w:val="95"/>
                <w:sz w:val="24"/>
              </w:rPr>
              <w:t>如何支付保险费</w:t>
            </w:r>
          </w:p>
        </w:tc>
      </w:tr>
      <w:tr>
        <w:trPr>
          <w:trHeight w:val="1718"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4.1</w:t>
            </w:r>
          </w:p>
        </w:tc>
        <w:tc>
          <w:tcPr>
            <w:tcW w:w="1589" w:type="dxa"/>
            <w:tcBorders>
              <w:top w:val="single" w:sz="8" w:space="0" w:color="000000"/>
            </w:tcBorders>
          </w:tcPr>
          <w:p>
            <w:pPr>
              <w:pStyle w:val="TableParagraph"/>
              <w:spacing w:before="11"/>
              <w:rPr>
                <w:sz w:val="22"/>
              </w:rPr>
            </w:pPr>
          </w:p>
          <w:p>
            <w:pPr>
              <w:pStyle w:val="TableParagraph"/>
              <w:ind w:left="141"/>
              <w:rPr>
                <w:b/>
                <w:sz w:val="21"/>
              </w:rPr>
            </w:pPr>
            <w:r>
              <w:rPr>
                <w:b/>
                <w:sz w:val="21"/>
              </w:rPr>
              <w:t>保险费的支付</w:t>
            </w:r>
          </w:p>
        </w:tc>
        <w:tc>
          <w:tcPr>
            <w:tcW w:w="7885" w:type="dxa"/>
            <w:tcBorders>
              <w:top w:val="single" w:sz="8" w:space="0" w:color="000000"/>
            </w:tcBorders>
          </w:tcPr>
          <w:p>
            <w:pPr>
              <w:pStyle w:val="TableParagraph"/>
              <w:spacing w:before="11"/>
              <w:rPr>
                <w:sz w:val="22"/>
              </w:rPr>
            </w:pPr>
          </w:p>
          <w:p>
            <w:pPr>
              <w:pStyle w:val="TableParagraph"/>
              <w:ind w:left="180"/>
              <w:rPr>
                <w:sz w:val="21"/>
              </w:rPr>
            </w:pPr>
            <w:r>
              <w:rPr>
                <w:sz w:val="21"/>
              </w:rPr>
              <w:t>本附加险合同的交费方式和交费期间由您和我们约定并在保险单上载明。</w:t>
            </w:r>
          </w:p>
          <w:p>
            <w:pPr>
              <w:pStyle w:val="TableParagraph"/>
              <w:spacing w:line="268" w:lineRule="auto" w:before="27"/>
              <w:ind w:left="179" w:right="12"/>
              <w:rPr>
                <w:sz w:val="21"/>
              </w:rPr>
            </w:pPr>
            <w:r>
              <w:rPr>
                <w:sz w:val="21"/>
              </w:rPr>
              <w:t>分期支付保险费的</w:t>
            </w:r>
            <w:r>
              <w:rPr>
                <w:sz w:val="22"/>
              </w:rPr>
              <w:t>，</w:t>
            </w:r>
            <w:r>
              <w:rPr>
                <w:sz w:val="21"/>
              </w:rPr>
              <w:t>在支付首期保险费后，您应当在</w:t>
            </w:r>
            <w:r>
              <w:rPr>
                <w:rFonts w:ascii="黑体" w:eastAsia="黑体" w:hint="eastAsia"/>
                <w:b/>
                <w:sz w:val="21"/>
              </w:rPr>
              <w:t>保险费约定支付日</w:t>
            </w:r>
            <w:r>
              <w:rPr>
                <w:sz w:val="21"/>
              </w:rPr>
              <w:t>（见 9.21） 支付其余各期的保险费。</w:t>
            </w:r>
          </w:p>
          <w:p>
            <w:pPr>
              <w:pStyle w:val="TableParagraph"/>
              <w:spacing w:before="11"/>
              <w:ind w:left="179"/>
              <w:rPr>
                <w:sz w:val="21"/>
              </w:rPr>
            </w:pPr>
            <w:r>
              <w:rPr>
                <w:sz w:val="21"/>
              </w:rPr>
              <w:t>本附加险合同的保险费必须随主险合同保险费一同支付，不能单独支付。</w:t>
            </w:r>
          </w:p>
        </w:tc>
      </w:tr>
      <w:tr>
        <w:trPr>
          <w:trHeight w:val="2208" w:hRule="atLeast"/>
        </w:trPr>
        <w:tc>
          <w:tcPr>
            <w:tcW w:w="607" w:type="dxa"/>
          </w:tcPr>
          <w:p>
            <w:pPr>
              <w:pStyle w:val="TableParagraph"/>
              <w:spacing w:before="140"/>
              <w:ind w:left="88" w:right="160"/>
              <w:jc w:val="center"/>
              <w:rPr>
                <w:b/>
                <w:sz w:val="21"/>
              </w:rPr>
            </w:pPr>
            <w:r>
              <w:rPr>
                <w:b/>
                <w:sz w:val="21"/>
              </w:rPr>
              <w:t>4.2</w:t>
            </w:r>
          </w:p>
        </w:tc>
        <w:tc>
          <w:tcPr>
            <w:tcW w:w="1589" w:type="dxa"/>
          </w:tcPr>
          <w:p>
            <w:pPr>
              <w:pStyle w:val="TableParagraph"/>
              <w:spacing w:before="140"/>
              <w:ind w:left="141"/>
              <w:rPr>
                <w:b/>
                <w:sz w:val="21"/>
              </w:rPr>
            </w:pPr>
            <w:r>
              <w:rPr>
                <w:b/>
                <w:sz w:val="21"/>
              </w:rPr>
              <w:t>保险费率调整</w:t>
            </w:r>
          </w:p>
        </w:tc>
        <w:tc>
          <w:tcPr>
            <w:tcW w:w="7885" w:type="dxa"/>
          </w:tcPr>
          <w:p>
            <w:pPr>
              <w:pStyle w:val="TableParagraph"/>
              <w:spacing w:line="273" w:lineRule="auto" w:before="140"/>
              <w:ind w:left="180" w:right="106"/>
              <w:jc w:val="both"/>
              <w:rPr>
                <w:sz w:val="21"/>
              </w:rPr>
            </w:pPr>
            <w:r>
              <w:rPr>
                <w:sz w:val="21"/>
              </w:rPr>
              <w:t>我们将根据本附加险合同计算费率所用的重大疾病发生率及特定轻度重疾发生率与实际情况的偏差程度，决定保险费率是否调整。本保险的费率调整针对所有被保险人或同一投保年龄的所有被保险人。如果您不同意费率调整，可以申请解除合同。自我们收到解除合同申请书时起，本附加险合同终止，我们向您退还本附加险合同的现金价值。</w:t>
            </w:r>
          </w:p>
          <w:p>
            <w:pPr>
              <w:pStyle w:val="TableParagraph"/>
              <w:spacing w:before="7"/>
              <w:ind w:left="180"/>
              <w:jc w:val="both"/>
              <w:rPr>
                <w:sz w:val="21"/>
              </w:rPr>
            </w:pPr>
            <w:r>
              <w:rPr>
                <w:sz w:val="21"/>
              </w:rPr>
              <w:t>我们进行保险费率调整后，您须按调整后的保险费率支付续期保险费。</w:t>
            </w:r>
          </w:p>
        </w:tc>
      </w:tr>
      <w:tr>
        <w:trPr>
          <w:trHeight w:val="753" w:hRule="atLeast"/>
        </w:trPr>
        <w:tc>
          <w:tcPr>
            <w:tcW w:w="607" w:type="dxa"/>
            <w:tcBorders>
              <w:bottom w:val="single" w:sz="8" w:space="0" w:color="000000"/>
            </w:tcBorders>
          </w:tcPr>
          <w:p>
            <w:pPr>
              <w:pStyle w:val="TableParagraph"/>
              <w:spacing w:before="192"/>
              <w:ind w:right="31"/>
              <w:jc w:val="center"/>
              <w:rPr>
                <w:rFonts w:ascii="Arial" w:hAnsi="Arial"/>
                <w:b/>
                <w:sz w:val="40"/>
              </w:rPr>
            </w:pPr>
            <w:r>
              <w:rPr>
                <w:rFonts w:ascii="Arial" w:hAnsi="Arial"/>
                <w:b/>
                <w:w w:val="119"/>
                <w:sz w:val="40"/>
              </w:rPr>
              <w:t></w:t>
            </w:r>
          </w:p>
        </w:tc>
        <w:tc>
          <w:tcPr>
            <w:tcW w:w="1589" w:type="dxa"/>
            <w:tcBorders>
              <w:bottom w:val="single" w:sz="8" w:space="0" w:color="000000"/>
            </w:tcBorders>
          </w:tcPr>
          <w:p>
            <w:pPr>
              <w:pStyle w:val="TableParagraph"/>
              <w:spacing w:before="8"/>
              <w:rPr>
                <w:sz w:val="18"/>
              </w:rPr>
            </w:pPr>
          </w:p>
          <w:p>
            <w:pPr>
              <w:pStyle w:val="TableParagraph"/>
              <w:ind w:left="141"/>
              <w:rPr>
                <w:b/>
                <w:sz w:val="24"/>
              </w:rPr>
            </w:pPr>
            <w:r>
              <w:rPr>
                <w:b/>
                <w:w w:val="95"/>
                <w:sz w:val="24"/>
              </w:rPr>
              <w:t>现金价值权益</w:t>
            </w:r>
          </w:p>
        </w:tc>
        <w:tc>
          <w:tcPr>
            <w:tcW w:w="7885" w:type="dxa"/>
            <w:tcBorders>
              <w:bottom w:val="single" w:sz="8" w:space="0" w:color="000000"/>
            </w:tcBorders>
          </w:tcPr>
          <w:p>
            <w:pPr>
              <w:pStyle w:val="TableParagraph"/>
              <w:rPr>
                <w:rFonts w:ascii="Times New Roman"/>
                <w:sz w:val="20"/>
              </w:rPr>
            </w:pPr>
          </w:p>
        </w:tc>
      </w:tr>
      <w:tr>
        <w:trPr>
          <w:trHeight w:val="1092" w:hRule="atLeast"/>
        </w:trPr>
        <w:tc>
          <w:tcPr>
            <w:tcW w:w="607" w:type="dxa"/>
            <w:tcBorders>
              <w:top w:val="single" w:sz="8" w:space="0" w:color="000000"/>
            </w:tcBorders>
          </w:tcPr>
          <w:p>
            <w:pPr>
              <w:pStyle w:val="TableParagraph"/>
              <w:spacing w:before="8"/>
              <w:rPr>
                <w:sz w:val="22"/>
              </w:rPr>
            </w:pPr>
          </w:p>
          <w:p>
            <w:pPr>
              <w:pStyle w:val="TableParagraph"/>
              <w:spacing w:before="1"/>
              <w:ind w:left="88" w:right="160"/>
              <w:jc w:val="center"/>
              <w:rPr>
                <w:b/>
                <w:sz w:val="21"/>
              </w:rPr>
            </w:pPr>
            <w:r>
              <w:rPr>
                <w:b/>
                <w:sz w:val="21"/>
              </w:rPr>
              <w:t>5.1</w:t>
            </w:r>
          </w:p>
        </w:tc>
        <w:tc>
          <w:tcPr>
            <w:tcW w:w="1589" w:type="dxa"/>
            <w:tcBorders>
              <w:top w:val="single" w:sz="8" w:space="0" w:color="000000"/>
            </w:tcBorders>
          </w:tcPr>
          <w:p>
            <w:pPr>
              <w:pStyle w:val="TableParagraph"/>
              <w:spacing w:before="8"/>
              <w:rPr>
                <w:sz w:val="22"/>
              </w:rPr>
            </w:pPr>
          </w:p>
          <w:p>
            <w:pPr>
              <w:pStyle w:val="TableParagraph"/>
              <w:spacing w:before="1"/>
              <w:ind w:left="141"/>
              <w:rPr>
                <w:b/>
                <w:sz w:val="21"/>
              </w:rPr>
            </w:pPr>
            <w:r>
              <w:rPr>
                <w:b/>
                <w:sz w:val="21"/>
              </w:rPr>
              <w:t>现金价值</w:t>
            </w:r>
          </w:p>
        </w:tc>
        <w:tc>
          <w:tcPr>
            <w:tcW w:w="7885" w:type="dxa"/>
            <w:tcBorders>
              <w:top w:val="single" w:sz="8" w:space="0" w:color="000000"/>
            </w:tcBorders>
          </w:tcPr>
          <w:p>
            <w:pPr>
              <w:pStyle w:val="TableParagraph"/>
              <w:spacing w:before="8"/>
              <w:rPr>
                <w:sz w:val="22"/>
              </w:rPr>
            </w:pPr>
          </w:p>
          <w:p>
            <w:pPr>
              <w:pStyle w:val="TableParagraph"/>
              <w:spacing w:line="273" w:lineRule="auto" w:before="1"/>
              <w:ind w:left="180" w:right="106"/>
              <w:rPr>
                <w:sz w:val="21"/>
              </w:rPr>
            </w:pPr>
            <w:r>
              <w:rPr>
                <w:sz w:val="21"/>
              </w:rPr>
              <w:t>本附加险合同保单年度末的现金价值会在保险单上载明。保单年度内的现金价值， 您可以向我们咨询。</w:t>
            </w:r>
          </w:p>
        </w:tc>
      </w:tr>
      <w:tr>
        <w:trPr>
          <w:trHeight w:val="3537" w:hRule="atLeast"/>
        </w:trPr>
        <w:tc>
          <w:tcPr>
            <w:tcW w:w="607" w:type="dxa"/>
          </w:tcPr>
          <w:p>
            <w:pPr>
              <w:pStyle w:val="TableParagraph"/>
              <w:spacing w:before="140"/>
              <w:ind w:left="88" w:right="160"/>
              <w:jc w:val="center"/>
              <w:rPr>
                <w:b/>
                <w:sz w:val="21"/>
              </w:rPr>
            </w:pPr>
            <w:r>
              <w:rPr>
                <w:b/>
                <w:sz w:val="21"/>
              </w:rPr>
              <w:t>5.2</w:t>
            </w:r>
          </w:p>
        </w:tc>
        <w:tc>
          <w:tcPr>
            <w:tcW w:w="1589" w:type="dxa"/>
          </w:tcPr>
          <w:p>
            <w:pPr>
              <w:pStyle w:val="TableParagraph"/>
              <w:spacing w:before="140"/>
              <w:ind w:left="141"/>
              <w:rPr>
                <w:b/>
                <w:sz w:val="21"/>
              </w:rPr>
            </w:pPr>
            <w:r>
              <w:rPr>
                <w:b/>
                <w:sz w:val="21"/>
              </w:rPr>
              <w:t>减额交清</w:t>
            </w:r>
          </w:p>
        </w:tc>
        <w:tc>
          <w:tcPr>
            <w:tcW w:w="7885" w:type="dxa"/>
          </w:tcPr>
          <w:p>
            <w:pPr>
              <w:pStyle w:val="TableParagraph"/>
              <w:spacing w:before="140"/>
              <w:ind w:left="180"/>
              <w:rPr>
                <w:sz w:val="21"/>
              </w:rPr>
            </w:pPr>
            <w:r>
              <w:rPr>
                <w:sz w:val="21"/>
              </w:rPr>
              <w:t>您可申请使用减额交清功能。</w:t>
            </w:r>
          </w:p>
          <w:p>
            <w:pPr>
              <w:pStyle w:val="TableParagraph"/>
              <w:spacing w:line="273" w:lineRule="auto" w:before="36"/>
              <w:ind w:left="180" w:right="107"/>
              <w:rPr>
                <w:sz w:val="21"/>
              </w:rPr>
            </w:pPr>
            <w:r>
              <w:rPr>
                <w:sz w:val="21"/>
              </w:rPr>
              <w:t>本附加险合同必须随主险合同一起办理减额交清，不能单独办理，且本附加险合同减额交清后的基本保险金额不得高于主险合同减额交清后的基本保险金额。</w:t>
            </w:r>
          </w:p>
          <w:p>
            <w:pPr>
              <w:pStyle w:val="TableParagraph"/>
              <w:spacing w:line="273" w:lineRule="auto" w:before="7"/>
              <w:ind w:left="180" w:right="-15"/>
              <w:rPr>
                <w:sz w:val="21"/>
              </w:rPr>
            </w:pPr>
            <w:r>
              <w:rPr>
                <w:spacing w:val="-3"/>
                <w:sz w:val="21"/>
              </w:rPr>
              <w:t>即如果您决定不再支付续期保险费，我们将以本附加险合同宽限期开始前一日的现</w:t>
            </w:r>
            <w:r>
              <w:rPr>
                <w:spacing w:val="-3"/>
                <w:w w:val="100"/>
                <w:sz w:val="21"/>
              </w:rPr>
              <w:t>金价值扣除您尚未偿还的各项欠款之后的余额作为一次交清的</w:t>
            </w:r>
            <w:r>
              <w:rPr>
                <w:rFonts w:ascii="黑体" w:eastAsia="黑体" w:hint="eastAsia"/>
                <w:b/>
                <w:spacing w:val="-5"/>
                <w:w w:val="100"/>
                <w:sz w:val="21"/>
              </w:rPr>
              <w:t>净保险费</w:t>
            </w:r>
            <w:r>
              <w:rPr>
                <w:spacing w:val="-3"/>
                <w:w w:val="100"/>
                <w:sz w:val="21"/>
              </w:rPr>
              <w:t>（</w:t>
            </w:r>
            <w:r>
              <w:rPr>
                <w:w w:val="100"/>
                <w:sz w:val="21"/>
              </w:rPr>
              <w:t>见</w:t>
            </w:r>
            <w:r>
              <w:rPr>
                <w:spacing w:val="-55"/>
                <w:sz w:val="21"/>
              </w:rPr>
              <w:t> </w:t>
            </w:r>
            <w:r>
              <w:rPr>
                <w:spacing w:val="-3"/>
                <w:w w:val="100"/>
                <w:sz w:val="21"/>
              </w:rPr>
              <w:t>9</w:t>
            </w:r>
            <w:r>
              <w:rPr>
                <w:w w:val="100"/>
                <w:sz w:val="21"/>
              </w:rPr>
              <w:t>.2</w:t>
            </w:r>
            <w:r>
              <w:rPr>
                <w:spacing w:val="-1"/>
                <w:w w:val="100"/>
                <w:sz w:val="21"/>
              </w:rPr>
              <w:t>2</w:t>
            </w:r>
            <w:r>
              <w:rPr>
                <w:spacing w:val="-106"/>
                <w:w w:val="100"/>
                <w:sz w:val="21"/>
              </w:rPr>
              <w:t>）</w:t>
            </w:r>
            <w:r>
              <w:rPr>
                <w:w w:val="100"/>
                <w:sz w:val="21"/>
              </w:rPr>
              <w:t>，</w:t>
            </w:r>
            <w:r>
              <w:rPr>
                <w:spacing w:val="-3"/>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312" w:lineRule="exact" w:before="3"/>
              <w:ind w:left="179" w:right="107"/>
              <w:rPr>
                <w:sz w:val="21"/>
              </w:rPr>
            </w:pPr>
            <w:r>
              <w:rPr>
                <w:sz w:val="21"/>
              </w:rPr>
              <w:t>减额交清后，本附加险合同的基本保险金额会相应减少，您不需要再支付保险费， 本附加险合同继续有效。</w:t>
            </w:r>
          </w:p>
        </w:tc>
      </w:tr>
    </w:tbl>
    <w:p>
      <w:pPr>
        <w:spacing w:after="0" w:line="312" w:lineRule="exact"/>
        <w:rPr>
          <w:sz w:val="21"/>
        </w:rPr>
        <w:sectPr>
          <w:pgSz w:w="11910" w:h="16840"/>
          <w:pgMar w:top="1480" w:bottom="280" w:left="800" w:right="800"/>
        </w:sectPr>
      </w:pPr>
    </w:p>
    <w:p>
      <w:pPr>
        <w:tabs>
          <w:tab w:pos="860" w:val="left" w:leader="none"/>
        </w:tabs>
        <w:spacing w:before="47"/>
        <w:ind w:left="220" w:right="0" w:firstLine="0"/>
        <w:jc w:val="left"/>
        <w:rPr>
          <w:b/>
          <w:sz w:val="24"/>
        </w:rPr>
      </w:pPr>
      <w:r>
        <w:rPr/>
        <w:pict>
          <v:group style="position:absolute;margin-left:45.599998pt;margin-top:30.510771pt;width:504.05pt;height:1pt;mso-position-horizontal-relative:page;mso-position-vertical-relative:paragraph;z-index:1144;mso-wrap-distance-left:0;mso-wrap-distance-right:0" coordorigin="912,610" coordsize="10081,20">
            <v:line style="position:absolute" from="912,620" to="1553,620" stroked="true" strokeweight=".959pt" strokecolor="#000000">
              <v:stroke dashstyle="solid"/>
            </v:line>
            <v:rect style="position:absolute;left:1552;top:610;width:20;height:20" filled="true" fillcolor="#000000" stroked="false">
              <v:fill type="solid"/>
            </v:rect>
            <v:line style="position:absolute" from="1572,620" to="3180,620" stroked="true" strokeweight=".959pt" strokecolor="#000000">
              <v:stroke dashstyle="solid"/>
            </v:line>
            <v:rect style="position:absolute;left:3180;top:610;width:20;height:20" filled="true" fillcolor="#000000" stroked="false">
              <v:fill type="solid"/>
            </v:rect>
            <v:line style="position:absolute" from="3199,620" to="10992,620" stroked="true" strokeweight=".959pt" strokecolor="#000000">
              <v:stroke dashstyle="solid"/>
            </v:line>
            <w10:wrap type="topAndBottom"/>
          </v:group>
        </w:pict>
      </w:r>
      <w:r>
        <w:rPr>
          <w:rFonts w:ascii="Arial" w:hAnsi="Arial" w:eastAsia="Arial"/>
          <w:b/>
          <w:position w:val="-3"/>
          <w:sz w:val="40"/>
        </w:rPr>
        <w:t></w:t>
        <w:tab/>
      </w:r>
      <w:r>
        <w:rPr>
          <w:b/>
          <w:w w:val="95"/>
          <w:sz w:val="24"/>
        </w:rPr>
        <w:t>合同效力的恢复</w:t>
      </w:r>
    </w:p>
    <w:p>
      <w:pPr>
        <w:pStyle w:val="BodyText"/>
        <w:rPr>
          <w:b/>
          <w:sz w:val="18"/>
        </w:rPr>
      </w:pPr>
    </w:p>
    <w:p>
      <w:pPr>
        <w:pStyle w:val="BodyText"/>
        <w:tabs>
          <w:tab w:pos="860" w:val="left" w:leader="none"/>
          <w:tab w:pos="2487" w:val="left" w:leader="none"/>
        </w:tabs>
        <w:spacing w:line="273" w:lineRule="auto" w:before="37"/>
        <w:ind w:left="2488" w:right="214" w:hanging="2269"/>
      </w:pPr>
      <w:r>
        <w:rPr>
          <w:b/>
        </w:rPr>
        <w:t>6.1</w:t>
        <w:tab/>
        <w:t>效力恢复</w:t>
        <w:tab/>
      </w:r>
      <w:r>
        <w:rPr/>
        <w:t>本附</w:t>
      </w:r>
      <w:r>
        <w:rPr>
          <w:spacing w:val="-3"/>
        </w:rPr>
        <w:t>加</w:t>
      </w:r>
      <w:r>
        <w:rPr/>
        <w:t>险</w:t>
      </w:r>
      <w:r>
        <w:rPr>
          <w:spacing w:val="-3"/>
        </w:rPr>
        <w:t>合</w:t>
      </w:r>
      <w:r>
        <w:rPr/>
        <w:t>同</w:t>
      </w:r>
      <w:r>
        <w:rPr>
          <w:spacing w:val="-3"/>
        </w:rPr>
        <w:t>效</w:t>
      </w:r>
      <w:r>
        <w:rPr/>
        <w:t>力</w:t>
      </w:r>
      <w:r>
        <w:rPr>
          <w:spacing w:val="-3"/>
        </w:rPr>
        <w:t>中</w:t>
      </w:r>
      <w:r>
        <w:rPr/>
        <w:t>止后</w:t>
      </w:r>
      <w:r>
        <w:rPr>
          <w:spacing w:val="-17"/>
        </w:rPr>
        <w:t> </w:t>
      </w:r>
      <w:r>
        <w:rPr/>
        <w:t>2</w:t>
      </w:r>
      <w:r>
        <w:rPr>
          <w:spacing w:val="-15"/>
        </w:rPr>
        <w:t> </w:t>
      </w:r>
      <w:r>
        <w:rPr/>
        <w:t>年内</w:t>
      </w:r>
      <w:r>
        <w:rPr>
          <w:spacing w:val="-3"/>
        </w:rPr>
        <w:t>，</w:t>
      </w:r>
      <w:r>
        <w:rPr/>
        <w:t>您</w:t>
      </w:r>
      <w:r>
        <w:rPr>
          <w:spacing w:val="-3"/>
        </w:rPr>
        <w:t>可</w:t>
      </w:r>
      <w:r>
        <w:rPr/>
        <w:t>以</w:t>
      </w:r>
      <w:r>
        <w:rPr>
          <w:spacing w:val="-3"/>
        </w:rPr>
        <w:t>申</w:t>
      </w:r>
      <w:r>
        <w:rPr/>
        <w:t>请</w:t>
      </w:r>
      <w:r>
        <w:rPr>
          <w:spacing w:val="-3"/>
        </w:rPr>
        <w:t>恢复</w:t>
      </w:r>
      <w:r>
        <w:rPr/>
        <w:t>合同</w:t>
      </w:r>
      <w:r>
        <w:rPr>
          <w:spacing w:val="-3"/>
        </w:rPr>
        <w:t>效</w:t>
      </w:r>
      <w:r>
        <w:rPr/>
        <w:t>力</w:t>
      </w:r>
      <w:r>
        <w:rPr>
          <w:spacing w:val="-3"/>
        </w:rPr>
        <w:t>。</w:t>
      </w:r>
      <w:r>
        <w:rPr/>
        <w:t>经</w:t>
      </w:r>
      <w:r>
        <w:rPr>
          <w:spacing w:val="-3"/>
        </w:rPr>
        <w:t>您</w:t>
      </w:r>
      <w:r>
        <w:rPr/>
        <w:t>与</w:t>
      </w:r>
      <w:r>
        <w:rPr>
          <w:spacing w:val="-3"/>
        </w:rPr>
        <w:t>我</w:t>
      </w:r>
      <w:r>
        <w:rPr/>
        <w:t>们</w:t>
      </w:r>
      <w:r>
        <w:rPr>
          <w:spacing w:val="-3"/>
        </w:rPr>
        <w:t>协</w:t>
      </w:r>
      <w:r>
        <w:rPr/>
        <w:t>商并达成协</w:t>
      </w:r>
      <w:r>
        <w:rPr>
          <w:spacing w:val="-3"/>
        </w:rPr>
        <w:t>议</w:t>
      </w:r>
      <w:r>
        <w:rPr/>
        <w:t>，</w:t>
      </w:r>
      <w:r>
        <w:rPr>
          <w:spacing w:val="-3"/>
        </w:rPr>
        <w:t>在</w:t>
      </w:r>
      <w:r>
        <w:rPr/>
        <w:t>您</w:t>
      </w:r>
      <w:r>
        <w:rPr>
          <w:spacing w:val="-3"/>
        </w:rPr>
        <w:t>补</w:t>
      </w:r>
      <w:r>
        <w:rPr/>
        <w:t>交</w:t>
      </w:r>
      <w:r>
        <w:rPr>
          <w:spacing w:val="-3"/>
        </w:rPr>
        <w:t>保</w:t>
      </w:r>
      <w:r>
        <w:rPr/>
        <w:t>险</w:t>
      </w:r>
      <w:r>
        <w:rPr>
          <w:spacing w:val="-3"/>
        </w:rPr>
        <w:t>费</w:t>
      </w:r>
      <w:r>
        <w:rPr/>
        <w:t>之日</w:t>
      </w:r>
      <w:r>
        <w:rPr>
          <w:spacing w:val="-3"/>
        </w:rPr>
        <w:t>起</w:t>
      </w:r>
      <w:r>
        <w:rPr/>
        <w:t>，</w:t>
      </w:r>
      <w:r>
        <w:rPr>
          <w:spacing w:val="-3"/>
        </w:rPr>
        <w:t>合</w:t>
      </w:r>
      <w:r>
        <w:rPr/>
        <w:t>同</w:t>
      </w:r>
      <w:r>
        <w:rPr>
          <w:spacing w:val="-3"/>
        </w:rPr>
        <w:t>效</w:t>
      </w:r>
      <w:r>
        <w:rPr/>
        <w:t>力</w:t>
      </w:r>
      <w:r>
        <w:rPr>
          <w:spacing w:val="-3"/>
        </w:rPr>
        <w:t>恢</w:t>
      </w:r>
      <w:r>
        <w:rPr/>
        <w:t>复。</w:t>
      </w:r>
    </w:p>
    <w:p>
      <w:pPr>
        <w:pStyle w:val="BodyText"/>
        <w:spacing w:before="7"/>
        <w:ind w:left="2488"/>
      </w:pPr>
      <w:r>
        <w:rPr/>
        <w:t>主险合同效力中止期间，本附加险合同不得单独申请复效。</w:t>
      </w:r>
    </w:p>
    <w:p>
      <w:pPr>
        <w:pStyle w:val="BodyText"/>
        <w:spacing w:line="273" w:lineRule="auto" w:before="36"/>
        <w:ind w:left="2488" w:right="110"/>
      </w:pPr>
      <w:r>
        <w:rPr>
          <w:spacing w:val="-5"/>
        </w:rPr>
        <w:t>自本附加险合同效力中止之日起满 </w:t>
      </w:r>
      <w:r>
        <w:rPr/>
        <w:t>2</w:t>
      </w:r>
      <w:r>
        <w:rPr>
          <w:spacing w:val="-13"/>
        </w:rPr>
        <w:t> 年您和我们未达成协议的，我们有权解除合同。</w:t>
      </w:r>
      <w:r>
        <w:rPr>
          <w:spacing w:val="-6"/>
        </w:rPr>
        <w:t>我们解除合同的，向您退还合同效力中止时本附加险合同的现金价值。</w:t>
      </w:r>
    </w:p>
    <w:p>
      <w:pPr>
        <w:pStyle w:val="BodyText"/>
        <w:rPr>
          <w:sz w:val="20"/>
        </w:rPr>
      </w:pPr>
    </w:p>
    <w:p>
      <w:pPr>
        <w:pStyle w:val="BodyText"/>
        <w:spacing w:before="5"/>
        <w:rPr>
          <w:sz w:val="16"/>
        </w:rPr>
      </w:pPr>
    </w:p>
    <w:p>
      <w:pPr>
        <w:pStyle w:val="Heading2"/>
        <w:tabs>
          <w:tab w:pos="860" w:val="left" w:leader="none"/>
        </w:tabs>
        <w:spacing w:before="0"/>
        <w:rPr>
          <w:rFonts w:ascii="宋体" w:hAnsi="宋体" w:eastAsia="宋体" w:hint="eastAsia"/>
        </w:rPr>
      </w:pPr>
      <w:r>
        <w:rPr/>
        <w:pict>
          <v:group style="position:absolute;margin-left:45.599998pt;margin-top:28.159779pt;width:504.05pt;height:1pt;mso-position-horizontal-relative:page;mso-position-vertical-relative:paragraph;z-index:1168;mso-wrap-distance-left:0;mso-wrap-distance-right:0" coordorigin="912,563" coordsize="10081,20">
            <v:line style="position:absolute" from="912,573" to="1553,573" stroked="true" strokeweight=".96pt" strokecolor="#000000">
              <v:stroke dashstyle="solid"/>
            </v:line>
            <v:rect style="position:absolute;left:1552;top:563;width:20;height:20" filled="true" fillcolor="#000000" stroked="false">
              <v:fill type="solid"/>
            </v:rect>
            <v:line style="position:absolute" from="1572,573" to="3180,573" stroked="true" strokeweight=".96pt" strokecolor="#000000">
              <v:stroke dashstyle="solid"/>
            </v:line>
            <v:rect style="position:absolute;left:3180;top:563;width:20;height:20" filled="true" fillcolor="#000000" stroked="false">
              <v:fill type="solid"/>
            </v:rect>
            <v:line style="position:absolute" from="3199,573" to="10992,57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rPr>
          <w:b/>
          <w:sz w:val="18"/>
        </w:rPr>
      </w:pPr>
    </w:p>
    <w:p>
      <w:pPr>
        <w:spacing w:after="0"/>
        <w:rPr>
          <w:sz w:val="18"/>
        </w:rPr>
        <w:sectPr>
          <w:pgSz w:w="11910" w:h="16840"/>
          <w:pgMar w:top="1440" w:bottom="280" w:left="800" w:right="800"/>
        </w:sectPr>
      </w:pPr>
    </w:p>
    <w:p>
      <w:pPr>
        <w:pStyle w:val="Heading3"/>
        <w:tabs>
          <w:tab w:pos="860" w:val="left" w:leader="none"/>
        </w:tabs>
        <w:spacing w:before="37"/>
        <w:ind w:left="220"/>
      </w:pPr>
      <w:r>
        <w:rPr/>
        <w:t>7.1</w:t>
        <w:tab/>
      </w:r>
      <w:r>
        <w:rPr>
          <w:spacing w:val="26"/>
        </w:rPr>
        <w:t>您解除合同的</w:t>
      </w:r>
    </w:p>
    <w:p>
      <w:pPr>
        <w:spacing w:before="37"/>
        <w:ind w:left="860" w:right="0" w:firstLine="0"/>
        <w:jc w:val="left"/>
        <w:rPr>
          <w:b/>
          <w:sz w:val="21"/>
        </w:rPr>
      </w:pPr>
      <w:r>
        <w:rPr>
          <w:b/>
          <w:sz w:val="21"/>
        </w:rPr>
        <w:t>手续及风险</w:t>
      </w:r>
    </w:p>
    <w:p>
      <w:pPr>
        <w:pStyle w:val="BodyText"/>
        <w:spacing w:line="273" w:lineRule="auto" w:before="37"/>
        <w:ind w:left="145" w:right="220"/>
      </w:pPr>
      <w:r>
        <w:rPr/>
        <w:br w:type="column"/>
      </w:r>
      <w:r>
        <w:rPr/>
        <w:t>您在犹豫期后可以申请解除本附加险合同，请填写解除合同申请书并向我们提供下列资料：</w:t>
      </w:r>
    </w:p>
    <w:p>
      <w:pPr>
        <w:pStyle w:val="BodyText"/>
        <w:spacing w:before="7"/>
        <w:ind w:left="145"/>
      </w:pPr>
      <w:r>
        <w:rPr/>
        <w:t>（1）保险合同；</w:t>
      </w:r>
    </w:p>
    <w:p>
      <w:pPr>
        <w:pStyle w:val="BodyText"/>
        <w:spacing w:before="36"/>
        <w:ind w:left="145"/>
      </w:pPr>
      <w:r>
        <w:rPr/>
        <w:t>（2）您的有效身份证件。</w:t>
      </w:r>
    </w:p>
    <w:p>
      <w:pPr>
        <w:pStyle w:val="BodyText"/>
        <w:spacing w:line="273" w:lineRule="auto" w:before="36"/>
        <w:ind w:left="145" w:right="220"/>
      </w:pPr>
      <w:r>
        <w:rPr/>
        <w:t>自我们收到解除合同申请书时起，本附加险合同终止。我们自收到解除合同申请书之日起 30 日内向您退还本附加险合同的现金价值。</w:t>
      </w:r>
    </w:p>
    <w:p>
      <w:pPr>
        <w:pStyle w:val="BodyText"/>
        <w:spacing w:line="273" w:lineRule="auto" w:before="7"/>
        <w:ind w:left="145" w:right="880"/>
      </w:pPr>
      <w:r>
        <w:rPr/>
        <w:t>若您申请解除本附加险合同，主险合同必须与本附加险合同同时申请解除。您在犹豫期后解除合同会遭受一定损失。</w:t>
      </w:r>
    </w:p>
    <w:p>
      <w:pPr>
        <w:spacing w:after="0" w:line="273" w:lineRule="auto"/>
        <w:sectPr>
          <w:type w:val="continuous"/>
          <w:pgSz w:w="11910" w:h="16840"/>
          <w:pgMar w:top="560" w:bottom="280" w:left="800" w:right="800"/>
          <w:cols w:num="2" w:equalWidth="0">
            <w:col w:w="2303" w:space="40"/>
            <w:col w:w="7967"/>
          </w:cols>
        </w:sectPr>
      </w:pPr>
    </w:p>
    <w:p>
      <w:pPr>
        <w:pStyle w:val="BodyText"/>
        <w:rPr>
          <w:sz w:val="20"/>
        </w:rPr>
      </w:pPr>
    </w:p>
    <w:p>
      <w:pPr>
        <w:pStyle w:val="Heading2"/>
        <w:tabs>
          <w:tab w:pos="860" w:val="left" w:leader="none"/>
        </w:tabs>
        <w:spacing w:before="215"/>
        <w:rPr>
          <w:rFonts w:ascii="宋体" w:hAnsi="宋体" w:eastAsia="宋体" w:hint="eastAsia"/>
        </w:rPr>
      </w:pPr>
      <w:r>
        <w:rPr/>
        <w:pict>
          <v:group style="position:absolute;margin-left:45.599998pt;margin-top:38.909767pt;width:504.05pt;height:1pt;mso-position-horizontal-relative:page;mso-position-vertical-relative:paragraph;z-index:1192;mso-wrap-distance-left:0;mso-wrap-distance-right:0" coordorigin="912,778" coordsize="10081,20">
            <v:line style="position:absolute" from="912,788" to="1553,788" stroked="true" strokeweight=".96pt" strokecolor="#000000">
              <v:stroke dashstyle="solid"/>
            </v:line>
            <v:rect style="position:absolute;left:1552;top:778;width:20;height:20" filled="true" fillcolor="#000000" stroked="false">
              <v:fill type="solid"/>
            </v:rect>
            <v:line style="position:absolute" from="1572,788" to="3180,788" stroked="true" strokeweight=".96pt" strokecolor="#000000">
              <v:stroke dashstyle="solid"/>
            </v:line>
            <v:rect style="position:absolute;left:3180;top:778;width:20;height:20" filled="true" fillcolor="#000000" stroked="false">
              <v:fill type="solid"/>
            </v:rect>
            <v:line style="position:absolute" from="3199,788" to="10992,788"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1"/>
        <w:rPr>
          <w:b/>
          <w:sz w:val="17"/>
        </w:rPr>
      </w:pPr>
    </w:p>
    <w:p>
      <w:pPr>
        <w:pStyle w:val="BodyText"/>
        <w:tabs>
          <w:tab w:pos="860" w:val="left" w:leader="none"/>
          <w:tab w:pos="2490" w:val="left" w:leader="none"/>
        </w:tabs>
        <w:spacing w:line="273" w:lineRule="auto" w:before="36"/>
        <w:ind w:left="2488" w:right="110" w:hanging="2268"/>
      </w:pPr>
      <w:r>
        <w:rPr>
          <w:b/>
        </w:rPr>
        <w:t>8.1</w:t>
        <w:tab/>
        <w:t>年龄错误</w:t>
        <w:tab/>
        <w:tab/>
      </w:r>
      <w:r>
        <w:rPr/>
        <w:t>您在</w:t>
      </w:r>
      <w:r>
        <w:rPr>
          <w:spacing w:val="-3"/>
        </w:rPr>
        <w:t>申</w:t>
      </w:r>
      <w:r>
        <w:rPr/>
        <w:t>请</w:t>
      </w:r>
      <w:r>
        <w:rPr>
          <w:spacing w:val="-3"/>
        </w:rPr>
        <w:t>投</w:t>
      </w:r>
      <w:r>
        <w:rPr/>
        <w:t>保</w:t>
      </w:r>
      <w:r>
        <w:rPr>
          <w:spacing w:val="-3"/>
        </w:rPr>
        <w:t>时</w:t>
      </w:r>
      <w:r>
        <w:rPr>
          <w:spacing w:val="-72"/>
        </w:rPr>
        <w:t>，</w:t>
      </w:r>
      <w:r>
        <w:rPr>
          <w:spacing w:val="-3"/>
        </w:rPr>
        <w:t>应</w:t>
      </w:r>
      <w:r>
        <w:rPr/>
        <w:t>将</w:t>
      </w:r>
      <w:r>
        <w:rPr>
          <w:spacing w:val="-3"/>
        </w:rPr>
        <w:t>与有</w:t>
      </w:r>
      <w:r>
        <w:rPr/>
        <w:t>效身</w:t>
      </w:r>
      <w:r>
        <w:rPr>
          <w:spacing w:val="-3"/>
        </w:rPr>
        <w:t>份</w:t>
      </w:r>
      <w:r>
        <w:rPr/>
        <w:t>证</w:t>
      </w:r>
      <w:r>
        <w:rPr>
          <w:spacing w:val="-3"/>
        </w:rPr>
        <w:t>件</w:t>
      </w:r>
      <w:r>
        <w:rPr/>
        <w:t>相</w:t>
      </w:r>
      <w:r>
        <w:rPr>
          <w:spacing w:val="-3"/>
        </w:rPr>
        <w:t>符</w:t>
      </w:r>
      <w:r>
        <w:rPr/>
        <w:t>的</w:t>
      </w:r>
      <w:r>
        <w:rPr>
          <w:spacing w:val="-3"/>
        </w:rPr>
        <w:t>被</w:t>
      </w:r>
      <w:r>
        <w:rPr/>
        <w:t>保</w:t>
      </w:r>
      <w:r>
        <w:rPr>
          <w:spacing w:val="-3"/>
        </w:rPr>
        <w:t>险</w:t>
      </w:r>
      <w:r>
        <w:rPr/>
        <w:t>人的</w:t>
      </w:r>
      <w:r>
        <w:rPr>
          <w:spacing w:val="-3"/>
        </w:rPr>
        <w:t>出</w:t>
      </w:r>
      <w:r>
        <w:rPr/>
        <w:t>生</w:t>
      </w:r>
      <w:r>
        <w:rPr>
          <w:spacing w:val="-3"/>
        </w:rPr>
        <w:t>日</w:t>
      </w:r>
      <w:r>
        <w:rPr/>
        <w:t>期</w:t>
      </w:r>
      <w:r>
        <w:rPr>
          <w:spacing w:val="-3"/>
        </w:rPr>
        <w:t>在</w:t>
      </w:r>
      <w:r>
        <w:rPr/>
        <w:t>投</w:t>
      </w:r>
      <w:r>
        <w:rPr>
          <w:spacing w:val="-3"/>
        </w:rPr>
        <w:t>保</w:t>
      </w:r>
      <w:r>
        <w:rPr/>
        <w:t>书</w:t>
      </w:r>
      <w:r>
        <w:rPr>
          <w:spacing w:val="-3"/>
        </w:rPr>
        <w:t>上</w:t>
      </w:r>
      <w:r>
        <w:rPr/>
        <w:t>填明， 如果</w:t>
      </w:r>
      <w:r>
        <w:rPr>
          <w:spacing w:val="-3"/>
        </w:rPr>
        <w:t>发</w:t>
      </w:r>
      <w:r>
        <w:rPr/>
        <w:t>生</w:t>
      </w:r>
      <w:r>
        <w:rPr>
          <w:spacing w:val="-3"/>
        </w:rPr>
        <w:t>错</w:t>
      </w:r>
      <w:r>
        <w:rPr/>
        <w:t>误</w:t>
      </w:r>
      <w:r>
        <w:rPr>
          <w:spacing w:val="-3"/>
        </w:rPr>
        <w:t>按</w:t>
      </w:r>
      <w:r>
        <w:rPr/>
        <w:t>照</w:t>
      </w:r>
      <w:r>
        <w:rPr>
          <w:spacing w:val="-3"/>
        </w:rPr>
        <w:t>下</w:t>
      </w:r>
      <w:r>
        <w:rPr/>
        <w:t>列</w:t>
      </w:r>
      <w:r>
        <w:rPr>
          <w:spacing w:val="-3"/>
        </w:rPr>
        <w:t>方</w:t>
      </w:r>
      <w:r>
        <w:rPr/>
        <w:t>式办</w:t>
      </w:r>
      <w:r>
        <w:rPr>
          <w:spacing w:val="-3"/>
        </w:rPr>
        <w:t>理</w:t>
      </w:r>
      <w:r>
        <w:rPr/>
        <w:t>：</w:t>
      </w:r>
    </w:p>
    <w:p>
      <w:pPr>
        <w:pStyle w:val="BodyText"/>
        <w:spacing w:line="273" w:lineRule="auto" w:before="7"/>
        <w:ind w:left="2991" w:right="214" w:hanging="504"/>
        <w:jc w:val="both"/>
      </w:pPr>
      <w:r>
        <w:rPr/>
        <w:pict>
          <v:shape style="position:absolute;margin-left:189.000015pt;margin-top:1.933669pt;width:355.2pt;height:29.3pt;mso-position-horizontal-relative:page;mso-position-vertical-relative:paragraph;z-index:-33760" coordorigin="3780,39" coordsize="7104,586" path="m10466,351l3792,351,3792,624,10466,624,10466,351m10884,39l3780,39,3780,312,10884,312,10884,39e" filled="true" fillcolor="#dadada" stroked="false">
            <v:path arrowok="t"/>
            <v:fill type="solid"/>
            <w10:wrap type="none"/>
          </v:shape>
        </w:pict>
      </w:r>
      <w:r>
        <w:rPr>
          <w:spacing w:val="-13"/>
        </w:rPr>
        <w:t>（1）</w:t>
      </w:r>
      <w:r>
        <w:rPr>
          <w:spacing w:val="-6"/>
        </w:rPr>
        <w:t>您申报的被保险人年龄不真实，并且其真实年龄不符合本附加险合同约定投保</w:t>
      </w:r>
      <w:r>
        <w:rPr>
          <w:spacing w:val="-9"/>
        </w:rPr>
        <w:t>年龄限制的，我们有权解除合同，并向您退还本附加险合同的现金价值。我们</w:t>
      </w:r>
      <w:r>
        <w:rPr>
          <w:spacing w:val="-3"/>
        </w:rPr>
        <w:t>行使合同解除权适用</w:t>
      </w:r>
      <w:r>
        <w:rPr>
          <w:spacing w:val="-1"/>
        </w:rPr>
        <w:t>“8.3（5）</w:t>
      </w:r>
      <w:r>
        <w:rPr>
          <w:spacing w:val="-3"/>
        </w:rPr>
        <w:t>本公司合同解除权的限制”的规定。</w:t>
      </w:r>
    </w:p>
    <w:p>
      <w:pPr>
        <w:pStyle w:val="BodyText"/>
        <w:spacing w:line="273" w:lineRule="auto" w:before="7"/>
        <w:ind w:left="2992" w:right="215" w:hanging="505"/>
        <w:jc w:val="both"/>
      </w:pPr>
      <w:r>
        <w:rPr>
          <w:spacing w:val="-8"/>
        </w:rPr>
        <w:t>（2）</w:t>
      </w:r>
      <w:r>
        <w:rPr>
          <w:spacing w:val="-6"/>
        </w:rPr>
        <w:t>您申报的被保险人年龄不真实，致使您实付保险费少于应付保险费的，我们有</w:t>
      </w:r>
      <w:r>
        <w:rPr>
          <w:spacing w:val="-4"/>
        </w:rPr>
        <w:t>权更正并要求您补交保险费或在给付保险金时扣除您欠交的保险费。</w:t>
      </w:r>
    </w:p>
    <w:p>
      <w:pPr>
        <w:pStyle w:val="BodyText"/>
        <w:spacing w:line="273" w:lineRule="auto" w:before="7"/>
        <w:ind w:left="3013" w:right="215" w:hanging="526"/>
        <w:jc w:val="both"/>
      </w:pPr>
      <w:r>
        <w:rPr>
          <w:spacing w:val="-9"/>
        </w:rPr>
        <w:t>（3）</w:t>
      </w:r>
      <w:r>
        <w:rPr>
          <w:spacing w:val="-6"/>
        </w:rPr>
        <w:t>您申报的被保险人年龄不真实，致使您实付保险费多于应付保险费的，我们会</w:t>
      </w:r>
      <w:r>
        <w:rPr>
          <w:spacing w:val="-4"/>
        </w:rPr>
        <w:t>将多收的保险费退还给您。</w:t>
      </w:r>
    </w:p>
    <w:p>
      <w:pPr>
        <w:pStyle w:val="BodyText"/>
        <w:rPr>
          <w:sz w:val="20"/>
        </w:rPr>
      </w:pPr>
    </w:p>
    <w:p>
      <w:pPr>
        <w:pStyle w:val="BodyText"/>
        <w:spacing w:before="11" w:after="1"/>
        <w:rPr>
          <w:sz w:val="15"/>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697"/>
        <w:gridCol w:w="4768"/>
      </w:tblGrid>
      <w:tr>
        <w:trPr>
          <w:trHeight w:val="1083" w:hRule="atLeast"/>
        </w:trPr>
        <w:tc>
          <w:tcPr>
            <w:tcW w:w="529" w:type="dxa"/>
          </w:tcPr>
          <w:p>
            <w:pPr>
              <w:pStyle w:val="TableParagraph"/>
              <w:spacing w:line="211" w:lineRule="exact"/>
              <w:ind w:left="50"/>
              <w:rPr>
                <w:b/>
                <w:sz w:val="21"/>
              </w:rPr>
            </w:pPr>
            <w:r>
              <w:rPr>
                <w:b/>
                <w:sz w:val="21"/>
              </w:rPr>
              <w:t>8.2</w:t>
            </w:r>
          </w:p>
        </w:tc>
        <w:tc>
          <w:tcPr>
            <w:tcW w:w="1697" w:type="dxa"/>
          </w:tcPr>
          <w:p>
            <w:pPr>
              <w:pStyle w:val="TableParagraph"/>
              <w:spacing w:line="211" w:lineRule="exact"/>
              <w:ind w:left="161"/>
              <w:rPr>
                <w:b/>
                <w:sz w:val="21"/>
              </w:rPr>
            </w:pPr>
            <w:r>
              <w:rPr>
                <w:b/>
                <w:sz w:val="21"/>
              </w:rPr>
              <w:t>效力终止</w:t>
            </w:r>
          </w:p>
        </w:tc>
        <w:tc>
          <w:tcPr>
            <w:tcW w:w="4768" w:type="dxa"/>
          </w:tcPr>
          <w:p>
            <w:pPr>
              <w:pStyle w:val="TableParagraph"/>
              <w:spacing w:line="211" w:lineRule="exact"/>
              <w:ind w:left="91"/>
              <w:rPr>
                <w:sz w:val="21"/>
              </w:rPr>
            </w:pPr>
            <w:r>
              <w:rPr>
                <w:sz w:val="21"/>
              </w:rPr>
              <w:t>当发生下列情形之一时，本附加险合同效力终止：</w:t>
            </w:r>
          </w:p>
          <w:p>
            <w:pPr>
              <w:pStyle w:val="TableParagraph"/>
              <w:spacing w:before="37"/>
              <w:ind w:left="91"/>
              <w:rPr>
                <w:sz w:val="21"/>
              </w:rPr>
            </w:pPr>
            <w:r>
              <w:rPr>
                <w:sz w:val="21"/>
              </w:rPr>
              <w:t>（1）主险合同效力终止；</w:t>
            </w:r>
          </w:p>
          <w:p>
            <w:pPr>
              <w:pStyle w:val="TableParagraph"/>
              <w:spacing w:before="37"/>
              <w:ind w:left="91"/>
              <w:rPr>
                <w:sz w:val="21"/>
              </w:rPr>
            </w:pPr>
            <w:r>
              <w:rPr>
                <w:sz w:val="21"/>
              </w:rPr>
              <w:t>（2）您申请解除本附加险合同。</w:t>
            </w:r>
          </w:p>
        </w:tc>
      </w:tr>
      <w:tr>
        <w:trPr>
          <w:trHeight w:val="510" w:hRule="atLeast"/>
        </w:trPr>
        <w:tc>
          <w:tcPr>
            <w:tcW w:w="529" w:type="dxa"/>
          </w:tcPr>
          <w:p>
            <w:pPr>
              <w:pStyle w:val="TableParagraph"/>
              <w:spacing w:before="1"/>
              <w:rPr>
                <w:sz w:val="14"/>
              </w:rPr>
            </w:pPr>
          </w:p>
          <w:p>
            <w:pPr>
              <w:pStyle w:val="TableParagraph"/>
              <w:ind w:left="50"/>
              <w:rPr>
                <w:b/>
                <w:sz w:val="21"/>
              </w:rPr>
            </w:pPr>
            <w:r>
              <w:rPr>
                <w:b/>
                <w:sz w:val="21"/>
              </w:rPr>
              <w:t>8.3</w:t>
            </w:r>
          </w:p>
        </w:tc>
        <w:tc>
          <w:tcPr>
            <w:tcW w:w="1697" w:type="dxa"/>
          </w:tcPr>
          <w:p>
            <w:pPr>
              <w:pStyle w:val="TableParagraph"/>
              <w:spacing w:before="1"/>
              <w:rPr>
                <w:sz w:val="14"/>
              </w:rPr>
            </w:pPr>
          </w:p>
          <w:p>
            <w:pPr>
              <w:pStyle w:val="TableParagraph"/>
              <w:ind w:left="161"/>
              <w:rPr>
                <w:b/>
                <w:sz w:val="21"/>
              </w:rPr>
            </w:pPr>
            <w:r>
              <w:rPr>
                <w:b/>
                <w:sz w:val="21"/>
              </w:rPr>
              <w:t>适用主险合同</w:t>
            </w:r>
          </w:p>
        </w:tc>
        <w:tc>
          <w:tcPr>
            <w:tcW w:w="4768" w:type="dxa"/>
          </w:tcPr>
          <w:p>
            <w:pPr>
              <w:pStyle w:val="TableParagraph"/>
              <w:spacing w:before="1"/>
              <w:rPr>
                <w:sz w:val="14"/>
              </w:rPr>
            </w:pPr>
          </w:p>
          <w:p>
            <w:pPr>
              <w:pStyle w:val="TableParagraph"/>
              <w:ind w:left="91"/>
              <w:rPr>
                <w:sz w:val="21"/>
              </w:rPr>
            </w:pPr>
            <w:r>
              <w:rPr>
                <w:sz w:val="21"/>
              </w:rPr>
              <w:t>下列各项条款，适用主险合同条款：</w:t>
            </w:r>
          </w:p>
        </w:tc>
      </w:tr>
      <w:tr>
        <w:trPr>
          <w:trHeight w:val="311" w:hRule="atLeast"/>
        </w:trPr>
        <w:tc>
          <w:tcPr>
            <w:tcW w:w="529" w:type="dxa"/>
          </w:tcPr>
          <w:p>
            <w:pPr>
              <w:pStyle w:val="TableParagraph"/>
              <w:rPr>
                <w:rFonts w:ascii="Times New Roman"/>
                <w:sz w:val="20"/>
              </w:rPr>
            </w:pPr>
          </w:p>
        </w:tc>
        <w:tc>
          <w:tcPr>
            <w:tcW w:w="1697" w:type="dxa"/>
          </w:tcPr>
          <w:p>
            <w:pPr>
              <w:pStyle w:val="TableParagraph"/>
              <w:spacing w:line="261" w:lineRule="exact"/>
              <w:ind w:left="161"/>
              <w:rPr>
                <w:b/>
                <w:sz w:val="21"/>
              </w:rPr>
            </w:pPr>
            <w:r>
              <w:rPr>
                <w:b/>
                <w:sz w:val="21"/>
              </w:rPr>
              <w:t>条款</w:t>
            </w:r>
          </w:p>
        </w:tc>
        <w:tc>
          <w:tcPr>
            <w:tcW w:w="4768" w:type="dxa"/>
          </w:tcPr>
          <w:p>
            <w:pPr>
              <w:pStyle w:val="TableParagraph"/>
              <w:spacing w:line="261" w:lineRule="exact"/>
              <w:ind w:left="92"/>
              <w:rPr>
                <w:sz w:val="21"/>
              </w:rPr>
            </w:pPr>
            <w:r>
              <w:rPr>
                <w:sz w:val="21"/>
              </w:rPr>
              <w:t>（1）保险事故通知；</w:t>
            </w:r>
          </w:p>
        </w:tc>
      </w:tr>
      <w:tr>
        <w:trPr>
          <w:trHeight w:val="311" w:hRule="atLeast"/>
        </w:trPr>
        <w:tc>
          <w:tcPr>
            <w:tcW w:w="2226" w:type="dxa"/>
            <w:gridSpan w:val="2"/>
            <w:vMerge w:val="restart"/>
          </w:tcPr>
          <w:p>
            <w:pPr>
              <w:pStyle w:val="TableParagraph"/>
              <w:rPr>
                <w:rFonts w:ascii="Times New Roman"/>
                <w:sz w:val="20"/>
              </w:rPr>
            </w:pPr>
          </w:p>
        </w:tc>
        <w:tc>
          <w:tcPr>
            <w:tcW w:w="4768" w:type="dxa"/>
          </w:tcPr>
          <w:p>
            <w:pPr>
              <w:pStyle w:val="TableParagraph"/>
              <w:spacing w:line="261" w:lineRule="exact"/>
              <w:ind w:left="92"/>
              <w:rPr>
                <w:sz w:val="21"/>
              </w:rPr>
            </w:pPr>
            <w:r>
              <w:rPr>
                <w:sz w:val="21"/>
              </w:rPr>
              <w:t>（2）宽限期；</w:t>
            </w:r>
          </w:p>
        </w:tc>
      </w:tr>
      <w:tr>
        <w:trPr>
          <w:trHeight w:val="311" w:hRule="atLeast"/>
        </w:trPr>
        <w:tc>
          <w:tcPr>
            <w:tcW w:w="2226" w:type="dxa"/>
            <w:gridSpan w:val="2"/>
            <w:vMerge/>
            <w:tcBorders>
              <w:top w:val="nil"/>
            </w:tcBorders>
          </w:tcPr>
          <w:p>
            <w:pPr>
              <w:rPr>
                <w:sz w:val="2"/>
                <w:szCs w:val="2"/>
              </w:rPr>
            </w:pPr>
          </w:p>
        </w:tc>
        <w:tc>
          <w:tcPr>
            <w:tcW w:w="4768" w:type="dxa"/>
          </w:tcPr>
          <w:p>
            <w:pPr>
              <w:pStyle w:val="TableParagraph"/>
              <w:spacing w:line="261" w:lineRule="exact"/>
              <w:ind w:left="92"/>
              <w:rPr>
                <w:sz w:val="21"/>
              </w:rPr>
            </w:pPr>
            <w:r>
              <w:rPr>
                <w:sz w:val="21"/>
              </w:rPr>
              <w:t>（3）效力中止；</w:t>
            </w:r>
          </w:p>
        </w:tc>
      </w:tr>
      <w:tr>
        <w:trPr>
          <w:trHeight w:val="311" w:hRule="atLeast"/>
        </w:trPr>
        <w:tc>
          <w:tcPr>
            <w:tcW w:w="2226" w:type="dxa"/>
            <w:gridSpan w:val="2"/>
            <w:vMerge/>
            <w:tcBorders>
              <w:top w:val="nil"/>
            </w:tcBorders>
          </w:tcPr>
          <w:p>
            <w:pPr>
              <w:rPr>
                <w:sz w:val="2"/>
                <w:szCs w:val="2"/>
              </w:rPr>
            </w:pPr>
          </w:p>
        </w:tc>
        <w:tc>
          <w:tcPr>
            <w:tcW w:w="4768" w:type="dxa"/>
          </w:tcPr>
          <w:p>
            <w:pPr>
              <w:pStyle w:val="TableParagraph"/>
              <w:spacing w:line="261" w:lineRule="exact"/>
              <w:ind w:left="92"/>
              <w:rPr>
                <w:sz w:val="21"/>
              </w:rPr>
            </w:pPr>
            <w:r>
              <w:rPr>
                <w:sz w:val="21"/>
              </w:rPr>
              <w:t>（4）明确说明与如实告知；</w:t>
            </w:r>
          </w:p>
        </w:tc>
      </w:tr>
      <w:tr>
        <w:trPr>
          <w:trHeight w:val="261" w:hRule="atLeast"/>
        </w:trPr>
        <w:tc>
          <w:tcPr>
            <w:tcW w:w="2226" w:type="dxa"/>
            <w:gridSpan w:val="2"/>
            <w:vMerge/>
            <w:tcBorders>
              <w:top w:val="nil"/>
            </w:tcBorders>
          </w:tcPr>
          <w:p>
            <w:pPr>
              <w:rPr>
                <w:sz w:val="2"/>
                <w:szCs w:val="2"/>
              </w:rPr>
            </w:pPr>
          </w:p>
        </w:tc>
        <w:tc>
          <w:tcPr>
            <w:tcW w:w="4768" w:type="dxa"/>
          </w:tcPr>
          <w:p>
            <w:pPr>
              <w:pStyle w:val="TableParagraph"/>
              <w:spacing w:line="242" w:lineRule="exact"/>
              <w:ind w:left="92"/>
              <w:rPr>
                <w:sz w:val="21"/>
              </w:rPr>
            </w:pPr>
            <w:r>
              <w:rPr>
                <w:sz w:val="21"/>
              </w:rPr>
              <w:t>（5）本公司合同解除权的限制；</w:t>
            </w:r>
          </w:p>
        </w:tc>
      </w:tr>
    </w:tbl>
    <w:p>
      <w:pPr>
        <w:spacing w:after="0" w:line="242" w:lineRule="exact"/>
        <w:rPr>
          <w:sz w:val="21"/>
        </w:rPr>
        <w:sectPr>
          <w:type w:val="continuous"/>
          <w:pgSz w:w="11910" w:h="16840"/>
          <w:pgMar w:top="560" w:bottom="280" w:left="800" w:right="800"/>
        </w:sectPr>
      </w:pPr>
    </w:p>
    <w:p>
      <w:pPr>
        <w:pStyle w:val="BodyText"/>
        <w:spacing w:before="22"/>
        <w:ind w:left="2488"/>
      </w:pPr>
      <w:r>
        <w:rPr/>
        <w:t>（6）未还款项；</w:t>
      </w:r>
    </w:p>
    <w:p>
      <w:pPr>
        <w:pStyle w:val="BodyText"/>
        <w:spacing w:before="37"/>
        <w:ind w:left="2488"/>
      </w:pPr>
      <w:r>
        <w:rPr/>
        <w:t>（7）合同内容变更；</w:t>
      </w:r>
    </w:p>
    <w:p>
      <w:pPr>
        <w:pStyle w:val="BodyText"/>
        <w:spacing w:before="37"/>
        <w:ind w:left="2488"/>
      </w:pPr>
      <w:r>
        <w:rPr/>
        <w:t>（8）联系方式变更；</w:t>
      </w:r>
    </w:p>
    <w:p>
      <w:pPr>
        <w:pStyle w:val="BodyText"/>
        <w:spacing w:before="37"/>
        <w:ind w:left="2487"/>
      </w:pPr>
      <w:r>
        <w:rPr/>
        <w:t>（9）争议处理。</w:t>
      </w:r>
    </w:p>
    <w:p>
      <w:pPr>
        <w:pStyle w:val="BodyText"/>
        <w:rPr>
          <w:sz w:val="20"/>
        </w:rPr>
      </w:pPr>
    </w:p>
    <w:p>
      <w:pPr>
        <w:pStyle w:val="BodyText"/>
        <w:spacing w:before="4"/>
        <w:rPr>
          <w:sz w:val="14"/>
        </w:rPr>
      </w:pPr>
    </w:p>
    <w:p>
      <w:pPr>
        <w:tabs>
          <w:tab w:pos="860" w:val="left" w:leader="none"/>
        </w:tabs>
        <w:spacing w:before="60"/>
        <w:ind w:left="220" w:right="0" w:firstLine="0"/>
        <w:jc w:val="left"/>
        <w:rPr>
          <w:b/>
          <w:sz w:val="24"/>
        </w:rPr>
      </w:pPr>
      <w:r>
        <w:rPr/>
        <w:pict>
          <v:group style="position:absolute;margin-left:45.599998pt;margin-top:31.159739pt;width:504.05pt;height:1pt;mso-position-horizontal-relative:page;mso-position-vertical-relative:paragraph;z-index:1240;mso-wrap-distance-left:0;mso-wrap-distance-right:0" coordorigin="912,623" coordsize="10081,20">
            <v:line style="position:absolute" from="912,633" to="1553,633" stroked="true" strokeweight=".96pt" strokecolor="#000000">
              <v:stroke dashstyle="solid"/>
            </v:line>
            <v:rect style="position:absolute;left:1552;top:623;width:20;height:20" filled="true" fillcolor="#000000" stroked="false">
              <v:fill type="solid"/>
            </v:rect>
            <v:line style="position:absolute" from="1572,633" to="3180,633" stroked="true" strokeweight=".96pt" strokecolor="#000000">
              <v:stroke dashstyle="solid"/>
            </v:line>
            <v:rect style="position:absolute;left:3180;top:623;width:20;height:20" filled="true" fillcolor="#000000" stroked="false">
              <v:fill type="solid"/>
            </v:rect>
            <v:line style="position:absolute" from="3199,633" to="10992,633" stroked="true" strokeweight=".96pt" strokecolor="#000000">
              <v:stroke dashstyle="solid"/>
            </v:line>
            <w10:wrap type="topAndBottom"/>
          </v:group>
        </w:pict>
      </w:r>
      <w:r>
        <w:rPr>
          <w:rFonts w:ascii="Arial" w:hAnsi="Arial" w:eastAsia="Arial"/>
          <w:b/>
          <w:w w:val="110"/>
          <w:position w:val="-3"/>
          <w:sz w:val="40"/>
        </w:rPr>
        <w:t></w:t>
        <w:tab/>
      </w:r>
      <w:r>
        <w:rPr>
          <w:b/>
          <w:sz w:val="24"/>
        </w:rPr>
        <w:t>释义</w:t>
      </w:r>
    </w:p>
    <w:p>
      <w:pPr>
        <w:pStyle w:val="BodyText"/>
        <w:spacing w:before="11"/>
        <w:rPr>
          <w:b/>
          <w:sz w:val="17"/>
        </w:rPr>
      </w:pPr>
    </w:p>
    <w:p>
      <w:pPr>
        <w:pStyle w:val="ListParagraph"/>
        <w:numPr>
          <w:ilvl w:val="1"/>
          <w:numId w:val="7"/>
        </w:numPr>
        <w:tabs>
          <w:tab w:pos="860" w:val="left" w:leader="none"/>
          <w:tab w:pos="861" w:val="left" w:leader="none"/>
          <w:tab w:pos="2487" w:val="left" w:leader="none"/>
        </w:tabs>
        <w:spacing w:line="273" w:lineRule="auto" w:before="36" w:after="0"/>
        <w:ind w:left="2488" w:right="220" w:hanging="2268"/>
        <w:jc w:val="left"/>
        <w:rPr>
          <w:sz w:val="21"/>
        </w:rPr>
      </w:pPr>
      <w:r>
        <w:rPr>
          <w:b/>
          <w:sz w:val="21"/>
        </w:rPr>
        <w:t>周岁</w:t>
        <w:tab/>
      </w:r>
      <w:r>
        <w:rPr>
          <w:sz w:val="21"/>
        </w:rPr>
        <w:t>指按有效身份证件中记</w:t>
      </w:r>
      <w:r>
        <w:rPr>
          <w:spacing w:val="-3"/>
          <w:sz w:val="21"/>
        </w:rPr>
        <w:t>载</w:t>
      </w:r>
      <w:r>
        <w:rPr>
          <w:sz w:val="21"/>
        </w:rPr>
        <w:t>的出生日期计算的年龄</w:t>
      </w:r>
      <w:r>
        <w:rPr>
          <w:spacing w:val="-3"/>
          <w:sz w:val="21"/>
        </w:rPr>
        <w:t>，</w:t>
      </w:r>
      <w:r>
        <w:rPr>
          <w:sz w:val="21"/>
        </w:rPr>
        <w:t>自出生之日起为零周岁</w:t>
      </w:r>
      <w:r>
        <w:rPr>
          <w:spacing w:val="-3"/>
          <w:sz w:val="21"/>
        </w:rPr>
        <w:t>，</w:t>
      </w:r>
      <w:r>
        <w:rPr>
          <w:sz w:val="21"/>
        </w:rPr>
        <w:t>每经过 一年</w:t>
      </w:r>
      <w:r>
        <w:rPr>
          <w:spacing w:val="-3"/>
          <w:sz w:val="21"/>
        </w:rPr>
        <w:t>增</w:t>
      </w:r>
      <w:r>
        <w:rPr>
          <w:sz w:val="21"/>
        </w:rPr>
        <w:t>加</w:t>
      </w:r>
      <w:r>
        <w:rPr>
          <w:spacing w:val="-3"/>
          <w:sz w:val="21"/>
        </w:rPr>
        <w:t>一</w:t>
      </w:r>
      <w:r>
        <w:rPr>
          <w:sz w:val="21"/>
        </w:rPr>
        <w:t>岁</w:t>
      </w:r>
      <w:r>
        <w:rPr>
          <w:spacing w:val="-3"/>
          <w:sz w:val="21"/>
        </w:rPr>
        <w:t>，</w:t>
      </w:r>
      <w:r>
        <w:rPr>
          <w:sz w:val="21"/>
        </w:rPr>
        <w:t>不</w:t>
      </w:r>
      <w:r>
        <w:rPr>
          <w:spacing w:val="-3"/>
          <w:sz w:val="21"/>
        </w:rPr>
        <w:t>足</w:t>
      </w:r>
      <w:r>
        <w:rPr>
          <w:sz w:val="21"/>
        </w:rPr>
        <w:t>一</w:t>
      </w:r>
      <w:r>
        <w:rPr>
          <w:spacing w:val="-3"/>
          <w:sz w:val="21"/>
        </w:rPr>
        <w:t>年</w:t>
      </w:r>
      <w:r>
        <w:rPr>
          <w:sz w:val="21"/>
        </w:rPr>
        <w:t>的不</w:t>
      </w:r>
      <w:r>
        <w:rPr>
          <w:spacing w:val="-3"/>
          <w:sz w:val="21"/>
        </w:rPr>
        <w:t>计</w:t>
      </w:r>
      <w:r>
        <w:rPr>
          <w:sz w:val="21"/>
        </w:rPr>
        <w:t>。</w:t>
      </w:r>
    </w:p>
    <w:p>
      <w:pPr>
        <w:pStyle w:val="BodyText"/>
        <w:rPr>
          <w:sz w:val="20"/>
        </w:rPr>
      </w:pPr>
    </w:p>
    <w:p>
      <w:pPr>
        <w:pStyle w:val="ListParagraph"/>
        <w:numPr>
          <w:ilvl w:val="1"/>
          <w:numId w:val="7"/>
        </w:numPr>
        <w:tabs>
          <w:tab w:pos="860" w:val="left" w:leader="none"/>
          <w:tab w:pos="861" w:val="left" w:leader="none"/>
          <w:tab w:pos="2487" w:val="left" w:leader="none"/>
        </w:tabs>
        <w:spacing w:line="254" w:lineRule="auto" w:before="144" w:after="0"/>
        <w:ind w:left="2488" w:right="220" w:hanging="2268"/>
        <w:jc w:val="left"/>
        <w:rPr>
          <w:sz w:val="21"/>
        </w:rPr>
      </w:pPr>
      <w:r>
        <w:rPr>
          <w:b/>
          <w:position w:val="-1"/>
          <w:sz w:val="21"/>
        </w:rPr>
        <w:t>有效身份证件</w:t>
        <w:tab/>
      </w:r>
      <w:r>
        <w:rPr>
          <w:sz w:val="21"/>
        </w:rPr>
        <w:t>指由政府主管部门规定</w:t>
      </w:r>
      <w:r>
        <w:rPr>
          <w:spacing w:val="-3"/>
          <w:sz w:val="21"/>
        </w:rPr>
        <w:t>的</w:t>
      </w:r>
      <w:r>
        <w:rPr>
          <w:sz w:val="21"/>
        </w:rPr>
        <w:t>证明个人身份的证件，</w:t>
      </w:r>
      <w:r>
        <w:rPr>
          <w:spacing w:val="-3"/>
          <w:sz w:val="21"/>
        </w:rPr>
        <w:t>如</w:t>
      </w:r>
      <w:r>
        <w:rPr>
          <w:sz w:val="21"/>
        </w:rPr>
        <w:t>：居民身份证、按规定</w:t>
      </w:r>
      <w:r>
        <w:rPr>
          <w:spacing w:val="-3"/>
          <w:sz w:val="21"/>
        </w:rPr>
        <w:t>可</w:t>
      </w:r>
      <w:r>
        <w:rPr>
          <w:sz w:val="21"/>
        </w:rPr>
        <w:t>使用的 有效</w:t>
      </w:r>
      <w:r>
        <w:rPr>
          <w:spacing w:val="-3"/>
          <w:sz w:val="21"/>
        </w:rPr>
        <w:t>护</w:t>
      </w:r>
      <w:r>
        <w:rPr>
          <w:sz w:val="21"/>
        </w:rPr>
        <w:t>照</w:t>
      </w:r>
      <w:r>
        <w:rPr>
          <w:spacing w:val="-3"/>
          <w:sz w:val="21"/>
        </w:rPr>
        <w:t>、</w:t>
      </w:r>
      <w:r>
        <w:rPr>
          <w:sz w:val="21"/>
        </w:rPr>
        <w:t>军</w:t>
      </w:r>
      <w:r>
        <w:rPr>
          <w:spacing w:val="-3"/>
          <w:sz w:val="21"/>
        </w:rPr>
        <w:t>官</w:t>
      </w:r>
      <w:r>
        <w:rPr>
          <w:sz w:val="21"/>
        </w:rPr>
        <w:t>证</w:t>
      </w:r>
      <w:r>
        <w:rPr>
          <w:spacing w:val="-3"/>
          <w:sz w:val="21"/>
        </w:rPr>
        <w:t>、</w:t>
      </w:r>
      <w:r>
        <w:rPr>
          <w:sz w:val="21"/>
        </w:rPr>
        <w:t>警</w:t>
      </w:r>
      <w:r>
        <w:rPr>
          <w:spacing w:val="-3"/>
          <w:sz w:val="21"/>
        </w:rPr>
        <w:t>官</w:t>
      </w:r>
      <w:r>
        <w:rPr>
          <w:sz w:val="21"/>
        </w:rPr>
        <w:t>证、</w:t>
      </w:r>
      <w:r>
        <w:rPr>
          <w:spacing w:val="-3"/>
          <w:sz w:val="21"/>
        </w:rPr>
        <w:t>士</w:t>
      </w:r>
      <w:r>
        <w:rPr>
          <w:sz w:val="21"/>
        </w:rPr>
        <w:t>兵</w:t>
      </w:r>
      <w:r>
        <w:rPr>
          <w:spacing w:val="-3"/>
          <w:sz w:val="21"/>
        </w:rPr>
        <w:t>证</w:t>
      </w:r>
      <w:r>
        <w:rPr>
          <w:sz w:val="21"/>
        </w:rPr>
        <w:t>等</w:t>
      </w:r>
      <w:r>
        <w:rPr>
          <w:spacing w:val="-3"/>
          <w:sz w:val="21"/>
        </w:rPr>
        <w:t>证</w:t>
      </w:r>
      <w:r>
        <w:rPr>
          <w:sz w:val="21"/>
        </w:rPr>
        <w:t>件。</w:t>
      </w:r>
    </w:p>
    <w:p>
      <w:pPr>
        <w:pStyle w:val="BodyText"/>
        <w:rPr>
          <w:sz w:val="20"/>
        </w:rPr>
      </w:pPr>
    </w:p>
    <w:p>
      <w:pPr>
        <w:pStyle w:val="ListParagraph"/>
        <w:numPr>
          <w:ilvl w:val="1"/>
          <w:numId w:val="7"/>
        </w:numPr>
        <w:tabs>
          <w:tab w:pos="860" w:val="left" w:leader="none"/>
          <w:tab w:pos="861" w:val="left" w:leader="none"/>
          <w:tab w:pos="2487" w:val="left" w:leader="none"/>
        </w:tabs>
        <w:spacing w:line="273" w:lineRule="auto" w:before="159" w:after="0"/>
        <w:ind w:left="2488" w:right="220" w:hanging="2268"/>
        <w:jc w:val="left"/>
        <w:rPr>
          <w:sz w:val="21"/>
        </w:rPr>
      </w:pPr>
      <w:r>
        <w:rPr>
          <w:b/>
          <w:sz w:val="21"/>
        </w:rPr>
        <w:t>重大疾病</w:t>
        <w:tab/>
      </w:r>
      <w:r>
        <w:rPr>
          <w:sz w:val="21"/>
        </w:rPr>
        <w:t>重大疾病是指被保险人</w:t>
      </w:r>
      <w:r>
        <w:rPr>
          <w:spacing w:val="-3"/>
          <w:sz w:val="21"/>
        </w:rPr>
        <w:t>初</w:t>
      </w:r>
      <w:r>
        <w:rPr>
          <w:sz w:val="21"/>
        </w:rPr>
        <w:t>次发生符合下列定义的</w:t>
      </w:r>
      <w:r>
        <w:rPr>
          <w:spacing w:val="-3"/>
          <w:sz w:val="21"/>
        </w:rPr>
        <w:t>疾</w:t>
      </w:r>
      <w:r>
        <w:rPr>
          <w:sz w:val="21"/>
        </w:rPr>
        <w:t>病，或初次接受符合下</w:t>
      </w:r>
      <w:r>
        <w:rPr>
          <w:spacing w:val="-3"/>
          <w:sz w:val="21"/>
        </w:rPr>
        <w:t>列</w:t>
      </w:r>
      <w:r>
        <w:rPr>
          <w:sz w:val="21"/>
        </w:rPr>
        <w:t>定义的 手术</w:t>
      </w:r>
      <w:r>
        <w:rPr>
          <w:spacing w:val="-3"/>
          <w:sz w:val="21"/>
        </w:rPr>
        <w:t>。</w:t>
      </w:r>
      <w:r>
        <w:rPr>
          <w:sz w:val="21"/>
        </w:rPr>
        <w:t>该</w:t>
      </w:r>
      <w:r>
        <w:rPr>
          <w:spacing w:val="-3"/>
          <w:sz w:val="21"/>
        </w:rPr>
        <w:t>疾</w:t>
      </w:r>
      <w:r>
        <w:rPr>
          <w:sz w:val="21"/>
        </w:rPr>
        <w:t>病</w:t>
      </w:r>
      <w:r>
        <w:rPr>
          <w:spacing w:val="-3"/>
          <w:sz w:val="21"/>
        </w:rPr>
        <w:t>或</w:t>
      </w:r>
      <w:r>
        <w:rPr>
          <w:sz w:val="21"/>
        </w:rPr>
        <w:t>手</w:t>
      </w:r>
      <w:r>
        <w:rPr>
          <w:spacing w:val="-3"/>
          <w:sz w:val="21"/>
        </w:rPr>
        <w:t>术</w:t>
      </w:r>
      <w:r>
        <w:rPr>
          <w:sz w:val="21"/>
        </w:rPr>
        <w:t>应</w:t>
      </w:r>
      <w:r>
        <w:rPr>
          <w:spacing w:val="-3"/>
          <w:sz w:val="21"/>
        </w:rPr>
        <w:t>当由</w:t>
      </w:r>
      <w:r>
        <w:rPr>
          <w:rFonts w:ascii="黑体" w:eastAsia="黑体" w:hint="eastAsia"/>
          <w:b/>
          <w:sz w:val="21"/>
        </w:rPr>
        <w:t>专科医Th</w:t>
      </w:r>
      <w:r>
        <w:rPr>
          <w:sz w:val="21"/>
        </w:rPr>
        <w:t>（见</w:t>
      </w:r>
      <w:r>
        <w:rPr>
          <w:spacing w:val="-33"/>
          <w:sz w:val="21"/>
        </w:rPr>
        <w:t> </w:t>
      </w:r>
      <w:r>
        <w:rPr>
          <w:sz w:val="21"/>
        </w:rPr>
        <w:t>9.5）</w:t>
      </w:r>
      <w:r>
        <w:rPr>
          <w:spacing w:val="-3"/>
          <w:sz w:val="21"/>
        </w:rPr>
        <w:t>明</w:t>
      </w:r>
      <w:r>
        <w:rPr>
          <w:sz w:val="21"/>
        </w:rPr>
        <w:t>确诊</w:t>
      </w:r>
      <w:r>
        <w:rPr>
          <w:spacing w:val="-3"/>
          <w:sz w:val="21"/>
        </w:rPr>
        <w:t>断。</w:t>
      </w:r>
    </w:p>
    <w:p>
      <w:pPr>
        <w:pStyle w:val="BodyText"/>
        <w:rPr>
          <w:sz w:val="20"/>
        </w:rPr>
      </w:pPr>
    </w:p>
    <w:p>
      <w:pPr>
        <w:pStyle w:val="BodyText"/>
        <w:spacing w:before="142"/>
        <w:ind w:left="2488"/>
      </w:pPr>
      <w:r>
        <w:rPr/>
        <w:t>以下重大疾病是中国保险行业协会与中国医师协会制定了规范定义的疾病。</w:t>
      </w:r>
    </w:p>
    <w:p>
      <w:pPr>
        <w:pStyle w:val="BodyText"/>
        <w:spacing w:before="7"/>
        <w:rPr>
          <w:sz w:val="28"/>
        </w:rPr>
      </w:pPr>
    </w:p>
    <w:p>
      <w:pPr>
        <w:pStyle w:val="BodyText"/>
        <w:tabs>
          <w:tab w:pos="2487" w:val="left" w:leader="none"/>
        </w:tabs>
        <w:spacing w:line="312" w:lineRule="exact"/>
        <w:ind w:left="2488" w:right="113" w:hanging="1628"/>
      </w:pPr>
      <w:r>
        <w:rPr>
          <w:rFonts w:ascii="等线" w:eastAsia="等线"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36"/>
        </w:rPr>
        <w:t>，</w:t>
      </w:r>
      <w:r>
        <w:rPr/>
        <w:t>浸</w:t>
      </w:r>
      <w:r>
        <w:rPr>
          <w:spacing w:val="-3"/>
        </w:rPr>
        <w:t>润和</w:t>
      </w:r>
      <w:r>
        <w:rPr/>
        <w:t>破坏</w:t>
      </w:r>
      <w:r>
        <w:rPr>
          <w:spacing w:val="-3"/>
        </w:rPr>
        <w:t>周</w:t>
      </w:r>
      <w:r>
        <w:rPr/>
        <w:t>围</w:t>
      </w:r>
      <w:r>
        <w:rPr>
          <w:spacing w:val="-3"/>
        </w:rPr>
        <w:t>正</w:t>
      </w:r>
      <w:r>
        <w:rPr/>
        <w:t>常</w:t>
      </w:r>
      <w:r>
        <w:rPr>
          <w:spacing w:val="-3"/>
        </w:rPr>
        <w:t>组织</w:t>
      </w:r>
      <w:r>
        <w:rPr>
          <w:spacing w:val="-34"/>
        </w:rPr>
        <w:t>，</w:t>
      </w:r>
      <w:r>
        <w:rPr>
          <w:spacing w:val="-3"/>
        </w:rPr>
        <w:t>可以</w:t>
      </w:r>
      <w:r>
        <w:rPr/>
        <w:t>经血</w:t>
      </w:r>
      <w:r>
        <w:rPr>
          <w:spacing w:val="-3"/>
        </w:rPr>
        <w:t>管、 </w:t>
      </w:r>
      <w:r>
        <w:rPr/>
        <w:t>淋巴管和体腔扩散转移</w:t>
      </w:r>
      <w:r>
        <w:rPr>
          <w:spacing w:val="-3"/>
        </w:rPr>
        <w:t>到</w:t>
      </w:r>
      <w:r>
        <w:rPr/>
        <w:t>身体其它部位的疾病。</w:t>
      </w:r>
      <w:r>
        <w:rPr>
          <w:spacing w:val="-3"/>
        </w:rPr>
        <w:t>经</w:t>
      </w:r>
      <w:r>
        <w:rPr/>
        <w:t>病理学检查结果明确诊</w:t>
      </w:r>
      <w:r>
        <w:rPr>
          <w:spacing w:val="-3"/>
        </w:rPr>
        <w:t>断</w:t>
      </w:r>
      <w:r>
        <w:rPr/>
        <w:t>，临床诊断</w:t>
      </w:r>
      <w:r>
        <w:rPr>
          <w:spacing w:val="-3"/>
        </w:rPr>
        <w:t>属</w:t>
      </w:r>
      <w:r>
        <w:rPr/>
        <w:t>于</w:t>
      </w:r>
      <w:r>
        <w:rPr>
          <w:spacing w:val="-3"/>
        </w:rPr>
        <w:t>世</w:t>
      </w:r>
      <w:r>
        <w:rPr/>
        <w:t>界</w:t>
      </w:r>
      <w:r>
        <w:rPr>
          <w:spacing w:val="-3"/>
        </w:rPr>
        <w:t>卫</w:t>
      </w:r>
      <w:r>
        <w:rPr/>
        <w:t>生</w:t>
      </w:r>
      <w:r>
        <w:rPr>
          <w:spacing w:val="-3"/>
        </w:rPr>
        <w:t>组</w:t>
      </w:r>
      <w:r>
        <w:rPr>
          <w:spacing w:val="-24"/>
        </w:rPr>
        <w:t>织</w:t>
      </w:r>
      <w:r>
        <w:rPr>
          <w:spacing w:val="-3"/>
        </w:rPr>
        <w:t>《</w:t>
      </w:r>
      <w:r>
        <w:rPr/>
        <w:t>疾病</w:t>
      </w:r>
      <w:r>
        <w:rPr>
          <w:spacing w:val="-3"/>
        </w:rPr>
        <w:t>和</w:t>
      </w:r>
      <w:r>
        <w:rPr/>
        <w:t>有</w:t>
      </w:r>
      <w:r>
        <w:rPr>
          <w:spacing w:val="-3"/>
        </w:rPr>
        <w:t>关</w:t>
      </w:r>
      <w:r>
        <w:rPr/>
        <w:t>健</w:t>
      </w:r>
      <w:r>
        <w:rPr>
          <w:spacing w:val="-3"/>
        </w:rPr>
        <w:t>康</w:t>
      </w:r>
      <w:r>
        <w:rPr/>
        <w:t>问</w:t>
      </w:r>
      <w:r>
        <w:rPr>
          <w:spacing w:val="-3"/>
        </w:rPr>
        <w:t>题</w:t>
      </w:r>
      <w:r>
        <w:rPr/>
        <w:t>的</w:t>
      </w:r>
      <w:r>
        <w:rPr>
          <w:spacing w:val="-3"/>
        </w:rPr>
        <w:t>国</w:t>
      </w:r>
      <w:r>
        <w:rPr/>
        <w:t>际统</w:t>
      </w:r>
      <w:r>
        <w:rPr>
          <w:spacing w:val="-3"/>
        </w:rPr>
        <w:t>计</w:t>
      </w:r>
      <w:r>
        <w:rPr/>
        <w:t>分</w:t>
      </w:r>
      <w:r>
        <w:rPr>
          <w:spacing w:val="-3"/>
        </w:rPr>
        <w:t>类</w:t>
      </w:r>
      <w:r>
        <w:rPr>
          <w:spacing w:val="-130"/>
        </w:rPr>
        <w:t>》</w:t>
      </w:r>
      <w:r>
        <w:rPr>
          <w:spacing w:val="-4"/>
        </w:rPr>
        <w:t>（ICD-10）</w:t>
      </w:r>
      <w:r>
        <w:rPr>
          <w:spacing w:val="-3"/>
        </w:rPr>
        <w:t>的</w:t>
      </w:r>
      <w:r>
        <w:rPr/>
        <w:t>恶性肿瘤范</w:t>
      </w:r>
      <w:r>
        <w:rPr>
          <w:spacing w:val="-3"/>
        </w:rPr>
        <w:t>畴</w:t>
      </w:r>
      <w:r>
        <w:rPr/>
        <w:t>。</w:t>
      </w:r>
      <w:r>
        <w:rPr>
          <w:spacing w:val="-3"/>
          <w:shd w:fill="DADADA" w:color="auto" w:val="clear"/>
        </w:rPr>
        <w:t>下</w:t>
      </w:r>
      <w:r>
        <w:rPr>
          <w:shd w:fill="DADADA" w:color="auto" w:val="clear"/>
        </w:rPr>
        <w:t>列</w:t>
      </w:r>
      <w:r>
        <w:rPr>
          <w:spacing w:val="-3"/>
          <w:shd w:fill="DADADA" w:color="auto" w:val="clear"/>
        </w:rPr>
        <w:t>疾</w:t>
      </w:r>
      <w:r>
        <w:rPr>
          <w:shd w:fill="DADADA" w:color="auto" w:val="clear"/>
        </w:rPr>
        <w:t>病</w:t>
      </w:r>
      <w:r>
        <w:rPr>
          <w:spacing w:val="-3"/>
          <w:shd w:fill="DADADA" w:color="auto" w:val="clear"/>
        </w:rPr>
        <w:t>不</w:t>
      </w:r>
      <w:r>
        <w:rPr>
          <w:shd w:fill="DADADA" w:color="auto" w:val="clear"/>
        </w:rPr>
        <w:t>在</w:t>
      </w:r>
      <w:r>
        <w:rPr>
          <w:spacing w:val="-3"/>
          <w:shd w:fill="DADADA" w:color="auto" w:val="clear"/>
        </w:rPr>
        <w:t>保</w:t>
      </w:r>
      <w:r>
        <w:rPr>
          <w:shd w:fill="DADADA" w:color="auto" w:val="clear"/>
        </w:rPr>
        <w:t>障范</w:t>
      </w:r>
      <w:r>
        <w:rPr>
          <w:spacing w:val="-3"/>
          <w:shd w:fill="DADADA" w:color="auto" w:val="clear"/>
        </w:rPr>
        <w:t>围</w:t>
      </w:r>
      <w:r>
        <w:rPr>
          <w:shd w:fill="DADADA" w:color="auto" w:val="clear"/>
        </w:rPr>
        <w:t>内：</w:t>
      </w:r>
    </w:p>
    <w:p>
      <w:pPr>
        <w:pStyle w:val="BodyText"/>
        <w:spacing w:before="4"/>
        <w:ind w:left="2488"/>
      </w:pPr>
      <w:r>
        <w:rPr>
          <w:shd w:fill="DADADA" w:color="auto" w:val="clear"/>
        </w:rPr>
        <w:t>（1）原位癌；</w:t>
      </w:r>
    </w:p>
    <w:p>
      <w:pPr>
        <w:pStyle w:val="BodyText"/>
        <w:spacing w:before="37"/>
        <w:ind w:left="2488"/>
      </w:pPr>
      <w:r>
        <w:rPr>
          <w:shd w:fill="DADADA" w:color="auto" w:val="clear"/>
        </w:rPr>
        <w:t>（2）相当于 Binet 分期方案 A 期程度的慢性淋巴细胞白血病；</w:t>
      </w:r>
    </w:p>
    <w:p>
      <w:pPr>
        <w:pStyle w:val="BodyText"/>
        <w:spacing w:before="37"/>
        <w:ind w:left="2488"/>
      </w:pPr>
      <w:r>
        <w:rPr>
          <w:shd w:fill="DADADA" w:color="auto" w:val="clear"/>
        </w:rPr>
        <w:t>（3）相当于 Ann Arbor 分期方案 I 期程度的何杰金氏病；</w:t>
      </w:r>
    </w:p>
    <w:p>
      <w:pPr>
        <w:pStyle w:val="BodyText"/>
        <w:spacing w:before="37"/>
        <w:ind w:left="2488"/>
      </w:pPr>
      <w:r>
        <w:rPr>
          <w:spacing w:val="-1"/>
          <w:shd w:fill="DADADA" w:color="auto" w:val="clear"/>
        </w:rPr>
        <w:t>（4）</w:t>
      </w:r>
      <w:r>
        <w:rPr>
          <w:spacing w:val="-2"/>
          <w:shd w:fill="DADADA" w:color="auto" w:val="clear"/>
        </w:rPr>
        <w:t>皮肤癌</w:t>
      </w:r>
      <w:r>
        <w:rPr>
          <w:spacing w:val="-3"/>
          <w:shd w:fill="DADADA" w:color="auto" w:val="clear"/>
        </w:rPr>
        <w:t>（不包括恶性黑色素瘤及已发生转移的皮肤癌</w:t>
      </w:r>
      <w:r>
        <w:rPr>
          <w:spacing w:val="-106"/>
          <w:shd w:fill="DADADA" w:color="auto" w:val="clear"/>
        </w:rPr>
        <w:t>）；</w:t>
      </w:r>
    </w:p>
    <w:p>
      <w:pPr>
        <w:pStyle w:val="BodyText"/>
        <w:spacing w:before="36"/>
        <w:ind w:left="2488"/>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2488"/>
      </w:pPr>
      <w:r>
        <w:rPr>
          <w:shd w:fill="DADADA" w:color="auto" w:val="clear"/>
        </w:rPr>
        <w:t>（6）感染艾滋病病毒或患艾滋病期间所患恶性肿瘤。</w:t>
      </w:r>
    </w:p>
    <w:p>
      <w:pPr>
        <w:pStyle w:val="BodyText"/>
        <w:spacing w:before="1"/>
        <w:rPr>
          <w:sz w:val="26"/>
        </w:rPr>
      </w:pPr>
    </w:p>
    <w:p>
      <w:pPr>
        <w:spacing w:after="0"/>
        <w:rPr>
          <w:sz w:val="26"/>
        </w:rPr>
        <w:sectPr>
          <w:pgSz w:w="11910" w:h="16840"/>
          <w:pgMar w:top="1080" w:bottom="280" w:left="800" w:right="800"/>
        </w:sectPr>
      </w:pPr>
    </w:p>
    <w:p>
      <w:pPr>
        <w:pStyle w:val="Heading2"/>
        <w:spacing w:line="235" w:lineRule="auto"/>
        <w:ind w:left="860"/>
      </w:pPr>
      <w:r>
        <w:rPr>
          <w:spacing w:val="50"/>
          <w:w w:val="105"/>
        </w:rPr>
        <w:t>急性心</w:t>
      </w:r>
      <w:r>
        <w:rPr>
          <w:spacing w:val="25"/>
          <w:w w:val="125"/>
        </w:rPr>
        <w:t>ft</w:t>
      </w:r>
      <w:r>
        <w:rPr>
          <w:w w:val="105"/>
        </w:rPr>
        <w:t>梗塞</w:t>
      </w:r>
    </w:p>
    <w:p>
      <w:pPr>
        <w:pStyle w:val="BodyText"/>
        <w:spacing w:line="273" w:lineRule="auto" w:before="37"/>
        <w:ind w:left="123" w:right="220"/>
      </w:pPr>
      <w:r>
        <w:rPr/>
        <w:br w:type="column"/>
      </w:r>
      <w:r>
        <w:rPr/>
        <w:t>指因冠状动脉阻塞导致的相应区域供血不足造成部分心肌坏死。须满足下列至少三项条件：</w:t>
      </w:r>
    </w:p>
    <w:p>
      <w:pPr>
        <w:pStyle w:val="BodyText"/>
        <w:spacing w:before="8"/>
        <w:ind w:left="123"/>
      </w:pPr>
      <w:r>
        <w:rPr/>
        <w:t>（1）典型临床表现，例如急性胸痛等；</w:t>
      </w:r>
    </w:p>
    <w:p>
      <w:pPr>
        <w:pStyle w:val="BodyText"/>
        <w:spacing w:before="37"/>
        <w:ind w:left="123"/>
      </w:pPr>
      <w:r>
        <w:rPr/>
        <w:t>（2）新近的心电图改变提示急性心肌梗塞；</w:t>
      </w:r>
    </w:p>
    <w:p>
      <w:pPr>
        <w:pStyle w:val="BodyText"/>
        <w:spacing w:before="37"/>
        <w:ind w:left="123"/>
      </w:pPr>
      <w:r>
        <w:rPr/>
        <w:t>（3）心肌酶或肌钙蛋白有诊断意义的升高，或呈符合急性心肌梗塞的动态性变化；</w:t>
      </w:r>
    </w:p>
    <w:p>
      <w:pPr>
        <w:pStyle w:val="BodyText"/>
        <w:spacing w:before="37"/>
        <w:ind w:left="123"/>
      </w:pPr>
      <w:r>
        <w:rPr/>
        <w:t>（4）发病 90 日后，经检查证实左心室功能降低，如左心室射血分数低于 50%。</w:t>
      </w:r>
    </w:p>
    <w:p>
      <w:pPr>
        <w:spacing w:after="0"/>
        <w:sectPr>
          <w:type w:val="continuous"/>
          <w:pgSz w:w="11910" w:h="16840"/>
          <w:pgMar w:top="560" w:bottom="280" w:left="800" w:right="800"/>
          <w:cols w:num="2" w:equalWidth="0">
            <w:col w:w="2325" w:space="40"/>
            <w:col w:w="7945"/>
          </w:cols>
        </w:sectPr>
      </w:pPr>
    </w:p>
    <w:p>
      <w:pPr>
        <w:pStyle w:val="BodyText"/>
        <w:spacing w:before="11"/>
        <w:rPr>
          <w:sz w:val="25"/>
        </w:rPr>
      </w:pPr>
    </w:p>
    <w:p>
      <w:pPr>
        <w:spacing w:after="0"/>
        <w:rPr>
          <w:sz w:val="25"/>
        </w:rPr>
        <w:sectPr>
          <w:type w:val="continuous"/>
          <w:pgSz w:w="11910" w:h="16840"/>
          <w:pgMar w:top="560" w:bottom="280" w:left="800" w:right="800"/>
        </w:sectPr>
      </w:pPr>
    </w:p>
    <w:p>
      <w:pPr>
        <w:pStyle w:val="Heading2"/>
        <w:spacing w:line="235" w:lineRule="auto"/>
        <w:ind w:left="860"/>
      </w:pPr>
      <w:r>
        <w:rPr/>
        <w:t>脑中风后遗症</w:t>
      </w:r>
    </w:p>
    <w:p>
      <w:pPr>
        <w:pStyle w:val="BodyText"/>
        <w:spacing w:line="273" w:lineRule="auto" w:before="37"/>
        <w:ind w:left="123" w:right="215"/>
        <w:jc w:val="both"/>
      </w:pPr>
      <w:r>
        <w:rPr/>
        <w:br w:type="column"/>
      </w:r>
      <w:r>
        <w:rPr>
          <w:spacing w:val="-3"/>
        </w:rPr>
        <w:t>指因脑血管的突发病变引起脑血管出血、栓塞或梗塞，并导致神经系统永久性的功</w:t>
      </w:r>
      <w:r>
        <w:rPr>
          <w:spacing w:val="-4"/>
        </w:rPr>
        <w:t>能障碍。神经系统永久性的功能障碍，指疾病确诊 </w:t>
      </w:r>
      <w:r>
        <w:rPr/>
        <w:t>180</w:t>
      </w:r>
      <w:r>
        <w:rPr>
          <w:spacing w:val="-5"/>
        </w:rPr>
        <w:t> 日后，仍遗留下列一种或一</w:t>
      </w:r>
      <w:r>
        <w:rPr>
          <w:spacing w:val="-4"/>
        </w:rPr>
        <w:t>种以上障碍：</w:t>
      </w:r>
    </w:p>
    <w:p>
      <w:pPr>
        <w:spacing w:before="8"/>
        <w:ind w:left="123" w:right="0" w:firstLine="0"/>
        <w:jc w:val="left"/>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spacing w:before="37"/>
        <w:ind w:left="123"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.7</w:t>
      </w:r>
      <w:r>
        <w:rPr>
          <w:spacing w:val="-106"/>
          <w:w w:val="100"/>
          <w:sz w:val="21"/>
        </w:rPr>
        <w:t>）；</w:t>
      </w:r>
    </w:p>
    <w:p>
      <w:pPr>
        <w:spacing w:line="273" w:lineRule="auto" w:before="36"/>
        <w:ind w:left="648" w:right="141" w:hanging="526"/>
        <w:jc w:val="left"/>
        <w:rPr>
          <w:sz w:val="21"/>
        </w:rPr>
      </w:pPr>
      <w:r>
        <w:rPr>
          <w:sz w:val="21"/>
        </w:rPr>
        <w:t>（3）自主生活能力完全丧失，无法独立完成</w:t>
      </w:r>
      <w:r>
        <w:rPr>
          <w:rFonts w:ascii="黑体" w:eastAsia="黑体" w:hint="eastAsia"/>
          <w:b/>
          <w:sz w:val="21"/>
        </w:rPr>
        <w:t>六项基本日常Th活活动</w:t>
      </w:r>
      <w:r>
        <w:rPr>
          <w:sz w:val="21"/>
        </w:rPr>
        <w:t>（见 9.8）中的三项或三项以上。</w:t>
      </w:r>
    </w:p>
    <w:p>
      <w:pPr>
        <w:spacing w:after="0" w:line="273" w:lineRule="auto"/>
        <w:jc w:val="left"/>
        <w:rPr>
          <w:sz w:val="21"/>
        </w:rPr>
        <w:sectPr>
          <w:type w:val="continuous"/>
          <w:pgSz w:w="11910" w:h="16840"/>
          <w:pgMar w:top="560" w:bottom="280" w:left="800" w:right="800"/>
          <w:cols w:num="2" w:equalWidth="0">
            <w:col w:w="2325" w:space="40"/>
            <w:col w:w="7945"/>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7988"/>
      </w:tblGrid>
      <w:tr>
        <w:trPr>
          <w:trHeight w:val="1407" w:hRule="atLeast"/>
        </w:trPr>
        <w:tc>
          <w:tcPr>
            <w:tcW w:w="1746" w:type="dxa"/>
          </w:tcPr>
          <w:p>
            <w:pPr>
              <w:pStyle w:val="TableParagraph"/>
              <w:spacing w:line="258" w:lineRule="exact"/>
              <w:ind w:left="200"/>
              <w:rPr>
                <w:rFonts w:ascii="等线" w:eastAsia="等线" w:hint="eastAsia"/>
                <w:b/>
                <w:sz w:val="24"/>
              </w:rPr>
            </w:pPr>
            <w:r>
              <w:rPr>
                <w:rFonts w:ascii="等线" w:eastAsia="等线" w:hint="eastAsia"/>
                <w:b/>
                <w:sz w:val="24"/>
              </w:rPr>
              <w:t>重大器官移 </w:t>
            </w:r>
          </w:p>
          <w:p>
            <w:pPr>
              <w:pStyle w:val="TableParagraph"/>
              <w:spacing w:line="235" w:lineRule="auto" w:before="3"/>
              <w:ind w:left="200" w:right="81"/>
              <w:jc w:val="both"/>
              <w:rPr>
                <w:rFonts w:ascii="等线" w:eastAsia="等线" w:hint="eastAsia"/>
                <w:b/>
                <w:sz w:val="24"/>
              </w:rPr>
            </w:pPr>
            <w:r>
              <w:rPr>
                <w:rFonts w:ascii="等线" w:eastAsia="等线" w:hint="eastAsia"/>
                <w:b/>
                <w:sz w:val="24"/>
              </w:rPr>
              <w:t>植术或造血干细胞移植术</w:t>
            </w:r>
          </w:p>
        </w:tc>
        <w:tc>
          <w:tcPr>
            <w:tcW w:w="7988" w:type="dxa"/>
          </w:tcPr>
          <w:p>
            <w:pPr>
              <w:pStyle w:val="TableParagraph"/>
              <w:spacing w:line="211" w:lineRule="exact"/>
              <w:ind w:left="81"/>
              <w:rPr>
                <w:sz w:val="21"/>
              </w:rPr>
            </w:pPr>
            <w:r>
              <w:rPr>
                <w:sz w:val="21"/>
              </w:rPr>
              <w:t>重大器官移植术，指因相应器官功能衰竭，已经实施了肾脏、肝脏、心脏或肺脏的</w:t>
            </w:r>
          </w:p>
          <w:p>
            <w:pPr>
              <w:pStyle w:val="TableParagraph"/>
              <w:spacing w:before="37"/>
              <w:ind w:left="81"/>
              <w:rPr>
                <w:sz w:val="21"/>
              </w:rPr>
            </w:pPr>
            <w:r>
              <w:rPr>
                <w:sz w:val="21"/>
              </w:rPr>
              <w:t>异体移植手术。</w:t>
            </w:r>
          </w:p>
          <w:p>
            <w:pPr>
              <w:pStyle w:val="TableParagraph"/>
              <w:spacing w:line="273" w:lineRule="auto" w:before="37"/>
              <w:ind w:left="81" w:right="128"/>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92" w:hRule="atLeast"/>
        </w:trPr>
        <w:tc>
          <w:tcPr>
            <w:tcW w:w="1746" w:type="dxa"/>
          </w:tcPr>
          <w:p>
            <w:pPr>
              <w:pStyle w:val="TableParagraph"/>
              <w:spacing w:line="235" w:lineRule="auto" w:before="126"/>
              <w:ind w:left="200" w:right="81"/>
              <w:jc w:val="both"/>
              <w:rPr>
                <w:rFonts w:ascii="等线" w:eastAsia="等线" w:hint="eastAsia"/>
                <w:b/>
                <w:sz w:val="24"/>
              </w:rPr>
            </w:pPr>
            <w:r>
              <w:rPr>
                <w:rFonts w:ascii="等线" w:eastAsia="等线" w:hint="eastAsia"/>
                <w:b/>
                <w:sz w:val="24"/>
              </w:rPr>
              <w:t>冠状动脉搭桥术（或称冠状动脉旁路移植术）</w:t>
            </w:r>
          </w:p>
        </w:tc>
        <w:tc>
          <w:tcPr>
            <w:tcW w:w="7988" w:type="dxa"/>
          </w:tcPr>
          <w:p>
            <w:pPr>
              <w:pStyle w:val="TableParagraph"/>
              <w:spacing w:before="122"/>
              <w:ind w:left="81"/>
              <w:rPr>
                <w:sz w:val="21"/>
              </w:rPr>
            </w:pPr>
            <w:r>
              <w:rPr>
                <w:sz w:val="21"/>
              </w:rPr>
              <w:t>指为治疗严重的冠心病，实际实施了开胸进行的冠状动脉血管旁路移植的手术。</w:t>
            </w:r>
          </w:p>
          <w:p>
            <w:pPr>
              <w:pStyle w:val="TableParagraph"/>
              <w:spacing w:line="273" w:lineRule="auto" w:before="37"/>
              <w:ind w:left="81" w:right="200"/>
              <w:rPr>
                <w:sz w:val="21"/>
              </w:rPr>
            </w:pPr>
            <w:r>
              <w:rPr>
                <w:spacing w:val="-9"/>
                <w:sz w:val="21"/>
                <w:shd w:fill="DADADA" w:color="auto" w:val="clear"/>
              </w:rPr>
              <w:t>冠状动脉支架植入术、心导管球囊扩张术、激光射频技术及其它非开胸的介入手术、</w:t>
            </w:r>
            <w:r>
              <w:rPr>
                <w:spacing w:val="-6"/>
                <w:sz w:val="21"/>
                <w:shd w:fill="DADADA" w:color="auto" w:val="clear"/>
              </w:rPr>
              <w:t>腔镜手术</w:t>
            </w:r>
            <w:r>
              <w:rPr>
                <w:spacing w:val="-29"/>
                <w:sz w:val="21"/>
                <w:shd w:fill="DADADA" w:color="auto" w:val="clear"/>
              </w:rPr>
              <w:t>不在保障范围内。</w:t>
            </w:r>
          </w:p>
        </w:tc>
      </w:tr>
      <w:tr>
        <w:trPr>
          <w:trHeight w:val="1591" w:hRule="atLeast"/>
        </w:trPr>
        <w:tc>
          <w:tcPr>
            <w:tcW w:w="1746" w:type="dxa"/>
          </w:tcPr>
          <w:p>
            <w:pPr>
              <w:pStyle w:val="TableParagraph"/>
              <w:spacing w:line="323" w:lineRule="exact" w:before="118"/>
              <w:ind w:left="200"/>
              <w:rPr>
                <w:rFonts w:ascii="等线" w:eastAsia="等线" w:hint="eastAsia"/>
                <w:b/>
                <w:sz w:val="24"/>
              </w:rPr>
            </w:pPr>
            <w:r>
              <w:rPr>
                <w:rFonts w:ascii="等线" w:eastAsia="等线" w:hint="eastAsia"/>
                <w:b/>
                <w:sz w:val="24"/>
              </w:rPr>
              <w:t>终末期肾病 </w:t>
            </w:r>
          </w:p>
          <w:p>
            <w:pPr>
              <w:pStyle w:val="TableParagraph"/>
              <w:spacing w:line="235" w:lineRule="auto" w:before="2"/>
              <w:ind w:left="200" w:right="81"/>
              <w:jc w:val="both"/>
              <w:rPr>
                <w:rFonts w:ascii="等线" w:eastAsia="等线" w:hint="eastAsia"/>
                <w:b/>
                <w:sz w:val="24"/>
              </w:rPr>
            </w:pPr>
            <w:r>
              <w:rPr>
                <w:rFonts w:ascii="等线" w:eastAsia="等线" w:hint="eastAsia"/>
                <w:b/>
                <w:spacing w:val="50"/>
                <w:sz w:val="24"/>
              </w:rPr>
              <w:t>（</w:t>
            </w:r>
            <w:r>
              <w:rPr>
                <w:rFonts w:ascii="等线" w:eastAsia="等线" w:hint="eastAsia"/>
                <w:b/>
                <w:spacing w:val="37"/>
                <w:sz w:val="24"/>
              </w:rPr>
              <w:t>或称慢性</w:t>
            </w:r>
            <w:r>
              <w:rPr>
                <w:rFonts w:ascii="等线" w:eastAsia="等线" w:hint="eastAsia"/>
                <w:b/>
                <w:spacing w:val="40"/>
                <w:sz w:val="24"/>
              </w:rPr>
              <w:t>肾功能衰竭尿毒症期）</w:t>
            </w:r>
          </w:p>
        </w:tc>
        <w:tc>
          <w:tcPr>
            <w:tcW w:w="7988" w:type="dxa"/>
          </w:tcPr>
          <w:p>
            <w:pPr>
              <w:pStyle w:val="TableParagraph"/>
              <w:spacing w:line="273" w:lineRule="auto" w:before="120"/>
              <w:ind w:left="81" w:right="306"/>
              <w:rPr>
                <w:sz w:val="21"/>
              </w:rPr>
            </w:pPr>
            <w:r>
              <w:rPr>
                <w:spacing w:val="-9"/>
                <w:sz w:val="21"/>
              </w:rPr>
              <w:t>指双肾功能慢性不可逆性衰竭，达到尿毒症期，经诊断后已经进行了至少 </w:t>
            </w:r>
            <w:r>
              <w:rPr>
                <w:sz w:val="21"/>
              </w:rPr>
              <w:t>90</w:t>
            </w:r>
            <w:r>
              <w:rPr>
                <w:spacing w:val="-11"/>
                <w:sz w:val="21"/>
              </w:rPr>
              <w:t> 日的规</w:t>
            </w:r>
            <w:r>
              <w:rPr>
                <w:spacing w:val="-6"/>
                <w:sz w:val="21"/>
              </w:rPr>
              <w:t>律性透析治疗或实施了肾脏移植手术。</w:t>
            </w:r>
          </w:p>
        </w:tc>
      </w:tr>
      <w:tr>
        <w:trPr>
          <w:trHeight w:val="952" w:hRule="atLeast"/>
        </w:trPr>
        <w:tc>
          <w:tcPr>
            <w:tcW w:w="1746" w:type="dxa"/>
          </w:tcPr>
          <w:p>
            <w:pPr>
              <w:pStyle w:val="TableParagraph"/>
              <w:spacing w:line="235" w:lineRule="auto" w:before="125"/>
              <w:ind w:left="200" w:right="81"/>
              <w:rPr>
                <w:rFonts w:ascii="等线" w:eastAsia="等线" w:hint="eastAsia"/>
                <w:b/>
                <w:sz w:val="24"/>
              </w:rPr>
            </w:pPr>
            <w:r>
              <w:rPr>
                <w:rFonts w:ascii="等线" w:eastAsia="等线" w:hint="eastAsia"/>
                <w:b/>
                <w:sz w:val="24"/>
              </w:rPr>
              <w:t>多个肢体缺失</w:t>
            </w:r>
          </w:p>
        </w:tc>
        <w:tc>
          <w:tcPr>
            <w:tcW w:w="7988" w:type="dxa"/>
          </w:tcPr>
          <w:p>
            <w:pPr>
              <w:pStyle w:val="TableParagraph"/>
              <w:spacing w:line="273" w:lineRule="auto" w:before="120"/>
              <w:ind w:left="81" w:right="131"/>
              <w:rPr>
                <w:sz w:val="21"/>
              </w:rPr>
            </w:pPr>
            <w:r>
              <w:rPr>
                <w:sz w:val="21"/>
              </w:rPr>
              <w:t>指因疾病或意外伤害导致两个或两个以上肢体自腕关节或踝关节近端（靠近躯干端） 以上完全性断离。</w:t>
            </w:r>
          </w:p>
        </w:tc>
      </w:tr>
      <w:tr>
        <w:trPr>
          <w:trHeight w:val="2161" w:hRule="atLeast"/>
        </w:trPr>
        <w:tc>
          <w:tcPr>
            <w:tcW w:w="1746" w:type="dxa"/>
          </w:tcPr>
          <w:p>
            <w:pPr>
              <w:pStyle w:val="TableParagraph"/>
              <w:spacing w:line="235" w:lineRule="auto" w:before="125"/>
              <w:ind w:left="200" w:right="81"/>
              <w:rPr>
                <w:rFonts w:ascii="等线" w:eastAsia="等线" w:hint="eastAsia"/>
                <w:b/>
                <w:sz w:val="24"/>
              </w:rPr>
            </w:pPr>
            <w:r>
              <w:rPr>
                <w:rFonts w:ascii="等线" w:eastAsia="等线" w:hint="eastAsia"/>
                <w:b/>
                <w:sz w:val="24"/>
              </w:rPr>
              <w:t>急性或亚急性重症肝炎</w:t>
            </w:r>
          </w:p>
        </w:tc>
        <w:tc>
          <w:tcPr>
            <w:tcW w:w="7988" w:type="dxa"/>
          </w:tcPr>
          <w:p>
            <w:pPr>
              <w:pStyle w:val="TableParagraph"/>
              <w:spacing w:line="273" w:lineRule="auto" w:before="120"/>
              <w:ind w:left="81" w:right="308"/>
              <w:rPr>
                <w:sz w:val="21"/>
              </w:rPr>
            </w:pPr>
            <w:r>
              <w:rPr>
                <w:sz w:val="21"/>
              </w:rPr>
              <w:t>指因肝炎病毒感染引起肝脏组织弥漫性坏死，导致急性肝功能衰竭，且经血清学或病毒学检查证实，并须满足下列全部条件：</w:t>
            </w:r>
          </w:p>
          <w:p>
            <w:pPr>
              <w:pStyle w:val="TableParagraph"/>
              <w:spacing w:before="7"/>
              <w:ind w:left="81"/>
              <w:rPr>
                <w:sz w:val="21"/>
              </w:rPr>
            </w:pPr>
            <w:r>
              <w:rPr>
                <w:sz w:val="21"/>
              </w:rPr>
              <w:t>（1）重度黄疸或黄疸迅速加重；</w:t>
            </w:r>
          </w:p>
          <w:p>
            <w:pPr>
              <w:pStyle w:val="TableParagraph"/>
              <w:spacing w:before="37"/>
              <w:ind w:left="81"/>
              <w:rPr>
                <w:sz w:val="21"/>
              </w:rPr>
            </w:pPr>
            <w:r>
              <w:rPr>
                <w:sz w:val="21"/>
              </w:rPr>
              <w:t>（2）肝性脑病；</w:t>
            </w:r>
          </w:p>
          <w:p>
            <w:pPr>
              <w:pStyle w:val="TableParagraph"/>
              <w:spacing w:before="37"/>
              <w:ind w:left="81"/>
              <w:rPr>
                <w:sz w:val="21"/>
              </w:rPr>
            </w:pPr>
            <w:r>
              <w:rPr>
                <w:sz w:val="21"/>
              </w:rPr>
              <w:t>（3）B 超或其它影像学检查显示肝脏体积急速萎缩；</w:t>
            </w:r>
          </w:p>
          <w:p>
            <w:pPr>
              <w:pStyle w:val="TableParagraph"/>
              <w:spacing w:before="37"/>
              <w:ind w:left="81"/>
              <w:rPr>
                <w:sz w:val="21"/>
              </w:rPr>
            </w:pPr>
            <w:r>
              <w:rPr>
                <w:sz w:val="21"/>
              </w:rPr>
              <w:t>（4）肝功能指标进行性恶化。</w:t>
            </w:r>
          </w:p>
        </w:tc>
      </w:tr>
      <w:tr>
        <w:trPr>
          <w:trHeight w:val="2184" w:hRule="atLeast"/>
        </w:trPr>
        <w:tc>
          <w:tcPr>
            <w:tcW w:w="1746" w:type="dxa"/>
          </w:tcPr>
          <w:p>
            <w:pPr>
              <w:pStyle w:val="TableParagraph"/>
              <w:spacing w:before="140"/>
              <w:ind w:left="200"/>
              <w:rPr>
                <w:rFonts w:ascii="等线" w:eastAsia="等线" w:hint="eastAsia"/>
                <w:b/>
                <w:sz w:val="24"/>
              </w:rPr>
            </w:pPr>
            <w:r>
              <w:rPr>
                <w:rFonts w:ascii="等线" w:eastAsia="等线" w:hint="eastAsia"/>
                <w:b/>
                <w:sz w:val="24"/>
              </w:rPr>
              <w:t>良性脑肿瘤</w:t>
            </w:r>
          </w:p>
        </w:tc>
        <w:tc>
          <w:tcPr>
            <w:tcW w:w="7988" w:type="dxa"/>
          </w:tcPr>
          <w:p>
            <w:pPr>
              <w:pStyle w:val="TableParagraph"/>
              <w:spacing w:line="273" w:lineRule="auto" w:before="142"/>
              <w:ind w:left="81" w:right="200"/>
              <w:rPr>
                <w:sz w:val="21"/>
              </w:rPr>
            </w:pPr>
            <w:r>
              <w:rPr>
                <w:spacing w:val="-3"/>
                <w:sz w:val="21"/>
              </w:rPr>
              <w:t>指脑的良性肿瘤，已经引起颅内压增高，临床表现为视神经乳头水肿、精神症状、</w:t>
            </w:r>
            <w:r>
              <w:rPr>
                <w:spacing w:val="-13"/>
                <w:w w:val="100"/>
                <w:sz w:val="21"/>
              </w:rPr>
              <w:t>癫痫及运动感觉障碍等，并危及生命。须由头颅断层扫描</w:t>
            </w:r>
            <w:r>
              <w:rPr>
                <w:w w:val="100"/>
                <w:sz w:val="21"/>
              </w:rPr>
              <w:t>（</w:t>
            </w:r>
            <w:r>
              <w:rPr>
                <w:spacing w:val="-3"/>
                <w:w w:val="100"/>
                <w:sz w:val="21"/>
              </w:rPr>
              <w:t>C</w:t>
            </w:r>
            <w:r>
              <w:rPr>
                <w:spacing w:val="-1"/>
                <w:w w:val="100"/>
                <w:sz w:val="21"/>
              </w:rPr>
              <w:t>T</w:t>
            </w:r>
            <w:r>
              <w:rPr>
                <w:spacing w:val="-109"/>
                <w:w w:val="100"/>
                <w:sz w:val="21"/>
              </w:rPr>
              <w:t>）</w:t>
            </w:r>
            <w:r>
              <w:rPr>
                <w:spacing w:val="-19"/>
                <w:w w:val="100"/>
                <w:sz w:val="21"/>
              </w:rPr>
              <w:t>、核磁共振检查</w:t>
            </w:r>
            <w:r>
              <w:rPr>
                <w:spacing w:val="-1"/>
                <w:w w:val="100"/>
                <w:sz w:val="21"/>
              </w:rPr>
              <w:t>（</w:t>
            </w:r>
            <w:r>
              <w:rPr>
                <w:spacing w:val="-3"/>
                <w:w w:val="100"/>
                <w:sz w:val="21"/>
              </w:rPr>
              <w:t>M</w:t>
            </w:r>
            <w:r>
              <w:rPr>
                <w:w w:val="100"/>
                <w:sz w:val="21"/>
              </w:rPr>
              <w:t>R</w:t>
            </w:r>
            <w:r>
              <w:rPr>
                <w:spacing w:val="-1"/>
                <w:w w:val="100"/>
                <w:sz w:val="21"/>
              </w:rPr>
              <w:t>I</w:t>
            </w:r>
            <w:r>
              <w:rPr>
                <w:w w:val="100"/>
                <w:sz w:val="21"/>
              </w:rPr>
              <w:t>）</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81"/>
              <w:rPr>
                <w:sz w:val="21"/>
              </w:rPr>
            </w:pPr>
            <w:r>
              <w:rPr>
                <w:sz w:val="21"/>
              </w:rPr>
              <w:t>（1）实际实施了开颅进行的脑肿瘤完全切除或部分切除的手术；</w:t>
            </w:r>
          </w:p>
          <w:p>
            <w:pPr>
              <w:pStyle w:val="TableParagraph"/>
              <w:spacing w:before="37"/>
              <w:ind w:left="81"/>
              <w:rPr>
                <w:sz w:val="21"/>
              </w:rPr>
            </w:pPr>
            <w:r>
              <w:rPr>
                <w:sz w:val="21"/>
              </w:rPr>
              <w:t>（2）实际实施了对脑肿瘤进行的放射治疗。</w:t>
            </w:r>
          </w:p>
          <w:p>
            <w:pPr>
              <w:pStyle w:val="TableParagraph"/>
              <w:spacing w:before="37"/>
              <w:ind w:left="81"/>
              <w:rPr>
                <w:sz w:val="21"/>
              </w:rPr>
            </w:pPr>
            <w:r>
              <w:rPr>
                <w:sz w:val="21"/>
                <w:shd w:fill="DADADA" w:color="auto" w:val="clear"/>
              </w:rPr>
              <w:t>脑垂体瘤、脑囊肿、脑血管性疾病不在保障范围内。</w:t>
            </w:r>
          </w:p>
        </w:tc>
      </w:tr>
      <w:tr>
        <w:trPr>
          <w:trHeight w:val="2184" w:hRule="atLeast"/>
        </w:trPr>
        <w:tc>
          <w:tcPr>
            <w:tcW w:w="1746" w:type="dxa"/>
          </w:tcPr>
          <w:p>
            <w:pPr>
              <w:pStyle w:val="TableParagraph"/>
              <w:spacing w:line="235" w:lineRule="auto" w:before="147"/>
              <w:ind w:left="200" w:right="81"/>
              <w:jc w:val="both"/>
              <w:rPr>
                <w:rFonts w:ascii="等线" w:eastAsia="等线" w:hint="eastAsia"/>
                <w:b/>
                <w:sz w:val="24"/>
              </w:rPr>
            </w:pPr>
            <w:r>
              <w:rPr>
                <w:rFonts w:ascii="等线" w:eastAsia="等线" w:hint="eastAsia"/>
                <w:b/>
                <w:sz w:val="24"/>
              </w:rPr>
              <w:t>慢性肝功能衰竭失代偿期</w:t>
            </w:r>
          </w:p>
        </w:tc>
        <w:tc>
          <w:tcPr>
            <w:tcW w:w="7988" w:type="dxa"/>
          </w:tcPr>
          <w:p>
            <w:pPr>
              <w:pStyle w:val="TableParagraph"/>
              <w:spacing w:before="142"/>
              <w:ind w:left="81"/>
              <w:rPr>
                <w:sz w:val="21"/>
              </w:rPr>
            </w:pPr>
            <w:r>
              <w:rPr>
                <w:sz w:val="21"/>
              </w:rPr>
              <w:t>指因慢性肝脏疾病导致肝功能衰竭。须满足下列全部条件：</w:t>
            </w:r>
          </w:p>
          <w:p>
            <w:pPr>
              <w:pStyle w:val="TableParagraph"/>
              <w:spacing w:before="36"/>
              <w:ind w:left="81"/>
              <w:rPr>
                <w:sz w:val="21"/>
              </w:rPr>
            </w:pPr>
            <w:r>
              <w:rPr>
                <w:sz w:val="21"/>
              </w:rPr>
              <w:t>（1）持续性黄疸；</w:t>
            </w:r>
          </w:p>
          <w:p>
            <w:pPr>
              <w:pStyle w:val="TableParagraph"/>
              <w:spacing w:before="36"/>
              <w:ind w:left="81"/>
              <w:rPr>
                <w:sz w:val="21"/>
              </w:rPr>
            </w:pPr>
            <w:r>
              <w:rPr>
                <w:sz w:val="21"/>
              </w:rPr>
              <w:t>（2）腹水；</w:t>
            </w:r>
          </w:p>
          <w:p>
            <w:pPr>
              <w:pStyle w:val="TableParagraph"/>
              <w:spacing w:before="36"/>
              <w:ind w:left="81"/>
              <w:rPr>
                <w:sz w:val="21"/>
              </w:rPr>
            </w:pPr>
            <w:r>
              <w:rPr>
                <w:sz w:val="21"/>
              </w:rPr>
              <w:t>（3）肝性脑病；</w:t>
            </w:r>
          </w:p>
          <w:p>
            <w:pPr>
              <w:pStyle w:val="TableParagraph"/>
              <w:spacing w:line="273" w:lineRule="auto" w:before="36"/>
              <w:ind w:left="81" w:right="275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1977" w:hRule="atLeast"/>
        </w:trPr>
        <w:tc>
          <w:tcPr>
            <w:tcW w:w="1746" w:type="dxa"/>
          </w:tcPr>
          <w:p>
            <w:pPr>
              <w:pStyle w:val="TableParagraph"/>
              <w:spacing w:line="235" w:lineRule="auto" w:before="147"/>
              <w:ind w:left="200" w:right="81"/>
              <w:jc w:val="both"/>
              <w:rPr>
                <w:rFonts w:ascii="等线" w:eastAsia="等线" w:hint="eastAsia"/>
                <w:b/>
                <w:sz w:val="24"/>
              </w:rPr>
            </w:pPr>
            <w:r>
              <w:rPr>
                <w:rFonts w:ascii="等线" w:eastAsia="等线" w:hint="eastAsia"/>
                <w:b/>
                <w:sz w:val="24"/>
              </w:rPr>
              <w:t>脑炎后遗症或脑膜炎后遗症</w:t>
            </w:r>
          </w:p>
        </w:tc>
        <w:tc>
          <w:tcPr>
            <w:tcW w:w="7988" w:type="dxa"/>
          </w:tcPr>
          <w:p>
            <w:pPr>
              <w:pStyle w:val="TableParagraph"/>
              <w:spacing w:line="273" w:lineRule="auto" w:before="142"/>
              <w:ind w:left="81" w:right="308"/>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81"/>
              <w:rPr>
                <w:sz w:val="21"/>
              </w:rPr>
            </w:pPr>
            <w:r>
              <w:rPr>
                <w:sz w:val="21"/>
              </w:rPr>
              <w:t>（1）一肢或一肢以上肢体机能完全丧失；</w:t>
            </w:r>
          </w:p>
          <w:p>
            <w:pPr>
              <w:pStyle w:val="TableParagraph"/>
              <w:spacing w:before="37"/>
              <w:ind w:left="81"/>
              <w:rPr>
                <w:sz w:val="21"/>
              </w:rPr>
            </w:pPr>
            <w:r>
              <w:rPr>
                <w:sz w:val="21"/>
              </w:rPr>
              <w:t>（2）语言能力或咀嚼吞咽能力完全丧失；</w:t>
            </w:r>
          </w:p>
          <w:p>
            <w:pPr>
              <w:pStyle w:val="TableParagraph"/>
              <w:spacing w:line="310" w:lineRule="atLeast" w:before="2"/>
              <w:ind w:left="606" w:right="305" w:hanging="526"/>
              <w:rPr>
                <w:sz w:val="21"/>
              </w:rPr>
            </w:pPr>
            <w:r>
              <w:rPr>
                <w:spacing w:val="-13"/>
                <w:sz w:val="21"/>
              </w:rPr>
              <w:t>（3）</w:t>
            </w:r>
            <w:r>
              <w:rPr>
                <w:spacing w:val="-7"/>
                <w:sz w:val="21"/>
              </w:rPr>
              <w:t>自主生活能力完全丧失，无法独立完成六项基本日常生活活动中的三项或三项以上。</w:t>
            </w:r>
          </w:p>
        </w:tc>
      </w:tr>
    </w:tbl>
    <w:p>
      <w:pPr>
        <w:spacing w:after="0" w:line="310" w:lineRule="atLeast"/>
        <w:rPr>
          <w:sz w:val="21"/>
        </w:rPr>
        <w:sectPr>
          <w:pgSz w:w="11910" w:h="16840"/>
          <w:pgMar w:top="116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7988"/>
      </w:tblGrid>
      <w:tr>
        <w:trPr>
          <w:trHeight w:val="1368" w:hRule="atLeast"/>
        </w:trPr>
        <w:tc>
          <w:tcPr>
            <w:tcW w:w="1745" w:type="dxa"/>
          </w:tcPr>
          <w:p>
            <w:pPr>
              <w:pStyle w:val="TableParagraph"/>
              <w:spacing w:line="261" w:lineRule="exact"/>
              <w:ind w:left="200"/>
              <w:rPr>
                <w:rFonts w:ascii="等线" w:eastAsia="等线" w:hint="eastAsia"/>
                <w:b/>
                <w:sz w:val="24"/>
              </w:rPr>
            </w:pPr>
            <w:r>
              <w:rPr>
                <w:rFonts w:ascii="等线" w:eastAsia="等线" w:hint="eastAsia"/>
                <w:b/>
                <w:sz w:val="24"/>
              </w:rPr>
              <w:t>深度昏迷</w:t>
            </w:r>
          </w:p>
        </w:tc>
        <w:tc>
          <w:tcPr>
            <w:tcW w:w="7988" w:type="dxa"/>
          </w:tcPr>
          <w:p>
            <w:pPr>
              <w:pStyle w:val="TableParagraph"/>
              <w:spacing w:line="211" w:lineRule="exact"/>
              <w:ind w:left="82"/>
              <w:rPr>
                <w:sz w:val="21"/>
              </w:rPr>
            </w:pPr>
            <w:r>
              <w:rPr>
                <w:sz w:val="21"/>
              </w:rPr>
              <w:t>指因疾病或意外伤害导致意识丧失，对外界刺激和体内需求均无反应，昏迷程度按</w:t>
            </w:r>
          </w:p>
          <w:p>
            <w:pPr>
              <w:pStyle w:val="TableParagraph"/>
              <w:spacing w:line="273" w:lineRule="auto" w:before="37"/>
              <w:ind w:left="81" w:right="303"/>
              <w:rPr>
                <w:sz w:val="21"/>
              </w:rPr>
            </w:pPr>
            <w:r>
              <w:rPr>
                <w:spacing w:val="-3"/>
                <w:sz w:val="21"/>
              </w:rPr>
              <w:t>照格拉斯哥昏迷分级</w:t>
            </w:r>
            <w:r>
              <w:rPr>
                <w:sz w:val="21"/>
              </w:rPr>
              <w:t>（Glasgow coma scale）</w:t>
            </w:r>
            <w:r>
              <w:rPr>
                <w:spacing w:val="-12"/>
                <w:sz w:val="21"/>
              </w:rPr>
              <w:t>结果为 </w:t>
            </w:r>
            <w:r>
              <w:rPr>
                <w:sz w:val="21"/>
              </w:rPr>
              <w:t>5</w:t>
            </w:r>
            <w:r>
              <w:rPr>
                <w:spacing w:val="-22"/>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before="7"/>
              <w:ind w:left="82"/>
              <w:rPr>
                <w:sz w:val="21"/>
              </w:rPr>
            </w:pPr>
            <w:r>
              <w:rPr>
                <w:sz w:val="21"/>
                <w:shd w:fill="DADADA" w:color="auto" w:val="clear"/>
              </w:rPr>
              <w:t>因酗酒或药物滥用导致的深度昏迷不在保障范围内。</w:t>
            </w:r>
          </w:p>
        </w:tc>
      </w:tr>
      <w:tr>
        <w:trPr>
          <w:trHeight w:val="1276" w:hRule="atLeast"/>
        </w:trPr>
        <w:tc>
          <w:tcPr>
            <w:tcW w:w="1745" w:type="dxa"/>
          </w:tcPr>
          <w:p>
            <w:pPr>
              <w:pStyle w:val="TableParagraph"/>
              <w:spacing w:before="154"/>
              <w:ind w:left="200"/>
              <w:rPr>
                <w:rFonts w:ascii="等线" w:eastAsia="等线" w:hint="eastAsia"/>
                <w:b/>
                <w:sz w:val="24"/>
              </w:rPr>
            </w:pPr>
            <w:r>
              <w:rPr>
                <w:rFonts w:ascii="等线" w:eastAsia="等线" w:hint="eastAsia"/>
                <w:b/>
                <w:sz w:val="24"/>
              </w:rPr>
              <w:t>双耳失聪</w:t>
            </w:r>
          </w:p>
        </w:tc>
        <w:tc>
          <w:tcPr>
            <w:tcW w:w="7988" w:type="dxa"/>
          </w:tcPr>
          <w:p>
            <w:pPr>
              <w:pStyle w:val="TableParagraph"/>
              <w:spacing w:line="273" w:lineRule="auto" w:before="157"/>
              <w:ind w:left="82" w:right="305" w:hanging="1"/>
              <w:jc w:val="both"/>
              <w:rPr>
                <w:sz w:val="21"/>
              </w:rPr>
            </w:pPr>
            <w:r>
              <w:rPr>
                <w:sz w:val="21"/>
              </w:rPr>
              <w:t>指因疾病或意外伤害导致双耳听力</w:t>
            </w:r>
            <w:r>
              <w:rPr>
                <w:rFonts w:ascii="黑体" w:eastAsia="黑体" w:hint="eastAsia"/>
                <w:b/>
                <w:sz w:val="21"/>
              </w:rPr>
              <w:t>永久不可逆</w:t>
            </w:r>
            <w:r>
              <w:rPr>
                <w:sz w:val="21"/>
              </w:rPr>
              <w:t>（见9.9）性丧失，在500赫兹、1000 赫兹和2000赫兹语音频率下，平均听阈大于90分贝，且经纯音听力测试、声导抗检测或听觉诱发电位检测等证实。</w:t>
            </w:r>
          </w:p>
        </w:tc>
      </w:tr>
      <w:tr>
        <w:trPr>
          <w:trHeight w:val="1899" w:hRule="atLeast"/>
        </w:trPr>
        <w:tc>
          <w:tcPr>
            <w:tcW w:w="1745" w:type="dxa"/>
          </w:tcPr>
          <w:p>
            <w:pPr>
              <w:pStyle w:val="TableParagraph"/>
              <w:spacing w:before="154"/>
              <w:ind w:left="200"/>
              <w:rPr>
                <w:rFonts w:ascii="等线" w:eastAsia="等线" w:hint="eastAsia"/>
                <w:b/>
                <w:sz w:val="24"/>
              </w:rPr>
            </w:pPr>
            <w:r>
              <w:rPr>
                <w:rFonts w:ascii="等线" w:eastAsia="等线" w:hint="eastAsia"/>
                <w:b/>
                <w:sz w:val="24"/>
              </w:rPr>
              <w:t>双目失明</w:t>
            </w:r>
          </w:p>
        </w:tc>
        <w:tc>
          <w:tcPr>
            <w:tcW w:w="7988" w:type="dxa"/>
          </w:tcPr>
          <w:p>
            <w:pPr>
              <w:pStyle w:val="TableParagraph"/>
              <w:spacing w:line="273" w:lineRule="auto" w:before="157"/>
              <w:ind w:left="82" w:right="307"/>
              <w:rPr>
                <w:sz w:val="21"/>
              </w:rPr>
            </w:pPr>
            <w:r>
              <w:rPr>
                <w:sz w:val="21"/>
              </w:rPr>
              <w:t>指因疾病或意外伤害导致双眼视力永久不可逆性丧失，双眼中较好眼须满足下列至少一项条件：</w:t>
            </w:r>
          </w:p>
          <w:p>
            <w:pPr>
              <w:pStyle w:val="TableParagraph"/>
              <w:spacing w:before="7"/>
              <w:ind w:left="82"/>
              <w:rPr>
                <w:sz w:val="21"/>
              </w:rPr>
            </w:pPr>
            <w:r>
              <w:rPr>
                <w:sz w:val="21"/>
              </w:rPr>
              <w:t>（1）眼球缺失或摘除；</w:t>
            </w:r>
          </w:p>
          <w:p>
            <w:pPr>
              <w:pStyle w:val="TableParagraph"/>
              <w:spacing w:before="36"/>
              <w:ind w:left="82"/>
              <w:rPr>
                <w:sz w:val="21"/>
              </w:rPr>
            </w:pPr>
            <w:r>
              <w:rPr>
                <w:w w:val="100"/>
                <w:sz w:val="21"/>
              </w:rPr>
              <w:t>（2</w:t>
            </w:r>
            <w:r>
              <w:rPr>
                <w:spacing w:val="-44"/>
                <w:w w:val="100"/>
                <w:sz w:val="21"/>
              </w:rPr>
              <w:t>）</w:t>
            </w:r>
            <w:r>
              <w:rPr>
                <w:spacing w:val="-3"/>
                <w:w w:val="100"/>
                <w:sz w:val="21"/>
              </w:rPr>
              <w:t>矫正视力低于</w:t>
            </w:r>
            <w:r>
              <w:rPr>
                <w:spacing w:val="-53"/>
                <w:sz w:val="21"/>
              </w:rPr>
              <w:t> </w:t>
            </w:r>
            <w:r>
              <w:rPr>
                <w:spacing w:val="-3"/>
                <w:w w:val="100"/>
                <w:sz w:val="21"/>
              </w:rPr>
              <w:t>0</w:t>
            </w:r>
            <w:r>
              <w:rPr>
                <w:w w:val="100"/>
                <w:sz w:val="21"/>
              </w:rPr>
              <w:t>.0</w:t>
            </w:r>
            <w:r>
              <w:rPr>
                <w:spacing w:val="-44"/>
                <w:w w:val="100"/>
                <w:sz w:val="21"/>
              </w:rPr>
              <w:t>2</w:t>
            </w:r>
            <w:r>
              <w:rPr>
                <w:spacing w:val="-3"/>
                <w:w w:val="100"/>
                <w:sz w:val="21"/>
              </w:rPr>
              <w:t>（</w:t>
            </w:r>
            <w:r>
              <w:rPr>
                <w:spacing w:val="-7"/>
                <w:w w:val="100"/>
                <w:sz w:val="21"/>
              </w:rPr>
              <w:t>采用国际标准视力表，如果使用其它视力表应进行换算</w:t>
            </w:r>
            <w:r>
              <w:rPr>
                <w:spacing w:val="-109"/>
                <w:w w:val="100"/>
                <w:sz w:val="21"/>
              </w:rPr>
              <w:t>）</w:t>
            </w:r>
            <w:r>
              <w:rPr>
                <w:w w:val="100"/>
                <w:sz w:val="21"/>
              </w:rPr>
              <w:t>；</w:t>
            </w:r>
          </w:p>
          <w:p>
            <w:pPr>
              <w:pStyle w:val="TableParagraph"/>
              <w:spacing w:before="37"/>
              <w:ind w:left="82"/>
              <w:rPr>
                <w:sz w:val="21"/>
              </w:rPr>
            </w:pPr>
            <w:r>
              <w:rPr>
                <w:sz w:val="21"/>
              </w:rPr>
              <w:t>（3）视野半径小于 5 度。</w:t>
            </w:r>
          </w:p>
        </w:tc>
      </w:tr>
      <w:tr>
        <w:trPr>
          <w:trHeight w:val="1261" w:hRule="atLeast"/>
        </w:trPr>
        <w:tc>
          <w:tcPr>
            <w:tcW w:w="1745" w:type="dxa"/>
          </w:tcPr>
          <w:p>
            <w:pPr>
              <w:pStyle w:val="TableParagraph"/>
              <w:spacing w:before="153"/>
              <w:ind w:left="200"/>
              <w:rPr>
                <w:rFonts w:ascii="等线" w:eastAsia="等线" w:hint="eastAsia"/>
                <w:b/>
                <w:sz w:val="24"/>
              </w:rPr>
            </w:pPr>
            <w:r>
              <w:rPr>
                <w:rFonts w:ascii="等线" w:eastAsia="等线" w:hint="eastAsia"/>
                <w:b/>
                <w:sz w:val="24"/>
              </w:rPr>
              <w:t>瘫痪</w:t>
            </w:r>
          </w:p>
        </w:tc>
        <w:tc>
          <w:tcPr>
            <w:tcW w:w="7988" w:type="dxa"/>
          </w:tcPr>
          <w:p>
            <w:pPr>
              <w:pStyle w:val="TableParagraph"/>
              <w:spacing w:line="273" w:lineRule="auto" w:before="156"/>
              <w:ind w:left="82" w:right="302"/>
              <w:jc w:val="both"/>
              <w:rPr>
                <w:sz w:val="21"/>
              </w:rPr>
            </w:pPr>
            <w:r>
              <w:rPr>
                <w:spacing w:val="-3"/>
                <w:sz w:val="21"/>
              </w:rPr>
              <w:t>指因疾病或意外伤害导致两肢或两肢以上肢体机能永久完全丧失。肢体机能永久完</w:t>
            </w:r>
            <w:r>
              <w:rPr>
                <w:spacing w:val="-7"/>
                <w:sz w:val="21"/>
              </w:rPr>
              <w:t>全丧失，指疾病确诊 </w:t>
            </w:r>
            <w:r>
              <w:rPr>
                <w:sz w:val="21"/>
              </w:rPr>
              <w:t>180</w:t>
            </w:r>
            <w:r>
              <w:rPr>
                <w:spacing w:val="-10"/>
                <w:sz w:val="21"/>
              </w:rPr>
              <w:t> 日后或意外伤害发生 </w:t>
            </w:r>
            <w:r>
              <w:rPr>
                <w:sz w:val="21"/>
              </w:rPr>
              <w:t>180</w:t>
            </w:r>
            <w:r>
              <w:rPr>
                <w:spacing w:val="-7"/>
                <w:sz w:val="21"/>
              </w:rPr>
              <w:t> 日后，每肢三大关节中的两大关</w:t>
            </w:r>
            <w:r>
              <w:rPr>
                <w:spacing w:val="-5"/>
                <w:sz w:val="21"/>
              </w:rPr>
              <w:t>节仍然完全僵硬，或不能随意识活动。</w:t>
            </w:r>
          </w:p>
        </w:tc>
      </w:tr>
      <w:tr>
        <w:trPr>
          <w:trHeight w:val="989" w:hRule="atLeast"/>
        </w:trPr>
        <w:tc>
          <w:tcPr>
            <w:tcW w:w="1745" w:type="dxa"/>
          </w:tcPr>
          <w:p>
            <w:pPr>
              <w:pStyle w:val="TableParagraph"/>
              <w:spacing w:line="235" w:lineRule="auto" w:before="147"/>
              <w:ind w:left="200" w:right="80"/>
              <w:rPr>
                <w:rFonts w:ascii="等线" w:eastAsia="等线" w:hint="eastAsia"/>
                <w:b/>
                <w:sz w:val="24"/>
              </w:rPr>
            </w:pPr>
            <w:r>
              <w:rPr>
                <w:rFonts w:ascii="等线" w:eastAsia="等线" w:hint="eastAsia"/>
                <w:b/>
                <w:sz w:val="24"/>
              </w:rPr>
              <w:t>心脏瓣膜手术</w:t>
            </w:r>
          </w:p>
        </w:tc>
        <w:tc>
          <w:tcPr>
            <w:tcW w:w="7988" w:type="dxa"/>
          </w:tcPr>
          <w:p>
            <w:pPr>
              <w:pStyle w:val="TableParagraph"/>
              <w:spacing w:before="142"/>
              <w:ind w:left="82"/>
              <w:rPr>
                <w:sz w:val="21"/>
              </w:rPr>
            </w:pPr>
            <w:r>
              <w:rPr>
                <w:sz w:val="21"/>
              </w:rPr>
              <w:t>指为治疗心脏瓣膜疾病，实际实施了开胸进行的心脏瓣膜置换或修复的手术。</w:t>
            </w:r>
          </w:p>
        </w:tc>
      </w:tr>
      <w:tr>
        <w:trPr>
          <w:trHeight w:val="2189" w:hRule="atLeast"/>
        </w:trPr>
        <w:tc>
          <w:tcPr>
            <w:tcW w:w="1745" w:type="dxa"/>
          </w:tcPr>
          <w:p>
            <w:pPr>
              <w:pStyle w:val="TableParagraph"/>
              <w:spacing w:line="235" w:lineRule="auto" w:before="139"/>
              <w:ind w:left="200" w:right="80"/>
              <w:rPr>
                <w:rFonts w:ascii="等线" w:eastAsia="等线" w:hint="eastAsia"/>
                <w:b/>
                <w:sz w:val="24"/>
              </w:rPr>
            </w:pPr>
            <w:r>
              <w:rPr>
                <w:rFonts w:ascii="等线" w:eastAsia="等线" w:hint="eastAsia"/>
                <w:b/>
                <w:sz w:val="24"/>
              </w:rPr>
              <w:t>严重阿尔茨海默病</w:t>
            </w:r>
          </w:p>
        </w:tc>
        <w:tc>
          <w:tcPr>
            <w:tcW w:w="7988" w:type="dxa"/>
          </w:tcPr>
          <w:p>
            <w:pPr>
              <w:pStyle w:val="TableParagraph"/>
              <w:spacing w:line="273" w:lineRule="auto" w:before="135"/>
              <w:ind w:left="82" w:right="302"/>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w:t>
            </w:r>
            <w:r>
              <w:rPr>
                <w:spacing w:val="-6"/>
                <w:w w:val="100"/>
                <w:sz w:val="21"/>
              </w:rPr>
              <w:t>颅断层扫描</w:t>
            </w:r>
            <w:r>
              <w:rPr>
                <w:w w:val="100"/>
                <w:sz w:val="21"/>
              </w:rPr>
              <w:t>（CT</w:t>
            </w:r>
            <w:r>
              <w:rPr>
                <w:spacing w:val="-109"/>
                <w:w w:val="100"/>
                <w:sz w:val="21"/>
              </w:rPr>
              <w:t>）</w:t>
            </w:r>
            <w:r>
              <w:rPr>
                <w:spacing w:val="-7"/>
                <w:w w:val="100"/>
                <w:sz w:val="21"/>
              </w:rPr>
              <w:t>、核磁共振检查</w:t>
            </w:r>
            <w:r>
              <w:rPr>
                <w:w w:val="100"/>
                <w:sz w:val="21"/>
              </w:rPr>
              <w:t>（M</w:t>
            </w:r>
            <w:r>
              <w:rPr>
                <w:spacing w:val="-3"/>
                <w:w w:val="100"/>
                <w:sz w:val="21"/>
              </w:rPr>
              <w:t>R</w:t>
            </w:r>
            <w:r>
              <w:rPr>
                <w:spacing w:val="-1"/>
                <w:w w:val="100"/>
                <w:sz w:val="21"/>
              </w:rPr>
              <w:t>I</w:t>
            </w:r>
            <w:r>
              <w:rPr>
                <w:spacing w:val="-12"/>
                <w:w w:val="100"/>
                <w:sz w:val="21"/>
              </w:rPr>
              <w:t>）</w:t>
            </w:r>
            <w:r>
              <w:rPr>
                <w:spacing w:val="-5"/>
                <w:w w:val="100"/>
                <w:sz w:val="21"/>
              </w:rPr>
              <w:t>或正电子发射断层扫描</w:t>
            </w:r>
            <w:r>
              <w:rPr>
                <w:w w:val="100"/>
                <w:sz w:val="21"/>
              </w:rPr>
              <w:t>（PE</w:t>
            </w:r>
            <w:r>
              <w:rPr>
                <w:spacing w:val="-3"/>
                <w:w w:val="100"/>
                <w:sz w:val="21"/>
              </w:rPr>
              <w:t>T</w:t>
            </w:r>
            <w:r>
              <w:rPr>
                <w:spacing w:val="-12"/>
                <w:w w:val="100"/>
                <w:sz w:val="21"/>
              </w:rPr>
              <w:t>）</w:t>
            </w:r>
            <w:r>
              <w:rPr>
                <w:spacing w:val="-3"/>
                <w:w w:val="100"/>
                <w:sz w:val="21"/>
              </w:rPr>
              <w:t>等影像学检</w:t>
            </w:r>
            <w:r>
              <w:rPr>
                <w:spacing w:val="-3"/>
                <w:sz w:val="21"/>
              </w:rPr>
              <w:t>查证实，且自主生活能力完全丧失，无法独立完成六项基本日常生活活动中的三项或三项以上。</w:t>
            </w:r>
          </w:p>
          <w:p>
            <w:pPr>
              <w:pStyle w:val="TableParagraph"/>
              <w:spacing w:before="8"/>
              <w:ind w:left="82"/>
              <w:jc w:val="both"/>
              <w:rPr>
                <w:sz w:val="21"/>
              </w:rPr>
            </w:pPr>
            <w:r>
              <w:rPr>
                <w:sz w:val="21"/>
                <w:shd w:fill="DADADA" w:color="auto" w:val="clear"/>
              </w:rPr>
              <w:t>神经官能症和精神疾病不在保障范围内。</w:t>
            </w:r>
          </w:p>
        </w:tc>
      </w:tr>
      <w:tr>
        <w:trPr>
          <w:trHeight w:val="2835" w:hRule="atLeast"/>
        </w:trPr>
        <w:tc>
          <w:tcPr>
            <w:tcW w:w="1745" w:type="dxa"/>
          </w:tcPr>
          <w:p>
            <w:pPr>
              <w:pStyle w:val="TableParagraph"/>
              <w:spacing w:before="153"/>
              <w:ind w:left="200"/>
              <w:rPr>
                <w:rFonts w:ascii="等线" w:eastAsia="等线" w:hint="eastAsia"/>
                <w:b/>
                <w:sz w:val="24"/>
              </w:rPr>
            </w:pPr>
            <w:r>
              <w:rPr>
                <w:rFonts w:ascii="等线" w:eastAsia="等线" w:hint="eastAsia"/>
                <w:b/>
                <w:sz w:val="24"/>
              </w:rPr>
              <w:t>严重脑损伤</w:t>
            </w:r>
          </w:p>
        </w:tc>
        <w:tc>
          <w:tcPr>
            <w:tcW w:w="7988" w:type="dxa"/>
          </w:tcPr>
          <w:p>
            <w:pPr>
              <w:pStyle w:val="TableParagraph"/>
              <w:spacing w:line="273" w:lineRule="auto" w:before="156"/>
              <w:ind w:left="82" w:right="197"/>
              <w:rPr>
                <w:sz w:val="21"/>
              </w:rPr>
            </w:pPr>
            <w:r>
              <w:rPr>
                <w:spacing w:val="-8"/>
                <w:sz w:val="21"/>
              </w:rPr>
              <w:t>指因头部遭受机械性外力，引起脑重要部位损伤，导致神经系统永久性的功能障碍。</w:t>
            </w:r>
            <w:r>
              <w:rPr>
                <w:spacing w:val="-6"/>
                <w:w w:val="100"/>
                <w:sz w:val="21"/>
              </w:rPr>
              <w:t>须由头颅断层扫描</w:t>
            </w:r>
            <w:r>
              <w:rPr>
                <w:spacing w:val="-1"/>
                <w:w w:val="100"/>
                <w:sz w:val="21"/>
              </w:rPr>
              <w:t>（</w:t>
            </w:r>
            <w:r>
              <w:rPr>
                <w:spacing w:val="-3"/>
                <w:w w:val="100"/>
                <w:sz w:val="21"/>
              </w:rPr>
              <w:t>C</w:t>
            </w:r>
            <w:r>
              <w:rPr>
                <w:w w:val="100"/>
                <w:sz w:val="21"/>
              </w:rPr>
              <w:t>T</w:t>
            </w:r>
            <w:r>
              <w:rPr>
                <w:spacing w:val="-106"/>
                <w:w w:val="100"/>
                <w:sz w:val="21"/>
              </w:rPr>
              <w:t>）</w:t>
            </w:r>
            <w:r>
              <w:rPr>
                <w:spacing w:val="-6"/>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4"/>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w w:val="100"/>
                <w:sz w:val="21"/>
              </w:rPr>
              <w:t>等影</w:t>
            </w:r>
            <w:r>
              <w:rPr>
                <w:spacing w:val="-4"/>
                <w:sz w:val="21"/>
              </w:rPr>
              <w:t>像学检查证实。神经系统永久性的功能障碍，指脑损伤 </w:t>
            </w:r>
            <w:r>
              <w:rPr>
                <w:sz w:val="21"/>
              </w:rPr>
              <w:t>180</w:t>
            </w:r>
            <w:r>
              <w:rPr>
                <w:spacing w:val="-7"/>
                <w:sz w:val="21"/>
              </w:rPr>
              <w:t> 日后，仍遗留下列一种</w:t>
            </w:r>
            <w:r>
              <w:rPr>
                <w:spacing w:val="-3"/>
                <w:sz w:val="21"/>
              </w:rPr>
              <w:t>或一种以上障碍：</w:t>
            </w:r>
          </w:p>
          <w:p>
            <w:pPr>
              <w:pStyle w:val="TableParagraph"/>
              <w:spacing w:before="8"/>
              <w:ind w:left="82"/>
              <w:rPr>
                <w:sz w:val="21"/>
              </w:rPr>
            </w:pPr>
            <w:r>
              <w:rPr>
                <w:sz w:val="21"/>
              </w:rPr>
              <w:t>（1）一肢或一肢以上肢体机能完全丧失；</w:t>
            </w:r>
          </w:p>
          <w:p>
            <w:pPr>
              <w:pStyle w:val="TableParagraph"/>
              <w:spacing w:before="37"/>
              <w:ind w:left="82"/>
              <w:rPr>
                <w:sz w:val="21"/>
              </w:rPr>
            </w:pPr>
            <w:r>
              <w:rPr>
                <w:sz w:val="21"/>
              </w:rPr>
              <w:t>（2）语言能力或咀嚼吞咽能力完全丧失；</w:t>
            </w:r>
          </w:p>
          <w:p>
            <w:pPr>
              <w:pStyle w:val="TableParagraph"/>
              <w:spacing w:line="273" w:lineRule="auto" w:before="37"/>
              <w:ind w:left="607" w:right="304" w:hanging="526"/>
              <w:rPr>
                <w:sz w:val="21"/>
              </w:rPr>
            </w:pPr>
            <w:r>
              <w:rPr>
                <w:spacing w:val="-13"/>
                <w:sz w:val="21"/>
              </w:rPr>
              <w:t>（3）</w:t>
            </w:r>
            <w:r>
              <w:rPr>
                <w:spacing w:val="-7"/>
                <w:sz w:val="21"/>
              </w:rPr>
              <w:t>自主生活能力完全丧失，无法独立完成六项基本日常生活活动中的三项或三项以上。</w:t>
            </w:r>
          </w:p>
        </w:tc>
      </w:tr>
      <w:tr>
        <w:trPr>
          <w:trHeight w:val="1992" w:hRule="atLeast"/>
        </w:trPr>
        <w:tc>
          <w:tcPr>
            <w:tcW w:w="1745" w:type="dxa"/>
          </w:tcPr>
          <w:p>
            <w:pPr>
              <w:pStyle w:val="TableParagraph"/>
              <w:spacing w:line="235" w:lineRule="auto" w:before="161"/>
              <w:ind w:left="200" w:right="80"/>
              <w:rPr>
                <w:rFonts w:ascii="等线" w:eastAsia="等线" w:hint="eastAsia"/>
                <w:b/>
                <w:sz w:val="24"/>
              </w:rPr>
            </w:pPr>
            <w:r>
              <w:rPr>
                <w:rFonts w:ascii="等线" w:eastAsia="等线" w:hint="eastAsia"/>
                <w:b/>
                <w:sz w:val="24"/>
              </w:rPr>
              <w:t>严重帕金森病</w:t>
            </w:r>
          </w:p>
        </w:tc>
        <w:tc>
          <w:tcPr>
            <w:tcW w:w="7988" w:type="dxa"/>
          </w:tcPr>
          <w:p>
            <w:pPr>
              <w:pStyle w:val="TableParagraph"/>
              <w:spacing w:line="273" w:lineRule="auto" w:before="157"/>
              <w:ind w:left="82" w:right="307"/>
              <w:rPr>
                <w:sz w:val="21"/>
              </w:rPr>
            </w:pPr>
            <w:r>
              <w:rPr>
                <w:sz w:val="21"/>
              </w:rPr>
              <w:t>是一种中枢神经系统的退行性疾病，临床表现为震颤麻痹、共济失调等。须满足下列全部条件：</w:t>
            </w:r>
          </w:p>
          <w:p>
            <w:pPr>
              <w:pStyle w:val="TableParagraph"/>
              <w:spacing w:before="7"/>
              <w:ind w:left="82"/>
              <w:rPr>
                <w:sz w:val="21"/>
              </w:rPr>
            </w:pPr>
            <w:r>
              <w:rPr>
                <w:sz w:val="21"/>
              </w:rPr>
              <w:t>（1）药物治疗无法控制病情；</w:t>
            </w:r>
          </w:p>
          <w:p>
            <w:pPr>
              <w:pStyle w:val="TableParagraph"/>
              <w:spacing w:line="273" w:lineRule="auto" w:before="36"/>
              <w:ind w:left="607" w:right="304" w:hanging="526"/>
              <w:rPr>
                <w:sz w:val="21"/>
              </w:rPr>
            </w:pPr>
            <w:r>
              <w:rPr>
                <w:spacing w:val="-13"/>
                <w:sz w:val="21"/>
              </w:rPr>
              <w:t>（2）</w:t>
            </w:r>
            <w:r>
              <w:rPr>
                <w:spacing w:val="-7"/>
                <w:sz w:val="21"/>
              </w:rPr>
              <w:t>自主生活能力完全丧失，无法独立完成六项基本日常生活活动中的三项或三项以上。</w:t>
            </w:r>
          </w:p>
          <w:p>
            <w:pPr>
              <w:pStyle w:val="TableParagraph"/>
              <w:spacing w:line="255" w:lineRule="exact" w:before="7"/>
              <w:ind w:left="82"/>
              <w:rPr>
                <w:sz w:val="21"/>
              </w:rPr>
            </w:pPr>
            <w:r>
              <w:rPr>
                <w:sz w:val="21"/>
                <w:shd w:fill="DADADA" w:color="auto" w:val="clear"/>
              </w:rPr>
              <w:t>继发性帕金森综合征不在保障范围内。</w:t>
            </w:r>
          </w:p>
        </w:tc>
      </w:tr>
    </w:tbl>
    <w:p>
      <w:pPr>
        <w:spacing w:after="0" w:line="255" w:lineRule="exact"/>
        <w:rPr>
          <w:sz w:val="21"/>
        </w:rPr>
        <w:sectPr>
          <w:pgSz w:w="11910" w:h="16840"/>
          <w:pgMar w:top="116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7986"/>
      </w:tblGrid>
      <w:tr>
        <w:trPr>
          <w:trHeight w:val="768" w:hRule="atLeast"/>
        </w:trPr>
        <w:tc>
          <w:tcPr>
            <w:tcW w:w="1746" w:type="dxa"/>
          </w:tcPr>
          <w:p>
            <w:pPr>
              <w:pStyle w:val="TableParagraph"/>
              <w:spacing w:line="258" w:lineRule="exact"/>
              <w:ind w:left="200"/>
              <w:rPr>
                <w:rFonts w:ascii="等线" w:hAnsi="等线" w:eastAsia="等线" w:hint="eastAsia"/>
                <w:b/>
                <w:sz w:val="24"/>
              </w:rPr>
            </w:pPr>
            <w:r>
              <w:rPr>
                <w:rFonts w:ascii="等线" w:hAnsi="等线" w:eastAsia="等线" w:hint="eastAsia"/>
                <w:b/>
                <w:sz w:val="24"/>
              </w:rPr>
              <w:t>严重Ⅲ度烧 </w:t>
            </w:r>
          </w:p>
          <w:p>
            <w:pPr>
              <w:pStyle w:val="TableParagraph"/>
              <w:spacing w:line="324" w:lineRule="exact"/>
              <w:ind w:left="200"/>
              <w:rPr>
                <w:rFonts w:ascii="等线" w:eastAsia="等线" w:hint="eastAsia"/>
                <w:b/>
                <w:sz w:val="24"/>
              </w:rPr>
            </w:pPr>
            <w:r>
              <w:rPr>
                <w:rFonts w:ascii="等线" w:eastAsia="等线" w:hint="eastAsia"/>
                <w:b/>
                <w:sz w:val="24"/>
              </w:rPr>
              <w:t>伤</w:t>
            </w:r>
          </w:p>
        </w:tc>
        <w:tc>
          <w:tcPr>
            <w:tcW w:w="7986" w:type="dxa"/>
          </w:tcPr>
          <w:p>
            <w:pPr>
              <w:pStyle w:val="TableParagraph"/>
              <w:spacing w:line="211" w:lineRule="exact"/>
              <w:ind w:left="81"/>
              <w:rPr>
                <w:sz w:val="21"/>
              </w:rPr>
            </w:pPr>
            <w:r>
              <w:rPr>
                <w:sz w:val="21"/>
              </w:rPr>
              <w:t>指烧伤程度为Ⅲ度，且Ⅲ度烧伤的面积达到全身体表面积的 20%或 20%以上。体表面</w:t>
            </w:r>
          </w:p>
          <w:p>
            <w:pPr>
              <w:pStyle w:val="TableParagraph"/>
              <w:spacing w:before="37"/>
              <w:ind w:left="81"/>
              <w:rPr>
                <w:sz w:val="21"/>
              </w:rPr>
            </w:pPr>
            <w:r>
              <w:rPr>
                <w:sz w:val="21"/>
              </w:rPr>
              <w:t>积根据《中国新九分法》计算。</w:t>
            </w:r>
          </w:p>
        </w:tc>
      </w:tr>
      <w:tr>
        <w:trPr>
          <w:trHeight w:val="1226" w:hRule="atLeast"/>
        </w:trPr>
        <w:tc>
          <w:tcPr>
            <w:tcW w:w="1746" w:type="dxa"/>
          </w:tcPr>
          <w:p>
            <w:pPr>
              <w:pStyle w:val="TableParagraph"/>
              <w:spacing w:line="235" w:lineRule="auto" w:before="125"/>
              <w:ind w:left="200" w:right="81"/>
              <w:rPr>
                <w:rFonts w:ascii="等线" w:eastAsia="等线" w:hint="eastAsia"/>
                <w:b/>
                <w:sz w:val="24"/>
              </w:rPr>
            </w:pPr>
            <w:r>
              <w:rPr>
                <w:rFonts w:ascii="等线" w:eastAsia="等线" w:hint="eastAsia"/>
                <w:b/>
                <w:sz w:val="24"/>
              </w:rPr>
              <w:t>严重原发性肺动脉高压</w:t>
            </w:r>
          </w:p>
        </w:tc>
        <w:tc>
          <w:tcPr>
            <w:tcW w:w="7986" w:type="dxa"/>
          </w:tcPr>
          <w:p>
            <w:pPr>
              <w:pStyle w:val="TableParagraph"/>
              <w:spacing w:line="273" w:lineRule="auto" w:before="120"/>
              <w:ind w:left="81" w:right="297"/>
              <w:rPr>
                <w:sz w:val="21"/>
              </w:rPr>
            </w:pPr>
            <w:r>
              <w:rPr>
                <w:sz w:val="21"/>
              </w:rPr>
              <w:t>指不明原因的肺动脉压力持续性增高，进行性发展而导致的慢性疾病，已经造成永久不可逆性的体力活动能力受限，达到美国纽约心脏病学会</w:t>
            </w:r>
            <w:r>
              <w:rPr>
                <w:rFonts w:ascii="黑体" w:eastAsia="黑体" w:hint="eastAsia"/>
                <w:b/>
                <w:sz w:val="21"/>
              </w:rPr>
              <w:t>心功能状态分级</w:t>
            </w:r>
            <w:r>
              <w:rPr>
                <w:sz w:val="21"/>
              </w:rPr>
              <w:t>（见</w:t>
            </w:r>
          </w:p>
          <w:p>
            <w:pPr>
              <w:pStyle w:val="TableParagraph"/>
              <w:spacing w:before="7"/>
              <w:ind w:left="81"/>
              <w:rPr>
                <w:sz w:val="21"/>
              </w:rPr>
            </w:pPr>
            <w:r>
              <w:rPr>
                <w:sz w:val="21"/>
              </w:rPr>
              <w:t>9.10）IV 级，且静息状态下肺动脉平均压超过 30mmHg。</w:t>
            </w:r>
          </w:p>
        </w:tc>
      </w:tr>
      <w:tr>
        <w:trPr>
          <w:trHeight w:val="1247" w:hRule="atLeast"/>
        </w:trPr>
        <w:tc>
          <w:tcPr>
            <w:tcW w:w="1746" w:type="dxa"/>
          </w:tcPr>
          <w:p>
            <w:pPr>
              <w:pStyle w:val="TableParagraph"/>
              <w:spacing w:line="235" w:lineRule="auto" w:before="147"/>
              <w:ind w:left="200" w:right="81"/>
              <w:rPr>
                <w:rFonts w:ascii="等线" w:eastAsia="等线" w:hint="eastAsia"/>
                <w:b/>
                <w:sz w:val="24"/>
              </w:rPr>
            </w:pPr>
            <w:r>
              <w:rPr>
                <w:rFonts w:ascii="等线" w:eastAsia="等线" w:hint="eastAsia"/>
                <w:b/>
                <w:sz w:val="24"/>
              </w:rPr>
              <w:t>严重运动神经元病</w:t>
            </w:r>
          </w:p>
        </w:tc>
        <w:tc>
          <w:tcPr>
            <w:tcW w:w="7986" w:type="dxa"/>
          </w:tcPr>
          <w:p>
            <w:pPr>
              <w:pStyle w:val="TableParagraph"/>
              <w:spacing w:line="273" w:lineRule="auto" w:before="142"/>
              <w:ind w:left="81"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48" w:hRule="atLeast"/>
        </w:trPr>
        <w:tc>
          <w:tcPr>
            <w:tcW w:w="1746" w:type="dxa"/>
          </w:tcPr>
          <w:p>
            <w:pPr>
              <w:pStyle w:val="TableParagraph"/>
              <w:spacing w:line="235" w:lineRule="auto" w:before="147"/>
              <w:ind w:left="200" w:right="81"/>
              <w:rPr>
                <w:rFonts w:ascii="等线" w:eastAsia="等线" w:hint="eastAsia"/>
                <w:b/>
                <w:sz w:val="24"/>
              </w:rPr>
            </w:pPr>
            <w:r>
              <w:rPr>
                <w:rFonts w:ascii="等线" w:eastAsia="等线" w:hint="eastAsia"/>
                <w:b/>
                <w:sz w:val="24"/>
              </w:rPr>
              <w:t>语言能力丧失</w:t>
            </w:r>
          </w:p>
        </w:tc>
        <w:tc>
          <w:tcPr>
            <w:tcW w:w="7986" w:type="dxa"/>
          </w:tcPr>
          <w:p>
            <w:pPr>
              <w:pStyle w:val="TableParagraph"/>
              <w:spacing w:line="273" w:lineRule="auto" w:before="142"/>
              <w:ind w:left="81" w:right="301"/>
              <w:rPr>
                <w:sz w:val="21"/>
              </w:rPr>
            </w:pPr>
            <w:r>
              <w:rPr>
                <w:spacing w:val="-7"/>
                <w:sz w:val="21"/>
              </w:rPr>
              <w:t>指因疾病或意外伤害导致完全丧失语言能力，经过积极治疗至少 </w:t>
            </w:r>
            <w:r>
              <w:rPr>
                <w:sz w:val="21"/>
              </w:rPr>
              <w:t>12</w:t>
            </w:r>
            <w:r>
              <w:rPr>
                <w:spacing w:val="-26"/>
                <w:sz w:val="21"/>
              </w:rPr>
              <w:t> 个月</w:t>
            </w:r>
            <w:r>
              <w:rPr>
                <w:sz w:val="21"/>
              </w:rPr>
              <w:t>（</w:t>
            </w:r>
            <w:r>
              <w:rPr>
                <w:spacing w:val="-2"/>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before="7"/>
              <w:ind w:left="81"/>
              <w:rPr>
                <w:sz w:val="21"/>
              </w:rPr>
            </w:pPr>
            <w:r>
              <w:rPr>
                <w:sz w:val="21"/>
                <w:shd w:fill="DADADA" w:color="auto" w:val="clear"/>
              </w:rPr>
              <w:t>精神心理因素所致的语言能力丧失不在保障范围内。</w:t>
            </w:r>
          </w:p>
        </w:tc>
      </w:tr>
      <w:tr>
        <w:trPr>
          <w:trHeight w:val="2495" w:hRule="atLeast"/>
        </w:trPr>
        <w:tc>
          <w:tcPr>
            <w:tcW w:w="1746" w:type="dxa"/>
          </w:tcPr>
          <w:p>
            <w:pPr>
              <w:pStyle w:val="TableParagraph"/>
              <w:spacing w:line="235" w:lineRule="auto" w:before="147"/>
              <w:ind w:left="200" w:right="81"/>
              <w:rPr>
                <w:rFonts w:ascii="等线" w:eastAsia="等线" w:hint="eastAsia"/>
                <w:b/>
                <w:sz w:val="24"/>
              </w:rPr>
            </w:pPr>
            <w:r>
              <w:rPr>
                <w:rFonts w:ascii="等线" w:eastAsia="等线" w:hint="eastAsia"/>
                <w:b/>
                <w:sz w:val="24"/>
              </w:rPr>
              <w:t>重型再生障碍性贫血</w:t>
            </w:r>
          </w:p>
        </w:tc>
        <w:tc>
          <w:tcPr>
            <w:tcW w:w="7986" w:type="dxa"/>
          </w:tcPr>
          <w:p>
            <w:pPr>
              <w:pStyle w:val="TableParagraph"/>
              <w:spacing w:line="273" w:lineRule="auto" w:before="142"/>
              <w:ind w:left="81" w:right="306"/>
              <w:rPr>
                <w:sz w:val="21"/>
              </w:rPr>
            </w:pPr>
            <w:r>
              <w:rPr>
                <w:sz w:val="21"/>
              </w:rPr>
              <w:t>指因骨髓造血功能慢性持续性衰竭导致的贫血、中性粒细胞减少及血小板减少。须满足下列全部条件：</w:t>
            </w:r>
          </w:p>
          <w:p>
            <w:pPr>
              <w:pStyle w:val="TableParagraph"/>
              <w:spacing w:before="7"/>
              <w:ind w:left="81"/>
              <w:rPr>
                <w:sz w:val="21"/>
              </w:rPr>
            </w:pPr>
            <w:r>
              <w:rPr>
                <w:sz w:val="21"/>
              </w:rPr>
              <w:t>（1）骨髓穿刺检查或骨髓活检结果支持诊断；</w:t>
            </w:r>
          </w:p>
          <w:p>
            <w:pPr>
              <w:pStyle w:val="TableParagraph"/>
              <w:spacing w:before="37"/>
              <w:ind w:left="81"/>
              <w:rPr>
                <w:sz w:val="21"/>
              </w:rPr>
            </w:pPr>
            <w:r>
              <w:rPr>
                <w:sz w:val="21"/>
              </w:rPr>
              <w:t>（2）外周血象须具备以下三项条件：</w:t>
            </w:r>
          </w:p>
          <w:p>
            <w:pPr>
              <w:pStyle w:val="TableParagraph"/>
              <w:tabs>
                <w:tab w:pos="609" w:val="left" w:leader="none"/>
              </w:tabs>
              <w:spacing w:before="37"/>
              <w:ind w:left="187"/>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09" w:val="left" w:leader="none"/>
              </w:tabs>
              <w:spacing w:before="36"/>
              <w:ind w:left="186"/>
              <w:rPr>
                <w:sz w:val="21"/>
              </w:rPr>
            </w:pPr>
            <w:r>
              <w:rPr>
                <w:sz w:val="21"/>
              </w:rPr>
              <w:t>②</w:t>
              <w:tab/>
            </w:r>
            <w:r>
              <w:rPr>
                <w:spacing w:val="-3"/>
                <w:sz w:val="21"/>
              </w:rPr>
              <w:t>网织红细胞＜</w:t>
            </w:r>
            <w:r>
              <w:rPr>
                <w:spacing w:val="-1"/>
                <w:sz w:val="21"/>
              </w:rPr>
              <w:t>1%；</w:t>
            </w:r>
          </w:p>
          <w:p>
            <w:pPr>
              <w:pStyle w:val="TableParagraph"/>
              <w:tabs>
                <w:tab w:pos="609" w:val="left" w:leader="none"/>
              </w:tabs>
              <w:spacing w:before="36"/>
              <w:ind w:left="187"/>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560" w:hRule="atLeast"/>
        </w:trPr>
        <w:tc>
          <w:tcPr>
            <w:tcW w:w="1746" w:type="dxa"/>
          </w:tcPr>
          <w:p>
            <w:pPr>
              <w:pStyle w:val="TableParagraph"/>
              <w:spacing w:before="140"/>
              <w:ind w:left="200"/>
              <w:rPr>
                <w:rFonts w:ascii="等线" w:eastAsia="等线" w:hint="eastAsia"/>
                <w:b/>
                <w:sz w:val="24"/>
              </w:rPr>
            </w:pPr>
            <w:r>
              <w:rPr>
                <w:rFonts w:ascii="等线" w:eastAsia="等线" w:hint="eastAsia"/>
                <w:b/>
                <w:sz w:val="24"/>
              </w:rPr>
              <w:t>主动脉手术</w:t>
            </w:r>
          </w:p>
        </w:tc>
        <w:tc>
          <w:tcPr>
            <w:tcW w:w="7986" w:type="dxa"/>
          </w:tcPr>
          <w:p>
            <w:pPr>
              <w:pStyle w:val="TableParagraph"/>
              <w:spacing w:line="273" w:lineRule="auto" w:before="142"/>
              <w:ind w:left="81" w:right="3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81"/>
              <w:jc w:val="both"/>
              <w:rPr>
                <w:sz w:val="21"/>
              </w:rPr>
            </w:pPr>
            <w:r>
              <w:rPr>
                <w:sz w:val="21"/>
                <w:shd w:fill="DADADA" w:color="auto" w:val="clear"/>
              </w:rPr>
              <w:t>动脉内血管成形术不在保障范围内。</w:t>
            </w:r>
          </w:p>
        </w:tc>
      </w:tr>
      <w:tr>
        <w:trPr>
          <w:trHeight w:val="935" w:hRule="atLeast"/>
        </w:trPr>
        <w:tc>
          <w:tcPr>
            <w:tcW w:w="1746" w:type="dxa"/>
          </w:tcPr>
          <w:p>
            <w:pPr>
              <w:pStyle w:val="TableParagraph"/>
              <w:rPr>
                <w:rFonts w:ascii="Times New Roman"/>
                <w:sz w:val="20"/>
              </w:rPr>
            </w:pPr>
          </w:p>
        </w:tc>
        <w:tc>
          <w:tcPr>
            <w:tcW w:w="7986" w:type="dxa"/>
          </w:tcPr>
          <w:p>
            <w:pPr>
              <w:pStyle w:val="TableParagraph"/>
              <w:spacing w:line="273" w:lineRule="auto" w:before="142"/>
              <w:ind w:left="81" w:right="306"/>
              <w:rPr>
                <w:sz w:val="21"/>
              </w:rPr>
            </w:pPr>
            <w:r>
              <w:rPr>
                <w:sz w:val="21"/>
              </w:rPr>
              <w:t>以下重大疾病是本公司在中国保险行业协会与中国医师协会制定了规范定义的疾病范围之外增加的疾病。</w:t>
            </w:r>
          </w:p>
        </w:tc>
      </w:tr>
      <w:tr>
        <w:trPr>
          <w:trHeight w:val="2495" w:hRule="atLeast"/>
        </w:trPr>
        <w:tc>
          <w:tcPr>
            <w:tcW w:w="1746" w:type="dxa"/>
          </w:tcPr>
          <w:p>
            <w:pPr>
              <w:pStyle w:val="TableParagraph"/>
              <w:spacing w:line="235" w:lineRule="auto" w:before="147"/>
              <w:ind w:left="200" w:right="81"/>
              <w:rPr>
                <w:rFonts w:ascii="等线" w:eastAsia="等线" w:hint="eastAsia"/>
                <w:b/>
                <w:sz w:val="24"/>
              </w:rPr>
            </w:pPr>
            <w:r>
              <w:rPr>
                <w:rFonts w:ascii="等线" w:eastAsia="等线" w:hint="eastAsia"/>
                <w:b/>
                <w:sz w:val="24"/>
              </w:rPr>
              <w:t>严重的多发性硬化</w:t>
            </w:r>
          </w:p>
        </w:tc>
        <w:tc>
          <w:tcPr>
            <w:tcW w:w="7986" w:type="dxa"/>
          </w:tcPr>
          <w:p>
            <w:pPr>
              <w:pStyle w:val="TableParagraph"/>
              <w:spacing w:line="273" w:lineRule="auto" w:before="142"/>
              <w:ind w:left="81" w:right="198"/>
              <w:rPr>
                <w:sz w:val="21"/>
              </w:rPr>
            </w:pPr>
            <w:r>
              <w:rPr>
                <w:spacing w:val="-3"/>
                <w:sz w:val="21"/>
              </w:rPr>
              <w:t>指因中枢神经系统脱髓鞘而导致的不可逆的身体部位的功能障碍，需由神经科专科</w:t>
            </w:r>
            <w:r>
              <w:rPr>
                <w:spacing w:val="-9"/>
                <w:sz w:val="21"/>
              </w:rPr>
              <w:t>医生提供明确诊断，并有头颅断层扫描</w:t>
            </w:r>
            <w:r>
              <w:rPr>
                <w:spacing w:val="-10"/>
                <w:sz w:val="21"/>
              </w:rPr>
              <w:t>（CT）</w:t>
            </w:r>
            <w:r>
              <w:rPr>
                <w:spacing w:val="-8"/>
                <w:sz w:val="21"/>
              </w:rPr>
              <w:t>或核磁共振检查</w:t>
            </w:r>
            <w:r>
              <w:rPr>
                <w:spacing w:val="-9"/>
                <w:sz w:val="21"/>
              </w:rPr>
              <w:t>（MRI）</w:t>
            </w:r>
            <w:r>
              <w:rPr>
                <w:spacing w:val="-3"/>
                <w:sz w:val="21"/>
              </w:rPr>
              <w:t>结果诊断报告。</w:t>
            </w:r>
            <w:r>
              <w:rPr>
                <w:spacing w:val="-5"/>
                <w:sz w:val="21"/>
              </w:rPr>
              <w:t>不可逆的身体部位功能障碍指诊断为功能障碍后需已经持续 </w:t>
            </w:r>
            <w:r>
              <w:rPr>
                <w:sz w:val="21"/>
              </w:rPr>
              <w:t>180</w:t>
            </w:r>
            <w:r>
              <w:rPr>
                <w:spacing w:val="-11"/>
                <w:sz w:val="21"/>
              </w:rPr>
              <w:t> 日以上。</w:t>
            </w:r>
          </w:p>
          <w:p>
            <w:pPr>
              <w:pStyle w:val="TableParagraph"/>
              <w:spacing w:before="7"/>
              <w:ind w:left="81"/>
              <w:rPr>
                <w:sz w:val="21"/>
              </w:rPr>
            </w:pPr>
            <w:r>
              <w:rPr>
                <w:sz w:val="21"/>
              </w:rPr>
              <w:t>由神经科专科医生提供的明确诊断必须同时包含下列内容：</w:t>
            </w:r>
          </w:p>
          <w:p>
            <w:pPr>
              <w:pStyle w:val="TableParagraph"/>
              <w:spacing w:before="37"/>
              <w:ind w:left="81"/>
              <w:rPr>
                <w:sz w:val="21"/>
              </w:rPr>
            </w:pPr>
            <w:r>
              <w:rPr>
                <w:sz w:val="21"/>
              </w:rPr>
              <w:t>（1）明确出现因视神经、脑干和脊髓损伤而导致的临床表现；</w:t>
            </w:r>
          </w:p>
          <w:p>
            <w:pPr>
              <w:pStyle w:val="TableParagraph"/>
              <w:spacing w:before="37"/>
              <w:ind w:left="81"/>
              <w:rPr>
                <w:sz w:val="21"/>
              </w:rPr>
            </w:pPr>
            <w:r>
              <w:rPr>
                <w:sz w:val="21"/>
              </w:rPr>
              <w:t>（2）神经系统散在的多部位病变；</w:t>
            </w:r>
          </w:p>
          <w:p>
            <w:pPr>
              <w:pStyle w:val="TableParagraph"/>
              <w:spacing w:before="37"/>
              <w:ind w:left="81"/>
              <w:rPr>
                <w:sz w:val="21"/>
              </w:rPr>
            </w:pPr>
            <w:r>
              <w:rPr>
                <w:sz w:val="21"/>
              </w:rPr>
              <w:t>（3）有明确的上述症状及神经损伤反复恶化、减轻的病史纪录。</w:t>
            </w:r>
          </w:p>
        </w:tc>
      </w:tr>
      <w:tr>
        <w:trPr>
          <w:trHeight w:val="2289" w:hRule="atLeast"/>
        </w:trPr>
        <w:tc>
          <w:tcPr>
            <w:tcW w:w="1746" w:type="dxa"/>
          </w:tcPr>
          <w:p>
            <w:pPr>
              <w:pStyle w:val="TableParagraph"/>
              <w:spacing w:line="235" w:lineRule="auto" w:before="147"/>
              <w:ind w:left="200" w:right="66"/>
              <w:rPr>
                <w:rFonts w:ascii="等线" w:eastAsia="等线" w:hint="eastAsia"/>
                <w:b/>
                <w:sz w:val="24"/>
              </w:rPr>
            </w:pPr>
            <w:r>
              <w:rPr>
                <w:rFonts w:ascii="等线" w:eastAsia="等线" w:hint="eastAsia"/>
                <w:b/>
                <w:sz w:val="24"/>
              </w:rPr>
              <w:t>严重的 1 型糖尿病</w:t>
            </w:r>
          </w:p>
        </w:tc>
        <w:tc>
          <w:tcPr>
            <w:tcW w:w="7986" w:type="dxa"/>
          </w:tcPr>
          <w:p>
            <w:pPr>
              <w:pStyle w:val="TableParagraph"/>
              <w:spacing w:line="273" w:lineRule="auto" w:before="142"/>
              <w:ind w:left="81" w:right="301" w:hanging="1"/>
              <w:jc w:val="both"/>
              <w:rPr>
                <w:sz w:val="21"/>
              </w:rPr>
            </w:pPr>
            <w:r>
              <w:rPr>
                <w:spacing w:val="-5"/>
                <w:sz w:val="21"/>
              </w:rPr>
              <w:t>严重的 </w:t>
            </w:r>
            <w:r>
              <w:rPr>
                <w:sz w:val="21"/>
              </w:rPr>
              <w:t>1</w:t>
            </w:r>
            <w:r>
              <w:rPr>
                <w:spacing w:val="-5"/>
                <w:sz w:val="21"/>
              </w:rPr>
              <w:t> 型糖尿病为由于胰岛素分泌绝对不足引起的慢性血糖升高，且已经持续性</w:t>
            </w:r>
            <w:r>
              <w:rPr>
                <w:spacing w:val="-8"/>
                <w:sz w:val="21"/>
              </w:rPr>
              <w:t>地依赖外源性胰岛素维持 </w:t>
            </w:r>
            <w:r>
              <w:rPr>
                <w:sz w:val="21"/>
              </w:rPr>
              <w:t>180</w:t>
            </w:r>
            <w:r>
              <w:rPr>
                <w:spacing w:val="-11"/>
                <w:sz w:val="21"/>
              </w:rPr>
              <w:t> 日以上。须经血胰岛素测定、血 </w:t>
            </w:r>
            <w:r>
              <w:rPr>
                <w:sz w:val="21"/>
              </w:rPr>
              <w:t>C</w:t>
            </w:r>
            <w:r>
              <w:rPr>
                <w:spacing w:val="-15"/>
                <w:sz w:val="21"/>
              </w:rPr>
              <w:t> 肽测定或尿 </w:t>
            </w:r>
            <w:r>
              <w:rPr>
                <w:sz w:val="21"/>
              </w:rPr>
              <w:t>C</w:t>
            </w:r>
            <w:r>
              <w:rPr>
                <w:spacing w:val="-14"/>
                <w:sz w:val="21"/>
              </w:rPr>
              <w:t> 肽测</w:t>
            </w:r>
            <w:r>
              <w:rPr>
                <w:spacing w:val="-12"/>
                <w:sz w:val="21"/>
              </w:rPr>
              <w:t>定，结果异常，并由内分泌科专科医生明确诊断。并须在本附加险合同有效期内， 满足下述至少 </w:t>
            </w:r>
            <w:r>
              <w:rPr>
                <w:sz w:val="21"/>
              </w:rPr>
              <w:t>1</w:t>
            </w:r>
            <w:r>
              <w:rPr>
                <w:spacing w:val="-12"/>
                <w:sz w:val="21"/>
              </w:rPr>
              <w:t> 个条件：</w:t>
            </w:r>
          </w:p>
          <w:p>
            <w:pPr>
              <w:pStyle w:val="TableParagraph"/>
              <w:spacing w:before="7"/>
              <w:ind w:left="81"/>
              <w:jc w:val="both"/>
              <w:rPr>
                <w:sz w:val="21"/>
              </w:rPr>
            </w:pPr>
            <w:r>
              <w:rPr>
                <w:sz w:val="21"/>
              </w:rPr>
              <w:t>（1）已出现增殖性视网膜病变；</w:t>
            </w:r>
          </w:p>
          <w:p>
            <w:pPr>
              <w:pStyle w:val="TableParagraph"/>
              <w:spacing w:before="37"/>
              <w:ind w:left="81"/>
              <w:jc w:val="both"/>
              <w:rPr>
                <w:sz w:val="21"/>
              </w:rPr>
            </w:pPr>
            <w:r>
              <w:rPr>
                <w:sz w:val="21"/>
              </w:rPr>
              <w:t>（2）须植入心脏起搏器治疗心脏病；</w:t>
            </w:r>
          </w:p>
          <w:p>
            <w:pPr>
              <w:pStyle w:val="TableParagraph"/>
              <w:spacing w:line="255" w:lineRule="exact" w:before="37"/>
              <w:ind w:left="81"/>
              <w:jc w:val="both"/>
              <w:rPr>
                <w:sz w:val="21"/>
              </w:rPr>
            </w:pPr>
            <w:r>
              <w:rPr>
                <w:sz w:val="21"/>
              </w:rPr>
              <w:t>（3）因坏疽需切除至少一个脚趾。</w:t>
            </w:r>
          </w:p>
        </w:tc>
      </w:tr>
    </w:tbl>
    <w:p>
      <w:pPr>
        <w:spacing w:after="0" w:line="255" w:lineRule="exact"/>
        <w:jc w:val="both"/>
        <w:rPr>
          <w:sz w:val="21"/>
        </w:rPr>
        <w:sectPr>
          <w:pgSz w:w="11910" w:h="16840"/>
          <w:pgMar w:top="116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08"/>
        <w:gridCol w:w="7883"/>
      </w:tblGrid>
      <w:tr>
        <w:trPr>
          <w:trHeight w:val="1130" w:hRule="atLeast"/>
        </w:trPr>
        <w:tc>
          <w:tcPr>
            <w:tcW w:w="679" w:type="dxa"/>
          </w:tcPr>
          <w:p>
            <w:pPr>
              <w:pStyle w:val="TableParagraph"/>
              <w:rPr>
                <w:rFonts w:ascii="Times New Roman"/>
                <w:sz w:val="20"/>
              </w:rPr>
            </w:pPr>
          </w:p>
        </w:tc>
        <w:tc>
          <w:tcPr>
            <w:tcW w:w="1708" w:type="dxa"/>
          </w:tcPr>
          <w:p>
            <w:pPr>
              <w:pStyle w:val="TableParagraph"/>
              <w:spacing w:line="256" w:lineRule="exact"/>
              <w:ind w:left="161"/>
              <w:rPr>
                <w:rFonts w:ascii="等线" w:eastAsia="等线" w:hint="eastAsia"/>
                <w:b/>
                <w:sz w:val="24"/>
              </w:rPr>
            </w:pPr>
            <w:r>
              <w:rPr>
                <w:rFonts w:ascii="等线" w:eastAsia="等线" w:hint="eastAsia"/>
                <w:b/>
                <w:sz w:val="24"/>
              </w:rPr>
              <w:t>侵蚀性葡萄 </w:t>
            </w:r>
          </w:p>
          <w:p>
            <w:pPr>
              <w:pStyle w:val="TableParagraph"/>
              <w:spacing w:line="235" w:lineRule="auto" w:before="3"/>
              <w:ind w:left="161" w:right="80"/>
              <w:rPr>
                <w:rFonts w:ascii="等线" w:eastAsia="等线" w:hint="eastAsia"/>
                <w:b/>
                <w:sz w:val="24"/>
              </w:rPr>
            </w:pPr>
            <w:r>
              <w:rPr>
                <w:rFonts w:ascii="等线" w:eastAsia="等线" w:hint="eastAsia"/>
                <w:b/>
                <w:sz w:val="24"/>
              </w:rPr>
              <w:t>胎（或称恶性葡萄胎）</w:t>
            </w:r>
          </w:p>
        </w:tc>
        <w:tc>
          <w:tcPr>
            <w:tcW w:w="7883" w:type="dxa"/>
          </w:tcPr>
          <w:p>
            <w:pPr>
              <w:pStyle w:val="TableParagraph"/>
              <w:spacing w:line="209" w:lineRule="exact"/>
              <w:ind w:left="80"/>
              <w:rPr>
                <w:sz w:val="21"/>
              </w:rPr>
            </w:pPr>
            <w:r>
              <w:rPr>
                <w:sz w:val="21"/>
              </w:rPr>
              <w:t>该类疾病是指异常增生的绒毛组织浸润性生长浸入子宫肌层或转移至其他器官或组</w:t>
            </w:r>
          </w:p>
          <w:p>
            <w:pPr>
              <w:pStyle w:val="TableParagraph"/>
              <w:spacing w:before="37"/>
              <w:ind w:left="80"/>
              <w:rPr>
                <w:sz w:val="21"/>
              </w:rPr>
            </w:pPr>
            <w:r>
              <w:rPr>
                <w:sz w:val="21"/>
              </w:rPr>
              <w:t>织的葡萄胎，并已经进行化疗或手术治疗的。</w:t>
            </w:r>
          </w:p>
        </w:tc>
      </w:tr>
      <w:tr>
        <w:trPr>
          <w:trHeight w:val="6302" w:hRule="atLeast"/>
        </w:trPr>
        <w:tc>
          <w:tcPr>
            <w:tcW w:w="679" w:type="dxa"/>
          </w:tcPr>
          <w:p>
            <w:pPr>
              <w:pStyle w:val="TableParagraph"/>
              <w:rPr>
                <w:rFonts w:ascii="Times New Roman"/>
                <w:sz w:val="20"/>
              </w:rPr>
            </w:pPr>
          </w:p>
        </w:tc>
        <w:tc>
          <w:tcPr>
            <w:tcW w:w="1708" w:type="dxa"/>
          </w:tcPr>
          <w:p>
            <w:pPr>
              <w:pStyle w:val="TableParagraph"/>
              <w:spacing w:line="235" w:lineRule="auto" w:before="166"/>
              <w:ind w:left="161" w:right="80"/>
              <w:jc w:val="both"/>
              <w:rPr>
                <w:rFonts w:ascii="等线" w:eastAsia="等线" w:hint="eastAsia"/>
                <w:b/>
                <w:sz w:val="24"/>
              </w:rPr>
            </w:pPr>
            <w:r>
              <w:rPr>
                <w:rFonts w:ascii="等线" w:eastAsia="等线" w:hint="eastAsia"/>
                <w:b/>
                <w:sz w:val="24"/>
              </w:rPr>
              <w:t>系统性红斑狼疮并发重度的肾功能损害</w:t>
            </w:r>
          </w:p>
        </w:tc>
        <w:tc>
          <w:tcPr>
            <w:tcW w:w="7883" w:type="dxa"/>
          </w:tcPr>
          <w:p>
            <w:pPr>
              <w:pStyle w:val="TableParagraph"/>
              <w:spacing w:before="161"/>
              <w:ind w:left="81"/>
              <w:rPr>
                <w:sz w:val="21"/>
              </w:rPr>
            </w:pPr>
            <w:r>
              <w:rPr>
                <w:sz w:val="21"/>
              </w:rPr>
              <w:t>该类疾病保障仅限于女性。</w:t>
            </w:r>
          </w:p>
          <w:p>
            <w:pPr>
              <w:pStyle w:val="TableParagraph"/>
              <w:spacing w:line="273" w:lineRule="auto" w:before="36"/>
              <w:ind w:left="81" w:right="203"/>
              <w:jc w:val="both"/>
              <w:rPr>
                <w:sz w:val="21"/>
              </w:rPr>
            </w:pPr>
            <w:r>
              <w:rPr>
                <w:sz w:val="21"/>
              </w:rPr>
              <w:t>该类疾病是指一种自身免疫性结缔组织病，于体内有大量致病性自身抗体和免疫复合物，造成组织损伤。系统性红斑狼疮的诊断必须经专科医生明确诊断，并须同时满足下列条件：</w:t>
            </w:r>
          </w:p>
          <w:p>
            <w:pPr>
              <w:pStyle w:val="TableParagraph"/>
              <w:spacing w:before="7"/>
              <w:ind w:left="81"/>
              <w:jc w:val="both"/>
              <w:rPr>
                <w:sz w:val="21"/>
              </w:rPr>
            </w:pPr>
            <w:r>
              <w:rPr>
                <w:sz w:val="21"/>
              </w:rPr>
              <w:t>（1）临床表现至少具备下列条件中的 4 个：</w:t>
            </w:r>
          </w:p>
          <w:p>
            <w:pPr>
              <w:pStyle w:val="TableParagraph"/>
              <w:tabs>
                <w:tab w:pos="608" w:val="left" w:leader="none"/>
              </w:tabs>
              <w:spacing w:before="37"/>
              <w:ind w:left="186"/>
              <w:rPr>
                <w:sz w:val="21"/>
              </w:rPr>
            </w:pPr>
            <w:r>
              <w:rPr>
                <w:sz w:val="21"/>
              </w:rPr>
              <w:t>①</w:t>
              <w:tab/>
            </w:r>
            <w:r>
              <w:rPr>
                <w:spacing w:val="-3"/>
                <w:sz w:val="21"/>
              </w:rPr>
              <w:t>蝶形红斑或盘形红斑；</w:t>
            </w:r>
          </w:p>
          <w:p>
            <w:pPr>
              <w:pStyle w:val="TableParagraph"/>
              <w:tabs>
                <w:tab w:pos="608" w:val="left" w:leader="none"/>
              </w:tabs>
              <w:spacing w:before="37"/>
              <w:ind w:left="186"/>
              <w:rPr>
                <w:sz w:val="21"/>
              </w:rPr>
            </w:pPr>
            <w:r>
              <w:rPr>
                <w:sz w:val="21"/>
              </w:rPr>
              <w:t>②</w:t>
              <w:tab/>
            </w:r>
            <w:r>
              <w:rPr>
                <w:spacing w:val="-3"/>
                <w:sz w:val="21"/>
              </w:rPr>
              <w:t>光敏感；</w:t>
            </w:r>
          </w:p>
          <w:p>
            <w:pPr>
              <w:pStyle w:val="TableParagraph"/>
              <w:tabs>
                <w:tab w:pos="608" w:val="left" w:leader="none"/>
              </w:tabs>
              <w:spacing w:before="37"/>
              <w:ind w:left="186"/>
              <w:rPr>
                <w:sz w:val="21"/>
              </w:rPr>
            </w:pPr>
            <w:r>
              <w:rPr>
                <w:sz w:val="21"/>
              </w:rPr>
              <w:t>③</w:t>
              <w:tab/>
            </w:r>
            <w:r>
              <w:rPr>
                <w:spacing w:val="-3"/>
                <w:sz w:val="21"/>
              </w:rPr>
              <w:t>口鼻腔黏膜溃疡；</w:t>
            </w:r>
          </w:p>
          <w:p>
            <w:pPr>
              <w:pStyle w:val="TableParagraph"/>
              <w:tabs>
                <w:tab w:pos="608" w:val="left" w:leader="none"/>
              </w:tabs>
              <w:spacing w:before="37"/>
              <w:ind w:left="186"/>
              <w:rPr>
                <w:sz w:val="21"/>
              </w:rPr>
            </w:pPr>
            <w:r>
              <w:rPr>
                <w:sz w:val="21"/>
              </w:rPr>
              <w:t>④</w:t>
              <w:tab/>
            </w:r>
            <w:r>
              <w:rPr>
                <w:spacing w:val="-3"/>
                <w:sz w:val="21"/>
              </w:rPr>
              <w:t>非畸形性关节炎或多关节痛；</w:t>
            </w:r>
          </w:p>
          <w:p>
            <w:pPr>
              <w:pStyle w:val="TableParagraph"/>
              <w:tabs>
                <w:tab w:pos="608" w:val="left" w:leader="none"/>
              </w:tabs>
              <w:spacing w:before="37"/>
              <w:ind w:left="186"/>
              <w:rPr>
                <w:sz w:val="21"/>
              </w:rPr>
            </w:pPr>
            <w:r>
              <w:rPr>
                <w:sz w:val="21"/>
              </w:rPr>
              <w:t>⑤</w:t>
              <w:tab/>
            </w:r>
            <w:r>
              <w:rPr>
                <w:spacing w:val="-3"/>
                <w:sz w:val="21"/>
              </w:rPr>
              <w:t>胸膜炎或心包炎；</w:t>
            </w:r>
          </w:p>
          <w:p>
            <w:pPr>
              <w:pStyle w:val="TableParagraph"/>
              <w:tabs>
                <w:tab w:pos="608" w:val="left" w:leader="none"/>
              </w:tabs>
              <w:spacing w:before="37"/>
              <w:ind w:left="186"/>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08" w:val="left" w:leader="none"/>
              </w:tabs>
              <w:spacing w:before="37"/>
              <w:ind w:left="186"/>
              <w:rPr>
                <w:sz w:val="21"/>
              </w:rPr>
            </w:pPr>
            <w:r>
              <w:rPr>
                <w:sz w:val="21"/>
              </w:rPr>
              <w:t>⑦</w:t>
              <w:tab/>
            </w:r>
            <w:r>
              <w:rPr>
                <w:spacing w:val="-3"/>
                <w:sz w:val="21"/>
              </w:rPr>
              <w:t>血象异常（</w:t>
            </w:r>
            <w:r>
              <w:rPr>
                <w:spacing w:val="-11"/>
                <w:sz w:val="21"/>
              </w:rPr>
              <w:t>白细胞小于 </w:t>
            </w:r>
            <w:r>
              <w:rPr>
                <w:sz w:val="21"/>
              </w:rPr>
              <w:t>4000/μl</w:t>
            </w:r>
            <w:r>
              <w:rPr>
                <w:spacing w:val="-15"/>
                <w:sz w:val="21"/>
              </w:rPr>
              <w:t> 或血小板小于 </w:t>
            </w:r>
            <w:r>
              <w:rPr>
                <w:sz w:val="21"/>
              </w:rPr>
              <w:t>100000/μl</w:t>
            </w:r>
            <w:r>
              <w:rPr>
                <w:spacing w:val="-10"/>
                <w:sz w:val="21"/>
              </w:rPr>
              <w:t> 或溶血性贫血</w:t>
            </w:r>
            <w:r>
              <w:rPr>
                <w:spacing w:val="-106"/>
                <w:sz w:val="21"/>
              </w:rPr>
              <w:t>）</w:t>
            </w:r>
            <w:r>
              <w:rPr>
                <w:sz w:val="21"/>
              </w:rPr>
              <w:t>。</w:t>
            </w:r>
          </w:p>
          <w:p>
            <w:pPr>
              <w:pStyle w:val="TableParagraph"/>
              <w:spacing w:before="37"/>
              <w:ind w:left="81"/>
              <w:jc w:val="both"/>
              <w:rPr>
                <w:sz w:val="21"/>
              </w:rPr>
            </w:pPr>
            <w:r>
              <w:rPr>
                <w:sz w:val="21"/>
              </w:rPr>
              <w:t>（2）检测结果至少具备下列条件中的 2 个：</w:t>
            </w:r>
          </w:p>
          <w:p>
            <w:pPr>
              <w:pStyle w:val="TableParagraph"/>
              <w:tabs>
                <w:tab w:pos="606" w:val="left" w:leader="none"/>
              </w:tabs>
              <w:spacing w:before="37"/>
              <w:ind w:left="186"/>
              <w:rPr>
                <w:sz w:val="21"/>
              </w:rPr>
            </w:pPr>
            <w:r>
              <w:rPr>
                <w:sz w:val="21"/>
              </w:rPr>
              <w:t>①</w:t>
              <w:tab/>
            </w:r>
            <w:r>
              <w:rPr>
                <w:spacing w:val="-25"/>
                <w:sz w:val="21"/>
              </w:rPr>
              <w:t>抗 </w:t>
            </w:r>
            <w:r>
              <w:rPr>
                <w:sz w:val="21"/>
              </w:rPr>
              <w:t>dsDNA</w:t>
            </w:r>
            <w:r>
              <w:rPr>
                <w:spacing w:val="-10"/>
                <w:sz w:val="21"/>
              </w:rPr>
              <w:t> 抗体阳性；</w:t>
            </w:r>
          </w:p>
          <w:p>
            <w:pPr>
              <w:pStyle w:val="TableParagraph"/>
              <w:tabs>
                <w:tab w:pos="606" w:val="left" w:leader="none"/>
              </w:tabs>
              <w:spacing w:before="37"/>
              <w:ind w:left="186"/>
              <w:rPr>
                <w:sz w:val="21"/>
              </w:rPr>
            </w:pPr>
            <w:r>
              <w:rPr>
                <w:sz w:val="21"/>
              </w:rPr>
              <w:t>②</w:t>
              <w:tab/>
            </w:r>
            <w:r>
              <w:rPr>
                <w:spacing w:val="-25"/>
                <w:sz w:val="21"/>
              </w:rPr>
              <w:t>抗 </w:t>
            </w:r>
            <w:r>
              <w:rPr>
                <w:sz w:val="21"/>
              </w:rPr>
              <w:t>Sm</w:t>
            </w:r>
            <w:r>
              <w:rPr>
                <w:spacing w:val="-12"/>
                <w:sz w:val="21"/>
              </w:rPr>
              <w:t> 抗体阳性；</w:t>
            </w:r>
          </w:p>
          <w:p>
            <w:pPr>
              <w:pStyle w:val="TableParagraph"/>
              <w:tabs>
                <w:tab w:pos="609" w:val="left" w:leader="none"/>
              </w:tabs>
              <w:spacing w:before="37"/>
              <w:ind w:left="187"/>
              <w:rPr>
                <w:sz w:val="21"/>
              </w:rPr>
            </w:pPr>
            <w:r>
              <w:rPr>
                <w:sz w:val="21"/>
              </w:rPr>
              <w:t>③</w:t>
              <w:tab/>
            </w:r>
            <w:r>
              <w:rPr>
                <w:spacing w:val="-3"/>
                <w:sz w:val="21"/>
              </w:rPr>
              <w:t>抗核抗体阳性；</w:t>
            </w:r>
          </w:p>
          <w:p>
            <w:pPr>
              <w:pStyle w:val="TableParagraph"/>
              <w:tabs>
                <w:tab w:pos="609" w:val="left" w:leader="none"/>
              </w:tabs>
              <w:spacing w:before="37"/>
              <w:ind w:left="187"/>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09" w:val="left" w:leader="none"/>
              </w:tabs>
              <w:spacing w:before="37"/>
              <w:ind w:left="187"/>
              <w:rPr>
                <w:sz w:val="21"/>
              </w:rPr>
            </w:pPr>
            <w:r>
              <w:rPr>
                <w:sz w:val="21"/>
              </w:rPr>
              <w:t>⑤</w:t>
              <w:tab/>
              <w:t>C3</w:t>
            </w:r>
            <w:r>
              <w:rPr>
                <w:spacing w:val="-10"/>
                <w:sz w:val="21"/>
              </w:rPr>
              <w:t> 低于正常值。</w:t>
            </w:r>
          </w:p>
          <w:p>
            <w:pPr>
              <w:pStyle w:val="TableParagraph"/>
              <w:spacing w:before="37"/>
              <w:ind w:left="81"/>
              <w:jc w:val="both"/>
              <w:rPr>
                <w:sz w:val="21"/>
              </w:rPr>
            </w:pPr>
            <w:r>
              <w:rPr>
                <w:sz w:val="21"/>
              </w:rPr>
              <w:t>（3）狼疮肾炎致使肾功能减弱，内生肌酐清除率低于每分钟 30ml。</w:t>
            </w:r>
          </w:p>
        </w:tc>
      </w:tr>
      <w:tr>
        <w:trPr>
          <w:trHeight w:val="2581" w:hRule="atLeast"/>
        </w:trPr>
        <w:tc>
          <w:tcPr>
            <w:tcW w:w="679" w:type="dxa"/>
          </w:tcPr>
          <w:p>
            <w:pPr>
              <w:pStyle w:val="TableParagraph"/>
              <w:rPr>
                <w:rFonts w:ascii="Times New Roman"/>
                <w:sz w:val="20"/>
              </w:rPr>
            </w:pPr>
          </w:p>
        </w:tc>
        <w:tc>
          <w:tcPr>
            <w:tcW w:w="1708" w:type="dxa"/>
          </w:tcPr>
          <w:p>
            <w:pPr>
              <w:pStyle w:val="TableParagraph"/>
              <w:spacing w:line="235" w:lineRule="auto" w:before="187"/>
              <w:ind w:left="161" w:right="80"/>
              <w:rPr>
                <w:rFonts w:ascii="等线" w:eastAsia="等线" w:hint="eastAsia"/>
                <w:b/>
                <w:sz w:val="24"/>
              </w:rPr>
            </w:pPr>
            <w:r>
              <w:rPr>
                <w:rFonts w:ascii="等线" w:eastAsia="等线" w:hint="eastAsia"/>
                <w:b/>
                <w:sz w:val="24"/>
              </w:rPr>
              <w:t>严重的原发</w:t>
            </w:r>
            <w:r>
              <w:rPr>
                <w:rFonts w:ascii="等线" w:eastAsia="等线" w:hint="eastAsia"/>
                <w:b/>
                <w:w w:val="105"/>
                <w:sz w:val="24"/>
              </w:rPr>
              <w:t>性心ft病</w:t>
            </w:r>
          </w:p>
        </w:tc>
        <w:tc>
          <w:tcPr>
            <w:tcW w:w="7883" w:type="dxa"/>
          </w:tcPr>
          <w:p>
            <w:pPr>
              <w:pStyle w:val="TableParagraph"/>
              <w:spacing w:before="12"/>
              <w:rPr>
                <w:sz w:val="13"/>
              </w:rPr>
            </w:pPr>
          </w:p>
          <w:p>
            <w:pPr>
              <w:pStyle w:val="TableParagraph"/>
              <w:spacing w:line="273" w:lineRule="auto"/>
              <w:ind w:left="80" w:right="199"/>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标准判定，心功能</w:t>
            </w:r>
            <w:r>
              <w:rPr>
                <w:w w:val="100"/>
                <w:sz w:val="21"/>
              </w:rPr>
              <w:t>状态已达Ⅳ级</w:t>
            </w:r>
            <w:r>
              <w:rPr>
                <w:spacing w:val="-104"/>
                <w:w w:val="100"/>
                <w:sz w:val="21"/>
              </w:rPr>
              <w:t>）</w:t>
            </w:r>
            <w:r>
              <w:rPr>
                <w:w w:val="100"/>
                <w:sz w:val="21"/>
              </w:rPr>
              <w:t>，且有相关住院医疗记录显示Ⅳ级心功能衰竭状态已持续至少</w:t>
            </w:r>
            <w:r>
              <w:rPr>
                <w:sz w:val="21"/>
              </w:rPr>
              <w:t> </w:t>
            </w:r>
            <w:r>
              <w:rPr>
                <w:w w:val="100"/>
                <w:sz w:val="21"/>
              </w:rPr>
              <w:t>180</w:t>
            </w:r>
            <w:r>
              <w:rPr>
                <w:sz w:val="21"/>
              </w:rPr>
              <w:t>日。</w:t>
            </w:r>
          </w:p>
          <w:p>
            <w:pPr>
              <w:pStyle w:val="TableParagraph"/>
              <w:spacing w:line="273" w:lineRule="auto" w:before="7"/>
              <w:ind w:left="80" w:right="204"/>
              <w:jc w:val="both"/>
              <w:rPr>
                <w:sz w:val="21"/>
              </w:rPr>
            </w:pPr>
            <w:r>
              <w:rPr>
                <w:spacing w:val="-1"/>
                <w:sz w:val="21"/>
              </w:rPr>
              <w:t>本病须经专科医生明确诊断。</w:t>
            </w:r>
            <w:r>
              <w:rPr>
                <w:spacing w:val="-2"/>
                <w:sz w:val="21"/>
                <w:shd w:fill="DADADA" w:color="auto" w:val="clear"/>
              </w:rPr>
              <w:t>继发于全身性疾病或其它器官系统疾病造成的心肌病</w:t>
            </w:r>
            <w:r>
              <w:rPr>
                <w:spacing w:val="-212"/>
                <w:sz w:val="21"/>
                <w:shd w:fill="DADADA" w:color="auto" w:val="clear"/>
              </w:rPr>
              <w:t>变</w:t>
            </w:r>
            <w:r>
              <w:rPr>
                <w:spacing w:val="-3"/>
                <w:sz w:val="21"/>
                <w:shd w:fill="DADADA" w:color="auto" w:val="clear"/>
              </w:rPr>
              <w:t>不在保障范围内。</w:t>
            </w:r>
          </w:p>
        </w:tc>
      </w:tr>
      <w:tr>
        <w:trPr>
          <w:trHeight w:val="992" w:hRule="atLeast"/>
        </w:trPr>
        <w:tc>
          <w:tcPr>
            <w:tcW w:w="679" w:type="dxa"/>
          </w:tcPr>
          <w:p>
            <w:pPr>
              <w:pStyle w:val="TableParagraph"/>
              <w:rPr>
                <w:sz w:val="14"/>
              </w:rPr>
            </w:pPr>
          </w:p>
          <w:p>
            <w:pPr>
              <w:pStyle w:val="TableParagraph"/>
              <w:ind w:left="200"/>
              <w:rPr>
                <w:b/>
                <w:sz w:val="21"/>
              </w:rPr>
            </w:pPr>
            <w:r>
              <w:rPr>
                <w:b/>
                <w:sz w:val="21"/>
              </w:rPr>
              <w:t>9.4</w:t>
            </w:r>
          </w:p>
        </w:tc>
        <w:tc>
          <w:tcPr>
            <w:tcW w:w="1708" w:type="dxa"/>
          </w:tcPr>
          <w:p>
            <w:pPr>
              <w:pStyle w:val="TableParagraph"/>
              <w:rPr>
                <w:sz w:val="14"/>
              </w:rPr>
            </w:pPr>
          </w:p>
          <w:p>
            <w:pPr>
              <w:pStyle w:val="TableParagraph"/>
              <w:ind w:left="161"/>
              <w:rPr>
                <w:b/>
                <w:sz w:val="21"/>
              </w:rPr>
            </w:pPr>
            <w:r>
              <w:rPr>
                <w:b/>
                <w:sz w:val="21"/>
              </w:rPr>
              <w:t>特定轻度重疾</w:t>
            </w:r>
          </w:p>
        </w:tc>
        <w:tc>
          <w:tcPr>
            <w:tcW w:w="7883" w:type="dxa"/>
          </w:tcPr>
          <w:p>
            <w:pPr>
              <w:pStyle w:val="TableParagraph"/>
              <w:rPr>
                <w:sz w:val="14"/>
              </w:rPr>
            </w:pPr>
          </w:p>
          <w:p>
            <w:pPr>
              <w:pStyle w:val="TableParagraph"/>
              <w:spacing w:line="273" w:lineRule="auto"/>
              <w:ind w:left="81" w:right="203"/>
              <w:rPr>
                <w:sz w:val="21"/>
              </w:rPr>
            </w:pPr>
            <w:r>
              <w:rPr>
                <w:sz w:val="21"/>
              </w:rPr>
              <w:t>特定轻度重疾是指被保险人初次发生符合下列定义的疾病，或初次接受符合下列定义的手术。该疾病或手术应当由专科医生明确诊断。</w:t>
            </w:r>
          </w:p>
        </w:tc>
      </w:tr>
      <w:tr>
        <w:trPr>
          <w:trHeight w:val="1587" w:hRule="atLeast"/>
        </w:trPr>
        <w:tc>
          <w:tcPr>
            <w:tcW w:w="679" w:type="dxa"/>
          </w:tcPr>
          <w:p>
            <w:pPr>
              <w:pStyle w:val="TableParagraph"/>
              <w:rPr>
                <w:rFonts w:ascii="Times New Roman"/>
                <w:sz w:val="20"/>
              </w:rPr>
            </w:pPr>
          </w:p>
        </w:tc>
        <w:tc>
          <w:tcPr>
            <w:tcW w:w="1708" w:type="dxa"/>
          </w:tcPr>
          <w:p>
            <w:pPr>
              <w:pStyle w:val="TableParagraph"/>
              <w:spacing w:line="235" w:lineRule="auto" w:before="157"/>
              <w:ind w:left="161" w:right="80"/>
              <w:rPr>
                <w:rFonts w:ascii="等线" w:eastAsia="等线" w:hint="eastAsia"/>
                <w:b/>
                <w:sz w:val="24"/>
              </w:rPr>
            </w:pPr>
            <w:r>
              <w:rPr>
                <w:rFonts w:ascii="等线" w:eastAsia="等线" w:hint="eastAsia"/>
                <w:b/>
                <w:sz w:val="24"/>
              </w:rPr>
              <w:t>早期恶性病变</w:t>
            </w:r>
          </w:p>
        </w:tc>
        <w:tc>
          <w:tcPr>
            <w:tcW w:w="7883" w:type="dxa"/>
          </w:tcPr>
          <w:p>
            <w:pPr>
              <w:pStyle w:val="TableParagraph"/>
              <w:spacing w:before="153"/>
              <w:ind w:left="80"/>
              <w:rPr>
                <w:sz w:val="21"/>
              </w:rPr>
            </w:pPr>
            <w:r>
              <w:rPr>
                <w:sz w:val="21"/>
              </w:rPr>
              <w:t>指经组织病理学检查被明确诊断为下列恶性病变，并且接受了相应的治疗。</w:t>
            </w:r>
          </w:p>
          <w:p>
            <w:pPr>
              <w:pStyle w:val="TableParagraph"/>
              <w:spacing w:before="36"/>
              <w:ind w:left="80"/>
              <w:rPr>
                <w:sz w:val="21"/>
              </w:rPr>
            </w:pPr>
            <w:r>
              <w:rPr>
                <w:sz w:val="21"/>
              </w:rPr>
              <w:t>（1）相当于 Binet 分期方案 A 期程度的慢性淋巴细胞白血病；</w:t>
            </w:r>
          </w:p>
          <w:p>
            <w:pPr>
              <w:pStyle w:val="TableParagraph"/>
              <w:spacing w:before="36"/>
              <w:ind w:left="81"/>
              <w:rPr>
                <w:sz w:val="21"/>
              </w:rPr>
            </w:pPr>
            <w:r>
              <w:rPr>
                <w:sz w:val="21"/>
              </w:rPr>
              <w:t>（2）相当于 Ann Arbor 分期方案 I 期程度的何杰金氏病；</w:t>
            </w:r>
          </w:p>
          <w:p>
            <w:pPr>
              <w:pStyle w:val="TableParagraph"/>
              <w:spacing w:before="36"/>
              <w:ind w:left="81"/>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1056" w:hRule="atLeast"/>
        </w:trPr>
        <w:tc>
          <w:tcPr>
            <w:tcW w:w="679" w:type="dxa"/>
          </w:tcPr>
          <w:p>
            <w:pPr>
              <w:pStyle w:val="TableParagraph"/>
              <w:rPr>
                <w:rFonts w:ascii="Times New Roman"/>
                <w:sz w:val="20"/>
              </w:rPr>
            </w:pPr>
          </w:p>
        </w:tc>
        <w:tc>
          <w:tcPr>
            <w:tcW w:w="1708" w:type="dxa"/>
          </w:tcPr>
          <w:p>
            <w:pPr>
              <w:pStyle w:val="TableParagraph"/>
              <w:spacing w:before="152"/>
              <w:ind w:left="161"/>
              <w:rPr>
                <w:rFonts w:ascii="等线" w:eastAsia="等线" w:hint="eastAsia"/>
                <w:b/>
                <w:sz w:val="24"/>
              </w:rPr>
            </w:pPr>
            <w:r>
              <w:rPr>
                <w:rFonts w:ascii="等线" w:eastAsia="等线" w:hint="eastAsia"/>
                <w:b/>
                <w:sz w:val="24"/>
              </w:rPr>
              <w:t>原位癌</w:t>
            </w:r>
          </w:p>
        </w:tc>
        <w:tc>
          <w:tcPr>
            <w:tcW w:w="7883" w:type="dxa"/>
          </w:tcPr>
          <w:p>
            <w:pPr>
              <w:pStyle w:val="TableParagraph"/>
              <w:spacing w:before="154"/>
              <w:ind w:left="80"/>
              <w:rPr>
                <w:sz w:val="21"/>
              </w:rPr>
            </w:pPr>
            <w:r>
              <w:rPr>
                <w:sz w:val="21"/>
              </w:rPr>
              <w:t>指恶性肿瘤细胞未穿透基底膜的原位无浸润的恶性肿瘤。</w:t>
            </w:r>
          </w:p>
          <w:p>
            <w:pPr>
              <w:pStyle w:val="TableParagraph"/>
              <w:spacing w:line="310" w:lineRule="atLeast" w:before="1"/>
              <w:ind w:left="80" w:right="204"/>
              <w:rPr>
                <w:sz w:val="21"/>
              </w:rPr>
            </w:pPr>
            <w:r>
              <w:rPr>
                <w:sz w:val="21"/>
                <w:shd w:fill="DADADA" w:color="auto" w:val="clear"/>
              </w:rPr>
              <w:t>诊断需以固定组织标本的病理组织学检查结果为依据，任何组织涂片和穿刺活检结果均不能作为诊断依据。</w:t>
            </w:r>
          </w:p>
        </w:tc>
      </w:tr>
    </w:tbl>
    <w:p>
      <w:pPr>
        <w:spacing w:after="0" w:line="310" w:lineRule="atLeast"/>
        <w:rPr>
          <w:sz w:val="21"/>
        </w:rPr>
        <w:sectPr>
          <w:pgSz w:w="11910" w:h="16840"/>
          <w:pgMar w:top="1480" w:bottom="280" w:left="72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08"/>
        <w:gridCol w:w="7986"/>
      </w:tblGrid>
      <w:tr>
        <w:trPr>
          <w:trHeight w:val="1046" w:hRule="atLeast"/>
        </w:trPr>
        <w:tc>
          <w:tcPr>
            <w:tcW w:w="679" w:type="dxa"/>
          </w:tcPr>
          <w:p>
            <w:pPr>
              <w:pStyle w:val="TableParagraph"/>
              <w:rPr>
                <w:rFonts w:ascii="Times New Roman"/>
                <w:sz w:val="20"/>
              </w:rPr>
            </w:pPr>
          </w:p>
        </w:tc>
        <w:tc>
          <w:tcPr>
            <w:tcW w:w="1708" w:type="dxa"/>
          </w:tcPr>
          <w:p>
            <w:pPr>
              <w:pStyle w:val="TableParagraph"/>
              <w:spacing w:line="261" w:lineRule="exact"/>
              <w:ind w:left="161"/>
              <w:rPr>
                <w:rFonts w:ascii="等线" w:eastAsia="等线" w:hint="eastAsia"/>
                <w:b/>
                <w:sz w:val="24"/>
              </w:rPr>
            </w:pPr>
            <w:r>
              <w:rPr>
                <w:rFonts w:ascii="等线" w:eastAsia="等线" w:hint="eastAsia"/>
                <w:b/>
                <w:sz w:val="24"/>
              </w:rPr>
              <w:t>皮肤癌</w:t>
            </w:r>
          </w:p>
        </w:tc>
        <w:tc>
          <w:tcPr>
            <w:tcW w:w="7986" w:type="dxa"/>
          </w:tcPr>
          <w:p>
            <w:pPr>
              <w:pStyle w:val="TableParagraph"/>
              <w:spacing w:line="211" w:lineRule="exact"/>
              <w:ind w:left="80"/>
              <w:rPr>
                <w:sz w:val="21"/>
              </w:rPr>
            </w:pPr>
            <w:r>
              <w:rPr>
                <w:sz w:val="21"/>
              </w:rPr>
              <w:t>指皮肤表皮发生的恶性肿瘤。皮肤癌的诊断必须由专科医生诊断并且经病理学检查</w:t>
            </w:r>
          </w:p>
          <w:p>
            <w:pPr>
              <w:pStyle w:val="TableParagraph"/>
              <w:spacing w:before="37"/>
              <w:ind w:left="80"/>
              <w:rPr>
                <w:sz w:val="21"/>
              </w:rPr>
            </w:pPr>
            <w:r>
              <w:rPr>
                <w:sz w:val="21"/>
              </w:rPr>
              <w:t>结果确诊。</w:t>
            </w:r>
          </w:p>
          <w:p>
            <w:pPr>
              <w:pStyle w:val="TableParagraph"/>
              <w:spacing w:before="37"/>
              <w:ind w:left="80"/>
              <w:rPr>
                <w:sz w:val="21"/>
              </w:rPr>
            </w:pPr>
            <w:r>
              <w:rPr>
                <w:sz w:val="21"/>
                <w:shd w:fill="DADADA" w:color="auto" w:val="clear"/>
              </w:rPr>
              <w:t>恶性黑色素瘤及已发生转移的皮肤癌不在保障范围内。</w:t>
            </w:r>
          </w:p>
        </w:tc>
      </w:tr>
      <w:tr>
        <w:trPr>
          <w:trHeight w:val="1256" w:hRule="atLeast"/>
        </w:trPr>
        <w:tc>
          <w:tcPr>
            <w:tcW w:w="679" w:type="dxa"/>
          </w:tcPr>
          <w:p>
            <w:pPr>
              <w:pStyle w:val="TableParagraph"/>
              <w:rPr>
                <w:rFonts w:ascii="Times New Roman"/>
                <w:sz w:val="20"/>
              </w:rPr>
            </w:pPr>
          </w:p>
        </w:tc>
        <w:tc>
          <w:tcPr>
            <w:tcW w:w="1708" w:type="dxa"/>
          </w:tcPr>
          <w:p>
            <w:pPr>
              <w:pStyle w:val="TableParagraph"/>
              <w:spacing w:line="235" w:lineRule="auto" w:before="151"/>
              <w:ind w:left="161" w:right="80"/>
              <w:rPr>
                <w:rFonts w:ascii="等线" w:eastAsia="等线" w:hint="eastAsia"/>
                <w:b/>
                <w:sz w:val="24"/>
              </w:rPr>
            </w:pPr>
            <w:r>
              <w:rPr>
                <w:rFonts w:ascii="等线" w:eastAsia="等线" w:hint="eastAsia"/>
                <w:b/>
                <w:sz w:val="24"/>
              </w:rPr>
              <w:t>听力严重受损</w:t>
            </w:r>
          </w:p>
        </w:tc>
        <w:tc>
          <w:tcPr>
            <w:tcW w:w="7986" w:type="dxa"/>
          </w:tcPr>
          <w:p>
            <w:pPr>
              <w:pStyle w:val="TableParagraph"/>
              <w:spacing w:before="147"/>
              <w:ind w:left="83"/>
              <w:rPr>
                <w:sz w:val="21"/>
              </w:rPr>
            </w:pPr>
            <w:r>
              <w:rPr>
                <w:sz w:val="21"/>
              </w:rPr>
              <w:t>指因疾病或意外伤害导致双耳听力永久不可逆性丧失，在500 赫兹、1000 赫兹和2000</w:t>
            </w:r>
          </w:p>
          <w:p>
            <w:pPr>
              <w:pStyle w:val="TableParagraph"/>
              <w:spacing w:line="273" w:lineRule="auto" w:before="36"/>
              <w:ind w:left="83" w:right="302"/>
              <w:rPr>
                <w:sz w:val="21"/>
              </w:rPr>
            </w:pPr>
            <w:r>
              <w:rPr>
                <w:spacing w:val="-8"/>
                <w:sz w:val="21"/>
              </w:rPr>
              <w:t>赫兹语音频率下，平均听阈大于 </w:t>
            </w:r>
            <w:r>
              <w:rPr>
                <w:sz w:val="21"/>
              </w:rPr>
              <w:t>70</w:t>
            </w:r>
            <w:r>
              <w:rPr>
                <w:spacing w:val="-11"/>
                <w:sz w:val="21"/>
              </w:rPr>
              <w:t> 分贝，且经纯音听力测试、声导抗检测或听觉诱</w:t>
            </w:r>
            <w:r>
              <w:rPr>
                <w:spacing w:val="-6"/>
                <w:sz w:val="21"/>
              </w:rPr>
              <w:t>发电位检测等证实。</w:t>
            </w:r>
          </w:p>
        </w:tc>
      </w:tr>
      <w:tr>
        <w:trPr>
          <w:trHeight w:val="980" w:hRule="atLeast"/>
        </w:trPr>
        <w:tc>
          <w:tcPr>
            <w:tcW w:w="679" w:type="dxa"/>
          </w:tcPr>
          <w:p>
            <w:pPr>
              <w:pStyle w:val="TableParagraph"/>
              <w:rPr>
                <w:rFonts w:ascii="Times New Roman"/>
                <w:sz w:val="20"/>
              </w:rPr>
            </w:pPr>
          </w:p>
        </w:tc>
        <w:tc>
          <w:tcPr>
            <w:tcW w:w="1708" w:type="dxa"/>
          </w:tcPr>
          <w:p>
            <w:pPr>
              <w:pStyle w:val="TableParagraph"/>
              <w:spacing w:line="235" w:lineRule="auto" w:before="150"/>
              <w:ind w:left="161" w:right="80"/>
              <w:rPr>
                <w:rFonts w:ascii="等线" w:eastAsia="等线" w:hint="eastAsia"/>
                <w:b/>
                <w:sz w:val="24"/>
              </w:rPr>
            </w:pPr>
            <w:r>
              <w:rPr>
                <w:rFonts w:ascii="等线" w:eastAsia="等线" w:hint="eastAsia"/>
                <w:b/>
                <w:sz w:val="24"/>
              </w:rPr>
              <w:t>心脏瓣膜介入手术</w:t>
            </w:r>
          </w:p>
        </w:tc>
        <w:tc>
          <w:tcPr>
            <w:tcW w:w="7986" w:type="dxa"/>
          </w:tcPr>
          <w:p>
            <w:pPr>
              <w:pStyle w:val="TableParagraph"/>
              <w:spacing w:line="273" w:lineRule="auto" w:before="146"/>
              <w:ind w:left="80" w:right="307"/>
              <w:rPr>
                <w:sz w:val="21"/>
              </w:rPr>
            </w:pPr>
            <w:r>
              <w:rPr>
                <w:sz w:val="21"/>
              </w:rPr>
              <w:t>为了治疗心脏瓣膜疾病，实际实施了非开胸的经胸壁打孔内镜手术或经皮经导管介入手术进行的心脏瓣膜置换或修复手术。</w:t>
            </w:r>
          </w:p>
        </w:tc>
      </w:tr>
      <w:tr>
        <w:trPr>
          <w:trHeight w:val="960" w:hRule="atLeast"/>
        </w:trPr>
        <w:tc>
          <w:tcPr>
            <w:tcW w:w="679" w:type="dxa"/>
          </w:tcPr>
          <w:p>
            <w:pPr>
              <w:pStyle w:val="TableParagraph"/>
              <w:rPr>
                <w:rFonts w:ascii="Times New Roman"/>
                <w:sz w:val="20"/>
              </w:rPr>
            </w:pPr>
          </w:p>
        </w:tc>
        <w:tc>
          <w:tcPr>
            <w:tcW w:w="1708" w:type="dxa"/>
          </w:tcPr>
          <w:p>
            <w:pPr>
              <w:pStyle w:val="TableParagraph"/>
              <w:spacing w:line="235" w:lineRule="auto" w:before="129"/>
              <w:ind w:left="161" w:right="80"/>
              <w:rPr>
                <w:rFonts w:ascii="等线" w:eastAsia="等线" w:hint="eastAsia"/>
                <w:b/>
                <w:sz w:val="24"/>
              </w:rPr>
            </w:pPr>
            <w:r>
              <w:rPr>
                <w:rFonts w:ascii="等线" w:eastAsia="等线" w:hint="eastAsia"/>
                <w:b/>
                <w:sz w:val="24"/>
              </w:rPr>
              <w:t>主动脉内手术</w:t>
            </w:r>
          </w:p>
        </w:tc>
        <w:tc>
          <w:tcPr>
            <w:tcW w:w="7986" w:type="dxa"/>
          </w:tcPr>
          <w:p>
            <w:pPr>
              <w:pStyle w:val="TableParagraph"/>
              <w:spacing w:line="273" w:lineRule="auto" w:before="125"/>
              <w:ind w:left="80" w:right="307"/>
              <w:rPr>
                <w:sz w:val="21"/>
              </w:rPr>
            </w:pPr>
            <w:r>
              <w:rPr>
                <w:sz w:val="21"/>
              </w:rPr>
              <w:t>为了治疗主动脉疾病实际实施了经皮经导管进行的动脉内手术。主动脉指胸主动脉和腹主动脉，不包括胸主动脉和腹主动脉的分支血管。</w:t>
            </w:r>
          </w:p>
        </w:tc>
      </w:tr>
      <w:tr>
        <w:trPr>
          <w:trHeight w:val="1858" w:hRule="atLeast"/>
        </w:trPr>
        <w:tc>
          <w:tcPr>
            <w:tcW w:w="679" w:type="dxa"/>
          </w:tcPr>
          <w:p>
            <w:pPr>
              <w:pStyle w:val="TableParagraph"/>
              <w:rPr>
                <w:rFonts w:ascii="Times New Roman"/>
                <w:sz w:val="20"/>
              </w:rPr>
            </w:pPr>
          </w:p>
        </w:tc>
        <w:tc>
          <w:tcPr>
            <w:tcW w:w="1708" w:type="dxa"/>
          </w:tcPr>
          <w:p>
            <w:pPr>
              <w:pStyle w:val="TableParagraph"/>
              <w:spacing w:line="235" w:lineRule="auto" w:before="129"/>
              <w:ind w:left="161" w:right="80"/>
              <w:jc w:val="both"/>
              <w:rPr>
                <w:rFonts w:ascii="等线" w:eastAsia="等线" w:hint="eastAsia"/>
                <w:b/>
                <w:sz w:val="24"/>
              </w:rPr>
            </w:pPr>
            <w:r>
              <w:rPr>
                <w:rFonts w:ascii="等线" w:eastAsia="等线" w:hint="eastAsia"/>
                <w:b/>
                <w:sz w:val="24"/>
              </w:rPr>
              <w:t>脑垂体瘤、脑囊肿、脑动脉瘤及脑血管瘤</w:t>
            </w:r>
          </w:p>
        </w:tc>
        <w:tc>
          <w:tcPr>
            <w:tcW w:w="7986" w:type="dxa"/>
          </w:tcPr>
          <w:p>
            <w:pPr>
              <w:pStyle w:val="TableParagraph"/>
              <w:spacing w:line="273" w:lineRule="auto" w:before="125"/>
              <w:ind w:left="81" w:right="307"/>
              <w:rPr>
                <w:sz w:val="21"/>
              </w:rPr>
            </w:pPr>
            <w:r>
              <w:rPr>
                <w:w w:val="100"/>
                <w:sz w:val="21"/>
              </w:rPr>
              <w:t>指经头颅断层扫描（CT</w:t>
            </w:r>
            <w:r>
              <w:rPr>
                <w:spacing w:val="-106"/>
                <w:w w:val="100"/>
                <w:sz w:val="21"/>
              </w:rPr>
              <w:t>）</w:t>
            </w:r>
            <w:r>
              <w:rPr>
                <w:spacing w:val="-2"/>
                <w:w w:val="100"/>
                <w:sz w:val="21"/>
              </w:rPr>
              <w:t>、核磁共振检查</w:t>
            </w:r>
            <w:r>
              <w:rPr>
                <w:w w:val="100"/>
                <w:sz w:val="21"/>
              </w:rPr>
              <w:t>（MRI）</w:t>
            </w:r>
            <w:r>
              <w:rPr>
                <w:spacing w:val="-3"/>
                <w:w w:val="100"/>
                <w:sz w:val="21"/>
              </w:rPr>
              <w:t>或其他影像学检查被确诊为下列病</w:t>
            </w:r>
            <w:r>
              <w:rPr>
                <w:spacing w:val="-3"/>
                <w:sz w:val="21"/>
              </w:rPr>
              <w:t>变，并实际接受了手术或放射治疗。</w:t>
            </w:r>
          </w:p>
          <w:p>
            <w:pPr>
              <w:pStyle w:val="TableParagraph"/>
              <w:spacing w:before="7"/>
              <w:ind w:left="81"/>
              <w:rPr>
                <w:sz w:val="21"/>
              </w:rPr>
            </w:pPr>
            <w:r>
              <w:rPr>
                <w:sz w:val="21"/>
              </w:rPr>
              <w:t>（1）脑垂体瘤；</w:t>
            </w:r>
          </w:p>
          <w:p>
            <w:pPr>
              <w:pStyle w:val="TableParagraph"/>
              <w:spacing w:before="37"/>
              <w:ind w:left="81"/>
              <w:rPr>
                <w:sz w:val="21"/>
              </w:rPr>
            </w:pPr>
            <w:r>
              <w:rPr>
                <w:sz w:val="21"/>
              </w:rPr>
              <w:t>（2）脑囊肿；</w:t>
            </w:r>
          </w:p>
          <w:p>
            <w:pPr>
              <w:pStyle w:val="TableParagraph"/>
              <w:spacing w:before="37"/>
              <w:ind w:left="81"/>
              <w:rPr>
                <w:sz w:val="21"/>
              </w:rPr>
            </w:pPr>
            <w:r>
              <w:rPr>
                <w:sz w:val="21"/>
              </w:rPr>
              <w:t>（3）脑动脉瘤、脑血管瘤。</w:t>
            </w:r>
          </w:p>
        </w:tc>
      </w:tr>
      <w:tr>
        <w:trPr>
          <w:trHeight w:val="2816" w:hRule="atLeast"/>
        </w:trPr>
        <w:tc>
          <w:tcPr>
            <w:tcW w:w="679" w:type="dxa"/>
          </w:tcPr>
          <w:p>
            <w:pPr>
              <w:pStyle w:val="TableParagraph"/>
              <w:rPr>
                <w:rFonts w:ascii="Times New Roman"/>
                <w:sz w:val="20"/>
              </w:rPr>
            </w:pPr>
          </w:p>
        </w:tc>
        <w:tc>
          <w:tcPr>
            <w:tcW w:w="1708" w:type="dxa"/>
          </w:tcPr>
          <w:p>
            <w:pPr>
              <w:pStyle w:val="TableParagraph"/>
              <w:spacing w:before="144"/>
              <w:ind w:left="161"/>
              <w:rPr>
                <w:rFonts w:ascii="等线" w:eastAsia="等线" w:hint="eastAsia"/>
                <w:b/>
                <w:sz w:val="24"/>
              </w:rPr>
            </w:pPr>
            <w:r>
              <w:rPr>
                <w:rFonts w:ascii="等线" w:eastAsia="等线" w:hint="eastAsia"/>
                <w:b/>
                <w:sz w:val="24"/>
              </w:rPr>
              <w:t>脑损伤</w:t>
            </w:r>
          </w:p>
        </w:tc>
        <w:tc>
          <w:tcPr>
            <w:tcW w:w="7986" w:type="dxa"/>
          </w:tcPr>
          <w:p>
            <w:pPr>
              <w:pStyle w:val="TableParagraph"/>
              <w:spacing w:line="273" w:lineRule="auto" w:before="146"/>
              <w:ind w:left="80" w:right="302"/>
              <w:jc w:val="both"/>
              <w:rPr>
                <w:sz w:val="21"/>
              </w:rPr>
            </w:pPr>
            <w:r>
              <w:rPr>
                <w:spacing w:val="-3"/>
                <w:sz w:val="21"/>
              </w:rPr>
              <w:t>指因头部遭受机械性外力，引起脑重要部位损伤，导致神经系统的功能障碍。须由</w:t>
            </w:r>
            <w:r>
              <w:rPr>
                <w:spacing w:val="-5"/>
                <w:w w:val="100"/>
                <w:sz w:val="21"/>
              </w:rPr>
              <w:t>头颅断层扫描</w:t>
            </w:r>
            <w:r>
              <w:rPr>
                <w:w w:val="100"/>
                <w:sz w:val="21"/>
              </w:rPr>
              <w:t>（</w:t>
            </w:r>
            <w:r>
              <w:rPr>
                <w:spacing w:val="-3"/>
                <w:w w:val="100"/>
                <w:sz w:val="21"/>
              </w:rPr>
              <w:t>C</w:t>
            </w:r>
            <w:r>
              <w:rPr>
                <w:spacing w:val="-1"/>
                <w:w w:val="100"/>
                <w:sz w:val="21"/>
              </w:rPr>
              <w:t>T</w:t>
            </w:r>
            <w:r>
              <w:rPr>
                <w:spacing w:val="-106"/>
                <w:w w:val="100"/>
                <w:sz w:val="21"/>
              </w:rPr>
              <w:t>）</w:t>
            </w:r>
            <w:r>
              <w:rPr>
                <w:spacing w:val="-7"/>
                <w:w w:val="100"/>
                <w:sz w:val="21"/>
              </w:rPr>
              <w:t>、核磁共振检查</w:t>
            </w:r>
            <w:r>
              <w:rPr>
                <w:spacing w:val="-3"/>
                <w:w w:val="100"/>
                <w:sz w:val="21"/>
              </w:rPr>
              <w:t>（</w:t>
            </w:r>
            <w:r>
              <w:rPr>
                <w:w w:val="100"/>
                <w:sz w:val="21"/>
              </w:rPr>
              <w:t>MRI</w:t>
            </w:r>
            <w:r>
              <w:rPr>
                <w:spacing w:val="-15"/>
                <w:w w:val="100"/>
                <w:sz w:val="21"/>
              </w:rPr>
              <w:t>）</w:t>
            </w:r>
            <w:r>
              <w:rPr>
                <w:spacing w:val="-4"/>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等影像学</w:t>
            </w:r>
            <w:r>
              <w:rPr>
                <w:spacing w:val="-11"/>
                <w:sz w:val="21"/>
              </w:rPr>
              <w:t>检查证实。神经系统的功能障碍，指脑损伤 </w:t>
            </w:r>
            <w:r>
              <w:rPr>
                <w:sz w:val="21"/>
              </w:rPr>
              <w:t>30</w:t>
            </w:r>
            <w:r>
              <w:rPr>
                <w:spacing w:val="-10"/>
                <w:sz w:val="21"/>
              </w:rPr>
              <w:t> 天后，仍遗留下列一种或一种以上障碍：</w:t>
            </w:r>
          </w:p>
          <w:p>
            <w:pPr>
              <w:pStyle w:val="TableParagraph"/>
              <w:spacing w:before="7"/>
              <w:ind w:left="80"/>
              <w:rPr>
                <w:sz w:val="21"/>
              </w:rPr>
            </w:pPr>
            <w:r>
              <w:rPr>
                <w:sz w:val="21"/>
              </w:rPr>
              <w:t>（1）一肢或一肢以上肢体机能完全丧失；</w:t>
            </w:r>
          </w:p>
          <w:p>
            <w:pPr>
              <w:pStyle w:val="TableParagraph"/>
              <w:spacing w:before="36"/>
              <w:ind w:left="80"/>
              <w:rPr>
                <w:sz w:val="21"/>
              </w:rPr>
            </w:pPr>
            <w:r>
              <w:rPr>
                <w:sz w:val="21"/>
              </w:rPr>
              <w:t>（2）语言能力或咀嚼吞咽能力完全丧失；</w:t>
            </w:r>
          </w:p>
          <w:p>
            <w:pPr>
              <w:pStyle w:val="TableParagraph"/>
              <w:spacing w:line="273" w:lineRule="auto" w:before="36"/>
              <w:ind w:left="573" w:right="302" w:hanging="493"/>
              <w:rPr>
                <w:sz w:val="21"/>
              </w:rPr>
            </w:pPr>
            <w:r>
              <w:rPr>
                <w:spacing w:val="-13"/>
                <w:sz w:val="21"/>
              </w:rPr>
              <w:t>（3）</w:t>
            </w:r>
            <w:r>
              <w:rPr>
                <w:spacing w:val="-6"/>
                <w:sz w:val="21"/>
              </w:rPr>
              <w:t>自主生活能力完全丧失，无法独立完成六项基本日常生活活动中的一项或一项以上。</w:t>
            </w:r>
          </w:p>
        </w:tc>
      </w:tr>
      <w:tr>
        <w:trPr>
          <w:trHeight w:val="1877" w:hRule="atLeast"/>
        </w:trPr>
        <w:tc>
          <w:tcPr>
            <w:tcW w:w="679" w:type="dxa"/>
          </w:tcPr>
          <w:p>
            <w:pPr>
              <w:pStyle w:val="TableParagraph"/>
              <w:spacing w:before="147"/>
              <w:ind w:right="160"/>
              <w:jc w:val="right"/>
              <w:rPr>
                <w:b/>
                <w:sz w:val="21"/>
              </w:rPr>
            </w:pPr>
            <w:r>
              <w:rPr>
                <w:b/>
                <w:sz w:val="21"/>
              </w:rPr>
              <w:t>9.5</w:t>
            </w:r>
          </w:p>
        </w:tc>
        <w:tc>
          <w:tcPr>
            <w:tcW w:w="1708" w:type="dxa"/>
          </w:tcPr>
          <w:p>
            <w:pPr>
              <w:pStyle w:val="TableParagraph"/>
              <w:spacing w:before="147"/>
              <w:ind w:left="161"/>
              <w:rPr>
                <w:b/>
                <w:sz w:val="21"/>
              </w:rPr>
            </w:pPr>
            <w:r>
              <w:rPr>
                <w:b/>
                <w:sz w:val="21"/>
              </w:rPr>
              <w:t>专科医生</w:t>
            </w:r>
          </w:p>
        </w:tc>
        <w:tc>
          <w:tcPr>
            <w:tcW w:w="7986" w:type="dxa"/>
          </w:tcPr>
          <w:p>
            <w:pPr>
              <w:pStyle w:val="TableParagraph"/>
              <w:spacing w:before="147"/>
              <w:ind w:left="80"/>
              <w:rPr>
                <w:sz w:val="21"/>
              </w:rPr>
            </w:pPr>
            <w:r>
              <w:rPr>
                <w:sz w:val="21"/>
              </w:rPr>
              <w:t>专科医生应当同时满足以下四项资格条件：</w:t>
            </w:r>
          </w:p>
          <w:p>
            <w:pPr>
              <w:pStyle w:val="TableParagraph"/>
              <w:spacing w:before="36"/>
              <w:ind w:left="81"/>
              <w:rPr>
                <w:sz w:val="21"/>
              </w:rPr>
            </w:pPr>
            <w:r>
              <w:rPr>
                <w:sz w:val="21"/>
              </w:rPr>
              <w:t>（1）具有有效的中华人民共和国《医师资格证书》；</w:t>
            </w:r>
          </w:p>
          <w:p>
            <w:pPr>
              <w:pStyle w:val="TableParagraph"/>
              <w:spacing w:before="36"/>
              <w:ind w:left="81"/>
              <w:rPr>
                <w:sz w:val="21"/>
              </w:rPr>
            </w:pPr>
            <w:r>
              <w:rPr>
                <w:sz w:val="21"/>
              </w:rPr>
              <w:t>（2）具有有效的中华人民共和国《医师执业证书》，并按期到相关部门登记注册；</w:t>
            </w:r>
          </w:p>
          <w:p>
            <w:pPr>
              <w:pStyle w:val="TableParagraph"/>
              <w:spacing w:before="36"/>
              <w:ind w:left="81"/>
              <w:rPr>
                <w:sz w:val="21"/>
              </w:rPr>
            </w:pPr>
            <w:r>
              <w:rPr>
                <w:sz w:val="21"/>
              </w:rPr>
              <w:t>（3）具有有效的中华人民共和国主治医师或主治医师以上职称的《医师职称证书》；</w:t>
            </w:r>
          </w:p>
          <w:p>
            <w:pPr>
              <w:pStyle w:val="TableParagraph"/>
              <w:spacing w:before="36"/>
              <w:ind w:left="80"/>
              <w:rPr>
                <w:sz w:val="21"/>
              </w:rPr>
            </w:pPr>
            <w:r>
              <w:rPr>
                <w:sz w:val="21"/>
              </w:rPr>
              <w:t>（4）在二级或二级以上医院的相应科室从事临床工作三年以上。</w:t>
            </w:r>
          </w:p>
        </w:tc>
      </w:tr>
      <w:tr>
        <w:trPr>
          <w:trHeight w:val="935" w:hRule="atLeast"/>
        </w:trPr>
        <w:tc>
          <w:tcPr>
            <w:tcW w:w="679" w:type="dxa"/>
          </w:tcPr>
          <w:p>
            <w:pPr>
              <w:pStyle w:val="TableParagraph"/>
              <w:spacing w:before="142"/>
              <w:ind w:right="160"/>
              <w:jc w:val="right"/>
              <w:rPr>
                <w:b/>
                <w:sz w:val="21"/>
              </w:rPr>
            </w:pPr>
            <w:r>
              <w:rPr>
                <w:b/>
                <w:sz w:val="21"/>
              </w:rPr>
              <w:t>9.6</w:t>
            </w:r>
          </w:p>
        </w:tc>
        <w:tc>
          <w:tcPr>
            <w:tcW w:w="1708" w:type="dxa"/>
          </w:tcPr>
          <w:p>
            <w:pPr>
              <w:pStyle w:val="TableParagraph"/>
              <w:spacing w:line="273" w:lineRule="auto" w:before="142"/>
              <w:ind w:left="161" w:right="102"/>
              <w:rPr>
                <w:b/>
                <w:sz w:val="21"/>
              </w:rPr>
            </w:pPr>
            <w:r>
              <w:rPr>
                <w:b/>
                <w:sz w:val="21"/>
              </w:rPr>
              <w:t>肢体机能完全丧失</w:t>
            </w:r>
          </w:p>
        </w:tc>
        <w:tc>
          <w:tcPr>
            <w:tcW w:w="7986" w:type="dxa"/>
          </w:tcPr>
          <w:p>
            <w:pPr>
              <w:pStyle w:val="TableParagraph"/>
              <w:spacing w:line="273" w:lineRule="auto" w:before="142"/>
              <w:ind w:left="80" w:right="307"/>
              <w:rPr>
                <w:sz w:val="21"/>
              </w:rPr>
            </w:pPr>
            <w:r>
              <w:rPr>
                <w:sz w:val="21"/>
              </w:rPr>
              <w:t>指肢体的三大关节中的两大关节僵硬，或不能随意识活动。肢体是指包括肩关节的整个上肢或包括髋关节的整个下肢。</w:t>
            </w:r>
          </w:p>
        </w:tc>
      </w:tr>
      <w:tr>
        <w:trPr>
          <w:trHeight w:val="1559" w:hRule="atLeast"/>
        </w:trPr>
        <w:tc>
          <w:tcPr>
            <w:tcW w:w="679" w:type="dxa"/>
          </w:tcPr>
          <w:p>
            <w:pPr>
              <w:pStyle w:val="TableParagraph"/>
              <w:spacing w:before="142"/>
              <w:ind w:right="160"/>
              <w:jc w:val="right"/>
              <w:rPr>
                <w:b/>
                <w:sz w:val="21"/>
              </w:rPr>
            </w:pPr>
            <w:r>
              <w:rPr>
                <w:b/>
                <w:sz w:val="21"/>
              </w:rPr>
              <w:t>9.7</w:t>
            </w:r>
          </w:p>
        </w:tc>
        <w:tc>
          <w:tcPr>
            <w:tcW w:w="1708" w:type="dxa"/>
          </w:tcPr>
          <w:p>
            <w:pPr>
              <w:pStyle w:val="TableParagraph"/>
              <w:spacing w:line="273" w:lineRule="auto" w:before="142"/>
              <w:ind w:left="161" w:right="102"/>
              <w:jc w:val="both"/>
              <w:rPr>
                <w:b/>
                <w:sz w:val="21"/>
              </w:rPr>
            </w:pPr>
            <w:r>
              <w:rPr>
                <w:b/>
                <w:sz w:val="21"/>
              </w:rPr>
              <w:t>语言能力或咀嚼吞咽能力完全丧失</w:t>
            </w:r>
          </w:p>
        </w:tc>
        <w:tc>
          <w:tcPr>
            <w:tcW w:w="7986" w:type="dxa"/>
          </w:tcPr>
          <w:p>
            <w:pPr>
              <w:pStyle w:val="TableParagraph"/>
              <w:spacing w:line="273" w:lineRule="auto" w:before="142"/>
              <w:ind w:left="80" w:right="202"/>
              <w:rPr>
                <w:sz w:val="21"/>
              </w:rPr>
            </w:pPr>
            <w:r>
              <w:rPr>
                <w:spacing w:val="-6"/>
                <w:sz w:val="21"/>
              </w:rPr>
              <w:t>语言能力完全丧失，指无法发出四种语音</w:t>
            </w:r>
            <w:r>
              <w:rPr>
                <w:spacing w:val="-3"/>
                <w:sz w:val="21"/>
              </w:rPr>
              <w:t>（</w:t>
            </w:r>
            <w:r>
              <w:rPr>
                <w:spacing w:val="-8"/>
                <w:sz w:val="21"/>
              </w:rPr>
              <w:t>包括口唇音、齿舌音、口盖音和喉头音</w:t>
            </w:r>
            <w:r>
              <w:rPr>
                <w:spacing w:val="-3"/>
                <w:sz w:val="21"/>
              </w:rPr>
              <w:t>） 中的任何三种、或声带全部切除，或因大脑语言中枢受伤害而患失语症。</w:t>
            </w:r>
          </w:p>
          <w:p>
            <w:pPr>
              <w:pStyle w:val="TableParagraph"/>
              <w:spacing w:line="273" w:lineRule="auto" w:before="7"/>
              <w:ind w:left="80" w:right="307"/>
              <w:rPr>
                <w:sz w:val="21"/>
              </w:rPr>
            </w:pPr>
            <w:r>
              <w:rPr>
                <w:sz w:val="21"/>
              </w:rPr>
              <w:t>咀嚼吞咽能力完全丧失，指因牙齿以外的原因导致器质障碍或机能障碍，以致不能作咀嚼吞咽运动，除流质食物外不能摄取或吞咽的状态。</w:t>
            </w:r>
          </w:p>
        </w:tc>
      </w:tr>
      <w:tr>
        <w:trPr>
          <w:trHeight w:val="1041" w:hRule="atLeast"/>
        </w:trPr>
        <w:tc>
          <w:tcPr>
            <w:tcW w:w="679" w:type="dxa"/>
          </w:tcPr>
          <w:p>
            <w:pPr>
              <w:pStyle w:val="TableParagraph"/>
              <w:spacing w:before="142"/>
              <w:ind w:right="160"/>
              <w:jc w:val="right"/>
              <w:rPr>
                <w:b/>
                <w:sz w:val="21"/>
              </w:rPr>
            </w:pPr>
            <w:r>
              <w:rPr>
                <w:b/>
                <w:sz w:val="21"/>
              </w:rPr>
              <w:t>9.8</w:t>
            </w:r>
          </w:p>
        </w:tc>
        <w:tc>
          <w:tcPr>
            <w:tcW w:w="1708" w:type="dxa"/>
          </w:tcPr>
          <w:p>
            <w:pPr>
              <w:pStyle w:val="TableParagraph"/>
              <w:spacing w:line="273" w:lineRule="auto" w:before="142"/>
              <w:ind w:left="161" w:right="102"/>
              <w:rPr>
                <w:b/>
                <w:sz w:val="21"/>
              </w:rPr>
            </w:pPr>
            <w:r>
              <w:rPr>
                <w:b/>
                <w:sz w:val="21"/>
              </w:rPr>
              <w:t>六项基本日常生活活动</w:t>
            </w:r>
          </w:p>
        </w:tc>
        <w:tc>
          <w:tcPr>
            <w:tcW w:w="7986" w:type="dxa"/>
          </w:tcPr>
          <w:p>
            <w:pPr>
              <w:pStyle w:val="TableParagraph"/>
              <w:spacing w:before="142"/>
              <w:ind w:left="80"/>
              <w:rPr>
                <w:sz w:val="21"/>
              </w:rPr>
            </w:pPr>
            <w:r>
              <w:rPr>
                <w:sz w:val="21"/>
              </w:rPr>
              <w:t>六项基本日常生活活动是指：</w:t>
            </w:r>
          </w:p>
          <w:p>
            <w:pPr>
              <w:pStyle w:val="TableParagraph"/>
              <w:spacing w:before="36"/>
              <w:ind w:left="80"/>
              <w:rPr>
                <w:sz w:val="21"/>
              </w:rPr>
            </w:pPr>
            <w:r>
              <w:rPr>
                <w:sz w:val="21"/>
              </w:rPr>
              <w:t>（1）穿衣：自己能够穿衣及脱衣；</w:t>
            </w:r>
          </w:p>
          <w:p>
            <w:pPr>
              <w:pStyle w:val="TableParagraph"/>
              <w:spacing w:line="255" w:lineRule="exact" w:before="36"/>
              <w:ind w:left="80"/>
              <w:rPr>
                <w:sz w:val="21"/>
              </w:rPr>
            </w:pPr>
            <w:r>
              <w:rPr>
                <w:sz w:val="21"/>
              </w:rPr>
              <w:t>（2）移动：自己从一个房间到另一个房间；</w:t>
            </w:r>
          </w:p>
        </w:tc>
      </w:tr>
    </w:tbl>
    <w:p>
      <w:pPr>
        <w:spacing w:after="0" w:line="255" w:lineRule="exac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644"/>
        <w:gridCol w:w="7993"/>
      </w:tblGrid>
      <w:tr>
        <w:trPr>
          <w:trHeight w:val="1396" w:hRule="atLeast"/>
        </w:trPr>
        <w:tc>
          <w:tcPr>
            <w:tcW w:w="732" w:type="dxa"/>
          </w:tcPr>
          <w:p>
            <w:pPr>
              <w:pStyle w:val="TableParagraph"/>
              <w:rPr>
                <w:rFonts w:ascii="Times New Roman"/>
                <w:sz w:val="20"/>
              </w:rPr>
            </w:pPr>
          </w:p>
        </w:tc>
        <w:tc>
          <w:tcPr>
            <w:tcW w:w="1644" w:type="dxa"/>
          </w:tcPr>
          <w:p>
            <w:pPr>
              <w:pStyle w:val="TableParagraph"/>
              <w:rPr>
                <w:rFonts w:ascii="Times New Roman"/>
                <w:sz w:val="20"/>
              </w:rPr>
            </w:pPr>
          </w:p>
        </w:tc>
        <w:tc>
          <w:tcPr>
            <w:tcW w:w="7993" w:type="dxa"/>
          </w:tcPr>
          <w:p>
            <w:pPr>
              <w:pStyle w:val="TableParagraph"/>
              <w:spacing w:line="211" w:lineRule="exact"/>
              <w:ind w:left="91"/>
              <w:rPr>
                <w:sz w:val="21"/>
              </w:rPr>
            </w:pPr>
            <w:r>
              <w:rPr>
                <w:sz w:val="21"/>
              </w:rPr>
              <w:t>（3）行动：自己上下床或上下轮椅；</w:t>
            </w:r>
          </w:p>
          <w:p>
            <w:pPr>
              <w:pStyle w:val="TableParagraph"/>
              <w:spacing w:before="37"/>
              <w:ind w:left="91"/>
              <w:rPr>
                <w:sz w:val="21"/>
              </w:rPr>
            </w:pPr>
            <w:r>
              <w:rPr>
                <w:sz w:val="21"/>
              </w:rPr>
              <w:t>（4）如厕：自己控制进行大小便；</w:t>
            </w:r>
          </w:p>
          <w:p>
            <w:pPr>
              <w:pStyle w:val="TableParagraph"/>
              <w:spacing w:before="37"/>
              <w:ind w:left="91"/>
              <w:rPr>
                <w:sz w:val="21"/>
              </w:rPr>
            </w:pPr>
            <w:r>
              <w:rPr>
                <w:sz w:val="21"/>
              </w:rPr>
              <w:t>（5）进食：自己从已准备好的碗或碟中取食物放入口中；</w:t>
            </w:r>
          </w:p>
          <w:p>
            <w:pPr>
              <w:pStyle w:val="TableParagraph"/>
              <w:spacing w:before="37"/>
              <w:ind w:left="91"/>
              <w:rPr>
                <w:sz w:val="21"/>
              </w:rPr>
            </w:pPr>
            <w:r>
              <w:rPr>
                <w:sz w:val="21"/>
              </w:rPr>
              <w:t>（6）洗澡：自己进行淋浴或盆浴。</w:t>
            </w:r>
          </w:p>
        </w:tc>
      </w:tr>
      <w:tr>
        <w:trPr>
          <w:trHeight w:val="1021" w:hRule="atLeast"/>
        </w:trPr>
        <w:tc>
          <w:tcPr>
            <w:tcW w:w="732" w:type="dxa"/>
          </w:tcPr>
          <w:p>
            <w:pPr>
              <w:pStyle w:val="TableParagraph"/>
              <w:spacing w:before="2"/>
              <w:rPr>
                <w:sz w:val="14"/>
              </w:rPr>
            </w:pPr>
          </w:p>
          <w:p>
            <w:pPr>
              <w:pStyle w:val="TableParagraph"/>
              <w:ind w:left="200"/>
              <w:rPr>
                <w:b/>
                <w:sz w:val="21"/>
              </w:rPr>
            </w:pPr>
            <w:r>
              <w:rPr>
                <w:b/>
                <w:sz w:val="21"/>
              </w:rPr>
              <w:t>9.9</w:t>
            </w:r>
          </w:p>
        </w:tc>
        <w:tc>
          <w:tcPr>
            <w:tcW w:w="1644" w:type="dxa"/>
          </w:tcPr>
          <w:p>
            <w:pPr>
              <w:pStyle w:val="TableParagraph"/>
              <w:spacing w:before="2"/>
              <w:rPr>
                <w:sz w:val="14"/>
              </w:rPr>
            </w:pPr>
          </w:p>
          <w:p>
            <w:pPr>
              <w:pStyle w:val="TableParagraph"/>
              <w:ind w:left="108"/>
              <w:rPr>
                <w:b/>
                <w:sz w:val="21"/>
              </w:rPr>
            </w:pPr>
            <w:r>
              <w:rPr>
                <w:b/>
                <w:sz w:val="21"/>
              </w:rPr>
              <w:t>永久不可逆</w:t>
            </w:r>
          </w:p>
        </w:tc>
        <w:tc>
          <w:tcPr>
            <w:tcW w:w="7993" w:type="dxa"/>
          </w:tcPr>
          <w:p>
            <w:pPr>
              <w:pStyle w:val="TableParagraph"/>
              <w:spacing w:before="2"/>
              <w:rPr>
                <w:sz w:val="14"/>
              </w:rPr>
            </w:pPr>
          </w:p>
          <w:p>
            <w:pPr>
              <w:pStyle w:val="TableParagraph"/>
              <w:spacing w:line="273" w:lineRule="auto"/>
              <w:ind w:left="92" w:right="228" w:hanging="1"/>
              <w:rPr>
                <w:sz w:val="21"/>
              </w:rPr>
            </w:pPr>
            <w:r>
              <w:rPr>
                <w:sz w:val="21"/>
              </w:rPr>
              <w:t>指自疾病确诊或意外伤害发生之日起，经过积极治疗 180 日后，仍无法通过现有医疗手段恢复。</w:t>
            </w:r>
          </w:p>
        </w:tc>
      </w:tr>
      <w:tr>
        <w:trPr>
          <w:trHeight w:val="2269" w:hRule="atLeast"/>
        </w:trPr>
        <w:tc>
          <w:tcPr>
            <w:tcW w:w="732" w:type="dxa"/>
          </w:tcPr>
          <w:p>
            <w:pPr>
              <w:pStyle w:val="TableParagraph"/>
              <w:spacing w:before="1"/>
              <w:rPr>
                <w:sz w:val="14"/>
              </w:rPr>
            </w:pPr>
          </w:p>
          <w:p>
            <w:pPr>
              <w:pStyle w:val="TableParagraph"/>
              <w:ind w:left="200"/>
              <w:rPr>
                <w:b/>
                <w:sz w:val="21"/>
              </w:rPr>
            </w:pPr>
            <w:r>
              <w:rPr>
                <w:b/>
                <w:sz w:val="21"/>
              </w:rPr>
              <w:t>9.10</w:t>
            </w:r>
          </w:p>
        </w:tc>
        <w:tc>
          <w:tcPr>
            <w:tcW w:w="1644" w:type="dxa"/>
          </w:tcPr>
          <w:p>
            <w:pPr>
              <w:pStyle w:val="TableParagraph"/>
              <w:spacing w:before="1"/>
              <w:rPr>
                <w:sz w:val="14"/>
              </w:rPr>
            </w:pPr>
          </w:p>
          <w:p>
            <w:pPr>
              <w:pStyle w:val="TableParagraph"/>
              <w:spacing w:line="273" w:lineRule="auto"/>
              <w:ind w:left="108" w:right="119"/>
              <w:rPr>
                <w:b/>
                <w:sz w:val="21"/>
              </w:rPr>
            </w:pPr>
            <w:r>
              <w:rPr>
                <w:b/>
                <w:sz w:val="21"/>
              </w:rPr>
              <w:t>心功能状态分级</w:t>
            </w:r>
          </w:p>
        </w:tc>
        <w:tc>
          <w:tcPr>
            <w:tcW w:w="7993" w:type="dxa"/>
          </w:tcPr>
          <w:p>
            <w:pPr>
              <w:pStyle w:val="TableParagraph"/>
              <w:spacing w:before="1"/>
              <w:rPr>
                <w:sz w:val="14"/>
              </w:rPr>
            </w:pPr>
          </w:p>
          <w:p>
            <w:pPr>
              <w:pStyle w:val="TableParagraph"/>
              <w:ind w:left="92"/>
              <w:rPr>
                <w:sz w:val="21"/>
              </w:rPr>
            </w:pPr>
            <w:r>
              <w:rPr>
                <w:sz w:val="21"/>
              </w:rPr>
              <w:t>指美国纽约心脏病学会心功能状态的分级标准：</w:t>
            </w:r>
          </w:p>
          <w:p>
            <w:pPr>
              <w:pStyle w:val="TableParagraph"/>
              <w:spacing w:before="36"/>
              <w:ind w:left="91"/>
              <w:rPr>
                <w:sz w:val="21"/>
              </w:rPr>
            </w:pPr>
            <w:r>
              <w:rPr>
                <w:sz w:val="21"/>
              </w:rPr>
              <w:t>Ⅰ级：体力活动不受限制，日常活动不引起乏力、心悸、呼吸困难或心绞痛等症状。</w:t>
            </w:r>
          </w:p>
          <w:p>
            <w:pPr>
              <w:pStyle w:val="TableParagraph"/>
              <w:spacing w:line="273" w:lineRule="auto" w:before="36"/>
              <w:ind w:left="723" w:right="303" w:hanging="632"/>
              <w:rPr>
                <w:sz w:val="21"/>
              </w:rPr>
            </w:pPr>
            <w:r>
              <w:rPr>
                <w:sz w:val="21"/>
              </w:rPr>
              <w:t>Ⅱ级：体力活动轻度受限，休息时无症状，日常活动即可引起乏力、心悸、呼吸困难或心绞痛等症状。</w:t>
            </w:r>
          </w:p>
          <w:p>
            <w:pPr>
              <w:pStyle w:val="TableParagraph"/>
              <w:spacing w:before="7"/>
              <w:ind w:left="92"/>
              <w:rPr>
                <w:sz w:val="21"/>
              </w:rPr>
            </w:pPr>
            <w:r>
              <w:rPr>
                <w:sz w:val="21"/>
              </w:rPr>
              <w:t>Ⅲ级：体力活动明显受限，休息时无症状，轻于日常的活动即可引起上述症状。</w:t>
            </w:r>
          </w:p>
          <w:p>
            <w:pPr>
              <w:pStyle w:val="TableParagraph"/>
              <w:spacing w:before="37"/>
              <w:ind w:left="92"/>
              <w:rPr>
                <w:sz w:val="21"/>
              </w:rPr>
            </w:pPr>
            <w:r>
              <w:rPr>
                <w:sz w:val="21"/>
              </w:rPr>
              <w:t>Ⅳ级：不能从事任何体力活动，休息时亦有症状，体力活动后加重。</w:t>
            </w:r>
          </w:p>
        </w:tc>
      </w:tr>
      <w:tr>
        <w:trPr>
          <w:trHeight w:val="709" w:hRule="atLeast"/>
        </w:trPr>
        <w:tc>
          <w:tcPr>
            <w:tcW w:w="732" w:type="dxa"/>
          </w:tcPr>
          <w:p>
            <w:pPr>
              <w:pStyle w:val="TableParagraph"/>
              <w:spacing w:before="2"/>
              <w:rPr>
                <w:sz w:val="14"/>
              </w:rPr>
            </w:pPr>
          </w:p>
          <w:p>
            <w:pPr>
              <w:pStyle w:val="TableParagraph"/>
              <w:ind w:left="200"/>
              <w:rPr>
                <w:b/>
                <w:sz w:val="21"/>
              </w:rPr>
            </w:pPr>
            <w:r>
              <w:rPr>
                <w:b/>
                <w:sz w:val="21"/>
              </w:rPr>
              <w:t>9.11</w:t>
            </w:r>
          </w:p>
        </w:tc>
        <w:tc>
          <w:tcPr>
            <w:tcW w:w="1644" w:type="dxa"/>
          </w:tcPr>
          <w:p>
            <w:pPr>
              <w:pStyle w:val="TableParagraph"/>
              <w:spacing w:before="2"/>
              <w:rPr>
                <w:sz w:val="14"/>
              </w:rPr>
            </w:pPr>
          </w:p>
          <w:p>
            <w:pPr>
              <w:pStyle w:val="TableParagraph"/>
              <w:ind w:left="108"/>
              <w:rPr>
                <w:b/>
                <w:sz w:val="21"/>
              </w:rPr>
            </w:pPr>
            <w:r>
              <w:rPr>
                <w:b/>
                <w:sz w:val="21"/>
              </w:rPr>
              <w:t>意外伤害</w:t>
            </w:r>
          </w:p>
        </w:tc>
        <w:tc>
          <w:tcPr>
            <w:tcW w:w="7993" w:type="dxa"/>
          </w:tcPr>
          <w:p>
            <w:pPr>
              <w:pStyle w:val="TableParagraph"/>
              <w:spacing w:before="2"/>
              <w:rPr>
                <w:sz w:val="14"/>
              </w:rPr>
            </w:pPr>
          </w:p>
          <w:p>
            <w:pPr>
              <w:pStyle w:val="TableParagraph"/>
              <w:ind w:left="91"/>
              <w:rPr>
                <w:sz w:val="21"/>
              </w:rPr>
            </w:pPr>
            <w:r>
              <w:rPr>
                <w:sz w:val="21"/>
              </w:rPr>
              <w:t>指遭受外来的、突发的、非本意的、非疾病的使身体受到伤害的客观事件。</w:t>
            </w:r>
          </w:p>
        </w:tc>
      </w:tr>
      <w:tr>
        <w:trPr>
          <w:trHeight w:val="1601" w:hRule="atLeast"/>
        </w:trPr>
        <w:tc>
          <w:tcPr>
            <w:tcW w:w="732" w:type="dxa"/>
          </w:tcPr>
          <w:p>
            <w:pPr>
              <w:pStyle w:val="TableParagraph"/>
              <w:spacing w:before="1"/>
              <w:rPr>
                <w:sz w:val="14"/>
              </w:rPr>
            </w:pPr>
          </w:p>
          <w:p>
            <w:pPr>
              <w:pStyle w:val="TableParagraph"/>
              <w:ind w:left="200"/>
              <w:rPr>
                <w:b/>
                <w:sz w:val="21"/>
              </w:rPr>
            </w:pPr>
            <w:r>
              <w:rPr>
                <w:b/>
                <w:sz w:val="21"/>
              </w:rPr>
              <w:t>9.12</w:t>
            </w:r>
          </w:p>
        </w:tc>
        <w:tc>
          <w:tcPr>
            <w:tcW w:w="1644" w:type="dxa"/>
          </w:tcPr>
          <w:p>
            <w:pPr>
              <w:pStyle w:val="TableParagraph"/>
              <w:spacing w:before="1"/>
              <w:rPr>
                <w:sz w:val="14"/>
              </w:rPr>
            </w:pPr>
          </w:p>
          <w:p>
            <w:pPr>
              <w:pStyle w:val="TableParagraph"/>
              <w:ind w:left="108"/>
              <w:rPr>
                <w:b/>
                <w:sz w:val="21"/>
              </w:rPr>
            </w:pPr>
            <w:r>
              <w:rPr>
                <w:b/>
                <w:sz w:val="21"/>
              </w:rPr>
              <w:t>医院</w:t>
            </w:r>
          </w:p>
        </w:tc>
        <w:tc>
          <w:tcPr>
            <w:tcW w:w="7993" w:type="dxa"/>
          </w:tcPr>
          <w:p>
            <w:pPr>
              <w:pStyle w:val="TableParagraph"/>
              <w:spacing w:before="1"/>
              <w:rPr>
                <w:sz w:val="14"/>
              </w:rPr>
            </w:pPr>
          </w:p>
          <w:p>
            <w:pPr>
              <w:pStyle w:val="TableParagraph"/>
              <w:spacing w:line="273" w:lineRule="auto"/>
              <w:ind w:left="91" w:right="303"/>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248" w:hRule="atLeast"/>
        </w:trPr>
        <w:tc>
          <w:tcPr>
            <w:tcW w:w="732" w:type="dxa"/>
          </w:tcPr>
          <w:p>
            <w:pPr>
              <w:pStyle w:val="TableParagraph"/>
              <w:spacing w:before="142"/>
              <w:ind w:left="200"/>
              <w:rPr>
                <w:b/>
                <w:sz w:val="21"/>
              </w:rPr>
            </w:pPr>
            <w:r>
              <w:rPr>
                <w:b/>
                <w:sz w:val="21"/>
              </w:rPr>
              <w:t>9.13</w:t>
            </w:r>
          </w:p>
        </w:tc>
        <w:tc>
          <w:tcPr>
            <w:tcW w:w="1644" w:type="dxa"/>
          </w:tcPr>
          <w:p>
            <w:pPr>
              <w:pStyle w:val="TableParagraph"/>
              <w:spacing w:before="142"/>
              <w:ind w:left="108"/>
              <w:rPr>
                <w:b/>
                <w:sz w:val="21"/>
              </w:rPr>
            </w:pPr>
            <w:r>
              <w:rPr>
                <w:b/>
                <w:sz w:val="21"/>
              </w:rPr>
              <w:t>毒品</w:t>
            </w:r>
          </w:p>
        </w:tc>
        <w:tc>
          <w:tcPr>
            <w:tcW w:w="7993" w:type="dxa"/>
          </w:tcPr>
          <w:p>
            <w:pPr>
              <w:pStyle w:val="TableParagraph"/>
              <w:spacing w:line="273" w:lineRule="auto" w:before="142"/>
              <w:ind w:left="91" w:right="298"/>
              <w:jc w:val="both"/>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7"/>
                <w:sz w:val="21"/>
              </w:rPr>
              <w:t>、吗啡、大麻、可卡因以及国家规定管制的其他能够使人形成瘾癖的麻醉药品和精神药品，但不包括</w:t>
            </w:r>
            <w:r>
              <w:rPr>
                <w:spacing w:val="-5"/>
                <w:sz w:val="21"/>
              </w:rPr>
              <w:t>由医生开具并遵医嘱使用的用于治疗疾病但含有毒品成分的处方药品。</w:t>
            </w:r>
          </w:p>
        </w:tc>
      </w:tr>
      <w:tr>
        <w:trPr>
          <w:trHeight w:val="1247" w:hRule="atLeast"/>
        </w:trPr>
        <w:tc>
          <w:tcPr>
            <w:tcW w:w="732" w:type="dxa"/>
          </w:tcPr>
          <w:p>
            <w:pPr>
              <w:pStyle w:val="TableParagraph"/>
              <w:spacing w:before="142"/>
              <w:ind w:left="200"/>
              <w:rPr>
                <w:b/>
                <w:sz w:val="21"/>
              </w:rPr>
            </w:pPr>
            <w:r>
              <w:rPr>
                <w:b/>
                <w:sz w:val="21"/>
              </w:rPr>
              <w:t>9.14</w:t>
            </w:r>
          </w:p>
        </w:tc>
        <w:tc>
          <w:tcPr>
            <w:tcW w:w="1644" w:type="dxa"/>
          </w:tcPr>
          <w:p>
            <w:pPr>
              <w:pStyle w:val="TableParagraph"/>
              <w:spacing w:before="142"/>
              <w:ind w:left="108"/>
              <w:rPr>
                <w:b/>
                <w:sz w:val="21"/>
              </w:rPr>
            </w:pPr>
            <w:r>
              <w:rPr>
                <w:b/>
                <w:sz w:val="21"/>
              </w:rPr>
              <w:t>酒后驾驶</w:t>
            </w:r>
          </w:p>
        </w:tc>
        <w:tc>
          <w:tcPr>
            <w:tcW w:w="7993" w:type="dxa"/>
          </w:tcPr>
          <w:p>
            <w:pPr>
              <w:pStyle w:val="TableParagraph"/>
              <w:spacing w:line="273" w:lineRule="auto" w:before="142"/>
              <w:ind w:left="91" w:right="30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98" w:hRule="atLeast"/>
        </w:trPr>
        <w:tc>
          <w:tcPr>
            <w:tcW w:w="732" w:type="dxa"/>
          </w:tcPr>
          <w:p>
            <w:pPr>
              <w:pStyle w:val="TableParagraph"/>
              <w:spacing w:before="142"/>
              <w:ind w:left="200"/>
              <w:rPr>
                <w:b/>
                <w:sz w:val="21"/>
              </w:rPr>
            </w:pPr>
            <w:r>
              <w:rPr>
                <w:b/>
                <w:sz w:val="21"/>
              </w:rPr>
              <w:t>9.15</w:t>
            </w:r>
          </w:p>
        </w:tc>
        <w:tc>
          <w:tcPr>
            <w:tcW w:w="1644" w:type="dxa"/>
          </w:tcPr>
          <w:p>
            <w:pPr>
              <w:pStyle w:val="TableParagraph"/>
              <w:spacing w:line="273" w:lineRule="auto" w:before="142"/>
              <w:ind w:left="108" w:right="91"/>
              <w:rPr>
                <w:b/>
                <w:sz w:val="21"/>
              </w:rPr>
            </w:pPr>
            <w:r>
              <w:rPr>
                <w:b/>
                <w:sz w:val="21"/>
              </w:rPr>
              <w:t>无合法有效驾驶证驾驶</w:t>
            </w:r>
          </w:p>
        </w:tc>
        <w:tc>
          <w:tcPr>
            <w:tcW w:w="7993" w:type="dxa"/>
          </w:tcPr>
          <w:p>
            <w:pPr>
              <w:pStyle w:val="TableParagraph"/>
              <w:spacing w:before="142"/>
              <w:ind w:left="91"/>
              <w:rPr>
                <w:sz w:val="21"/>
              </w:rPr>
            </w:pPr>
            <w:r>
              <w:rPr>
                <w:sz w:val="21"/>
              </w:rPr>
              <w:t>指下列情形之一：</w:t>
            </w:r>
          </w:p>
          <w:p>
            <w:pPr>
              <w:pStyle w:val="TableParagraph"/>
              <w:spacing w:before="36"/>
              <w:ind w:left="92"/>
              <w:rPr>
                <w:sz w:val="21"/>
              </w:rPr>
            </w:pPr>
            <w:r>
              <w:rPr>
                <w:sz w:val="21"/>
              </w:rPr>
              <w:t>（1）没有取得驾驶资格；</w:t>
            </w:r>
          </w:p>
          <w:p>
            <w:pPr>
              <w:pStyle w:val="TableParagraph"/>
              <w:spacing w:before="36"/>
              <w:ind w:left="92"/>
              <w:rPr>
                <w:sz w:val="21"/>
              </w:rPr>
            </w:pPr>
            <w:r>
              <w:rPr>
                <w:sz w:val="21"/>
              </w:rPr>
              <w:t>（2）驾驶与驾驶证准驾车型不相符合的车辆；</w:t>
            </w:r>
          </w:p>
          <w:p>
            <w:pPr>
              <w:pStyle w:val="TableParagraph"/>
              <w:spacing w:before="36"/>
              <w:ind w:left="92"/>
              <w:rPr>
                <w:sz w:val="21"/>
              </w:rPr>
            </w:pPr>
            <w:r>
              <w:rPr>
                <w:sz w:val="21"/>
              </w:rPr>
              <w:t>（3）持审验不合格的驾驶证驾驶；</w:t>
            </w:r>
          </w:p>
          <w:p>
            <w:pPr>
              <w:pStyle w:val="TableParagraph"/>
              <w:spacing w:line="273" w:lineRule="auto" w:before="36"/>
              <w:ind w:left="617" w:right="299" w:hanging="526"/>
              <w:rPr>
                <w:sz w:val="21"/>
              </w:rPr>
            </w:pPr>
            <w:r>
              <w:rPr>
                <w:spacing w:val="-7"/>
                <w:sz w:val="21"/>
              </w:rPr>
              <w:t>（4）持学习驾驶证学习驾车时，无教练员随车指导，或不按指定时间、路线学习驾车。</w:t>
            </w:r>
          </w:p>
        </w:tc>
      </w:tr>
      <w:tr>
        <w:trPr>
          <w:trHeight w:val="1587" w:hRule="atLeast"/>
        </w:trPr>
        <w:tc>
          <w:tcPr>
            <w:tcW w:w="732" w:type="dxa"/>
          </w:tcPr>
          <w:p>
            <w:pPr>
              <w:pStyle w:val="TableParagraph"/>
              <w:spacing w:before="157"/>
              <w:ind w:left="200"/>
              <w:rPr>
                <w:b/>
                <w:sz w:val="21"/>
              </w:rPr>
            </w:pPr>
            <w:r>
              <w:rPr>
                <w:b/>
                <w:sz w:val="21"/>
              </w:rPr>
              <w:t>9.16</w:t>
            </w:r>
          </w:p>
        </w:tc>
        <w:tc>
          <w:tcPr>
            <w:tcW w:w="1644" w:type="dxa"/>
          </w:tcPr>
          <w:p>
            <w:pPr>
              <w:pStyle w:val="TableParagraph"/>
              <w:spacing w:before="157"/>
              <w:ind w:left="108"/>
              <w:rPr>
                <w:b/>
                <w:sz w:val="21"/>
              </w:rPr>
            </w:pPr>
            <w:r>
              <w:rPr>
                <w:b/>
                <w:sz w:val="21"/>
              </w:rPr>
              <w:t>无有效行驶证</w:t>
            </w:r>
          </w:p>
        </w:tc>
        <w:tc>
          <w:tcPr>
            <w:tcW w:w="7993" w:type="dxa"/>
          </w:tcPr>
          <w:p>
            <w:pPr>
              <w:pStyle w:val="TableParagraph"/>
              <w:spacing w:before="157"/>
              <w:ind w:left="91"/>
              <w:rPr>
                <w:sz w:val="21"/>
              </w:rPr>
            </w:pPr>
            <w:r>
              <w:rPr>
                <w:sz w:val="21"/>
              </w:rPr>
              <w:t>指下列情形之一：</w:t>
            </w:r>
          </w:p>
          <w:p>
            <w:pPr>
              <w:pStyle w:val="TableParagraph"/>
              <w:spacing w:before="37"/>
              <w:ind w:left="92"/>
              <w:rPr>
                <w:sz w:val="21"/>
              </w:rPr>
            </w:pPr>
            <w:r>
              <w:rPr>
                <w:sz w:val="21"/>
              </w:rPr>
              <w:t>（1）未取得行驶证；</w:t>
            </w:r>
          </w:p>
          <w:p>
            <w:pPr>
              <w:pStyle w:val="TableParagraph"/>
              <w:spacing w:before="37"/>
              <w:ind w:left="92"/>
              <w:rPr>
                <w:sz w:val="21"/>
              </w:rPr>
            </w:pPr>
            <w:r>
              <w:rPr>
                <w:sz w:val="21"/>
              </w:rPr>
              <w:t>（2）机动车被依法注销登记的；</w:t>
            </w:r>
          </w:p>
          <w:p>
            <w:pPr>
              <w:pStyle w:val="TableParagraph"/>
              <w:spacing w:before="37"/>
              <w:ind w:left="92"/>
              <w:rPr>
                <w:sz w:val="21"/>
              </w:rPr>
            </w:pPr>
            <w:r>
              <w:rPr>
                <w:sz w:val="21"/>
              </w:rPr>
              <w:t>（3）未依法按时进行或通过机动车安全技术检验。</w:t>
            </w:r>
          </w:p>
        </w:tc>
      </w:tr>
      <w:tr>
        <w:trPr>
          <w:trHeight w:val="742" w:hRule="atLeast"/>
        </w:trPr>
        <w:tc>
          <w:tcPr>
            <w:tcW w:w="732" w:type="dxa"/>
          </w:tcPr>
          <w:p>
            <w:pPr>
              <w:pStyle w:val="TableParagraph"/>
              <w:spacing w:before="156"/>
              <w:ind w:left="200"/>
              <w:rPr>
                <w:b/>
                <w:sz w:val="21"/>
              </w:rPr>
            </w:pPr>
            <w:r>
              <w:rPr>
                <w:b/>
                <w:sz w:val="21"/>
              </w:rPr>
              <w:t>9.17</w:t>
            </w:r>
          </w:p>
        </w:tc>
        <w:tc>
          <w:tcPr>
            <w:tcW w:w="1644" w:type="dxa"/>
          </w:tcPr>
          <w:p>
            <w:pPr>
              <w:pStyle w:val="TableParagraph"/>
              <w:spacing w:before="156"/>
              <w:ind w:left="108"/>
              <w:rPr>
                <w:b/>
                <w:sz w:val="21"/>
              </w:rPr>
            </w:pPr>
            <w:r>
              <w:rPr>
                <w:b/>
                <w:sz w:val="21"/>
              </w:rPr>
              <w:t>机动车</w:t>
            </w:r>
          </w:p>
        </w:tc>
        <w:tc>
          <w:tcPr>
            <w:tcW w:w="7993" w:type="dxa"/>
          </w:tcPr>
          <w:p>
            <w:pPr>
              <w:pStyle w:val="TableParagraph"/>
              <w:spacing w:line="310" w:lineRule="atLeast" w:before="120"/>
              <w:ind w:left="91" w:right="303"/>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644"/>
        <w:gridCol w:w="7997"/>
      </w:tblGrid>
      <w:tr>
        <w:trPr>
          <w:trHeight w:val="1353" w:hRule="atLeast"/>
        </w:trPr>
        <w:tc>
          <w:tcPr>
            <w:tcW w:w="732" w:type="dxa"/>
          </w:tcPr>
          <w:p>
            <w:pPr>
              <w:pStyle w:val="TableParagraph"/>
              <w:spacing w:line="211" w:lineRule="exact"/>
              <w:ind w:right="107"/>
              <w:jc w:val="right"/>
              <w:rPr>
                <w:b/>
                <w:sz w:val="21"/>
              </w:rPr>
            </w:pPr>
            <w:r>
              <w:rPr>
                <w:b/>
                <w:w w:val="95"/>
                <w:sz w:val="21"/>
              </w:rPr>
              <w:t>9.18</w:t>
            </w:r>
          </w:p>
        </w:tc>
        <w:tc>
          <w:tcPr>
            <w:tcW w:w="1644" w:type="dxa"/>
          </w:tcPr>
          <w:p>
            <w:pPr>
              <w:pStyle w:val="TableParagraph"/>
              <w:spacing w:line="211" w:lineRule="exact"/>
              <w:ind w:left="108"/>
              <w:rPr>
                <w:b/>
                <w:sz w:val="21"/>
              </w:rPr>
            </w:pPr>
            <w:r>
              <w:rPr>
                <w:b/>
                <w:sz w:val="21"/>
              </w:rPr>
              <w:t>感染艾滋病病</w:t>
            </w:r>
          </w:p>
          <w:p>
            <w:pPr>
              <w:pStyle w:val="TableParagraph"/>
              <w:spacing w:before="37"/>
              <w:ind w:left="108"/>
              <w:rPr>
                <w:b/>
                <w:sz w:val="21"/>
              </w:rPr>
            </w:pPr>
            <w:r>
              <w:rPr>
                <w:b/>
                <w:sz w:val="21"/>
              </w:rPr>
              <w:t>毒或患艾滋病</w:t>
            </w:r>
          </w:p>
        </w:tc>
        <w:tc>
          <w:tcPr>
            <w:tcW w:w="7997" w:type="dxa"/>
          </w:tcPr>
          <w:p>
            <w:pPr>
              <w:pStyle w:val="TableParagraph"/>
              <w:spacing w:line="211" w:lineRule="exact"/>
              <w:ind w:left="91"/>
              <w:rPr>
                <w:sz w:val="21"/>
              </w:rPr>
            </w:pPr>
            <w:r>
              <w:rPr>
                <w:sz w:val="21"/>
              </w:rPr>
              <w:t>艾滋病病毒指人类免疫缺陷病毒，英文缩写为 HIV。艾滋病指人类免疫缺陷病毒引</w:t>
            </w:r>
          </w:p>
          <w:p>
            <w:pPr>
              <w:pStyle w:val="TableParagraph"/>
              <w:spacing w:before="37"/>
              <w:ind w:left="92"/>
              <w:rPr>
                <w:sz w:val="21"/>
              </w:rPr>
            </w:pPr>
            <w:r>
              <w:rPr>
                <w:sz w:val="21"/>
              </w:rPr>
              <w:t>起的获得性免疫缺陷综合征，英文缩写为 AIDS。</w:t>
            </w:r>
          </w:p>
          <w:p>
            <w:pPr>
              <w:pStyle w:val="TableParagraph"/>
              <w:spacing w:line="273" w:lineRule="auto" w:before="37"/>
              <w:ind w:left="91" w:right="126"/>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35" w:hRule="atLeast"/>
        </w:trPr>
        <w:tc>
          <w:tcPr>
            <w:tcW w:w="732" w:type="dxa"/>
          </w:tcPr>
          <w:p>
            <w:pPr>
              <w:pStyle w:val="TableParagraph"/>
              <w:spacing w:before="142"/>
              <w:ind w:right="107"/>
              <w:jc w:val="right"/>
              <w:rPr>
                <w:b/>
                <w:sz w:val="21"/>
              </w:rPr>
            </w:pPr>
            <w:r>
              <w:rPr>
                <w:b/>
                <w:w w:val="95"/>
                <w:sz w:val="21"/>
              </w:rPr>
              <w:t>9.19</w:t>
            </w:r>
          </w:p>
        </w:tc>
        <w:tc>
          <w:tcPr>
            <w:tcW w:w="1644" w:type="dxa"/>
          </w:tcPr>
          <w:p>
            <w:pPr>
              <w:pStyle w:val="TableParagraph"/>
              <w:spacing w:before="142"/>
              <w:ind w:left="108"/>
              <w:rPr>
                <w:b/>
                <w:sz w:val="21"/>
              </w:rPr>
            </w:pPr>
            <w:r>
              <w:rPr>
                <w:b/>
                <w:sz w:val="21"/>
              </w:rPr>
              <w:t>遗传性疾病</w:t>
            </w:r>
          </w:p>
        </w:tc>
        <w:tc>
          <w:tcPr>
            <w:tcW w:w="7997" w:type="dxa"/>
          </w:tcPr>
          <w:p>
            <w:pPr>
              <w:pStyle w:val="TableParagraph"/>
              <w:spacing w:line="273" w:lineRule="auto" w:before="142"/>
              <w:ind w:left="91" w:right="307"/>
              <w:rPr>
                <w:sz w:val="21"/>
              </w:rPr>
            </w:pPr>
            <w:r>
              <w:rPr>
                <w:sz w:val="21"/>
              </w:rPr>
              <w:t>指生殖细胞或受精卵的遗传物质（染色体和基因）发生突变或畸变所引起的疾病， 通常具有由亲代传至后代的垂直传递的特征。</w:t>
            </w:r>
          </w:p>
        </w:tc>
      </w:tr>
      <w:tr>
        <w:trPr>
          <w:trHeight w:val="1248" w:hRule="atLeast"/>
        </w:trPr>
        <w:tc>
          <w:tcPr>
            <w:tcW w:w="732" w:type="dxa"/>
          </w:tcPr>
          <w:p>
            <w:pPr>
              <w:pStyle w:val="TableParagraph"/>
              <w:spacing w:before="142"/>
              <w:ind w:right="107"/>
              <w:jc w:val="right"/>
              <w:rPr>
                <w:b/>
                <w:sz w:val="21"/>
              </w:rPr>
            </w:pPr>
            <w:r>
              <w:rPr>
                <w:b/>
                <w:w w:val="95"/>
                <w:sz w:val="21"/>
              </w:rPr>
              <w:t>9.20</w:t>
            </w:r>
          </w:p>
        </w:tc>
        <w:tc>
          <w:tcPr>
            <w:tcW w:w="1644" w:type="dxa"/>
          </w:tcPr>
          <w:p>
            <w:pPr>
              <w:pStyle w:val="TableParagraph"/>
              <w:spacing w:line="273" w:lineRule="auto" w:before="142"/>
              <w:ind w:left="108" w:right="91"/>
              <w:jc w:val="both"/>
              <w:rPr>
                <w:b/>
                <w:sz w:val="21"/>
              </w:rPr>
            </w:pPr>
            <w:r>
              <w:rPr>
                <w:b/>
                <w:spacing w:val="-10"/>
                <w:sz w:val="21"/>
              </w:rPr>
              <w:t>先天性畸形、变</w:t>
            </w:r>
            <w:r>
              <w:rPr>
                <w:b/>
                <w:spacing w:val="26"/>
                <w:sz w:val="21"/>
              </w:rPr>
              <w:t>形或染色体异</w:t>
            </w:r>
            <w:r>
              <w:rPr>
                <w:b/>
                <w:sz w:val="21"/>
              </w:rPr>
              <w:t>常</w:t>
            </w:r>
          </w:p>
        </w:tc>
        <w:tc>
          <w:tcPr>
            <w:tcW w:w="7997" w:type="dxa"/>
          </w:tcPr>
          <w:p>
            <w:pPr>
              <w:pStyle w:val="TableParagraph"/>
              <w:spacing w:line="273" w:lineRule="auto" w:before="142"/>
              <w:ind w:left="91" w:right="306"/>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935" w:hRule="atLeast"/>
        </w:trPr>
        <w:tc>
          <w:tcPr>
            <w:tcW w:w="732" w:type="dxa"/>
          </w:tcPr>
          <w:p>
            <w:pPr>
              <w:pStyle w:val="TableParagraph"/>
              <w:spacing w:before="142"/>
              <w:ind w:right="107"/>
              <w:jc w:val="right"/>
              <w:rPr>
                <w:b/>
                <w:sz w:val="21"/>
              </w:rPr>
            </w:pPr>
            <w:r>
              <w:rPr>
                <w:b/>
                <w:w w:val="95"/>
                <w:sz w:val="21"/>
              </w:rPr>
              <w:t>9.21</w:t>
            </w:r>
          </w:p>
        </w:tc>
        <w:tc>
          <w:tcPr>
            <w:tcW w:w="1644" w:type="dxa"/>
          </w:tcPr>
          <w:p>
            <w:pPr>
              <w:pStyle w:val="TableParagraph"/>
              <w:spacing w:line="273" w:lineRule="auto" w:before="142"/>
              <w:ind w:left="108" w:right="91"/>
              <w:rPr>
                <w:b/>
                <w:sz w:val="21"/>
              </w:rPr>
            </w:pPr>
            <w:r>
              <w:rPr>
                <w:b/>
                <w:sz w:val="21"/>
              </w:rPr>
              <w:t>保险费约定支付日</w:t>
            </w:r>
          </w:p>
        </w:tc>
        <w:tc>
          <w:tcPr>
            <w:tcW w:w="7997" w:type="dxa"/>
          </w:tcPr>
          <w:p>
            <w:pPr>
              <w:pStyle w:val="TableParagraph"/>
              <w:spacing w:line="273" w:lineRule="auto" w:before="142"/>
              <w:ind w:left="91" w:right="307"/>
              <w:rPr>
                <w:sz w:val="21"/>
              </w:rPr>
            </w:pPr>
            <w:r>
              <w:rPr>
                <w:sz w:val="21"/>
              </w:rPr>
              <w:t>指保险合同生效日在每月、每季、每半年或每年（根据交费方式确定）的对应日。如果当月无对应的同一日，则以该月最后一日为对应日。</w:t>
            </w:r>
          </w:p>
        </w:tc>
      </w:tr>
      <w:tr>
        <w:trPr>
          <w:trHeight w:val="417" w:hRule="atLeast"/>
        </w:trPr>
        <w:tc>
          <w:tcPr>
            <w:tcW w:w="732" w:type="dxa"/>
          </w:tcPr>
          <w:p>
            <w:pPr>
              <w:pStyle w:val="TableParagraph"/>
              <w:spacing w:line="255" w:lineRule="exact" w:before="142"/>
              <w:ind w:right="107"/>
              <w:jc w:val="right"/>
              <w:rPr>
                <w:b/>
                <w:sz w:val="21"/>
              </w:rPr>
            </w:pPr>
            <w:r>
              <w:rPr>
                <w:b/>
                <w:w w:val="95"/>
                <w:sz w:val="21"/>
              </w:rPr>
              <w:t>9.22</w:t>
            </w:r>
          </w:p>
        </w:tc>
        <w:tc>
          <w:tcPr>
            <w:tcW w:w="1644" w:type="dxa"/>
          </w:tcPr>
          <w:p>
            <w:pPr>
              <w:pStyle w:val="TableParagraph"/>
              <w:spacing w:line="255" w:lineRule="exact" w:before="142"/>
              <w:ind w:left="108"/>
              <w:rPr>
                <w:b/>
                <w:sz w:val="21"/>
              </w:rPr>
            </w:pPr>
            <w:r>
              <w:rPr>
                <w:b/>
                <w:sz w:val="21"/>
              </w:rPr>
              <w:t>净保险费</w:t>
            </w:r>
          </w:p>
        </w:tc>
        <w:tc>
          <w:tcPr>
            <w:tcW w:w="7997" w:type="dxa"/>
          </w:tcPr>
          <w:p>
            <w:pPr>
              <w:pStyle w:val="TableParagraph"/>
              <w:spacing w:line="255" w:lineRule="exact" w:before="142"/>
              <w:ind w:left="91"/>
              <w:rPr>
                <w:sz w:val="21"/>
              </w:rPr>
            </w:pPr>
            <w:r>
              <w:rPr>
                <w:sz w:val="21"/>
              </w:rPr>
              <w:t>指不包含公司营业费用、佣金等其他费用的保险费。</w:t>
            </w:r>
          </w:p>
        </w:tc>
      </w:tr>
    </w:tbl>
    <w:sectPr>
      <w:pgSz w:w="11910" w:h="16840"/>
      <w:pgMar w:top="116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2488" w:hanging="641"/>
        <w:jc w:val="left"/>
      </w:pPr>
      <w:rPr>
        <w:rFonts w:hint="default"/>
      </w:rPr>
    </w:lvl>
    <w:lvl w:ilvl="1">
      <w:start w:val="1"/>
      <w:numFmt w:val="decimal"/>
      <w:lvlText w:val="%1.%2"/>
      <w:lvlJc w:val="left"/>
      <w:pPr>
        <w:ind w:left="2488" w:hanging="641"/>
        <w:jc w:val="left"/>
      </w:pPr>
      <w:rPr>
        <w:rFonts w:hint="default" w:ascii="宋体" w:hAnsi="宋体" w:eastAsia="宋体" w:cs="宋体"/>
        <w:b/>
        <w:bCs/>
        <w:w w:val="99"/>
        <w:sz w:val="21"/>
        <w:szCs w:val="21"/>
      </w:rPr>
    </w:lvl>
    <w:lvl w:ilvl="2">
      <w:start w:val="0"/>
      <w:numFmt w:val="bullet"/>
      <w:lvlText w:val="•"/>
      <w:lvlJc w:val="left"/>
      <w:pPr>
        <w:ind w:left="3829" w:hanging="641"/>
      </w:pPr>
      <w:rPr>
        <w:rFonts w:hint="default"/>
      </w:rPr>
    </w:lvl>
    <w:lvl w:ilvl="3">
      <w:start w:val="0"/>
      <w:numFmt w:val="bullet"/>
      <w:lvlText w:val="•"/>
      <w:lvlJc w:val="left"/>
      <w:pPr>
        <w:ind w:left="4639" w:hanging="641"/>
      </w:pPr>
      <w:rPr>
        <w:rFonts w:hint="default"/>
      </w:rPr>
    </w:lvl>
    <w:lvl w:ilvl="4">
      <w:start w:val="0"/>
      <w:numFmt w:val="bullet"/>
      <w:lvlText w:val="•"/>
      <w:lvlJc w:val="left"/>
      <w:pPr>
        <w:ind w:left="5448" w:hanging="641"/>
      </w:pPr>
      <w:rPr>
        <w:rFonts w:hint="default"/>
      </w:rPr>
    </w:lvl>
    <w:lvl w:ilvl="5">
      <w:start w:val="0"/>
      <w:numFmt w:val="bullet"/>
      <w:lvlText w:val="•"/>
      <w:lvlJc w:val="left"/>
      <w:pPr>
        <w:ind w:left="6258" w:hanging="641"/>
      </w:pPr>
      <w:rPr>
        <w:rFonts w:hint="default"/>
      </w:rPr>
    </w:lvl>
    <w:lvl w:ilvl="6">
      <w:start w:val="0"/>
      <w:numFmt w:val="bullet"/>
      <w:lvlText w:val="•"/>
      <w:lvlJc w:val="left"/>
      <w:pPr>
        <w:ind w:left="7068" w:hanging="641"/>
      </w:pPr>
      <w:rPr>
        <w:rFonts w:hint="default"/>
      </w:rPr>
    </w:lvl>
    <w:lvl w:ilvl="7">
      <w:start w:val="0"/>
      <w:numFmt w:val="bullet"/>
      <w:lvlText w:val="•"/>
      <w:lvlJc w:val="left"/>
      <w:pPr>
        <w:ind w:left="7877" w:hanging="641"/>
      </w:pPr>
      <w:rPr>
        <w:rFonts w:hint="default"/>
      </w:rPr>
    </w:lvl>
    <w:lvl w:ilvl="8">
      <w:start w:val="0"/>
      <w:numFmt w:val="bullet"/>
      <w:lvlText w:val="•"/>
      <w:lvlJc w:val="left"/>
      <w:pPr>
        <w:ind w:left="8687" w:hanging="641"/>
      </w:pPr>
      <w:rPr>
        <w:rFonts w:hint="default"/>
      </w:rPr>
    </w:lvl>
  </w:abstractNum>
  <w:abstractNum w:abstractNumId="5">
    <w:multiLevelType w:val="hybridMultilevel"/>
    <w:lvl w:ilvl="0">
      <w:start w:val="3"/>
      <w:numFmt w:val="decimal"/>
      <w:lvlText w:val="%1"/>
      <w:lvlJc w:val="left"/>
      <w:pPr>
        <w:ind w:left="860" w:hanging="641"/>
        <w:jc w:val="left"/>
      </w:pPr>
      <w:rPr>
        <w:rFonts w:hint="default"/>
      </w:rPr>
    </w:lvl>
    <w:lvl w:ilvl="1">
      <w:start w:val="1"/>
      <w:numFmt w:val="decimal"/>
      <w:lvlText w:val="%1.%2"/>
      <w:lvlJc w:val="left"/>
      <w:pPr>
        <w:ind w:left="860" w:hanging="641"/>
        <w:jc w:val="left"/>
      </w:pPr>
      <w:rPr>
        <w:rFonts w:hint="default" w:ascii="宋体" w:hAnsi="宋体" w:eastAsia="宋体" w:cs="宋体"/>
        <w:b/>
        <w:bCs/>
        <w:w w:val="99"/>
        <w:sz w:val="21"/>
        <w:szCs w:val="21"/>
      </w:rPr>
    </w:lvl>
    <w:lvl w:ilvl="2">
      <w:start w:val="0"/>
      <w:numFmt w:val="bullet"/>
      <w:lvlText w:val="•"/>
      <w:lvlJc w:val="left"/>
      <w:pPr>
        <w:ind w:left="2749" w:hanging="641"/>
      </w:pPr>
      <w:rPr>
        <w:rFonts w:hint="default"/>
      </w:rPr>
    </w:lvl>
    <w:lvl w:ilvl="3">
      <w:start w:val="0"/>
      <w:numFmt w:val="bullet"/>
      <w:lvlText w:val="•"/>
      <w:lvlJc w:val="left"/>
      <w:pPr>
        <w:ind w:left="3693" w:hanging="641"/>
      </w:pPr>
      <w:rPr>
        <w:rFonts w:hint="default"/>
      </w:rPr>
    </w:lvl>
    <w:lvl w:ilvl="4">
      <w:start w:val="0"/>
      <w:numFmt w:val="bullet"/>
      <w:lvlText w:val="•"/>
      <w:lvlJc w:val="left"/>
      <w:pPr>
        <w:ind w:left="4638" w:hanging="641"/>
      </w:pPr>
      <w:rPr>
        <w:rFonts w:hint="default"/>
      </w:rPr>
    </w:lvl>
    <w:lvl w:ilvl="5">
      <w:start w:val="0"/>
      <w:numFmt w:val="bullet"/>
      <w:lvlText w:val="•"/>
      <w:lvlJc w:val="left"/>
      <w:pPr>
        <w:ind w:left="5583" w:hanging="641"/>
      </w:pPr>
      <w:rPr>
        <w:rFonts w:hint="default"/>
      </w:rPr>
    </w:lvl>
    <w:lvl w:ilvl="6">
      <w:start w:val="0"/>
      <w:numFmt w:val="bullet"/>
      <w:lvlText w:val="•"/>
      <w:lvlJc w:val="left"/>
      <w:pPr>
        <w:ind w:left="6527" w:hanging="641"/>
      </w:pPr>
      <w:rPr>
        <w:rFonts w:hint="default"/>
      </w:rPr>
    </w:lvl>
    <w:lvl w:ilvl="7">
      <w:start w:val="0"/>
      <w:numFmt w:val="bullet"/>
      <w:lvlText w:val="•"/>
      <w:lvlJc w:val="left"/>
      <w:pPr>
        <w:ind w:left="7472" w:hanging="641"/>
      </w:pPr>
      <w:rPr>
        <w:rFonts w:hint="default"/>
      </w:rPr>
    </w:lvl>
    <w:lvl w:ilvl="8">
      <w:start w:val="0"/>
      <w:numFmt w:val="bullet"/>
      <w:lvlText w:val="•"/>
      <w:lvlJc w:val="left"/>
      <w:pPr>
        <w:ind w:left="8417" w:hanging="641"/>
      </w:pPr>
      <w:rPr>
        <w:rFonts w:hint="default"/>
      </w:rPr>
    </w:lvl>
  </w:abstractNum>
  <w:abstractNum w:abstractNumId="4">
    <w:multiLevelType w:val="hybridMultilevel"/>
    <w:lvl w:ilvl="0">
      <w:start w:val="9"/>
      <w:numFmt w:val="decimal"/>
      <w:lvlText w:val="%1"/>
      <w:lvlJc w:val="left"/>
      <w:pPr>
        <w:ind w:left="939" w:hanging="423"/>
        <w:jc w:val="left"/>
      </w:pPr>
      <w:rPr>
        <w:rFonts w:hint="default"/>
      </w:rPr>
    </w:lvl>
    <w:lvl w:ilvl="1">
      <w:start w:val="9"/>
      <w:numFmt w:val="decimal"/>
      <w:lvlText w:val="%1.%2"/>
      <w:lvlJc w:val="left"/>
      <w:pPr>
        <w:ind w:left="1013" w:hanging="423"/>
        <w:jc w:val="left"/>
      </w:pPr>
      <w:rPr>
        <w:rFonts w:hint="default" w:ascii="宋体" w:hAnsi="宋体" w:eastAsia="宋体" w:cs="宋体"/>
        <w:w w:val="100"/>
        <w:sz w:val="21"/>
        <w:szCs w:val="21"/>
      </w:rPr>
    </w:lvl>
    <w:lvl w:ilvl="2">
      <w:start w:val="0"/>
      <w:numFmt w:val="bullet"/>
      <w:lvlText w:val="•"/>
      <w:lvlJc w:val="left"/>
      <w:pPr>
        <w:ind w:left="1350" w:hanging="423"/>
      </w:pPr>
      <w:rPr>
        <w:rFonts w:hint="default"/>
      </w:rPr>
    </w:lvl>
    <w:lvl w:ilvl="3">
      <w:start w:val="0"/>
      <w:numFmt w:val="bullet"/>
      <w:lvlText w:val="•"/>
      <w:lvlJc w:val="left"/>
      <w:pPr>
        <w:ind w:left="1681" w:hanging="423"/>
      </w:pPr>
      <w:rPr>
        <w:rFonts w:hint="default"/>
      </w:rPr>
    </w:lvl>
    <w:lvl w:ilvl="4">
      <w:start w:val="0"/>
      <w:numFmt w:val="bullet"/>
      <w:lvlText w:val="•"/>
      <w:lvlJc w:val="left"/>
      <w:pPr>
        <w:ind w:left="2012" w:hanging="423"/>
      </w:pPr>
      <w:rPr>
        <w:rFonts w:hint="default"/>
      </w:rPr>
    </w:lvl>
    <w:lvl w:ilvl="5">
      <w:start w:val="0"/>
      <w:numFmt w:val="bullet"/>
      <w:lvlText w:val="•"/>
      <w:lvlJc w:val="left"/>
      <w:pPr>
        <w:ind w:left="2343" w:hanging="423"/>
      </w:pPr>
      <w:rPr>
        <w:rFonts w:hint="default"/>
      </w:rPr>
    </w:lvl>
    <w:lvl w:ilvl="6">
      <w:start w:val="0"/>
      <w:numFmt w:val="bullet"/>
      <w:lvlText w:val="•"/>
      <w:lvlJc w:val="left"/>
      <w:pPr>
        <w:ind w:left="2674" w:hanging="423"/>
      </w:pPr>
      <w:rPr>
        <w:rFonts w:hint="default"/>
      </w:rPr>
    </w:lvl>
    <w:lvl w:ilvl="7">
      <w:start w:val="0"/>
      <w:numFmt w:val="bullet"/>
      <w:lvlText w:val="•"/>
      <w:lvlJc w:val="left"/>
      <w:pPr>
        <w:ind w:left="3005" w:hanging="423"/>
      </w:pPr>
      <w:rPr>
        <w:rFonts w:hint="default"/>
      </w:rPr>
    </w:lvl>
    <w:lvl w:ilvl="8">
      <w:start w:val="0"/>
      <w:numFmt w:val="bullet"/>
      <w:lvlText w:val="•"/>
      <w:lvlJc w:val="left"/>
      <w:pPr>
        <w:ind w:left="3336" w:hanging="423"/>
      </w:pPr>
      <w:rPr>
        <w:rFonts w:hint="default"/>
      </w:rPr>
    </w:lvl>
  </w:abstractNum>
  <w:abstractNum w:abstractNumId="3">
    <w:multiLevelType w:val="hybridMultilevel"/>
    <w:lvl w:ilvl="0">
      <w:start w:val="8"/>
      <w:numFmt w:val="decimal"/>
      <w:lvlText w:val="%1"/>
      <w:lvlJc w:val="left"/>
      <w:pPr>
        <w:ind w:left="1517" w:hanging="423"/>
        <w:jc w:val="left"/>
      </w:pPr>
      <w:rPr>
        <w:rFonts w:hint="default"/>
      </w:rPr>
    </w:lvl>
    <w:lvl w:ilvl="1">
      <w:start w:val="1"/>
      <w:numFmt w:val="decimal"/>
      <w:lvlText w:val="%1.%2"/>
      <w:lvlJc w:val="left"/>
      <w:pPr>
        <w:ind w:left="1517" w:hanging="423"/>
        <w:jc w:val="left"/>
      </w:pPr>
      <w:rPr>
        <w:rFonts w:hint="default" w:ascii="宋体" w:hAnsi="宋体" w:eastAsia="宋体" w:cs="宋体"/>
        <w:w w:val="100"/>
        <w:sz w:val="21"/>
        <w:szCs w:val="21"/>
      </w:rPr>
    </w:lvl>
    <w:lvl w:ilvl="2">
      <w:start w:val="0"/>
      <w:numFmt w:val="bullet"/>
      <w:lvlText w:val="•"/>
      <w:lvlJc w:val="left"/>
      <w:pPr>
        <w:ind w:left="1897" w:hanging="423"/>
      </w:pPr>
      <w:rPr>
        <w:rFonts w:hint="default"/>
      </w:rPr>
    </w:lvl>
    <w:lvl w:ilvl="3">
      <w:start w:val="0"/>
      <w:numFmt w:val="bullet"/>
      <w:lvlText w:val="•"/>
      <w:lvlJc w:val="left"/>
      <w:pPr>
        <w:ind w:left="2086" w:hanging="423"/>
      </w:pPr>
      <w:rPr>
        <w:rFonts w:hint="default"/>
      </w:rPr>
    </w:lvl>
    <w:lvl w:ilvl="4">
      <w:start w:val="0"/>
      <w:numFmt w:val="bullet"/>
      <w:lvlText w:val="•"/>
      <w:lvlJc w:val="left"/>
      <w:pPr>
        <w:ind w:left="2275" w:hanging="423"/>
      </w:pPr>
      <w:rPr>
        <w:rFonts w:hint="default"/>
      </w:rPr>
    </w:lvl>
    <w:lvl w:ilvl="5">
      <w:start w:val="0"/>
      <w:numFmt w:val="bullet"/>
      <w:lvlText w:val="•"/>
      <w:lvlJc w:val="left"/>
      <w:pPr>
        <w:ind w:left="2464" w:hanging="423"/>
      </w:pPr>
      <w:rPr>
        <w:rFonts w:hint="default"/>
      </w:rPr>
    </w:lvl>
    <w:lvl w:ilvl="6">
      <w:start w:val="0"/>
      <w:numFmt w:val="bullet"/>
      <w:lvlText w:val="•"/>
      <w:lvlJc w:val="left"/>
      <w:pPr>
        <w:ind w:left="2653" w:hanging="423"/>
      </w:pPr>
      <w:rPr>
        <w:rFonts w:hint="default"/>
      </w:rPr>
    </w:lvl>
    <w:lvl w:ilvl="7">
      <w:start w:val="0"/>
      <w:numFmt w:val="bullet"/>
      <w:lvlText w:val="•"/>
      <w:lvlJc w:val="left"/>
      <w:pPr>
        <w:ind w:left="2842" w:hanging="423"/>
      </w:pPr>
      <w:rPr>
        <w:rFonts w:hint="default"/>
      </w:rPr>
    </w:lvl>
    <w:lvl w:ilvl="8">
      <w:start w:val="0"/>
      <w:numFmt w:val="bullet"/>
      <w:lvlText w:val="•"/>
      <w:lvlJc w:val="left"/>
      <w:pPr>
        <w:ind w:left="3031" w:hanging="423"/>
      </w:pPr>
      <w:rPr>
        <w:rFonts w:hint="default"/>
      </w:rPr>
    </w:lvl>
  </w:abstractNum>
  <w:abstractNum w:abstractNumId="2">
    <w:multiLevelType w:val="hybridMultilevel"/>
    <w:lvl w:ilvl="0">
      <w:start w:val="2"/>
      <w:numFmt w:val="decimal"/>
      <w:lvlText w:val="%1"/>
      <w:lvlJc w:val="left"/>
      <w:pPr>
        <w:ind w:left="1723" w:hanging="423"/>
        <w:jc w:val="left"/>
      </w:pPr>
      <w:rPr>
        <w:rFonts w:hint="default"/>
      </w:rPr>
    </w:lvl>
    <w:lvl w:ilvl="1">
      <w:start w:val="1"/>
      <w:numFmt w:val="decimal"/>
      <w:lvlText w:val="%1.%2"/>
      <w:lvlJc w:val="left"/>
      <w:pPr>
        <w:ind w:left="1723" w:hanging="423"/>
        <w:jc w:val="left"/>
      </w:pPr>
      <w:rPr>
        <w:rFonts w:hint="default" w:ascii="宋体" w:hAnsi="宋体" w:eastAsia="宋体" w:cs="宋体"/>
        <w:w w:val="100"/>
        <w:sz w:val="21"/>
        <w:szCs w:val="21"/>
      </w:rPr>
    </w:lvl>
    <w:lvl w:ilvl="2">
      <w:start w:val="0"/>
      <w:numFmt w:val="bullet"/>
      <w:lvlText w:val="•"/>
      <w:lvlJc w:val="left"/>
      <w:pPr>
        <w:ind w:left="1931" w:hanging="423"/>
      </w:pPr>
      <w:rPr>
        <w:rFonts w:hint="default"/>
      </w:rPr>
    </w:lvl>
    <w:lvl w:ilvl="3">
      <w:start w:val="0"/>
      <w:numFmt w:val="bullet"/>
      <w:lvlText w:val="•"/>
      <w:lvlJc w:val="left"/>
      <w:pPr>
        <w:ind w:left="2037" w:hanging="423"/>
      </w:pPr>
      <w:rPr>
        <w:rFonts w:hint="default"/>
      </w:rPr>
    </w:lvl>
    <w:lvl w:ilvl="4">
      <w:start w:val="0"/>
      <w:numFmt w:val="bullet"/>
      <w:lvlText w:val="•"/>
      <w:lvlJc w:val="left"/>
      <w:pPr>
        <w:ind w:left="2143" w:hanging="423"/>
      </w:pPr>
      <w:rPr>
        <w:rFonts w:hint="default"/>
      </w:rPr>
    </w:lvl>
    <w:lvl w:ilvl="5">
      <w:start w:val="0"/>
      <w:numFmt w:val="bullet"/>
      <w:lvlText w:val="•"/>
      <w:lvlJc w:val="left"/>
      <w:pPr>
        <w:ind w:left="2249" w:hanging="423"/>
      </w:pPr>
      <w:rPr>
        <w:rFonts w:hint="default"/>
      </w:rPr>
    </w:lvl>
    <w:lvl w:ilvl="6">
      <w:start w:val="0"/>
      <w:numFmt w:val="bullet"/>
      <w:lvlText w:val="•"/>
      <w:lvlJc w:val="left"/>
      <w:pPr>
        <w:ind w:left="2355" w:hanging="423"/>
      </w:pPr>
      <w:rPr>
        <w:rFonts w:hint="default"/>
      </w:rPr>
    </w:lvl>
    <w:lvl w:ilvl="7">
      <w:start w:val="0"/>
      <w:numFmt w:val="bullet"/>
      <w:lvlText w:val="•"/>
      <w:lvlJc w:val="left"/>
      <w:pPr>
        <w:ind w:left="2461" w:hanging="423"/>
      </w:pPr>
      <w:rPr>
        <w:rFonts w:hint="default"/>
      </w:rPr>
    </w:lvl>
    <w:lvl w:ilvl="8">
      <w:start w:val="0"/>
      <w:numFmt w:val="bullet"/>
      <w:lvlText w:val="•"/>
      <w:lvlJc w:val="left"/>
      <w:pPr>
        <w:ind w:left="2567" w:hanging="423"/>
      </w:pPr>
      <w:rPr>
        <w:rFonts w:hint="default"/>
      </w:rPr>
    </w:lvl>
  </w:abstractNum>
  <w:abstractNum w:abstractNumId="1">
    <w:multiLevelType w:val="hybridMultilevel"/>
    <w:lvl w:ilvl="0">
      <w:start w:val="1"/>
      <w:numFmt w:val="decimal"/>
      <w:lvlText w:val="%1"/>
      <w:lvlJc w:val="left"/>
      <w:pPr>
        <w:ind w:left="1723" w:hanging="423"/>
        <w:jc w:val="left"/>
      </w:pPr>
      <w:rPr>
        <w:rFonts w:hint="default"/>
      </w:rPr>
    </w:lvl>
    <w:lvl w:ilvl="1">
      <w:start w:val="1"/>
      <w:numFmt w:val="decimal"/>
      <w:lvlText w:val="%1.%2"/>
      <w:lvlJc w:val="left"/>
      <w:pPr>
        <w:ind w:left="1723" w:hanging="423"/>
        <w:jc w:val="left"/>
      </w:pPr>
      <w:rPr>
        <w:rFonts w:hint="default" w:ascii="宋体" w:hAnsi="宋体" w:eastAsia="宋体" w:cs="宋体"/>
        <w:w w:val="100"/>
        <w:sz w:val="21"/>
        <w:szCs w:val="21"/>
      </w:rPr>
    </w:lvl>
    <w:lvl w:ilvl="2">
      <w:start w:val="0"/>
      <w:numFmt w:val="bullet"/>
      <w:lvlText w:val="•"/>
      <w:lvlJc w:val="left"/>
      <w:pPr>
        <w:ind w:left="1931" w:hanging="423"/>
      </w:pPr>
      <w:rPr>
        <w:rFonts w:hint="default"/>
      </w:rPr>
    </w:lvl>
    <w:lvl w:ilvl="3">
      <w:start w:val="0"/>
      <w:numFmt w:val="bullet"/>
      <w:lvlText w:val="•"/>
      <w:lvlJc w:val="left"/>
      <w:pPr>
        <w:ind w:left="2037" w:hanging="423"/>
      </w:pPr>
      <w:rPr>
        <w:rFonts w:hint="default"/>
      </w:rPr>
    </w:lvl>
    <w:lvl w:ilvl="4">
      <w:start w:val="0"/>
      <w:numFmt w:val="bullet"/>
      <w:lvlText w:val="•"/>
      <w:lvlJc w:val="left"/>
      <w:pPr>
        <w:ind w:left="2143" w:hanging="423"/>
      </w:pPr>
      <w:rPr>
        <w:rFonts w:hint="default"/>
      </w:rPr>
    </w:lvl>
    <w:lvl w:ilvl="5">
      <w:start w:val="0"/>
      <w:numFmt w:val="bullet"/>
      <w:lvlText w:val="•"/>
      <w:lvlJc w:val="left"/>
      <w:pPr>
        <w:ind w:left="2249" w:hanging="423"/>
      </w:pPr>
      <w:rPr>
        <w:rFonts w:hint="default"/>
      </w:rPr>
    </w:lvl>
    <w:lvl w:ilvl="6">
      <w:start w:val="0"/>
      <w:numFmt w:val="bullet"/>
      <w:lvlText w:val="•"/>
      <w:lvlJc w:val="left"/>
      <w:pPr>
        <w:ind w:left="2355" w:hanging="423"/>
      </w:pPr>
      <w:rPr>
        <w:rFonts w:hint="default"/>
      </w:rPr>
    </w:lvl>
    <w:lvl w:ilvl="7">
      <w:start w:val="0"/>
      <w:numFmt w:val="bullet"/>
      <w:lvlText w:val="•"/>
      <w:lvlJc w:val="left"/>
      <w:pPr>
        <w:ind w:left="2461" w:hanging="423"/>
      </w:pPr>
      <w:rPr>
        <w:rFonts w:hint="default"/>
      </w:rPr>
    </w:lvl>
    <w:lvl w:ilvl="8">
      <w:start w:val="0"/>
      <w:numFmt w:val="bullet"/>
      <w:lvlText w:val="•"/>
      <w:lvlJc w:val="left"/>
      <w:pPr>
        <w:ind w:left="2567" w:hanging="423"/>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220"/>
      <w:outlineLvl w:val="2"/>
    </w:pPr>
    <w:rPr>
      <w:rFonts w:ascii="等线" w:hAnsi="等线" w:eastAsia="等线" w:cs="等线"/>
      <w:b/>
      <w:bCs/>
      <w:sz w:val="24"/>
      <w:szCs w:val="24"/>
    </w:rPr>
  </w:style>
  <w:style w:styleId="Heading3" w:type="paragraph">
    <w:name w:val="Heading 3"/>
    <w:basedOn w:val="Normal"/>
    <w:uiPriority w:val="1"/>
    <w:qFormat/>
    <w:pPr>
      <w:ind w:left="345"/>
      <w:outlineLvl w:val="3"/>
    </w:pPr>
    <w:rPr>
      <w:rFonts w:ascii="宋体" w:hAnsi="宋体" w:eastAsia="宋体" w:cs="宋体"/>
      <w:b/>
      <w:bCs/>
      <w:sz w:val="21"/>
      <w:szCs w:val="21"/>
    </w:rPr>
  </w:style>
  <w:style w:styleId="ListParagraph" w:type="paragraph">
    <w:name w:val="List Paragraph"/>
    <w:basedOn w:val="Normal"/>
    <w:uiPriority w:val="1"/>
    <w:qFormat/>
    <w:pPr>
      <w:spacing w:before="5"/>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2018-10-19T23:34:10Z</dcterms:created>
  <dcterms:modified xsi:type="dcterms:W3CDTF">2018-10-19T23:34:10Z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2018-10-19T00:00:00Z</vt:filetime>
  </property>
</Properties>
</file>