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3"/>
        <w:jc w:val="right"/>
      </w:pPr>
      <w:r>
        <w:rPr/>
        <w:drawing>
          <wp:anchor distT="0" distB="0" distL="0" distR="0" allowOverlap="1" layoutInCell="1" locked="0" behindDoc="0" simplePos="0" relativeHeight="0">
            <wp:simplePos x="0" y="0"/>
            <wp:positionH relativeFrom="page">
              <wp:posOffset>5862828</wp:posOffset>
            </wp:positionH>
            <wp:positionV relativeFrom="paragraph">
              <wp:posOffset>255828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中韩人寿〔2014〕疾病保险 013 号</w:t>
      </w:r>
    </w:p>
    <w:p>
      <w:pPr>
        <w:pStyle w:val="BodyText"/>
        <w:rPr>
          <w:sz w:val="20"/>
        </w:rPr>
      </w:pPr>
    </w:p>
    <w:p>
      <w:pPr>
        <w:spacing w:after="0"/>
        <w:rPr>
          <w:sz w:val="20"/>
        </w:rPr>
        <w:sectPr>
          <w:type w:val="continuous"/>
          <w:pgSz w:w="11910" w:h="16840"/>
          <w:pgMar w:top="200" w:bottom="280" w:left="580" w:right="540"/>
        </w:sectPr>
      </w:pPr>
    </w:p>
    <w:p>
      <w:pPr>
        <w:spacing w:before="144"/>
        <w:ind w:left="118"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9</w:t>
      </w:r>
    </w:p>
    <w:p>
      <w:pPr>
        <w:pStyle w:val="BodyText"/>
        <w:rPr>
          <w:rFonts w:ascii="黑体"/>
          <w:sz w:val="32"/>
        </w:rPr>
      </w:pPr>
      <w:r>
        <w:rPr/>
        <w:br w:type="column"/>
      </w:r>
      <w:r>
        <w:rPr>
          <w:rFonts w:ascii="黑体"/>
          <w:sz w:val="32"/>
        </w:rPr>
      </w:r>
    </w:p>
    <w:p>
      <w:pPr>
        <w:pStyle w:val="BodyText"/>
        <w:spacing w:before="4"/>
        <w:rPr>
          <w:rFonts w:ascii="黑体"/>
          <w:sz w:val="22"/>
        </w:rPr>
      </w:pPr>
    </w:p>
    <w:p>
      <w:pPr>
        <w:pStyle w:val="Heading1"/>
      </w:pPr>
      <w:r>
        <w:rPr>
          <w:w w:val="95"/>
        </w:rPr>
        <w:t>中韩人寿保险有限公司</w:t>
      </w:r>
    </w:p>
    <w:p>
      <w:pPr>
        <w:spacing w:before="205"/>
        <w:ind w:left="118" w:right="0" w:firstLine="0"/>
        <w:jc w:val="center"/>
        <w:rPr>
          <w:rFonts w:ascii="黑体" w:eastAsia="黑体" w:hint="eastAsia"/>
          <w:b/>
          <w:sz w:val="32"/>
        </w:rPr>
      </w:pPr>
      <w:r>
        <w:rPr>
          <w:rFonts w:ascii="黑体" w:eastAsia="黑体" w:hint="eastAsia"/>
          <w:b/>
          <w:spacing w:val="-7"/>
          <w:sz w:val="32"/>
        </w:rPr>
        <w:t>中韩爱相伴少儿重大疾病保险 </w:t>
      </w:r>
      <w:r>
        <w:rPr>
          <w:rFonts w:ascii="黑体" w:eastAsia="黑体" w:hint="eastAsia"/>
          <w:b/>
          <w:sz w:val="32"/>
        </w:rPr>
        <w:t>A</w:t>
      </w:r>
      <w:r>
        <w:rPr>
          <w:rFonts w:ascii="黑体" w:eastAsia="黑体" w:hint="eastAsia"/>
          <w:b/>
          <w:spacing w:val="-23"/>
          <w:sz w:val="32"/>
        </w:rPr>
        <w:t> 款条款</w:t>
      </w:r>
    </w:p>
    <w:p>
      <w:pPr>
        <w:spacing w:before="113"/>
        <w:ind w:left="118" w:right="0" w:firstLine="0"/>
        <w:jc w:val="center"/>
        <w:rPr>
          <w:rFonts w:ascii="黑体" w:eastAsia="黑体" w:hint="eastAsia"/>
          <w:b/>
          <w:sz w:val="24"/>
        </w:rPr>
      </w:pPr>
      <w:r>
        <w:rPr>
          <w:rFonts w:ascii="黑体" w:eastAsia="黑体" w:hint="eastAsia"/>
          <w:b/>
          <w:sz w:val="24"/>
        </w:rPr>
        <w:t>阅 读 指 引</w:t>
      </w:r>
    </w:p>
    <w:p>
      <w:pPr>
        <w:pStyle w:val="BodyText"/>
        <w:rPr>
          <w:rFonts w:ascii="黑体"/>
          <w:b/>
          <w:sz w:val="20"/>
        </w:rPr>
      </w:pPr>
      <w:r>
        <w:rPr/>
        <w:br w:type="column"/>
      </w:r>
      <w:r>
        <w:rPr>
          <w:rFonts w:ascii="黑体"/>
          <w:b/>
          <w:sz w:val="20"/>
        </w:rPr>
      </w:r>
    </w:p>
    <w:p>
      <w:pPr>
        <w:pStyle w:val="BodyText"/>
        <w:rPr>
          <w:rFonts w:ascii="黑体"/>
          <w:b/>
          <w:sz w:val="20"/>
        </w:rPr>
      </w:pPr>
    </w:p>
    <w:p>
      <w:pPr>
        <w:pStyle w:val="BodyText"/>
        <w:rPr>
          <w:rFonts w:ascii="黑体"/>
          <w:b/>
          <w:sz w:val="20"/>
        </w:rPr>
      </w:pPr>
    </w:p>
    <w:p>
      <w:pPr>
        <w:pStyle w:val="BodyText"/>
        <w:spacing w:before="12"/>
        <w:rPr>
          <w:rFonts w:ascii="黑体"/>
          <w:b/>
          <w:sz w:val="17"/>
        </w:rPr>
      </w:pPr>
    </w:p>
    <w:p>
      <w:pPr>
        <w:pStyle w:val="BodyText"/>
        <w:ind w:left="67"/>
      </w:pPr>
      <w:r>
        <w:rPr/>
        <w:t>请扫描以查询验证条款</w:t>
      </w:r>
    </w:p>
    <w:p>
      <w:pPr>
        <w:spacing w:after="0"/>
        <w:sectPr>
          <w:type w:val="continuous"/>
          <w:pgSz w:w="11910" w:h="16840"/>
          <w:pgMar w:top="200" w:bottom="280" w:left="580" w:right="540"/>
          <w:cols w:num="3" w:equalWidth="0">
            <w:col w:w="1000" w:space="1523"/>
            <w:col w:w="5580" w:space="40"/>
            <w:col w:w="2647"/>
          </w:cols>
        </w:sectPr>
      </w:pPr>
    </w:p>
    <w:p>
      <w:pPr>
        <w:pStyle w:val="BodyText"/>
        <w:spacing w:before="21"/>
        <w:ind w:left="2327"/>
        <w:rPr>
          <w:rFonts w:ascii="黑体" w:eastAsia="黑体" w:hint="eastAsia"/>
        </w:rPr>
      </w:pPr>
      <w:r>
        <w:rPr/>
        <w:pict>
          <v:shapetype id="_x0000_t202" o:spt="202" coordsize="21600,21600" path="m,l,21600r21600,l21600,xe">
            <v:stroke joinstyle="miter"/>
            <v:path gradientshapeok="t" o:connecttype="rect"/>
          </v:shapetype>
          <v:shape style="position:absolute;margin-left:56.700001pt;margin-top:18.465736pt;width:24.5pt;height:27.4pt;mso-position-horizontal-relative:page;mso-position-vertical-relative:paragraph;z-index:-38704"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8"/>
        </w:rPr>
        <w:t>本</w:t>
      </w:r>
      <w:r>
        <w:rPr>
          <w:spacing w:val="-63"/>
          <w:position w:val="-7"/>
        </w:rPr>
        <w:t>．</w:t>
      </w:r>
      <w:r>
        <w:rPr>
          <w:rFonts w:ascii="黑体" w:eastAsia="黑体" w:hint="eastAsia"/>
          <w:spacing w:val="-148"/>
        </w:rPr>
        <w:t>阅</w:t>
      </w:r>
      <w:r>
        <w:rPr>
          <w:spacing w:val="-63"/>
          <w:position w:val="-7"/>
        </w:rPr>
        <w:t>．</w:t>
      </w:r>
      <w:r>
        <w:rPr>
          <w:rFonts w:ascii="黑体" w:eastAsia="黑体" w:hint="eastAsia"/>
          <w:spacing w:val="-148"/>
        </w:rPr>
        <w:t>读</w:t>
      </w:r>
      <w:r>
        <w:rPr>
          <w:spacing w:val="-63"/>
          <w:position w:val="-7"/>
        </w:rPr>
        <w:t>．</w:t>
      </w:r>
      <w:r>
        <w:rPr>
          <w:rFonts w:ascii="黑体" w:eastAsia="黑体" w:hint="eastAsia"/>
          <w:spacing w:val="-148"/>
        </w:rPr>
        <w:t>指</w:t>
      </w:r>
      <w:r>
        <w:rPr>
          <w:spacing w:val="-63"/>
          <w:position w:val="-7"/>
        </w:rPr>
        <w:t>．</w:t>
      </w:r>
      <w:r>
        <w:rPr>
          <w:rFonts w:ascii="黑体" w:eastAsia="黑体" w:hint="eastAsia"/>
          <w:spacing w:val="-148"/>
        </w:rPr>
        <w:t>引</w:t>
      </w:r>
      <w:r>
        <w:rPr>
          <w:spacing w:val="-63"/>
          <w:position w:val="-7"/>
        </w:rPr>
        <w:t>．</w:t>
      </w:r>
      <w:r>
        <w:rPr>
          <w:rFonts w:ascii="黑体" w:eastAsia="黑体" w:hint="eastAsia"/>
          <w:spacing w:val="-148"/>
        </w:rPr>
        <w:t>有</w:t>
      </w:r>
      <w:r>
        <w:rPr>
          <w:spacing w:val="-63"/>
          <w:position w:val="-7"/>
        </w:rPr>
        <w:t>．</w:t>
      </w:r>
      <w:r>
        <w:rPr>
          <w:rFonts w:ascii="黑体" w:eastAsia="黑体" w:hint="eastAsia"/>
          <w:spacing w:val="-148"/>
        </w:rPr>
        <w:t>助</w:t>
      </w:r>
      <w:r>
        <w:rPr>
          <w:spacing w:val="-63"/>
          <w:position w:val="-7"/>
        </w:rPr>
        <w:t>．</w:t>
      </w:r>
      <w:r>
        <w:rPr>
          <w:rFonts w:ascii="黑体" w:eastAsia="黑体" w:hint="eastAsia"/>
          <w:spacing w:val="-148"/>
        </w:rPr>
        <w:t>于</w:t>
      </w:r>
      <w:r>
        <w:rPr>
          <w:spacing w:val="-63"/>
          <w:position w:val="-7"/>
        </w:rPr>
        <w:t>．</w:t>
      </w:r>
      <w:r>
        <w:rPr>
          <w:rFonts w:ascii="黑体" w:eastAsia="黑体" w:hint="eastAsia"/>
          <w:spacing w:val="-148"/>
        </w:rPr>
        <w:t>您</w:t>
      </w:r>
      <w:r>
        <w:rPr>
          <w:spacing w:val="-63"/>
          <w:position w:val="-7"/>
        </w:rPr>
        <w:t>．</w:t>
      </w:r>
      <w:r>
        <w:rPr>
          <w:rFonts w:ascii="黑体" w:eastAsia="黑体" w:hint="eastAsia"/>
          <w:spacing w:val="-148"/>
        </w:rPr>
        <w:t>理</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w:t>
      </w:r>
      <w:r>
        <w:rPr>
          <w:spacing w:val="-63"/>
          <w:position w:val="-7"/>
        </w:rPr>
        <w:t>．</w:t>
      </w:r>
      <w:r>
        <w:rPr>
          <w:rFonts w:ascii="黑体" w:eastAsia="黑体" w:hint="eastAsia"/>
          <w:spacing w:val="-148"/>
        </w:rPr>
        <w:t>对</w:t>
      </w:r>
      <w:r>
        <w:rPr>
          <w:spacing w:val="-63"/>
          <w:position w:val="-7"/>
        </w:rPr>
        <w:t>．</w:t>
      </w:r>
      <w:r>
        <w:rPr>
          <w:rFonts w:ascii="黑体" w:eastAsia="黑体" w:hint="eastAsia"/>
          <w:spacing w:val="-148"/>
        </w:rPr>
        <w:t>本</w:t>
      </w:r>
      <w:r>
        <w:rPr>
          <w:spacing w:val="-63"/>
          <w:position w:val="-7"/>
        </w:rPr>
        <w:t>．</w:t>
      </w:r>
      <w:r>
        <w:rPr>
          <w:rFonts w:ascii="黑体" w:eastAsia="黑体" w:hint="eastAsia"/>
          <w:spacing w:val="-148"/>
        </w:rPr>
        <w:t>合</w:t>
      </w:r>
      <w:r>
        <w:rPr>
          <w:spacing w:val="-63"/>
          <w:position w:val="-7"/>
        </w:rPr>
        <w:t>．</w:t>
      </w:r>
      <w:r>
        <w:rPr>
          <w:rFonts w:ascii="黑体" w:eastAsia="黑体" w:hint="eastAsia"/>
          <w:spacing w:val="-148"/>
        </w:rPr>
        <w:t>同</w:t>
      </w:r>
      <w:r>
        <w:rPr>
          <w:spacing w:val="-63"/>
          <w:position w:val="-7"/>
        </w:rPr>
        <w:t>．</w:t>
      </w:r>
      <w:r>
        <w:rPr>
          <w:rFonts w:ascii="黑体" w:eastAsia="黑体" w:hint="eastAsia"/>
          <w:spacing w:val="-148"/>
        </w:rPr>
        <w:t>内</w:t>
      </w:r>
      <w:r>
        <w:rPr>
          <w:spacing w:val="-63"/>
          <w:position w:val="-7"/>
        </w:rPr>
        <w:t>．</w:t>
      </w:r>
      <w:r>
        <w:rPr>
          <w:rFonts w:ascii="黑体" w:eastAsia="黑体" w:hint="eastAsia"/>
          <w:spacing w:val="-148"/>
        </w:rPr>
        <w:t>容</w:t>
      </w:r>
      <w:r>
        <w:rPr>
          <w:spacing w:val="-63"/>
          <w:position w:val="-7"/>
        </w:rPr>
        <w:t>．</w:t>
      </w:r>
      <w:r>
        <w:rPr>
          <w:rFonts w:ascii="黑体" w:eastAsia="黑体" w:hint="eastAsia"/>
          <w:spacing w:val="-148"/>
        </w:rPr>
        <w:t>的</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释</w:t>
      </w:r>
      <w:r>
        <w:rPr>
          <w:spacing w:val="-63"/>
          <w:position w:val="-7"/>
        </w:rPr>
        <w:t>．</w:t>
      </w:r>
      <w:r>
        <w:rPr>
          <w:rFonts w:ascii="黑体" w:eastAsia="黑体" w:hint="eastAsia"/>
          <w:spacing w:val="-148"/>
        </w:rPr>
        <w:t>以</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为</w:t>
      </w:r>
      <w:r>
        <w:rPr>
          <w:spacing w:val="-63"/>
          <w:position w:val="-7"/>
        </w:rPr>
        <w:t>．</w:t>
      </w:r>
      <w:r>
        <w:rPr>
          <w:rFonts w:ascii="黑体" w:eastAsia="黑体" w:hint="eastAsia"/>
          <w:spacing w:val="-148"/>
        </w:rPr>
        <w:t>准</w:t>
      </w:r>
      <w:r>
        <w:rPr>
          <w:spacing w:val="-63"/>
          <w:position w:val="-7"/>
        </w:rPr>
        <w:t>．</w:t>
      </w:r>
      <w:r>
        <w:rPr>
          <w:rFonts w:ascii="黑体" w:eastAsia="黑体" w:hint="eastAsia"/>
        </w:rPr>
        <w:t>。</w:t>
      </w:r>
    </w:p>
    <w:p>
      <w:pPr>
        <w:pStyle w:val="Heading2"/>
        <w:spacing w:before="66"/>
        <w:ind w:left="1283" w:firstLine="0"/>
      </w:pPr>
      <w:r>
        <w:rPr>
          <w:w w:val="95"/>
        </w:rPr>
        <w:t>您拥有的重要权益</w:t>
      </w:r>
    </w:p>
    <w:p>
      <w:pPr>
        <w:pStyle w:val="ListParagraph"/>
        <w:numPr>
          <w:ilvl w:val="0"/>
          <w:numId w:val="1"/>
        </w:numPr>
        <w:tabs>
          <w:tab w:pos="1290" w:val="left" w:leader="none"/>
          <w:tab w:pos="1291" w:val="left" w:leader="none"/>
          <w:tab w:pos="10191" w:val="right" w:leader="dot"/>
        </w:tabs>
        <w:spacing w:line="240" w:lineRule="auto" w:before="24" w:after="0"/>
        <w:ind w:left="1290" w:right="0" w:hanging="452"/>
        <w:jc w:val="left"/>
        <w:rPr>
          <w:rFonts w:ascii="黑体" w:hAnsi="黑体" w:eastAsia="黑体" w:hint="eastAsia"/>
          <w:sz w:val="21"/>
        </w:rPr>
      </w:pPr>
      <w:r>
        <w:rPr>
          <w:rFonts w:ascii="黑体" w:hAnsi="黑体" w:eastAsia="黑体" w:hint="eastAsia"/>
          <w:spacing w:val="2"/>
          <w:sz w:val="21"/>
        </w:rPr>
        <w:t>本合同</w:t>
      </w:r>
      <w:r>
        <w:rPr>
          <w:rFonts w:ascii="黑体" w:hAnsi="黑体" w:eastAsia="黑体" w:hint="eastAsia"/>
          <w:sz w:val="21"/>
        </w:rPr>
        <w:t>提供</w:t>
      </w:r>
      <w:r>
        <w:rPr>
          <w:rFonts w:ascii="黑体" w:hAnsi="黑体" w:eastAsia="黑体" w:hint="eastAsia"/>
          <w:spacing w:val="2"/>
          <w:sz w:val="21"/>
        </w:rPr>
        <w:t>的保障</w:t>
      </w:r>
      <w:r>
        <w:rPr>
          <w:rFonts w:ascii="黑体" w:hAnsi="黑体" w:eastAsia="黑体" w:hint="eastAsia"/>
          <w:sz w:val="21"/>
        </w:rPr>
        <w:t>在保</w:t>
      </w:r>
      <w:r>
        <w:rPr>
          <w:rFonts w:ascii="黑体" w:hAnsi="黑体" w:eastAsia="黑体" w:hint="eastAsia"/>
          <w:spacing w:val="2"/>
          <w:sz w:val="21"/>
        </w:rPr>
        <w:t>险责任</w:t>
      </w:r>
      <w:r>
        <w:rPr>
          <w:rFonts w:ascii="黑体" w:hAnsi="黑体" w:eastAsia="黑体" w:hint="eastAsia"/>
          <w:sz w:val="21"/>
        </w:rPr>
        <w:t>条款</w:t>
      </w:r>
      <w:r>
        <w:rPr>
          <w:rFonts w:ascii="黑体" w:hAnsi="黑体" w:eastAsia="黑体" w:hint="eastAsia"/>
          <w:spacing w:val="2"/>
          <w:sz w:val="21"/>
        </w:rPr>
        <w:t>中列明…</w:t>
        <w:tab/>
      </w:r>
      <w:r>
        <w:rPr>
          <w:rFonts w:ascii="黑体" w:hAnsi="黑体" w:eastAsia="黑体" w:hint="eastAsia"/>
          <w:spacing w:val="1"/>
          <w:sz w:val="21"/>
        </w:rPr>
        <w:t>2.5</w:t>
      </w:r>
    </w:p>
    <w:p>
      <w:pPr>
        <w:pStyle w:val="ListParagraph"/>
        <w:numPr>
          <w:ilvl w:val="0"/>
          <w:numId w:val="1"/>
        </w:numPr>
        <w:tabs>
          <w:tab w:pos="1290" w:val="left" w:leader="none"/>
          <w:tab w:pos="1291" w:val="left" w:leader="none"/>
          <w:tab w:pos="10191" w:val="right" w:leader="dot"/>
        </w:tabs>
        <w:spacing w:line="240" w:lineRule="auto" w:before="22" w:after="0"/>
        <w:ind w:left="1290" w:right="0" w:hanging="452"/>
        <w:jc w:val="left"/>
        <w:rPr>
          <w:rFonts w:ascii="黑体" w:hAnsi="黑体" w:eastAsia="黑体" w:hint="eastAsia"/>
          <w:sz w:val="21"/>
        </w:rPr>
      </w:pPr>
      <w:r>
        <w:rPr/>
        <w:pict>
          <v:shape style="position:absolute;margin-left:56.700001pt;margin-top:15.155455pt;width:24.5pt;height:27.4pt;mso-position-horizontal-relative:page;mso-position-vertical-relative:paragraph;z-index:-38680"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hAnsi="黑体" w:eastAsia="黑体" w:hint="eastAsia"/>
          <w:spacing w:val="2"/>
          <w:sz w:val="21"/>
        </w:rPr>
        <w:t>您有退</w:t>
      </w:r>
      <w:r>
        <w:rPr>
          <w:rFonts w:ascii="黑体" w:hAnsi="黑体" w:eastAsia="黑体" w:hint="eastAsia"/>
          <w:sz w:val="21"/>
        </w:rPr>
        <w:t>保的</w:t>
      </w:r>
      <w:r>
        <w:rPr>
          <w:rFonts w:ascii="黑体" w:hAnsi="黑体" w:eastAsia="黑体" w:hint="eastAsia"/>
          <w:spacing w:val="2"/>
          <w:sz w:val="21"/>
        </w:rPr>
        <w:t>权利…</w:t>
        <w:tab/>
      </w:r>
      <w:r>
        <w:rPr>
          <w:rFonts w:ascii="黑体" w:hAnsi="黑体" w:eastAsia="黑体" w:hint="eastAsia"/>
          <w:spacing w:val="1"/>
          <w:sz w:val="21"/>
        </w:rPr>
        <w:t>5.1</w:t>
      </w:r>
    </w:p>
    <w:p>
      <w:pPr>
        <w:pStyle w:val="Heading2"/>
        <w:spacing w:before="64"/>
        <w:ind w:left="1283" w:firstLine="0"/>
      </w:pPr>
      <w:r>
        <w:rPr>
          <w:w w:val="95"/>
        </w:rPr>
        <w:t>您应当特别注意的事项</w:t>
      </w:r>
    </w:p>
    <w:p>
      <w:pPr>
        <w:pStyle w:val="ListParagraph"/>
        <w:numPr>
          <w:ilvl w:val="0"/>
          <w:numId w:val="1"/>
        </w:numPr>
        <w:tabs>
          <w:tab w:pos="1290" w:val="left" w:leader="none"/>
          <w:tab w:pos="1291" w:val="left" w:leader="none"/>
          <w:tab w:pos="10192" w:val="right" w:leader="dot"/>
        </w:tabs>
        <w:spacing w:line="240" w:lineRule="auto" w:before="22" w:after="0"/>
        <w:ind w:left="1290" w:right="0" w:hanging="452"/>
        <w:jc w:val="left"/>
        <w:rPr>
          <w:rFonts w:ascii="黑体" w:hAnsi="黑体" w:eastAsia="黑体" w:hint="eastAsia"/>
          <w:sz w:val="21"/>
        </w:rPr>
      </w:pPr>
      <w:r>
        <w:rPr>
          <w:rFonts w:ascii="黑体" w:hAnsi="黑体" w:eastAsia="黑体" w:hint="eastAsia"/>
          <w:sz w:val="21"/>
        </w:rPr>
        <w:t>本合同有责任免除条款</w:t>
      </w:r>
      <w:r>
        <w:rPr>
          <w:rFonts w:ascii="黑体" w:hAnsi="黑体" w:eastAsia="黑体" w:hint="eastAsia"/>
          <w:spacing w:val="-25"/>
          <w:sz w:val="21"/>
        </w:rPr>
        <w:t>，</w:t>
      </w:r>
      <w:r>
        <w:rPr>
          <w:rFonts w:ascii="黑体" w:hAnsi="黑体" w:eastAsia="黑体" w:hint="eastAsia"/>
          <w:sz w:val="21"/>
        </w:rPr>
        <w:t>请您注意…</w:t>
        <w:tab/>
        <w:t>2.6</w:t>
      </w:r>
    </w:p>
    <w:p>
      <w:pPr>
        <w:pStyle w:val="ListParagraph"/>
        <w:numPr>
          <w:ilvl w:val="0"/>
          <w:numId w:val="1"/>
        </w:numPr>
        <w:tabs>
          <w:tab w:pos="1290" w:val="left" w:leader="none"/>
          <w:tab w:pos="1291" w:val="left" w:leader="none"/>
          <w:tab w:pos="10192" w:val="right" w:leader="dot"/>
        </w:tabs>
        <w:spacing w:line="240" w:lineRule="auto" w:before="21" w:after="0"/>
        <w:ind w:left="1290" w:right="0" w:hanging="452"/>
        <w:jc w:val="left"/>
        <w:rPr>
          <w:rFonts w:ascii="黑体" w:hAnsi="黑体" w:eastAsia="黑体" w:hint="eastAsia"/>
          <w:sz w:val="21"/>
        </w:rPr>
      </w:pPr>
      <w:r>
        <w:rPr>
          <w:rFonts w:ascii="黑体" w:hAnsi="黑体" w:eastAsia="黑体" w:hint="eastAsia"/>
          <w:sz w:val="21"/>
        </w:rPr>
        <w:t>保险事故发Th后</w:t>
      </w:r>
      <w:r>
        <w:rPr>
          <w:rFonts w:ascii="黑体" w:hAnsi="黑体" w:eastAsia="黑体" w:hint="eastAsia"/>
          <w:spacing w:val="-25"/>
          <w:sz w:val="21"/>
        </w:rPr>
        <w:t>，</w:t>
      </w:r>
      <w:r>
        <w:rPr>
          <w:rFonts w:ascii="黑体" w:hAnsi="黑体" w:eastAsia="黑体" w:hint="eastAsia"/>
          <w:sz w:val="21"/>
        </w:rPr>
        <w:t>请及时通知我们…</w:t>
        <w:tab/>
        <w:t>3.2</w:t>
      </w:r>
    </w:p>
    <w:p>
      <w:pPr>
        <w:pStyle w:val="ListParagraph"/>
        <w:numPr>
          <w:ilvl w:val="0"/>
          <w:numId w:val="1"/>
        </w:numPr>
        <w:tabs>
          <w:tab w:pos="1290" w:val="left" w:leader="none"/>
          <w:tab w:pos="1291" w:val="left" w:leader="none"/>
          <w:tab w:pos="10192" w:val="right" w:leader="dot"/>
        </w:tabs>
        <w:spacing w:line="240" w:lineRule="auto" w:before="21" w:after="0"/>
        <w:ind w:left="1290" w:right="0" w:hanging="452"/>
        <w:jc w:val="left"/>
        <w:rPr>
          <w:rFonts w:ascii="黑体" w:hAnsi="黑体" w:eastAsia="黑体" w:hint="eastAsia"/>
          <w:sz w:val="21"/>
        </w:rPr>
      </w:pPr>
      <w:r>
        <w:rPr>
          <w:rFonts w:ascii="黑体" w:hAnsi="黑体" w:eastAsia="黑体" w:hint="eastAsia"/>
          <w:sz w:val="21"/>
        </w:rPr>
        <w:t>退保会给您造成一定的损失</w:t>
      </w:r>
      <w:r>
        <w:rPr>
          <w:rFonts w:ascii="黑体" w:hAnsi="黑体" w:eastAsia="黑体" w:hint="eastAsia"/>
          <w:spacing w:val="-25"/>
          <w:sz w:val="21"/>
        </w:rPr>
        <w:t>，</w:t>
      </w:r>
      <w:r>
        <w:rPr>
          <w:rFonts w:ascii="黑体" w:hAnsi="黑体" w:eastAsia="黑体" w:hint="eastAsia"/>
          <w:sz w:val="21"/>
        </w:rPr>
        <w:t>请您慎重决策…</w:t>
        <w:tab/>
        <w:t>5.1</w:t>
      </w:r>
    </w:p>
    <w:p>
      <w:pPr>
        <w:pStyle w:val="ListParagraph"/>
        <w:numPr>
          <w:ilvl w:val="0"/>
          <w:numId w:val="1"/>
        </w:numPr>
        <w:tabs>
          <w:tab w:pos="1290" w:val="left" w:leader="none"/>
          <w:tab w:pos="1291" w:val="left" w:leader="none"/>
          <w:tab w:pos="10195" w:val="right" w:leader="dot"/>
        </w:tabs>
        <w:spacing w:line="240" w:lineRule="auto" w:before="21" w:after="0"/>
        <w:ind w:left="1290" w:right="0" w:hanging="452"/>
        <w:jc w:val="left"/>
        <w:rPr>
          <w:rFonts w:ascii="黑体" w:eastAsia="黑体" w:hint="eastAsia"/>
          <w:sz w:val="21"/>
        </w:rPr>
      </w:pPr>
      <w:r>
        <w:rPr>
          <w:rFonts w:ascii="黑体" w:eastAsia="黑体" w:hint="eastAsia"/>
          <w:sz w:val="21"/>
        </w:rPr>
        <w:t>您有如实告知的义务</w:t>
        <w:tab/>
        <w:t>6.1</w:t>
      </w:r>
    </w:p>
    <w:p>
      <w:pPr>
        <w:pStyle w:val="ListParagraph"/>
        <w:numPr>
          <w:ilvl w:val="0"/>
          <w:numId w:val="1"/>
        </w:numPr>
        <w:tabs>
          <w:tab w:pos="1290" w:val="left" w:leader="none"/>
          <w:tab w:pos="1291" w:val="left" w:leader="none"/>
          <w:tab w:pos="10142" w:val="right" w:leader="dot"/>
        </w:tabs>
        <w:spacing w:line="271" w:lineRule="exact" w:before="21" w:after="0"/>
        <w:ind w:left="1290" w:right="0" w:hanging="452"/>
        <w:jc w:val="left"/>
        <w:rPr>
          <w:rFonts w:ascii="黑体" w:eastAsia="黑体" w:hint="eastAsia"/>
          <w:sz w:val="21"/>
        </w:rPr>
      </w:pPr>
      <w:r>
        <w:rPr>
          <w:rFonts w:ascii="黑体" w:eastAsia="黑体" w:hint="eastAsia"/>
          <w:sz w:val="21"/>
        </w:rPr>
        <w:t>我们对一些重要术语进行了解释，并作了显著标识，请您注意</w:t>
        <w:tab/>
        <w:t>9</w:t>
      </w:r>
    </w:p>
    <w:p>
      <w:pPr>
        <w:pStyle w:val="Heading2"/>
        <w:tabs>
          <w:tab w:pos="1283" w:val="left" w:leader="none"/>
        </w:tabs>
        <w:spacing w:line="440" w:lineRule="exact" w:before="0"/>
        <w:ind w:left="554" w:firstLine="0"/>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保险条款是保险合同的重要内容，为充分保障您的权益，请您仔细阅读本保险条款。</w:t>
      </w:r>
    </w:p>
    <w:p>
      <w:pPr>
        <w:tabs>
          <w:tab w:pos="1283" w:val="left" w:leader="none"/>
        </w:tabs>
        <w:spacing w:line="372" w:lineRule="exact" w:before="0"/>
        <w:ind w:left="554" w:right="0" w:firstLine="0"/>
        <w:jc w:val="left"/>
        <w:rPr>
          <w:b/>
          <w:sz w:val="21"/>
        </w:rPr>
      </w:pPr>
      <w:r>
        <w:rPr/>
        <w:pict>
          <v:rect style="position:absolute;margin-left:77.699997pt;margin-top:17.074131pt;width:135.06pt;height:13.62pt;mso-position-horizontal-relative:page;mso-position-vertical-relative:paragraph;z-index:-38752" filled="true" fillcolor="#a6a6a6" stroked="false">
            <v:fill type="solid"/>
            <w10:wrap type="none"/>
          </v:rect>
        </w:pict>
      </w:r>
      <w:r>
        <w:rPr/>
        <w:pict>
          <v:shape style="position:absolute;margin-left:240.600006pt;margin-top:17.074131pt;width:135.1pt;height:13.65pt;mso-position-horizontal-relative:page;mso-position-vertical-relative:paragraph;z-index:-38728" type="#_x0000_t202" filled="true" fillcolor="#a6a6a6" stroked="false">
            <v:textbox inset="0,0,0,0">
              <w:txbxContent>
                <w:p>
                  <w:pPr>
                    <w:pStyle w:val="BodyText"/>
                    <w:spacing w:line="241" w:lineRule="exact"/>
                    <w:rPr>
                      <w:rFonts w:ascii="黑体" w:eastAsia="黑体" w:hint="eastAsia"/>
                    </w:rPr>
                  </w:pPr>
                  <w:r>
                    <w:rPr>
                      <w:rFonts w:ascii="黑体" w:eastAsia="黑体" w:hint="eastAsia"/>
                    </w:rPr>
                    <w:t>4. 保险费的支付</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w w:val="95"/>
          <w:sz w:val="21"/>
        </w:rPr>
        <w:t>条款目录</w:t>
      </w:r>
    </w:p>
    <w:p>
      <w:pPr>
        <w:pStyle w:val="BodyText"/>
        <w:tabs>
          <w:tab w:pos="7489" w:val="left" w:leader="none"/>
        </w:tabs>
        <w:spacing w:line="209" w:lineRule="exact"/>
        <w:ind w:left="974"/>
        <w:rPr>
          <w:rFonts w:ascii="黑体" w:eastAsia="黑体" w:hint="eastAsia"/>
        </w:rPr>
      </w:pPr>
      <w:r>
        <w:rPr/>
        <w:pict>
          <v:shape style="position:absolute;margin-left:75.199997pt;margin-top:15.926992pt;width:393.85pt;height:58.5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207"/>
                    <w:gridCol w:w="3664"/>
                    <w:gridCol w:w="646"/>
                    <w:gridCol w:w="943"/>
                  </w:tblGrid>
                  <w:tr>
                    <w:trPr>
                      <w:trHeight w:val="265" w:hRule="atLeast"/>
                    </w:trPr>
                    <w:tc>
                      <w:tcPr>
                        <w:tcW w:w="418" w:type="dxa"/>
                      </w:tcPr>
                      <w:p>
                        <w:pPr>
                          <w:pStyle w:val="TableParagraph"/>
                          <w:spacing w:line="210" w:lineRule="exact"/>
                          <w:ind w:left="50"/>
                          <w:rPr>
                            <w:rFonts w:ascii="黑体"/>
                            <w:sz w:val="21"/>
                          </w:rPr>
                        </w:pPr>
                        <w:r>
                          <w:rPr>
                            <w:rFonts w:ascii="黑体"/>
                            <w:sz w:val="21"/>
                          </w:rPr>
                          <w:t>1.1</w:t>
                        </w:r>
                      </w:p>
                    </w:tc>
                    <w:tc>
                      <w:tcPr>
                        <w:tcW w:w="2207" w:type="dxa"/>
                      </w:tcPr>
                      <w:p>
                        <w:pPr>
                          <w:pStyle w:val="TableParagraph"/>
                          <w:spacing w:line="210" w:lineRule="exact"/>
                          <w:ind w:left="52"/>
                          <w:rPr>
                            <w:rFonts w:ascii="黑体" w:eastAsia="黑体" w:hint="eastAsia"/>
                            <w:sz w:val="21"/>
                          </w:rPr>
                        </w:pPr>
                        <w:r>
                          <w:rPr>
                            <w:rFonts w:ascii="黑体" w:eastAsia="黑体" w:hint="eastAsia"/>
                            <w:sz w:val="21"/>
                          </w:rPr>
                          <w:t>合同构成</w:t>
                        </w:r>
                      </w:p>
                    </w:tc>
                    <w:tc>
                      <w:tcPr>
                        <w:tcW w:w="3664" w:type="dxa"/>
                      </w:tcPr>
                      <w:p>
                        <w:pPr>
                          <w:pStyle w:val="TableParagraph"/>
                          <w:spacing w:line="210" w:lineRule="exact"/>
                          <w:ind w:left="683"/>
                          <w:rPr>
                            <w:rFonts w:ascii="黑体" w:eastAsia="黑体" w:hint="eastAsia"/>
                            <w:sz w:val="21"/>
                          </w:rPr>
                        </w:pPr>
                        <w:r>
                          <w:rPr>
                            <w:rFonts w:ascii="黑体" w:eastAsia="黑体" w:hint="eastAsia"/>
                            <w:sz w:val="21"/>
                          </w:rPr>
                          <w:t>4.1 保险费的支付</w:t>
                        </w:r>
                      </w:p>
                    </w:tc>
                    <w:tc>
                      <w:tcPr>
                        <w:tcW w:w="646" w:type="dxa"/>
                      </w:tcPr>
                      <w:p>
                        <w:pPr>
                          <w:pStyle w:val="TableParagraph"/>
                          <w:spacing w:line="210" w:lineRule="exact"/>
                          <w:ind w:right="51"/>
                          <w:jc w:val="right"/>
                          <w:rPr>
                            <w:rFonts w:ascii="黑体"/>
                            <w:sz w:val="21"/>
                          </w:rPr>
                        </w:pPr>
                        <w:r>
                          <w:rPr>
                            <w:rFonts w:ascii="黑体"/>
                            <w:sz w:val="21"/>
                          </w:rPr>
                          <w:t>9.3</w:t>
                        </w:r>
                      </w:p>
                    </w:tc>
                    <w:tc>
                      <w:tcPr>
                        <w:tcW w:w="943" w:type="dxa"/>
                      </w:tcPr>
                      <w:p>
                        <w:pPr>
                          <w:pStyle w:val="TableParagraph"/>
                          <w:spacing w:line="210" w:lineRule="exact"/>
                          <w:ind w:left="51"/>
                          <w:rPr>
                            <w:rFonts w:ascii="黑体" w:eastAsia="黑体" w:hint="eastAsia"/>
                            <w:sz w:val="21"/>
                          </w:rPr>
                        </w:pPr>
                        <w:r>
                          <w:rPr>
                            <w:rFonts w:ascii="黑体" w:eastAsia="黑体" w:hint="eastAsia"/>
                            <w:sz w:val="21"/>
                          </w:rPr>
                          <w:t>约定医院</w:t>
                        </w:r>
                      </w:p>
                    </w:tc>
                  </w:tr>
                  <w:tr>
                    <w:trPr>
                      <w:trHeight w:val="320" w:hRule="atLeast"/>
                    </w:trPr>
                    <w:tc>
                      <w:tcPr>
                        <w:tcW w:w="418" w:type="dxa"/>
                      </w:tcPr>
                      <w:p>
                        <w:pPr>
                          <w:pStyle w:val="TableParagraph"/>
                          <w:spacing w:line="265" w:lineRule="exact"/>
                          <w:ind w:left="50"/>
                          <w:rPr>
                            <w:rFonts w:ascii="黑体"/>
                            <w:sz w:val="21"/>
                          </w:rPr>
                        </w:pPr>
                        <w:r>
                          <w:rPr>
                            <w:rFonts w:ascii="黑体"/>
                            <w:sz w:val="21"/>
                          </w:rPr>
                          <w:t>1.2</w:t>
                        </w:r>
                      </w:p>
                    </w:tc>
                    <w:tc>
                      <w:tcPr>
                        <w:tcW w:w="2207" w:type="dxa"/>
                      </w:tcPr>
                      <w:p>
                        <w:pPr>
                          <w:pStyle w:val="TableParagraph"/>
                          <w:spacing w:line="265" w:lineRule="exact"/>
                          <w:ind w:left="52"/>
                          <w:rPr>
                            <w:rFonts w:ascii="黑体" w:eastAsia="黑体" w:hint="eastAsia"/>
                            <w:sz w:val="21"/>
                          </w:rPr>
                        </w:pPr>
                        <w:r>
                          <w:rPr>
                            <w:rFonts w:ascii="黑体" w:eastAsia="黑体" w:hint="eastAsia"/>
                            <w:sz w:val="21"/>
                          </w:rPr>
                          <w:t>合同成立与Th效</w:t>
                        </w:r>
                      </w:p>
                    </w:tc>
                    <w:tc>
                      <w:tcPr>
                        <w:tcW w:w="3664" w:type="dxa"/>
                      </w:tcPr>
                      <w:p>
                        <w:pPr>
                          <w:pStyle w:val="TableParagraph"/>
                          <w:spacing w:line="265" w:lineRule="exact"/>
                          <w:ind w:left="683"/>
                          <w:rPr>
                            <w:rFonts w:ascii="黑体" w:eastAsia="黑体" w:hint="eastAsia"/>
                            <w:sz w:val="21"/>
                          </w:rPr>
                        </w:pPr>
                        <w:r>
                          <w:rPr>
                            <w:rFonts w:ascii="黑体" w:eastAsia="黑体" w:hint="eastAsia"/>
                            <w:sz w:val="21"/>
                          </w:rPr>
                          <w:t>4.2 宽限期</w:t>
                        </w:r>
                      </w:p>
                    </w:tc>
                    <w:tc>
                      <w:tcPr>
                        <w:tcW w:w="646" w:type="dxa"/>
                      </w:tcPr>
                      <w:p>
                        <w:pPr>
                          <w:pStyle w:val="TableParagraph"/>
                          <w:spacing w:line="265" w:lineRule="exact"/>
                          <w:ind w:right="51"/>
                          <w:jc w:val="right"/>
                          <w:rPr>
                            <w:rFonts w:ascii="黑体"/>
                            <w:sz w:val="21"/>
                          </w:rPr>
                        </w:pPr>
                        <w:r>
                          <w:rPr>
                            <w:rFonts w:ascii="黑体"/>
                            <w:sz w:val="21"/>
                          </w:rPr>
                          <w:t>9.4</w:t>
                        </w:r>
                      </w:p>
                    </w:tc>
                    <w:tc>
                      <w:tcPr>
                        <w:tcW w:w="943" w:type="dxa"/>
                      </w:tcPr>
                      <w:p>
                        <w:pPr>
                          <w:pStyle w:val="TableParagraph"/>
                          <w:spacing w:line="265" w:lineRule="exact"/>
                          <w:ind w:left="51"/>
                          <w:rPr>
                            <w:rFonts w:ascii="黑体" w:eastAsia="黑体" w:hint="eastAsia"/>
                            <w:sz w:val="21"/>
                          </w:rPr>
                        </w:pPr>
                        <w:r>
                          <w:rPr>
                            <w:rFonts w:ascii="黑体" w:eastAsia="黑体" w:hint="eastAsia"/>
                            <w:sz w:val="21"/>
                          </w:rPr>
                          <w:t>白血病</w:t>
                        </w:r>
                      </w:p>
                    </w:tc>
                  </w:tr>
                  <w:tr>
                    <w:trPr>
                      <w:trHeight w:val="319" w:hRule="atLeast"/>
                    </w:trPr>
                    <w:tc>
                      <w:tcPr>
                        <w:tcW w:w="418" w:type="dxa"/>
                      </w:tcPr>
                      <w:p>
                        <w:pPr>
                          <w:pStyle w:val="TableParagraph"/>
                          <w:spacing w:line="265" w:lineRule="exact"/>
                          <w:ind w:left="50"/>
                          <w:rPr>
                            <w:rFonts w:ascii="黑体"/>
                            <w:sz w:val="21"/>
                          </w:rPr>
                        </w:pPr>
                        <w:r>
                          <w:rPr>
                            <w:rFonts w:ascii="黑体"/>
                            <w:sz w:val="21"/>
                          </w:rPr>
                          <w:t>1.3</w:t>
                        </w:r>
                      </w:p>
                    </w:tc>
                    <w:tc>
                      <w:tcPr>
                        <w:tcW w:w="2207"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4" w:type="dxa"/>
                      </w:tcPr>
                      <w:p>
                        <w:pPr>
                          <w:pStyle w:val="TableParagraph"/>
                          <w:tabs>
                            <w:tab w:pos="3384" w:val="left" w:leader="none"/>
                          </w:tabs>
                          <w:spacing w:line="265" w:lineRule="exact"/>
                          <w:ind w:left="683"/>
                          <w:rPr>
                            <w:rFonts w:ascii="黑体" w:eastAsia="黑体" w:hint="eastAsia"/>
                            <w:sz w:val="21"/>
                          </w:rPr>
                        </w:pPr>
                        <w:r>
                          <w:rPr>
                            <w:rFonts w:ascii="黑体" w:eastAsia="黑体" w:hint="eastAsia"/>
                            <w:spacing w:val="-1"/>
                            <w:sz w:val="21"/>
                            <w:shd w:fill="A6A6A6" w:color="auto" w:val="clear"/>
                          </w:rPr>
                          <w:t>5．合同解</w:t>
                        </w:r>
                        <w:r>
                          <w:rPr>
                            <w:rFonts w:ascii="黑体" w:eastAsia="黑体" w:hint="eastAsia"/>
                            <w:sz w:val="21"/>
                            <w:shd w:fill="A6A6A6" w:color="auto" w:val="clear"/>
                          </w:rPr>
                          <w:t>除</w:t>
                          <w:tab/>
                        </w:r>
                      </w:p>
                    </w:tc>
                    <w:tc>
                      <w:tcPr>
                        <w:tcW w:w="646" w:type="dxa"/>
                      </w:tcPr>
                      <w:p>
                        <w:pPr>
                          <w:pStyle w:val="TableParagraph"/>
                          <w:spacing w:line="265" w:lineRule="exact"/>
                          <w:ind w:right="52"/>
                          <w:jc w:val="right"/>
                          <w:rPr>
                            <w:rFonts w:ascii="黑体"/>
                            <w:sz w:val="21"/>
                          </w:rPr>
                        </w:pPr>
                        <w:r>
                          <w:rPr>
                            <w:rFonts w:ascii="黑体"/>
                            <w:sz w:val="21"/>
                          </w:rPr>
                          <w:t>9.5</w:t>
                        </w:r>
                      </w:p>
                    </w:tc>
                    <w:tc>
                      <w:tcPr>
                        <w:tcW w:w="943" w:type="dxa"/>
                      </w:tcPr>
                      <w:p>
                        <w:pPr>
                          <w:pStyle w:val="TableParagraph"/>
                          <w:spacing w:line="265" w:lineRule="exact"/>
                          <w:ind w:left="50"/>
                          <w:rPr>
                            <w:rFonts w:ascii="黑体" w:eastAsia="黑体" w:hint="eastAsia"/>
                            <w:sz w:val="21"/>
                          </w:rPr>
                        </w:pPr>
                        <w:r>
                          <w:rPr>
                            <w:rFonts w:ascii="黑体" w:eastAsia="黑体" w:hint="eastAsia"/>
                            <w:sz w:val="21"/>
                          </w:rPr>
                          <w:t>毒品</w:t>
                        </w:r>
                      </w:p>
                    </w:tc>
                  </w:tr>
                  <w:tr>
                    <w:trPr>
                      <w:trHeight w:val="264" w:hRule="atLeast"/>
                    </w:trPr>
                    <w:tc>
                      <w:tcPr>
                        <w:tcW w:w="418" w:type="dxa"/>
                      </w:tcPr>
                      <w:p>
                        <w:pPr>
                          <w:pStyle w:val="TableParagraph"/>
                          <w:spacing w:line="245" w:lineRule="exact"/>
                          <w:ind w:left="50"/>
                          <w:rPr>
                            <w:rFonts w:ascii="黑体"/>
                            <w:sz w:val="21"/>
                          </w:rPr>
                        </w:pPr>
                        <w:r>
                          <w:rPr>
                            <w:rFonts w:ascii="黑体"/>
                            <w:sz w:val="21"/>
                          </w:rPr>
                          <w:t>1.4</w:t>
                        </w:r>
                      </w:p>
                    </w:tc>
                    <w:tc>
                      <w:tcPr>
                        <w:tcW w:w="2207" w:type="dxa"/>
                      </w:tcPr>
                      <w:p>
                        <w:pPr>
                          <w:pStyle w:val="TableParagraph"/>
                          <w:spacing w:line="245" w:lineRule="exact"/>
                          <w:ind w:left="52"/>
                          <w:rPr>
                            <w:rFonts w:ascii="黑体" w:eastAsia="黑体" w:hint="eastAsia"/>
                            <w:sz w:val="21"/>
                          </w:rPr>
                        </w:pPr>
                        <w:r>
                          <w:rPr>
                            <w:rFonts w:ascii="黑体" w:eastAsia="黑体" w:hint="eastAsia"/>
                            <w:sz w:val="21"/>
                          </w:rPr>
                          <w:t>投保年龄</w:t>
                        </w:r>
                      </w:p>
                    </w:tc>
                    <w:tc>
                      <w:tcPr>
                        <w:tcW w:w="3664" w:type="dxa"/>
                      </w:tcPr>
                      <w:p>
                        <w:pPr>
                          <w:pStyle w:val="TableParagraph"/>
                          <w:spacing w:line="245" w:lineRule="exact"/>
                          <w:ind w:left="683"/>
                          <w:rPr>
                            <w:rFonts w:ascii="黑体" w:eastAsia="黑体" w:hint="eastAsia"/>
                            <w:sz w:val="21"/>
                          </w:rPr>
                        </w:pPr>
                        <w:r>
                          <w:rPr>
                            <w:rFonts w:ascii="黑体" w:eastAsia="黑体" w:hint="eastAsia"/>
                            <w:sz w:val="21"/>
                          </w:rPr>
                          <w:t>5.1 您解除合同的手续及风险</w:t>
                        </w:r>
                      </w:p>
                    </w:tc>
                    <w:tc>
                      <w:tcPr>
                        <w:tcW w:w="646" w:type="dxa"/>
                      </w:tcPr>
                      <w:p>
                        <w:pPr>
                          <w:pStyle w:val="TableParagraph"/>
                          <w:spacing w:line="245" w:lineRule="exact"/>
                          <w:ind w:right="51"/>
                          <w:jc w:val="right"/>
                          <w:rPr>
                            <w:rFonts w:ascii="黑体"/>
                            <w:sz w:val="21"/>
                          </w:rPr>
                        </w:pPr>
                        <w:r>
                          <w:rPr>
                            <w:rFonts w:ascii="黑体"/>
                            <w:sz w:val="21"/>
                          </w:rPr>
                          <w:t>9.6</w:t>
                        </w:r>
                      </w:p>
                    </w:tc>
                    <w:tc>
                      <w:tcPr>
                        <w:tcW w:w="943" w:type="dxa"/>
                      </w:tcPr>
                      <w:p>
                        <w:pPr>
                          <w:pStyle w:val="TableParagraph"/>
                          <w:spacing w:line="245" w:lineRule="exact"/>
                          <w:ind w:left="51"/>
                          <w:rPr>
                            <w:rFonts w:ascii="黑体" w:eastAsia="黑体" w:hint="eastAsia"/>
                            <w:sz w:val="21"/>
                          </w:rPr>
                        </w:pPr>
                        <w:r>
                          <w:rPr>
                            <w:rFonts w:ascii="黑体" w:eastAsia="黑体" w:hint="eastAsia"/>
                            <w:sz w:val="21"/>
                          </w:rPr>
                          <w:t>酒后驾驶</w:t>
                        </w:r>
                      </w:p>
                    </w:tc>
                  </w:tr>
                </w:tbl>
                <w:p>
                  <w:pPr>
                    <w:pStyle w:val="BodyText"/>
                  </w:pPr>
                </w:p>
              </w:txbxContent>
            </v:textbox>
            <w10:wrap type="none"/>
          </v:shape>
        </w:pict>
      </w:r>
      <w:r>
        <w:rPr>
          <w:rFonts w:ascii="黑体" w:eastAsia="黑体" w:hint="eastAsia"/>
        </w:rPr>
        <w:t>1．您与我们订立的合同</w:t>
        <w:tab/>
        <w:t>9.2 意外伤害</w:t>
      </w:r>
    </w:p>
    <w:p>
      <w:pPr>
        <w:spacing w:after="0" w:line="209" w:lineRule="exact"/>
        <w:rPr>
          <w:rFonts w:ascii="黑体" w:eastAsia="黑体" w:hint="eastAsia"/>
        </w:rPr>
        <w:sectPr>
          <w:type w:val="continuous"/>
          <w:pgSz w:w="11910" w:h="16840"/>
          <w:pgMar w:top="200" w:bottom="280" w:left="580" w:right="54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3"/>
        <w:rPr>
          <w:rFonts w:ascii="黑体"/>
        </w:rPr>
      </w:pPr>
    </w:p>
    <w:p>
      <w:pPr>
        <w:pStyle w:val="BodyText"/>
        <w:tabs>
          <w:tab w:pos="3675" w:val="left" w:leader="none"/>
        </w:tabs>
        <w:ind w:left="974"/>
        <w:rPr>
          <w:rFonts w:ascii="黑体" w:eastAsia="黑体" w:hint="eastAsia"/>
        </w:rPr>
      </w:pPr>
      <w:r>
        <w:rPr>
          <w:rFonts w:ascii="黑体" w:eastAsia="黑体" w:hint="eastAsia"/>
          <w:spacing w:val="-1"/>
          <w:shd w:fill="A6A6A6" w:color="auto" w:val="clear"/>
        </w:rPr>
        <w:t>2．我们提供的保</w:t>
      </w:r>
      <w:r>
        <w:rPr>
          <w:rFonts w:ascii="黑体" w:eastAsia="黑体" w:hint="eastAsia"/>
          <w:shd w:fill="A6A6A6" w:color="auto" w:val="clear"/>
        </w:rPr>
        <w:t>障</w:t>
        <w:tab/>
      </w:r>
    </w:p>
    <w:p>
      <w:pPr>
        <w:pStyle w:val="ListParagraph"/>
        <w:numPr>
          <w:ilvl w:val="1"/>
          <w:numId w:val="2"/>
        </w:numPr>
        <w:tabs>
          <w:tab w:pos="1394" w:val="left" w:leader="none"/>
        </w:tabs>
        <w:spacing w:line="240" w:lineRule="auto" w:before="45" w:after="0"/>
        <w:ind w:left="1394" w:right="0" w:hanging="420"/>
        <w:jc w:val="left"/>
        <w:rPr>
          <w:rFonts w:ascii="黑体" w:eastAsia="黑体" w:hint="eastAsia"/>
          <w:sz w:val="21"/>
        </w:rPr>
      </w:pPr>
      <w:r>
        <w:rPr>
          <w:rFonts w:ascii="黑体" w:eastAsia="黑体" w:hint="eastAsia"/>
          <w:sz w:val="21"/>
        </w:rPr>
        <w:t>基本保险金额</w:t>
      </w:r>
    </w:p>
    <w:p>
      <w:pPr>
        <w:pStyle w:val="ListParagraph"/>
        <w:numPr>
          <w:ilvl w:val="1"/>
          <w:numId w:val="2"/>
        </w:numPr>
        <w:tabs>
          <w:tab w:pos="1394" w:val="left" w:leader="none"/>
        </w:tabs>
        <w:spacing w:line="240" w:lineRule="auto" w:before="44" w:after="0"/>
        <w:ind w:left="1394" w:right="0" w:hanging="420"/>
        <w:jc w:val="left"/>
        <w:rPr>
          <w:rFonts w:ascii="黑体" w:eastAsia="黑体" w:hint="eastAsia"/>
          <w:sz w:val="21"/>
        </w:rPr>
      </w:pPr>
      <w:r>
        <w:rPr>
          <w:rFonts w:ascii="黑体" w:eastAsia="黑体" w:hint="eastAsia"/>
          <w:sz w:val="21"/>
        </w:rPr>
        <w:t>保险期间</w:t>
      </w:r>
    </w:p>
    <w:p>
      <w:pPr>
        <w:pStyle w:val="ListParagraph"/>
        <w:numPr>
          <w:ilvl w:val="1"/>
          <w:numId w:val="2"/>
        </w:numPr>
        <w:tabs>
          <w:tab w:pos="1394" w:val="left" w:leader="none"/>
        </w:tabs>
        <w:spacing w:line="240" w:lineRule="auto" w:before="45" w:after="0"/>
        <w:ind w:left="1393" w:right="0" w:hanging="419"/>
        <w:jc w:val="left"/>
        <w:rPr>
          <w:rFonts w:ascii="黑体" w:eastAsia="黑体" w:hint="eastAsia"/>
          <w:sz w:val="21"/>
        </w:rPr>
      </w:pPr>
      <w:r>
        <w:rPr>
          <w:rFonts w:ascii="黑体" w:eastAsia="黑体" w:hint="eastAsia"/>
          <w:sz w:val="21"/>
        </w:rPr>
        <w:t>续保</w:t>
      </w:r>
    </w:p>
    <w:p>
      <w:pPr>
        <w:pStyle w:val="ListParagraph"/>
        <w:numPr>
          <w:ilvl w:val="1"/>
          <w:numId w:val="2"/>
        </w:numPr>
        <w:tabs>
          <w:tab w:pos="1394" w:val="left" w:leader="none"/>
        </w:tabs>
        <w:spacing w:line="240" w:lineRule="auto" w:before="45" w:after="0"/>
        <w:ind w:left="1394" w:right="0" w:hanging="420"/>
        <w:jc w:val="left"/>
        <w:rPr>
          <w:rFonts w:ascii="黑体" w:eastAsia="黑体" w:hint="eastAsia"/>
          <w:sz w:val="21"/>
        </w:rPr>
      </w:pPr>
      <w:r>
        <w:rPr>
          <w:rFonts w:ascii="黑体" w:eastAsia="黑体" w:hint="eastAsia"/>
          <w:sz w:val="21"/>
        </w:rPr>
        <w:t>等待期</w:t>
      </w:r>
    </w:p>
    <w:p>
      <w:pPr>
        <w:pStyle w:val="ListParagraph"/>
        <w:numPr>
          <w:ilvl w:val="1"/>
          <w:numId w:val="2"/>
        </w:numPr>
        <w:tabs>
          <w:tab w:pos="1394" w:val="left" w:leader="none"/>
        </w:tabs>
        <w:spacing w:line="240" w:lineRule="auto" w:before="44" w:after="0"/>
        <w:ind w:left="1394" w:right="0" w:hanging="420"/>
        <w:jc w:val="left"/>
        <w:rPr>
          <w:rFonts w:ascii="黑体" w:eastAsia="黑体" w:hint="eastAsia"/>
          <w:sz w:val="21"/>
        </w:rPr>
      </w:pPr>
      <w:r>
        <w:rPr>
          <w:rFonts w:ascii="黑体" w:eastAsia="黑体" w:hint="eastAsia"/>
          <w:sz w:val="21"/>
        </w:rPr>
        <w:t>保险责任</w:t>
      </w:r>
    </w:p>
    <w:p>
      <w:pPr>
        <w:pStyle w:val="ListParagraph"/>
        <w:numPr>
          <w:ilvl w:val="1"/>
          <w:numId w:val="2"/>
        </w:numPr>
        <w:tabs>
          <w:tab w:pos="1394" w:val="left" w:leader="none"/>
        </w:tabs>
        <w:spacing w:line="240" w:lineRule="auto" w:before="45" w:after="0"/>
        <w:ind w:left="1394" w:right="0" w:hanging="420"/>
        <w:jc w:val="left"/>
        <w:rPr>
          <w:rFonts w:ascii="黑体" w:eastAsia="黑体" w:hint="eastAsia"/>
          <w:sz w:val="21"/>
        </w:rPr>
      </w:pPr>
      <w:r>
        <w:rPr>
          <w:rFonts w:ascii="黑体" w:eastAsia="黑体" w:hint="eastAsia"/>
          <w:sz w:val="21"/>
        </w:rPr>
        <w:t>责任免除</w:t>
      </w:r>
    </w:p>
    <w:p>
      <w:pPr>
        <w:pStyle w:val="BodyText"/>
        <w:tabs>
          <w:tab w:pos="3675" w:val="left" w:leader="none"/>
        </w:tabs>
        <w:spacing w:before="45"/>
        <w:ind w:left="974"/>
        <w:rPr>
          <w:rFonts w:ascii="黑体" w:eastAsia="黑体" w:hint="eastAsia"/>
        </w:rPr>
      </w:pPr>
      <w:r>
        <w:rPr>
          <w:rFonts w:ascii="黑体" w:eastAsia="黑体" w:hint="eastAsia"/>
          <w:spacing w:val="-1"/>
          <w:shd w:fill="A6A6A6" w:color="auto" w:val="clear"/>
        </w:rPr>
        <w:t>3．保险金的申</w:t>
      </w:r>
      <w:r>
        <w:rPr>
          <w:rFonts w:ascii="黑体" w:eastAsia="黑体" w:hint="eastAsia"/>
          <w:shd w:fill="A6A6A6" w:color="auto" w:val="clear"/>
        </w:rPr>
        <w:t>请</w:t>
        <w:tab/>
      </w:r>
    </w:p>
    <w:p>
      <w:pPr>
        <w:pStyle w:val="BodyText"/>
        <w:spacing w:before="44"/>
        <w:ind w:left="974"/>
        <w:rPr>
          <w:rFonts w:ascii="黑体" w:eastAsia="黑体" w:hint="eastAsia"/>
        </w:rPr>
      </w:pPr>
      <w:r>
        <w:rPr>
          <w:rFonts w:ascii="黑体" w:eastAsia="黑体" w:hint="eastAsia"/>
        </w:rPr>
        <w:t>3.1 受益人</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3"/>
        <w:rPr>
          <w:rFonts w:ascii="黑体"/>
        </w:rPr>
      </w:pPr>
    </w:p>
    <w:p>
      <w:pPr>
        <w:pStyle w:val="BodyText"/>
        <w:ind w:left="516"/>
        <w:rPr>
          <w:rFonts w:ascii="黑体" w:eastAsia="黑体" w:hint="eastAsia"/>
        </w:rPr>
      </w:pPr>
      <w:r>
        <w:rPr>
          <w:rFonts w:ascii="黑体" w:eastAsia="黑体" w:hint="eastAsia"/>
          <w:shd w:fill="A6A6A6" w:color="auto" w:val="clear"/>
        </w:rPr>
        <w:t>6．说明、告知与解除权限制</w:t>
      </w:r>
    </w:p>
    <w:p>
      <w:pPr>
        <w:pStyle w:val="ListParagraph"/>
        <w:numPr>
          <w:ilvl w:val="1"/>
          <w:numId w:val="3"/>
        </w:numPr>
        <w:tabs>
          <w:tab w:pos="937" w:val="left" w:leader="none"/>
        </w:tabs>
        <w:spacing w:line="240" w:lineRule="auto" w:before="45" w:after="0"/>
        <w:ind w:left="936" w:right="0" w:hanging="420"/>
        <w:jc w:val="left"/>
        <w:rPr>
          <w:rFonts w:ascii="黑体" w:eastAsia="黑体" w:hint="eastAsia"/>
          <w:sz w:val="21"/>
        </w:rPr>
      </w:pPr>
      <w:r>
        <w:rPr>
          <w:rFonts w:ascii="黑体" w:eastAsia="黑体" w:hint="eastAsia"/>
          <w:sz w:val="21"/>
        </w:rPr>
        <w:t>明确说明与如实告知</w:t>
      </w:r>
    </w:p>
    <w:p>
      <w:pPr>
        <w:pStyle w:val="ListParagraph"/>
        <w:numPr>
          <w:ilvl w:val="1"/>
          <w:numId w:val="3"/>
        </w:numPr>
        <w:tabs>
          <w:tab w:pos="937" w:val="left" w:leader="none"/>
        </w:tabs>
        <w:spacing w:line="240" w:lineRule="auto" w:before="44" w:after="0"/>
        <w:ind w:left="936" w:right="0" w:hanging="420"/>
        <w:jc w:val="left"/>
        <w:rPr>
          <w:rFonts w:ascii="黑体" w:eastAsia="黑体" w:hint="eastAsia"/>
          <w:sz w:val="21"/>
        </w:rPr>
      </w:pPr>
      <w:r>
        <w:rPr>
          <w:rFonts w:ascii="黑体" w:eastAsia="黑体" w:hint="eastAsia"/>
          <w:sz w:val="21"/>
        </w:rPr>
        <w:t>我们合同解除权的限制</w:t>
      </w:r>
    </w:p>
    <w:p>
      <w:pPr>
        <w:pStyle w:val="BodyText"/>
        <w:tabs>
          <w:tab w:pos="3217" w:val="left" w:leader="none"/>
        </w:tabs>
        <w:spacing w:before="45"/>
        <w:ind w:left="516"/>
        <w:rPr>
          <w:rFonts w:ascii="黑体" w:eastAsia="黑体" w:hint="eastAsia"/>
        </w:rPr>
      </w:pPr>
      <w:r>
        <w:rPr>
          <w:rFonts w:ascii="黑体" w:eastAsia="黑体" w:hint="eastAsia"/>
          <w:spacing w:val="-1"/>
          <w:shd w:fill="A6A6A6" w:color="auto" w:val="clear"/>
        </w:rPr>
        <w:t>7．其他需要关注的事</w:t>
      </w:r>
      <w:r>
        <w:rPr>
          <w:rFonts w:ascii="黑体" w:eastAsia="黑体" w:hint="eastAsia"/>
          <w:shd w:fill="A6A6A6" w:color="auto" w:val="clear"/>
        </w:rPr>
        <w:t>项</w:t>
        <w:tab/>
      </w:r>
    </w:p>
    <w:p>
      <w:pPr>
        <w:pStyle w:val="ListParagraph"/>
        <w:numPr>
          <w:ilvl w:val="1"/>
          <w:numId w:val="4"/>
        </w:numPr>
        <w:tabs>
          <w:tab w:pos="937" w:val="left" w:leader="none"/>
        </w:tabs>
        <w:spacing w:line="240" w:lineRule="auto" w:before="45" w:after="0"/>
        <w:ind w:left="936" w:right="0" w:hanging="420"/>
        <w:jc w:val="left"/>
        <w:rPr>
          <w:rFonts w:ascii="黑体" w:eastAsia="黑体" w:hint="eastAsia"/>
          <w:sz w:val="21"/>
        </w:rPr>
      </w:pPr>
      <w:r>
        <w:rPr>
          <w:rFonts w:ascii="黑体" w:eastAsia="黑体" w:hint="eastAsia"/>
          <w:sz w:val="21"/>
        </w:rPr>
        <w:t>年龄错误</w:t>
      </w:r>
    </w:p>
    <w:p>
      <w:pPr>
        <w:pStyle w:val="ListParagraph"/>
        <w:numPr>
          <w:ilvl w:val="1"/>
          <w:numId w:val="4"/>
        </w:numPr>
        <w:tabs>
          <w:tab w:pos="937" w:val="left" w:leader="none"/>
        </w:tabs>
        <w:spacing w:line="240" w:lineRule="auto" w:before="44" w:after="0"/>
        <w:ind w:left="936" w:right="0" w:hanging="420"/>
        <w:jc w:val="left"/>
        <w:rPr>
          <w:rFonts w:ascii="黑体" w:eastAsia="黑体" w:hint="eastAsia"/>
          <w:sz w:val="21"/>
        </w:rPr>
      </w:pPr>
      <w:r>
        <w:rPr>
          <w:rFonts w:ascii="黑体" w:eastAsia="黑体" w:hint="eastAsia"/>
          <w:sz w:val="21"/>
        </w:rPr>
        <w:t>合同内容变更</w:t>
      </w:r>
    </w:p>
    <w:p>
      <w:pPr>
        <w:pStyle w:val="ListParagraph"/>
        <w:numPr>
          <w:ilvl w:val="1"/>
          <w:numId w:val="4"/>
        </w:numPr>
        <w:tabs>
          <w:tab w:pos="937" w:val="left" w:leader="none"/>
        </w:tabs>
        <w:spacing w:line="240" w:lineRule="auto" w:before="45" w:after="0"/>
        <w:ind w:left="936" w:right="0" w:hanging="420"/>
        <w:jc w:val="left"/>
        <w:rPr>
          <w:rFonts w:ascii="黑体" w:eastAsia="黑体" w:hint="eastAsia"/>
          <w:sz w:val="21"/>
        </w:rPr>
      </w:pPr>
      <w:r>
        <w:rPr>
          <w:rFonts w:ascii="黑体" w:eastAsia="黑体" w:hint="eastAsia"/>
          <w:sz w:val="21"/>
        </w:rPr>
        <w:t>联系方式变更</w:t>
      </w:r>
    </w:p>
    <w:p>
      <w:pPr>
        <w:pStyle w:val="ListParagraph"/>
        <w:numPr>
          <w:ilvl w:val="1"/>
          <w:numId w:val="4"/>
        </w:numPr>
        <w:tabs>
          <w:tab w:pos="937" w:val="left" w:leader="none"/>
        </w:tabs>
        <w:spacing w:line="240" w:lineRule="auto" w:before="45" w:after="0"/>
        <w:ind w:left="936" w:right="0" w:hanging="420"/>
        <w:jc w:val="left"/>
        <w:rPr>
          <w:rFonts w:ascii="黑体" w:eastAsia="黑体" w:hint="eastAsia"/>
          <w:sz w:val="21"/>
        </w:rPr>
      </w:pPr>
      <w:r>
        <w:rPr>
          <w:rFonts w:ascii="黑体" w:eastAsia="黑体" w:hint="eastAsia"/>
          <w:sz w:val="21"/>
        </w:rPr>
        <w:t>争议处理</w:t>
      </w:r>
    </w:p>
    <w:p>
      <w:pPr>
        <w:pStyle w:val="BodyText"/>
        <w:tabs>
          <w:tab w:pos="3217" w:val="left" w:leader="none"/>
        </w:tabs>
        <w:spacing w:before="44"/>
        <w:ind w:left="516"/>
        <w:rPr>
          <w:rFonts w:ascii="黑体" w:eastAsia="黑体" w:hint="eastAsia"/>
        </w:rPr>
      </w:pPr>
      <w:r>
        <w:rPr>
          <w:rFonts w:ascii="黑体" w:eastAsia="黑体" w:hint="eastAsia"/>
          <w:spacing w:val="-1"/>
          <w:shd w:fill="A6A6A6" w:color="auto" w:val="clear"/>
        </w:rPr>
        <w:t>8．重大疾病定</w:t>
      </w:r>
      <w:r>
        <w:rPr>
          <w:rFonts w:ascii="黑体" w:eastAsia="黑体" w:hint="eastAsia"/>
          <w:shd w:fill="A6A6A6" w:color="auto" w:val="clear"/>
        </w:rPr>
        <w:t>义</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3"/>
        <w:rPr>
          <w:rFonts w:ascii="黑体"/>
        </w:rPr>
      </w:pPr>
    </w:p>
    <w:p>
      <w:pPr>
        <w:pStyle w:val="ListParagraph"/>
        <w:numPr>
          <w:ilvl w:val="1"/>
          <w:numId w:val="5"/>
        </w:numPr>
        <w:tabs>
          <w:tab w:pos="937" w:val="left" w:leader="none"/>
        </w:tabs>
        <w:spacing w:line="240" w:lineRule="auto" w:before="0" w:after="0"/>
        <w:ind w:left="945" w:right="0" w:hanging="429"/>
        <w:jc w:val="left"/>
        <w:rPr>
          <w:rFonts w:ascii="黑体" w:eastAsia="黑体" w:hint="eastAsia"/>
          <w:sz w:val="21"/>
        </w:rPr>
      </w:pPr>
      <w:r>
        <w:rPr>
          <w:rFonts w:ascii="黑体" w:eastAsia="黑体" w:hint="eastAsia"/>
          <w:sz w:val="21"/>
        </w:rPr>
        <w:t>无合法有效驾驶证驾驶</w:t>
      </w:r>
    </w:p>
    <w:p>
      <w:pPr>
        <w:pStyle w:val="ListParagraph"/>
        <w:numPr>
          <w:ilvl w:val="1"/>
          <w:numId w:val="5"/>
        </w:numPr>
        <w:tabs>
          <w:tab w:pos="937" w:val="left" w:leader="none"/>
        </w:tabs>
        <w:spacing w:line="240" w:lineRule="auto" w:before="45" w:after="0"/>
        <w:ind w:left="945" w:right="0" w:hanging="429"/>
        <w:jc w:val="left"/>
        <w:rPr>
          <w:rFonts w:ascii="黑体" w:eastAsia="黑体" w:hint="eastAsia"/>
          <w:sz w:val="21"/>
        </w:rPr>
      </w:pPr>
      <w:r>
        <w:rPr>
          <w:rFonts w:ascii="黑体" w:eastAsia="黑体" w:hint="eastAsia"/>
          <w:sz w:val="21"/>
        </w:rPr>
        <w:t>无有效行驶证</w:t>
      </w:r>
    </w:p>
    <w:p>
      <w:pPr>
        <w:pStyle w:val="ListParagraph"/>
        <w:numPr>
          <w:ilvl w:val="1"/>
          <w:numId w:val="5"/>
        </w:numPr>
        <w:tabs>
          <w:tab w:pos="958" w:val="left" w:leader="none"/>
        </w:tabs>
        <w:spacing w:line="280" w:lineRule="auto" w:before="44" w:after="0"/>
        <w:ind w:left="945" w:right="572" w:hanging="426"/>
        <w:jc w:val="left"/>
        <w:rPr>
          <w:rFonts w:ascii="黑体" w:eastAsia="黑体" w:hint="eastAsia"/>
          <w:sz w:val="21"/>
        </w:rPr>
      </w:pPr>
      <w:r>
        <w:rPr>
          <w:rFonts w:ascii="黑体" w:eastAsia="黑体" w:hint="eastAsia"/>
          <w:spacing w:val="15"/>
          <w:sz w:val="21"/>
        </w:rPr>
        <w:t>感染艾滋病病毒或患艾</w:t>
      </w:r>
      <w:r>
        <w:rPr>
          <w:rFonts w:ascii="黑体" w:eastAsia="黑体" w:hint="eastAsia"/>
          <w:sz w:val="21"/>
        </w:rPr>
        <w:t>滋病</w:t>
      </w:r>
    </w:p>
    <w:p>
      <w:pPr>
        <w:pStyle w:val="ListParagraph"/>
        <w:numPr>
          <w:ilvl w:val="1"/>
          <w:numId w:val="5"/>
        </w:numPr>
        <w:tabs>
          <w:tab w:pos="1042" w:val="left" w:leader="none"/>
        </w:tabs>
        <w:spacing w:line="240" w:lineRule="auto" w:before="10" w:after="0"/>
        <w:ind w:left="1041" w:right="0" w:hanging="525"/>
        <w:jc w:val="left"/>
        <w:rPr>
          <w:rFonts w:ascii="黑体" w:eastAsia="黑体" w:hint="eastAsia"/>
          <w:sz w:val="21"/>
        </w:rPr>
      </w:pPr>
      <w:r>
        <w:rPr>
          <w:rFonts w:ascii="黑体" w:eastAsia="黑体" w:hint="eastAsia"/>
          <w:spacing w:val="-1"/>
          <w:sz w:val="21"/>
        </w:rPr>
        <w:t>遗传性疾病</w:t>
      </w:r>
    </w:p>
    <w:p>
      <w:pPr>
        <w:pStyle w:val="ListParagraph"/>
        <w:numPr>
          <w:ilvl w:val="1"/>
          <w:numId w:val="5"/>
        </w:numPr>
        <w:tabs>
          <w:tab w:pos="1045" w:val="left" w:leader="none"/>
        </w:tabs>
        <w:spacing w:line="280" w:lineRule="auto" w:before="44" w:after="0"/>
        <w:ind w:left="947" w:right="582" w:hanging="437"/>
        <w:jc w:val="left"/>
        <w:rPr>
          <w:rFonts w:ascii="黑体" w:eastAsia="黑体" w:hint="eastAsia"/>
          <w:sz w:val="21"/>
        </w:rPr>
      </w:pPr>
      <w:r>
        <w:rPr>
          <w:rFonts w:ascii="黑体" w:eastAsia="黑体" w:hint="eastAsia"/>
          <w:spacing w:val="5"/>
          <w:sz w:val="21"/>
        </w:rPr>
        <w:t>先天性畸形、变形或染</w:t>
      </w:r>
      <w:r>
        <w:rPr>
          <w:rFonts w:ascii="黑体" w:eastAsia="黑体" w:hint="eastAsia"/>
          <w:sz w:val="21"/>
        </w:rPr>
        <w:t>色体异常</w:t>
      </w:r>
    </w:p>
    <w:p>
      <w:pPr>
        <w:pStyle w:val="ListParagraph"/>
        <w:numPr>
          <w:ilvl w:val="1"/>
          <w:numId w:val="5"/>
        </w:numPr>
        <w:tabs>
          <w:tab w:pos="1036" w:val="left" w:leader="none"/>
        </w:tabs>
        <w:spacing w:line="240" w:lineRule="auto" w:before="9" w:after="0"/>
        <w:ind w:left="1035" w:right="0" w:hanging="525"/>
        <w:jc w:val="left"/>
        <w:rPr>
          <w:rFonts w:ascii="黑体" w:eastAsia="黑体" w:hint="eastAsia"/>
          <w:sz w:val="21"/>
        </w:rPr>
      </w:pPr>
      <w:r>
        <w:rPr>
          <w:rFonts w:ascii="黑体" w:eastAsia="黑体" w:hint="eastAsia"/>
          <w:spacing w:val="-1"/>
          <w:sz w:val="21"/>
        </w:rPr>
        <w:t>现金价值</w:t>
      </w:r>
    </w:p>
    <w:p>
      <w:pPr>
        <w:pStyle w:val="ListParagraph"/>
        <w:numPr>
          <w:ilvl w:val="1"/>
          <w:numId w:val="5"/>
        </w:numPr>
        <w:tabs>
          <w:tab w:pos="1036" w:val="left" w:leader="none"/>
        </w:tabs>
        <w:spacing w:line="240" w:lineRule="auto" w:before="44" w:after="0"/>
        <w:ind w:left="1035" w:right="0" w:hanging="525"/>
        <w:jc w:val="left"/>
        <w:rPr>
          <w:rFonts w:ascii="黑体" w:eastAsia="黑体" w:hint="eastAsia"/>
          <w:sz w:val="21"/>
        </w:rPr>
      </w:pPr>
      <w:r>
        <w:rPr>
          <w:rFonts w:ascii="黑体" w:eastAsia="黑体" w:hint="eastAsia"/>
          <w:spacing w:val="-1"/>
          <w:sz w:val="21"/>
        </w:rPr>
        <w:t>有效身份证件</w:t>
      </w:r>
    </w:p>
    <w:p>
      <w:pPr>
        <w:spacing w:after="0" w:line="240" w:lineRule="auto"/>
        <w:jc w:val="left"/>
        <w:rPr>
          <w:rFonts w:ascii="黑体" w:eastAsia="黑体" w:hint="eastAsia"/>
          <w:sz w:val="21"/>
        </w:rPr>
        <w:sectPr>
          <w:type w:val="continuous"/>
          <w:pgSz w:w="11910" w:h="16840"/>
          <w:pgMar w:top="200" w:bottom="280" w:left="580" w:right="540"/>
          <w:cols w:num="3" w:equalWidth="0">
            <w:col w:w="3676" w:space="40"/>
            <w:col w:w="3219" w:space="39"/>
            <w:col w:w="3816"/>
          </w:cols>
        </w:sectPr>
      </w:pPr>
    </w:p>
    <w:p>
      <w:pPr>
        <w:pStyle w:val="BodyText"/>
        <w:spacing w:before="5"/>
        <w:rPr>
          <w:rFonts w:ascii="黑体"/>
          <w:sz w:val="8"/>
        </w:rPr>
      </w:pPr>
    </w:p>
    <w:tbl>
      <w:tblPr>
        <w:tblW w:w="0" w:type="auto"/>
        <w:jc w:val="left"/>
        <w:tblInd w:w="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102"/>
        <w:gridCol w:w="3769"/>
        <w:gridCol w:w="751"/>
        <w:gridCol w:w="1153"/>
      </w:tblGrid>
      <w:tr>
        <w:trPr>
          <w:trHeight w:val="265" w:hRule="atLeast"/>
        </w:trPr>
        <w:tc>
          <w:tcPr>
            <w:tcW w:w="418" w:type="dxa"/>
          </w:tcPr>
          <w:p>
            <w:pPr>
              <w:pStyle w:val="TableParagraph"/>
              <w:spacing w:line="210" w:lineRule="exact"/>
              <w:ind w:left="50"/>
              <w:rPr>
                <w:rFonts w:ascii="黑体"/>
                <w:sz w:val="21"/>
              </w:rPr>
            </w:pPr>
            <w:r>
              <w:rPr>
                <w:rFonts w:ascii="黑体"/>
                <w:sz w:val="21"/>
              </w:rPr>
              <w:t>3.2</w:t>
            </w:r>
          </w:p>
        </w:tc>
        <w:tc>
          <w:tcPr>
            <w:tcW w:w="2102" w:type="dxa"/>
          </w:tcPr>
          <w:p>
            <w:pPr>
              <w:pStyle w:val="TableParagraph"/>
              <w:spacing w:line="210" w:lineRule="exact"/>
              <w:ind w:left="52"/>
              <w:rPr>
                <w:rFonts w:ascii="黑体" w:eastAsia="黑体" w:hint="eastAsia"/>
                <w:sz w:val="21"/>
              </w:rPr>
            </w:pPr>
            <w:r>
              <w:rPr>
                <w:rFonts w:ascii="黑体" w:eastAsia="黑体" w:hint="eastAsia"/>
                <w:sz w:val="21"/>
              </w:rPr>
              <w:t>保险事故通知</w:t>
            </w:r>
          </w:p>
        </w:tc>
        <w:tc>
          <w:tcPr>
            <w:tcW w:w="3769" w:type="dxa"/>
          </w:tcPr>
          <w:p>
            <w:pPr>
              <w:pStyle w:val="TableParagraph"/>
              <w:spacing w:line="210" w:lineRule="exact"/>
              <w:ind w:left="787"/>
              <w:rPr>
                <w:rFonts w:ascii="黑体" w:eastAsia="黑体" w:hint="eastAsia"/>
                <w:sz w:val="21"/>
              </w:rPr>
            </w:pPr>
            <w:r>
              <w:rPr>
                <w:rFonts w:ascii="黑体" w:eastAsia="黑体" w:hint="eastAsia"/>
                <w:sz w:val="21"/>
              </w:rPr>
              <w:t>8.1 重大疾病的定义</w:t>
            </w:r>
          </w:p>
        </w:tc>
        <w:tc>
          <w:tcPr>
            <w:tcW w:w="751" w:type="dxa"/>
          </w:tcPr>
          <w:p>
            <w:pPr>
              <w:pStyle w:val="TableParagraph"/>
              <w:spacing w:line="210" w:lineRule="exact"/>
              <w:ind w:right="52"/>
              <w:jc w:val="right"/>
              <w:rPr>
                <w:rFonts w:ascii="黑体"/>
                <w:sz w:val="21"/>
              </w:rPr>
            </w:pPr>
            <w:r>
              <w:rPr>
                <w:rFonts w:ascii="黑体"/>
                <w:sz w:val="21"/>
              </w:rPr>
              <w:t>9.14</w:t>
            </w:r>
          </w:p>
        </w:tc>
        <w:tc>
          <w:tcPr>
            <w:tcW w:w="1153" w:type="dxa"/>
          </w:tcPr>
          <w:p>
            <w:pPr>
              <w:pStyle w:val="TableParagraph"/>
              <w:spacing w:line="210" w:lineRule="exact"/>
              <w:ind w:left="50"/>
              <w:rPr>
                <w:rFonts w:ascii="黑体" w:eastAsia="黑体" w:hint="eastAsia"/>
                <w:sz w:val="21"/>
              </w:rPr>
            </w:pPr>
            <w:r>
              <w:rPr>
                <w:rFonts w:ascii="黑体" w:eastAsia="黑体" w:hint="eastAsia"/>
                <w:sz w:val="21"/>
              </w:rPr>
              <w:t>情形复杂</w:t>
            </w:r>
          </w:p>
        </w:tc>
      </w:tr>
      <w:tr>
        <w:trPr>
          <w:trHeight w:val="319" w:hRule="atLeast"/>
        </w:trPr>
        <w:tc>
          <w:tcPr>
            <w:tcW w:w="418" w:type="dxa"/>
          </w:tcPr>
          <w:p>
            <w:pPr>
              <w:pStyle w:val="TableParagraph"/>
              <w:spacing w:line="265" w:lineRule="exact"/>
              <w:ind w:left="50"/>
              <w:rPr>
                <w:rFonts w:ascii="黑体"/>
                <w:sz w:val="21"/>
              </w:rPr>
            </w:pPr>
            <w:r>
              <w:rPr>
                <w:rFonts w:ascii="黑体"/>
                <w:sz w:val="21"/>
              </w:rPr>
              <w:t>3.3</w:t>
            </w:r>
          </w:p>
        </w:tc>
        <w:tc>
          <w:tcPr>
            <w:tcW w:w="2102"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3769" w:type="dxa"/>
          </w:tcPr>
          <w:p>
            <w:pPr>
              <w:pStyle w:val="TableParagraph"/>
              <w:spacing w:line="265" w:lineRule="exact"/>
              <w:ind w:left="787"/>
              <w:rPr>
                <w:rFonts w:ascii="黑体" w:eastAsia="黑体" w:hint="eastAsia"/>
                <w:sz w:val="21"/>
              </w:rPr>
            </w:pPr>
            <w:r>
              <w:rPr>
                <w:rFonts w:ascii="黑体" w:eastAsia="黑体" w:hint="eastAsia"/>
                <w:sz w:val="21"/>
              </w:rPr>
              <w:t>8.2 定义来源及确诊医院范围</w:t>
            </w:r>
          </w:p>
        </w:tc>
        <w:tc>
          <w:tcPr>
            <w:tcW w:w="751" w:type="dxa"/>
          </w:tcPr>
          <w:p>
            <w:pPr>
              <w:pStyle w:val="TableParagraph"/>
              <w:spacing w:line="265" w:lineRule="exact"/>
              <w:ind w:right="52"/>
              <w:jc w:val="right"/>
              <w:rPr>
                <w:rFonts w:ascii="黑体"/>
                <w:sz w:val="21"/>
              </w:rPr>
            </w:pPr>
            <w:r>
              <w:rPr>
                <w:rFonts w:ascii="黑体"/>
                <w:sz w:val="21"/>
              </w:rPr>
              <w:t>9.15</w:t>
            </w:r>
          </w:p>
        </w:tc>
        <w:tc>
          <w:tcPr>
            <w:tcW w:w="1153" w:type="dxa"/>
          </w:tcPr>
          <w:p>
            <w:pPr>
              <w:pStyle w:val="TableParagraph"/>
              <w:spacing w:line="265" w:lineRule="exact"/>
              <w:ind w:left="50"/>
              <w:rPr>
                <w:rFonts w:ascii="黑体" w:eastAsia="黑体" w:hint="eastAsia"/>
                <w:sz w:val="21"/>
              </w:rPr>
            </w:pPr>
            <w:r>
              <w:rPr>
                <w:rFonts w:ascii="黑体" w:eastAsia="黑体" w:hint="eastAsia"/>
                <w:sz w:val="21"/>
              </w:rPr>
              <w:t>专科医Th</w:t>
            </w:r>
          </w:p>
        </w:tc>
      </w:tr>
      <w:tr>
        <w:trPr>
          <w:trHeight w:val="319" w:hRule="atLeast"/>
        </w:trPr>
        <w:tc>
          <w:tcPr>
            <w:tcW w:w="418" w:type="dxa"/>
          </w:tcPr>
          <w:p>
            <w:pPr>
              <w:pStyle w:val="TableParagraph"/>
              <w:spacing w:line="265" w:lineRule="exact"/>
              <w:ind w:left="50"/>
              <w:rPr>
                <w:rFonts w:ascii="黑体"/>
                <w:sz w:val="21"/>
              </w:rPr>
            </w:pPr>
            <w:r>
              <w:rPr>
                <w:rFonts w:ascii="黑体"/>
                <w:sz w:val="21"/>
              </w:rPr>
              <w:t>3.4</w:t>
            </w:r>
          </w:p>
        </w:tc>
        <w:tc>
          <w:tcPr>
            <w:tcW w:w="2102" w:type="dxa"/>
          </w:tcPr>
          <w:p>
            <w:pPr>
              <w:pStyle w:val="TableParagraph"/>
              <w:spacing w:line="265" w:lineRule="exact"/>
              <w:ind w:left="52"/>
              <w:rPr>
                <w:rFonts w:ascii="黑体" w:eastAsia="黑体" w:hint="eastAsia"/>
                <w:sz w:val="21"/>
              </w:rPr>
            </w:pPr>
            <w:r>
              <w:rPr>
                <w:rFonts w:ascii="黑体" w:eastAsia="黑体" w:hint="eastAsia"/>
                <w:sz w:val="21"/>
              </w:rPr>
              <w:t>保险金给付</w:t>
            </w:r>
          </w:p>
        </w:tc>
        <w:tc>
          <w:tcPr>
            <w:tcW w:w="3769" w:type="dxa"/>
          </w:tcPr>
          <w:p>
            <w:pPr>
              <w:pStyle w:val="TableParagraph"/>
              <w:tabs>
                <w:tab w:pos="3489" w:val="left" w:leader="none"/>
              </w:tabs>
              <w:spacing w:line="265" w:lineRule="exact"/>
              <w:ind w:left="787"/>
              <w:rPr>
                <w:rFonts w:ascii="黑体" w:eastAsia="黑体" w:hint="eastAsia"/>
                <w:sz w:val="21"/>
              </w:rPr>
            </w:pPr>
            <w:r>
              <w:rPr>
                <w:rFonts w:ascii="黑体" w:eastAsia="黑体" w:hint="eastAsia"/>
                <w:spacing w:val="-1"/>
                <w:sz w:val="21"/>
                <w:shd w:fill="A6A6A6" w:color="auto" w:val="clear"/>
              </w:rPr>
              <w:t>9．释</w:t>
            </w:r>
            <w:r>
              <w:rPr>
                <w:rFonts w:ascii="黑体" w:eastAsia="黑体" w:hint="eastAsia"/>
                <w:sz w:val="21"/>
                <w:shd w:fill="A6A6A6" w:color="auto" w:val="clear"/>
              </w:rPr>
              <w:t>义</w:t>
              <w:tab/>
            </w:r>
          </w:p>
        </w:tc>
        <w:tc>
          <w:tcPr>
            <w:tcW w:w="751" w:type="dxa"/>
          </w:tcPr>
          <w:p>
            <w:pPr>
              <w:pStyle w:val="TableParagraph"/>
              <w:spacing w:line="265" w:lineRule="exact"/>
              <w:ind w:right="52"/>
              <w:jc w:val="right"/>
              <w:rPr>
                <w:rFonts w:ascii="黑体"/>
                <w:sz w:val="21"/>
              </w:rPr>
            </w:pPr>
            <w:r>
              <w:rPr>
                <w:rFonts w:ascii="黑体"/>
                <w:sz w:val="21"/>
              </w:rPr>
              <w:t>9.16</w:t>
            </w:r>
          </w:p>
        </w:tc>
        <w:tc>
          <w:tcPr>
            <w:tcW w:w="1153" w:type="dxa"/>
          </w:tcPr>
          <w:p>
            <w:pPr>
              <w:pStyle w:val="TableParagraph"/>
              <w:spacing w:line="265" w:lineRule="exact"/>
              <w:ind w:left="50"/>
              <w:rPr>
                <w:rFonts w:ascii="黑体" w:eastAsia="黑体" w:hint="eastAsia"/>
                <w:sz w:val="21"/>
              </w:rPr>
            </w:pPr>
            <w:r>
              <w:rPr>
                <w:rFonts w:ascii="黑体" w:eastAsia="黑体" w:hint="eastAsia"/>
                <w:sz w:val="21"/>
              </w:rPr>
              <w:t>永久不可逆</w:t>
            </w:r>
          </w:p>
        </w:tc>
      </w:tr>
      <w:tr>
        <w:trPr>
          <w:trHeight w:val="265" w:hRule="atLeast"/>
        </w:trPr>
        <w:tc>
          <w:tcPr>
            <w:tcW w:w="418" w:type="dxa"/>
          </w:tcPr>
          <w:p>
            <w:pPr>
              <w:pStyle w:val="TableParagraph"/>
              <w:spacing w:line="245" w:lineRule="exact"/>
              <w:ind w:left="50"/>
              <w:rPr>
                <w:rFonts w:ascii="黑体"/>
                <w:sz w:val="21"/>
              </w:rPr>
            </w:pPr>
            <w:r>
              <w:rPr>
                <w:rFonts w:ascii="黑体"/>
                <w:sz w:val="21"/>
              </w:rPr>
              <w:t>3.5</w:t>
            </w:r>
          </w:p>
        </w:tc>
        <w:tc>
          <w:tcPr>
            <w:tcW w:w="2102" w:type="dxa"/>
          </w:tcPr>
          <w:p>
            <w:pPr>
              <w:pStyle w:val="TableParagraph"/>
              <w:spacing w:line="245" w:lineRule="exact"/>
              <w:ind w:left="52"/>
              <w:rPr>
                <w:rFonts w:ascii="黑体" w:eastAsia="黑体" w:hint="eastAsia"/>
                <w:sz w:val="21"/>
              </w:rPr>
            </w:pPr>
            <w:r>
              <w:rPr>
                <w:rFonts w:ascii="黑体" w:eastAsia="黑体" w:hint="eastAsia"/>
                <w:sz w:val="21"/>
              </w:rPr>
              <w:t>诉讼时效</w:t>
            </w:r>
          </w:p>
        </w:tc>
        <w:tc>
          <w:tcPr>
            <w:tcW w:w="3769" w:type="dxa"/>
          </w:tcPr>
          <w:p>
            <w:pPr>
              <w:pStyle w:val="TableParagraph"/>
              <w:spacing w:line="245" w:lineRule="exact"/>
              <w:ind w:left="787"/>
              <w:rPr>
                <w:rFonts w:ascii="黑体" w:eastAsia="黑体" w:hint="eastAsia"/>
                <w:sz w:val="21"/>
              </w:rPr>
            </w:pPr>
            <w:r>
              <w:rPr>
                <w:rFonts w:ascii="黑体" w:eastAsia="黑体" w:hint="eastAsia"/>
                <w:sz w:val="21"/>
              </w:rPr>
              <w:t>9.1 周岁</w:t>
            </w:r>
          </w:p>
        </w:tc>
        <w:tc>
          <w:tcPr>
            <w:tcW w:w="751" w:type="dxa"/>
          </w:tcPr>
          <w:p>
            <w:pPr>
              <w:pStyle w:val="TableParagraph"/>
              <w:rPr>
                <w:rFonts w:ascii="Times New Roman"/>
                <w:sz w:val="18"/>
              </w:rPr>
            </w:pPr>
          </w:p>
        </w:tc>
        <w:tc>
          <w:tcPr>
            <w:tcW w:w="1153" w:type="dxa"/>
          </w:tcPr>
          <w:p>
            <w:pPr>
              <w:pStyle w:val="TableParagraph"/>
              <w:rPr>
                <w:rFonts w:ascii="Times New Roman"/>
                <w:sz w:val="18"/>
              </w:rPr>
            </w:pPr>
          </w:p>
        </w:tc>
      </w:tr>
    </w:tbl>
    <w:p>
      <w:pPr>
        <w:spacing w:after="0"/>
        <w:rPr>
          <w:rFonts w:ascii="Times New Roman"/>
          <w:sz w:val="18"/>
        </w:rPr>
        <w:sectPr>
          <w:type w:val="continuous"/>
          <w:pgSz w:w="11910" w:h="16840"/>
          <w:pgMar w:top="200" w:bottom="280" w:left="580" w:right="540"/>
        </w:sectPr>
      </w:pPr>
    </w:p>
    <w:p>
      <w:pPr>
        <w:pStyle w:val="Heading1"/>
        <w:spacing w:line="409" w:lineRule="exact"/>
        <w:ind w:left="3389" w:right="3388"/>
      </w:pPr>
      <w:r>
        <w:rPr>
          <w:w w:val="95"/>
        </w:rPr>
        <w:t>中韩人寿保险有限公司</w:t>
      </w:r>
    </w:p>
    <w:p>
      <w:pPr>
        <w:spacing w:before="206"/>
        <w:ind w:left="2201" w:right="0" w:firstLine="0"/>
        <w:jc w:val="left"/>
        <w:rPr>
          <w:rFonts w:ascii="黑体" w:eastAsia="黑体" w:hint="eastAsia"/>
          <w:b/>
          <w:sz w:val="32"/>
        </w:rPr>
      </w:pPr>
      <w:r>
        <w:rPr>
          <w:rFonts w:ascii="黑体" w:eastAsia="黑体" w:hint="eastAsia"/>
          <w:b/>
          <w:sz w:val="32"/>
        </w:rPr>
        <w:t>中韩爱相伴少儿重大疾病保险 A 款条款</w:t>
      </w:r>
    </w:p>
    <w:p>
      <w:pPr>
        <w:pStyle w:val="BodyText"/>
        <w:spacing w:before="10"/>
        <w:rPr>
          <w:rFonts w:ascii="黑体"/>
          <w:b/>
          <w:sz w:val="31"/>
        </w:rPr>
      </w:pPr>
    </w:p>
    <w:p>
      <w:pPr>
        <w:pStyle w:val="BodyText"/>
        <w:spacing w:line="273" w:lineRule="auto"/>
        <w:ind w:left="113" w:right="106" w:firstLine="420"/>
      </w:pPr>
      <w:r>
        <w:rPr>
          <w:spacing w:val="-18"/>
        </w:rPr>
        <w:t>在本保险条款中，“您”指投保人，“我们”指中韩人寿保险有限公司，“本合同”指您与我们之间订</w:t>
      </w:r>
      <w:r>
        <w:rPr>
          <w:spacing w:val="-4"/>
        </w:rPr>
        <w:t>立的“中韩爱相伴少儿重大疾病保险 </w:t>
      </w:r>
      <w:r>
        <w:rPr/>
        <w:t>A</w:t>
      </w:r>
      <w:r>
        <w:rPr>
          <w:spacing w:val="-28"/>
        </w:rPr>
        <w:t> 款合同”。</w:t>
      </w:r>
    </w:p>
    <w:p>
      <w:pPr>
        <w:pStyle w:val="BodyText"/>
        <w:spacing w:before="10"/>
        <w:rPr>
          <w:sz w:val="11"/>
        </w:rPr>
      </w:pPr>
      <w:r>
        <w:rPr/>
        <w:pict>
          <v:shape style="position:absolute;margin-left:61.619999pt;margin-top:8.912934pt;width:467.25pt;height:15.6pt;mso-position-horizontal-relative:page;mso-position-vertical-relative:paragraph;z-index:1168;mso-wrap-distance-left:0;mso-wrap-distance-right:0" type="#_x0000_t202" filled="true" fillcolor="#a6a6a6" stroked="false">
            <v:textbox inset="0,0,0,0">
              <w:txbxContent>
                <w:p>
                  <w:pPr>
                    <w:tabs>
                      <w:tab w:pos="1169" w:val="left" w:leader="none"/>
                    </w:tabs>
                    <w:spacing w:line="260" w:lineRule="exact" w:before="0"/>
                    <w:ind w:left="107" w:right="0" w:firstLine="0"/>
                    <w:jc w:val="left"/>
                    <w:rPr>
                      <w:b/>
                      <w:sz w:val="21"/>
                    </w:rPr>
                  </w:pPr>
                  <w:r>
                    <w:rPr>
                      <w:b/>
                      <w:sz w:val="21"/>
                    </w:rPr>
                    <w:t>1．</w:t>
                    <w:tab/>
                  </w:r>
                  <w:r>
                    <w:rPr>
                      <w:b/>
                      <w:w w:val="95"/>
                      <w:sz w:val="21"/>
                    </w:rPr>
                    <w:t>您与我们订立的合同</w:t>
                  </w:r>
                </w:p>
              </w:txbxContent>
            </v:textbox>
            <v:fill type="solid"/>
            <w10:wrap type="topAndBottom"/>
          </v:shape>
        </w:pict>
      </w:r>
    </w:p>
    <w:p>
      <w:pPr>
        <w:pStyle w:val="BodyText"/>
        <w:spacing w:before="11"/>
        <w:rPr>
          <w:sz w:val="5"/>
        </w:rPr>
      </w:pPr>
    </w:p>
    <w:p>
      <w:pPr>
        <w:pStyle w:val="ListParagraph"/>
        <w:numPr>
          <w:ilvl w:val="1"/>
          <w:numId w:val="6"/>
        </w:numPr>
        <w:tabs>
          <w:tab w:pos="1383" w:val="left" w:leader="none"/>
        </w:tabs>
        <w:spacing w:line="273" w:lineRule="auto" w:before="35" w:after="0"/>
        <w:ind w:left="2683" w:right="413" w:hanging="2363"/>
        <w:jc w:val="both"/>
        <w:rPr>
          <w:sz w:val="21"/>
        </w:rPr>
      </w:pPr>
      <w:r>
        <w:rPr>
          <w:b/>
          <w:spacing w:val="10"/>
          <w:sz w:val="21"/>
        </w:rPr>
        <w:t>合同构成   </w:t>
      </w:r>
      <w:r>
        <w:rPr>
          <w:sz w:val="21"/>
        </w:rPr>
        <w:t>本合同是您与我们约定保险权利义务关系的协议，包括本保险条款、保险单、投保单及其他投保文件、合法有效的声明、批注、批单及其他您与我们共同认可的书面协议。</w:t>
      </w:r>
    </w:p>
    <w:p>
      <w:pPr>
        <w:pStyle w:val="BodyText"/>
        <w:spacing w:before="10"/>
        <w:rPr>
          <w:sz w:val="8"/>
        </w:rPr>
      </w:pPr>
    </w:p>
    <w:p>
      <w:pPr>
        <w:spacing w:after="0"/>
        <w:rPr>
          <w:sz w:val="8"/>
        </w:rPr>
        <w:sectPr>
          <w:pgSz w:w="11910" w:h="16840"/>
          <w:pgMar w:top="1480" w:bottom="280" w:left="1020" w:right="1020"/>
        </w:sectPr>
      </w:pPr>
    </w:p>
    <w:p>
      <w:pPr>
        <w:pStyle w:val="Heading2"/>
        <w:numPr>
          <w:ilvl w:val="1"/>
          <w:numId w:val="6"/>
        </w:numPr>
        <w:tabs>
          <w:tab w:pos="1382" w:val="left" w:leader="none"/>
          <w:tab w:pos="1383" w:val="left" w:leader="none"/>
        </w:tabs>
        <w:spacing w:line="273" w:lineRule="auto" w:before="35" w:after="0"/>
        <w:ind w:left="1382" w:right="0" w:hanging="1062"/>
        <w:jc w:val="left"/>
      </w:pPr>
      <w:r>
        <w:rPr>
          <w:w w:val="95"/>
        </w:rPr>
        <w:t>合同成立与</w:t>
      </w:r>
      <w:r>
        <w:rPr/>
        <w:t>生效</w:t>
      </w:r>
    </w:p>
    <w:p>
      <w:pPr>
        <w:pStyle w:val="BodyText"/>
        <w:spacing w:before="35"/>
        <w:ind w:left="207"/>
      </w:pPr>
      <w:r>
        <w:rPr/>
        <w:br w:type="column"/>
      </w:r>
      <w:r>
        <w:rPr/>
        <w:t>您提出保险申请、我们同意承保，本合同成立。</w:t>
      </w:r>
    </w:p>
    <w:p>
      <w:pPr>
        <w:pStyle w:val="BodyText"/>
        <w:spacing w:line="273" w:lineRule="auto" w:before="114"/>
        <w:ind w:left="207" w:right="358"/>
      </w:pPr>
      <w:r>
        <w:rPr/>
        <w:t>本合同自我们同意承保、收到保险费并签发保险单后开始生效,合同生效日期在保险单上载明。</w:t>
      </w:r>
    </w:p>
    <w:p>
      <w:pPr>
        <w:spacing w:after="0" w:line="273" w:lineRule="auto"/>
        <w:sectPr>
          <w:type w:val="continuous"/>
          <w:pgSz w:w="11910" w:h="16840"/>
          <w:pgMar w:top="200" w:bottom="280" w:left="1020" w:right="1020"/>
          <w:cols w:num="2" w:equalWidth="0">
            <w:col w:w="2436" w:space="40"/>
            <w:col w:w="7394"/>
          </w:cols>
        </w:sectPr>
      </w:pPr>
    </w:p>
    <w:p>
      <w:pPr>
        <w:pStyle w:val="BodyText"/>
        <w:spacing w:before="8"/>
        <w:rPr>
          <w:sz w:val="8"/>
        </w:rPr>
      </w:pPr>
    </w:p>
    <w:p>
      <w:pPr>
        <w:pStyle w:val="ListParagraph"/>
        <w:numPr>
          <w:ilvl w:val="1"/>
          <w:numId w:val="6"/>
        </w:numPr>
        <w:tabs>
          <w:tab w:pos="1382" w:val="left" w:leader="none"/>
          <w:tab w:pos="1383" w:val="left" w:leader="none"/>
          <w:tab w:pos="2683" w:val="left" w:leader="none"/>
        </w:tabs>
        <w:spacing w:line="240" w:lineRule="auto" w:before="36" w:after="0"/>
        <w:ind w:left="1382" w:right="0" w:hanging="1062"/>
        <w:jc w:val="left"/>
        <w:rPr>
          <w:sz w:val="21"/>
        </w:rPr>
      </w:pPr>
      <w:r>
        <w:rPr>
          <w:b/>
          <w:sz w:val="21"/>
        </w:rPr>
        <w:t>合同终止</w:t>
        <w:tab/>
      </w:r>
      <w:r>
        <w:rPr>
          <w:sz w:val="21"/>
        </w:rPr>
        <w:t>发生下列情况之一时，本合同效力即时终止：</w:t>
      </w:r>
    </w:p>
    <w:p>
      <w:pPr>
        <w:pStyle w:val="BodyText"/>
        <w:spacing w:line="273" w:lineRule="auto" w:before="37"/>
        <w:ind w:left="2683" w:right="2862"/>
      </w:pPr>
      <w:r>
        <w:rPr/>
        <w:t>(1)您于合同有效期内向我们申请解除本合同； (2)我们给付“重大疾病保险金”；</w:t>
      </w:r>
    </w:p>
    <w:p>
      <w:pPr>
        <w:pStyle w:val="BodyText"/>
        <w:spacing w:before="7"/>
        <w:ind w:left="2683"/>
      </w:pPr>
      <w:r>
        <w:rPr/>
        <w:t>(3)本合同约定的其他效力终止的情况。</w:t>
      </w:r>
    </w:p>
    <w:p>
      <w:pPr>
        <w:pStyle w:val="ListParagraph"/>
        <w:numPr>
          <w:ilvl w:val="1"/>
          <w:numId w:val="6"/>
        </w:numPr>
        <w:tabs>
          <w:tab w:pos="1382" w:val="left" w:leader="none"/>
          <w:tab w:pos="1383" w:val="left" w:leader="none"/>
          <w:tab w:pos="2683" w:val="left" w:leader="none"/>
        </w:tabs>
        <w:spacing w:line="273" w:lineRule="auto" w:before="178" w:after="0"/>
        <w:ind w:left="2683" w:right="411" w:hanging="2363"/>
        <w:jc w:val="left"/>
        <w:rPr>
          <w:sz w:val="21"/>
        </w:rPr>
      </w:pPr>
      <w:r>
        <w:rPr>
          <w:b/>
          <w:sz w:val="21"/>
        </w:rPr>
        <w:t>投保年龄</w:t>
        <w:tab/>
      </w:r>
      <w:r>
        <w:rPr>
          <w:sz w:val="21"/>
        </w:rPr>
        <w:t>指您投保时被保险人的年龄，以</w:t>
      </w:r>
      <w:r>
        <w:rPr>
          <w:b/>
          <w:sz w:val="21"/>
        </w:rPr>
        <w:t>周岁</w:t>
      </w:r>
      <w:r>
        <w:rPr>
          <w:sz w:val="21"/>
        </w:rPr>
        <w:t>（详见释义）计算，本合同接受的投 保年龄(包括续保)范围为出生满</w:t>
      </w:r>
      <w:r>
        <w:rPr>
          <w:spacing w:val="-59"/>
          <w:sz w:val="21"/>
        </w:rPr>
        <w:t> </w:t>
      </w:r>
      <w:r>
        <w:rPr>
          <w:sz w:val="21"/>
        </w:rPr>
        <w:t>28</w:t>
      </w:r>
      <w:r>
        <w:rPr>
          <w:spacing w:val="-58"/>
          <w:sz w:val="21"/>
        </w:rPr>
        <w:t> </w:t>
      </w:r>
      <w:r>
        <w:rPr>
          <w:sz w:val="21"/>
        </w:rPr>
        <w:t>日至</w:t>
      </w:r>
      <w:r>
        <w:rPr>
          <w:spacing w:val="-59"/>
          <w:sz w:val="21"/>
        </w:rPr>
        <w:t> </w:t>
      </w:r>
      <w:r>
        <w:rPr>
          <w:sz w:val="21"/>
        </w:rPr>
        <w:t>17</w:t>
      </w:r>
      <w:r>
        <w:rPr>
          <w:spacing w:val="-58"/>
          <w:sz w:val="21"/>
        </w:rPr>
        <w:t> </w:t>
      </w:r>
      <w:r>
        <w:rPr>
          <w:sz w:val="21"/>
        </w:rPr>
        <w:t>周岁。</w:t>
      </w:r>
    </w:p>
    <w:p>
      <w:pPr>
        <w:pStyle w:val="BodyText"/>
        <w:spacing w:before="10"/>
        <w:rPr>
          <w:sz w:val="10"/>
        </w:rPr>
      </w:pPr>
      <w:r>
        <w:rPr/>
        <w:pict>
          <v:shape style="position:absolute;margin-left:61.619999pt;margin-top:8.27244pt;width:467.25pt;height:15.6pt;mso-position-horizontal-relative:page;mso-position-vertical-relative:paragraph;z-index:1192;mso-wrap-distance-left:0;mso-wrap-distance-right:0" type="#_x0000_t202" filled="true" fillcolor="#a6a6a6" stroked="false">
            <v:textbox inset="0,0,0,0">
              <w:txbxContent>
                <w:p>
                  <w:pPr>
                    <w:tabs>
                      <w:tab w:pos="1169" w:val="left" w:leader="none"/>
                    </w:tabs>
                    <w:spacing w:line="260" w:lineRule="exact" w:before="0"/>
                    <w:ind w:left="107" w:right="0" w:firstLine="0"/>
                    <w:jc w:val="left"/>
                    <w:rPr>
                      <w:b/>
                      <w:sz w:val="21"/>
                    </w:rPr>
                  </w:pPr>
                  <w:r>
                    <w:rPr>
                      <w:b/>
                      <w:sz w:val="21"/>
                    </w:rPr>
                    <w:t>2．</w:t>
                    <w:tab/>
                  </w:r>
                  <w:r>
                    <w:rPr>
                      <w:b/>
                      <w:w w:val="95"/>
                      <w:sz w:val="21"/>
                    </w:rPr>
                    <w:t>我们提供的保障</w:t>
                  </w:r>
                </w:p>
              </w:txbxContent>
            </v:textbox>
            <v:fill type="solid"/>
            <w10:wrap type="topAndBottom"/>
          </v:shape>
        </w:pict>
      </w:r>
    </w:p>
    <w:p>
      <w:pPr>
        <w:pStyle w:val="BodyText"/>
        <w:spacing w:before="11"/>
        <w:rPr>
          <w:sz w:val="5"/>
        </w:rPr>
      </w:pPr>
    </w:p>
    <w:p>
      <w:pPr>
        <w:spacing w:after="0"/>
        <w:rPr>
          <w:sz w:val="5"/>
        </w:rPr>
        <w:sectPr>
          <w:type w:val="continuous"/>
          <w:pgSz w:w="11910" w:h="16840"/>
          <w:pgMar w:top="200" w:bottom="280" w:left="1020" w:right="1020"/>
        </w:sectPr>
      </w:pPr>
    </w:p>
    <w:p>
      <w:pPr>
        <w:pStyle w:val="ListParagraph"/>
        <w:numPr>
          <w:ilvl w:val="1"/>
          <w:numId w:val="7"/>
        </w:numPr>
        <w:tabs>
          <w:tab w:pos="1382" w:val="left" w:leader="none"/>
          <w:tab w:pos="1383" w:val="left" w:leader="none"/>
        </w:tabs>
        <w:spacing w:line="273" w:lineRule="auto" w:before="35" w:after="0"/>
        <w:ind w:left="1382" w:right="0" w:hanging="1062"/>
        <w:jc w:val="left"/>
        <w:rPr>
          <w:b/>
          <w:sz w:val="21"/>
        </w:rPr>
      </w:pPr>
      <w:r>
        <w:rPr>
          <w:b/>
          <w:w w:val="95"/>
          <w:sz w:val="21"/>
        </w:rPr>
        <w:t>基本保险金</w:t>
      </w:r>
      <w:r>
        <w:rPr>
          <w:b/>
          <w:sz w:val="21"/>
        </w:rPr>
        <w:t>额</w:t>
      </w:r>
    </w:p>
    <w:p>
      <w:pPr>
        <w:pStyle w:val="BodyText"/>
        <w:spacing w:before="35"/>
        <w:ind w:left="207"/>
      </w:pPr>
      <w:r>
        <w:rPr/>
        <w:br w:type="column"/>
      </w:r>
      <w:r>
        <w:rPr/>
        <w:t>本合同的基本保险金额由您在投保时与我们约定并在保险单上载明。</w:t>
      </w:r>
    </w:p>
    <w:p>
      <w:pPr>
        <w:spacing w:after="0"/>
        <w:sectPr>
          <w:type w:val="continuous"/>
          <w:pgSz w:w="11910" w:h="16840"/>
          <w:pgMar w:top="200" w:bottom="280" w:left="1020" w:right="1020"/>
          <w:cols w:num="2" w:equalWidth="0">
            <w:col w:w="2436" w:space="40"/>
            <w:col w:w="7394"/>
          </w:cols>
        </w:sectPr>
      </w:pPr>
    </w:p>
    <w:p>
      <w:pPr>
        <w:pStyle w:val="BodyText"/>
        <w:spacing w:before="9"/>
        <w:rPr>
          <w:sz w:val="8"/>
        </w:rPr>
      </w:pPr>
    </w:p>
    <w:p>
      <w:pPr>
        <w:pStyle w:val="ListParagraph"/>
        <w:numPr>
          <w:ilvl w:val="1"/>
          <w:numId w:val="7"/>
        </w:numPr>
        <w:tabs>
          <w:tab w:pos="1382" w:val="left" w:leader="none"/>
          <w:tab w:pos="1383" w:val="left" w:leader="none"/>
          <w:tab w:pos="2683" w:val="left" w:leader="none"/>
        </w:tabs>
        <w:spacing w:line="240" w:lineRule="auto" w:before="35" w:after="0"/>
        <w:ind w:left="1382" w:right="0" w:hanging="1062"/>
        <w:jc w:val="left"/>
        <w:rPr>
          <w:sz w:val="21"/>
        </w:rPr>
      </w:pPr>
      <w:r>
        <w:rPr>
          <w:b/>
          <w:sz w:val="21"/>
        </w:rPr>
        <w:t>保险期间</w:t>
        <w:tab/>
      </w:r>
      <w:r>
        <w:rPr>
          <w:sz w:val="21"/>
        </w:rPr>
        <w:t>本合同的保险期间为</w:t>
      </w:r>
      <w:r>
        <w:rPr>
          <w:spacing w:val="-53"/>
          <w:sz w:val="21"/>
        </w:rPr>
        <w:t> </w:t>
      </w:r>
      <w:r>
        <w:rPr>
          <w:sz w:val="21"/>
        </w:rPr>
        <w:t>1</w:t>
      </w:r>
      <w:r>
        <w:rPr>
          <w:spacing w:val="-53"/>
          <w:sz w:val="21"/>
        </w:rPr>
        <w:t> </w:t>
      </w:r>
      <w:r>
        <w:rPr>
          <w:sz w:val="21"/>
        </w:rPr>
        <w:t>年，并在保险单上载明。</w:t>
      </w:r>
    </w:p>
    <w:p>
      <w:pPr>
        <w:pStyle w:val="ListParagraph"/>
        <w:numPr>
          <w:ilvl w:val="1"/>
          <w:numId w:val="7"/>
        </w:numPr>
        <w:tabs>
          <w:tab w:pos="1383" w:val="left" w:leader="none"/>
        </w:tabs>
        <w:spacing w:line="273" w:lineRule="auto" w:before="179" w:after="0"/>
        <w:ind w:left="2683" w:right="413" w:hanging="2363"/>
        <w:jc w:val="both"/>
        <w:rPr>
          <w:sz w:val="21"/>
        </w:rPr>
      </w:pPr>
      <w:r>
        <w:rPr>
          <w:b/>
          <w:spacing w:val="6"/>
          <w:sz w:val="21"/>
        </w:rPr>
        <w:t>续保       </w:t>
      </w:r>
      <w:r>
        <w:rPr>
          <w:sz w:val="21"/>
        </w:rPr>
        <w:t>您选择自动申请续保的，每一保险期间届满之前，若我们未收到您不再继续投保的书面通知，则视作您申请续保。若经我们审核同意，并按续保时</w:t>
      </w:r>
      <w:r>
        <w:rPr>
          <w:spacing w:val="-2"/>
          <w:sz w:val="21"/>
        </w:rPr>
        <w:t>对应的保险费率向您收取续保保险费后，本合同保险期间将延续 </w:t>
      </w:r>
      <w:r>
        <w:rPr>
          <w:sz w:val="21"/>
        </w:rPr>
        <w:t>1</w:t>
      </w:r>
      <w:r>
        <w:rPr>
          <w:spacing w:val="-8"/>
          <w:sz w:val="21"/>
        </w:rPr>
        <w:t> 年。若经我们审核后不接受您的续保申请，我们将书面通知您。</w:t>
      </w:r>
    </w:p>
    <w:p>
      <w:pPr>
        <w:pStyle w:val="ListParagraph"/>
        <w:numPr>
          <w:ilvl w:val="1"/>
          <w:numId w:val="7"/>
        </w:numPr>
        <w:tabs>
          <w:tab w:pos="1382" w:val="left" w:leader="none"/>
          <w:tab w:pos="1383" w:val="left" w:leader="none"/>
          <w:tab w:pos="2683" w:val="left" w:leader="none"/>
        </w:tabs>
        <w:spacing w:line="240" w:lineRule="auto" w:before="149" w:after="0"/>
        <w:ind w:left="1382" w:right="0" w:hanging="1062"/>
        <w:jc w:val="left"/>
        <w:rPr>
          <w:rFonts w:ascii="黑体" w:eastAsia="黑体" w:hint="eastAsia"/>
          <w:sz w:val="21"/>
        </w:rPr>
      </w:pPr>
      <w:r>
        <w:rPr>
          <w:b/>
          <w:sz w:val="21"/>
        </w:rPr>
        <w:t>等待期</w:t>
        <w:tab/>
      </w:r>
      <w:r>
        <w:rPr>
          <w:rFonts w:ascii="黑体" w:eastAsia="黑体" w:hint="eastAsia"/>
          <w:sz w:val="21"/>
        </w:rPr>
        <w:t>您首次投保或非连续投保本合同时，从本合同Th效之日起</w:t>
      </w:r>
      <w:r>
        <w:rPr>
          <w:rFonts w:ascii="黑体" w:eastAsia="黑体" w:hint="eastAsia"/>
          <w:spacing w:val="18"/>
          <w:sz w:val="21"/>
        </w:rPr>
        <w:t> </w:t>
      </w:r>
      <w:r>
        <w:rPr>
          <w:rFonts w:ascii="黑体" w:eastAsia="黑体" w:hint="eastAsia"/>
          <w:sz w:val="21"/>
        </w:rPr>
        <w:t>60</w:t>
      </w:r>
      <w:r>
        <w:rPr>
          <w:rFonts w:ascii="黑体" w:eastAsia="黑体" w:hint="eastAsia"/>
          <w:spacing w:val="18"/>
          <w:sz w:val="21"/>
        </w:rPr>
        <w:t> </w:t>
      </w:r>
      <w:r>
        <w:rPr>
          <w:rFonts w:ascii="黑体" w:eastAsia="黑体" w:hint="eastAsia"/>
          <w:sz w:val="21"/>
        </w:rPr>
        <w:t>日内（含第</w:t>
      </w:r>
    </w:p>
    <w:p>
      <w:pPr>
        <w:pStyle w:val="BodyText"/>
        <w:spacing w:line="273" w:lineRule="auto" w:before="37"/>
        <w:ind w:left="2683" w:right="413"/>
        <w:rPr>
          <w:rFonts w:ascii="黑体" w:eastAsia="黑体" w:hint="eastAsia"/>
        </w:rPr>
      </w:pPr>
      <w:r>
        <w:rPr>
          <w:rFonts w:ascii="黑体" w:eastAsia="黑体" w:hint="eastAsia"/>
        </w:rPr>
        <w:t>60</w:t>
      </w:r>
      <w:r>
        <w:rPr>
          <w:rFonts w:ascii="黑体" w:eastAsia="黑体" w:hint="eastAsia"/>
          <w:spacing w:val="-16"/>
        </w:rPr>
        <w:t> 日</w:t>
      </w:r>
      <w:r>
        <w:rPr>
          <w:rFonts w:ascii="黑体" w:eastAsia="黑体" w:hint="eastAsia"/>
          <w:spacing w:val="-105"/>
        </w:rPr>
        <w:t>）</w:t>
      </w:r>
      <w:r>
        <w:rPr>
          <w:rFonts w:ascii="黑体" w:eastAsia="黑体" w:hint="eastAsia"/>
          <w:spacing w:val="-2"/>
        </w:rPr>
        <w:t>，被保险人因疾病发</w:t>
      </w:r>
      <w:r>
        <w:rPr>
          <w:rFonts w:ascii="黑体" w:eastAsia="黑体" w:hint="eastAsia"/>
          <w:spacing w:val="-1"/>
        </w:rPr>
        <w:t>Th下列情形之一的：(1)</w:t>
      </w:r>
      <w:r>
        <w:rPr>
          <w:rFonts w:ascii="黑体" w:eastAsia="黑体" w:hint="eastAsia"/>
          <w:spacing w:val="-4"/>
        </w:rPr>
        <w:t>符合本合同约定的第 </w:t>
      </w:r>
      <w:r>
        <w:rPr>
          <w:rFonts w:ascii="黑体" w:eastAsia="黑体" w:hint="eastAsia"/>
        </w:rPr>
        <w:t>8条定义的重大疾病</w:t>
      </w:r>
      <w:r>
        <w:rPr>
          <w:rFonts w:ascii="黑体" w:eastAsia="黑体" w:hint="eastAsia"/>
          <w:spacing w:val="0"/>
        </w:rPr>
        <w:t>（</w:t>
      </w:r>
      <w:r>
        <w:rPr>
          <w:rFonts w:ascii="黑体" w:eastAsia="黑体" w:hint="eastAsia"/>
        </w:rPr>
        <w:t>无论一种或多种</w:t>
      </w:r>
      <w:r>
        <w:rPr>
          <w:rFonts w:ascii="黑体" w:eastAsia="黑体" w:hint="eastAsia"/>
          <w:spacing w:val="-104"/>
        </w:rPr>
        <w:t>）</w:t>
      </w:r>
      <w:r>
        <w:rPr>
          <w:rFonts w:ascii="黑体" w:eastAsia="黑体" w:hint="eastAsia"/>
        </w:rPr>
        <w:t>，(</w:t>
      </w:r>
      <w:r>
        <w:rPr>
          <w:rFonts w:ascii="黑体" w:eastAsia="黑体" w:hint="eastAsia"/>
          <w:spacing w:val="0"/>
        </w:rPr>
        <w:t>2)</w:t>
      </w:r>
      <w:r>
        <w:rPr>
          <w:rFonts w:ascii="黑体" w:eastAsia="黑体" w:hint="eastAsia"/>
        </w:rPr>
        <w:t>因导致本合同约定的重大疾病</w:t>
      </w:r>
    </w:p>
    <w:p>
      <w:pPr>
        <w:pStyle w:val="BodyText"/>
        <w:spacing w:line="273" w:lineRule="auto" w:before="7"/>
        <w:ind w:left="2683" w:right="309"/>
      </w:pPr>
      <w:r>
        <w:rPr>
          <w:rFonts w:ascii="黑体" w:eastAsia="黑体" w:hint="eastAsia"/>
        </w:rPr>
        <w:t>（无论一种或多种</w:t>
      </w:r>
      <w:r>
        <w:rPr>
          <w:rFonts w:ascii="黑体" w:eastAsia="黑体" w:hint="eastAsia"/>
          <w:spacing w:val="-31"/>
        </w:rPr>
        <w:t>）</w:t>
      </w:r>
      <w:r>
        <w:rPr>
          <w:rFonts w:ascii="黑体" w:eastAsia="黑体" w:hint="eastAsia"/>
          <w:spacing w:val="-4"/>
        </w:rPr>
        <w:t>的相关疾病就诊，我们不承担本合同约定的保险责任， </w:t>
      </w:r>
      <w:r>
        <w:rPr>
          <w:rFonts w:ascii="黑体" w:eastAsia="黑体" w:hint="eastAsia"/>
          <w:spacing w:val="-11"/>
        </w:rPr>
        <w:t>本合同终止，并无息退还您所支付的全部保险费。这 </w:t>
      </w:r>
      <w:r>
        <w:rPr>
          <w:rFonts w:ascii="黑体" w:eastAsia="黑体" w:hint="eastAsia"/>
        </w:rPr>
        <w:t>60</w:t>
      </w:r>
      <w:r>
        <w:rPr>
          <w:rFonts w:ascii="黑体" w:eastAsia="黑体" w:hint="eastAsia"/>
          <w:spacing w:val="-8"/>
        </w:rPr>
        <w:t> 日的时间称为等待期；</w:t>
      </w:r>
      <w:r>
        <w:rPr>
          <w:spacing w:val="-8"/>
        </w:rPr>
        <w:t>但被保险人因</w:t>
      </w:r>
      <w:r>
        <w:rPr>
          <w:b/>
          <w:spacing w:val="-8"/>
        </w:rPr>
        <w:t>意外伤害</w:t>
      </w:r>
      <w:r>
        <w:rPr>
          <w:spacing w:val="-8"/>
        </w:rPr>
        <w:t>（详见释义）发生上述两项情形之一的，则无等待期。</w:t>
      </w:r>
    </w:p>
    <w:p>
      <w:pPr>
        <w:pStyle w:val="BodyText"/>
        <w:spacing w:line="273" w:lineRule="auto" w:before="85"/>
        <w:ind w:left="2683" w:right="413"/>
      </w:pPr>
      <w:r>
        <w:rPr/>
        <w:t>若您为被保险人连续投保本合同，且经我们审核同意续保的，则该被保险人续保时无等待期。</w:t>
      </w:r>
    </w:p>
    <w:p>
      <w:pPr>
        <w:pStyle w:val="ListParagraph"/>
        <w:numPr>
          <w:ilvl w:val="1"/>
          <w:numId w:val="7"/>
        </w:numPr>
        <w:tabs>
          <w:tab w:pos="1382" w:val="left" w:leader="none"/>
          <w:tab w:pos="1383" w:val="left" w:leader="none"/>
          <w:tab w:pos="2683" w:val="left" w:leader="none"/>
        </w:tabs>
        <w:spacing w:line="273" w:lineRule="auto" w:before="149" w:after="0"/>
        <w:ind w:left="2683" w:right="413" w:hanging="2363"/>
        <w:jc w:val="left"/>
        <w:rPr>
          <w:sz w:val="21"/>
        </w:rPr>
      </w:pPr>
      <w:r>
        <w:rPr>
          <w:b/>
          <w:sz w:val="21"/>
        </w:rPr>
        <w:t>保险责任</w:t>
        <w:tab/>
      </w:r>
      <w:r>
        <w:rPr>
          <w:sz w:val="21"/>
        </w:rPr>
        <w:t>在本合同保险期间内，且本合同有效的前提下，我们按以下约定承担保险 责任：</w:t>
      </w:r>
    </w:p>
    <w:p>
      <w:pPr>
        <w:spacing w:after="0" w:line="273" w:lineRule="auto"/>
        <w:jc w:val="left"/>
        <w:rPr>
          <w:sz w:val="21"/>
        </w:rPr>
        <w:sectPr>
          <w:type w:val="continuous"/>
          <w:pgSz w:w="11910" w:h="16840"/>
          <w:pgMar w:top="20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636"/>
        <w:gridCol w:w="6910"/>
      </w:tblGrid>
      <w:tr>
        <w:trPr>
          <w:trHeight w:val="955" w:hRule="atLeast"/>
        </w:trPr>
        <w:tc>
          <w:tcPr>
            <w:tcW w:w="798" w:type="dxa"/>
            <w:vMerge w:val="restart"/>
          </w:tcPr>
          <w:p>
            <w:pPr>
              <w:pStyle w:val="TableParagraph"/>
              <w:rPr>
                <w:rFonts w:ascii="Times New Roman"/>
                <w:sz w:val="20"/>
              </w:rPr>
            </w:pPr>
          </w:p>
        </w:tc>
        <w:tc>
          <w:tcPr>
            <w:tcW w:w="1636" w:type="dxa"/>
          </w:tcPr>
          <w:p>
            <w:pPr>
              <w:pStyle w:val="TableParagraph"/>
              <w:spacing w:line="210" w:lineRule="exact"/>
              <w:ind w:left="371"/>
              <w:rPr>
                <w:sz w:val="21"/>
              </w:rPr>
            </w:pPr>
            <w:r>
              <w:rPr>
                <w:sz w:val="21"/>
              </w:rPr>
              <w:t>重大疾病保</w:t>
            </w:r>
          </w:p>
          <w:p>
            <w:pPr>
              <w:pStyle w:val="TableParagraph"/>
              <w:spacing w:before="37"/>
              <w:ind w:left="371"/>
              <w:rPr>
                <w:sz w:val="21"/>
              </w:rPr>
            </w:pPr>
            <w:r>
              <w:rPr>
                <w:sz w:val="21"/>
              </w:rPr>
              <w:t>险金</w:t>
            </w:r>
          </w:p>
        </w:tc>
        <w:tc>
          <w:tcPr>
            <w:tcW w:w="6910" w:type="dxa"/>
          </w:tcPr>
          <w:p>
            <w:pPr>
              <w:pStyle w:val="TableParagraph"/>
              <w:spacing w:line="210" w:lineRule="exact"/>
              <w:ind w:left="36"/>
              <w:rPr>
                <w:sz w:val="21"/>
              </w:rPr>
            </w:pPr>
            <w:r>
              <w:rPr>
                <w:w w:val="95"/>
                <w:sz w:val="21"/>
              </w:rPr>
              <w:t>若被保险人于等待期后经</w:t>
            </w:r>
            <w:r>
              <w:rPr>
                <w:b/>
                <w:w w:val="95"/>
                <w:sz w:val="21"/>
              </w:rPr>
              <w:t>约定医院</w:t>
            </w:r>
            <w:r>
              <w:rPr>
                <w:w w:val="95"/>
                <w:sz w:val="21"/>
              </w:rPr>
              <w:t>（详见释义）确诊初次发生符合本合同</w:t>
            </w:r>
          </w:p>
          <w:p>
            <w:pPr>
              <w:pStyle w:val="TableParagraph"/>
              <w:spacing w:line="273" w:lineRule="auto" w:before="37"/>
              <w:ind w:left="36" w:right="151"/>
              <w:rPr>
                <w:sz w:val="21"/>
              </w:rPr>
            </w:pPr>
            <w:r>
              <w:rPr>
                <w:sz w:val="21"/>
              </w:rPr>
              <w:t>约定的重大疾病，我们按本合同的基本保险金额给付重大疾病保险金，本合同终止。</w:t>
            </w:r>
          </w:p>
        </w:tc>
      </w:tr>
      <w:tr>
        <w:trPr>
          <w:trHeight w:val="1078" w:hRule="atLeast"/>
        </w:trPr>
        <w:tc>
          <w:tcPr>
            <w:tcW w:w="798" w:type="dxa"/>
            <w:vMerge/>
            <w:tcBorders>
              <w:top w:val="nil"/>
            </w:tcBorders>
          </w:tcPr>
          <w:p>
            <w:pPr>
              <w:rPr>
                <w:sz w:val="2"/>
                <w:szCs w:val="2"/>
              </w:rPr>
            </w:pPr>
          </w:p>
        </w:tc>
        <w:tc>
          <w:tcPr>
            <w:tcW w:w="1636" w:type="dxa"/>
          </w:tcPr>
          <w:p>
            <w:pPr>
              <w:pStyle w:val="TableParagraph"/>
              <w:spacing w:line="273" w:lineRule="auto" w:before="57"/>
              <w:ind w:left="371" w:right="212"/>
              <w:rPr>
                <w:sz w:val="21"/>
              </w:rPr>
            </w:pPr>
            <w:r>
              <w:rPr>
                <w:sz w:val="21"/>
              </w:rPr>
              <w:t>白血病关爱保险金</w:t>
            </w:r>
          </w:p>
        </w:tc>
        <w:tc>
          <w:tcPr>
            <w:tcW w:w="6910" w:type="dxa"/>
          </w:tcPr>
          <w:p>
            <w:pPr>
              <w:pStyle w:val="TableParagraph"/>
              <w:spacing w:before="57"/>
              <w:ind w:left="36"/>
              <w:rPr>
                <w:b/>
                <w:sz w:val="21"/>
              </w:rPr>
            </w:pPr>
            <w:r>
              <w:rPr>
                <w:sz w:val="21"/>
              </w:rPr>
              <w:t>若被保险人于等待期后经约定医院确诊初次发生符合本合同约定的</w:t>
            </w:r>
            <w:r>
              <w:rPr>
                <w:b/>
                <w:sz w:val="21"/>
              </w:rPr>
              <w:t>白血病</w:t>
            </w:r>
          </w:p>
          <w:p>
            <w:pPr>
              <w:pStyle w:val="TableParagraph"/>
              <w:spacing w:line="273" w:lineRule="auto" w:before="37"/>
              <w:ind w:left="36" w:right="106"/>
              <w:rPr>
                <w:sz w:val="21"/>
              </w:rPr>
            </w:pPr>
            <w:r>
              <w:rPr>
                <w:sz w:val="21"/>
              </w:rPr>
              <w:t>（详见释义</w:t>
            </w:r>
            <w:r>
              <w:rPr>
                <w:spacing w:val="-69"/>
                <w:sz w:val="21"/>
              </w:rPr>
              <w:t>）</w:t>
            </w:r>
            <w:r>
              <w:rPr>
                <w:spacing w:val="-11"/>
                <w:sz w:val="21"/>
              </w:rPr>
              <w:t>，除给付重大疾病保险金外，我们还按本合同的基本保险金额</w:t>
            </w:r>
            <w:r>
              <w:rPr>
                <w:spacing w:val="-33"/>
                <w:sz w:val="21"/>
              </w:rPr>
              <w:t>的 </w:t>
            </w:r>
            <w:r>
              <w:rPr>
                <w:sz w:val="21"/>
              </w:rPr>
              <w:t>50%额外给付白血病关爱金，本合同终止。</w:t>
            </w:r>
          </w:p>
        </w:tc>
      </w:tr>
      <w:tr>
        <w:trPr>
          <w:trHeight w:val="3854" w:hRule="atLeast"/>
        </w:trPr>
        <w:tc>
          <w:tcPr>
            <w:tcW w:w="798" w:type="dxa"/>
          </w:tcPr>
          <w:p>
            <w:pPr>
              <w:pStyle w:val="TableParagraph"/>
              <w:spacing w:before="57"/>
              <w:ind w:left="107"/>
              <w:rPr>
                <w:b/>
                <w:sz w:val="21"/>
              </w:rPr>
            </w:pPr>
            <w:r>
              <w:rPr>
                <w:b/>
                <w:sz w:val="21"/>
              </w:rPr>
              <w:t>2.6</w:t>
            </w:r>
          </w:p>
        </w:tc>
        <w:tc>
          <w:tcPr>
            <w:tcW w:w="1636" w:type="dxa"/>
          </w:tcPr>
          <w:p>
            <w:pPr>
              <w:pStyle w:val="TableParagraph"/>
              <w:spacing w:before="57"/>
              <w:ind w:left="372"/>
              <w:rPr>
                <w:b/>
                <w:sz w:val="21"/>
              </w:rPr>
            </w:pPr>
            <w:r>
              <w:rPr>
                <w:b/>
                <w:sz w:val="21"/>
              </w:rPr>
              <w:t>责任免除</w:t>
            </w:r>
          </w:p>
        </w:tc>
        <w:tc>
          <w:tcPr>
            <w:tcW w:w="6910" w:type="dxa"/>
          </w:tcPr>
          <w:p>
            <w:pPr>
              <w:pStyle w:val="TableParagraph"/>
              <w:spacing w:line="273" w:lineRule="auto" w:before="57"/>
              <w:ind w:left="36" w:right="105"/>
              <w:rPr>
                <w:rFonts w:ascii="黑体" w:eastAsia="黑体" w:hint="eastAsia"/>
                <w:sz w:val="21"/>
              </w:rPr>
            </w:pPr>
            <w:r>
              <w:rPr>
                <w:rFonts w:ascii="黑体" w:eastAsia="黑体" w:hint="eastAsia"/>
                <w:sz w:val="21"/>
              </w:rPr>
              <w:t>因下列情形之一导致被保险人发Th本合同约定的重大疾病的，我们不承担给付保险金的责任：</w:t>
            </w:r>
          </w:p>
          <w:p>
            <w:pPr>
              <w:pStyle w:val="TableParagraph"/>
              <w:spacing w:line="273" w:lineRule="auto" w:before="7"/>
              <w:ind w:left="36" w:right="466"/>
              <w:rPr>
                <w:rFonts w:ascii="黑体" w:eastAsia="黑体" w:hint="eastAsia"/>
                <w:sz w:val="21"/>
              </w:rPr>
            </w:pPr>
            <w:r>
              <w:rPr>
                <w:rFonts w:ascii="黑体" w:eastAsia="黑体" w:hint="eastAsia"/>
                <w:sz w:val="21"/>
              </w:rPr>
              <w:t>(1)投保人对被保险人的故意杀害、故意伤害；                  </w:t>
            </w:r>
            <w:r>
              <w:rPr>
                <w:rFonts w:ascii="黑体" w:eastAsia="黑体" w:hint="eastAsia"/>
                <w:spacing w:val="-1"/>
                <w:sz w:val="21"/>
              </w:rPr>
              <w:t>(2)被保险人故意自伤、故意犯罪或者抗拒依法采取的刑事强制措施；</w:t>
            </w:r>
          </w:p>
          <w:p>
            <w:pPr>
              <w:pStyle w:val="TableParagraph"/>
              <w:spacing w:before="7"/>
              <w:ind w:left="36"/>
              <w:rPr>
                <w:rFonts w:ascii="黑体" w:eastAsia="黑体" w:hint="eastAsia"/>
                <w:sz w:val="21"/>
              </w:rPr>
            </w:pPr>
            <w:r>
              <w:rPr>
                <w:rFonts w:ascii="黑体" w:eastAsia="黑体" w:hint="eastAsia"/>
                <w:spacing w:val="-1"/>
                <w:sz w:val="21"/>
              </w:rPr>
              <w:t>(3)被保险人主动吸食或注射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p>
          <w:p>
            <w:pPr>
              <w:pStyle w:val="TableParagraph"/>
              <w:spacing w:line="273" w:lineRule="auto" w:before="36"/>
              <w:ind w:left="36" w:right="104"/>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（详见释义） </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（详见释义）的机动车；</w:t>
            </w:r>
          </w:p>
          <w:p>
            <w:pPr>
              <w:pStyle w:val="TableParagraph"/>
              <w:spacing w:line="273" w:lineRule="auto" w:before="7"/>
              <w:ind w:left="36" w:right="105"/>
              <w:rPr>
                <w:rFonts w:ascii="黑体" w:hAnsi="黑体" w:eastAsia="黑体" w:hint="eastAsia"/>
                <w:sz w:val="21"/>
              </w:rPr>
            </w:pPr>
            <w:r>
              <w:rPr>
                <w:rFonts w:ascii="黑体" w:hAnsi="黑体" w:eastAsia="黑体" w:hint="eastAsia"/>
                <w:sz w:val="21"/>
              </w:rPr>
              <w:t>(</w:t>
            </w:r>
            <w:r>
              <w:rPr>
                <w:rFonts w:ascii="黑体" w:hAnsi="黑体" w:eastAsia="黑体" w:hint="eastAsia"/>
                <w:spacing w:val="-1"/>
                <w:sz w:val="21"/>
              </w:rPr>
              <w:t>5</w:t>
            </w:r>
            <w:r>
              <w:rPr>
                <w:rFonts w:ascii="黑体" w:hAnsi="黑体" w:eastAsia="黑体" w:hint="eastAsia"/>
                <w:sz w:val="21"/>
              </w:rPr>
              <w:t>)被保险人</w:t>
            </w:r>
            <w:r>
              <w:rPr>
                <w:rFonts w:ascii="黑体" w:hAnsi="黑体" w:eastAsia="黑体" w:hint="eastAsia"/>
                <w:b/>
                <w:w w:val="99"/>
                <w:sz w:val="21"/>
              </w:rPr>
              <w:t>感染艾滋病病毒或患艾滋病</w:t>
            </w:r>
            <w:r>
              <w:rPr>
                <w:rFonts w:ascii="黑体" w:hAnsi="黑体" w:eastAsia="黑体" w:hint="eastAsia"/>
                <w:spacing w:val="0"/>
                <w:sz w:val="21"/>
              </w:rPr>
              <w:t>（</w:t>
            </w:r>
            <w:r>
              <w:rPr>
                <w:rFonts w:ascii="黑体" w:hAnsi="黑体" w:eastAsia="黑体" w:hint="eastAsia"/>
                <w:sz w:val="21"/>
              </w:rPr>
              <w:t>详见释义</w:t>
            </w:r>
            <w:r>
              <w:rPr>
                <w:rFonts w:ascii="黑体" w:hAnsi="黑体" w:eastAsia="黑体" w:hint="eastAsia"/>
                <w:spacing w:val="-105"/>
                <w:sz w:val="21"/>
              </w:rPr>
              <w:t>）</w:t>
            </w:r>
            <w:r>
              <w:rPr>
                <w:rFonts w:ascii="黑体" w:hAnsi="黑体" w:eastAsia="黑体" w:hint="eastAsia"/>
                <w:spacing w:val="0"/>
                <w:sz w:val="21"/>
              </w:rPr>
              <w:t>，但若属于本合同所</w:t>
            </w:r>
            <w:r>
              <w:rPr>
                <w:rFonts w:ascii="黑体" w:hAnsi="黑体" w:eastAsia="黑体" w:hint="eastAsia"/>
                <w:spacing w:val="-6"/>
                <w:sz w:val="21"/>
              </w:rPr>
              <w:t>保障的“经输血导致的人类免疫缺陷病毒感染”，则不在此限； </w:t>
            </w:r>
            <w:r>
              <w:rPr>
                <w:rFonts w:ascii="黑体" w:hAnsi="黑体" w:eastAsia="黑体" w:hint="eastAsia"/>
                <w:spacing w:val="-1"/>
                <w:sz w:val="21"/>
              </w:rPr>
              <w:t>      (6)战争、军事冲突、暴乱或武装叛乱；</w:t>
            </w:r>
          </w:p>
          <w:p>
            <w:pPr>
              <w:pStyle w:val="TableParagraph"/>
              <w:spacing w:before="7"/>
              <w:ind w:left="36"/>
              <w:rPr>
                <w:rFonts w:ascii="黑体" w:eastAsia="黑体" w:hint="eastAsia"/>
                <w:sz w:val="21"/>
              </w:rPr>
            </w:pPr>
            <w:r>
              <w:rPr>
                <w:rFonts w:ascii="黑体" w:eastAsia="黑体" w:hint="eastAsia"/>
                <w:sz w:val="21"/>
              </w:rPr>
              <w:t>(7)核爆炸、核辐射或核污染；</w:t>
            </w:r>
          </w:p>
          <w:p>
            <w:pPr>
              <w:pStyle w:val="TableParagraph"/>
              <w:spacing w:before="36"/>
              <w:ind w:left="36"/>
              <w:rPr>
                <w:rFonts w:ascii="黑体" w:eastAsia="黑体" w:hint="eastAsia"/>
                <w:sz w:val="21"/>
              </w:rPr>
            </w:pPr>
            <w:r>
              <w:rPr>
                <w:rFonts w:ascii="黑体" w:eastAsia="黑体" w:hint="eastAsia"/>
                <w:w w:val="95"/>
                <w:sz w:val="21"/>
              </w:rPr>
              <w:t>(8)</w:t>
            </w:r>
            <w:r>
              <w:rPr>
                <w:rFonts w:ascii="黑体" w:eastAsia="黑体" w:hint="eastAsia"/>
                <w:b/>
                <w:spacing w:val="-9"/>
                <w:w w:val="95"/>
                <w:sz w:val="21"/>
              </w:rPr>
              <w:t>遗传性疾病</w:t>
            </w:r>
            <w:r>
              <w:rPr>
                <w:rFonts w:ascii="黑体" w:eastAsia="黑体" w:hint="eastAsia"/>
                <w:w w:val="95"/>
                <w:sz w:val="21"/>
              </w:rPr>
              <w:t>（详见释义</w:t>
            </w:r>
            <w:r>
              <w:rPr>
                <w:rFonts w:ascii="黑体" w:eastAsia="黑体" w:hint="eastAsia"/>
                <w:spacing w:val="-75"/>
                <w:w w:val="95"/>
                <w:sz w:val="21"/>
              </w:rPr>
              <w:t>），</w:t>
            </w:r>
            <w:r>
              <w:rPr>
                <w:rFonts w:ascii="黑体" w:eastAsia="黑体" w:hint="eastAsia"/>
                <w:b/>
                <w:spacing w:val="-10"/>
                <w:w w:val="95"/>
                <w:sz w:val="21"/>
              </w:rPr>
              <w:t>先天性畸形、变形或染色体异常</w:t>
            </w:r>
            <w:r>
              <w:rPr>
                <w:rFonts w:ascii="黑体" w:eastAsia="黑体" w:hint="eastAsia"/>
                <w:w w:val="95"/>
                <w:sz w:val="21"/>
              </w:rPr>
              <w:t>（详见释义</w:t>
            </w:r>
            <w:r>
              <w:rPr>
                <w:rFonts w:ascii="黑体" w:eastAsia="黑体" w:hint="eastAsia"/>
                <w:spacing w:val="-105"/>
                <w:w w:val="95"/>
                <w:sz w:val="21"/>
              </w:rPr>
              <w:t>）</w:t>
            </w:r>
            <w:r>
              <w:rPr>
                <w:rFonts w:ascii="黑体" w:eastAsia="黑体" w:hint="eastAsia"/>
                <w:w w:val="95"/>
                <w:sz w:val="21"/>
              </w:rPr>
              <w:t>。</w:t>
            </w:r>
          </w:p>
        </w:tc>
      </w:tr>
      <w:tr>
        <w:trPr>
          <w:trHeight w:val="701"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105"/>
              <w:rPr>
                <w:rFonts w:ascii="黑体" w:eastAsia="黑体" w:hint="eastAsia"/>
                <w:sz w:val="21"/>
              </w:rPr>
            </w:pPr>
            <w:r>
              <w:rPr>
                <w:rFonts w:ascii="黑体" w:eastAsia="黑体" w:hint="eastAsia"/>
                <w:spacing w:val="-1"/>
                <w:sz w:val="21"/>
              </w:rPr>
              <w:t>发Th上述第(1)项情形导致被保险人初次发</w:t>
            </w:r>
            <w:r>
              <w:rPr>
                <w:rFonts w:ascii="黑体" w:eastAsia="黑体" w:hint="eastAsia"/>
                <w:sz w:val="21"/>
              </w:rPr>
              <w:t>Th</w:t>
            </w:r>
            <w:r>
              <w:rPr>
                <w:rFonts w:ascii="黑体" w:eastAsia="黑体" w:hint="eastAsia"/>
                <w:spacing w:val="-5"/>
                <w:sz w:val="21"/>
              </w:rPr>
              <w:t>本合同约定的重大疾病的，本</w:t>
            </w:r>
            <w:r>
              <w:rPr>
                <w:rFonts w:ascii="黑体" w:eastAsia="黑体" w:hint="eastAsia"/>
                <w:spacing w:val="-5"/>
                <w:w w:val="95"/>
                <w:sz w:val="21"/>
              </w:rPr>
              <w:t>合同终止，我们向被保险人退还本合同的</w:t>
            </w:r>
            <w:r>
              <w:rPr>
                <w:rFonts w:ascii="黑体" w:eastAsia="黑体" w:hint="eastAsia"/>
                <w:b/>
                <w:spacing w:val="-5"/>
                <w:w w:val="95"/>
                <w:sz w:val="21"/>
              </w:rPr>
              <w:t>现金价值</w:t>
            </w:r>
            <w:r>
              <w:rPr>
                <w:rFonts w:ascii="黑体" w:eastAsia="黑体" w:hint="eastAsia"/>
                <w:spacing w:val="-5"/>
                <w:w w:val="95"/>
                <w:sz w:val="21"/>
              </w:rPr>
              <w:t>（详见释义</w:t>
            </w:r>
            <w:r>
              <w:rPr>
                <w:rFonts w:ascii="黑体" w:eastAsia="黑体" w:hint="eastAsia"/>
                <w:spacing w:val="-105"/>
                <w:w w:val="95"/>
                <w:sz w:val="21"/>
              </w:rPr>
              <w:t>）</w:t>
            </w:r>
            <w:r>
              <w:rPr>
                <w:rFonts w:ascii="黑体" w:eastAsia="黑体" w:hint="eastAsia"/>
                <w:w w:val="95"/>
                <w:sz w:val="21"/>
              </w:rPr>
              <w:t>。</w:t>
            </w:r>
          </w:p>
        </w:tc>
      </w:tr>
      <w:tr>
        <w:trPr>
          <w:trHeight w:val="883"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105"/>
              <w:rPr>
                <w:rFonts w:ascii="黑体" w:eastAsia="黑体" w:hint="eastAsia"/>
                <w:sz w:val="21"/>
              </w:rPr>
            </w:pPr>
            <w:r>
              <w:rPr>
                <w:rFonts w:ascii="黑体" w:eastAsia="黑体" w:hint="eastAsia"/>
                <w:sz w:val="21"/>
              </w:rPr>
              <w:t>发Th上述其他情形导致被保险人初次发Th本合同约定的重大疾病的，本合同终止，我们向您退还本合同的现金价值。</w:t>
            </w:r>
          </w:p>
        </w:tc>
      </w:tr>
      <w:tr>
        <w:trPr>
          <w:trHeight w:val="312" w:hRule="atLeast"/>
        </w:trPr>
        <w:tc>
          <w:tcPr>
            <w:tcW w:w="798" w:type="dxa"/>
            <w:shd w:val="clear" w:color="auto" w:fill="A6A6A6"/>
          </w:tcPr>
          <w:p>
            <w:pPr>
              <w:pStyle w:val="TableParagraph"/>
              <w:spacing w:line="260" w:lineRule="exact"/>
              <w:ind w:left="107"/>
              <w:rPr>
                <w:b/>
                <w:sz w:val="21"/>
              </w:rPr>
            </w:pPr>
            <w:r>
              <w:rPr>
                <w:b/>
                <w:sz w:val="21"/>
              </w:rPr>
              <w:t>3．</w:t>
            </w:r>
          </w:p>
        </w:tc>
        <w:tc>
          <w:tcPr>
            <w:tcW w:w="1636" w:type="dxa"/>
            <w:shd w:val="clear" w:color="auto" w:fill="A6A6A6"/>
          </w:tcPr>
          <w:p>
            <w:pPr>
              <w:pStyle w:val="TableParagraph"/>
              <w:spacing w:line="260" w:lineRule="exact"/>
              <w:ind w:left="372"/>
              <w:rPr>
                <w:b/>
                <w:sz w:val="21"/>
              </w:rPr>
            </w:pPr>
            <w:r>
              <w:rPr>
                <w:b/>
                <w:w w:val="95"/>
                <w:sz w:val="21"/>
              </w:rPr>
              <w:t>保险金的申请</w:t>
            </w:r>
          </w:p>
        </w:tc>
        <w:tc>
          <w:tcPr>
            <w:tcW w:w="6910" w:type="dxa"/>
            <w:shd w:val="clear" w:color="auto" w:fill="A6A6A6"/>
          </w:tcPr>
          <w:p>
            <w:pPr>
              <w:pStyle w:val="TableParagraph"/>
              <w:rPr>
                <w:rFonts w:ascii="Times New Roman"/>
                <w:sz w:val="20"/>
              </w:rPr>
            </w:pPr>
          </w:p>
        </w:tc>
      </w:tr>
      <w:tr>
        <w:trPr>
          <w:trHeight w:val="874" w:hRule="atLeast"/>
        </w:trPr>
        <w:tc>
          <w:tcPr>
            <w:tcW w:w="798" w:type="dxa"/>
          </w:tcPr>
          <w:p>
            <w:pPr>
              <w:pStyle w:val="TableParagraph"/>
              <w:spacing w:before="126"/>
              <w:ind w:left="108"/>
              <w:rPr>
                <w:b/>
                <w:sz w:val="21"/>
              </w:rPr>
            </w:pPr>
            <w:r>
              <w:rPr>
                <w:b/>
                <w:sz w:val="21"/>
              </w:rPr>
              <w:t>3.1</w:t>
            </w:r>
          </w:p>
        </w:tc>
        <w:tc>
          <w:tcPr>
            <w:tcW w:w="1636" w:type="dxa"/>
          </w:tcPr>
          <w:p>
            <w:pPr>
              <w:pStyle w:val="TableParagraph"/>
              <w:spacing w:before="126"/>
              <w:ind w:left="372"/>
              <w:rPr>
                <w:b/>
                <w:sz w:val="21"/>
              </w:rPr>
            </w:pPr>
            <w:r>
              <w:rPr>
                <w:b/>
                <w:w w:val="95"/>
                <w:sz w:val="21"/>
              </w:rPr>
              <w:t>受益人</w:t>
            </w:r>
          </w:p>
        </w:tc>
        <w:tc>
          <w:tcPr>
            <w:tcW w:w="6910" w:type="dxa"/>
          </w:tcPr>
          <w:p>
            <w:pPr>
              <w:pStyle w:val="TableParagraph"/>
              <w:spacing w:line="273" w:lineRule="auto" w:before="126"/>
              <w:ind w:left="36" w:right="105"/>
              <w:rPr>
                <w:sz w:val="21"/>
              </w:rPr>
            </w:pPr>
            <w:r>
              <w:rPr>
                <w:sz w:val="21"/>
              </w:rPr>
              <w:t>除另有指定外，重大疾病保险、白血病关爱保险金的受益人为被保险人本人。</w:t>
            </w:r>
          </w:p>
        </w:tc>
      </w:tr>
      <w:tr>
        <w:trPr>
          <w:trHeight w:val="461" w:hRule="atLeast"/>
        </w:trPr>
        <w:tc>
          <w:tcPr>
            <w:tcW w:w="798" w:type="dxa"/>
          </w:tcPr>
          <w:p>
            <w:pPr>
              <w:pStyle w:val="TableParagraph"/>
              <w:spacing w:before="96"/>
              <w:ind w:left="108"/>
              <w:rPr>
                <w:b/>
                <w:sz w:val="21"/>
              </w:rPr>
            </w:pPr>
            <w:r>
              <w:rPr>
                <w:b/>
                <w:sz w:val="21"/>
              </w:rPr>
              <w:t>3.2</w:t>
            </w:r>
          </w:p>
        </w:tc>
        <w:tc>
          <w:tcPr>
            <w:tcW w:w="1636" w:type="dxa"/>
          </w:tcPr>
          <w:p>
            <w:pPr>
              <w:pStyle w:val="TableParagraph"/>
              <w:spacing w:before="96"/>
              <w:ind w:left="372"/>
              <w:rPr>
                <w:b/>
                <w:sz w:val="21"/>
              </w:rPr>
            </w:pPr>
            <w:r>
              <w:rPr>
                <w:b/>
                <w:w w:val="95"/>
                <w:sz w:val="21"/>
              </w:rPr>
              <w:t>保险事故通</w:t>
            </w:r>
          </w:p>
        </w:tc>
        <w:tc>
          <w:tcPr>
            <w:tcW w:w="6910" w:type="dxa"/>
          </w:tcPr>
          <w:p>
            <w:pPr>
              <w:pStyle w:val="TableParagraph"/>
              <w:spacing w:before="96"/>
              <w:ind w:left="36"/>
              <w:rPr>
                <w:sz w:val="21"/>
              </w:rPr>
            </w:pPr>
            <w:r>
              <w:rPr>
                <w:sz w:val="21"/>
              </w:rPr>
              <w:t>您、被保险人或受益人知道保险事故后应当在 10 日内通知我们。</w:t>
            </w:r>
          </w:p>
        </w:tc>
      </w:tr>
      <w:tr>
        <w:trPr>
          <w:trHeight w:val="1669" w:hRule="atLeast"/>
        </w:trPr>
        <w:tc>
          <w:tcPr>
            <w:tcW w:w="798" w:type="dxa"/>
          </w:tcPr>
          <w:p>
            <w:pPr>
              <w:pStyle w:val="TableParagraph"/>
              <w:rPr>
                <w:rFonts w:ascii="Times New Roman"/>
                <w:sz w:val="20"/>
              </w:rPr>
            </w:pPr>
          </w:p>
        </w:tc>
        <w:tc>
          <w:tcPr>
            <w:tcW w:w="1636" w:type="dxa"/>
          </w:tcPr>
          <w:p>
            <w:pPr>
              <w:pStyle w:val="TableParagraph"/>
              <w:spacing w:line="222" w:lineRule="exact"/>
              <w:ind w:left="372"/>
              <w:rPr>
                <w:b/>
                <w:sz w:val="21"/>
              </w:rPr>
            </w:pPr>
            <w:r>
              <w:rPr>
                <w:b/>
                <w:w w:val="99"/>
                <w:sz w:val="21"/>
              </w:rPr>
              <w:t>知</w:t>
            </w:r>
          </w:p>
        </w:tc>
        <w:tc>
          <w:tcPr>
            <w:tcW w:w="6910" w:type="dxa"/>
          </w:tcPr>
          <w:p>
            <w:pPr>
              <w:pStyle w:val="TableParagraph"/>
              <w:spacing w:line="273" w:lineRule="auto" w:before="25"/>
              <w:ind w:left="36" w:right="105"/>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3" w:hRule="atLeast"/>
        </w:trPr>
        <w:tc>
          <w:tcPr>
            <w:tcW w:w="798" w:type="dxa"/>
          </w:tcPr>
          <w:p>
            <w:pPr>
              <w:pStyle w:val="TableParagraph"/>
              <w:spacing w:before="57"/>
              <w:ind w:left="108"/>
              <w:rPr>
                <w:b/>
                <w:sz w:val="21"/>
              </w:rPr>
            </w:pPr>
            <w:r>
              <w:rPr>
                <w:b/>
                <w:sz w:val="21"/>
              </w:rPr>
              <w:t>3.3</w:t>
            </w:r>
          </w:p>
        </w:tc>
        <w:tc>
          <w:tcPr>
            <w:tcW w:w="1636" w:type="dxa"/>
          </w:tcPr>
          <w:p>
            <w:pPr>
              <w:pStyle w:val="TableParagraph"/>
              <w:spacing w:before="57"/>
              <w:ind w:left="372"/>
              <w:rPr>
                <w:b/>
                <w:sz w:val="21"/>
              </w:rPr>
            </w:pPr>
            <w:r>
              <w:rPr>
                <w:b/>
                <w:w w:val="95"/>
                <w:sz w:val="21"/>
              </w:rPr>
              <w:t>保险金申请</w:t>
            </w:r>
          </w:p>
        </w:tc>
        <w:tc>
          <w:tcPr>
            <w:tcW w:w="6910" w:type="dxa"/>
          </w:tcPr>
          <w:p>
            <w:pPr>
              <w:pStyle w:val="TableParagraph"/>
              <w:spacing w:before="57"/>
              <w:ind w:left="36"/>
              <w:rPr>
                <w:sz w:val="21"/>
              </w:rPr>
            </w:pPr>
            <w:r>
              <w:rPr>
                <w:sz w:val="21"/>
              </w:rPr>
              <w:t>在申请保险金时，请按照下列方式办理：</w:t>
            </w:r>
          </w:p>
        </w:tc>
      </w:tr>
      <w:tr>
        <w:trPr>
          <w:trHeight w:val="382" w:hRule="atLeast"/>
        </w:trPr>
        <w:tc>
          <w:tcPr>
            <w:tcW w:w="798" w:type="dxa"/>
          </w:tcPr>
          <w:p>
            <w:pPr>
              <w:pStyle w:val="TableParagraph"/>
              <w:rPr>
                <w:rFonts w:ascii="Times New Roman"/>
                <w:sz w:val="20"/>
              </w:rPr>
            </w:pPr>
          </w:p>
        </w:tc>
        <w:tc>
          <w:tcPr>
            <w:tcW w:w="1636" w:type="dxa"/>
          </w:tcPr>
          <w:p>
            <w:pPr>
              <w:pStyle w:val="TableParagraph"/>
              <w:spacing w:before="57"/>
              <w:ind w:left="546"/>
              <w:rPr>
                <w:sz w:val="21"/>
              </w:rPr>
            </w:pPr>
            <w:r>
              <w:rPr>
                <w:sz w:val="21"/>
              </w:rPr>
              <w:t>重大疾病</w:t>
            </w:r>
          </w:p>
        </w:tc>
        <w:tc>
          <w:tcPr>
            <w:tcW w:w="6910" w:type="dxa"/>
          </w:tcPr>
          <w:p>
            <w:pPr>
              <w:pStyle w:val="TableParagraph"/>
              <w:spacing w:before="57"/>
              <w:rPr>
                <w:sz w:val="21"/>
              </w:rPr>
            </w:pPr>
            <w:r>
              <w:rPr>
                <w:sz w:val="21"/>
              </w:rPr>
              <w:t>受益人须填写保险金给付申请书，并提供下列证明和资料：</w:t>
            </w:r>
          </w:p>
        </w:tc>
      </w:tr>
      <w:tr>
        <w:trPr>
          <w:trHeight w:val="311" w:hRule="atLeast"/>
        </w:trPr>
        <w:tc>
          <w:tcPr>
            <w:tcW w:w="798" w:type="dxa"/>
          </w:tcPr>
          <w:p>
            <w:pPr>
              <w:pStyle w:val="TableParagraph"/>
              <w:rPr>
                <w:rFonts w:ascii="Times New Roman"/>
                <w:sz w:val="20"/>
              </w:rPr>
            </w:pPr>
          </w:p>
        </w:tc>
        <w:tc>
          <w:tcPr>
            <w:tcW w:w="1636" w:type="dxa"/>
          </w:tcPr>
          <w:p>
            <w:pPr>
              <w:pStyle w:val="TableParagraph"/>
              <w:spacing w:line="261" w:lineRule="exact"/>
              <w:ind w:left="546"/>
              <w:rPr>
                <w:sz w:val="21"/>
              </w:rPr>
            </w:pPr>
            <w:r>
              <w:rPr>
                <w:sz w:val="21"/>
              </w:rPr>
              <w:t>保险金、</w:t>
            </w:r>
          </w:p>
        </w:tc>
        <w:tc>
          <w:tcPr>
            <w:tcW w:w="6910" w:type="dxa"/>
          </w:tcPr>
          <w:p>
            <w:pPr>
              <w:pStyle w:val="TableParagraph"/>
              <w:spacing w:line="261" w:lineRule="exact"/>
              <w:rPr>
                <w:sz w:val="21"/>
              </w:rPr>
            </w:pPr>
            <w:r>
              <w:rPr>
                <w:sz w:val="21"/>
              </w:rPr>
              <w:t>(1)保险合同；</w:t>
            </w:r>
          </w:p>
        </w:tc>
      </w:tr>
      <w:tr>
        <w:trPr>
          <w:trHeight w:val="311" w:hRule="atLeast"/>
        </w:trPr>
        <w:tc>
          <w:tcPr>
            <w:tcW w:w="798" w:type="dxa"/>
          </w:tcPr>
          <w:p>
            <w:pPr>
              <w:pStyle w:val="TableParagraph"/>
              <w:rPr>
                <w:rFonts w:ascii="Times New Roman"/>
                <w:sz w:val="20"/>
              </w:rPr>
            </w:pPr>
          </w:p>
        </w:tc>
        <w:tc>
          <w:tcPr>
            <w:tcW w:w="1636" w:type="dxa"/>
          </w:tcPr>
          <w:p>
            <w:pPr>
              <w:pStyle w:val="TableParagraph"/>
              <w:spacing w:line="261" w:lineRule="exact"/>
              <w:ind w:left="546"/>
              <w:rPr>
                <w:sz w:val="21"/>
              </w:rPr>
            </w:pPr>
            <w:r>
              <w:rPr>
                <w:sz w:val="21"/>
              </w:rPr>
              <w:t>白血病关</w:t>
            </w:r>
          </w:p>
        </w:tc>
        <w:tc>
          <w:tcPr>
            <w:tcW w:w="6910" w:type="dxa"/>
          </w:tcPr>
          <w:p>
            <w:pPr>
              <w:pStyle w:val="TableParagraph"/>
              <w:spacing w:line="261" w:lineRule="exact"/>
              <w:rPr>
                <w:sz w:val="21"/>
              </w:rPr>
            </w:pPr>
            <w:r>
              <w:rPr>
                <w:sz w:val="21"/>
              </w:rPr>
              <w:t>(2)</w:t>
            </w:r>
            <w:r>
              <w:rPr>
                <w:spacing w:val="-1"/>
                <w:sz w:val="21"/>
              </w:rPr>
              <w:t>受益人的</w:t>
            </w:r>
            <w:r>
              <w:rPr>
                <w:b/>
                <w:w w:val="99"/>
                <w:sz w:val="21"/>
              </w:rPr>
              <w:t>有效身份证件</w:t>
            </w:r>
            <w:r>
              <w:rPr>
                <w:sz w:val="21"/>
              </w:rPr>
              <w:t>（详见释义</w:t>
            </w:r>
            <w:r>
              <w:rPr>
                <w:spacing w:val="-105"/>
                <w:sz w:val="21"/>
              </w:rPr>
              <w:t>）</w:t>
            </w:r>
            <w:r>
              <w:rPr>
                <w:sz w:val="21"/>
              </w:rPr>
              <w:t>；</w:t>
            </w:r>
          </w:p>
        </w:tc>
      </w:tr>
      <w:tr>
        <w:trPr>
          <w:trHeight w:val="311" w:hRule="atLeast"/>
        </w:trPr>
        <w:tc>
          <w:tcPr>
            <w:tcW w:w="798" w:type="dxa"/>
          </w:tcPr>
          <w:p>
            <w:pPr>
              <w:pStyle w:val="TableParagraph"/>
              <w:rPr>
                <w:rFonts w:ascii="Times New Roman"/>
                <w:sz w:val="20"/>
              </w:rPr>
            </w:pPr>
          </w:p>
        </w:tc>
        <w:tc>
          <w:tcPr>
            <w:tcW w:w="1636" w:type="dxa"/>
          </w:tcPr>
          <w:p>
            <w:pPr>
              <w:pStyle w:val="TableParagraph"/>
              <w:spacing w:line="261" w:lineRule="exact"/>
              <w:ind w:left="546"/>
              <w:rPr>
                <w:sz w:val="21"/>
              </w:rPr>
            </w:pPr>
            <w:r>
              <w:rPr>
                <w:sz w:val="21"/>
              </w:rPr>
              <w:t>爱保险金</w:t>
            </w:r>
          </w:p>
        </w:tc>
        <w:tc>
          <w:tcPr>
            <w:tcW w:w="6910" w:type="dxa"/>
          </w:tcPr>
          <w:p>
            <w:pPr>
              <w:pStyle w:val="TableParagraph"/>
              <w:spacing w:line="261" w:lineRule="exact"/>
              <w:rPr>
                <w:sz w:val="21"/>
              </w:rPr>
            </w:pPr>
            <w:r>
              <w:rPr>
                <w:sz w:val="21"/>
              </w:rPr>
              <w:t>(3)卫生行政部门认定的二级以上（含二级）医院出具的附有病理显微镜检</w:t>
            </w:r>
          </w:p>
        </w:tc>
      </w:tr>
      <w:tr>
        <w:trPr>
          <w:trHeight w:val="311" w:hRule="atLeast"/>
        </w:trPr>
        <w:tc>
          <w:tcPr>
            <w:tcW w:w="798" w:type="dxa"/>
          </w:tcPr>
          <w:p>
            <w:pPr>
              <w:pStyle w:val="TableParagraph"/>
              <w:rPr>
                <w:rFonts w:ascii="Times New Roman"/>
                <w:sz w:val="20"/>
              </w:rPr>
            </w:pPr>
          </w:p>
        </w:tc>
        <w:tc>
          <w:tcPr>
            <w:tcW w:w="1636" w:type="dxa"/>
          </w:tcPr>
          <w:p>
            <w:pPr>
              <w:pStyle w:val="TableParagraph"/>
              <w:spacing w:line="261" w:lineRule="exact"/>
              <w:ind w:left="527" w:right="648"/>
              <w:jc w:val="center"/>
              <w:rPr>
                <w:sz w:val="21"/>
              </w:rPr>
            </w:pPr>
            <w:r>
              <w:rPr>
                <w:sz w:val="21"/>
              </w:rPr>
              <w:t>申请</w:t>
            </w:r>
          </w:p>
        </w:tc>
        <w:tc>
          <w:tcPr>
            <w:tcW w:w="6910" w:type="dxa"/>
          </w:tcPr>
          <w:p>
            <w:pPr>
              <w:pStyle w:val="TableParagraph"/>
              <w:spacing w:line="261" w:lineRule="exact"/>
              <w:rPr>
                <w:sz w:val="21"/>
              </w:rPr>
            </w:pPr>
            <w:r>
              <w:rPr>
                <w:spacing w:val="-5"/>
                <w:sz w:val="21"/>
              </w:rPr>
              <w:t>查报告、血液检查及其他科学方法检验报告的病史资料及疾病诊断报告书；</w:t>
            </w:r>
          </w:p>
        </w:tc>
      </w:tr>
      <w:tr>
        <w:trPr>
          <w:trHeight w:val="311"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61" w:lineRule="exact"/>
              <w:rPr>
                <w:sz w:val="21"/>
              </w:rPr>
            </w:pPr>
            <w:r>
              <w:rPr>
                <w:sz w:val="21"/>
              </w:rPr>
              <w:t>但严重原发性心肌病的理赔须由三级以上（含三级）医院出具前述报告和</w:t>
            </w:r>
          </w:p>
        </w:tc>
      </w:tr>
      <w:tr>
        <w:trPr>
          <w:trHeight w:val="260" w:hRule="atLeast"/>
        </w:trPr>
        <w:tc>
          <w:tcPr>
            <w:tcW w:w="798" w:type="dxa"/>
          </w:tcPr>
          <w:p>
            <w:pPr>
              <w:pStyle w:val="TableParagraph"/>
              <w:rPr>
                <w:rFonts w:ascii="Times New Roman"/>
                <w:sz w:val="18"/>
              </w:rPr>
            </w:pPr>
          </w:p>
        </w:tc>
        <w:tc>
          <w:tcPr>
            <w:tcW w:w="1636" w:type="dxa"/>
          </w:tcPr>
          <w:p>
            <w:pPr>
              <w:pStyle w:val="TableParagraph"/>
              <w:rPr>
                <w:rFonts w:ascii="Times New Roman"/>
                <w:sz w:val="18"/>
              </w:rPr>
            </w:pPr>
          </w:p>
        </w:tc>
        <w:tc>
          <w:tcPr>
            <w:tcW w:w="6910" w:type="dxa"/>
          </w:tcPr>
          <w:p>
            <w:pPr>
              <w:pStyle w:val="TableParagraph"/>
              <w:spacing w:line="241" w:lineRule="exact"/>
              <w:rPr>
                <w:sz w:val="21"/>
              </w:rPr>
            </w:pPr>
            <w:r>
              <w:rPr>
                <w:sz w:val="21"/>
              </w:rPr>
              <w:t>资料；如有必要，我们有权对被保险人进行复检，复检费用由我们承担；</w:t>
            </w:r>
          </w:p>
        </w:tc>
      </w:tr>
    </w:tbl>
    <w:p>
      <w:pPr>
        <w:spacing w:after="0" w:line="241" w:lineRule="exact"/>
        <w:rPr>
          <w:sz w:val="21"/>
        </w:rPr>
        <w:sectPr>
          <w:pgSz w:w="11910" w:h="16840"/>
          <w:pgMar w:top="1600" w:bottom="280" w:left="1120" w:right="12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636"/>
        <w:gridCol w:w="6910"/>
      </w:tblGrid>
      <w:tr>
        <w:trPr>
          <w:trHeight w:val="331" w:hRule="atLeast"/>
        </w:trPr>
        <w:tc>
          <w:tcPr>
            <w:tcW w:w="2434" w:type="dxa"/>
            <w:gridSpan w:val="2"/>
            <w:vMerge w:val="restart"/>
          </w:tcPr>
          <w:p>
            <w:pPr>
              <w:pStyle w:val="TableParagraph"/>
              <w:rPr>
                <w:rFonts w:ascii="Times New Roman"/>
                <w:sz w:val="20"/>
              </w:rPr>
            </w:pPr>
          </w:p>
        </w:tc>
        <w:tc>
          <w:tcPr>
            <w:tcW w:w="6910" w:type="dxa"/>
          </w:tcPr>
          <w:p>
            <w:pPr>
              <w:pStyle w:val="TableParagraph"/>
              <w:spacing w:line="210" w:lineRule="exact"/>
              <w:rPr>
                <w:sz w:val="21"/>
              </w:rPr>
            </w:pPr>
            <w:r>
              <w:rPr>
                <w:sz w:val="21"/>
              </w:rPr>
              <w:t>(4)所能提供的与确认保险事故的性质、原因等有关的其他证明和资料。</w:t>
            </w:r>
          </w:p>
        </w:tc>
      </w:tr>
      <w:tr>
        <w:trPr>
          <w:trHeight w:val="765" w:hRule="atLeast"/>
        </w:trPr>
        <w:tc>
          <w:tcPr>
            <w:tcW w:w="2434" w:type="dxa"/>
            <w:gridSpan w:val="2"/>
            <w:vMerge/>
            <w:tcBorders>
              <w:top w:val="nil"/>
            </w:tcBorders>
          </w:tcPr>
          <w:p>
            <w:pPr>
              <w:rPr>
                <w:sz w:val="2"/>
                <w:szCs w:val="2"/>
              </w:rPr>
            </w:pPr>
          </w:p>
        </w:tc>
        <w:tc>
          <w:tcPr>
            <w:tcW w:w="6910" w:type="dxa"/>
          </w:tcPr>
          <w:p>
            <w:pPr>
              <w:pStyle w:val="TableParagraph"/>
              <w:spacing w:line="273" w:lineRule="auto" w:before="57"/>
              <w:ind w:left="36" w:right="105"/>
              <w:rPr>
                <w:sz w:val="21"/>
              </w:rPr>
            </w:pPr>
            <w:r>
              <w:rPr>
                <w:sz w:val="21"/>
              </w:rPr>
              <w:t>以上各项证明和资料不完整的，我们将及时一次性通知受益人补充提供有关证明和资料。</w:t>
            </w:r>
          </w:p>
        </w:tc>
      </w:tr>
      <w:tr>
        <w:trPr>
          <w:trHeight w:val="1357" w:hRule="atLeast"/>
        </w:trPr>
        <w:tc>
          <w:tcPr>
            <w:tcW w:w="798" w:type="dxa"/>
          </w:tcPr>
          <w:p>
            <w:pPr>
              <w:pStyle w:val="TableParagraph"/>
              <w:spacing w:before="57"/>
              <w:ind w:left="108"/>
              <w:rPr>
                <w:b/>
                <w:sz w:val="21"/>
              </w:rPr>
            </w:pPr>
            <w:r>
              <w:rPr>
                <w:b/>
                <w:sz w:val="21"/>
              </w:rPr>
              <w:t>3.4</w:t>
            </w:r>
          </w:p>
        </w:tc>
        <w:tc>
          <w:tcPr>
            <w:tcW w:w="1636" w:type="dxa"/>
          </w:tcPr>
          <w:p>
            <w:pPr>
              <w:pStyle w:val="TableParagraph"/>
              <w:spacing w:before="57"/>
              <w:ind w:left="372"/>
              <w:rPr>
                <w:b/>
                <w:sz w:val="21"/>
              </w:rPr>
            </w:pPr>
            <w:r>
              <w:rPr>
                <w:b/>
                <w:w w:val="95"/>
                <w:sz w:val="21"/>
              </w:rPr>
              <w:t>保险金给付</w:t>
            </w:r>
          </w:p>
        </w:tc>
        <w:tc>
          <w:tcPr>
            <w:tcW w:w="6910" w:type="dxa"/>
          </w:tcPr>
          <w:p>
            <w:pPr>
              <w:pStyle w:val="TableParagraph"/>
              <w:spacing w:before="57"/>
              <w:ind w:left="36"/>
              <w:rPr>
                <w:sz w:val="21"/>
              </w:rPr>
            </w:pPr>
            <w:r>
              <w:rPr>
                <w:sz w:val="21"/>
              </w:rPr>
              <w:t>我们在收到保险金给付申请书及上述有关证明和资料后，将在 5 日内作出</w:t>
            </w:r>
          </w:p>
          <w:p>
            <w:pPr>
              <w:pStyle w:val="TableParagraph"/>
              <w:spacing w:before="37"/>
              <w:ind w:left="36"/>
              <w:rPr>
                <w:sz w:val="21"/>
              </w:rPr>
            </w:pPr>
            <w:r>
              <w:rPr>
                <w:spacing w:val="-4"/>
                <w:sz w:val="21"/>
              </w:rPr>
              <w:t>核定；</w:t>
            </w:r>
            <w:r>
              <w:rPr>
                <w:b/>
                <w:spacing w:val="-3"/>
                <w:sz w:val="21"/>
              </w:rPr>
              <w:t>情形复杂</w:t>
            </w:r>
            <w:r>
              <w:rPr>
                <w:sz w:val="21"/>
              </w:rPr>
              <w:t>（详见释义</w:t>
            </w:r>
            <w:r>
              <w:rPr>
                <w:spacing w:val="-12"/>
                <w:sz w:val="21"/>
              </w:rPr>
              <w:t>）</w:t>
            </w:r>
            <w:r>
              <w:rPr>
                <w:spacing w:val="-18"/>
                <w:sz w:val="21"/>
              </w:rPr>
              <w:t>的，在 </w:t>
            </w:r>
            <w:r>
              <w:rPr>
                <w:sz w:val="21"/>
              </w:rPr>
              <w:t>30</w:t>
            </w:r>
            <w:r>
              <w:rPr>
                <w:spacing w:val="-9"/>
                <w:sz w:val="21"/>
              </w:rPr>
              <w:t> 日内作出核定。对属于给付保险金</w:t>
            </w:r>
          </w:p>
          <w:p>
            <w:pPr>
              <w:pStyle w:val="TableParagraph"/>
              <w:spacing w:line="273" w:lineRule="auto" w:before="37"/>
              <w:ind w:left="36" w:right="107"/>
              <w:rPr>
                <w:sz w:val="21"/>
              </w:rPr>
            </w:pPr>
            <w:r>
              <w:rPr>
                <w:spacing w:val="-9"/>
                <w:sz w:val="21"/>
              </w:rPr>
              <w:t>责任的，我们在与受益人达成给付保险金的协议后 </w:t>
            </w:r>
            <w:r>
              <w:rPr>
                <w:sz w:val="21"/>
              </w:rPr>
              <w:t>10</w:t>
            </w:r>
            <w:r>
              <w:rPr>
                <w:spacing w:val="-12"/>
                <w:sz w:val="21"/>
              </w:rPr>
              <w:t> 日内，履行给付保险金义务。</w:t>
            </w:r>
          </w:p>
        </w:tc>
      </w:tr>
      <w:tr>
        <w:trPr>
          <w:trHeight w:val="1013"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105"/>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tc>
      </w:tr>
      <w:tr>
        <w:trPr>
          <w:trHeight w:val="701"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36"/>
              <w:rPr>
                <w:sz w:val="21"/>
              </w:rPr>
            </w:pPr>
            <w:r>
              <w:rPr>
                <w:sz w:val="21"/>
              </w:rPr>
              <w:t>对不属于保险责任的，我们自作出核定之日起 3 日内向受益人发出拒绝给付保险金通知书并说明理由。</w:t>
            </w:r>
          </w:p>
        </w:tc>
      </w:tr>
      <w:tr>
        <w:trPr>
          <w:trHeight w:val="1046"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105"/>
              <w:jc w:val="both"/>
              <w:rPr>
                <w:sz w:val="21"/>
              </w:rPr>
            </w:pPr>
            <w:r>
              <w:rPr>
                <w:spacing w:val="-3"/>
                <w:sz w:val="21"/>
              </w:rPr>
              <w:t>我们在收到保险金给付申请书及有关证明和资料之日起 </w:t>
            </w:r>
            <w:r>
              <w:rPr>
                <w:sz w:val="21"/>
              </w:rPr>
              <w:t>60</w:t>
            </w:r>
            <w:r>
              <w:rPr>
                <w:spacing w:val="-17"/>
                <w:sz w:val="21"/>
              </w:rPr>
              <w:t> 日内，对给付保险金的数额不能确定的，根据已有证明和资料可以确定的数额先予支付； 我们最终确定给付保险金的数额后，将支付相应的差额。</w:t>
            </w:r>
          </w:p>
        </w:tc>
      </w:tr>
      <w:tr>
        <w:trPr>
          <w:trHeight w:val="916" w:hRule="atLeast"/>
        </w:trPr>
        <w:tc>
          <w:tcPr>
            <w:tcW w:w="798" w:type="dxa"/>
          </w:tcPr>
          <w:p>
            <w:pPr>
              <w:pStyle w:val="TableParagraph"/>
              <w:spacing w:before="57"/>
              <w:ind w:left="107"/>
              <w:rPr>
                <w:b/>
                <w:sz w:val="21"/>
              </w:rPr>
            </w:pPr>
            <w:r>
              <w:rPr>
                <w:b/>
                <w:sz w:val="21"/>
              </w:rPr>
              <w:t>3.5</w:t>
            </w:r>
          </w:p>
        </w:tc>
        <w:tc>
          <w:tcPr>
            <w:tcW w:w="1636" w:type="dxa"/>
          </w:tcPr>
          <w:p>
            <w:pPr>
              <w:pStyle w:val="TableParagraph"/>
              <w:spacing w:before="57"/>
              <w:ind w:left="372"/>
              <w:rPr>
                <w:b/>
                <w:sz w:val="21"/>
              </w:rPr>
            </w:pPr>
            <w:r>
              <w:rPr>
                <w:b/>
                <w:sz w:val="21"/>
              </w:rPr>
              <w:t>诉讼时效</w:t>
            </w:r>
          </w:p>
        </w:tc>
        <w:tc>
          <w:tcPr>
            <w:tcW w:w="6910" w:type="dxa"/>
          </w:tcPr>
          <w:p>
            <w:pPr>
              <w:pStyle w:val="TableParagraph"/>
              <w:spacing w:line="273" w:lineRule="auto" w:before="57"/>
              <w:ind w:left="36" w:right="36"/>
              <w:rPr>
                <w:sz w:val="21"/>
              </w:rPr>
            </w:pPr>
            <w:r>
              <w:rPr>
                <w:sz w:val="21"/>
              </w:rPr>
              <w:t>受益人向我们请求给付保险金的诉讼时效期间为 2 年，自其知道或者应当知道保险事故发生之日起计算。</w:t>
            </w:r>
          </w:p>
        </w:tc>
      </w:tr>
      <w:tr>
        <w:trPr>
          <w:trHeight w:val="312" w:hRule="atLeast"/>
        </w:trPr>
        <w:tc>
          <w:tcPr>
            <w:tcW w:w="798" w:type="dxa"/>
            <w:shd w:val="clear" w:color="auto" w:fill="A6A6A6"/>
          </w:tcPr>
          <w:p>
            <w:pPr>
              <w:pStyle w:val="TableParagraph"/>
              <w:spacing w:line="260" w:lineRule="exact"/>
              <w:ind w:left="107"/>
              <w:rPr>
                <w:b/>
                <w:sz w:val="21"/>
              </w:rPr>
            </w:pPr>
            <w:r>
              <w:rPr>
                <w:b/>
                <w:sz w:val="21"/>
              </w:rPr>
              <w:t>4．</w:t>
            </w:r>
          </w:p>
        </w:tc>
        <w:tc>
          <w:tcPr>
            <w:tcW w:w="1636" w:type="dxa"/>
            <w:shd w:val="clear" w:color="auto" w:fill="A6A6A6"/>
          </w:tcPr>
          <w:p>
            <w:pPr>
              <w:pStyle w:val="TableParagraph"/>
              <w:spacing w:line="260" w:lineRule="exact"/>
              <w:ind w:left="372"/>
              <w:rPr>
                <w:b/>
                <w:sz w:val="21"/>
              </w:rPr>
            </w:pPr>
            <w:r>
              <w:rPr>
                <w:b/>
                <w:w w:val="95"/>
                <w:sz w:val="21"/>
              </w:rPr>
              <w:t>保险费的支付</w:t>
            </w:r>
          </w:p>
        </w:tc>
        <w:tc>
          <w:tcPr>
            <w:tcW w:w="6910" w:type="dxa"/>
            <w:shd w:val="clear" w:color="auto" w:fill="A6A6A6"/>
          </w:tcPr>
          <w:p>
            <w:pPr>
              <w:pStyle w:val="TableParagraph"/>
              <w:rPr>
                <w:rFonts w:ascii="Times New Roman"/>
                <w:sz w:val="20"/>
              </w:rPr>
            </w:pPr>
          </w:p>
        </w:tc>
      </w:tr>
      <w:tr>
        <w:trPr>
          <w:trHeight w:val="874" w:hRule="atLeast"/>
        </w:trPr>
        <w:tc>
          <w:tcPr>
            <w:tcW w:w="798" w:type="dxa"/>
          </w:tcPr>
          <w:p>
            <w:pPr>
              <w:pStyle w:val="TableParagraph"/>
              <w:spacing w:before="126"/>
              <w:ind w:left="108"/>
              <w:rPr>
                <w:b/>
                <w:sz w:val="21"/>
              </w:rPr>
            </w:pPr>
            <w:r>
              <w:rPr>
                <w:b/>
                <w:sz w:val="21"/>
              </w:rPr>
              <w:t>4.1</w:t>
            </w:r>
          </w:p>
        </w:tc>
        <w:tc>
          <w:tcPr>
            <w:tcW w:w="1636" w:type="dxa"/>
          </w:tcPr>
          <w:p>
            <w:pPr>
              <w:pStyle w:val="TableParagraph"/>
              <w:spacing w:line="273" w:lineRule="auto" w:before="126"/>
              <w:ind w:left="372" w:right="208"/>
              <w:rPr>
                <w:b/>
                <w:sz w:val="21"/>
              </w:rPr>
            </w:pPr>
            <w:r>
              <w:rPr>
                <w:b/>
                <w:sz w:val="21"/>
              </w:rPr>
              <w:t>保险费的支付</w:t>
            </w:r>
          </w:p>
        </w:tc>
        <w:tc>
          <w:tcPr>
            <w:tcW w:w="6910" w:type="dxa"/>
          </w:tcPr>
          <w:p>
            <w:pPr>
              <w:pStyle w:val="TableParagraph"/>
              <w:spacing w:line="273" w:lineRule="auto" w:before="126"/>
              <w:ind w:left="36" w:right="105"/>
              <w:rPr>
                <w:sz w:val="21"/>
              </w:rPr>
            </w:pPr>
            <w:r>
              <w:rPr>
                <w:sz w:val="21"/>
              </w:rPr>
              <w:t>本合同的保险费采用趸交（即一次性支付）的方式支付，并在保险单上载明。</w:t>
            </w:r>
          </w:p>
        </w:tc>
      </w:tr>
      <w:tr>
        <w:trPr>
          <w:trHeight w:val="1085" w:hRule="atLeast"/>
        </w:trPr>
        <w:tc>
          <w:tcPr>
            <w:tcW w:w="798" w:type="dxa"/>
          </w:tcPr>
          <w:p>
            <w:pPr>
              <w:pStyle w:val="TableParagraph"/>
              <w:spacing w:before="96"/>
              <w:ind w:left="108"/>
              <w:rPr>
                <w:b/>
                <w:sz w:val="21"/>
              </w:rPr>
            </w:pPr>
            <w:r>
              <w:rPr>
                <w:b/>
                <w:sz w:val="21"/>
              </w:rPr>
              <w:t>4.2</w:t>
            </w:r>
          </w:p>
        </w:tc>
        <w:tc>
          <w:tcPr>
            <w:tcW w:w="1636" w:type="dxa"/>
          </w:tcPr>
          <w:p>
            <w:pPr>
              <w:pStyle w:val="TableParagraph"/>
              <w:spacing w:before="96"/>
              <w:ind w:left="372"/>
              <w:rPr>
                <w:b/>
                <w:sz w:val="21"/>
              </w:rPr>
            </w:pPr>
            <w:r>
              <w:rPr>
                <w:b/>
                <w:w w:val="95"/>
                <w:sz w:val="21"/>
              </w:rPr>
              <w:t>宽限期</w:t>
            </w:r>
          </w:p>
        </w:tc>
        <w:tc>
          <w:tcPr>
            <w:tcW w:w="6910" w:type="dxa"/>
          </w:tcPr>
          <w:p>
            <w:pPr>
              <w:pStyle w:val="TableParagraph"/>
              <w:spacing w:line="273" w:lineRule="auto" w:before="96"/>
              <w:ind w:left="36" w:right="105"/>
              <w:jc w:val="both"/>
              <w:rPr>
                <w:sz w:val="21"/>
              </w:rPr>
            </w:pPr>
            <w:r>
              <w:rPr>
                <w:sz w:val="21"/>
              </w:rPr>
              <w:t>在本合同一年期满（或续保期满）时，若我们同意续保，则自期满日的次</w:t>
            </w:r>
            <w:r>
              <w:rPr>
                <w:spacing w:val="-13"/>
                <w:sz w:val="21"/>
              </w:rPr>
              <w:t>日零时起 </w:t>
            </w:r>
            <w:r>
              <w:rPr>
                <w:sz w:val="21"/>
              </w:rPr>
              <w:t>60</w:t>
            </w:r>
            <w:r>
              <w:rPr>
                <w:spacing w:val="-13"/>
                <w:sz w:val="21"/>
              </w:rPr>
              <w:t> 日为宽限期。宽限期内发生的保险事故，我们仍会承担保险责任，但在给付保险金时会扣除您欠交的保险费。</w:t>
            </w:r>
          </w:p>
        </w:tc>
      </w:tr>
      <w:tr>
        <w:trPr>
          <w:trHeight w:val="883"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105"/>
              <w:rPr>
                <w:sz w:val="21"/>
              </w:rPr>
            </w:pPr>
            <w:r>
              <w:rPr>
                <w:sz w:val="21"/>
              </w:rPr>
              <w:t>如果您宽限期结束之后仍未支付保险费，则本合同自宽限期满的次日零时起效力终止。</w:t>
            </w:r>
          </w:p>
        </w:tc>
      </w:tr>
      <w:tr>
        <w:trPr>
          <w:trHeight w:val="312" w:hRule="atLeast"/>
        </w:trPr>
        <w:tc>
          <w:tcPr>
            <w:tcW w:w="798" w:type="dxa"/>
            <w:shd w:val="clear" w:color="auto" w:fill="A6A6A6"/>
          </w:tcPr>
          <w:p>
            <w:pPr>
              <w:pStyle w:val="TableParagraph"/>
              <w:spacing w:line="260" w:lineRule="exact"/>
              <w:ind w:left="107"/>
              <w:rPr>
                <w:b/>
                <w:sz w:val="21"/>
              </w:rPr>
            </w:pPr>
            <w:r>
              <w:rPr>
                <w:b/>
                <w:sz w:val="21"/>
              </w:rPr>
              <w:t>5．</w:t>
            </w:r>
          </w:p>
        </w:tc>
        <w:tc>
          <w:tcPr>
            <w:tcW w:w="1636" w:type="dxa"/>
            <w:shd w:val="clear" w:color="auto" w:fill="A6A6A6"/>
          </w:tcPr>
          <w:p>
            <w:pPr>
              <w:pStyle w:val="TableParagraph"/>
              <w:spacing w:line="260" w:lineRule="exact"/>
              <w:ind w:left="372"/>
              <w:rPr>
                <w:b/>
                <w:sz w:val="21"/>
              </w:rPr>
            </w:pPr>
            <w:r>
              <w:rPr>
                <w:b/>
                <w:sz w:val="21"/>
              </w:rPr>
              <w:t>合同解除</w:t>
            </w:r>
          </w:p>
        </w:tc>
        <w:tc>
          <w:tcPr>
            <w:tcW w:w="6910" w:type="dxa"/>
            <w:shd w:val="clear" w:color="auto" w:fill="A6A6A6"/>
          </w:tcPr>
          <w:p>
            <w:pPr>
              <w:pStyle w:val="TableParagraph"/>
              <w:rPr>
                <w:rFonts w:ascii="Times New Roman"/>
                <w:sz w:val="20"/>
              </w:rPr>
            </w:pPr>
          </w:p>
        </w:tc>
      </w:tr>
      <w:tr>
        <w:trPr>
          <w:trHeight w:val="1115" w:hRule="atLeast"/>
        </w:trPr>
        <w:tc>
          <w:tcPr>
            <w:tcW w:w="798" w:type="dxa"/>
          </w:tcPr>
          <w:p>
            <w:pPr>
              <w:pStyle w:val="TableParagraph"/>
              <w:spacing w:before="126"/>
              <w:ind w:left="108"/>
              <w:rPr>
                <w:b/>
                <w:sz w:val="21"/>
              </w:rPr>
            </w:pPr>
            <w:r>
              <w:rPr>
                <w:b/>
                <w:sz w:val="21"/>
              </w:rPr>
              <w:t>5.1</w:t>
            </w:r>
          </w:p>
        </w:tc>
        <w:tc>
          <w:tcPr>
            <w:tcW w:w="1636" w:type="dxa"/>
          </w:tcPr>
          <w:p>
            <w:pPr>
              <w:pStyle w:val="TableParagraph"/>
              <w:spacing w:line="273" w:lineRule="auto" w:before="126"/>
              <w:ind w:left="372" w:right="208"/>
              <w:jc w:val="both"/>
              <w:rPr>
                <w:b/>
                <w:sz w:val="21"/>
              </w:rPr>
            </w:pPr>
            <w:r>
              <w:rPr>
                <w:b/>
                <w:sz w:val="21"/>
              </w:rPr>
              <w:t>您解除合同的手续及风险</w:t>
            </w:r>
          </w:p>
        </w:tc>
        <w:tc>
          <w:tcPr>
            <w:tcW w:w="6910" w:type="dxa"/>
          </w:tcPr>
          <w:p>
            <w:pPr>
              <w:pStyle w:val="TableParagraph"/>
              <w:spacing w:line="273" w:lineRule="auto" w:before="126"/>
              <w:ind w:left="36"/>
              <w:rPr>
                <w:sz w:val="21"/>
              </w:rPr>
            </w:pPr>
            <w:r>
              <w:rPr>
                <w:spacing w:val="-6"/>
                <w:sz w:val="21"/>
              </w:rPr>
              <w:t>如您申请解除本合同，请填写解除合同的书面申请并向我们提供下列资料： </w:t>
            </w:r>
            <w:r>
              <w:rPr>
                <w:spacing w:val="-1"/>
                <w:sz w:val="21"/>
              </w:rPr>
              <w:t>(1)</w:t>
            </w:r>
            <w:r>
              <w:rPr>
                <w:sz w:val="21"/>
              </w:rPr>
              <w:t>保险合同；</w:t>
            </w:r>
          </w:p>
          <w:p>
            <w:pPr>
              <w:pStyle w:val="TableParagraph"/>
              <w:spacing w:before="7"/>
              <w:ind w:left="36"/>
              <w:rPr>
                <w:sz w:val="21"/>
              </w:rPr>
            </w:pPr>
            <w:r>
              <w:rPr>
                <w:sz w:val="21"/>
              </w:rPr>
              <w:t>(2)您的有效身份证件。</w:t>
            </w:r>
          </w:p>
        </w:tc>
      </w:tr>
      <w:tr>
        <w:trPr>
          <w:trHeight w:val="701"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73" w:lineRule="auto" w:before="25"/>
              <w:ind w:left="36" w:right="105"/>
              <w:rPr>
                <w:sz w:val="21"/>
              </w:rPr>
            </w:pPr>
            <w:r>
              <w:rPr>
                <w:sz w:val="21"/>
              </w:rPr>
              <w:t>自我们收到解除合同的书面申请时起，本合同终止。我们自收到解除合同的书面申请之日起 30 日内向您退还本合同保险单的现金价值。</w:t>
            </w:r>
          </w:p>
        </w:tc>
      </w:tr>
      <w:tr>
        <w:trPr>
          <w:trHeight w:val="299" w:hRule="atLeast"/>
        </w:trPr>
        <w:tc>
          <w:tcPr>
            <w:tcW w:w="798" w:type="dxa"/>
          </w:tcPr>
          <w:p>
            <w:pPr>
              <w:pStyle w:val="TableParagraph"/>
              <w:rPr>
                <w:rFonts w:ascii="Times New Roman"/>
                <w:sz w:val="20"/>
              </w:rPr>
            </w:pPr>
          </w:p>
        </w:tc>
        <w:tc>
          <w:tcPr>
            <w:tcW w:w="1636" w:type="dxa"/>
          </w:tcPr>
          <w:p>
            <w:pPr>
              <w:pStyle w:val="TableParagraph"/>
              <w:rPr>
                <w:rFonts w:ascii="Times New Roman"/>
                <w:sz w:val="20"/>
              </w:rPr>
            </w:pPr>
          </w:p>
        </w:tc>
        <w:tc>
          <w:tcPr>
            <w:tcW w:w="6910" w:type="dxa"/>
          </w:tcPr>
          <w:p>
            <w:pPr>
              <w:pStyle w:val="TableParagraph"/>
              <w:spacing w:line="255" w:lineRule="exact" w:before="25"/>
              <w:ind w:left="36"/>
              <w:rPr>
                <w:sz w:val="21"/>
              </w:rPr>
            </w:pPr>
            <w:r>
              <w:rPr>
                <w:sz w:val="21"/>
              </w:rPr>
              <w:t>您解除合同会遭受一定损失。</w:t>
            </w:r>
          </w:p>
        </w:tc>
      </w:tr>
    </w:tbl>
    <w:p>
      <w:pPr>
        <w:pStyle w:val="BodyText"/>
        <w:spacing w:before="8"/>
        <w:rPr>
          <w:sz w:val="19"/>
        </w:rPr>
      </w:pPr>
      <w:r>
        <w:rPr/>
        <w:pict>
          <v:shape style="position:absolute;margin-left:61.619999pt;margin-top:14.06145pt;width:467.25pt;height:15.6pt;mso-position-horizontal-relative:page;mso-position-vertical-relative:paragraph;z-index:1216;mso-wrap-distance-left:0;mso-wrap-distance-right:0" type="#_x0000_t202" filled="true" fillcolor="#a6a6a6" stroked="false">
            <v:textbox inset="0,0,0,0">
              <w:txbxContent>
                <w:p>
                  <w:pPr>
                    <w:tabs>
                      <w:tab w:pos="1169" w:val="left" w:leader="none"/>
                    </w:tabs>
                    <w:spacing w:line="260" w:lineRule="exact" w:before="0"/>
                    <w:ind w:left="107" w:right="0" w:firstLine="0"/>
                    <w:jc w:val="left"/>
                    <w:rPr>
                      <w:b/>
                      <w:sz w:val="21"/>
                    </w:rPr>
                  </w:pPr>
                  <w:r>
                    <w:rPr>
                      <w:b/>
                      <w:sz w:val="21"/>
                    </w:rPr>
                    <w:t>6．</w:t>
                    <w:tab/>
                  </w:r>
                  <w:r>
                    <w:rPr>
                      <w:b/>
                      <w:w w:val="95"/>
                      <w:sz w:val="21"/>
                    </w:rPr>
                    <w:t>说明、告知与解除权限制</w:t>
                  </w:r>
                </w:p>
              </w:txbxContent>
            </v:textbox>
            <v:fill type="solid"/>
            <w10:wrap type="topAndBottom"/>
          </v:shape>
        </w:pict>
      </w:r>
    </w:p>
    <w:p>
      <w:pPr>
        <w:pStyle w:val="BodyText"/>
        <w:spacing w:before="11"/>
        <w:rPr>
          <w:sz w:val="5"/>
        </w:rPr>
      </w:pPr>
    </w:p>
    <w:p>
      <w:pPr>
        <w:spacing w:after="0"/>
        <w:rPr>
          <w:sz w:val="5"/>
        </w:rPr>
        <w:sectPr>
          <w:pgSz w:w="11910" w:h="16840"/>
          <w:pgMar w:top="1460" w:bottom="280" w:left="1120" w:right="1220"/>
        </w:sectPr>
      </w:pPr>
    </w:p>
    <w:p>
      <w:pPr>
        <w:pStyle w:val="ListParagraph"/>
        <w:numPr>
          <w:ilvl w:val="1"/>
          <w:numId w:val="8"/>
        </w:numPr>
        <w:tabs>
          <w:tab w:pos="1282" w:val="left" w:leader="none"/>
          <w:tab w:pos="1283" w:val="left" w:leader="none"/>
        </w:tabs>
        <w:spacing w:line="273" w:lineRule="auto" w:before="35" w:after="0"/>
        <w:ind w:left="1282" w:right="0" w:hanging="1062"/>
        <w:jc w:val="left"/>
        <w:rPr>
          <w:b/>
          <w:sz w:val="21"/>
        </w:rPr>
      </w:pPr>
      <w:r>
        <w:rPr>
          <w:b/>
          <w:w w:val="95"/>
          <w:sz w:val="21"/>
        </w:rPr>
        <w:t>明确说明与</w:t>
      </w:r>
      <w:r>
        <w:rPr>
          <w:b/>
          <w:sz w:val="21"/>
        </w:rPr>
        <w:t>如实告知</w:t>
      </w:r>
    </w:p>
    <w:p>
      <w:pPr>
        <w:pStyle w:val="BodyText"/>
        <w:spacing w:before="35"/>
        <w:ind w:left="207"/>
      </w:pPr>
      <w:r>
        <w:rPr/>
        <w:br w:type="column"/>
      </w:r>
      <w:r>
        <w:rPr/>
        <w:t>订立本合同时，我们应向您说明本合同的内容。</w:t>
      </w:r>
    </w:p>
    <w:p>
      <w:pPr>
        <w:pStyle w:val="BodyText"/>
        <w:spacing w:line="273" w:lineRule="auto" w:before="115"/>
        <w:ind w:left="207" w:right="213"/>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w:t>
      </w:r>
    </w:p>
    <w:p>
      <w:pPr>
        <w:spacing w:after="0" w:line="273" w:lineRule="auto"/>
        <w:jc w:val="both"/>
        <w:sectPr>
          <w:type w:val="continuous"/>
          <w:pgSz w:w="11910" w:h="16840"/>
          <w:pgMar w:top="200" w:bottom="280" w:left="1120" w:right="1220"/>
          <w:cols w:num="2" w:equalWidth="0">
            <w:col w:w="2336" w:space="40"/>
            <w:col w:w="7194"/>
          </w:cols>
        </w:sectPr>
      </w:pPr>
    </w:p>
    <w:p>
      <w:pPr>
        <w:pStyle w:val="BodyText"/>
        <w:spacing w:before="23"/>
        <w:ind w:left="2583"/>
      </w:pPr>
      <w:r>
        <w:rPr/>
        <w:t>款不产生效力。</w:t>
      </w:r>
    </w:p>
    <w:p>
      <w:pPr>
        <w:pStyle w:val="BodyText"/>
        <w:spacing w:before="114"/>
        <w:ind w:left="2583"/>
      </w:pPr>
      <w:r>
        <w:rPr/>
        <w:t>我们就您和被保险人的有关情况提出询问，您应当如实告知。</w:t>
      </w:r>
    </w:p>
    <w:p>
      <w:pPr>
        <w:pStyle w:val="BodyText"/>
        <w:spacing w:line="273" w:lineRule="auto" w:before="114"/>
        <w:ind w:left="2583" w:right="213"/>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如果您故意或者因重大过失未履行前款规定的如实告知义务，足以影响我们决定是否同意承保或者提高保险费率的，我们有权解除本合同。</w:t>
      </w:r>
    </w:p>
    <w:p>
      <w:pPr>
        <w:pStyle w:val="BodyText"/>
        <w:spacing w:line="273" w:lineRule="auto" w:before="85"/>
        <w:ind w:left="2583" w:right="213"/>
        <w:rPr>
          <w:rFonts w:ascii="黑体" w:eastAsia="黑体" w:hint="eastAsia"/>
        </w:rPr>
      </w:pPr>
      <w:r>
        <w:rPr>
          <w:rFonts w:ascii="黑体" w:eastAsia="黑体" w:hint="eastAsia"/>
        </w:rPr>
        <w:t>如果您故意不履行如实告知义务，对于本合同解除前发Th的保险事故，我们不承担保险责任，并不退还保险费。</w:t>
      </w:r>
    </w:p>
    <w:p>
      <w:pPr>
        <w:pStyle w:val="BodyText"/>
        <w:spacing w:line="273" w:lineRule="auto" w:before="85"/>
        <w:ind w:left="2583" w:right="109"/>
        <w:rPr>
          <w:rFonts w:ascii="黑体" w:eastAsia="黑体" w:hint="eastAsia"/>
        </w:rPr>
      </w:pPr>
      <w:r>
        <w:rPr>
          <w:rFonts w:ascii="黑体" w:eastAsia="黑体" w:hint="eastAsia"/>
          <w:spacing w:val="-4"/>
        </w:rPr>
        <w:t>如果您因重大过失未履行如实告知义务，对保险事故的发</w:t>
      </w:r>
      <w:r>
        <w:rPr>
          <w:rFonts w:ascii="黑体" w:eastAsia="黑体" w:hint="eastAsia"/>
        </w:rPr>
        <w:t>Th有严重影响的， 对于本合同解除前发Th的保险事故，我们不承担保险责任，但应当退还保险费。</w:t>
      </w:r>
    </w:p>
    <w:p>
      <w:pPr>
        <w:pStyle w:val="BodyText"/>
        <w:spacing w:line="273" w:lineRule="auto" w:before="85"/>
        <w:ind w:left="2583" w:right="213"/>
      </w:pPr>
      <w:r>
        <w:rPr/>
        <w:t>我们在合同订立时已经知道您未如实告知的情况的，我们不得解除合同； 发生保险事故的，我们承担保险责任。</w:t>
      </w:r>
    </w:p>
    <w:p>
      <w:pPr>
        <w:pStyle w:val="BodyText"/>
        <w:spacing w:before="9"/>
        <w:rPr>
          <w:sz w:val="8"/>
        </w:rPr>
      </w:pPr>
    </w:p>
    <w:p>
      <w:pPr>
        <w:spacing w:after="0"/>
        <w:rPr>
          <w:sz w:val="8"/>
        </w:rPr>
        <w:sectPr>
          <w:pgSz w:w="11910" w:h="16840"/>
          <w:pgMar w:top="1380" w:bottom="280" w:left="1120" w:right="1220"/>
        </w:sectPr>
      </w:pPr>
    </w:p>
    <w:p>
      <w:pPr>
        <w:pStyle w:val="Heading2"/>
        <w:numPr>
          <w:ilvl w:val="1"/>
          <w:numId w:val="8"/>
        </w:numPr>
        <w:tabs>
          <w:tab w:pos="1282" w:val="left" w:leader="none"/>
          <w:tab w:pos="1283" w:val="left" w:leader="none"/>
        </w:tabs>
        <w:spacing w:line="273" w:lineRule="auto" w:before="35" w:after="0"/>
        <w:ind w:left="1282" w:right="0" w:hanging="1062"/>
        <w:jc w:val="left"/>
      </w:pPr>
      <w:r>
        <w:rPr>
          <w:w w:val="95"/>
        </w:rPr>
        <w:t>我们合同解除权的限制</w:t>
      </w:r>
    </w:p>
    <w:p>
      <w:pPr>
        <w:pStyle w:val="BodyText"/>
        <w:spacing w:line="273" w:lineRule="auto" w:before="35"/>
        <w:ind w:left="207" w:right="214"/>
      </w:pPr>
      <w:r>
        <w:rPr/>
        <w:br w:type="column"/>
      </w:r>
      <w:r>
        <w:rPr/>
        <w:t>本保险条款“6.1 明确说明与如实告知”规定的合同解除权，自我们知道有解除事由之日起，超过 30 日不行使而消灭。</w:t>
      </w:r>
    </w:p>
    <w:p>
      <w:pPr>
        <w:spacing w:after="0" w:line="273" w:lineRule="auto"/>
        <w:sectPr>
          <w:type w:val="continuous"/>
          <w:pgSz w:w="11910" w:h="16840"/>
          <w:pgMar w:top="200" w:bottom="280" w:left="1120" w:right="1220"/>
          <w:cols w:num="2" w:equalWidth="0">
            <w:col w:w="2336" w:space="40"/>
            <w:col w:w="7194"/>
          </w:cols>
        </w:sectPr>
      </w:pPr>
    </w:p>
    <w:p>
      <w:pPr>
        <w:pStyle w:val="BodyText"/>
        <w:spacing w:before="6" w:after="1"/>
        <w:rPr>
          <w:sz w:val="12"/>
        </w:rPr>
      </w:pPr>
    </w:p>
    <w:p>
      <w:pPr>
        <w:pStyle w:val="BodyText"/>
        <w:ind w:left="112"/>
        <w:rPr>
          <w:sz w:val="20"/>
        </w:rPr>
      </w:pPr>
      <w:r>
        <w:rPr>
          <w:sz w:val="20"/>
        </w:rPr>
        <w:pict>
          <v:shape style="width:467.25pt;height:15.6pt;mso-position-horizontal-relative:char;mso-position-vertical-relative:line" type="#_x0000_t202" filled="true" fillcolor="#a6a6a6" stroked="false">
            <w10:anchorlock/>
            <v:textbox inset="0,0,0,0">
              <w:txbxContent>
                <w:p>
                  <w:pPr>
                    <w:tabs>
                      <w:tab w:pos="1169" w:val="left" w:leader="none"/>
                    </w:tabs>
                    <w:spacing w:line="260" w:lineRule="exact" w:before="0"/>
                    <w:ind w:left="107" w:right="0" w:firstLine="0"/>
                    <w:jc w:val="left"/>
                    <w:rPr>
                      <w:b/>
                      <w:sz w:val="21"/>
                    </w:rPr>
                  </w:pPr>
                  <w:r>
                    <w:rPr>
                      <w:b/>
                      <w:sz w:val="21"/>
                    </w:rPr>
                    <w:t>7．</w:t>
                    <w:tab/>
                  </w:r>
                  <w:r>
                    <w:rPr>
                      <w:b/>
                      <w:w w:val="95"/>
                      <w:sz w:val="21"/>
                    </w:rPr>
                    <w:t>其他需要关注的事项</w:t>
                  </w:r>
                </w:p>
              </w:txbxContent>
            </v:textbox>
            <v:fill type="solid"/>
          </v:shape>
        </w:pict>
      </w:r>
      <w:r>
        <w:rPr>
          <w:sz w:val="20"/>
        </w:rPr>
      </w:r>
    </w:p>
    <w:p>
      <w:pPr>
        <w:pStyle w:val="BodyText"/>
        <w:spacing w:before="9"/>
        <w:rPr>
          <w:sz w:val="5"/>
        </w:rPr>
      </w:pPr>
    </w:p>
    <w:p>
      <w:pPr>
        <w:pStyle w:val="ListParagraph"/>
        <w:numPr>
          <w:ilvl w:val="1"/>
          <w:numId w:val="9"/>
        </w:numPr>
        <w:tabs>
          <w:tab w:pos="1282" w:val="left" w:leader="none"/>
          <w:tab w:pos="1283" w:val="left" w:leader="none"/>
          <w:tab w:pos="2585" w:val="left" w:leader="none"/>
        </w:tabs>
        <w:spacing w:line="273" w:lineRule="auto" w:before="35" w:after="0"/>
        <w:ind w:left="2583" w:right="211" w:hanging="2363"/>
        <w:jc w:val="left"/>
        <w:rPr>
          <w:sz w:val="21"/>
        </w:rPr>
      </w:pPr>
      <w:r>
        <w:rPr>
          <w:b/>
          <w:sz w:val="21"/>
        </w:rPr>
        <w:t>年龄错误</w:t>
        <w:tab/>
        <w:tab/>
      </w:r>
      <w:r>
        <w:rPr>
          <w:sz w:val="21"/>
        </w:rPr>
        <w:t>您在申请投保时，应将与有效身份证件相符的被保险人的出生日期在投保 单上填明，如果发生错误按照下列方式办理：</w:t>
      </w:r>
    </w:p>
    <w:p>
      <w:pPr>
        <w:pStyle w:val="BodyText"/>
        <w:spacing w:line="273" w:lineRule="auto" w:before="7"/>
        <w:ind w:left="2583" w:right="213"/>
        <w:jc w:val="both"/>
      </w:pPr>
      <w:r>
        <w:rPr/>
        <w:t>(1)</w:t>
      </w:r>
      <w:r>
        <w:rPr>
          <w:rFonts w:ascii="黑体" w:hAnsi="黑体" w:eastAsia="黑体" w:hint="eastAsia"/>
          <w:spacing w:val="-5"/>
        </w:rPr>
        <w:t>您申报的被保险人年龄不真实，并且其真实年龄不符合本合同约定投保年龄限制的，我们有权解除合同，并向您退还本合同保险单的现金价值。</w:t>
      </w:r>
      <w:r>
        <w:rPr>
          <w:spacing w:val="-5"/>
        </w:rPr>
        <w:t>我们行使合同解除权适用本保险条款“6.2</w:t>
      </w:r>
      <w:r>
        <w:rPr/>
        <w:t> 我们合同解除权的限制”的规定。</w:t>
      </w:r>
    </w:p>
    <w:p>
      <w:pPr>
        <w:pStyle w:val="BodyText"/>
        <w:spacing w:line="273" w:lineRule="auto" w:before="7"/>
        <w:ind w:left="2583" w:right="154"/>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2583" w:right="154"/>
        <w:jc w:val="both"/>
      </w:pPr>
      <w:r>
        <w:rPr/>
        <w:t>(3)您申报的被保险人年龄不真实，致使您实付保险费多于应付保险费的， 我们会将多收的保险费退还给您。</w:t>
      </w:r>
    </w:p>
    <w:p>
      <w:pPr>
        <w:pStyle w:val="BodyText"/>
        <w:spacing w:line="273" w:lineRule="auto" w:before="7"/>
        <w:ind w:left="2583" w:right="213"/>
        <w:jc w:val="both"/>
      </w:pPr>
      <w:r>
        <w:rPr/>
        <w:t>(4)</w:t>
      </w:r>
      <w:r>
        <w:rPr>
          <w:spacing w:val="-5"/>
        </w:rPr>
        <w:t>您申报的被保险人年龄不真实，致使本合同保险单的现金价值与实际不符的，我们有权根据被保险人的实际年龄和调整。</w:t>
      </w:r>
    </w:p>
    <w:p>
      <w:pPr>
        <w:pStyle w:val="BodyText"/>
        <w:spacing w:before="9"/>
        <w:rPr>
          <w:sz w:val="8"/>
        </w:rPr>
      </w:pPr>
    </w:p>
    <w:p>
      <w:pPr>
        <w:spacing w:after="0"/>
        <w:rPr>
          <w:sz w:val="8"/>
        </w:rPr>
        <w:sectPr>
          <w:type w:val="continuous"/>
          <w:pgSz w:w="11910" w:h="16840"/>
          <w:pgMar w:top="200" w:bottom="280" w:left="1120" w:right="1220"/>
        </w:sectPr>
      </w:pPr>
    </w:p>
    <w:p>
      <w:pPr>
        <w:pStyle w:val="Heading2"/>
        <w:numPr>
          <w:ilvl w:val="1"/>
          <w:numId w:val="9"/>
        </w:numPr>
        <w:tabs>
          <w:tab w:pos="1282" w:val="left" w:leader="none"/>
          <w:tab w:pos="1283" w:val="left" w:leader="none"/>
        </w:tabs>
        <w:spacing w:line="273" w:lineRule="auto" w:before="35" w:after="0"/>
        <w:ind w:left="1282" w:right="0" w:hanging="1062"/>
        <w:jc w:val="left"/>
      </w:pPr>
      <w:r>
        <w:rPr>
          <w:w w:val="95"/>
        </w:rPr>
        <w:t>合同内容变</w:t>
      </w:r>
      <w:r>
        <w:rPr/>
        <w:t>更</w:t>
      </w:r>
    </w:p>
    <w:p>
      <w:pPr>
        <w:pStyle w:val="BodyText"/>
        <w:spacing w:line="273" w:lineRule="auto" w:before="35"/>
        <w:ind w:left="207" w:right="213"/>
        <w:jc w:val="both"/>
      </w:pPr>
      <w:r>
        <w:rPr/>
        <w:br w:type="column"/>
      </w:r>
      <w:r>
        <w:rPr/>
        <w:t>在本合同有效期内，经您与我们协商一致，可以变更本合同的有关内容。变更本合同的，应当由我们在保险单上批注或者附贴批单，或者由您与我们订立书面的变更协议。</w:t>
      </w:r>
    </w:p>
    <w:p>
      <w:pPr>
        <w:spacing w:after="0" w:line="273" w:lineRule="auto"/>
        <w:jc w:val="both"/>
        <w:sectPr>
          <w:type w:val="continuous"/>
          <w:pgSz w:w="11910" w:h="16840"/>
          <w:pgMar w:top="200" w:bottom="280" w:left="1120" w:right="1220"/>
          <w:cols w:num="2" w:equalWidth="0">
            <w:col w:w="2336" w:space="40"/>
            <w:col w:w="7194"/>
          </w:cols>
        </w:sectPr>
      </w:pPr>
    </w:p>
    <w:p>
      <w:pPr>
        <w:pStyle w:val="BodyText"/>
        <w:spacing w:before="9"/>
        <w:rPr>
          <w:sz w:val="8"/>
        </w:rPr>
      </w:pPr>
    </w:p>
    <w:p>
      <w:pPr>
        <w:spacing w:after="0"/>
        <w:rPr>
          <w:sz w:val="8"/>
        </w:rPr>
        <w:sectPr>
          <w:type w:val="continuous"/>
          <w:pgSz w:w="11910" w:h="16840"/>
          <w:pgMar w:top="200" w:bottom="280" w:left="1120" w:right="1220"/>
        </w:sectPr>
      </w:pPr>
    </w:p>
    <w:p>
      <w:pPr>
        <w:pStyle w:val="Heading2"/>
        <w:numPr>
          <w:ilvl w:val="1"/>
          <w:numId w:val="9"/>
        </w:numPr>
        <w:tabs>
          <w:tab w:pos="1282" w:val="left" w:leader="none"/>
          <w:tab w:pos="1283" w:val="left" w:leader="none"/>
        </w:tabs>
        <w:spacing w:line="273" w:lineRule="auto" w:before="35" w:after="0"/>
        <w:ind w:left="1282" w:right="0" w:hanging="1062"/>
        <w:jc w:val="left"/>
      </w:pPr>
      <w:r>
        <w:rPr>
          <w:w w:val="95"/>
        </w:rPr>
        <w:t>联系方式变</w:t>
      </w:r>
      <w:r>
        <w:rPr/>
        <w:t>更</w:t>
      </w:r>
    </w:p>
    <w:p>
      <w:pPr>
        <w:pStyle w:val="BodyText"/>
        <w:spacing w:line="273" w:lineRule="auto" w:before="35"/>
        <w:ind w:left="207" w:right="213"/>
        <w:jc w:val="both"/>
      </w:pPr>
      <w:r>
        <w:rPr/>
        <w:br w:type="column"/>
      </w:r>
      <w:r>
        <w:rPr/>
        <w:t>为了保障您的合法权益，您的住所、通讯地址或电话等联系方式变更时， 请及时以书面形式或双方认可的其他形式通知我们。若您未以书面形式或双方认可的其他形式通知我们，我们按本合同载明的最后住所、通讯地址或电话等联系方式发送的有关通知，均视为已送达给您。</w:t>
      </w:r>
    </w:p>
    <w:p>
      <w:pPr>
        <w:spacing w:after="0" w:line="273" w:lineRule="auto"/>
        <w:jc w:val="both"/>
        <w:sectPr>
          <w:type w:val="continuous"/>
          <w:pgSz w:w="11910" w:h="16840"/>
          <w:pgMar w:top="200" w:bottom="280" w:left="1120" w:right="1220"/>
          <w:cols w:num="2" w:equalWidth="0">
            <w:col w:w="2336" w:space="40"/>
            <w:col w:w="7194"/>
          </w:cols>
        </w:sectPr>
      </w:pPr>
    </w:p>
    <w:p>
      <w:pPr>
        <w:pStyle w:val="BodyText"/>
        <w:spacing w:before="10"/>
        <w:rPr>
          <w:sz w:val="8"/>
        </w:rPr>
      </w:pPr>
    </w:p>
    <w:p>
      <w:pPr>
        <w:pStyle w:val="ListParagraph"/>
        <w:numPr>
          <w:ilvl w:val="1"/>
          <w:numId w:val="9"/>
        </w:numPr>
        <w:tabs>
          <w:tab w:pos="1282" w:val="left" w:leader="none"/>
          <w:tab w:pos="1283" w:val="left" w:leader="none"/>
          <w:tab w:pos="2583" w:val="left" w:leader="none"/>
        </w:tabs>
        <w:spacing w:line="273" w:lineRule="auto" w:before="35" w:after="0"/>
        <w:ind w:left="2583" w:right="213" w:hanging="2363"/>
        <w:jc w:val="left"/>
        <w:rPr>
          <w:sz w:val="21"/>
        </w:rPr>
      </w:pPr>
      <w:r>
        <w:rPr>
          <w:b/>
          <w:sz w:val="21"/>
        </w:rPr>
        <w:t>争议处理</w:t>
        <w:tab/>
      </w:r>
      <w:r>
        <w:rPr>
          <w:sz w:val="21"/>
        </w:rPr>
        <w:t>本合同履行过程中，双方发生争议的，由双方协商解决，协商不成的，按 本合同约定向人民法院起诉或提交仲裁委员会仲裁。</w:t>
      </w:r>
    </w:p>
    <w:p>
      <w:pPr>
        <w:pStyle w:val="BodyText"/>
        <w:spacing w:before="9"/>
        <w:rPr>
          <w:sz w:val="10"/>
        </w:rPr>
      </w:pPr>
      <w:r>
        <w:rPr/>
        <w:pict>
          <v:shape style="position:absolute;margin-left:61.619999pt;margin-top:8.195897pt;width:467.25pt;height:15.6pt;mso-position-horizontal-relative:page;mso-position-vertical-relative:paragraph;z-index:1264;mso-wrap-distance-left:0;mso-wrap-distance-right:0" type="#_x0000_t202" filled="true" fillcolor="#a6a6a6" stroked="false">
            <v:textbox inset="0,0,0,0">
              <w:txbxContent>
                <w:p>
                  <w:pPr>
                    <w:tabs>
                      <w:tab w:pos="1169" w:val="left" w:leader="none"/>
                    </w:tabs>
                    <w:spacing w:line="260" w:lineRule="exact" w:before="0"/>
                    <w:ind w:left="107" w:right="0" w:firstLine="0"/>
                    <w:jc w:val="left"/>
                    <w:rPr>
                      <w:b/>
                      <w:sz w:val="21"/>
                    </w:rPr>
                  </w:pPr>
                  <w:r>
                    <w:rPr>
                      <w:b/>
                      <w:sz w:val="21"/>
                    </w:rPr>
                    <w:t>8．</w:t>
                    <w:tab/>
                  </w:r>
                  <w:r>
                    <w:rPr>
                      <w:b/>
                      <w:w w:val="95"/>
                      <w:sz w:val="21"/>
                    </w:rPr>
                    <w:t>重大疾病的定义</w:t>
                  </w:r>
                </w:p>
              </w:txbxContent>
            </v:textbox>
            <v:fill type="solid"/>
            <w10:wrap type="topAndBottom"/>
          </v:shape>
        </w:pict>
      </w:r>
    </w:p>
    <w:p>
      <w:pPr>
        <w:pStyle w:val="BodyText"/>
        <w:spacing w:before="11"/>
        <w:rPr>
          <w:sz w:val="5"/>
        </w:rPr>
      </w:pPr>
    </w:p>
    <w:p>
      <w:pPr>
        <w:spacing w:after="0"/>
        <w:rPr>
          <w:sz w:val="5"/>
        </w:rPr>
        <w:sectPr>
          <w:type w:val="continuous"/>
          <w:pgSz w:w="11910" w:h="16840"/>
          <w:pgMar w:top="200" w:bottom="280" w:left="1120" w:right="1220"/>
        </w:sectPr>
      </w:pPr>
    </w:p>
    <w:p>
      <w:pPr>
        <w:tabs>
          <w:tab w:pos="1282" w:val="left" w:leader="none"/>
        </w:tabs>
        <w:spacing w:line="273" w:lineRule="auto" w:before="35"/>
        <w:ind w:left="1282" w:right="0" w:hanging="1062"/>
        <w:jc w:val="left"/>
        <w:rPr>
          <w:b/>
          <w:sz w:val="21"/>
        </w:rPr>
      </w:pPr>
      <w:r>
        <w:rPr>
          <w:b/>
          <w:sz w:val="21"/>
        </w:rPr>
        <w:t>8.1</w:t>
        <w:tab/>
      </w:r>
      <w:r>
        <w:rPr>
          <w:b/>
          <w:w w:val="95"/>
          <w:sz w:val="21"/>
        </w:rPr>
        <w:t>重大疾病的 </w:t>
      </w:r>
      <w:r>
        <w:rPr>
          <w:b/>
          <w:sz w:val="21"/>
        </w:rPr>
        <w:t>定义</w:t>
      </w:r>
    </w:p>
    <w:p>
      <w:pPr>
        <w:pStyle w:val="BodyText"/>
        <w:spacing w:before="35"/>
        <w:ind w:left="207"/>
        <w:rPr>
          <w:b/>
        </w:rPr>
      </w:pPr>
      <w:r>
        <w:rPr/>
        <w:br w:type="column"/>
      </w:r>
      <w:r>
        <w:rPr/>
        <w:t>本合同所保障的重大疾病，是指被保险人在本合同有效期间内经</w:t>
      </w:r>
      <w:r>
        <w:rPr>
          <w:b/>
        </w:rPr>
        <w:t>专科医生</w:t>
      </w:r>
    </w:p>
    <w:p>
      <w:pPr>
        <w:pStyle w:val="BodyText"/>
        <w:spacing w:before="37"/>
        <w:ind w:left="207"/>
      </w:pPr>
      <w:r>
        <w:rPr/>
        <w:t>（详见释义）明确诊断初次患下列疾病或初次达到下列疾病状态或在医院</w:t>
      </w:r>
    </w:p>
    <w:p>
      <w:pPr>
        <w:spacing w:after="0"/>
        <w:sectPr>
          <w:type w:val="continuous"/>
          <w:pgSz w:w="11910" w:h="16840"/>
          <w:pgMar w:top="200" w:bottom="280" w:left="1120" w:right="1220"/>
          <w:cols w:num="2" w:equalWidth="0">
            <w:col w:w="2336" w:space="40"/>
            <w:col w:w="7194"/>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444"/>
        <w:gridCol w:w="7043"/>
      </w:tblGrid>
      <w:tr>
        <w:trPr>
          <w:trHeight w:val="331" w:hRule="atLeast"/>
        </w:trPr>
        <w:tc>
          <w:tcPr>
            <w:tcW w:w="2289" w:type="dxa"/>
            <w:gridSpan w:val="2"/>
          </w:tcPr>
          <w:p>
            <w:pPr>
              <w:pStyle w:val="TableParagraph"/>
              <w:rPr>
                <w:rFonts w:ascii="Times New Roman"/>
                <w:sz w:val="20"/>
              </w:rPr>
            </w:pPr>
          </w:p>
        </w:tc>
        <w:tc>
          <w:tcPr>
            <w:tcW w:w="7043" w:type="dxa"/>
          </w:tcPr>
          <w:p>
            <w:pPr>
              <w:pStyle w:val="TableParagraph"/>
              <w:spacing w:line="210" w:lineRule="exact"/>
              <w:ind w:left="123"/>
              <w:rPr>
                <w:sz w:val="21"/>
              </w:rPr>
            </w:pPr>
            <w:r>
              <w:rPr>
                <w:sz w:val="21"/>
              </w:rPr>
              <w:t>初次接受下列手术：</w:t>
            </w:r>
          </w:p>
        </w:tc>
      </w:tr>
      <w:tr>
        <w:trPr>
          <w:trHeight w:val="382" w:hRule="atLeast"/>
        </w:trPr>
        <w:tc>
          <w:tcPr>
            <w:tcW w:w="845" w:type="dxa"/>
          </w:tcPr>
          <w:p>
            <w:pPr>
              <w:pStyle w:val="TableParagraph"/>
              <w:spacing w:before="57"/>
              <w:ind w:left="50"/>
              <w:rPr>
                <w:b/>
                <w:sz w:val="21"/>
              </w:rPr>
            </w:pPr>
            <w:r>
              <w:rPr>
                <w:b/>
                <w:sz w:val="21"/>
              </w:rPr>
              <w:t>8.1.1</w:t>
            </w:r>
          </w:p>
        </w:tc>
        <w:tc>
          <w:tcPr>
            <w:tcW w:w="1444" w:type="dxa"/>
          </w:tcPr>
          <w:p>
            <w:pPr>
              <w:pStyle w:val="TableParagraph"/>
              <w:spacing w:before="57"/>
              <w:ind w:left="267"/>
              <w:rPr>
                <w:b/>
                <w:sz w:val="21"/>
              </w:rPr>
            </w:pPr>
            <w:r>
              <w:rPr>
                <w:b/>
                <w:w w:val="95"/>
                <w:sz w:val="21"/>
              </w:rPr>
              <w:t>恶性肿瘤</w:t>
            </w:r>
          </w:p>
        </w:tc>
        <w:tc>
          <w:tcPr>
            <w:tcW w:w="7043" w:type="dxa"/>
          </w:tcPr>
          <w:p>
            <w:pPr>
              <w:pStyle w:val="TableParagraph"/>
              <w:spacing w:before="57"/>
              <w:ind w:left="123"/>
              <w:rPr>
                <w:sz w:val="21"/>
              </w:rPr>
            </w:pPr>
            <w:r>
              <w:rPr>
                <w:sz w:val="21"/>
              </w:rPr>
              <w:t>指恶性细胞不受控制的进行性增长和扩散，浸润和破坏周围正常组织，可</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以经血管、淋巴管和体腔扩散转移到身体其它部位的疾病。经病理学检查</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结果明确诊断，临床诊断属于世界卫生组织《疾病和有关健康问题的国际</w:t>
            </w:r>
          </w:p>
        </w:tc>
      </w:tr>
      <w:tr>
        <w:trPr>
          <w:trHeight w:val="350"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统计分类》（ICD-10）的恶性肿瘤范畴。</w:t>
            </w:r>
          </w:p>
        </w:tc>
      </w:tr>
      <w:tr>
        <w:trPr>
          <w:trHeight w:val="350"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before="25"/>
              <w:ind w:left="123"/>
              <w:rPr>
                <w:rFonts w:ascii="黑体" w:eastAsia="黑体" w:hint="eastAsia"/>
                <w:sz w:val="21"/>
              </w:rPr>
            </w:pPr>
            <w:r>
              <w:rPr>
                <w:rFonts w:ascii="黑体" w:eastAsia="黑体" w:hint="eastAsia"/>
                <w:sz w:val="21"/>
              </w:rPr>
              <w:t>下列疾病不在保障范围内：</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rFonts w:ascii="黑体" w:eastAsia="黑体" w:hint="eastAsia"/>
                <w:sz w:val="21"/>
              </w:rPr>
            </w:pPr>
            <w:r>
              <w:rPr>
                <w:rFonts w:ascii="黑体" w:eastAsia="黑体" w:hint="eastAsia"/>
                <w:sz w:val="21"/>
              </w:rPr>
              <w:t>(1)原位癌；</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rFonts w:ascii="黑体" w:eastAsia="黑体" w:hint="eastAsia"/>
                <w:sz w:val="21"/>
              </w:rPr>
            </w:pPr>
            <w:r>
              <w:rPr>
                <w:rFonts w:ascii="黑体" w:eastAsia="黑体" w:hint="eastAsia"/>
                <w:sz w:val="21"/>
              </w:rPr>
              <w:t>(2)相当于 Binet 分期方案 A 期程度的慢性淋巴细胞白血病；</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rFonts w:ascii="黑体" w:eastAsia="黑体" w:hint="eastAsia"/>
                <w:sz w:val="21"/>
              </w:rPr>
            </w:pPr>
            <w:r>
              <w:rPr>
                <w:rFonts w:ascii="黑体" w:eastAsia="黑体" w:hint="eastAsia"/>
                <w:sz w:val="21"/>
              </w:rPr>
              <w:t>(3)相当于 Ann Arbor 分期方案 I 期程度的何杰金氏病；</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rFonts w:ascii="黑体" w:eastAsia="黑体" w:hint="eastAsia"/>
                <w:sz w:val="21"/>
              </w:rPr>
            </w:pPr>
            <w:r>
              <w:rPr>
                <w:rFonts w:ascii="黑体" w:eastAsia="黑体" w:hint="eastAsia"/>
                <w:spacing w:val="-1"/>
                <w:sz w:val="21"/>
              </w:rPr>
              <w:t>(4)皮肤癌（不包括恶性黑色素瘤及已发Th转移的皮肤癌</w:t>
            </w:r>
            <w:r>
              <w:rPr>
                <w:rFonts w:ascii="黑体" w:eastAsia="黑体" w:hint="eastAsia"/>
                <w:spacing w:val="-105"/>
                <w:sz w:val="21"/>
              </w:rPr>
              <w:t>）</w:t>
            </w:r>
            <w:r>
              <w:rPr>
                <w:rFonts w:ascii="黑体" w:eastAsia="黑体" w:hint="eastAsia"/>
                <w:sz w:val="21"/>
              </w:rPr>
              <w:t>；</w:t>
            </w:r>
          </w:p>
        </w:tc>
      </w:tr>
      <w:tr>
        <w:trPr>
          <w:trHeight w:val="312"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tc>
      </w:tr>
      <w:tr>
        <w:trPr>
          <w:trHeight w:val="382"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rFonts w:ascii="黑体" w:eastAsia="黑体" w:hint="eastAsia"/>
                <w:sz w:val="21"/>
              </w:rPr>
            </w:pPr>
            <w:r>
              <w:rPr>
                <w:rFonts w:ascii="黑体" w:eastAsia="黑体" w:hint="eastAsia"/>
                <w:sz w:val="21"/>
              </w:rPr>
              <w:t>(6)感染艾滋病病毒或患艾滋病期间所患恶性肿瘤。</w:t>
            </w:r>
          </w:p>
        </w:tc>
      </w:tr>
      <w:tr>
        <w:trPr>
          <w:trHeight w:val="395" w:hRule="atLeast"/>
        </w:trPr>
        <w:tc>
          <w:tcPr>
            <w:tcW w:w="845" w:type="dxa"/>
          </w:tcPr>
          <w:p>
            <w:pPr>
              <w:pStyle w:val="TableParagraph"/>
              <w:spacing w:before="57"/>
              <w:ind w:left="50"/>
              <w:rPr>
                <w:b/>
                <w:sz w:val="21"/>
              </w:rPr>
            </w:pPr>
            <w:r>
              <w:rPr>
                <w:b/>
                <w:sz w:val="21"/>
              </w:rPr>
              <w:t>8.1.2</w:t>
            </w:r>
          </w:p>
        </w:tc>
        <w:tc>
          <w:tcPr>
            <w:tcW w:w="1444" w:type="dxa"/>
          </w:tcPr>
          <w:p>
            <w:pPr>
              <w:pStyle w:val="TableParagraph"/>
              <w:spacing w:before="57"/>
              <w:ind w:left="266"/>
              <w:rPr>
                <w:b/>
                <w:sz w:val="21"/>
              </w:rPr>
            </w:pPr>
            <w:r>
              <w:rPr>
                <w:b/>
                <w:w w:val="95"/>
                <w:sz w:val="21"/>
              </w:rPr>
              <w:t>重大器官移</w:t>
            </w:r>
          </w:p>
        </w:tc>
        <w:tc>
          <w:tcPr>
            <w:tcW w:w="7043" w:type="dxa"/>
          </w:tcPr>
          <w:p>
            <w:pPr>
              <w:pStyle w:val="TableParagraph"/>
              <w:spacing w:before="82"/>
              <w:ind w:left="123"/>
              <w:rPr>
                <w:sz w:val="21"/>
              </w:rPr>
            </w:pPr>
            <w:r>
              <w:rPr>
                <w:sz w:val="21"/>
              </w:rPr>
              <w:t>重大器官移植术，指因相应器官功能衰竭，已经实施了肾脏、肝脏、心脏</w:t>
            </w:r>
          </w:p>
        </w:tc>
      </w:tr>
      <w:tr>
        <w:trPr>
          <w:trHeight w:val="706" w:hRule="atLeast"/>
        </w:trPr>
        <w:tc>
          <w:tcPr>
            <w:tcW w:w="845" w:type="dxa"/>
          </w:tcPr>
          <w:p>
            <w:pPr>
              <w:pStyle w:val="TableParagraph"/>
              <w:rPr>
                <w:rFonts w:ascii="Times New Roman"/>
                <w:sz w:val="20"/>
              </w:rPr>
            </w:pPr>
          </w:p>
        </w:tc>
        <w:tc>
          <w:tcPr>
            <w:tcW w:w="1444" w:type="dxa"/>
          </w:tcPr>
          <w:p>
            <w:pPr>
              <w:pStyle w:val="TableParagraph"/>
              <w:spacing w:line="248" w:lineRule="exact"/>
              <w:ind w:left="266"/>
              <w:rPr>
                <w:b/>
                <w:sz w:val="21"/>
              </w:rPr>
            </w:pPr>
            <w:r>
              <w:rPr>
                <w:b/>
                <w:w w:val="95"/>
                <w:sz w:val="21"/>
              </w:rPr>
              <w:t>植术或造血</w:t>
            </w:r>
          </w:p>
          <w:p>
            <w:pPr>
              <w:pStyle w:val="TableParagraph"/>
              <w:spacing w:before="37"/>
              <w:ind w:left="266"/>
              <w:rPr>
                <w:b/>
                <w:sz w:val="21"/>
              </w:rPr>
            </w:pPr>
            <w:r>
              <w:rPr>
                <w:b/>
                <w:w w:val="95"/>
                <w:sz w:val="21"/>
              </w:rPr>
              <w:t>干细胞移植</w:t>
            </w:r>
          </w:p>
        </w:tc>
        <w:tc>
          <w:tcPr>
            <w:tcW w:w="7043" w:type="dxa"/>
          </w:tcPr>
          <w:p>
            <w:pPr>
              <w:pStyle w:val="TableParagraph"/>
              <w:spacing w:before="7"/>
              <w:ind w:left="123"/>
              <w:rPr>
                <w:sz w:val="21"/>
              </w:rPr>
            </w:pPr>
            <w:r>
              <w:rPr>
                <w:sz w:val="21"/>
              </w:rPr>
              <w:t>或肺脏的异体移植手术。</w:t>
            </w:r>
          </w:p>
          <w:p>
            <w:pPr>
              <w:pStyle w:val="TableParagraph"/>
              <w:spacing w:before="98"/>
              <w:ind w:left="123"/>
              <w:rPr>
                <w:sz w:val="21"/>
              </w:rPr>
            </w:pPr>
            <w:r>
              <w:rPr>
                <w:sz w:val="21"/>
              </w:rPr>
              <w:t>造血干细胞移植术，指因造血功能损害或造血系统恶性肿瘤，已经实施了</w:t>
            </w:r>
          </w:p>
        </w:tc>
      </w:tr>
      <w:tr>
        <w:trPr>
          <w:trHeight w:val="311" w:hRule="atLeast"/>
        </w:trPr>
        <w:tc>
          <w:tcPr>
            <w:tcW w:w="845" w:type="dxa"/>
          </w:tcPr>
          <w:p>
            <w:pPr>
              <w:pStyle w:val="TableParagraph"/>
              <w:rPr>
                <w:rFonts w:ascii="Times New Roman"/>
                <w:sz w:val="20"/>
              </w:rPr>
            </w:pPr>
          </w:p>
        </w:tc>
        <w:tc>
          <w:tcPr>
            <w:tcW w:w="1444" w:type="dxa"/>
          </w:tcPr>
          <w:p>
            <w:pPr>
              <w:pStyle w:val="TableParagraph"/>
              <w:spacing w:line="166" w:lineRule="exact"/>
              <w:ind w:left="266"/>
              <w:rPr>
                <w:b/>
                <w:sz w:val="21"/>
              </w:rPr>
            </w:pPr>
            <w:r>
              <w:rPr>
                <w:b/>
                <w:w w:val="99"/>
                <w:sz w:val="21"/>
              </w:rPr>
              <w:t>术</w:t>
            </w:r>
          </w:p>
        </w:tc>
        <w:tc>
          <w:tcPr>
            <w:tcW w:w="7043" w:type="dxa"/>
          </w:tcPr>
          <w:p>
            <w:pPr>
              <w:pStyle w:val="TableParagraph"/>
              <w:spacing w:line="261" w:lineRule="exact"/>
              <w:ind w:left="123"/>
              <w:rPr>
                <w:sz w:val="21"/>
              </w:rPr>
            </w:pPr>
            <w:r>
              <w:rPr>
                <w:spacing w:val="-7"/>
                <w:sz w:val="21"/>
              </w:rPr>
              <w:t>造血干细胞</w:t>
            </w:r>
            <w:r>
              <w:rPr>
                <w:sz w:val="21"/>
              </w:rPr>
              <w:t>（</w:t>
            </w:r>
            <w:r>
              <w:rPr>
                <w:spacing w:val="-4"/>
                <w:sz w:val="21"/>
              </w:rPr>
              <w:t>包括骨髓造血干细胞、外周血造血干细胞和脐血造血干细胞</w:t>
            </w:r>
            <w:r>
              <w:rPr>
                <w:sz w:val="21"/>
              </w:rPr>
              <w:t>）</w:t>
            </w:r>
          </w:p>
        </w:tc>
      </w:tr>
      <w:tr>
        <w:trPr>
          <w:trHeight w:val="382"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的异体移植手术。</w:t>
            </w:r>
          </w:p>
        </w:tc>
      </w:tr>
      <w:tr>
        <w:trPr>
          <w:trHeight w:val="382" w:hRule="atLeast"/>
        </w:trPr>
        <w:tc>
          <w:tcPr>
            <w:tcW w:w="845" w:type="dxa"/>
          </w:tcPr>
          <w:p>
            <w:pPr>
              <w:pStyle w:val="TableParagraph"/>
              <w:spacing w:before="57"/>
              <w:ind w:left="50"/>
              <w:rPr>
                <w:b/>
                <w:sz w:val="21"/>
              </w:rPr>
            </w:pPr>
            <w:r>
              <w:rPr>
                <w:b/>
                <w:sz w:val="21"/>
              </w:rPr>
              <w:t>8.1.3</w:t>
            </w:r>
          </w:p>
        </w:tc>
        <w:tc>
          <w:tcPr>
            <w:tcW w:w="1444" w:type="dxa"/>
          </w:tcPr>
          <w:p>
            <w:pPr>
              <w:pStyle w:val="TableParagraph"/>
              <w:spacing w:before="57"/>
              <w:ind w:left="266"/>
              <w:rPr>
                <w:b/>
                <w:sz w:val="21"/>
              </w:rPr>
            </w:pPr>
            <w:r>
              <w:rPr>
                <w:b/>
                <w:w w:val="95"/>
                <w:sz w:val="21"/>
              </w:rPr>
              <w:t>终末期肾病</w:t>
            </w:r>
          </w:p>
        </w:tc>
        <w:tc>
          <w:tcPr>
            <w:tcW w:w="7043" w:type="dxa"/>
          </w:tcPr>
          <w:p>
            <w:pPr>
              <w:pStyle w:val="TableParagraph"/>
              <w:spacing w:before="57"/>
              <w:ind w:left="123"/>
              <w:rPr>
                <w:sz w:val="21"/>
              </w:rPr>
            </w:pPr>
            <w:r>
              <w:rPr>
                <w:sz w:val="21"/>
              </w:rPr>
              <w:t>指双肾功能慢性不可逆性衰竭，达到尿毒症期，经诊断后已经进行了至少</w:t>
            </w:r>
          </w:p>
        </w:tc>
      </w:tr>
      <w:tr>
        <w:trPr>
          <w:trHeight w:val="311" w:hRule="atLeast"/>
        </w:trPr>
        <w:tc>
          <w:tcPr>
            <w:tcW w:w="845" w:type="dxa"/>
          </w:tcPr>
          <w:p>
            <w:pPr>
              <w:pStyle w:val="TableParagraph"/>
              <w:rPr>
                <w:rFonts w:ascii="Times New Roman"/>
                <w:sz w:val="20"/>
              </w:rPr>
            </w:pPr>
          </w:p>
        </w:tc>
        <w:tc>
          <w:tcPr>
            <w:tcW w:w="1444" w:type="dxa"/>
          </w:tcPr>
          <w:p>
            <w:pPr>
              <w:pStyle w:val="TableParagraph"/>
              <w:spacing w:line="261" w:lineRule="exact"/>
              <w:ind w:left="266"/>
              <w:rPr>
                <w:b/>
                <w:sz w:val="21"/>
              </w:rPr>
            </w:pPr>
            <w:r>
              <w:rPr>
                <w:b/>
                <w:w w:val="95"/>
                <w:sz w:val="21"/>
              </w:rPr>
              <w:t>（或称慢性</w:t>
            </w:r>
          </w:p>
        </w:tc>
        <w:tc>
          <w:tcPr>
            <w:tcW w:w="7043" w:type="dxa"/>
          </w:tcPr>
          <w:p>
            <w:pPr>
              <w:pStyle w:val="TableParagraph"/>
              <w:spacing w:line="261" w:lineRule="exact"/>
              <w:ind w:left="123"/>
              <w:rPr>
                <w:sz w:val="21"/>
              </w:rPr>
            </w:pPr>
            <w:r>
              <w:rPr>
                <w:sz w:val="21"/>
              </w:rPr>
              <w:t>90 天的规律性透析治疗或实施了肾脏移植手术。</w:t>
            </w:r>
          </w:p>
        </w:tc>
      </w:tr>
      <w:tr>
        <w:trPr>
          <w:trHeight w:val="311" w:hRule="atLeast"/>
        </w:trPr>
        <w:tc>
          <w:tcPr>
            <w:tcW w:w="845" w:type="dxa"/>
          </w:tcPr>
          <w:p>
            <w:pPr>
              <w:pStyle w:val="TableParagraph"/>
              <w:rPr>
                <w:rFonts w:ascii="Times New Roman"/>
                <w:sz w:val="20"/>
              </w:rPr>
            </w:pPr>
          </w:p>
        </w:tc>
        <w:tc>
          <w:tcPr>
            <w:tcW w:w="1444" w:type="dxa"/>
          </w:tcPr>
          <w:p>
            <w:pPr>
              <w:pStyle w:val="TableParagraph"/>
              <w:spacing w:line="261" w:lineRule="exact"/>
              <w:ind w:left="266"/>
              <w:rPr>
                <w:b/>
                <w:sz w:val="21"/>
              </w:rPr>
            </w:pPr>
            <w:r>
              <w:rPr>
                <w:b/>
                <w:w w:val="95"/>
                <w:sz w:val="21"/>
              </w:rPr>
              <w:t>肾功能衰竭</w:t>
            </w:r>
          </w:p>
        </w:tc>
        <w:tc>
          <w:tcPr>
            <w:tcW w:w="7043" w:type="dxa"/>
          </w:tcPr>
          <w:p>
            <w:pPr>
              <w:pStyle w:val="TableParagraph"/>
              <w:rPr>
                <w:rFonts w:ascii="Times New Roman"/>
                <w:sz w:val="20"/>
              </w:rPr>
            </w:pPr>
          </w:p>
        </w:tc>
      </w:tr>
      <w:tr>
        <w:trPr>
          <w:trHeight w:val="382" w:hRule="atLeast"/>
        </w:trPr>
        <w:tc>
          <w:tcPr>
            <w:tcW w:w="845" w:type="dxa"/>
          </w:tcPr>
          <w:p>
            <w:pPr>
              <w:pStyle w:val="TableParagraph"/>
              <w:rPr>
                <w:rFonts w:ascii="Times New Roman"/>
                <w:sz w:val="20"/>
              </w:rPr>
            </w:pPr>
          </w:p>
        </w:tc>
        <w:tc>
          <w:tcPr>
            <w:tcW w:w="1444" w:type="dxa"/>
          </w:tcPr>
          <w:p>
            <w:pPr>
              <w:pStyle w:val="TableParagraph"/>
              <w:spacing w:line="261" w:lineRule="exact"/>
              <w:ind w:left="266"/>
              <w:rPr>
                <w:b/>
                <w:sz w:val="21"/>
              </w:rPr>
            </w:pPr>
            <w:r>
              <w:rPr>
                <w:b/>
                <w:w w:val="95"/>
                <w:sz w:val="21"/>
              </w:rPr>
              <w:t>尿毒症期）</w:t>
            </w:r>
          </w:p>
        </w:tc>
        <w:tc>
          <w:tcPr>
            <w:tcW w:w="7043" w:type="dxa"/>
          </w:tcPr>
          <w:p>
            <w:pPr>
              <w:pStyle w:val="TableParagraph"/>
              <w:rPr>
                <w:rFonts w:ascii="Times New Roman"/>
                <w:sz w:val="20"/>
              </w:rPr>
            </w:pPr>
          </w:p>
        </w:tc>
      </w:tr>
      <w:tr>
        <w:trPr>
          <w:trHeight w:val="382" w:hRule="atLeast"/>
        </w:trPr>
        <w:tc>
          <w:tcPr>
            <w:tcW w:w="845" w:type="dxa"/>
          </w:tcPr>
          <w:p>
            <w:pPr>
              <w:pStyle w:val="TableParagraph"/>
              <w:spacing w:before="57"/>
              <w:ind w:left="50"/>
              <w:rPr>
                <w:b/>
                <w:sz w:val="21"/>
              </w:rPr>
            </w:pPr>
            <w:r>
              <w:rPr>
                <w:b/>
                <w:sz w:val="21"/>
              </w:rPr>
              <w:t>8.1.4</w:t>
            </w:r>
          </w:p>
        </w:tc>
        <w:tc>
          <w:tcPr>
            <w:tcW w:w="1444" w:type="dxa"/>
          </w:tcPr>
          <w:p>
            <w:pPr>
              <w:pStyle w:val="TableParagraph"/>
              <w:spacing w:before="57"/>
              <w:ind w:left="266"/>
              <w:rPr>
                <w:b/>
                <w:sz w:val="21"/>
              </w:rPr>
            </w:pPr>
            <w:r>
              <w:rPr>
                <w:b/>
                <w:w w:val="95"/>
                <w:sz w:val="21"/>
              </w:rPr>
              <w:t>急性或亚急</w:t>
            </w:r>
          </w:p>
        </w:tc>
        <w:tc>
          <w:tcPr>
            <w:tcW w:w="7043" w:type="dxa"/>
          </w:tcPr>
          <w:p>
            <w:pPr>
              <w:pStyle w:val="TableParagraph"/>
              <w:spacing w:before="57"/>
              <w:ind w:left="123"/>
              <w:rPr>
                <w:sz w:val="21"/>
              </w:rPr>
            </w:pPr>
            <w:r>
              <w:rPr>
                <w:sz w:val="21"/>
              </w:rPr>
              <w:t>指因肝炎病毒感染引起肝脏组织弥漫性坏死，导致急性肝功能衰竭，且经</w:t>
            </w:r>
          </w:p>
        </w:tc>
      </w:tr>
      <w:tr>
        <w:trPr>
          <w:trHeight w:val="311" w:hRule="atLeast"/>
        </w:trPr>
        <w:tc>
          <w:tcPr>
            <w:tcW w:w="845" w:type="dxa"/>
          </w:tcPr>
          <w:p>
            <w:pPr>
              <w:pStyle w:val="TableParagraph"/>
              <w:rPr>
                <w:rFonts w:ascii="Times New Roman"/>
                <w:sz w:val="20"/>
              </w:rPr>
            </w:pPr>
          </w:p>
        </w:tc>
        <w:tc>
          <w:tcPr>
            <w:tcW w:w="1444" w:type="dxa"/>
          </w:tcPr>
          <w:p>
            <w:pPr>
              <w:pStyle w:val="TableParagraph"/>
              <w:spacing w:line="261" w:lineRule="exact"/>
              <w:ind w:left="266"/>
              <w:rPr>
                <w:b/>
                <w:sz w:val="21"/>
              </w:rPr>
            </w:pPr>
            <w:r>
              <w:rPr>
                <w:b/>
                <w:w w:val="95"/>
                <w:sz w:val="21"/>
              </w:rPr>
              <w:t>性重症肝炎</w:t>
            </w:r>
          </w:p>
        </w:tc>
        <w:tc>
          <w:tcPr>
            <w:tcW w:w="7043" w:type="dxa"/>
          </w:tcPr>
          <w:p>
            <w:pPr>
              <w:pStyle w:val="TableParagraph"/>
              <w:spacing w:line="261" w:lineRule="exact"/>
              <w:ind w:left="123"/>
              <w:rPr>
                <w:sz w:val="21"/>
              </w:rPr>
            </w:pPr>
            <w:r>
              <w:rPr>
                <w:sz w:val="21"/>
              </w:rPr>
              <w:t>血清学或病毒学检查证实，并须满足下列全部条件：</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(1)重度黄疸或黄疸迅速加重；</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(2)肝性脑病；</w:t>
            </w:r>
          </w:p>
        </w:tc>
      </w:tr>
      <w:tr>
        <w:trPr>
          <w:trHeight w:val="311"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(3)B 超或其它影像学检查显示肝脏体积急速萎缩；</w:t>
            </w:r>
          </w:p>
        </w:tc>
      </w:tr>
      <w:tr>
        <w:trPr>
          <w:trHeight w:val="383"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1" w:lineRule="exact"/>
              <w:ind w:left="123"/>
              <w:rPr>
                <w:sz w:val="21"/>
              </w:rPr>
            </w:pPr>
            <w:r>
              <w:rPr>
                <w:sz w:val="21"/>
              </w:rPr>
              <w:t>(4)肝功能指标进行性恶化。</w:t>
            </w:r>
          </w:p>
        </w:tc>
      </w:tr>
      <w:tr>
        <w:trPr>
          <w:trHeight w:val="412" w:hRule="atLeast"/>
        </w:trPr>
        <w:tc>
          <w:tcPr>
            <w:tcW w:w="845" w:type="dxa"/>
          </w:tcPr>
          <w:p>
            <w:pPr>
              <w:pStyle w:val="TableParagraph"/>
              <w:spacing w:before="57"/>
              <w:ind w:left="50"/>
              <w:rPr>
                <w:b/>
                <w:sz w:val="21"/>
              </w:rPr>
            </w:pPr>
            <w:r>
              <w:rPr>
                <w:b/>
                <w:sz w:val="21"/>
              </w:rPr>
              <w:t>8.1.5</w:t>
            </w:r>
          </w:p>
        </w:tc>
        <w:tc>
          <w:tcPr>
            <w:tcW w:w="1444" w:type="dxa"/>
          </w:tcPr>
          <w:p>
            <w:pPr>
              <w:pStyle w:val="TableParagraph"/>
              <w:spacing w:before="57"/>
              <w:ind w:left="266"/>
              <w:rPr>
                <w:b/>
                <w:sz w:val="21"/>
              </w:rPr>
            </w:pPr>
            <w:r>
              <w:rPr>
                <w:b/>
                <w:w w:val="95"/>
                <w:sz w:val="21"/>
              </w:rPr>
              <w:t>良性脑肿瘤</w:t>
            </w:r>
          </w:p>
        </w:tc>
        <w:tc>
          <w:tcPr>
            <w:tcW w:w="7043" w:type="dxa"/>
          </w:tcPr>
          <w:p>
            <w:pPr>
              <w:pStyle w:val="TableParagraph"/>
              <w:spacing w:before="82"/>
              <w:ind w:left="123"/>
              <w:rPr>
                <w:sz w:val="21"/>
              </w:rPr>
            </w:pPr>
            <w:r>
              <w:rPr>
                <w:sz w:val="21"/>
              </w:rPr>
              <w:t>指脑的良性肿瘤，已经引起颅内压增高，临床表现为视神经乳头水肿、精</w:t>
            </w:r>
          </w:p>
        </w:tc>
      </w:tr>
      <w:tr>
        <w:trPr>
          <w:trHeight w:val="319"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神症状、癫痫及运动感觉障碍等，并危及生命。须由头颅断层扫描（CT</w:t>
            </w:r>
            <w:r>
              <w:rPr>
                <w:spacing w:val="-106"/>
                <w:sz w:val="21"/>
              </w:rPr>
              <w:t>）</w:t>
            </w:r>
            <w:r>
              <w:rPr>
                <w:sz w:val="21"/>
              </w:rPr>
              <w:t>、</w:t>
            </w:r>
          </w:p>
        </w:tc>
      </w:tr>
      <w:tr>
        <w:trPr>
          <w:trHeight w:val="320"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核磁共振检查（MRI）或正电子发射断层扫描（PET）等影像学检查证实，</w:t>
            </w:r>
          </w:p>
        </w:tc>
      </w:tr>
      <w:tr>
        <w:trPr>
          <w:trHeight w:val="319"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并须满足下列至少一项条件：</w:t>
            </w:r>
          </w:p>
        </w:tc>
      </w:tr>
      <w:tr>
        <w:trPr>
          <w:trHeight w:val="319"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(1)实际实施了开颅进行的脑肿瘤完全切除或部分切除的手术；</w:t>
            </w:r>
          </w:p>
        </w:tc>
      </w:tr>
      <w:tr>
        <w:trPr>
          <w:trHeight w:val="346"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(2)实际实施了对脑肿瘤进行的放射治疗。</w:t>
            </w:r>
          </w:p>
        </w:tc>
      </w:tr>
      <w:tr>
        <w:trPr>
          <w:trHeight w:val="413"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before="16"/>
              <w:ind w:left="123"/>
              <w:rPr>
                <w:rFonts w:ascii="黑体" w:eastAsia="黑体" w:hint="eastAsia"/>
                <w:sz w:val="21"/>
              </w:rPr>
            </w:pPr>
            <w:r>
              <w:rPr>
                <w:rFonts w:ascii="黑体" w:eastAsia="黑体" w:hint="eastAsia"/>
                <w:sz w:val="21"/>
              </w:rPr>
              <w:t>脑垂体瘤、脑囊肿、脑血管性疾病不在保障范围内。</w:t>
            </w:r>
          </w:p>
        </w:tc>
      </w:tr>
      <w:tr>
        <w:trPr>
          <w:trHeight w:val="395" w:hRule="atLeast"/>
        </w:trPr>
        <w:tc>
          <w:tcPr>
            <w:tcW w:w="845" w:type="dxa"/>
          </w:tcPr>
          <w:p>
            <w:pPr>
              <w:pStyle w:val="TableParagraph"/>
              <w:spacing w:before="57"/>
              <w:ind w:left="50"/>
              <w:rPr>
                <w:b/>
                <w:sz w:val="21"/>
              </w:rPr>
            </w:pPr>
            <w:r>
              <w:rPr>
                <w:b/>
                <w:sz w:val="21"/>
              </w:rPr>
              <w:t>8.1.6</w:t>
            </w:r>
          </w:p>
        </w:tc>
        <w:tc>
          <w:tcPr>
            <w:tcW w:w="1444" w:type="dxa"/>
          </w:tcPr>
          <w:p>
            <w:pPr>
              <w:pStyle w:val="TableParagraph"/>
              <w:spacing w:before="57"/>
              <w:ind w:left="266"/>
              <w:rPr>
                <w:b/>
                <w:sz w:val="21"/>
              </w:rPr>
            </w:pPr>
            <w:r>
              <w:rPr>
                <w:b/>
                <w:w w:val="95"/>
                <w:sz w:val="21"/>
              </w:rPr>
              <w:t>慢性肝功能</w:t>
            </w:r>
          </w:p>
        </w:tc>
        <w:tc>
          <w:tcPr>
            <w:tcW w:w="7043" w:type="dxa"/>
          </w:tcPr>
          <w:p>
            <w:pPr>
              <w:pStyle w:val="TableParagraph"/>
              <w:spacing w:before="82"/>
              <w:ind w:left="123"/>
              <w:rPr>
                <w:sz w:val="21"/>
              </w:rPr>
            </w:pPr>
            <w:r>
              <w:rPr>
                <w:sz w:val="21"/>
              </w:rPr>
              <w:t>指因慢性肝脏疾病导致肝功能衰竭。须满足下列全部条件：</w:t>
            </w:r>
          </w:p>
        </w:tc>
      </w:tr>
      <w:tr>
        <w:trPr>
          <w:trHeight w:val="656" w:hRule="atLeast"/>
        </w:trPr>
        <w:tc>
          <w:tcPr>
            <w:tcW w:w="845" w:type="dxa"/>
          </w:tcPr>
          <w:p>
            <w:pPr>
              <w:pStyle w:val="TableParagraph"/>
              <w:rPr>
                <w:rFonts w:ascii="Times New Roman"/>
                <w:sz w:val="20"/>
              </w:rPr>
            </w:pPr>
          </w:p>
        </w:tc>
        <w:tc>
          <w:tcPr>
            <w:tcW w:w="1444" w:type="dxa"/>
          </w:tcPr>
          <w:p>
            <w:pPr>
              <w:pStyle w:val="TableParagraph"/>
              <w:spacing w:line="248" w:lineRule="exact"/>
              <w:ind w:left="266"/>
              <w:rPr>
                <w:b/>
                <w:sz w:val="21"/>
              </w:rPr>
            </w:pPr>
            <w:r>
              <w:rPr>
                <w:b/>
                <w:w w:val="95"/>
                <w:sz w:val="21"/>
              </w:rPr>
              <w:t>衰竭失代偿</w:t>
            </w:r>
          </w:p>
          <w:p>
            <w:pPr>
              <w:pStyle w:val="TableParagraph"/>
              <w:spacing w:before="37"/>
              <w:ind w:left="266"/>
              <w:rPr>
                <w:b/>
                <w:sz w:val="21"/>
              </w:rPr>
            </w:pPr>
            <w:r>
              <w:rPr>
                <w:b/>
                <w:w w:val="99"/>
                <w:sz w:val="21"/>
              </w:rPr>
              <w:t>期</w:t>
            </w:r>
          </w:p>
        </w:tc>
        <w:tc>
          <w:tcPr>
            <w:tcW w:w="7043" w:type="dxa"/>
          </w:tcPr>
          <w:p>
            <w:pPr>
              <w:pStyle w:val="TableParagraph"/>
              <w:spacing w:line="278" w:lineRule="auto" w:before="7"/>
              <w:ind w:left="123" w:right="5325"/>
              <w:rPr>
                <w:sz w:val="21"/>
              </w:rPr>
            </w:pPr>
            <w:r>
              <w:rPr>
                <w:sz w:val="21"/>
              </w:rPr>
              <w:t>(1)持续性黄疸； (2)腹水；</w:t>
            </w:r>
          </w:p>
        </w:tc>
      </w:tr>
      <w:tr>
        <w:trPr>
          <w:trHeight w:val="320"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(3)肝性脑病；</w:t>
            </w:r>
          </w:p>
        </w:tc>
      </w:tr>
      <w:tr>
        <w:trPr>
          <w:trHeight w:val="346"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65" w:lineRule="exact"/>
              <w:ind w:left="123"/>
              <w:rPr>
                <w:sz w:val="21"/>
              </w:rPr>
            </w:pPr>
            <w:r>
              <w:rPr>
                <w:sz w:val="21"/>
              </w:rPr>
              <w:t>(4)充血性脾肿大伴脾功能亢进或食管胃底静脉曲张。</w:t>
            </w:r>
          </w:p>
        </w:tc>
      </w:tr>
      <w:tr>
        <w:trPr>
          <w:trHeight w:val="290" w:hRule="atLeast"/>
        </w:trPr>
        <w:tc>
          <w:tcPr>
            <w:tcW w:w="845" w:type="dxa"/>
          </w:tcPr>
          <w:p>
            <w:pPr>
              <w:pStyle w:val="TableParagraph"/>
              <w:rPr>
                <w:rFonts w:ascii="Times New Roman"/>
                <w:sz w:val="20"/>
              </w:rPr>
            </w:pPr>
          </w:p>
        </w:tc>
        <w:tc>
          <w:tcPr>
            <w:tcW w:w="1444" w:type="dxa"/>
          </w:tcPr>
          <w:p>
            <w:pPr>
              <w:pStyle w:val="TableParagraph"/>
              <w:rPr>
                <w:rFonts w:ascii="Times New Roman"/>
                <w:sz w:val="20"/>
              </w:rPr>
            </w:pPr>
          </w:p>
        </w:tc>
        <w:tc>
          <w:tcPr>
            <w:tcW w:w="7043" w:type="dxa"/>
          </w:tcPr>
          <w:p>
            <w:pPr>
              <w:pStyle w:val="TableParagraph"/>
              <w:spacing w:line="255" w:lineRule="exact" w:before="16"/>
              <w:ind w:left="123"/>
              <w:rPr>
                <w:rFonts w:ascii="黑体" w:eastAsia="黑体" w:hint="eastAsia"/>
                <w:sz w:val="21"/>
              </w:rPr>
            </w:pPr>
            <w:r>
              <w:rPr>
                <w:rFonts w:ascii="黑体" w:eastAsia="黑体" w:hint="eastAsia"/>
                <w:sz w:val="21"/>
              </w:rPr>
              <w:t>因酗酒或药物滥用导致的肝功能衰竭不在保障范围内。</w:t>
            </w:r>
          </w:p>
        </w:tc>
      </w:tr>
    </w:tbl>
    <w:p>
      <w:pPr>
        <w:spacing w:after="0" w:line="255" w:lineRule="exact"/>
        <w:rPr>
          <w:rFonts w:ascii="黑体" w:eastAsia="黑体" w:hint="eastAsia"/>
          <w:sz w:val="21"/>
        </w:rPr>
        <w:sectPr>
          <w:pgSz w:w="11910" w:h="16840"/>
          <w:pgMar w:top="1460" w:bottom="280" w:left="1180" w:right="11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391"/>
        <w:gridCol w:w="6940"/>
      </w:tblGrid>
      <w:tr>
        <w:trPr>
          <w:trHeight w:val="260" w:hRule="atLeast"/>
        </w:trPr>
        <w:tc>
          <w:tcPr>
            <w:tcW w:w="898" w:type="dxa"/>
          </w:tcPr>
          <w:p>
            <w:pPr>
              <w:pStyle w:val="TableParagraph"/>
              <w:spacing w:line="210" w:lineRule="exact"/>
              <w:ind w:left="50"/>
              <w:rPr>
                <w:b/>
                <w:sz w:val="21"/>
              </w:rPr>
            </w:pPr>
            <w:r>
              <w:rPr>
                <w:b/>
                <w:sz w:val="21"/>
              </w:rPr>
              <w:t>8.1.7</w:t>
            </w:r>
          </w:p>
        </w:tc>
        <w:tc>
          <w:tcPr>
            <w:tcW w:w="1391" w:type="dxa"/>
          </w:tcPr>
          <w:p>
            <w:pPr>
              <w:pStyle w:val="TableParagraph"/>
              <w:spacing w:line="210" w:lineRule="exact"/>
              <w:ind w:left="213"/>
              <w:rPr>
                <w:b/>
                <w:sz w:val="21"/>
              </w:rPr>
            </w:pPr>
            <w:r>
              <w:rPr>
                <w:b/>
                <w:w w:val="95"/>
                <w:sz w:val="21"/>
              </w:rPr>
              <w:t>脑炎后遗症</w:t>
            </w:r>
          </w:p>
        </w:tc>
        <w:tc>
          <w:tcPr>
            <w:tcW w:w="6940" w:type="dxa"/>
          </w:tcPr>
          <w:p>
            <w:pPr>
              <w:pStyle w:val="TableParagraph"/>
              <w:spacing w:line="210" w:lineRule="exact"/>
              <w:ind w:left="123"/>
              <w:rPr>
                <w:sz w:val="21"/>
              </w:rPr>
            </w:pPr>
            <w:r>
              <w:rPr>
                <w:sz w:val="21"/>
              </w:rPr>
              <w:t>指因患脑炎或脑膜炎导致的神经系统永久性的功能障碍。神经系统永久性</w:t>
            </w:r>
          </w:p>
        </w:tc>
      </w:tr>
      <w:tr>
        <w:trPr>
          <w:trHeight w:val="311" w:hRule="atLeast"/>
        </w:trPr>
        <w:tc>
          <w:tcPr>
            <w:tcW w:w="898" w:type="dxa"/>
          </w:tcPr>
          <w:p>
            <w:pPr>
              <w:pStyle w:val="TableParagraph"/>
              <w:rPr>
                <w:rFonts w:ascii="Times New Roman"/>
                <w:sz w:val="20"/>
              </w:rPr>
            </w:pPr>
          </w:p>
        </w:tc>
        <w:tc>
          <w:tcPr>
            <w:tcW w:w="1391" w:type="dxa"/>
          </w:tcPr>
          <w:p>
            <w:pPr>
              <w:pStyle w:val="TableParagraph"/>
              <w:spacing w:line="261" w:lineRule="exact"/>
              <w:ind w:left="213"/>
              <w:rPr>
                <w:b/>
                <w:sz w:val="21"/>
              </w:rPr>
            </w:pPr>
            <w:r>
              <w:rPr>
                <w:b/>
                <w:w w:val="95"/>
                <w:sz w:val="21"/>
              </w:rPr>
              <w:t>或脑膜炎后</w:t>
            </w:r>
          </w:p>
        </w:tc>
        <w:tc>
          <w:tcPr>
            <w:tcW w:w="6940" w:type="dxa"/>
          </w:tcPr>
          <w:p>
            <w:pPr>
              <w:pStyle w:val="TableParagraph"/>
              <w:spacing w:line="261" w:lineRule="exact"/>
              <w:ind w:left="123"/>
              <w:rPr>
                <w:sz w:val="21"/>
              </w:rPr>
            </w:pPr>
            <w:r>
              <w:rPr>
                <w:sz w:val="21"/>
              </w:rPr>
              <w:t>的功能障碍，指疾病确诊 180 天后，仍遗留下列一种或一种以上障碍：</w:t>
            </w:r>
          </w:p>
        </w:tc>
      </w:tr>
      <w:tr>
        <w:trPr>
          <w:trHeight w:val="311" w:hRule="atLeast"/>
        </w:trPr>
        <w:tc>
          <w:tcPr>
            <w:tcW w:w="898" w:type="dxa"/>
          </w:tcPr>
          <w:p>
            <w:pPr>
              <w:pStyle w:val="TableParagraph"/>
              <w:rPr>
                <w:rFonts w:ascii="Times New Roman"/>
                <w:sz w:val="20"/>
              </w:rPr>
            </w:pPr>
          </w:p>
        </w:tc>
        <w:tc>
          <w:tcPr>
            <w:tcW w:w="1391" w:type="dxa"/>
          </w:tcPr>
          <w:p>
            <w:pPr>
              <w:pStyle w:val="TableParagraph"/>
              <w:spacing w:line="261" w:lineRule="exact"/>
              <w:ind w:left="213"/>
              <w:rPr>
                <w:b/>
                <w:sz w:val="21"/>
              </w:rPr>
            </w:pPr>
            <w:r>
              <w:rPr>
                <w:b/>
                <w:sz w:val="21"/>
              </w:rPr>
              <w:t>遗症</w:t>
            </w:r>
          </w:p>
        </w:tc>
        <w:tc>
          <w:tcPr>
            <w:tcW w:w="6940" w:type="dxa"/>
          </w:tcPr>
          <w:p>
            <w:pPr>
              <w:pStyle w:val="TableParagraph"/>
              <w:spacing w:line="261" w:lineRule="exact"/>
              <w:ind w:left="123"/>
              <w:rPr>
                <w:sz w:val="21"/>
              </w:rPr>
            </w:pPr>
            <w:r>
              <w:rPr>
                <w:sz w:val="21"/>
              </w:rPr>
              <w:t>(1)一肢或一肢以上肢体机能完全丧失；</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(2)语言能力或咀嚼吞咽能力完全丧失；</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pacing w:val="-1"/>
                <w:sz w:val="21"/>
              </w:rPr>
              <w:t>(3)</w:t>
            </w:r>
            <w:r>
              <w:rPr>
                <w:spacing w:val="-6"/>
                <w:sz w:val="21"/>
              </w:rPr>
              <w:t>自主生活能力完全丧失，无法独立完成六项基本日常生活活动中的三项</w:t>
            </w:r>
          </w:p>
        </w:tc>
      </w:tr>
      <w:tr>
        <w:trPr>
          <w:trHeight w:val="382"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或三项以上。</w:t>
            </w:r>
          </w:p>
        </w:tc>
      </w:tr>
      <w:tr>
        <w:trPr>
          <w:trHeight w:val="412" w:hRule="atLeast"/>
        </w:trPr>
        <w:tc>
          <w:tcPr>
            <w:tcW w:w="898" w:type="dxa"/>
          </w:tcPr>
          <w:p>
            <w:pPr>
              <w:pStyle w:val="TableParagraph"/>
              <w:spacing w:before="57"/>
              <w:ind w:left="50"/>
              <w:rPr>
                <w:b/>
                <w:sz w:val="21"/>
              </w:rPr>
            </w:pPr>
            <w:r>
              <w:rPr>
                <w:b/>
                <w:sz w:val="21"/>
              </w:rPr>
              <w:t>8.1.8</w:t>
            </w:r>
          </w:p>
        </w:tc>
        <w:tc>
          <w:tcPr>
            <w:tcW w:w="1391" w:type="dxa"/>
          </w:tcPr>
          <w:p>
            <w:pPr>
              <w:pStyle w:val="TableParagraph"/>
              <w:spacing w:before="57"/>
              <w:ind w:left="213"/>
              <w:rPr>
                <w:b/>
                <w:sz w:val="21"/>
              </w:rPr>
            </w:pPr>
            <w:r>
              <w:rPr>
                <w:b/>
                <w:w w:val="95"/>
                <w:sz w:val="21"/>
              </w:rPr>
              <w:t>深度昏迷</w:t>
            </w:r>
          </w:p>
        </w:tc>
        <w:tc>
          <w:tcPr>
            <w:tcW w:w="6940" w:type="dxa"/>
          </w:tcPr>
          <w:p>
            <w:pPr>
              <w:pStyle w:val="TableParagraph"/>
              <w:spacing w:before="82"/>
              <w:ind w:left="123"/>
              <w:rPr>
                <w:sz w:val="21"/>
              </w:rPr>
            </w:pPr>
            <w:r>
              <w:rPr>
                <w:sz w:val="21"/>
              </w:rPr>
              <w:t>指因疾病或意外伤害导致意识丧失,对外界刺激和体内需求均无反应,昏迷</w:t>
            </w:r>
          </w:p>
        </w:tc>
      </w:tr>
      <w:tr>
        <w:trPr>
          <w:trHeight w:val="319"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5" w:lineRule="exact"/>
              <w:ind w:left="123"/>
              <w:rPr>
                <w:sz w:val="21"/>
              </w:rPr>
            </w:pPr>
            <w:r>
              <w:rPr>
                <w:sz w:val="21"/>
              </w:rPr>
              <w:t>程度按照格拉斯哥昏迷分级（Glasgow coma scale）</w:t>
            </w:r>
            <w:r>
              <w:rPr>
                <w:spacing w:val="-12"/>
                <w:sz w:val="21"/>
              </w:rPr>
              <w:t>结果为 </w:t>
            </w:r>
            <w:r>
              <w:rPr>
                <w:sz w:val="21"/>
              </w:rPr>
              <w:t>5</w:t>
            </w:r>
            <w:r>
              <w:rPr>
                <w:spacing w:val="-23"/>
                <w:sz w:val="21"/>
              </w:rPr>
              <w:t> 分或 </w:t>
            </w:r>
            <w:r>
              <w:rPr>
                <w:sz w:val="21"/>
              </w:rPr>
              <w:t>5</w:t>
            </w:r>
            <w:r>
              <w:rPr>
                <w:spacing w:val="-15"/>
                <w:sz w:val="21"/>
              </w:rPr>
              <w:t> 分以</w:t>
            </w:r>
          </w:p>
        </w:tc>
      </w:tr>
      <w:tr>
        <w:trPr>
          <w:trHeight w:val="358"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5" w:lineRule="exact"/>
              <w:ind w:left="123"/>
              <w:rPr>
                <w:sz w:val="21"/>
              </w:rPr>
            </w:pPr>
            <w:r>
              <w:rPr>
                <w:sz w:val="21"/>
              </w:rPr>
              <w:t>下，且已经持续使用呼吸机及其它生命维持系统 96 小时以上。</w:t>
            </w:r>
          </w:p>
        </w:tc>
      </w:tr>
      <w:tr>
        <w:trPr>
          <w:trHeight w:val="417"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before="29"/>
              <w:ind w:left="123"/>
              <w:rPr>
                <w:rFonts w:ascii="黑体" w:eastAsia="黑体" w:hint="eastAsia"/>
                <w:sz w:val="21"/>
              </w:rPr>
            </w:pPr>
            <w:r>
              <w:rPr>
                <w:rFonts w:ascii="黑体" w:eastAsia="黑体" w:hint="eastAsia"/>
                <w:sz w:val="21"/>
              </w:rPr>
              <w:t>因酗酒或药物滥用导致的深度昏迷不在保障范围内。</w:t>
            </w:r>
          </w:p>
        </w:tc>
      </w:tr>
      <w:tr>
        <w:trPr>
          <w:trHeight w:val="374" w:hRule="atLeast"/>
        </w:trPr>
        <w:tc>
          <w:tcPr>
            <w:tcW w:w="898" w:type="dxa"/>
          </w:tcPr>
          <w:p>
            <w:pPr>
              <w:pStyle w:val="TableParagraph"/>
              <w:spacing w:before="48"/>
              <w:ind w:left="50"/>
              <w:rPr>
                <w:b/>
                <w:sz w:val="21"/>
              </w:rPr>
            </w:pPr>
            <w:r>
              <w:rPr>
                <w:b/>
                <w:sz w:val="21"/>
              </w:rPr>
              <w:t>8.1.9</w:t>
            </w:r>
          </w:p>
        </w:tc>
        <w:tc>
          <w:tcPr>
            <w:tcW w:w="1391" w:type="dxa"/>
          </w:tcPr>
          <w:p>
            <w:pPr>
              <w:pStyle w:val="TableParagraph"/>
              <w:spacing w:before="48"/>
              <w:ind w:left="213"/>
              <w:rPr>
                <w:b/>
                <w:sz w:val="21"/>
              </w:rPr>
            </w:pPr>
            <w:r>
              <w:rPr>
                <w:b/>
                <w:w w:val="95"/>
                <w:sz w:val="21"/>
              </w:rPr>
              <w:t>双耳失聪</w:t>
            </w:r>
          </w:p>
        </w:tc>
        <w:tc>
          <w:tcPr>
            <w:tcW w:w="6940" w:type="dxa"/>
          </w:tcPr>
          <w:p>
            <w:pPr>
              <w:pStyle w:val="TableParagraph"/>
              <w:spacing w:before="48"/>
              <w:ind w:left="123"/>
              <w:rPr>
                <w:sz w:val="21"/>
              </w:rPr>
            </w:pPr>
            <w:r>
              <w:rPr>
                <w:sz w:val="21"/>
              </w:rPr>
              <w:t>指因疾病或意外伤害导致双耳听力</w:t>
            </w:r>
            <w:r>
              <w:rPr>
                <w:b/>
                <w:spacing w:val="-8"/>
                <w:sz w:val="21"/>
              </w:rPr>
              <w:t>永久不可逆</w:t>
            </w:r>
            <w:r>
              <w:rPr>
                <w:sz w:val="21"/>
              </w:rPr>
              <w:t>（详见释义</w:t>
            </w:r>
            <w:r>
              <w:rPr>
                <w:spacing w:val="-39"/>
                <w:sz w:val="21"/>
              </w:rPr>
              <w:t>）</w:t>
            </w:r>
            <w:r>
              <w:rPr>
                <w:spacing w:val="-18"/>
                <w:sz w:val="21"/>
              </w:rPr>
              <w:t>性丧失，在 </w:t>
            </w:r>
            <w:r>
              <w:rPr>
                <w:sz w:val="21"/>
              </w:rPr>
              <w:t>500</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pacing w:val="-1"/>
                <w:sz w:val="21"/>
              </w:rPr>
              <w:t>赫兹、</w:t>
            </w:r>
            <w:r>
              <w:rPr>
                <w:sz w:val="21"/>
              </w:rPr>
              <w:t>1000</w:t>
            </w:r>
            <w:r>
              <w:rPr>
                <w:spacing w:val="-24"/>
                <w:sz w:val="21"/>
              </w:rPr>
              <w:t> 赫兹和 </w:t>
            </w:r>
            <w:r>
              <w:rPr>
                <w:sz w:val="21"/>
              </w:rPr>
              <w:t>2000</w:t>
            </w:r>
            <w:r>
              <w:rPr>
                <w:spacing w:val="-12"/>
                <w:sz w:val="21"/>
              </w:rPr>
              <w:t> 赫兹语音频率下，平均听阈大于 </w:t>
            </w:r>
            <w:r>
              <w:rPr>
                <w:sz w:val="21"/>
              </w:rPr>
              <w:t>90</w:t>
            </w:r>
            <w:r>
              <w:rPr>
                <w:spacing w:val="-10"/>
                <w:sz w:val="21"/>
              </w:rPr>
              <w:t> 分贝，且经纯</w:t>
            </w:r>
          </w:p>
        </w:tc>
      </w:tr>
      <w:tr>
        <w:trPr>
          <w:trHeight w:val="382"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音听力测试、声导抗检测或听觉诱发电位检测等证实。</w:t>
            </w:r>
          </w:p>
        </w:tc>
      </w:tr>
      <w:tr>
        <w:trPr>
          <w:trHeight w:val="382" w:hRule="atLeast"/>
        </w:trPr>
        <w:tc>
          <w:tcPr>
            <w:tcW w:w="898" w:type="dxa"/>
          </w:tcPr>
          <w:p>
            <w:pPr>
              <w:pStyle w:val="TableParagraph"/>
              <w:spacing w:before="57"/>
              <w:ind w:left="50"/>
              <w:rPr>
                <w:b/>
                <w:sz w:val="21"/>
              </w:rPr>
            </w:pPr>
            <w:r>
              <w:rPr>
                <w:b/>
                <w:sz w:val="21"/>
              </w:rPr>
              <w:t>8.1.10</w:t>
            </w:r>
          </w:p>
        </w:tc>
        <w:tc>
          <w:tcPr>
            <w:tcW w:w="1391" w:type="dxa"/>
          </w:tcPr>
          <w:p>
            <w:pPr>
              <w:pStyle w:val="TableParagraph"/>
              <w:spacing w:before="57"/>
              <w:ind w:left="214"/>
              <w:rPr>
                <w:b/>
                <w:sz w:val="21"/>
              </w:rPr>
            </w:pPr>
            <w:r>
              <w:rPr>
                <w:b/>
                <w:w w:val="95"/>
                <w:sz w:val="21"/>
              </w:rPr>
              <w:t>双目失明</w:t>
            </w:r>
          </w:p>
        </w:tc>
        <w:tc>
          <w:tcPr>
            <w:tcW w:w="6940" w:type="dxa"/>
          </w:tcPr>
          <w:p>
            <w:pPr>
              <w:pStyle w:val="TableParagraph"/>
              <w:spacing w:before="57"/>
              <w:ind w:left="123"/>
              <w:rPr>
                <w:sz w:val="21"/>
              </w:rPr>
            </w:pPr>
            <w:r>
              <w:rPr>
                <w:sz w:val="21"/>
              </w:rPr>
              <w:t>指因疾病或意外伤害导致双眼视力永久不可逆性丧失，双眼中较好眼须满</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足下列至少一项条件：</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(1)眼球缺失或摘除；</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(2)矫正视力低于 0.02（采用国际标准视力表，如果使用其它视力表应进</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行换算</w:t>
            </w:r>
            <w:r>
              <w:rPr>
                <w:spacing w:val="-105"/>
                <w:sz w:val="21"/>
              </w:rPr>
              <w:t>）</w:t>
            </w:r>
            <w:r>
              <w:rPr>
                <w:sz w:val="21"/>
              </w:rPr>
              <w:t>；</w:t>
            </w:r>
          </w:p>
        </w:tc>
      </w:tr>
      <w:tr>
        <w:trPr>
          <w:trHeight w:val="383"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(3)视野半径小于 5 度</w:t>
            </w:r>
          </w:p>
        </w:tc>
      </w:tr>
      <w:tr>
        <w:trPr>
          <w:trHeight w:val="383" w:hRule="atLeast"/>
        </w:trPr>
        <w:tc>
          <w:tcPr>
            <w:tcW w:w="898" w:type="dxa"/>
          </w:tcPr>
          <w:p>
            <w:pPr>
              <w:pStyle w:val="TableParagraph"/>
              <w:spacing w:before="57"/>
              <w:ind w:left="50"/>
              <w:rPr>
                <w:b/>
                <w:sz w:val="21"/>
              </w:rPr>
            </w:pPr>
            <w:r>
              <w:rPr>
                <w:b/>
                <w:sz w:val="21"/>
              </w:rPr>
              <w:t>8.1.11</w:t>
            </w:r>
          </w:p>
        </w:tc>
        <w:tc>
          <w:tcPr>
            <w:tcW w:w="1391" w:type="dxa"/>
          </w:tcPr>
          <w:p>
            <w:pPr>
              <w:pStyle w:val="TableParagraph"/>
              <w:spacing w:before="57"/>
              <w:ind w:left="214"/>
              <w:rPr>
                <w:b/>
                <w:sz w:val="21"/>
              </w:rPr>
            </w:pPr>
            <w:r>
              <w:rPr>
                <w:b/>
                <w:w w:val="95"/>
                <w:sz w:val="21"/>
              </w:rPr>
              <w:t>心脏瓣膜手</w:t>
            </w:r>
          </w:p>
        </w:tc>
        <w:tc>
          <w:tcPr>
            <w:tcW w:w="6940" w:type="dxa"/>
          </w:tcPr>
          <w:p>
            <w:pPr>
              <w:pStyle w:val="TableParagraph"/>
              <w:spacing w:before="57"/>
              <w:ind w:left="123"/>
              <w:rPr>
                <w:sz w:val="21"/>
              </w:rPr>
            </w:pPr>
            <w:r>
              <w:rPr>
                <w:sz w:val="21"/>
              </w:rPr>
              <w:t>指为治疗心脏瓣膜疾病，实际实施了开胸进行的心脏瓣膜置换或修复的手</w:t>
            </w:r>
          </w:p>
        </w:tc>
      </w:tr>
      <w:tr>
        <w:trPr>
          <w:trHeight w:val="382" w:hRule="atLeast"/>
        </w:trPr>
        <w:tc>
          <w:tcPr>
            <w:tcW w:w="898" w:type="dxa"/>
          </w:tcPr>
          <w:p>
            <w:pPr>
              <w:pStyle w:val="TableParagraph"/>
              <w:rPr>
                <w:rFonts w:ascii="Times New Roman"/>
                <w:sz w:val="20"/>
              </w:rPr>
            </w:pPr>
          </w:p>
        </w:tc>
        <w:tc>
          <w:tcPr>
            <w:tcW w:w="1391" w:type="dxa"/>
          </w:tcPr>
          <w:p>
            <w:pPr>
              <w:pStyle w:val="TableParagraph"/>
              <w:spacing w:line="261" w:lineRule="exact"/>
              <w:ind w:left="213"/>
              <w:rPr>
                <w:b/>
                <w:sz w:val="21"/>
              </w:rPr>
            </w:pPr>
            <w:r>
              <w:rPr>
                <w:b/>
                <w:w w:val="99"/>
                <w:sz w:val="21"/>
              </w:rPr>
              <w:t>术</w:t>
            </w:r>
          </w:p>
        </w:tc>
        <w:tc>
          <w:tcPr>
            <w:tcW w:w="6940" w:type="dxa"/>
          </w:tcPr>
          <w:p>
            <w:pPr>
              <w:pStyle w:val="TableParagraph"/>
              <w:spacing w:line="261" w:lineRule="exact"/>
              <w:ind w:left="123"/>
              <w:rPr>
                <w:sz w:val="21"/>
              </w:rPr>
            </w:pPr>
            <w:r>
              <w:rPr>
                <w:sz w:val="21"/>
              </w:rPr>
              <w:t>术。</w:t>
            </w:r>
          </w:p>
        </w:tc>
      </w:tr>
      <w:tr>
        <w:trPr>
          <w:trHeight w:val="382" w:hRule="atLeast"/>
        </w:trPr>
        <w:tc>
          <w:tcPr>
            <w:tcW w:w="898" w:type="dxa"/>
          </w:tcPr>
          <w:p>
            <w:pPr>
              <w:pStyle w:val="TableParagraph"/>
              <w:spacing w:before="57"/>
              <w:ind w:left="50"/>
              <w:rPr>
                <w:b/>
                <w:sz w:val="21"/>
              </w:rPr>
            </w:pPr>
            <w:r>
              <w:rPr>
                <w:b/>
                <w:sz w:val="21"/>
              </w:rPr>
              <w:t>8.1.12</w:t>
            </w:r>
          </w:p>
        </w:tc>
        <w:tc>
          <w:tcPr>
            <w:tcW w:w="1391" w:type="dxa"/>
          </w:tcPr>
          <w:p>
            <w:pPr>
              <w:pStyle w:val="TableParagraph"/>
              <w:spacing w:before="57"/>
              <w:ind w:left="213"/>
              <w:rPr>
                <w:b/>
                <w:sz w:val="21"/>
              </w:rPr>
            </w:pPr>
            <w:r>
              <w:rPr>
                <w:b/>
                <w:w w:val="95"/>
                <w:sz w:val="21"/>
              </w:rPr>
              <w:t>严重脑损伤</w:t>
            </w:r>
          </w:p>
        </w:tc>
        <w:tc>
          <w:tcPr>
            <w:tcW w:w="6940" w:type="dxa"/>
          </w:tcPr>
          <w:p>
            <w:pPr>
              <w:pStyle w:val="TableParagraph"/>
              <w:spacing w:before="57"/>
              <w:ind w:left="123"/>
              <w:rPr>
                <w:sz w:val="21"/>
              </w:rPr>
            </w:pPr>
            <w:r>
              <w:rPr>
                <w:sz w:val="21"/>
              </w:rPr>
              <w:t>指因头部遭受机械性外力，引起脑重要部位损伤，导致神经系统永久性的</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功能障碍。须由头颅断层扫描</w:t>
            </w:r>
            <w:r>
              <w:rPr>
                <w:spacing w:val="0"/>
                <w:sz w:val="21"/>
              </w:rPr>
              <w:t>（CT</w:t>
            </w:r>
            <w:r>
              <w:rPr>
                <w:spacing w:val="-104"/>
                <w:sz w:val="21"/>
              </w:rPr>
              <w:t>）</w:t>
            </w:r>
            <w:r>
              <w:rPr>
                <w:sz w:val="21"/>
              </w:rPr>
              <w:t>、核磁共振检查</w:t>
            </w:r>
            <w:r>
              <w:rPr>
                <w:spacing w:val="0"/>
                <w:sz w:val="21"/>
              </w:rPr>
              <w:t>（MRI）</w:t>
            </w:r>
            <w:r>
              <w:rPr>
                <w:sz w:val="21"/>
              </w:rPr>
              <w:t>或正电子发射</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pacing w:val="-5"/>
                <w:sz w:val="21"/>
              </w:rPr>
              <w:t>断层扫描</w:t>
            </w:r>
            <w:r>
              <w:rPr>
                <w:spacing w:val="-3"/>
                <w:sz w:val="21"/>
              </w:rPr>
              <w:t>（PET）等影像学检查证实。神经系统永久性的功能障碍，指脑损</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伤 180 天后，仍遗留下列一种或一种以上障碍：</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(1)一肢或一肢以上肢体机能完全丧失；</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(2)语言能力或咀嚼吞咽能力完全丧失；</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pacing w:val="-1"/>
                <w:sz w:val="21"/>
              </w:rPr>
              <w:t>(3)</w:t>
            </w:r>
            <w:r>
              <w:rPr>
                <w:spacing w:val="-6"/>
                <w:sz w:val="21"/>
              </w:rPr>
              <w:t>自主生活能力完全丧失，无法独立完成六项基本日常生活活动中的三项</w:t>
            </w:r>
          </w:p>
        </w:tc>
      </w:tr>
      <w:tr>
        <w:trPr>
          <w:trHeight w:val="382"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或三项以上。</w:t>
            </w:r>
          </w:p>
        </w:tc>
      </w:tr>
      <w:tr>
        <w:trPr>
          <w:trHeight w:val="382" w:hRule="atLeast"/>
        </w:trPr>
        <w:tc>
          <w:tcPr>
            <w:tcW w:w="898" w:type="dxa"/>
          </w:tcPr>
          <w:p>
            <w:pPr>
              <w:pStyle w:val="TableParagraph"/>
              <w:spacing w:before="57"/>
              <w:ind w:left="50"/>
              <w:rPr>
                <w:b/>
                <w:sz w:val="21"/>
              </w:rPr>
            </w:pPr>
            <w:r>
              <w:rPr>
                <w:b/>
                <w:sz w:val="21"/>
              </w:rPr>
              <w:t>8.1.13</w:t>
            </w:r>
          </w:p>
        </w:tc>
        <w:tc>
          <w:tcPr>
            <w:tcW w:w="1391" w:type="dxa"/>
          </w:tcPr>
          <w:p>
            <w:pPr>
              <w:pStyle w:val="TableParagraph"/>
              <w:spacing w:before="57"/>
              <w:ind w:left="214"/>
              <w:rPr>
                <w:b/>
                <w:sz w:val="21"/>
              </w:rPr>
            </w:pPr>
            <w:r>
              <w:rPr>
                <w:b/>
                <w:w w:val="95"/>
                <w:sz w:val="21"/>
              </w:rPr>
              <w:t>严重Ⅲ度烧</w:t>
            </w:r>
          </w:p>
        </w:tc>
        <w:tc>
          <w:tcPr>
            <w:tcW w:w="6940" w:type="dxa"/>
          </w:tcPr>
          <w:p>
            <w:pPr>
              <w:pStyle w:val="TableParagraph"/>
              <w:spacing w:before="57"/>
              <w:ind w:left="123"/>
              <w:rPr>
                <w:sz w:val="21"/>
              </w:rPr>
            </w:pPr>
            <w:r>
              <w:rPr>
                <w:spacing w:val="-9"/>
                <w:sz w:val="21"/>
              </w:rPr>
              <w:t>指烧伤程度为Ⅲ度，且Ⅲ度烧伤的面积达到全身体表面积的 </w:t>
            </w:r>
            <w:r>
              <w:rPr>
                <w:sz w:val="21"/>
              </w:rPr>
              <w:t>20％</w:t>
            </w:r>
            <w:r>
              <w:rPr>
                <w:spacing w:val="-27"/>
                <w:sz w:val="21"/>
              </w:rPr>
              <w:t>或 </w:t>
            </w:r>
            <w:r>
              <w:rPr>
                <w:sz w:val="21"/>
              </w:rPr>
              <w:t>20％以</w:t>
            </w:r>
          </w:p>
        </w:tc>
      </w:tr>
      <w:tr>
        <w:trPr>
          <w:trHeight w:val="383" w:hRule="atLeast"/>
        </w:trPr>
        <w:tc>
          <w:tcPr>
            <w:tcW w:w="898" w:type="dxa"/>
          </w:tcPr>
          <w:p>
            <w:pPr>
              <w:pStyle w:val="TableParagraph"/>
              <w:rPr>
                <w:rFonts w:ascii="Times New Roman"/>
                <w:sz w:val="20"/>
              </w:rPr>
            </w:pPr>
          </w:p>
        </w:tc>
        <w:tc>
          <w:tcPr>
            <w:tcW w:w="1391" w:type="dxa"/>
          </w:tcPr>
          <w:p>
            <w:pPr>
              <w:pStyle w:val="TableParagraph"/>
              <w:spacing w:line="261" w:lineRule="exact"/>
              <w:ind w:left="213"/>
              <w:rPr>
                <w:b/>
                <w:sz w:val="21"/>
              </w:rPr>
            </w:pPr>
            <w:r>
              <w:rPr>
                <w:b/>
                <w:w w:val="99"/>
                <w:sz w:val="21"/>
              </w:rPr>
              <w:t>伤</w:t>
            </w:r>
          </w:p>
        </w:tc>
        <w:tc>
          <w:tcPr>
            <w:tcW w:w="6940" w:type="dxa"/>
          </w:tcPr>
          <w:p>
            <w:pPr>
              <w:pStyle w:val="TableParagraph"/>
              <w:spacing w:line="261" w:lineRule="exact"/>
              <w:ind w:left="123"/>
              <w:rPr>
                <w:sz w:val="21"/>
              </w:rPr>
            </w:pPr>
            <w:r>
              <w:rPr>
                <w:sz w:val="21"/>
              </w:rPr>
              <w:t>上。体表面积根据《中国新九分法》计算。</w:t>
            </w:r>
          </w:p>
        </w:tc>
      </w:tr>
      <w:tr>
        <w:trPr>
          <w:trHeight w:val="758" w:hRule="atLeast"/>
        </w:trPr>
        <w:tc>
          <w:tcPr>
            <w:tcW w:w="898" w:type="dxa"/>
          </w:tcPr>
          <w:p>
            <w:pPr>
              <w:pStyle w:val="TableParagraph"/>
              <w:spacing w:before="57"/>
              <w:ind w:left="50"/>
              <w:rPr>
                <w:b/>
                <w:sz w:val="21"/>
              </w:rPr>
            </w:pPr>
            <w:r>
              <w:rPr>
                <w:b/>
                <w:sz w:val="21"/>
              </w:rPr>
              <w:t>8.1.14</w:t>
            </w:r>
          </w:p>
        </w:tc>
        <w:tc>
          <w:tcPr>
            <w:tcW w:w="1391" w:type="dxa"/>
          </w:tcPr>
          <w:p>
            <w:pPr>
              <w:pStyle w:val="TableParagraph"/>
              <w:spacing w:line="273" w:lineRule="auto" w:before="57"/>
              <w:ind w:left="213" w:right="120"/>
              <w:rPr>
                <w:b/>
                <w:sz w:val="21"/>
              </w:rPr>
            </w:pPr>
            <w:r>
              <w:rPr>
                <w:b/>
                <w:sz w:val="21"/>
              </w:rPr>
              <w:t>语言能力丧失</w:t>
            </w:r>
          </w:p>
        </w:tc>
        <w:tc>
          <w:tcPr>
            <w:tcW w:w="6940" w:type="dxa"/>
          </w:tcPr>
          <w:p>
            <w:pPr>
              <w:pStyle w:val="TableParagraph"/>
              <w:spacing w:before="82"/>
              <w:ind w:left="123"/>
              <w:rPr>
                <w:sz w:val="21"/>
              </w:rPr>
            </w:pPr>
            <w:r>
              <w:rPr>
                <w:sz w:val="21"/>
              </w:rPr>
              <w:t>指因疾病或意外伤害导致完全丧失语言能力，经过积极治疗至少 12 个月</w:t>
            </w:r>
          </w:p>
          <w:p>
            <w:pPr>
              <w:pStyle w:val="TableParagraph"/>
              <w:spacing w:before="43"/>
              <w:ind w:left="123"/>
              <w:rPr>
                <w:sz w:val="21"/>
              </w:rPr>
            </w:pPr>
            <w:r>
              <w:rPr>
                <w:sz w:val="21"/>
              </w:rPr>
              <w:t>（声带完全切除不受此时间限制</w:t>
            </w:r>
            <w:r>
              <w:rPr>
                <w:spacing w:val="-105"/>
                <w:sz w:val="21"/>
              </w:rPr>
              <w:t>）</w:t>
            </w:r>
            <w:r>
              <w:rPr>
                <w:spacing w:val="-1"/>
                <w:sz w:val="21"/>
              </w:rPr>
              <w:t>，仍无法通过现有医疗手段恢复。</w:t>
            </w:r>
          </w:p>
        </w:tc>
      </w:tr>
      <w:tr>
        <w:trPr>
          <w:trHeight w:val="413"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before="16"/>
              <w:ind w:left="123"/>
              <w:rPr>
                <w:rFonts w:ascii="黑体" w:eastAsia="黑体" w:hint="eastAsia"/>
                <w:sz w:val="21"/>
              </w:rPr>
            </w:pPr>
            <w:r>
              <w:rPr>
                <w:rFonts w:ascii="黑体" w:eastAsia="黑体" w:hint="eastAsia"/>
                <w:sz w:val="21"/>
              </w:rPr>
              <w:t>精神心理因素所致的语言能力丧失不在保障范围内。</w:t>
            </w:r>
          </w:p>
        </w:tc>
      </w:tr>
      <w:tr>
        <w:trPr>
          <w:trHeight w:val="382" w:hRule="atLeast"/>
        </w:trPr>
        <w:tc>
          <w:tcPr>
            <w:tcW w:w="898" w:type="dxa"/>
          </w:tcPr>
          <w:p>
            <w:pPr>
              <w:pStyle w:val="TableParagraph"/>
              <w:spacing w:before="57"/>
              <w:ind w:left="50"/>
              <w:rPr>
                <w:b/>
                <w:sz w:val="21"/>
              </w:rPr>
            </w:pPr>
            <w:r>
              <w:rPr>
                <w:b/>
                <w:sz w:val="21"/>
              </w:rPr>
              <w:t>8.1.15</w:t>
            </w:r>
          </w:p>
        </w:tc>
        <w:tc>
          <w:tcPr>
            <w:tcW w:w="1391" w:type="dxa"/>
          </w:tcPr>
          <w:p>
            <w:pPr>
              <w:pStyle w:val="TableParagraph"/>
              <w:spacing w:before="57"/>
              <w:ind w:left="214"/>
              <w:rPr>
                <w:b/>
                <w:sz w:val="21"/>
              </w:rPr>
            </w:pPr>
            <w:r>
              <w:rPr>
                <w:b/>
                <w:w w:val="95"/>
                <w:sz w:val="21"/>
              </w:rPr>
              <w:t>重型再生障</w:t>
            </w:r>
          </w:p>
        </w:tc>
        <w:tc>
          <w:tcPr>
            <w:tcW w:w="6940" w:type="dxa"/>
          </w:tcPr>
          <w:p>
            <w:pPr>
              <w:pStyle w:val="TableParagraph"/>
              <w:spacing w:before="57"/>
              <w:ind w:left="123"/>
              <w:rPr>
                <w:sz w:val="21"/>
              </w:rPr>
            </w:pPr>
            <w:r>
              <w:rPr>
                <w:sz w:val="21"/>
              </w:rPr>
              <w:t>指因骨髓造血功能慢性持续性衰竭导致的贫血、中性粒细胞减少及血小板</w:t>
            </w:r>
          </w:p>
        </w:tc>
      </w:tr>
      <w:tr>
        <w:trPr>
          <w:trHeight w:val="311" w:hRule="atLeast"/>
        </w:trPr>
        <w:tc>
          <w:tcPr>
            <w:tcW w:w="898" w:type="dxa"/>
          </w:tcPr>
          <w:p>
            <w:pPr>
              <w:pStyle w:val="TableParagraph"/>
              <w:rPr>
                <w:rFonts w:ascii="Times New Roman"/>
                <w:sz w:val="20"/>
              </w:rPr>
            </w:pPr>
          </w:p>
        </w:tc>
        <w:tc>
          <w:tcPr>
            <w:tcW w:w="1391" w:type="dxa"/>
          </w:tcPr>
          <w:p>
            <w:pPr>
              <w:pStyle w:val="TableParagraph"/>
              <w:spacing w:line="261" w:lineRule="exact"/>
              <w:ind w:left="213"/>
              <w:rPr>
                <w:b/>
                <w:sz w:val="21"/>
              </w:rPr>
            </w:pPr>
            <w:r>
              <w:rPr>
                <w:b/>
                <w:sz w:val="21"/>
              </w:rPr>
              <w:t>碍性贫血</w:t>
            </w:r>
          </w:p>
        </w:tc>
        <w:tc>
          <w:tcPr>
            <w:tcW w:w="6940" w:type="dxa"/>
          </w:tcPr>
          <w:p>
            <w:pPr>
              <w:pStyle w:val="TableParagraph"/>
              <w:spacing w:line="261" w:lineRule="exact"/>
              <w:ind w:left="123"/>
              <w:rPr>
                <w:sz w:val="21"/>
              </w:rPr>
            </w:pPr>
            <w:r>
              <w:rPr>
                <w:sz w:val="21"/>
              </w:rPr>
              <w:t>减少。须满足下列全部条件：</w:t>
            </w:r>
          </w:p>
        </w:tc>
      </w:tr>
      <w:tr>
        <w:trPr>
          <w:trHeight w:val="311" w:hRule="atLeast"/>
        </w:trPr>
        <w:tc>
          <w:tcPr>
            <w:tcW w:w="898" w:type="dxa"/>
          </w:tcPr>
          <w:p>
            <w:pPr>
              <w:pStyle w:val="TableParagraph"/>
              <w:rPr>
                <w:rFonts w:ascii="Times New Roman"/>
                <w:sz w:val="20"/>
              </w:rPr>
            </w:pPr>
          </w:p>
        </w:tc>
        <w:tc>
          <w:tcPr>
            <w:tcW w:w="1391" w:type="dxa"/>
          </w:tcPr>
          <w:p>
            <w:pPr>
              <w:pStyle w:val="TableParagraph"/>
              <w:rPr>
                <w:rFonts w:ascii="Times New Roman"/>
                <w:sz w:val="20"/>
              </w:rPr>
            </w:pPr>
          </w:p>
        </w:tc>
        <w:tc>
          <w:tcPr>
            <w:tcW w:w="6940" w:type="dxa"/>
          </w:tcPr>
          <w:p>
            <w:pPr>
              <w:pStyle w:val="TableParagraph"/>
              <w:spacing w:line="261" w:lineRule="exact"/>
              <w:ind w:left="123"/>
              <w:rPr>
                <w:sz w:val="21"/>
              </w:rPr>
            </w:pPr>
            <w:r>
              <w:rPr>
                <w:sz w:val="21"/>
              </w:rPr>
              <w:t>(1)骨髓穿刺检查或骨髓活检结果支持诊断；</w:t>
            </w:r>
          </w:p>
        </w:tc>
      </w:tr>
      <w:tr>
        <w:trPr>
          <w:trHeight w:val="260" w:hRule="atLeast"/>
        </w:trPr>
        <w:tc>
          <w:tcPr>
            <w:tcW w:w="898" w:type="dxa"/>
          </w:tcPr>
          <w:p>
            <w:pPr>
              <w:pStyle w:val="TableParagraph"/>
              <w:rPr>
                <w:rFonts w:ascii="Times New Roman"/>
                <w:sz w:val="18"/>
              </w:rPr>
            </w:pPr>
          </w:p>
        </w:tc>
        <w:tc>
          <w:tcPr>
            <w:tcW w:w="1391" w:type="dxa"/>
          </w:tcPr>
          <w:p>
            <w:pPr>
              <w:pStyle w:val="TableParagraph"/>
              <w:rPr>
                <w:rFonts w:ascii="Times New Roman"/>
                <w:sz w:val="18"/>
              </w:rPr>
            </w:pPr>
          </w:p>
        </w:tc>
        <w:tc>
          <w:tcPr>
            <w:tcW w:w="6940" w:type="dxa"/>
          </w:tcPr>
          <w:p>
            <w:pPr>
              <w:pStyle w:val="TableParagraph"/>
              <w:spacing w:line="241" w:lineRule="exact"/>
              <w:ind w:left="123"/>
              <w:rPr>
                <w:sz w:val="21"/>
              </w:rPr>
            </w:pPr>
            <w:r>
              <w:rPr>
                <w:sz w:val="21"/>
              </w:rPr>
              <w:t>(2)外周血象须具备以下三项条件：</w:t>
            </w:r>
          </w:p>
        </w:tc>
      </w:tr>
    </w:tbl>
    <w:p>
      <w:pPr>
        <w:pStyle w:val="BodyText"/>
        <w:spacing w:before="45"/>
        <w:ind w:left="3048"/>
      </w:pPr>
      <w:r>
        <w:rPr/>
        <w:t>① 中性粒细胞绝对值≤0.5×10</w:t>
      </w:r>
      <w:r>
        <w:rPr>
          <w:position w:val="11"/>
          <w:sz w:val="11"/>
        </w:rPr>
        <w:t>9</w:t>
      </w:r>
      <w:r>
        <w:rPr/>
        <w:t>/L；</w:t>
      </w:r>
    </w:p>
    <w:p>
      <w:pPr>
        <w:pStyle w:val="BodyText"/>
        <w:spacing w:before="36"/>
        <w:ind w:left="3048"/>
      </w:pPr>
      <w:r>
        <w:rPr/>
        <w:t>② 网织红细胞＜1%；</w:t>
      </w:r>
    </w:p>
    <w:p>
      <w:pPr>
        <w:spacing w:after="0"/>
        <w:sectPr>
          <w:pgSz w:w="11910" w:h="16840"/>
          <w:pgMar w:top="1460" w:bottom="280" w:left="1180" w:right="1280"/>
        </w:sectPr>
      </w:pPr>
    </w:p>
    <w:p>
      <w:pPr>
        <w:pStyle w:val="BodyText"/>
        <w:spacing w:before="43"/>
        <w:ind w:left="2989"/>
      </w:pPr>
      <w:r>
        <w:rPr/>
        <w:t>③ 血小板绝对值≤20×10</w:t>
      </w:r>
      <w:r>
        <w:rPr>
          <w:position w:val="11"/>
          <w:sz w:val="11"/>
        </w:rPr>
        <w:t>9</w:t>
      </w:r>
      <w:r>
        <w:rPr/>
        <w:t>/L。</w:t>
      </w:r>
    </w:p>
    <w:p>
      <w:pPr>
        <w:pStyle w:val="ListParagraph"/>
        <w:numPr>
          <w:ilvl w:val="2"/>
          <w:numId w:val="10"/>
        </w:numPr>
        <w:tabs>
          <w:tab w:pos="1163" w:val="left" w:leader="none"/>
        </w:tabs>
        <w:spacing w:line="273" w:lineRule="auto" w:before="178" w:after="0"/>
        <w:ind w:left="2463" w:right="213" w:hanging="2363"/>
        <w:jc w:val="both"/>
        <w:rPr>
          <w:sz w:val="21"/>
        </w:rPr>
      </w:pPr>
      <w:r>
        <w:rPr>
          <w:b/>
          <w:spacing w:val="7"/>
          <w:sz w:val="21"/>
        </w:rPr>
        <w:t>川崎病     </w:t>
      </w:r>
      <w:r>
        <w:rPr>
          <w:sz w:val="21"/>
        </w:rPr>
        <w:t>本保障仅限于伴有冠状动脉扩张或冠状动脉瘤的川崎病，且此冠状动脉扩</w:t>
      </w:r>
      <w:r>
        <w:rPr>
          <w:spacing w:val="-2"/>
          <w:sz w:val="21"/>
        </w:rPr>
        <w:t>张或冠状动脉瘤于最初急性发病后持续至少 </w:t>
      </w:r>
      <w:r>
        <w:rPr>
          <w:sz w:val="21"/>
        </w:rPr>
        <w:t>6</w:t>
      </w:r>
      <w:r>
        <w:rPr>
          <w:spacing w:val="-6"/>
          <w:sz w:val="21"/>
        </w:rPr>
        <w:t> 个月。理赔时必须提供超声心动图显示其有冠状动脉扩张或冠状动脉瘤。</w:t>
      </w:r>
    </w:p>
    <w:p>
      <w:pPr>
        <w:pStyle w:val="BodyText"/>
        <w:spacing w:before="9"/>
        <w:rPr>
          <w:sz w:val="8"/>
        </w:rPr>
      </w:pPr>
    </w:p>
    <w:p>
      <w:pPr>
        <w:spacing w:after="0"/>
        <w:rPr>
          <w:sz w:val="8"/>
        </w:rPr>
        <w:sectPr>
          <w:pgSz w:w="11910" w:h="16840"/>
          <w:pgMar w:top="1360" w:bottom="280" w:left="1240" w:right="1220"/>
        </w:sectPr>
      </w:pPr>
    </w:p>
    <w:p>
      <w:pPr>
        <w:pStyle w:val="Heading2"/>
        <w:numPr>
          <w:ilvl w:val="2"/>
          <w:numId w:val="10"/>
        </w:numPr>
        <w:tabs>
          <w:tab w:pos="1162" w:val="left" w:leader="none"/>
          <w:tab w:pos="1163" w:val="left" w:leader="none"/>
        </w:tabs>
        <w:spacing w:line="273" w:lineRule="auto" w:before="35" w:after="0"/>
        <w:ind w:left="1162" w:right="0" w:hanging="1062"/>
        <w:jc w:val="left"/>
      </w:pPr>
      <w:r>
        <w:rPr>
          <w:w w:val="95"/>
        </w:rPr>
        <w:t>婴儿进行性脊肌萎缩症</w:t>
      </w:r>
    </w:p>
    <w:p>
      <w:pPr>
        <w:pStyle w:val="BodyText"/>
        <w:spacing w:line="273" w:lineRule="auto" w:before="35"/>
        <w:ind w:left="100" w:right="213"/>
        <w:jc w:val="both"/>
        <w:rPr>
          <w:rFonts w:ascii="黑体" w:eastAsia="黑体" w:hint="eastAsia"/>
        </w:rPr>
      </w:pPr>
      <w:r>
        <w:rPr/>
        <w:br w:type="column"/>
      </w:r>
      <w:r>
        <w:rPr/>
        <w:t>该病是累及脊髓前角细胞及延髓运动核的神经元退行性变性病。理赔时必</w:t>
      </w:r>
      <w:r>
        <w:rPr>
          <w:spacing w:val="-4"/>
        </w:rPr>
        <w:t>须提供支持诊断的肌肉活检病理报告。</w:t>
      </w:r>
      <w:r>
        <w:rPr>
          <w:rFonts w:ascii="黑体" w:eastAsia="黑体" w:hint="eastAsia"/>
          <w:spacing w:val="-5"/>
        </w:rPr>
        <w:t>其它类型的脊肌萎缩症如 </w:t>
      </w:r>
      <w:r>
        <w:rPr>
          <w:rFonts w:ascii="黑体" w:eastAsia="黑体" w:hint="eastAsia"/>
        </w:rPr>
        <w:t>II</w:t>
      </w:r>
      <w:r>
        <w:rPr>
          <w:rFonts w:ascii="黑体" w:eastAsia="黑体" w:hint="eastAsia"/>
          <w:spacing w:val="-15"/>
        </w:rPr>
        <w:t> 型中间型进行性脊肌萎缩症、III</w:t>
      </w:r>
      <w:r>
        <w:rPr>
          <w:rFonts w:ascii="黑体" w:eastAsia="黑体" w:hint="eastAsia"/>
          <w:spacing w:val="-6"/>
        </w:rPr>
        <w:t> 型少年性脊肌萎缩症</w:t>
      </w:r>
      <w:r>
        <w:rPr>
          <w:rFonts w:ascii="黑体" w:eastAsia="黑体" w:hint="eastAsia"/>
        </w:rPr>
        <w:t>（Kugelberg-Welander</w:t>
      </w:r>
      <w:r>
        <w:rPr>
          <w:rFonts w:ascii="黑体" w:eastAsia="黑体" w:hint="eastAsia"/>
          <w:spacing w:val="-18"/>
        </w:rPr>
        <w:t> 氏病）不在本保障范围内。</w:t>
      </w:r>
    </w:p>
    <w:p>
      <w:pPr>
        <w:spacing w:after="0" w:line="273" w:lineRule="auto"/>
        <w:jc w:val="both"/>
        <w:rPr>
          <w:rFonts w:ascii="黑体" w:eastAsia="黑体" w:hint="eastAsia"/>
        </w:rPr>
        <w:sectPr>
          <w:type w:val="continuous"/>
          <w:pgSz w:w="11910" w:h="16840"/>
          <w:pgMar w:top="200" w:bottom="280" w:left="1240" w:right="1220"/>
          <w:cols w:num="2" w:equalWidth="0">
            <w:col w:w="2217" w:space="146"/>
            <w:col w:w="7087"/>
          </w:cols>
        </w:sectPr>
      </w:pPr>
    </w:p>
    <w:p>
      <w:pPr>
        <w:pStyle w:val="BodyText"/>
        <w:spacing w:before="10"/>
        <w:rPr>
          <w:rFonts w:ascii="黑体"/>
          <w:sz w:val="8"/>
        </w:rPr>
      </w:pPr>
    </w:p>
    <w:p>
      <w:pPr>
        <w:pStyle w:val="ListParagraph"/>
        <w:numPr>
          <w:ilvl w:val="2"/>
          <w:numId w:val="10"/>
        </w:numPr>
        <w:tabs>
          <w:tab w:pos="1162" w:val="left" w:leader="none"/>
          <w:tab w:pos="1163" w:val="left" w:leader="none"/>
          <w:tab w:pos="2463" w:val="left" w:leader="none"/>
        </w:tabs>
        <w:spacing w:line="240" w:lineRule="auto" w:before="35" w:after="0"/>
        <w:ind w:left="1162" w:right="0" w:hanging="1062"/>
        <w:jc w:val="left"/>
        <w:rPr>
          <w:sz w:val="21"/>
        </w:rPr>
      </w:pPr>
      <w:r>
        <w:rPr>
          <w:b/>
          <w:sz w:val="21"/>
        </w:rPr>
        <w:t>严重哮喘</w:t>
        <w:tab/>
      </w:r>
      <w:r>
        <w:rPr>
          <w:sz w:val="21"/>
        </w:rPr>
        <w:t>一种可逆性、反复发作的支气管阻塞性疾病。须满足下列至少三项条件：</w:t>
      </w:r>
    </w:p>
    <w:p>
      <w:pPr>
        <w:pStyle w:val="BodyText"/>
        <w:spacing w:before="36"/>
        <w:ind w:left="2463"/>
      </w:pPr>
      <w:r>
        <w:rPr/>
        <w:t>(1)过去两年中有哮喘持续状态病史；</w:t>
      </w:r>
    </w:p>
    <w:p>
      <w:pPr>
        <w:pStyle w:val="BodyText"/>
        <w:spacing w:line="273" w:lineRule="auto" w:before="36"/>
        <w:ind w:left="2463" w:right="213"/>
      </w:pPr>
      <w:r>
        <w:rPr/>
        <w:t>(2)身体活动耐受能力显著且持续下降或在家中需要医师处方的氧气治疗法；</w:t>
      </w:r>
    </w:p>
    <w:p>
      <w:pPr>
        <w:pStyle w:val="BodyText"/>
        <w:spacing w:before="7"/>
        <w:ind w:left="2463"/>
        <w:jc w:val="both"/>
      </w:pPr>
      <w:r>
        <w:rPr/>
        <w:t>(3)胸部X 片证实肺部慢性过度膨胀充气导致的胸廓畸形；</w:t>
      </w:r>
    </w:p>
    <w:p>
      <w:pPr>
        <w:pStyle w:val="BodyText"/>
        <w:spacing w:before="37"/>
        <w:ind w:left="2463"/>
        <w:jc w:val="both"/>
      </w:pPr>
      <w:r>
        <w:rPr/>
        <w:t>(4)持续日常服用口服可的松类固醇激素（</w:t>
      </w:r>
      <w:r>
        <w:rPr>
          <w:spacing w:val="-8"/>
        </w:rPr>
        <w:t>至少持续服用 </w:t>
      </w:r>
      <w:r>
        <w:rPr/>
        <w:t>6</w:t>
      </w:r>
      <w:r>
        <w:rPr>
          <w:spacing w:val="-12"/>
        </w:rPr>
        <w:t> 个月以上</w:t>
      </w:r>
      <w:r>
        <w:rPr>
          <w:spacing w:val="-105"/>
        </w:rPr>
        <w:t>）</w:t>
      </w:r>
      <w:r>
        <w:rPr/>
        <w:t>。</w:t>
      </w:r>
    </w:p>
    <w:p>
      <w:pPr>
        <w:pStyle w:val="ListParagraph"/>
        <w:numPr>
          <w:ilvl w:val="2"/>
          <w:numId w:val="10"/>
        </w:numPr>
        <w:tabs>
          <w:tab w:pos="1161" w:val="left" w:leader="none"/>
          <w:tab w:pos="1162" w:val="left" w:leader="none"/>
          <w:tab w:pos="2463" w:val="left" w:leader="none"/>
        </w:tabs>
        <w:spacing w:line="240" w:lineRule="auto" w:before="179" w:after="0"/>
        <w:ind w:left="1161" w:right="0" w:hanging="1061"/>
        <w:jc w:val="left"/>
        <w:rPr>
          <w:sz w:val="21"/>
        </w:rPr>
      </w:pPr>
      <w:r>
        <w:rPr>
          <w:b/>
          <w:sz w:val="21"/>
        </w:rPr>
        <w:t>成骨不全症</w:t>
        <w:tab/>
      </w:r>
      <w:r>
        <w:rPr>
          <w:sz w:val="21"/>
        </w:rPr>
        <w:t>一种胶元病</w:t>
      </w:r>
      <w:r>
        <w:rPr>
          <w:spacing w:val="-15"/>
          <w:sz w:val="21"/>
        </w:rPr>
        <w:t>，</w:t>
      </w:r>
      <w:r>
        <w:rPr>
          <w:sz w:val="21"/>
        </w:rPr>
        <w:t>特征为骨易碎</w:t>
      </w:r>
      <w:r>
        <w:rPr>
          <w:spacing w:val="-15"/>
          <w:sz w:val="21"/>
        </w:rPr>
        <w:t>、</w:t>
      </w:r>
      <w:r>
        <w:rPr>
          <w:sz w:val="21"/>
        </w:rPr>
        <w:t>骨质疏松和易骨折</w:t>
      </w:r>
      <w:r>
        <w:rPr>
          <w:spacing w:val="-15"/>
          <w:sz w:val="21"/>
        </w:rPr>
        <w:t>。</w:t>
      </w:r>
      <w:r>
        <w:rPr>
          <w:sz w:val="21"/>
        </w:rPr>
        <w:t>该病有</w:t>
      </w:r>
      <w:r>
        <w:rPr>
          <w:spacing w:val="-54"/>
          <w:sz w:val="21"/>
        </w:rPr>
        <w:t> </w:t>
      </w:r>
      <w:r>
        <w:rPr>
          <w:sz w:val="21"/>
        </w:rPr>
        <w:t>4</w:t>
      </w:r>
      <w:r>
        <w:rPr>
          <w:spacing w:val="-52"/>
          <w:sz w:val="21"/>
        </w:rPr>
        <w:t> </w:t>
      </w:r>
      <w:r>
        <w:rPr>
          <w:sz w:val="21"/>
        </w:rPr>
        <w:t>种类型</w:t>
      </w:r>
      <w:r>
        <w:rPr>
          <w:spacing w:val="-8"/>
          <w:sz w:val="21"/>
        </w:rPr>
        <w:t>：I</w:t>
      </w:r>
      <w:r>
        <w:rPr>
          <w:sz w:val="21"/>
        </w:rPr>
        <w:t> 型、</w:t>
      </w:r>
    </w:p>
    <w:p>
      <w:pPr>
        <w:pStyle w:val="BodyText"/>
        <w:spacing w:before="37"/>
        <w:ind w:left="2463"/>
        <w:jc w:val="both"/>
      </w:pPr>
      <w:r>
        <w:rPr/>
        <w:t>II 型、III 型、IV 型。</w:t>
      </w:r>
    </w:p>
    <w:p>
      <w:pPr>
        <w:pStyle w:val="BodyText"/>
        <w:spacing w:line="273" w:lineRule="auto" w:before="115"/>
        <w:ind w:left="2463" w:right="213"/>
        <w:jc w:val="both"/>
      </w:pPr>
      <w:r>
        <w:rPr>
          <w:rFonts w:ascii="黑体" w:eastAsia="黑体" w:hint="eastAsia"/>
          <w:spacing w:val="-6"/>
        </w:rPr>
        <w:t>本合同只对 </w:t>
      </w:r>
      <w:r>
        <w:rPr>
          <w:rFonts w:ascii="黑体" w:eastAsia="黑体" w:hint="eastAsia"/>
        </w:rPr>
        <w:t>III</w:t>
      </w:r>
      <w:r>
        <w:rPr>
          <w:rFonts w:ascii="黑体" w:eastAsia="黑体" w:hint="eastAsia"/>
          <w:spacing w:val="-6"/>
        </w:rPr>
        <w:t> 型成骨不全予以理赔。</w:t>
      </w:r>
      <w:r>
        <w:rPr/>
        <w:t>其主要临床特点有：发育迟缓、多发性骨折、进行性脊柱后侧凸及听力损害。III 型成骨不全的诊断必须根据身体检查、家族史、X</w:t>
      </w:r>
      <w:r>
        <w:rPr>
          <w:spacing w:val="-8"/>
        </w:rPr>
        <w:t> 线检查和皮肤活检报告资料确诊。</w:t>
      </w:r>
    </w:p>
    <w:p>
      <w:pPr>
        <w:pStyle w:val="BodyText"/>
        <w:spacing w:before="9"/>
        <w:rPr>
          <w:sz w:val="8"/>
        </w:rPr>
      </w:pPr>
    </w:p>
    <w:p>
      <w:pPr>
        <w:spacing w:after="0"/>
        <w:rPr>
          <w:sz w:val="8"/>
        </w:rPr>
        <w:sectPr>
          <w:type w:val="continuous"/>
          <w:pgSz w:w="11910" w:h="16840"/>
          <w:pgMar w:top="200" w:bottom="280" w:left="1240" w:right="1220"/>
        </w:sectPr>
      </w:pPr>
    </w:p>
    <w:p>
      <w:pPr>
        <w:pStyle w:val="Heading2"/>
        <w:numPr>
          <w:ilvl w:val="2"/>
          <w:numId w:val="10"/>
        </w:numPr>
        <w:tabs>
          <w:tab w:pos="1162" w:val="left" w:leader="none"/>
          <w:tab w:pos="1163" w:val="left" w:leader="none"/>
        </w:tabs>
        <w:spacing w:line="273" w:lineRule="auto" w:before="35" w:after="0"/>
        <w:ind w:left="1162" w:right="0" w:hanging="1062"/>
        <w:jc w:val="left"/>
      </w:pPr>
      <w:r>
        <w:rPr>
          <w:w w:val="95"/>
        </w:rPr>
        <w:t>幼年型类风湿性关节炎</w:t>
      </w:r>
    </w:p>
    <w:p>
      <w:pPr>
        <w:pStyle w:val="BodyText"/>
        <w:spacing w:line="273" w:lineRule="auto" w:before="35"/>
        <w:ind w:left="100" w:right="213"/>
        <w:jc w:val="both"/>
      </w:pPr>
      <w:r>
        <w:rPr/>
        <w:br w:type="column"/>
      </w:r>
      <w:r>
        <w:rPr/>
        <w:t>一种少儿慢性关节炎，其特征为发热和系统性疾病体征，该体征可能于关节炎出现之前的数月间持续存在。主要临床症状包括每日发高热、消散性皮疹、关节炎、脾肿大、淋巴结肿大、浆膜炎、体重下降、中性白细胞增多、急性期蛋白增加及血清抗核抗体（ANA）和类风湿因子（RF）阳性。</w:t>
      </w:r>
    </w:p>
    <w:p>
      <w:pPr>
        <w:spacing w:after="0" w:line="273" w:lineRule="auto"/>
        <w:jc w:val="both"/>
        <w:sectPr>
          <w:type w:val="continuous"/>
          <w:pgSz w:w="11910" w:h="16840"/>
          <w:pgMar w:top="200" w:bottom="280" w:left="1240" w:right="1220"/>
          <w:cols w:num="2" w:equalWidth="0">
            <w:col w:w="2217" w:space="146"/>
            <w:col w:w="7087"/>
          </w:cols>
        </w:sectPr>
      </w:pPr>
    </w:p>
    <w:p>
      <w:pPr>
        <w:pStyle w:val="BodyText"/>
        <w:spacing w:before="9"/>
        <w:rPr>
          <w:sz w:val="8"/>
        </w:rPr>
      </w:pPr>
    </w:p>
    <w:p>
      <w:pPr>
        <w:pStyle w:val="ListParagraph"/>
        <w:numPr>
          <w:ilvl w:val="2"/>
          <w:numId w:val="10"/>
        </w:numPr>
        <w:tabs>
          <w:tab w:pos="1162" w:val="left" w:leader="none"/>
        </w:tabs>
        <w:spacing w:line="273" w:lineRule="auto" w:before="36" w:after="0"/>
        <w:ind w:left="2463" w:right="213" w:hanging="2363"/>
        <w:jc w:val="both"/>
        <w:rPr>
          <w:sz w:val="21"/>
        </w:rPr>
      </w:pPr>
      <w:r>
        <w:rPr>
          <w:b/>
          <w:spacing w:val="10"/>
          <w:sz w:val="21"/>
        </w:rPr>
        <w:t>严重胃肠炎 </w:t>
      </w:r>
      <w:r>
        <w:rPr>
          <w:sz w:val="21"/>
        </w:rPr>
        <w:t>以严重的腹泻、便血和肠段坏死为特征的胃肠道严重感染。大肠或小肠的一处或多处需手术切除，且经病理检查证实存在严重感染和坏死。</w:t>
      </w:r>
    </w:p>
    <w:p>
      <w:pPr>
        <w:pStyle w:val="ListParagraph"/>
        <w:numPr>
          <w:ilvl w:val="2"/>
          <w:numId w:val="10"/>
        </w:numPr>
        <w:tabs>
          <w:tab w:pos="1162" w:val="left" w:leader="none"/>
        </w:tabs>
        <w:spacing w:line="273" w:lineRule="auto" w:before="149" w:after="0"/>
        <w:ind w:left="2463" w:right="213" w:hanging="2363"/>
        <w:jc w:val="both"/>
        <w:rPr>
          <w:sz w:val="21"/>
        </w:rPr>
      </w:pPr>
      <w:r>
        <w:rPr>
          <w:b/>
          <w:spacing w:val="5"/>
          <w:sz w:val="21"/>
        </w:rPr>
        <w:t>严重心肌炎 </w:t>
      </w:r>
      <w:r>
        <w:rPr>
          <w:spacing w:val="-3"/>
          <w:sz w:val="21"/>
        </w:rPr>
        <w:t>心肌的严重感染而导致至少持续 </w:t>
      </w:r>
      <w:r>
        <w:rPr>
          <w:sz w:val="21"/>
        </w:rPr>
        <w:t>6</w:t>
      </w:r>
      <w:r>
        <w:rPr>
          <w:spacing w:val="-6"/>
          <w:sz w:val="21"/>
        </w:rPr>
        <w:t> 个月的心功能损害。严重的心功能损害</w:t>
      </w:r>
      <w:r>
        <w:rPr>
          <w:spacing w:val="-9"/>
          <w:sz w:val="21"/>
        </w:rPr>
        <w:t>必须具备如下条件：左室腔扩大至少达到正常值上限的 </w:t>
      </w:r>
      <w:r>
        <w:rPr>
          <w:sz w:val="21"/>
        </w:rPr>
        <w:t>120%，且左室射血</w:t>
      </w:r>
      <w:r>
        <w:rPr>
          <w:spacing w:val="-7"/>
          <w:sz w:val="21"/>
        </w:rPr>
        <w:t>分数持续性低于 </w:t>
      </w:r>
      <w:r>
        <w:rPr>
          <w:sz w:val="21"/>
        </w:rPr>
        <w:t>40%。</w:t>
      </w:r>
    </w:p>
    <w:p>
      <w:pPr>
        <w:pStyle w:val="ListParagraph"/>
        <w:numPr>
          <w:ilvl w:val="2"/>
          <w:numId w:val="10"/>
        </w:numPr>
        <w:tabs>
          <w:tab w:pos="1162" w:val="left" w:leader="none"/>
        </w:tabs>
        <w:spacing w:line="273" w:lineRule="auto" w:before="149" w:after="0"/>
        <w:ind w:left="2463" w:right="212" w:hanging="2363"/>
        <w:jc w:val="both"/>
        <w:rPr>
          <w:rFonts w:ascii="黑体" w:eastAsia="黑体" w:hint="eastAsia"/>
          <w:sz w:val="21"/>
        </w:rPr>
      </w:pPr>
      <w:r>
        <w:rPr>
          <w:b/>
          <w:spacing w:val="10"/>
          <w:sz w:val="21"/>
        </w:rPr>
        <w:t>脊髓灰质炎 </w:t>
      </w:r>
      <w:r>
        <w:rPr>
          <w:sz w:val="21"/>
        </w:rPr>
        <w:t>脊髓灰质炎是指由于脊髓灰质炎病毒感染致脊髓运动神经元损害所导致的</w:t>
      </w:r>
      <w:r>
        <w:rPr>
          <w:spacing w:val="-2"/>
          <w:sz w:val="21"/>
        </w:rPr>
        <w:t>瘫痪性疾病，至少导致两个或以上的肢体瘫痪程度达到肌力在 </w:t>
      </w:r>
      <w:r>
        <w:rPr>
          <w:sz w:val="21"/>
        </w:rPr>
        <w:t>0-III</w:t>
      </w:r>
      <w:r>
        <w:rPr>
          <w:spacing w:val="-11"/>
          <w:sz w:val="21"/>
        </w:rPr>
        <w:t> 级， </w:t>
      </w:r>
      <w:r>
        <w:rPr>
          <w:spacing w:val="-35"/>
          <w:sz w:val="21"/>
        </w:rPr>
        <w:t>经 </w:t>
      </w:r>
      <w:r>
        <w:rPr>
          <w:sz w:val="21"/>
        </w:rPr>
        <w:t>180</w:t>
      </w:r>
      <w:r>
        <w:rPr>
          <w:spacing w:val="-11"/>
          <w:sz w:val="21"/>
        </w:rPr>
        <w:t> 天治疗后肢体肌力仍然不能恢复到 </w:t>
      </w:r>
      <w:r>
        <w:rPr>
          <w:sz w:val="21"/>
        </w:rPr>
        <w:t>IV</w:t>
      </w:r>
      <w:r>
        <w:rPr>
          <w:spacing w:val="-12"/>
          <w:sz w:val="21"/>
        </w:rPr>
        <w:t> 级。诊断需提供脊髓灰质炎病</w:t>
      </w:r>
      <w:r>
        <w:rPr>
          <w:spacing w:val="-14"/>
          <w:sz w:val="21"/>
        </w:rPr>
        <w:t>毒检查的证据</w:t>
      </w:r>
      <w:r>
        <w:rPr>
          <w:sz w:val="21"/>
        </w:rPr>
        <w:t>（</w:t>
      </w:r>
      <w:r>
        <w:rPr>
          <w:spacing w:val="-2"/>
          <w:sz w:val="21"/>
        </w:rPr>
        <w:t>如粪便或脑脊液检查，血液中抗体检查</w:t>
      </w:r>
      <w:r>
        <w:rPr>
          <w:spacing w:val="-105"/>
          <w:sz w:val="21"/>
        </w:rPr>
        <w:t>）</w:t>
      </w:r>
      <w:r>
        <w:rPr>
          <w:spacing w:val="-5"/>
          <w:sz w:val="21"/>
        </w:rPr>
        <w:t>。肢体的定义为整</w:t>
      </w:r>
      <w:r>
        <w:rPr>
          <w:spacing w:val="-7"/>
          <w:sz w:val="21"/>
        </w:rPr>
        <w:t>个上肢或是整个下肢。</w:t>
      </w:r>
      <w:r>
        <w:rPr>
          <w:rFonts w:ascii="黑体" w:eastAsia="黑体" w:hint="eastAsia"/>
          <w:spacing w:val="-3"/>
          <w:sz w:val="21"/>
        </w:rPr>
        <w:t>未导致肢体瘫痪</w:t>
      </w:r>
      <w:r>
        <w:rPr>
          <w:rFonts w:ascii="黑体" w:eastAsia="黑体" w:hint="eastAsia"/>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39"/>
          <w:sz w:val="21"/>
        </w:rPr>
        <w:t> 或 </w:t>
      </w:r>
      <w:r>
        <w:rPr>
          <w:rFonts w:ascii="黑体" w:eastAsia="黑体" w:hint="eastAsia"/>
          <w:sz w:val="21"/>
        </w:rPr>
        <w:t>V</w:t>
      </w:r>
      <w:r>
        <w:rPr>
          <w:rFonts w:ascii="黑体" w:eastAsia="黑体" w:hint="eastAsia"/>
          <w:spacing w:val="-29"/>
          <w:sz w:val="21"/>
        </w:rPr>
        <w:t> 级</w:t>
      </w:r>
      <w:r>
        <w:rPr>
          <w:rFonts w:ascii="黑体" w:eastAsia="黑体" w:hint="eastAsia"/>
          <w:spacing w:val="-20"/>
          <w:sz w:val="21"/>
        </w:rPr>
        <w:t>）</w:t>
      </w:r>
      <w:r>
        <w:rPr>
          <w:rFonts w:ascii="黑体" w:eastAsia="黑体" w:hint="eastAsia"/>
          <w:sz w:val="21"/>
        </w:rPr>
        <w:t>者及其他原因导致的瘫痪不在保障范围内。</w:t>
      </w:r>
    </w:p>
    <w:p>
      <w:pPr>
        <w:pStyle w:val="BodyText"/>
        <w:spacing w:before="10"/>
        <w:rPr>
          <w:rFonts w:ascii="黑体"/>
          <w:sz w:val="8"/>
        </w:rPr>
      </w:pPr>
    </w:p>
    <w:p>
      <w:pPr>
        <w:spacing w:after="0"/>
        <w:rPr>
          <w:rFonts w:ascii="黑体"/>
          <w:sz w:val="8"/>
        </w:rPr>
        <w:sectPr>
          <w:type w:val="continuous"/>
          <w:pgSz w:w="11910" w:h="16840"/>
          <w:pgMar w:top="200" w:bottom="280" w:left="1240" w:right="1220"/>
        </w:sectPr>
      </w:pPr>
    </w:p>
    <w:p>
      <w:pPr>
        <w:pStyle w:val="Heading2"/>
        <w:numPr>
          <w:ilvl w:val="2"/>
          <w:numId w:val="10"/>
        </w:numPr>
        <w:tabs>
          <w:tab w:pos="1162" w:val="left" w:leader="none"/>
          <w:tab w:pos="1163" w:val="left" w:leader="none"/>
        </w:tabs>
        <w:spacing w:line="273" w:lineRule="auto" w:before="35" w:after="0"/>
        <w:ind w:left="1162" w:right="0" w:hanging="1062"/>
        <w:jc w:val="left"/>
      </w:pPr>
      <w:r>
        <w:rPr>
          <w:w w:val="95"/>
        </w:rPr>
        <w:t>重症手足口</w:t>
      </w:r>
      <w:r>
        <w:rPr/>
        <w:t>病</w:t>
      </w:r>
    </w:p>
    <w:p>
      <w:pPr>
        <w:pStyle w:val="BodyText"/>
        <w:spacing w:line="273" w:lineRule="auto" w:before="35"/>
        <w:ind w:left="100" w:right="213"/>
      </w:pPr>
      <w:r>
        <w:rPr/>
        <w:br w:type="column"/>
      </w:r>
      <w:r>
        <w:rPr/>
        <w:t>由肠道病毒引起的急性传染病，主要症状表现为手、足、口腔等部位的斑丘疹、疱疹。重症手足口病必须符合下列全部条件：</w:t>
      </w:r>
    </w:p>
    <w:p>
      <w:pPr>
        <w:pStyle w:val="ListParagraph"/>
        <w:numPr>
          <w:ilvl w:val="0"/>
          <w:numId w:val="11"/>
        </w:numPr>
        <w:tabs>
          <w:tab w:pos="521" w:val="left" w:leader="none"/>
        </w:tabs>
        <w:spacing w:line="240" w:lineRule="auto" w:before="7" w:after="0"/>
        <w:ind w:left="100" w:right="0" w:firstLine="0"/>
        <w:jc w:val="left"/>
        <w:rPr>
          <w:sz w:val="21"/>
        </w:rPr>
      </w:pPr>
      <w:r>
        <w:rPr>
          <w:spacing w:val="-1"/>
          <w:sz w:val="21"/>
        </w:rPr>
        <w:t>经专科医生诊断为手足口病；</w:t>
      </w:r>
    </w:p>
    <w:p>
      <w:pPr>
        <w:pStyle w:val="ListParagraph"/>
        <w:numPr>
          <w:ilvl w:val="0"/>
          <w:numId w:val="11"/>
        </w:numPr>
        <w:tabs>
          <w:tab w:pos="524" w:val="left" w:leader="none"/>
        </w:tabs>
        <w:spacing w:line="273" w:lineRule="auto" w:before="37" w:after="0"/>
        <w:ind w:left="100" w:right="215" w:firstLine="0"/>
        <w:jc w:val="left"/>
        <w:rPr>
          <w:sz w:val="21"/>
        </w:rPr>
      </w:pPr>
      <w:r>
        <w:rPr>
          <w:sz w:val="21"/>
        </w:rPr>
        <w:t>伴有所列危重并发症之一：脑膜炎、脑炎、脑脊髓炎、肺水肿或心肌炎；</w:t>
      </w:r>
    </w:p>
    <w:p>
      <w:pPr>
        <w:pStyle w:val="ListParagraph"/>
        <w:numPr>
          <w:ilvl w:val="0"/>
          <w:numId w:val="11"/>
        </w:numPr>
        <w:tabs>
          <w:tab w:pos="507" w:val="left" w:leader="none"/>
        </w:tabs>
        <w:spacing w:line="240" w:lineRule="auto" w:before="7" w:after="0"/>
        <w:ind w:left="506" w:right="0" w:hanging="406"/>
        <w:jc w:val="left"/>
        <w:rPr>
          <w:sz w:val="21"/>
        </w:rPr>
      </w:pPr>
      <w:r>
        <w:rPr>
          <w:spacing w:val="-1"/>
          <w:sz w:val="21"/>
        </w:rPr>
        <w:t>接受了住院治疗。</w:t>
      </w:r>
    </w:p>
    <w:p>
      <w:pPr>
        <w:spacing w:after="0" w:line="240" w:lineRule="auto"/>
        <w:jc w:val="left"/>
        <w:rPr>
          <w:sz w:val="21"/>
        </w:rPr>
        <w:sectPr>
          <w:type w:val="continuous"/>
          <w:pgSz w:w="11910" w:h="16840"/>
          <w:pgMar w:top="200" w:bottom="280" w:left="1240" w:right="1220"/>
          <w:cols w:num="2" w:equalWidth="0">
            <w:col w:w="2217" w:space="146"/>
            <w:col w:w="7087"/>
          </w:cols>
        </w:sectPr>
      </w:pPr>
    </w:p>
    <w:p>
      <w:pPr>
        <w:pStyle w:val="Heading2"/>
        <w:numPr>
          <w:ilvl w:val="2"/>
          <w:numId w:val="10"/>
        </w:numPr>
        <w:tabs>
          <w:tab w:pos="1283" w:val="left" w:leader="none"/>
        </w:tabs>
        <w:spacing w:line="273" w:lineRule="auto" w:before="23" w:after="0"/>
        <w:ind w:left="1282" w:right="0" w:hanging="1062"/>
        <w:jc w:val="both"/>
      </w:pPr>
      <w:r>
        <w:rPr>
          <w:w w:val="95"/>
        </w:rPr>
        <w:t>经输血导致</w:t>
      </w:r>
      <w:r>
        <w:rPr/>
        <w:t>的人类免疫缺陷病毒感染</w:t>
      </w:r>
    </w:p>
    <w:p>
      <w:pPr>
        <w:pStyle w:val="BodyText"/>
        <w:spacing w:before="23"/>
        <w:ind w:left="206"/>
      </w:pPr>
      <w:r>
        <w:rPr/>
        <w:br w:type="column"/>
      </w:r>
      <w:r>
        <w:rPr>
          <w:spacing w:val="-5"/>
        </w:rPr>
        <w:t>被保险人因输血而感染上人类免疫缺陷病毒</w:t>
      </w:r>
      <w:r>
        <w:rPr>
          <w:spacing w:val="-17"/>
        </w:rPr>
        <w:t>（HIV）</w:t>
      </w:r>
      <w:r>
        <w:rPr/>
        <w:t>必须同时满足以下条件：</w:t>
      </w:r>
    </w:p>
    <w:p>
      <w:pPr>
        <w:pStyle w:val="BodyText"/>
        <w:spacing w:before="36"/>
        <w:ind w:left="206"/>
      </w:pPr>
      <w:r>
        <w:rPr/>
        <w:t>(1)在保障起始日或复效日之后，被保险人因输血而感染 HIV；</w:t>
      </w:r>
    </w:p>
    <w:p>
      <w:pPr>
        <w:pStyle w:val="BodyText"/>
        <w:spacing w:line="273" w:lineRule="auto" w:before="36"/>
        <w:ind w:left="206" w:right="3305"/>
      </w:pPr>
      <w:r>
        <w:rPr/>
        <w:t>(2)受感染的被保险人不是血友病患者； 以及下列条件(3)或(4)中的任意一条：</w:t>
      </w:r>
    </w:p>
    <w:p>
      <w:pPr>
        <w:pStyle w:val="BodyText"/>
        <w:spacing w:before="7"/>
        <w:ind w:left="206"/>
      </w:pPr>
      <w:r>
        <w:rPr/>
        <w:t>(3)提供输血治疗的输血中心或医院承认该项输血感染责任的证明；</w:t>
      </w:r>
    </w:p>
    <w:p>
      <w:pPr>
        <w:pStyle w:val="BodyText"/>
        <w:spacing w:line="273" w:lineRule="auto" w:before="37"/>
        <w:ind w:left="206" w:right="213"/>
      </w:pPr>
      <w:r>
        <w:rPr/>
        <w:t>(4)</w:t>
      </w:r>
      <w:r>
        <w:rPr>
          <w:spacing w:val="-6"/>
        </w:rPr>
        <w:t>提供输血前一个月内 </w:t>
      </w:r>
      <w:r>
        <w:rPr/>
        <w:t>HIV</w:t>
      </w:r>
      <w:r>
        <w:rPr>
          <w:spacing w:val="-11"/>
        </w:rPr>
        <w:t> 检查阴性的报告、输血血液来源的证明以及输</w:t>
      </w:r>
      <w:r>
        <w:rPr>
          <w:spacing w:val="-26"/>
        </w:rPr>
        <w:t>血后 </w:t>
      </w:r>
      <w:r>
        <w:rPr/>
        <w:t>HIV</w:t>
      </w:r>
      <w:r>
        <w:rPr>
          <w:spacing w:val="-8"/>
        </w:rPr>
        <w:t> 检查阳性的报告。</w:t>
      </w:r>
    </w:p>
    <w:p>
      <w:pPr>
        <w:pStyle w:val="BodyText"/>
        <w:spacing w:line="273" w:lineRule="auto" w:before="86"/>
        <w:ind w:left="206" w:right="213"/>
        <w:jc w:val="both"/>
      </w:pPr>
      <w:r>
        <w:rPr>
          <w:rFonts w:ascii="黑体" w:eastAsia="黑体" w:hint="eastAsia"/>
        </w:rPr>
        <w:t>任何因其他传播方式（包括：性传播或静脉注射毒品）</w:t>
      </w:r>
      <w:r>
        <w:rPr>
          <w:rFonts w:ascii="黑体" w:eastAsia="黑体" w:hint="eastAsia"/>
          <w:spacing w:val="-8"/>
        </w:rPr>
        <w:t>导致的 </w:t>
      </w:r>
      <w:r>
        <w:rPr>
          <w:rFonts w:ascii="黑体" w:eastAsia="黑体" w:hint="eastAsia"/>
        </w:rPr>
        <w:t>HIV</w:t>
      </w:r>
      <w:r>
        <w:rPr>
          <w:rFonts w:ascii="黑体" w:eastAsia="黑体" w:hint="eastAsia"/>
          <w:spacing w:val="-9"/>
        </w:rPr>
        <w:t> 感染不在本保单保障范围内。</w:t>
      </w:r>
      <w:r>
        <w:rPr>
          <w:spacing w:val="-9"/>
        </w:rPr>
        <w:t>保险公司必须拥有获得使用被保险人的所有血液样本的权利和能够对这些样本进行独立检验的权利。</w:t>
      </w:r>
    </w:p>
    <w:p>
      <w:pPr>
        <w:spacing w:after="0" w:line="273" w:lineRule="auto"/>
        <w:jc w:val="both"/>
        <w:sectPr>
          <w:pgSz w:w="11910" w:h="16840"/>
          <w:pgMar w:top="1380" w:bottom="280" w:left="1120" w:right="1220"/>
          <w:cols w:num="2" w:equalWidth="0">
            <w:col w:w="2337" w:space="40"/>
            <w:col w:w="7193"/>
          </w:cols>
        </w:sectPr>
      </w:pPr>
    </w:p>
    <w:p>
      <w:pPr>
        <w:pStyle w:val="BodyText"/>
        <w:spacing w:before="9"/>
        <w:rPr>
          <w:sz w:val="8"/>
        </w:rPr>
      </w:pPr>
    </w:p>
    <w:p>
      <w:pPr>
        <w:spacing w:after="0"/>
        <w:rPr>
          <w:sz w:val="8"/>
        </w:rPr>
        <w:sectPr>
          <w:type w:val="continuous"/>
          <w:pgSz w:w="11910" w:h="16840"/>
          <w:pgMar w:top="200" w:bottom="280" w:left="1120" w:right="1220"/>
        </w:sectPr>
      </w:pPr>
    </w:p>
    <w:p>
      <w:pPr>
        <w:pStyle w:val="Heading2"/>
        <w:numPr>
          <w:ilvl w:val="1"/>
          <w:numId w:val="10"/>
        </w:numPr>
        <w:tabs>
          <w:tab w:pos="1283" w:val="left" w:leader="none"/>
        </w:tabs>
        <w:spacing w:line="273" w:lineRule="auto" w:before="36" w:after="0"/>
        <w:ind w:left="1282" w:right="0" w:hanging="1062"/>
        <w:jc w:val="both"/>
      </w:pPr>
      <w:r>
        <w:rPr>
          <w:w w:val="95"/>
        </w:rPr>
        <w:t>定义来源及确诊医院范</w:t>
      </w:r>
      <w:r>
        <w:rPr/>
        <w:t>围</w:t>
      </w:r>
    </w:p>
    <w:p>
      <w:pPr>
        <w:pStyle w:val="BodyText"/>
        <w:spacing w:line="273" w:lineRule="auto" w:before="36"/>
        <w:ind w:left="207" w:right="213"/>
        <w:jc w:val="both"/>
      </w:pPr>
      <w:r>
        <w:rPr/>
        <w:br w:type="column"/>
      </w:r>
      <w:r>
        <w:rPr/>
        <w:t>以上“8.1.1</w:t>
      </w:r>
      <w:r>
        <w:rPr>
          <w:spacing w:val="-8"/>
        </w:rPr>
        <w:t> 恶性肿瘤”至</w:t>
      </w:r>
      <w:r>
        <w:rPr/>
        <w:t>“8.1.15</w:t>
      </w:r>
      <w:r>
        <w:rPr>
          <w:spacing w:val="-7"/>
        </w:rPr>
        <w:t> 重型再生障碍性贫血”所列重大疾病</w:t>
      </w:r>
      <w:r>
        <w:rPr>
          <w:spacing w:val="-12"/>
        </w:rPr>
        <w:t>定义根据中国保险行业协会 </w:t>
      </w:r>
      <w:r>
        <w:rPr/>
        <w:t>2007</w:t>
      </w:r>
      <w:r>
        <w:rPr>
          <w:spacing w:val="-12"/>
        </w:rPr>
        <w:t> 年公布的《重大疾病保险的疾病定义使用规范》作出，其他重大疾病由我们增加，其定义由我们根据通行的医学标准制定。</w:t>
      </w:r>
    </w:p>
    <w:p>
      <w:pPr>
        <w:pStyle w:val="BodyText"/>
        <w:spacing w:line="273" w:lineRule="auto" w:before="86"/>
        <w:ind w:left="207" w:right="212"/>
        <w:jc w:val="both"/>
        <w:rPr>
          <w:rFonts w:ascii="黑体" w:eastAsia="黑体" w:hint="eastAsia"/>
        </w:rPr>
      </w:pPr>
      <w:r>
        <w:rPr>
          <w:rFonts w:ascii="黑体" w:eastAsia="黑体" w:hint="eastAsia"/>
          <w:spacing w:val="-9"/>
        </w:rPr>
        <w:t>以上重大疾病，除严重原发性心肌病须在卫</w:t>
      </w:r>
      <w:r>
        <w:rPr>
          <w:rFonts w:ascii="黑体" w:eastAsia="黑体" w:hint="eastAsia"/>
        </w:rPr>
        <w:t>Th</w:t>
      </w:r>
      <w:r>
        <w:rPr>
          <w:rFonts w:ascii="黑体" w:eastAsia="黑体" w:hint="eastAsia"/>
          <w:spacing w:val="-8"/>
        </w:rPr>
        <w:t>行政部门认定的三级以上</w:t>
      </w:r>
      <w:r>
        <w:rPr>
          <w:rFonts w:ascii="黑体" w:eastAsia="黑体" w:hint="eastAsia"/>
        </w:rPr>
        <w:t>（含三级）医院确诊外，其他疾病均须在卫Th行政部门认定的二级以上（含二级）医院确诊。</w:t>
      </w:r>
    </w:p>
    <w:p>
      <w:pPr>
        <w:spacing w:after="0" w:line="273" w:lineRule="auto"/>
        <w:jc w:val="both"/>
        <w:rPr>
          <w:rFonts w:ascii="黑体" w:eastAsia="黑体" w:hint="eastAsia"/>
        </w:rPr>
        <w:sectPr>
          <w:type w:val="continuous"/>
          <w:pgSz w:w="11910" w:h="16840"/>
          <w:pgMar w:top="200" w:bottom="280" w:left="1120" w:right="1220"/>
          <w:cols w:num="2" w:equalWidth="0">
            <w:col w:w="2336" w:space="40"/>
            <w:col w:w="7194"/>
          </w:cols>
        </w:sectPr>
      </w:pPr>
    </w:p>
    <w:p>
      <w:pPr>
        <w:pStyle w:val="BodyText"/>
        <w:spacing w:before="7"/>
        <w:rPr>
          <w:rFonts w:ascii="黑体"/>
          <w:sz w:val="12"/>
        </w:rPr>
      </w:pPr>
    </w:p>
    <w:p>
      <w:pPr>
        <w:pStyle w:val="BodyText"/>
        <w:ind w:left="112"/>
        <w:rPr>
          <w:rFonts w:ascii="黑体"/>
          <w:sz w:val="20"/>
        </w:rPr>
      </w:pPr>
      <w:r>
        <w:rPr>
          <w:rFonts w:ascii="黑体"/>
          <w:sz w:val="20"/>
        </w:rPr>
        <w:pict>
          <v:shape style="width:467.25pt;height:15.6pt;mso-position-horizontal-relative:char;mso-position-vertical-relative:line" type="#_x0000_t202" filled="true" fillcolor="#a6a6a6" stroked="false">
            <w10:anchorlock/>
            <v:textbox inset="0,0,0,0">
              <w:txbxContent>
                <w:p>
                  <w:pPr>
                    <w:tabs>
                      <w:tab w:pos="1169" w:val="left" w:leader="none"/>
                    </w:tabs>
                    <w:spacing w:line="260" w:lineRule="exact" w:before="0"/>
                    <w:ind w:left="107" w:right="0" w:firstLine="0"/>
                    <w:jc w:val="left"/>
                    <w:rPr>
                      <w:b/>
                      <w:sz w:val="21"/>
                    </w:rPr>
                  </w:pPr>
                  <w:r>
                    <w:rPr>
                      <w:b/>
                      <w:sz w:val="21"/>
                    </w:rPr>
                    <w:t>9．</w:t>
                    <w:tab/>
                    <w:t>释义</w:t>
                  </w:r>
                </w:p>
              </w:txbxContent>
            </v:textbox>
            <v:fill type="solid"/>
          </v:shape>
        </w:pict>
      </w:r>
      <w:r>
        <w:rPr>
          <w:rFonts w:ascii="黑体"/>
          <w:sz w:val="20"/>
        </w:rPr>
      </w:r>
    </w:p>
    <w:p>
      <w:pPr>
        <w:pStyle w:val="BodyText"/>
        <w:spacing w:before="9"/>
        <w:rPr>
          <w:rFonts w:ascii="黑体"/>
          <w:sz w:val="5"/>
        </w:rPr>
      </w:pPr>
    </w:p>
    <w:p>
      <w:pPr>
        <w:pStyle w:val="ListParagraph"/>
        <w:numPr>
          <w:ilvl w:val="1"/>
          <w:numId w:val="12"/>
        </w:numPr>
        <w:tabs>
          <w:tab w:pos="1282" w:val="left" w:leader="none"/>
          <w:tab w:pos="1283" w:val="left" w:leader="none"/>
          <w:tab w:pos="2583" w:val="left" w:leader="none"/>
        </w:tabs>
        <w:spacing w:line="273" w:lineRule="auto" w:before="35" w:after="0"/>
        <w:ind w:left="2583" w:right="107" w:hanging="2363"/>
        <w:jc w:val="left"/>
        <w:rPr>
          <w:sz w:val="21"/>
        </w:rPr>
      </w:pPr>
      <w:r>
        <w:rPr>
          <w:b/>
          <w:sz w:val="21"/>
        </w:rPr>
        <w:t>周岁</w:t>
        <w:tab/>
      </w:r>
      <w:r>
        <w:rPr>
          <w:sz w:val="21"/>
        </w:rPr>
        <w:t>指按有效身份证件中记载的出生日期计算的年龄</w:t>
      </w:r>
      <w:r>
        <w:rPr>
          <w:spacing w:val="-59"/>
          <w:sz w:val="21"/>
        </w:rPr>
        <w:t>，</w:t>
      </w:r>
      <w:r>
        <w:rPr>
          <w:sz w:val="21"/>
        </w:rPr>
        <w:t>自出生之日起为零周岁，每经过一年增加一岁，不足一年的不计。</w:t>
      </w:r>
    </w:p>
    <w:p>
      <w:pPr>
        <w:pStyle w:val="ListParagraph"/>
        <w:numPr>
          <w:ilvl w:val="1"/>
          <w:numId w:val="12"/>
        </w:numPr>
        <w:tabs>
          <w:tab w:pos="1283" w:val="left" w:leader="none"/>
        </w:tabs>
        <w:spacing w:line="273" w:lineRule="auto" w:before="149" w:after="0"/>
        <w:ind w:left="2583" w:right="213" w:hanging="2363"/>
        <w:jc w:val="both"/>
        <w:rPr>
          <w:sz w:val="21"/>
        </w:rPr>
      </w:pPr>
      <w:r>
        <w:rPr>
          <w:b/>
          <w:spacing w:val="10"/>
          <w:sz w:val="21"/>
        </w:rPr>
        <w:t>意外伤害   </w:t>
      </w:r>
      <w:r>
        <w:rPr>
          <w:sz w:val="21"/>
        </w:rPr>
        <w:t>指遭受外来的、突发的、非本意的、非疾病的客观事件直接致使身体受到的伤害。</w:t>
      </w:r>
    </w:p>
    <w:p>
      <w:pPr>
        <w:pStyle w:val="BodyText"/>
        <w:spacing w:line="273" w:lineRule="auto" w:before="86"/>
        <w:ind w:left="2583" w:right="212"/>
        <w:jc w:val="both"/>
      </w:pPr>
      <w:r>
        <w:rPr>
          <w:spacing w:val="-2"/>
        </w:rPr>
        <w:t>本附加险合同所述的意外伤害导致的身故，</w:t>
      </w:r>
      <w:r>
        <w:rPr>
          <w:rFonts w:ascii="黑体" w:hAnsi="黑体" w:eastAsia="黑体" w:hint="eastAsia"/>
        </w:rPr>
        <w:t>不包括猝死</w:t>
      </w:r>
      <w:r>
        <w:rPr>
          <w:spacing w:val="-18"/>
        </w:rPr>
        <w:t>。“猝死”是指貌似健康的人因潜在疾病、机能障碍或其他原因在出现症状后 </w:t>
      </w:r>
      <w:r>
        <w:rPr/>
        <w:t>24</w:t>
      </w:r>
      <w:r>
        <w:rPr>
          <w:spacing w:val="-10"/>
        </w:rPr>
        <w:t> 小时内发生的非暴力性突然死亡。</w:t>
      </w:r>
    </w:p>
    <w:p>
      <w:pPr>
        <w:pStyle w:val="ListParagraph"/>
        <w:numPr>
          <w:ilvl w:val="1"/>
          <w:numId w:val="12"/>
        </w:numPr>
        <w:tabs>
          <w:tab w:pos="1297" w:val="left" w:leader="none"/>
        </w:tabs>
        <w:spacing w:line="273" w:lineRule="auto" w:before="149" w:after="0"/>
        <w:ind w:left="2489" w:right="142" w:hanging="2269"/>
        <w:jc w:val="both"/>
        <w:rPr>
          <w:sz w:val="21"/>
        </w:rPr>
      </w:pPr>
      <w:r>
        <w:rPr>
          <w:b/>
          <w:spacing w:val="5"/>
          <w:sz w:val="21"/>
        </w:rPr>
        <w:t>约定医院  </w:t>
      </w: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p>
      <w:pPr>
        <w:pStyle w:val="ListParagraph"/>
        <w:numPr>
          <w:ilvl w:val="1"/>
          <w:numId w:val="12"/>
        </w:numPr>
        <w:tabs>
          <w:tab w:pos="1283" w:val="left" w:leader="none"/>
        </w:tabs>
        <w:spacing w:line="273" w:lineRule="auto" w:before="150" w:after="0"/>
        <w:ind w:left="2583" w:right="259" w:hanging="2363"/>
        <w:jc w:val="both"/>
        <w:rPr>
          <w:sz w:val="21"/>
        </w:rPr>
      </w:pPr>
      <w:r>
        <w:rPr>
          <w:b/>
          <w:spacing w:val="2"/>
          <w:sz w:val="21"/>
        </w:rPr>
        <w:t>白血病     </w:t>
      </w:r>
      <w:r>
        <w:rPr>
          <w:sz w:val="21"/>
        </w:rPr>
        <w:t>白血病是一种造血系统的恶性肿瘤，其主要表现为白血病细胞在骨髓或其他造血组织中大量克隆、异常增生，大量聚集的白细胞抑制正常造血并浸润全身器官和组织。周围白细胞有质和量的变化，出现相应临床表现。被保险人所患白血病必须根据骨髓的活组织检查和周围血象由儿科、血液科或肿瘤科的专科医生确诊。</w:t>
      </w:r>
    </w:p>
    <w:p>
      <w:pPr>
        <w:pStyle w:val="BodyText"/>
        <w:spacing w:before="85"/>
        <w:ind w:left="2583"/>
        <w:rPr>
          <w:rFonts w:ascii="黑体" w:eastAsia="黑体" w:hint="eastAsia"/>
        </w:rPr>
      </w:pPr>
      <w:r>
        <w:rPr>
          <w:rFonts w:ascii="黑体" w:eastAsia="黑体" w:hint="eastAsia"/>
        </w:rPr>
        <w:t>相当于Binet分期方案A期程度的慢性淋巴细胞白血病不在保障范围内。</w:t>
      </w:r>
    </w:p>
    <w:p>
      <w:pPr>
        <w:pStyle w:val="ListParagraph"/>
        <w:numPr>
          <w:ilvl w:val="1"/>
          <w:numId w:val="12"/>
        </w:numPr>
        <w:tabs>
          <w:tab w:pos="1282" w:val="left" w:leader="none"/>
          <w:tab w:pos="1283" w:val="left" w:leader="none"/>
          <w:tab w:pos="2583" w:val="left" w:leader="none"/>
        </w:tabs>
        <w:spacing w:line="273" w:lineRule="auto" w:before="178" w:after="0"/>
        <w:ind w:left="2583" w:right="154" w:hanging="2363"/>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2"/>
        </w:numPr>
        <w:tabs>
          <w:tab w:pos="1282" w:val="left" w:leader="none"/>
          <w:tab w:pos="1283" w:val="left" w:leader="none"/>
          <w:tab w:pos="2583" w:val="left" w:leader="none"/>
        </w:tabs>
        <w:spacing w:line="240" w:lineRule="auto" w:before="149" w:after="0"/>
        <w:ind w:left="1282" w:right="0" w:hanging="1062"/>
        <w:jc w:val="left"/>
        <w:rPr>
          <w:sz w:val="21"/>
        </w:rPr>
      </w:pPr>
      <w:r>
        <w:rPr>
          <w:b/>
          <w:sz w:val="21"/>
        </w:rPr>
        <w:t>酒后驾驶</w:t>
        <w:tab/>
      </w:r>
      <w:r>
        <w:rPr>
          <w:sz w:val="21"/>
        </w:rPr>
        <w:t>指经检测或鉴定，发生事故时车辆驾驶人员每百毫升血液中的酒精含量达</w:t>
      </w:r>
    </w:p>
    <w:p>
      <w:pPr>
        <w:spacing w:after="0" w:line="240" w:lineRule="auto"/>
        <w:jc w:val="left"/>
        <w:rPr>
          <w:sz w:val="21"/>
        </w:rPr>
        <w:sectPr>
          <w:type w:val="continuous"/>
          <w:pgSz w:w="11910" w:h="16840"/>
          <w:pgMar w:top="200" w:bottom="280" w:left="1120" w:right="12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496"/>
        <w:gridCol w:w="7046"/>
      </w:tblGrid>
      <w:tr>
        <w:trPr>
          <w:trHeight w:val="643" w:hRule="atLeast"/>
        </w:trPr>
        <w:tc>
          <w:tcPr>
            <w:tcW w:w="2289" w:type="dxa"/>
            <w:gridSpan w:val="2"/>
          </w:tcPr>
          <w:p>
            <w:pPr>
              <w:pStyle w:val="TableParagraph"/>
              <w:rPr>
                <w:rFonts w:ascii="Times New Roman"/>
                <w:sz w:val="20"/>
              </w:rPr>
            </w:pPr>
          </w:p>
        </w:tc>
        <w:tc>
          <w:tcPr>
            <w:tcW w:w="7046" w:type="dxa"/>
          </w:tcPr>
          <w:p>
            <w:pPr>
              <w:pStyle w:val="TableParagraph"/>
              <w:spacing w:line="210" w:lineRule="exact"/>
              <w:ind w:left="123"/>
              <w:rPr>
                <w:sz w:val="21"/>
              </w:rPr>
            </w:pPr>
            <w:r>
              <w:rPr>
                <w:sz w:val="21"/>
              </w:rPr>
              <w:t>到或超过一定的标准，公安机关交通管理部门依据《道路交通安全法》的</w:t>
            </w:r>
          </w:p>
          <w:p>
            <w:pPr>
              <w:pStyle w:val="TableParagraph"/>
              <w:spacing w:before="37"/>
              <w:ind w:left="123"/>
              <w:rPr>
                <w:sz w:val="21"/>
              </w:rPr>
            </w:pPr>
            <w:r>
              <w:rPr>
                <w:sz w:val="21"/>
              </w:rPr>
              <w:t>规定认定为饮酒后驾驶或醉酒后驾驶。</w:t>
            </w:r>
          </w:p>
        </w:tc>
      </w:tr>
      <w:tr>
        <w:trPr>
          <w:trHeight w:val="2013" w:hRule="atLeast"/>
        </w:trPr>
        <w:tc>
          <w:tcPr>
            <w:tcW w:w="793" w:type="dxa"/>
          </w:tcPr>
          <w:p>
            <w:pPr>
              <w:pStyle w:val="TableParagraph"/>
              <w:spacing w:before="57"/>
              <w:ind w:left="50"/>
              <w:rPr>
                <w:b/>
                <w:sz w:val="21"/>
              </w:rPr>
            </w:pPr>
            <w:r>
              <w:rPr>
                <w:b/>
                <w:sz w:val="21"/>
              </w:rPr>
              <w:t>9.7</w:t>
            </w:r>
          </w:p>
        </w:tc>
        <w:tc>
          <w:tcPr>
            <w:tcW w:w="1496" w:type="dxa"/>
          </w:tcPr>
          <w:p>
            <w:pPr>
              <w:pStyle w:val="TableParagraph"/>
              <w:spacing w:line="273" w:lineRule="auto" w:before="57"/>
              <w:ind w:left="318" w:right="121"/>
              <w:rPr>
                <w:b/>
                <w:sz w:val="21"/>
              </w:rPr>
            </w:pPr>
            <w:r>
              <w:rPr>
                <w:b/>
                <w:sz w:val="21"/>
              </w:rPr>
              <w:t>无合法有效</w:t>
            </w:r>
            <w:r>
              <w:rPr>
                <w:b/>
                <w:w w:val="95"/>
                <w:sz w:val="21"/>
              </w:rPr>
              <w:t>驾驶证驾驶</w:t>
            </w:r>
          </w:p>
        </w:tc>
        <w:tc>
          <w:tcPr>
            <w:tcW w:w="7046" w:type="dxa"/>
          </w:tcPr>
          <w:p>
            <w:pPr>
              <w:pStyle w:val="TableParagraph"/>
              <w:spacing w:before="57"/>
              <w:ind w:left="123"/>
              <w:rPr>
                <w:sz w:val="21"/>
              </w:rPr>
            </w:pPr>
            <w:r>
              <w:rPr>
                <w:sz w:val="21"/>
              </w:rPr>
              <w:t>指下列情形之一：</w:t>
            </w:r>
          </w:p>
          <w:p>
            <w:pPr>
              <w:pStyle w:val="TableParagraph"/>
              <w:spacing w:before="37"/>
              <w:ind w:left="123"/>
              <w:rPr>
                <w:sz w:val="21"/>
              </w:rPr>
            </w:pPr>
            <w:r>
              <w:rPr>
                <w:sz w:val="21"/>
              </w:rPr>
              <w:t>(1)没有取得驾驶资格；</w:t>
            </w:r>
          </w:p>
          <w:p>
            <w:pPr>
              <w:pStyle w:val="TableParagraph"/>
              <w:spacing w:before="37"/>
              <w:ind w:left="123"/>
              <w:rPr>
                <w:sz w:val="21"/>
              </w:rPr>
            </w:pPr>
            <w:r>
              <w:rPr>
                <w:sz w:val="21"/>
              </w:rPr>
              <w:t>(2)驾驶与驾驶证准驾车型不相符合的车辆；</w:t>
            </w:r>
          </w:p>
          <w:p>
            <w:pPr>
              <w:pStyle w:val="TableParagraph"/>
              <w:spacing w:before="37"/>
              <w:ind w:left="123"/>
              <w:rPr>
                <w:sz w:val="21"/>
              </w:rPr>
            </w:pPr>
            <w:r>
              <w:rPr>
                <w:sz w:val="21"/>
              </w:rPr>
              <w:t>(3)持审验不合格的驾驶证驾驶；</w:t>
            </w:r>
          </w:p>
          <w:p>
            <w:pPr>
              <w:pStyle w:val="TableParagraph"/>
              <w:spacing w:line="273" w:lineRule="auto" w:before="37"/>
              <w:ind w:left="123" w:right="85"/>
              <w:rPr>
                <w:sz w:val="21"/>
              </w:rPr>
            </w:pPr>
            <w:r>
              <w:rPr>
                <w:sz w:val="21"/>
              </w:rPr>
              <w:t>(4)持学习驾驶证件学习驾车时，无教练员随车指导，或不按指定时间、路线学习驾车。</w:t>
            </w:r>
          </w:p>
        </w:tc>
      </w:tr>
      <w:tr>
        <w:trPr>
          <w:trHeight w:val="1390" w:hRule="atLeast"/>
        </w:trPr>
        <w:tc>
          <w:tcPr>
            <w:tcW w:w="793" w:type="dxa"/>
          </w:tcPr>
          <w:p>
            <w:pPr>
              <w:pStyle w:val="TableParagraph"/>
              <w:spacing w:before="57"/>
              <w:ind w:left="50"/>
              <w:rPr>
                <w:b/>
                <w:sz w:val="21"/>
              </w:rPr>
            </w:pPr>
            <w:r>
              <w:rPr>
                <w:b/>
                <w:sz w:val="21"/>
              </w:rPr>
              <w:t>9.8</w:t>
            </w:r>
          </w:p>
        </w:tc>
        <w:tc>
          <w:tcPr>
            <w:tcW w:w="1496" w:type="dxa"/>
          </w:tcPr>
          <w:p>
            <w:pPr>
              <w:pStyle w:val="TableParagraph"/>
              <w:spacing w:line="273" w:lineRule="auto" w:before="57"/>
              <w:ind w:left="318" w:right="121"/>
              <w:rPr>
                <w:b/>
                <w:sz w:val="21"/>
              </w:rPr>
            </w:pPr>
            <w:r>
              <w:rPr>
                <w:b/>
                <w:sz w:val="21"/>
              </w:rPr>
              <w:t>无有效行驶证</w:t>
            </w:r>
          </w:p>
        </w:tc>
        <w:tc>
          <w:tcPr>
            <w:tcW w:w="7046" w:type="dxa"/>
          </w:tcPr>
          <w:p>
            <w:pPr>
              <w:pStyle w:val="TableParagraph"/>
              <w:spacing w:before="57"/>
              <w:ind w:left="123"/>
              <w:rPr>
                <w:sz w:val="21"/>
              </w:rPr>
            </w:pPr>
            <w:r>
              <w:rPr>
                <w:sz w:val="21"/>
              </w:rPr>
              <w:t>指下列情形之一：</w:t>
            </w:r>
          </w:p>
          <w:p>
            <w:pPr>
              <w:pStyle w:val="TableParagraph"/>
              <w:spacing w:before="37"/>
              <w:ind w:left="123"/>
              <w:rPr>
                <w:sz w:val="21"/>
              </w:rPr>
            </w:pPr>
            <w:r>
              <w:rPr>
                <w:sz w:val="21"/>
              </w:rPr>
              <w:t>(1)未取得行驶证或临时号牌；</w:t>
            </w:r>
          </w:p>
          <w:p>
            <w:pPr>
              <w:pStyle w:val="TableParagraph"/>
              <w:spacing w:before="37"/>
              <w:ind w:left="123"/>
              <w:rPr>
                <w:sz w:val="21"/>
              </w:rPr>
            </w:pPr>
            <w:r>
              <w:rPr>
                <w:sz w:val="21"/>
              </w:rPr>
              <w:t>(2)机动车被依法注销登记的；</w:t>
            </w:r>
          </w:p>
          <w:p>
            <w:pPr>
              <w:pStyle w:val="TableParagraph"/>
              <w:spacing w:before="37"/>
              <w:ind w:left="123"/>
              <w:rPr>
                <w:sz w:val="21"/>
              </w:rPr>
            </w:pPr>
            <w:r>
              <w:rPr>
                <w:sz w:val="21"/>
              </w:rPr>
              <w:t>(3)未依法按时进行或通过机动车安全技术检验。</w:t>
            </w:r>
          </w:p>
        </w:tc>
      </w:tr>
      <w:tr>
        <w:trPr>
          <w:trHeight w:val="734" w:hRule="atLeast"/>
        </w:trPr>
        <w:tc>
          <w:tcPr>
            <w:tcW w:w="793" w:type="dxa"/>
          </w:tcPr>
          <w:p>
            <w:pPr>
              <w:pStyle w:val="TableParagraph"/>
              <w:spacing w:before="57"/>
              <w:ind w:left="50"/>
              <w:rPr>
                <w:b/>
                <w:sz w:val="21"/>
              </w:rPr>
            </w:pPr>
            <w:r>
              <w:rPr>
                <w:b/>
                <w:sz w:val="21"/>
              </w:rPr>
              <w:t>9.9</w:t>
            </w:r>
          </w:p>
        </w:tc>
        <w:tc>
          <w:tcPr>
            <w:tcW w:w="1496" w:type="dxa"/>
          </w:tcPr>
          <w:p>
            <w:pPr>
              <w:pStyle w:val="TableParagraph"/>
              <w:spacing w:line="273" w:lineRule="auto" w:before="57"/>
              <w:ind w:left="318" w:right="121"/>
              <w:rPr>
                <w:b/>
                <w:sz w:val="21"/>
              </w:rPr>
            </w:pPr>
            <w:r>
              <w:rPr>
                <w:b/>
                <w:sz w:val="21"/>
              </w:rPr>
              <w:t>感染艾滋病</w:t>
            </w:r>
            <w:r>
              <w:rPr>
                <w:b/>
                <w:w w:val="95"/>
                <w:sz w:val="21"/>
              </w:rPr>
              <w:t>病毒或患艾</w:t>
            </w:r>
          </w:p>
        </w:tc>
        <w:tc>
          <w:tcPr>
            <w:tcW w:w="7046" w:type="dxa"/>
          </w:tcPr>
          <w:p>
            <w:pPr>
              <w:pStyle w:val="TableParagraph"/>
              <w:spacing w:line="273" w:lineRule="auto" w:before="57"/>
              <w:ind w:left="123" w:right="155"/>
              <w:rPr>
                <w:sz w:val="21"/>
              </w:rPr>
            </w:pPr>
            <w:r>
              <w:rPr>
                <w:sz w:val="21"/>
              </w:rPr>
              <w:t>艾滋病病毒指人类免疫缺陷病毒，英文缩写为 HIV。艾滋病指人类免疫缺陷病毒引起的获得性免疫缺陷综合征，英文缩写为 AIDS。</w:t>
            </w:r>
          </w:p>
        </w:tc>
      </w:tr>
      <w:tr>
        <w:trPr>
          <w:trHeight w:val="1045" w:hRule="atLeast"/>
        </w:trPr>
        <w:tc>
          <w:tcPr>
            <w:tcW w:w="793" w:type="dxa"/>
          </w:tcPr>
          <w:p>
            <w:pPr>
              <w:pStyle w:val="TableParagraph"/>
              <w:rPr>
                <w:rFonts w:ascii="Times New Roman"/>
                <w:sz w:val="20"/>
              </w:rPr>
            </w:pPr>
          </w:p>
        </w:tc>
        <w:tc>
          <w:tcPr>
            <w:tcW w:w="1496" w:type="dxa"/>
          </w:tcPr>
          <w:p>
            <w:pPr>
              <w:pStyle w:val="TableParagraph"/>
              <w:spacing w:line="222" w:lineRule="exact"/>
              <w:ind w:left="318"/>
              <w:rPr>
                <w:b/>
                <w:sz w:val="21"/>
              </w:rPr>
            </w:pPr>
            <w:r>
              <w:rPr>
                <w:b/>
                <w:sz w:val="21"/>
              </w:rPr>
              <w:t>滋病</w:t>
            </w:r>
          </w:p>
        </w:tc>
        <w:tc>
          <w:tcPr>
            <w:tcW w:w="7046" w:type="dxa"/>
          </w:tcPr>
          <w:p>
            <w:pPr>
              <w:pStyle w:val="TableParagraph"/>
              <w:spacing w:line="273" w:lineRule="auto" w:before="25"/>
              <w:ind w:left="123" w:right="200"/>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5" w:hRule="atLeast"/>
        </w:trPr>
        <w:tc>
          <w:tcPr>
            <w:tcW w:w="793" w:type="dxa"/>
          </w:tcPr>
          <w:p>
            <w:pPr>
              <w:pStyle w:val="TableParagraph"/>
              <w:spacing w:before="57"/>
              <w:ind w:left="50"/>
              <w:rPr>
                <w:b/>
                <w:sz w:val="21"/>
              </w:rPr>
            </w:pPr>
            <w:r>
              <w:rPr>
                <w:b/>
                <w:sz w:val="21"/>
              </w:rPr>
              <w:t>9.10</w:t>
            </w:r>
          </w:p>
        </w:tc>
        <w:tc>
          <w:tcPr>
            <w:tcW w:w="1496" w:type="dxa"/>
          </w:tcPr>
          <w:p>
            <w:pPr>
              <w:pStyle w:val="TableParagraph"/>
              <w:spacing w:before="57"/>
              <w:ind w:left="319"/>
              <w:rPr>
                <w:b/>
                <w:sz w:val="21"/>
              </w:rPr>
            </w:pPr>
            <w:r>
              <w:rPr>
                <w:b/>
                <w:w w:val="95"/>
                <w:sz w:val="21"/>
              </w:rPr>
              <w:t>遗传性疾病</w:t>
            </w:r>
          </w:p>
        </w:tc>
        <w:tc>
          <w:tcPr>
            <w:tcW w:w="7046" w:type="dxa"/>
          </w:tcPr>
          <w:p>
            <w:pPr>
              <w:pStyle w:val="TableParagraph"/>
              <w:spacing w:line="273" w:lineRule="auto" w:before="57"/>
              <w:ind w:left="123" w:right="200"/>
              <w:rPr>
                <w:sz w:val="21"/>
              </w:rPr>
            </w:pPr>
            <w:r>
              <w:rPr>
                <w:sz w:val="21"/>
              </w:rPr>
              <w:t>指生殖细胞或受精卵的遗传物质（染色体和基因）发生突变或畸变所引起的疾病，通常具有由亲代传至后代的垂直传递的特征。</w:t>
            </w:r>
          </w:p>
        </w:tc>
      </w:tr>
      <w:tr>
        <w:trPr>
          <w:trHeight w:val="1078" w:hRule="atLeast"/>
        </w:trPr>
        <w:tc>
          <w:tcPr>
            <w:tcW w:w="793" w:type="dxa"/>
          </w:tcPr>
          <w:p>
            <w:pPr>
              <w:pStyle w:val="TableParagraph"/>
              <w:spacing w:before="57"/>
              <w:ind w:left="50"/>
              <w:rPr>
                <w:b/>
                <w:sz w:val="21"/>
              </w:rPr>
            </w:pPr>
            <w:r>
              <w:rPr>
                <w:b/>
                <w:sz w:val="21"/>
              </w:rPr>
              <w:t>9.11</w:t>
            </w:r>
          </w:p>
        </w:tc>
        <w:tc>
          <w:tcPr>
            <w:tcW w:w="1496" w:type="dxa"/>
          </w:tcPr>
          <w:p>
            <w:pPr>
              <w:pStyle w:val="TableParagraph"/>
              <w:spacing w:line="273" w:lineRule="auto" w:before="57"/>
              <w:ind w:left="318" w:right="121"/>
              <w:rPr>
                <w:b/>
                <w:sz w:val="21"/>
              </w:rPr>
            </w:pPr>
            <w:r>
              <w:rPr>
                <w:b/>
                <w:sz w:val="21"/>
              </w:rPr>
              <w:t>先天性畸 形、变形或</w:t>
            </w:r>
            <w:r>
              <w:rPr>
                <w:b/>
                <w:w w:val="95"/>
                <w:sz w:val="21"/>
              </w:rPr>
              <w:t>染色体异常</w:t>
            </w:r>
          </w:p>
        </w:tc>
        <w:tc>
          <w:tcPr>
            <w:tcW w:w="7046" w:type="dxa"/>
          </w:tcPr>
          <w:p>
            <w:pPr>
              <w:pStyle w:val="TableParagraph"/>
              <w:spacing w:line="273" w:lineRule="auto" w:before="57"/>
              <w:ind w:left="123" w:right="20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23"/>
              <w:rPr>
                <w:sz w:val="21"/>
              </w:rPr>
            </w:pPr>
            <w:r>
              <w:rPr>
                <w:sz w:val="21"/>
              </w:rPr>
              <w:t>（ICD-10）确定。</w:t>
            </w:r>
          </w:p>
        </w:tc>
      </w:tr>
      <w:tr>
        <w:trPr>
          <w:trHeight w:val="1078" w:hRule="atLeast"/>
        </w:trPr>
        <w:tc>
          <w:tcPr>
            <w:tcW w:w="793" w:type="dxa"/>
          </w:tcPr>
          <w:p>
            <w:pPr>
              <w:pStyle w:val="TableParagraph"/>
              <w:spacing w:before="57"/>
              <w:ind w:left="50"/>
              <w:rPr>
                <w:b/>
                <w:sz w:val="21"/>
              </w:rPr>
            </w:pPr>
            <w:r>
              <w:rPr>
                <w:b/>
                <w:sz w:val="21"/>
              </w:rPr>
              <w:t>9.12</w:t>
            </w:r>
          </w:p>
        </w:tc>
        <w:tc>
          <w:tcPr>
            <w:tcW w:w="1496" w:type="dxa"/>
          </w:tcPr>
          <w:p>
            <w:pPr>
              <w:pStyle w:val="TableParagraph"/>
              <w:spacing w:before="57"/>
              <w:ind w:left="319"/>
              <w:rPr>
                <w:b/>
                <w:sz w:val="21"/>
              </w:rPr>
            </w:pPr>
            <w:r>
              <w:rPr>
                <w:b/>
                <w:sz w:val="21"/>
              </w:rPr>
              <w:t>现金价值</w:t>
            </w:r>
          </w:p>
        </w:tc>
        <w:tc>
          <w:tcPr>
            <w:tcW w:w="7046" w:type="dxa"/>
          </w:tcPr>
          <w:p>
            <w:pPr>
              <w:pStyle w:val="TableParagraph"/>
              <w:spacing w:line="273" w:lineRule="auto" w:before="57"/>
              <w:ind w:left="123" w:right="47"/>
              <w:rPr>
                <w:sz w:val="21"/>
              </w:rPr>
            </w:pPr>
            <w:r>
              <w:rPr>
                <w:sz w:val="21"/>
              </w:rPr>
              <w:t>指本合同保险单所具有的价值，通常体现为解除合同时，根据精算原理计</w:t>
            </w:r>
            <w:r>
              <w:rPr>
                <w:spacing w:val="-5"/>
                <w:sz w:val="21"/>
              </w:rPr>
              <w:t>算的，由我们退还的那部分金额。现金价值</w:t>
            </w:r>
            <w:r>
              <w:rPr>
                <w:sz w:val="21"/>
              </w:rPr>
              <w:t>＝保险费</w:t>
            </w:r>
            <w:r>
              <w:rPr>
                <w:spacing w:val="-3"/>
                <w:sz w:val="21"/>
              </w:rPr>
              <w:t>×65％×（1－m/n）， </w:t>
            </w:r>
            <w:r>
              <w:rPr>
                <w:spacing w:val="-1"/>
                <w:sz w:val="21"/>
              </w:rPr>
              <w:t>其中</w:t>
            </w:r>
            <w:r>
              <w:rPr>
                <w:sz w:val="21"/>
              </w:rPr>
              <w:t>m</w:t>
            </w:r>
            <w:r>
              <w:rPr>
                <w:spacing w:val="-3"/>
                <w:sz w:val="21"/>
              </w:rPr>
              <w:t>为已生效天数，</w:t>
            </w:r>
            <w:r>
              <w:rPr>
                <w:spacing w:val="-16"/>
                <w:sz w:val="21"/>
              </w:rPr>
              <w:t>n</w:t>
            </w:r>
            <w:r>
              <w:rPr>
                <w:spacing w:val="-4"/>
                <w:sz w:val="21"/>
              </w:rPr>
              <w:t>为保险期间的天数。已生效的天数不足一天的不计。</w:t>
            </w:r>
          </w:p>
        </w:tc>
      </w:tr>
      <w:tr>
        <w:trPr>
          <w:trHeight w:val="765" w:hRule="atLeast"/>
        </w:trPr>
        <w:tc>
          <w:tcPr>
            <w:tcW w:w="793" w:type="dxa"/>
          </w:tcPr>
          <w:p>
            <w:pPr>
              <w:pStyle w:val="TableParagraph"/>
              <w:spacing w:before="57"/>
              <w:ind w:left="50"/>
              <w:rPr>
                <w:b/>
                <w:sz w:val="21"/>
              </w:rPr>
            </w:pPr>
            <w:r>
              <w:rPr>
                <w:b/>
                <w:sz w:val="21"/>
              </w:rPr>
              <w:t>9.13</w:t>
            </w:r>
          </w:p>
        </w:tc>
        <w:tc>
          <w:tcPr>
            <w:tcW w:w="1496" w:type="dxa"/>
          </w:tcPr>
          <w:p>
            <w:pPr>
              <w:pStyle w:val="TableParagraph"/>
              <w:spacing w:line="273" w:lineRule="auto" w:before="57"/>
              <w:ind w:left="318" w:right="121"/>
              <w:rPr>
                <w:b/>
                <w:sz w:val="21"/>
              </w:rPr>
            </w:pPr>
            <w:r>
              <w:rPr>
                <w:b/>
                <w:sz w:val="21"/>
              </w:rPr>
              <w:t>有效身份证件</w:t>
            </w:r>
          </w:p>
        </w:tc>
        <w:tc>
          <w:tcPr>
            <w:tcW w:w="7046" w:type="dxa"/>
          </w:tcPr>
          <w:p>
            <w:pPr>
              <w:pStyle w:val="TableParagraph"/>
              <w:spacing w:line="273" w:lineRule="auto" w:before="57"/>
              <w:ind w:left="123" w:right="200"/>
              <w:rPr>
                <w:sz w:val="21"/>
              </w:rPr>
            </w:pPr>
            <w:r>
              <w:rPr>
                <w:sz w:val="21"/>
              </w:rPr>
              <w:t>指由政府主管部门规定的证明其身份的证件，如：居民身份证、按规定可使用的有效护照、军官证、警官证等证件。</w:t>
            </w:r>
          </w:p>
        </w:tc>
      </w:tr>
      <w:tr>
        <w:trPr>
          <w:trHeight w:val="766" w:hRule="atLeast"/>
        </w:trPr>
        <w:tc>
          <w:tcPr>
            <w:tcW w:w="793" w:type="dxa"/>
          </w:tcPr>
          <w:p>
            <w:pPr>
              <w:pStyle w:val="TableParagraph"/>
              <w:spacing w:before="57"/>
              <w:ind w:left="50"/>
              <w:rPr>
                <w:b/>
                <w:sz w:val="21"/>
              </w:rPr>
            </w:pPr>
            <w:r>
              <w:rPr>
                <w:b/>
                <w:sz w:val="21"/>
              </w:rPr>
              <w:t>9.14</w:t>
            </w:r>
          </w:p>
        </w:tc>
        <w:tc>
          <w:tcPr>
            <w:tcW w:w="1496" w:type="dxa"/>
          </w:tcPr>
          <w:p>
            <w:pPr>
              <w:pStyle w:val="TableParagraph"/>
              <w:spacing w:before="57"/>
              <w:ind w:left="319"/>
              <w:rPr>
                <w:b/>
                <w:sz w:val="21"/>
              </w:rPr>
            </w:pPr>
            <w:r>
              <w:rPr>
                <w:b/>
                <w:sz w:val="21"/>
              </w:rPr>
              <w:t>情形复杂</w:t>
            </w:r>
          </w:p>
        </w:tc>
        <w:tc>
          <w:tcPr>
            <w:tcW w:w="7046" w:type="dxa"/>
          </w:tcPr>
          <w:p>
            <w:pPr>
              <w:pStyle w:val="TableParagraph"/>
              <w:spacing w:line="273" w:lineRule="auto" w:before="57"/>
              <w:ind w:left="123" w:right="200"/>
              <w:rPr>
                <w:sz w:val="21"/>
              </w:rPr>
            </w:pPr>
            <w:r>
              <w:rPr>
                <w:sz w:val="21"/>
              </w:rPr>
              <w:t>指保险事故的性质、原因、伤害或损失程度等在我们收到保险金给付申请书及合同约定的证明和资料后5日内无法确定，需要进一步核实。</w:t>
            </w:r>
          </w:p>
        </w:tc>
      </w:tr>
      <w:tr>
        <w:trPr>
          <w:trHeight w:val="2326" w:hRule="atLeast"/>
        </w:trPr>
        <w:tc>
          <w:tcPr>
            <w:tcW w:w="793" w:type="dxa"/>
          </w:tcPr>
          <w:p>
            <w:pPr>
              <w:pStyle w:val="TableParagraph"/>
              <w:spacing w:before="57"/>
              <w:ind w:left="50"/>
              <w:rPr>
                <w:b/>
                <w:sz w:val="21"/>
              </w:rPr>
            </w:pPr>
            <w:r>
              <w:rPr>
                <w:b/>
                <w:sz w:val="21"/>
              </w:rPr>
              <w:t>9.15</w:t>
            </w:r>
          </w:p>
        </w:tc>
        <w:tc>
          <w:tcPr>
            <w:tcW w:w="1496" w:type="dxa"/>
          </w:tcPr>
          <w:p>
            <w:pPr>
              <w:pStyle w:val="TableParagraph"/>
              <w:spacing w:before="57"/>
              <w:ind w:left="319"/>
              <w:rPr>
                <w:b/>
                <w:sz w:val="21"/>
              </w:rPr>
            </w:pPr>
            <w:r>
              <w:rPr>
                <w:b/>
                <w:sz w:val="21"/>
              </w:rPr>
              <w:t>专科医生</w:t>
            </w:r>
          </w:p>
        </w:tc>
        <w:tc>
          <w:tcPr>
            <w:tcW w:w="7046" w:type="dxa"/>
          </w:tcPr>
          <w:p>
            <w:pPr>
              <w:pStyle w:val="TableParagraph"/>
              <w:spacing w:before="57"/>
              <w:ind w:left="123"/>
              <w:rPr>
                <w:sz w:val="21"/>
              </w:rPr>
            </w:pPr>
            <w:r>
              <w:rPr>
                <w:sz w:val="21"/>
              </w:rPr>
              <w:t>专科医生应当同时满足以下四项资格条件：</w:t>
            </w:r>
          </w:p>
          <w:p>
            <w:pPr>
              <w:pStyle w:val="TableParagraph"/>
              <w:spacing w:before="36"/>
              <w:ind w:left="123"/>
              <w:rPr>
                <w:sz w:val="21"/>
              </w:rPr>
            </w:pPr>
            <w:r>
              <w:rPr>
                <w:sz w:val="21"/>
              </w:rPr>
              <w:t>(1)具有有效的中华人民共和国《医师资格证书》；</w:t>
            </w:r>
          </w:p>
          <w:p>
            <w:pPr>
              <w:pStyle w:val="TableParagraph"/>
              <w:spacing w:line="273" w:lineRule="auto" w:before="36"/>
              <w:ind w:left="123" w:right="88"/>
              <w:rPr>
                <w:sz w:val="21"/>
              </w:rPr>
            </w:pPr>
            <w:r>
              <w:rPr>
                <w:sz w:val="21"/>
              </w:rPr>
              <w:t>(2)具有有效的中华人民共和国《医师执业证书》，并按期到相关部门登记注册；</w:t>
            </w:r>
          </w:p>
          <w:p>
            <w:pPr>
              <w:pStyle w:val="TableParagraph"/>
              <w:spacing w:line="273" w:lineRule="auto" w:before="7"/>
              <w:ind w:left="123" w:right="85"/>
              <w:rPr>
                <w:sz w:val="21"/>
              </w:rPr>
            </w:pPr>
            <w:r>
              <w:rPr>
                <w:sz w:val="21"/>
              </w:rPr>
              <w:t>(3)具有有效的中华人民共和国主治医师或主治医师以上职称的《医师职称证书》；</w:t>
            </w:r>
          </w:p>
          <w:p>
            <w:pPr>
              <w:pStyle w:val="TableParagraph"/>
              <w:spacing w:before="7"/>
              <w:ind w:left="123"/>
              <w:rPr>
                <w:sz w:val="21"/>
              </w:rPr>
            </w:pPr>
            <w:r>
              <w:rPr>
                <w:sz w:val="21"/>
              </w:rPr>
              <w:t>(4)在二级或二级以上医院的相应科室从事临床工作三年以上。</w:t>
            </w:r>
          </w:p>
        </w:tc>
      </w:tr>
      <w:tr>
        <w:trPr>
          <w:trHeight w:val="382" w:hRule="atLeast"/>
        </w:trPr>
        <w:tc>
          <w:tcPr>
            <w:tcW w:w="793" w:type="dxa"/>
          </w:tcPr>
          <w:p>
            <w:pPr>
              <w:pStyle w:val="TableParagraph"/>
              <w:spacing w:before="57"/>
              <w:ind w:left="50"/>
              <w:rPr>
                <w:b/>
                <w:sz w:val="21"/>
              </w:rPr>
            </w:pPr>
            <w:r>
              <w:rPr>
                <w:b/>
                <w:sz w:val="21"/>
              </w:rPr>
              <w:t>9.16</w:t>
            </w:r>
          </w:p>
        </w:tc>
        <w:tc>
          <w:tcPr>
            <w:tcW w:w="1496" w:type="dxa"/>
          </w:tcPr>
          <w:p>
            <w:pPr>
              <w:pStyle w:val="TableParagraph"/>
              <w:spacing w:before="57"/>
              <w:ind w:left="319"/>
              <w:rPr>
                <w:b/>
                <w:sz w:val="21"/>
              </w:rPr>
            </w:pPr>
            <w:r>
              <w:rPr>
                <w:b/>
                <w:w w:val="95"/>
                <w:sz w:val="21"/>
              </w:rPr>
              <w:t>永久不可逆</w:t>
            </w:r>
          </w:p>
        </w:tc>
        <w:tc>
          <w:tcPr>
            <w:tcW w:w="7046" w:type="dxa"/>
          </w:tcPr>
          <w:p>
            <w:pPr>
              <w:pStyle w:val="TableParagraph"/>
              <w:spacing w:before="57"/>
              <w:ind w:left="123"/>
              <w:rPr>
                <w:sz w:val="21"/>
              </w:rPr>
            </w:pPr>
            <w:r>
              <w:rPr>
                <w:sz w:val="21"/>
              </w:rPr>
              <w:t>指自疾病确诊或意外伤害发生之日起，经过积极治疗 180 天后，仍无法通</w:t>
            </w:r>
          </w:p>
        </w:tc>
      </w:tr>
      <w:tr>
        <w:trPr>
          <w:trHeight w:val="260" w:hRule="atLeast"/>
        </w:trPr>
        <w:tc>
          <w:tcPr>
            <w:tcW w:w="793" w:type="dxa"/>
          </w:tcPr>
          <w:p>
            <w:pPr>
              <w:pStyle w:val="TableParagraph"/>
              <w:rPr>
                <w:rFonts w:ascii="Times New Roman"/>
                <w:sz w:val="18"/>
              </w:rPr>
            </w:pPr>
          </w:p>
        </w:tc>
        <w:tc>
          <w:tcPr>
            <w:tcW w:w="1496" w:type="dxa"/>
          </w:tcPr>
          <w:p>
            <w:pPr>
              <w:pStyle w:val="TableParagraph"/>
              <w:rPr>
                <w:rFonts w:ascii="Times New Roman"/>
                <w:sz w:val="18"/>
              </w:rPr>
            </w:pPr>
          </w:p>
        </w:tc>
        <w:tc>
          <w:tcPr>
            <w:tcW w:w="7046" w:type="dxa"/>
          </w:tcPr>
          <w:p>
            <w:pPr>
              <w:pStyle w:val="TableParagraph"/>
              <w:spacing w:line="241" w:lineRule="exact"/>
              <w:ind w:left="123"/>
              <w:rPr>
                <w:sz w:val="21"/>
              </w:rPr>
            </w:pPr>
            <w:r>
              <w:rPr>
                <w:sz w:val="21"/>
              </w:rPr>
              <w:t>过现有医疗手段恢复。</w:t>
            </w:r>
          </w:p>
        </w:tc>
      </w:tr>
    </w:tbl>
    <w:sectPr>
      <w:pgSz w:w="11910" w:h="16840"/>
      <w:pgMar w:top="1460" w:bottom="280" w:left="11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9"/>
      <w:numFmt w:val="decimal"/>
      <w:lvlText w:val="%1"/>
      <w:lvlJc w:val="left"/>
      <w:pPr>
        <w:ind w:left="2583" w:hanging="1063"/>
        <w:jc w:val="left"/>
      </w:pPr>
      <w:rPr>
        <w:rFonts w:hint="default"/>
      </w:rPr>
    </w:lvl>
    <w:lvl w:ilvl="1">
      <w:start w:val="1"/>
      <w:numFmt w:val="decimal"/>
      <w:lvlText w:val="%1.%2"/>
      <w:lvlJc w:val="left"/>
      <w:pPr>
        <w:ind w:left="2583" w:hanging="1063"/>
        <w:jc w:val="left"/>
      </w:pPr>
      <w:rPr>
        <w:rFonts w:hint="default" w:ascii="宋体" w:hAnsi="宋体" w:eastAsia="宋体" w:cs="宋体"/>
        <w:b/>
        <w:bCs/>
        <w:w w:val="99"/>
        <w:sz w:val="21"/>
        <w:szCs w:val="21"/>
      </w:rPr>
    </w:lvl>
    <w:lvl w:ilvl="2">
      <w:start w:val="0"/>
      <w:numFmt w:val="bullet"/>
      <w:lvlText w:val="•"/>
      <w:lvlJc w:val="left"/>
      <w:pPr>
        <w:ind w:left="3976" w:hanging="1063"/>
      </w:pPr>
      <w:rPr>
        <w:rFonts w:hint="default"/>
      </w:rPr>
    </w:lvl>
    <w:lvl w:ilvl="3">
      <w:start w:val="0"/>
      <w:numFmt w:val="bullet"/>
      <w:lvlText w:val="•"/>
      <w:lvlJc w:val="left"/>
      <w:pPr>
        <w:ind w:left="4675" w:hanging="1063"/>
      </w:pPr>
      <w:rPr>
        <w:rFonts w:hint="default"/>
      </w:rPr>
    </w:lvl>
    <w:lvl w:ilvl="4">
      <w:start w:val="0"/>
      <w:numFmt w:val="bullet"/>
      <w:lvlText w:val="•"/>
      <w:lvlJc w:val="left"/>
      <w:pPr>
        <w:ind w:left="5373" w:hanging="1063"/>
      </w:pPr>
      <w:rPr>
        <w:rFonts w:hint="default"/>
      </w:rPr>
    </w:lvl>
    <w:lvl w:ilvl="5">
      <w:start w:val="0"/>
      <w:numFmt w:val="bullet"/>
      <w:lvlText w:val="•"/>
      <w:lvlJc w:val="left"/>
      <w:pPr>
        <w:ind w:left="6072" w:hanging="1063"/>
      </w:pPr>
      <w:rPr>
        <w:rFonts w:hint="default"/>
      </w:rPr>
    </w:lvl>
    <w:lvl w:ilvl="6">
      <w:start w:val="0"/>
      <w:numFmt w:val="bullet"/>
      <w:lvlText w:val="•"/>
      <w:lvlJc w:val="left"/>
      <w:pPr>
        <w:ind w:left="6770" w:hanging="1063"/>
      </w:pPr>
      <w:rPr>
        <w:rFonts w:hint="default"/>
      </w:rPr>
    </w:lvl>
    <w:lvl w:ilvl="7">
      <w:start w:val="0"/>
      <w:numFmt w:val="bullet"/>
      <w:lvlText w:val="•"/>
      <w:lvlJc w:val="left"/>
      <w:pPr>
        <w:ind w:left="7469" w:hanging="1063"/>
      </w:pPr>
      <w:rPr>
        <w:rFonts w:hint="default"/>
      </w:rPr>
    </w:lvl>
    <w:lvl w:ilvl="8">
      <w:start w:val="0"/>
      <w:numFmt w:val="bullet"/>
      <w:lvlText w:val="•"/>
      <w:lvlJc w:val="left"/>
      <w:pPr>
        <w:ind w:left="8167" w:hanging="1063"/>
      </w:pPr>
      <w:rPr>
        <w:rFonts w:hint="default"/>
      </w:rPr>
    </w:lvl>
  </w:abstractNum>
  <w:abstractNum w:abstractNumId="10">
    <w:multiLevelType w:val="hybridMultilevel"/>
    <w:lvl w:ilvl="0">
      <w:start w:val="1"/>
      <w:numFmt w:val="decimal"/>
      <w:lvlText w:val="(%1)"/>
      <w:lvlJc w:val="left"/>
      <w:pPr>
        <w:ind w:left="100" w:hanging="421"/>
        <w:jc w:val="left"/>
      </w:pPr>
      <w:rPr>
        <w:rFonts w:hint="default" w:ascii="宋体" w:hAnsi="宋体" w:eastAsia="宋体" w:cs="宋体"/>
        <w:spacing w:val="-2"/>
        <w:w w:val="100"/>
        <w:sz w:val="21"/>
        <w:szCs w:val="21"/>
      </w:rPr>
    </w:lvl>
    <w:lvl w:ilvl="1">
      <w:start w:val="0"/>
      <w:numFmt w:val="bullet"/>
      <w:lvlText w:val="•"/>
      <w:lvlJc w:val="left"/>
      <w:pPr>
        <w:ind w:left="798" w:hanging="421"/>
      </w:pPr>
      <w:rPr>
        <w:rFonts w:hint="default"/>
      </w:rPr>
    </w:lvl>
    <w:lvl w:ilvl="2">
      <w:start w:val="0"/>
      <w:numFmt w:val="bullet"/>
      <w:lvlText w:val="•"/>
      <w:lvlJc w:val="left"/>
      <w:pPr>
        <w:ind w:left="1496" w:hanging="421"/>
      </w:pPr>
      <w:rPr>
        <w:rFonts w:hint="default"/>
      </w:rPr>
    </w:lvl>
    <w:lvl w:ilvl="3">
      <w:start w:val="0"/>
      <w:numFmt w:val="bullet"/>
      <w:lvlText w:val="•"/>
      <w:lvlJc w:val="left"/>
      <w:pPr>
        <w:ind w:left="2194" w:hanging="421"/>
      </w:pPr>
      <w:rPr>
        <w:rFonts w:hint="default"/>
      </w:rPr>
    </w:lvl>
    <w:lvl w:ilvl="4">
      <w:start w:val="0"/>
      <w:numFmt w:val="bullet"/>
      <w:lvlText w:val="•"/>
      <w:lvlJc w:val="left"/>
      <w:pPr>
        <w:ind w:left="2892" w:hanging="421"/>
      </w:pPr>
      <w:rPr>
        <w:rFonts w:hint="default"/>
      </w:rPr>
    </w:lvl>
    <w:lvl w:ilvl="5">
      <w:start w:val="0"/>
      <w:numFmt w:val="bullet"/>
      <w:lvlText w:val="•"/>
      <w:lvlJc w:val="left"/>
      <w:pPr>
        <w:ind w:left="359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87" w:hanging="421"/>
      </w:pPr>
      <w:rPr>
        <w:rFonts w:hint="default"/>
      </w:rPr>
    </w:lvl>
    <w:lvl w:ilvl="8">
      <w:start w:val="0"/>
      <w:numFmt w:val="bullet"/>
      <w:lvlText w:val="•"/>
      <w:lvlJc w:val="left"/>
      <w:pPr>
        <w:ind w:left="5685" w:hanging="421"/>
      </w:pPr>
      <w:rPr>
        <w:rFonts w:hint="default"/>
      </w:rPr>
    </w:lvl>
  </w:abstractNum>
  <w:abstractNum w:abstractNumId="9">
    <w:multiLevelType w:val="hybridMultilevel"/>
    <w:lvl w:ilvl="0">
      <w:start w:val="8"/>
      <w:numFmt w:val="decimal"/>
      <w:lvlText w:val="%1"/>
      <w:lvlJc w:val="left"/>
      <w:pPr>
        <w:ind w:left="2463" w:hanging="1063"/>
        <w:jc w:val="left"/>
      </w:pPr>
      <w:rPr>
        <w:rFonts w:hint="default"/>
      </w:rPr>
    </w:lvl>
    <w:lvl w:ilvl="1">
      <w:start w:val="1"/>
      <w:numFmt w:val="decimal"/>
      <w:lvlText w:val="%1.%2"/>
      <w:lvlJc w:val="left"/>
      <w:pPr>
        <w:ind w:left="2463" w:hanging="1063"/>
        <w:jc w:val="right"/>
      </w:pPr>
      <w:rPr>
        <w:rFonts w:hint="default"/>
      </w:rPr>
    </w:lvl>
    <w:lvl w:ilvl="2">
      <w:start w:val="16"/>
      <w:numFmt w:val="decimal"/>
      <w:lvlText w:val="%1.%2.%3"/>
      <w:lvlJc w:val="left"/>
      <w:pPr>
        <w:ind w:left="2463" w:hanging="1063"/>
        <w:jc w:val="right"/>
      </w:pPr>
      <w:rPr>
        <w:rFonts w:hint="default" w:ascii="宋体" w:hAnsi="宋体" w:eastAsia="宋体" w:cs="宋体"/>
        <w:b/>
        <w:bCs/>
        <w:w w:val="99"/>
        <w:sz w:val="21"/>
        <w:szCs w:val="21"/>
      </w:rPr>
    </w:lvl>
    <w:lvl w:ilvl="3">
      <w:start w:val="0"/>
      <w:numFmt w:val="bullet"/>
      <w:lvlText w:val="•"/>
      <w:lvlJc w:val="left"/>
      <w:pPr>
        <w:ind w:left="4555" w:hanging="1063"/>
      </w:pPr>
      <w:rPr>
        <w:rFonts w:hint="default"/>
      </w:rPr>
    </w:lvl>
    <w:lvl w:ilvl="4">
      <w:start w:val="0"/>
      <w:numFmt w:val="bullet"/>
      <w:lvlText w:val="•"/>
      <w:lvlJc w:val="left"/>
      <w:pPr>
        <w:ind w:left="5253" w:hanging="1063"/>
      </w:pPr>
      <w:rPr>
        <w:rFonts w:hint="default"/>
      </w:rPr>
    </w:lvl>
    <w:lvl w:ilvl="5">
      <w:start w:val="0"/>
      <w:numFmt w:val="bullet"/>
      <w:lvlText w:val="•"/>
      <w:lvlJc w:val="left"/>
      <w:pPr>
        <w:ind w:left="5952" w:hanging="1063"/>
      </w:pPr>
      <w:rPr>
        <w:rFonts w:hint="default"/>
      </w:rPr>
    </w:lvl>
    <w:lvl w:ilvl="6">
      <w:start w:val="0"/>
      <w:numFmt w:val="bullet"/>
      <w:lvlText w:val="•"/>
      <w:lvlJc w:val="left"/>
      <w:pPr>
        <w:ind w:left="6650" w:hanging="1063"/>
      </w:pPr>
      <w:rPr>
        <w:rFonts w:hint="default"/>
      </w:rPr>
    </w:lvl>
    <w:lvl w:ilvl="7">
      <w:start w:val="0"/>
      <w:numFmt w:val="bullet"/>
      <w:lvlText w:val="•"/>
      <w:lvlJc w:val="left"/>
      <w:pPr>
        <w:ind w:left="7349" w:hanging="1063"/>
      </w:pPr>
      <w:rPr>
        <w:rFonts w:hint="default"/>
      </w:rPr>
    </w:lvl>
    <w:lvl w:ilvl="8">
      <w:start w:val="0"/>
      <w:numFmt w:val="bullet"/>
      <w:lvlText w:val="•"/>
      <w:lvlJc w:val="left"/>
      <w:pPr>
        <w:ind w:left="8047" w:hanging="1063"/>
      </w:pPr>
      <w:rPr>
        <w:rFonts w:hint="default"/>
      </w:rPr>
    </w:lvl>
  </w:abstractNum>
  <w:abstractNum w:abstractNumId="8">
    <w:multiLevelType w:val="hybridMultilevel"/>
    <w:lvl w:ilvl="0">
      <w:start w:val="7"/>
      <w:numFmt w:val="decimal"/>
      <w:lvlText w:val="%1"/>
      <w:lvlJc w:val="left"/>
      <w:pPr>
        <w:ind w:left="2583" w:hanging="1063"/>
        <w:jc w:val="left"/>
      </w:pPr>
      <w:rPr>
        <w:rFonts w:hint="default"/>
      </w:rPr>
    </w:lvl>
    <w:lvl w:ilvl="1">
      <w:start w:val="1"/>
      <w:numFmt w:val="decimal"/>
      <w:lvlText w:val="%1.%2"/>
      <w:lvlJc w:val="left"/>
      <w:pPr>
        <w:ind w:left="2583" w:hanging="1063"/>
        <w:jc w:val="left"/>
      </w:pPr>
      <w:rPr>
        <w:rFonts w:hint="default" w:ascii="宋体" w:hAnsi="宋体" w:eastAsia="宋体" w:cs="宋体"/>
        <w:b/>
        <w:bCs/>
        <w:spacing w:val="0"/>
        <w:w w:val="99"/>
        <w:sz w:val="21"/>
        <w:szCs w:val="21"/>
      </w:rPr>
    </w:lvl>
    <w:lvl w:ilvl="2">
      <w:start w:val="0"/>
      <w:numFmt w:val="bullet"/>
      <w:lvlText w:val="•"/>
      <w:lvlJc w:val="left"/>
      <w:pPr>
        <w:ind w:left="3976" w:hanging="1063"/>
      </w:pPr>
      <w:rPr>
        <w:rFonts w:hint="default"/>
      </w:rPr>
    </w:lvl>
    <w:lvl w:ilvl="3">
      <w:start w:val="0"/>
      <w:numFmt w:val="bullet"/>
      <w:lvlText w:val="•"/>
      <w:lvlJc w:val="left"/>
      <w:pPr>
        <w:ind w:left="4675" w:hanging="1063"/>
      </w:pPr>
      <w:rPr>
        <w:rFonts w:hint="default"/>
      </w:rPr>
    </w:lvl>
    <w:lvl w:ilvl="4">
      <w:start w:val="0"/>
      <w:numFmt w:val="bullet"/>
      <w:lvlText w:val="•"/>
      <w:lvlJc w:val="left"/>
      <w:pPr>
        <w:ind w:left="5373" w:hanging="1063"/>
      </w:pPr>
      <w:rPr>
        <w:rFonts w:hint="default"/>
      </w:rPr>
    </w:lvl>
    <w:lvl w:ilvl="5">
      <w:start w:val="0"/>
      <w:numFmt w:val="bullet"/>
      <w:lvlText w:val="•"/>
      <w:lvlJc w:val="left"/>
      <w:pPr>
        <w:ind w:left="6072" w:hanging="1063"/>
      </w:pPr>
      <w:rPr>
        <w:rFonts w:hint="default"/>
      </w:rPr>
    </w:lvl>
    <w:lvl w:ilvl="6">
      <w:start w:val="0"/>
      <w:numFmt w:val="bullet"/>
      <w:lvlText w:val="•"/>
      <w:lvlJc w:val="left"/>
      <w:pPr>
        <w:ind w:left="6770" w:hanging="1063"/>
      </w:pPr>
      <w:rPr>
        <w:rFonts w:hint="default"/>
      </w:rPr>
    </w:lvl>
    <w:lvl w:ilvl="7">
      <w:start w:val="0"/>
      <w:numFmt w:val="bullet"/>
      <w:lvlText w:val="•"/>
      <w:lvlJc w:val="left"/>
      <w:pPr>
        <w:ind w:left="7469" w:hanging="1063"/>
      </w:pPr>
      <w:rPr>
        <w:rFonts w:hint="default"/>
      </w:rPr>
    </w:lvl>
    <w:lvl w:ilvl="8">
      <w:start w:val="0"/>
      <w:numFmt w:val="bullet"/>
      <w:lvlText w:val="•"/>
      <w:lvlJc w:val="left"/>
      <w:pPr>
        <w:ind w:left="8167" w:hanging="1063"/>
      </w:pPr>
      <w:rPr>
        <w:rFonts w:hint="default"/>
      </w:rPr>
    </w:lvl>
  </w:abstractNum>
  <w:abstractNum w:abstractNumId="7">
    <w:multiLevelType w:val="hybridMultilevel"/>
    <w:lvl w:ilvl="0">
      <w:start w:val="6"/>
      <w:numFmt w:val="decimal"/>
      <w:lvlText w:val="%1"/>
      <w:lvlJc w:val="left"/>
      <w:pPr>
        <w:ind w:left="1282" w:hanging="1063"/>
        <w:jc w:val="left"/>
      </w:pPr>
      <w:rPr>
        <w:rFonts w:hint="default"/>
      </w:rPr>
    </w:lvl>
    <w:lvl w:ilvl="1">
      <w:start w:val="1"/>
      <w:numFmt w:val="decimal"/>
      <w:lvlText w:val="%1.%2"/>
      <w:lvlJc w:val="left"/>
      <w:pPr>
        <w:ind w:left="1282" w:hanging="1063"/>
        <w:jc w:val="left"/>
      </w:pPr>
      <w:rPr>
        <w:rFonts w:hint="default" w:ascii="宋体" w:hAnsi="宋体" w:eastAsia="宋体" w:cs="宋体"/>
        <w:b/>
        <w:bCs/>
        <w:spacing w:val="0"/>
        <w:w w:val="99"/>
        <w:sz w:val="21"/>
        <w:szCs w:val="21"/>
      </w:rPr>
    </w:lvl>
    <w:lvl w:ilvl="2">
      <w:start w:val="0"/>
      <w:numFmt w:val="bullet"/>
      <w:lvlText w:val="•"/>
      <w:lvlJc w:val="left"/>
      <w:pPr>
        <w:ind w:left="1491" w:hanging="1063"/>
      </w:pPr>
      <w:rPr>
        <w:rFonts w:hint="default"/>
      </w:rPr>
    </w:lvl>
    <w:lvl w:ilvl="3">
      <w:start w:val="0"/>
      <w:numFmt w:val="bullet"/>
      <w:lvlText w:val="•"/>
      <w:lvlJc w:val="left"/>
      <w:pPr>
        <w:ind w:left="1596" w:hanging="1063"/>
      </w:pPr>
      <w:rPr>
        <w:rFonts w:hint="default"/>
      </w:rPr>
    </w:lvl>
    <w:lvl w:ilvl="4">
      <w:start w:val="0"/>
      <w:numFmt w:val="bullet"/>
      <w:lvlText w:val="•"/>
      <w:lvlJc w:val="left"/>
      <w:pPr>
        <w:ind w:left="1702" w:hanging="1063"/>
      </w:pPr>
      <w:rPr>
        <w:rFonts w:hint="default"/>
      </w:rPr>
    </w:lvl>
    <w:lvl w:ilvl="5">
      <w:start w:val="0"/>
      <w:numFmt w:val="bullet"/>
      <w:lvlText w:val="•"/>
      <w:lvlJc w:val="left"/>
      <w:pPr>
        <w:ind w:left="1807" w:hanging="1063"/>
      </w:pPr>
      <w:rPr>
        <w:rFonts w:hint="default"/>
      </w:rPr>
    </w:lvl>
    <w:lvl w:ilvl="6">
      <w:start w:val="0"/>
      <w:numFmt w:val="bullet"/>
      <w:lvlText w:val="•"/>
      <w:lvlJc w:val="left"/>
      <w:pPr>
        <w:ind w:left="1913" w:hanging="1063"/>
      </w:pPr>
      <w:rPr>
        <w:rFonts w:hint="default"/>
      </w:rPr>
    </w:lvl>
    <w:lvl w:ilvl="7">
      <w:start w:val="0"/>
      <w:numFmt w:val="bullet"/>
      <w:lvlText w:val="•"/>
      <w:lvlJc w:val="left"/>
      <w:pPr>
        <w:ind w:left="2018" w:hanging="1063"/>
      </w:pPr>
      <w:rPr>
        <w:rFonts w:hint="default"/>
      </w:rPr>
    </w:lvl>
    <w:lvl w:ilvl="8">
      <w:start w:val="0"/>
      <w:numFmt w:val="bullet"/>
      <w:lvlText w:val="•"/>
      <w:lvlJc w:val="left"/>
      <w:pPr>
        <w:ind w:left="2124" w:hanging="1063"/>
      </w:pPr>
      <w:rPr>
        <w:rFonts w:hint="default"/>
      </w:rPr>
    </w:lvl>
  </w:abstractNum>
  <w:abstractNum w:abstractNumId="6">
    <w:multiLevelType w:val="hybridMultilevel"/>
    <w:lvl w:ilvl="0">
      <w:start w:val="2"/>
      <w:numFmt w:val="decimal"/>
      <w:lvlText w:val="%1"/>
      <w:lvlJc w:val="left"/>
      <w:pPr>
        <w:ind w:left="1382" w:hanging="1063"/>
        <w:jc w:val="left"/>
      </w:pPr>
      <w:rPr>
        <w:rFonts w:hint="default"/>
      </w:rPr>
    </w:lvl>
    <w:lvl w:ilvl="1">
      <w:start w:val="1"/>
      <w:numFmt w:val="decimal"/>
      <w:lvlText w:val="%1.%2"/>
      <w:lvlJc w:val="left"/>
      <w:pPr>
        <w:ind w:left="1382" w:hanging="1063"/>
        <w:jc w:val="left"/>
      </w:pPr>
      <w:rPr>
        <w:rFonts w:hint="default" w:ascii="宋体" w:hAnsi="宋体" w:eastAsia="宋体" w:cs="宋体"/>
        <w:b/>
        <w:bCs/>
        <w:spacing w:val="0"/>
        <w:w w:val="99"/>
        <w:sz w:val="21"/>
        <w:szCs w:val="21"/>
      </w:rPr>
    </w:lvl>
    <w:lvl w:ilvl="2">
      <w:start w:val="0"/>
      <w:numFmt w:val="bullet"/>
      <w:lvlText w:val="•"/>
      <w:lvlJc w:val="left"/>
      <w:pPr>
        <w:ind w:left="1591" w:hanging="1063"/>
      </w:pPr>
      <w:rPr>
        <w:rFonts w:hint="default"/>
      </w:rPr>
    </w:lvl>
    <w:lvl w:ilvl="3">
      <w:start w:val="0"/>
      <w:numFmt w:val="bullet"/>
      <w:lvlText w:val="•"/>
      <w:lvlJc w:val="left"/>
      <w:pPr>
        <w:ind w:left="1696" w:hanging="1063"/>
      </w:pPr>
      <w:rPr>
        <w:rFonts w:hint="default"/>
      </w:rPr>
    </w:lvl>
    <w:lvl w:ilvl="4">
      <w:start w:val="0"/>
      <w:numFmt w:val="bullet"/>
      <w:lvlText w:val="•"/>
      <w:lvlJc w:val="left"/>
      <w:pPr>
        <w:ind w:left="1802" w:hanging="1063"/>
      </w:pPr>
      <w:rPr>
        <w:rFonts w:hint="default"/>
      </w:rPr>
    </w:lvl>
    <w:lvl w:ilvl="5">
      <w:start w:val="0"/>
      <w:numFmt w:val="bullet"/>
      <w:lvlText w:val="•"/>
      <w:lvlJc w:val="left"/>
      <w:pPr>
        <w:ind w:left="1907" w:hanging="1063"/>
      </w:pPr>
      <w:rPr>
        <w:rFonts w:hint="default"/>
      </w:rPr>
    </w:lvl>
    <w:lvl w:ilvl="6">
      <w:start w:val="0"/>
      <w:numFmt w:val="bullet"/>
      <w:lvlText w:val="•"/>
      <w:lvlJc w:val="left"/>
      <w:pPr>
        <w:ind w:left="2013" w:hanging="1063"/>
      </w:pPr>
      <w:rPr>
        <w:rFonts w:hint="default"/>
      </w:rPr>
    </w:lvl>
    <w:lvl w:ilvl="7">
      <w:start w:val="0"/>
      <w:numFmt w:val="bullet"/>
      <w:lvlText w:val="•"/>
      <w:lvlJc w:val="left"/>
      <w:pPr>
        <w:ind w:left="2119" w:hanging="1063"/>
      </w:pPr>
      <w:rPr>
        <w:rFonts w:hint="default"/>
      </w:rPr>
    </w:lvl>
    <w:lvl w:ilvl="8">
      <w:start w:val="0"/>
      <w:numFmt w:val="bullet"/>
      <w:lvlText w:val="•"/>
      <w:lvlJc w:val="left"/>
      <w:pPr>
        <w:ind w:left="2224" w:hanging="1063"/>
      </w:pPr>
      <w:rPr>
        <w:rFonts w:hint="default"/>
      </w:rPr>
    </w:lvl>
  </w:abstractNum>
  <w:abstractNum w:abstractNumId="5">
    <w:multiLevelType w:val="hybridMultilevel"/>
    <w:lvl w:ilvl="0">
      <w:start w:val="1"/>
      <w:numFmt w:val="decimal"/>
      <w:lvlText w:val="%1"/>
      <w:lvlJc w:val="left"/>
      <w:pPr>
        <w:ind w:left="2683" w:hanging="1063"/>
        <w:jc w:val="left"/>
      </w:pPr>
      <w:rPr>
        <w:rFonts w:hint="default"/>
      </w:rPr>
    </w:lvl>
    <w:lvl w:ilvl="1">
      <w:start w:val="1"/>
      <w:numFmt w:val="decimal"/>
      <w:lvlText w:val="%1.%2"/>
      <w:lvlJc w:val="left"/>
      <w:pPr>
        <w:ind w:left="2683" w:hanging="1063"/>
        <w:jc w:val="left"/>
      </w:pPr>
      <w:rPr>
        <w:rFonts w:hint="default" w:ascii="宋体" w:hAnsi="宋体" w:eastAsia="宋体" w:cs="宋体"/>
        <w:b/>
        <w:bCs/>
        <w:spacing w:val="0"/>
        <w:w w:val="99"/>
        <w:sz w:val="21"/>
        <w:szCs w:val="21"/>
      </w:rPr>
    </w:lvl>
    <w:lvl w:ilvl="2">
      <w:start w:val="0"/>
      <w:numFmt w:val="bullet"/>
      <w:lvlText w:val="•"/>
      <w:lvlJc w:val="left"/>
      <w:pPr>
        <w:ind w:left="4116" w:hanging="1063"/>
      </w:pPr>
      <w:rPr>
        <w:rFonts w:hint="default"/>
      </w:rPr>
    </w:lvl>
    <w:lvl w:ilvl="3">
      <w:start w:val="0"/>
      <w:numFmt w:val="bullet"/>
      <w:lvlText w:val="•"/>
      <w:lvlJc w:val="left"/>
      <w:pPr>
        <w:ind w:left="4835" w:hanging="1063"/>
      </w:pPr>
      <w:rPr>
        <w:rFonts w:hint="default"/>
      </w:rPr>
    </w:lvl>
    <w:lvl w:ilvl="4">
      <w:start w:val="0"/>
      <w:numFmt w:val="bullet"/>
      <w:lvlText w:val="•"/>
      <w:lvlJc w:val="left"/>
      <w:pPr>
        <w:ind w:left="5553" w:hanging="1063"/>
      </w:pPr>
      <w:rPr>
        <w:rFonts w:hint="default"/>
      </w:rPr>
    </w:lvl>
    <w:lvl w:ilvl="5">
      <w:start w:val="0"/>
      <w:numFmt w:val="bullet"/>
      <w:lvlText w:val="•"/>
      <w:lvlJc w:val="left"/>
      <w:pPr>
        <w:ind w:left="6272" w:hanging="1063"/>
      </w:pPr>
      <w:rPr>
        <w:rFonts w:hint="default"/>
      </w:rPr>
    </w:lvl>
    <w:lvl w:ilvl="6">
      <w:start w:val="0"/>
      <w:numFmt w:val="bullet"/>
      <w:lvlText w:val="•"/>
      <w:lvlJc w:val="left"/>
      <w:pPr>
        <w:ind w:left="6990" w:hanging="1063"/>
      </w:pPr>
      <w:rPr>
        <w:rFonts w:hint="default"/>
      </w:rPr>
    </w:lvl>
    <w:lvl w:ilvl="7">
      <w:start w:val="0"/>
      <w:numFmt w:val="bullet"/>
      <w:lvlText w:val="•"/>
      <w:lvlJc w:val="left"/>
      <w:pPr>
        <w:ind w:left="7709" w:hanging="1063"/>
      </w:pPr>
      <w:rPr>
        <w:rFonts w:hint="default"/>
      </w:rPr>
    </w:lvl>
    <w:lvl w:ilvl="8">
      <w:start w:val="0"/>
      <w:numFmt w:val="bullet"/>
      <w:lvlText w:val="•"/>
      <w:lvlJc w:val="left"/>
      <w:pPr>
        <w:ind w:left="8427" w:hanging="1063"/>
      </w:pPr>
      <w:rPr>
        <w:rFonts w:hint="default"/>
      </w:rPr>
    </w:lvl>
  </w:abstractNum>
  <w:abstractNum w:abstractNumId="4">
    <w:multiLevelType w:val="hybridMultilevel"/>
    <w:lvl w:ilvl="0">
      <w:start w:val="9"/>
      <w:numFmt w:val="decimal"/>
      <w:lvlText w:val="%1"/>
      <w:lvlJc w:val="left"/>
      <w:pPr>
        <w:ind w:left="936" w:hanging="420"/>
        <w:jc w:val="left"/>
      </w:pPr>
      <w:rPr>
        <w:rFonts w:hint="default"/>
      </w:rPr>
    </w:lvl>
    <w:lvl w:ilvl="1">
      <w:start w:val="7"/>
      <w:numFmt w:val="decimal"/>
      <w:lvlText w:val="%1.%2"/>
      <w:lvlJc w:val="left"/>
      <w:pPr>
        <w:ind w:left="945" w:hanging="420"/>
        <w:jc w:val="left"/>
      </w:pPr>
      <w:rPr>
        <w:rFonts w:hint="default" w:ascii="黑体" w:hAnsi="黑体" w:eastAsia="黑体" w:cs="黑体"/>
        <w:w w:val="100"/>
        <w:sz w:val="21"/>
        <w:szCs w:val="21"/>
      </w:rPr>
    </w:lvl>
    <w:lvl w:ilvl="2">
      <w:start w:val="0"/>
      <w:numFmt w:val="bullet"/>
      <w:lvlText w:val="•"/>
      <w:lvlJc w:val="left"/>
      <w:pPr>
        <w:ind w:left="1514" w:hanging="420"/>
      </w:pPr>
      <w:rPr>
        <w:rFonts w:hint="default"/>
      </w:rPr>
    </w:lvl>
    <w:lvl w:ilvl="3">
      <w:start w:val="0"/>
      <w:numFmt w:val="bullet"/>
      <w:lvlText w:val="•"/>
      <w:lvlJc w:val="left"/>
      <w:pPr>
        <w:ind w:left="1801" w:hanging="420"/>
      </w:pPr>
      <w:rPr>
        <w:rFonts w:hint="default"/>
      </w:rPr>
    </w:lvl>
    <w:lvl w:ilvl="4">
      <w:start w:val="0"/>
      <w:numFmt w:val="bullet"/>
      <w:lvlText w:val="•"/>
      <w:lvlJc w:val="left"/>
      <w:pPr>
        <w:ind w:left="2088" w:hanging="420"/>
      </w:pPr>
      <w:rPr>
        <w:rFonts w:hint="default"/>
      </w:rPr>
    </w:lvl>
    <w:lvl w:ilvl="5">
      <w:start w:val="0"/>
      <w:numFmt w:val="bullet"/>
      <w:lvlText w:val="•"/>
      <w:lvlJc w:val="left"/>
      <w:pPr>
        <w:ind w:left="2375" w:hanging="420"/>
      </w:pPr>
      <w:rPr>
        <w:rFonts w:hint="default"/>
      </w:rPr>
    </w:lvl>
    <w:lvl w:ilvl="6">
      <w:start w:val="0"/>
      <w:numFmt w:val="bullet"/>
      <w:lvlText w:val="•"/>
      <w:lvlJc w:val="left"/>
      <w:pPr>
        <w:ind w:left="2662" w:hanging="420"/>
      </w:pPr>
      <w:rPr>
        <w:rFonts w:hint="default"/>
      </w:rPr>
    </w:lvl>
    <w:lvl w:ilvl="7">
      <w:start w:val="0"/>
      <w:numFmt w:val="bullet"/>
      <w:lvlText w:val="•"/>
      <w:lvlJc w:val="left"/>
      <w:pPr>
        <w:ind w:left="2949" w:hanging="420"/>
      </w:pPr>
      <w:rPr>
        <w:rFonts w:hint="default"/>
      </w:rPr>
    </w:lvl>
    <w:lvl w:ilvl="8">
      <w:start w:val="0"/>
      <w:numFmt w:val="bullet"/>
      <w:lvlText w:val="•"/>
      <w:lvlJc w:val="left"/>
      <w:pPr>
        <w:ind w:left="3236" w:hanging="420"/>
      </w:pPr>
      <w:rPr>
        <w:rFonts w:hint="default"/>
      </w:rPr>
    </w:lvl>
  </w:abstractNum>
  <w:abstractNum w:abstractNumId="3">
    <w:multiLevelType w:val="hybridMultilevel"/>
    <w:lvl w:ilvl="0">
      <w:start w:val="7"/>
      <w:numFmt w:val="decimal"/>
      <w:lvlText w:val="%1"/>
      <w:lvlJc w:val="left"/>
      <w:pPr>
        <w:ind w:left="936" w:hanging="420"/>
        <w:jc w:val="left"/>
      </w:pPr>
      <w:rPr>
        <w:rFonts w:hint="default"/>
      </w:rPr>
    </w:lvl>
    <w:lvl w:ilvl="1">
      <w:start w:val="1"/>
      <w:numFmt w:val="decimal"/>
      <w:lvlText w:val="%1.%2"/>
      <w:lvlJc w:val="left"/>
      <w:pPr>
        <w:ind w:left="936" w:hanging="420"/>
        <w:jc w:val="left"/>
      </w:pPr>
      <w:rPr>
        <w:rFonts w:hint="default" w:ascii="黑体" w:hAnsi="黑体" w:eastAsia="黑体" w:cs="黑体"/>
        <w:w w:val="100"/>
        <w:sz w:val="21"/>
        <w:szCs w:val="21"/>
      </w:rPr>
    </w:lvl>
    <w:lvl w:ilvl="2">
      <w:start w:val="0"/>
      <w:numFmt w:val="bullet"/>
      <w:lvlText w:val="•"/>
      <w:lvlJc w:val="left"/>
      <w:pPr>
        <w:ind w:left="1395" w:hanging="420"/>
      </w:pPr>
      <w:rPr>
        <w:rFonts w:hint="default"/>
      </w:rPr>
    </w:lvl>
    <w:lvl w:ilvl="3">
      <w:start w:val="0"/>
      <w:numFmt w:val="bullet"/>
      <w:lvlText w:val="•"/>
      <w:lvlJc w:val="left"/>
      <w:pPr>
        <w:ind w:left="1623" w:hanging="420"/>
      </w:pPr>
      <w:rPr>
        <w:rFonts w:hint="default"/>
      </w:rPr>
    </w:lvl>
    <w:lvl w:ilvl="4">
      <w:start w:val="0"/>
      <w:numFmt w:val="bullet"/>
      <w:lvlText w:val="•"/>
      <w:lvlJc w:val="left"/>
      <w:pPr>
        <w:ind w:left="1851" w:hanging="420"/>
      </w:pPr>
      <w:rPr>
        <w:rFonts w:hint="default"/>
      </w:rPr>
    </w:lvl>
    <w:lvl w:ilvl="5">
      <w:start w:val="0"/>
      <w:numFmt w:val="bullet"/>
      <w:lvlText w:val="•"/>
      <w:lvlJc w:val="left"/>
      <w:pPr>
        <w:ind w:left="2079" w:hanging="420"/>
      </w:pPr>
      <w:rPr>
        <w:rFonts w:hint="default"/>
      </w:rPr>
    </w:lvl>
    <w:lvl w:ilvl="6">
      <w:start w:val="0"/>
      <w:numFmt w:val="bullet"/>
      <w:lvlText w:val="•"/>
      <w:lvlJc w:val="left"/>
      <w:pPr>
        <w:ind w:left="2306" w:hanging="420"/>
      </w:pPr>
      <w:rPr>
        <w:rFonts w:hint="default"/>
      </w:rPr>
    </w:lvl>
    <w:lvl w:ilvl="7">
      <w:start w:val="0"/>
      <w:numFmt w:val="bullet"/>
      <w:lvlText w:val="•"/>
      <w:lvlJc w:val="left"/>
      <w:pPr>
        <w:ind w:left="2534" w:hanging="420"/>
      </w:pPr>
      <w:rPr>
        <w:rFonts w:hint="default"/>
      </w:rPr>
    </w:lvl>
    <w:lvl w:ilvl="8">
      <w:start w:val="0"/>
      <w:numFmt w:val="bullet"/>
      <w:lvlText w:val="•"/>
      <w:lvlJc w:val="left"/>
      <w:pPr>
        <w:ind w:left="2762" w:hanging="420"/>
      </w:pPr>
      <w:rPr>
        <w:rFonts w:hint="default"/>
      </w:rPr>
    </w:lvl>
  </w:abstractNum>
  <w:abstractNum w:abstractNumId="2">
    <w:multiLevelType w:val="hybridMultilevel"/>
    <w:lvl w:ilvl="0">
      <w:start w:val="6"/>
      <w:numFmt w:val="decimal"/>
      <w:lvlText w:val="%1"/>
      <w:lvlJc w:val="left"/>
      <w:pPr>
        <w:ind w:left="936" w:hanging="420"/>
        <w:jc w:val="left"/>
      </w:pPr>
      <w:rPr>
        <w:rFonts w:hint="default"/>
      </w:rPr>
    </w:lvl>
    <w:lvl w:ilvl="1">
      <w:start w:val="1"/>
      <w:numFmt w:val="decimal"/>
      <w:lvlText w:val="%1.%2"/>
      <w:lvlJc w:val="left"/>
      <w:pPr>
        <w:ind w:left="936" w:hanging="420"/>
        <w:jc w:val="left"/>
      </w:pPr>
      <w:rPr>
        <w:rFonts w:hint="default" w:ascii="黑体" w:hAnsi="黑体" w:eastAsia="黑体" w:cs="黑体"/>
        <w:w w:val="100"/>
        <w:sz w:val="21"/>
        <w:szCs w:val="21"/>
      </w:rPr>
    </w:lvl>
    <w:lvl w:ilvl="2">
      <w:start w:val="0"/>
      <w:numFmt w:val="bullet"/>
      <w:lvlText w:val="•"/>
      <w:lvlJc w:val="left"/>
      <w:pPr>
        <w:ind w:left="1395" w:hanging="420"/>
      </w:pPr>
      <w:rPr>
        <w:rFonts w:hint="default"/>
      </w:rPr>
    </w:lvl>
    <w:lvl w:ilvl="3">
      <w:start w:val="0"/>
      <w:numFmt w:val="bullet"/>
      <w:lvlText w:val="•"/>
      <w:lvlJc w:val="left"/>
      <w:pPr>
        <w:ind w:left="1623" w:hanging="420"/>
      </w:pPr>
      <w:rPr>
        <w:rFonts w:hint="default"/>
      </w:rPr>
    </w:lvl>
    <w:lvl w:ilvl="4">
      <w:start w:val="0"/>
      <w:numFmt w:val="bullet"/>
      <w:lvlText w:val="•"/>
      <w:lvlJc w:val="left"/>
      <w:pPr>
        <w:ind w:left="1851" w:hanging="420"/>
      </w:pPr>
      <w:rPr>
        <w:rFonts w:hint="default"/>
      </w:rPr>
    </w:lvl>
    <w:lvl w:ilvl="5">
      <w:start w:val="0"/>
      <w:numFmt w:val="bullet"/>
      <w:lvlText w:val="•"/>
      <w:lvlJc w:val="left"/>
      <w:pPr>
        <w:ind w:left="2079" w:hanging="420"/>
      </w:pPr>
      <w:rPr>
        <w:rFonts w:hint="default"/>
      </w:rPr>
    </w:lvl>
    <w:lvl w:ilvl="6">
      <w:start w:val="0"/>
      <w:numFmt w:val="bullet"/>
      <w:lvlText w:val="•"/>
      <w:lvlJc w:val="left"/>
      <w:pPr>
        <w:ind w:left="2306" w:hanging="420"/>
      </w:pPr>
      <w:rPr>
        <w:rFonts w:hint="default"/>
      </w:rPr>
    </w:lvl>
    <w:lvl w:ilvl="7">
      <w:start w:val="0"/>
      <w:numFmt w:val="bullet"/>
      <w:lvlText w:val="•"/>
      <w:lvlJc w:val="left"/>
      <w:pPr>
        <w:ind w:left="2534" w:hanging="420"/>
      </w:pPr>
      <w:rPr>
        <w:rFonts w:hint="default"/>
      </w:rPr>
    </w:lvl>
    <w:lvl w:ilvl="8">
      <w:start w:val="0"/>
      <w:numFmt w:val="bullet"/>
      <w:lvlText w:val="•"/>
      <w:lvlJc w:val="left"/>
      <w:pPr>
        <w:ind w:left="2762" w:hanging="420"/>
      </w:pPr>
      <w:rPr>
        <w:rFonts w:hint="default"/>
      </w:rPr>
    </w:lvl>
  </w:abstractNum>
  <w:abstractNum w:abstractNumId="1">
    <w:multiLevelType w:val="hybridMultilevel"/>
    <w:lvl w:ilvl="0">
      <w:start w:val="2"/>
      <w:numFmt w:val="decimal"/>
      <w:lvlText w:val="%1"/>
      <w:lvlJc w:val="left"/>
      <w:pPr>
        <w:ind w:left="1394" w:hanging="420"/>
        <w:jc w:val="left"/>
      </w:pPr>
      <w:rPr>
        <w:rFonts w:hint="default"/>
      </w:rPr>
    </w:lvl>
    <w:lvl w:ilvl="1">
      <w:start w:val="1"/>
      <w:numFmt w:val="decimal"/>
      <w:lvlText w:val="%1.%2"/>
      <w:lvlJc w:val="left"/>
      <w:pPr>
        <w:ind w:left="1394" w:hanging="420"/>
        <w:jc w:val="left"/>
      </w:pPr>
      <w:rPr>
        <w:rFonts w:hint="default" w:ascii="黑体" w:hAnsi="黑体" w:eastAsia="黑体" w:cs="黑体"/>
        <w:w w:val="100"/>
        <w:sz w:val="21"/>
        <w:szCs w:val="21"/>
      </w:rPr>
    </w:lvl>
    <w:lvl w:ilvl="2">
      <w:start w:val="0"/>
      <w:numFmt w:val="bullet"/>
      <w:lvlText w:val="•"/>
      <w:lvlJc w:val="left"/>
      <w:pPr>
        <w:ind w:left="1855" w:hanging="420"/>
      </w:pPr>
      <w:rPr>
        <w:rFonts w:hint="default"/>
      </w:rPr>
    </w:lvl>
    <w:lvl w:ilvl="3">
      <w:start w:val="0"/>
      <w:numFmt w:val="bullet"/>
      <w:lvlText w:val="•"/>
      <w:lvlJc w:val="left"/>
      <w:pPr>
        <w:ind w:left="2082" w:hanging="420"/>
      </w:pPr>
      <w:rPr>
        <w:rFonts w:hint="default"/>
      </w:rPr>
    </w:lvl>
    <w:lvl w:ilvl="4">
      <w:start w:val="0"/>
      <w:numFmt w:val="bullet"/>
      <w:lvlText w:val="•"/>
      <w:lvlJc w:val="left"/>
      <w:pPr>
        <w:ind w:left="2310" w:hanging="420"/>
      </w:pPr>
      <w:rPr>
        <w:rFonts w:hint="default"/>
      </w:rPr>
    </w:lvl>
    <w:lvl w:ilvl="5">
      <w:start w:val="0"/>
      <w:numFmt w:val="bullet"/>
      <w:lvlText w:val="•"/>
      <w:lvlJc w:val="left"/>
      <w:pPr>
        <w:ind w:left="2537" w:hanging="420"/>
      </w:pPr>
      <w:rPr>
        <w:rFonts w:hint="default"/>
      </w:rPr>
    </w:lvl>
    <w:lvl w:ilvl="6">
      <w:start w:val="0"/>
      <w:numFmt w:val="bullet"/>
      <w:lvlText w:val="•"/>
      <w:lvlJc w:val="left"/>
      <w:pPr>
        <w:ind w:left="2765" w:hanging="420"/>
      </w:pPr>
      <w:rPr>
        <w:rFonts w:hint="default"/>
      </w:rPr>
    </w:lvl>
    <w:lvl w:ilvl="7">
      <w:start w:val="0"/>
      <w:numFmt w:val="bullet"/>
      <w:lvlText w:val="•"/>
      <w:lvlJc w:val="left"/>
      <w:pPr>
        <w:ind w:left="2992" w:hanging="420"/>
      </w:pPr>
      <w:rPr>
        <w:rFonts w:hint="default"/>
      </w:rPr>
    </w:lvl>
    <w:lvl w:ilvl="8">
      <w:start w:val="0"/>
      <w:numFmt w:val="bullet"/>
      <w:lvlText w:val="•"/>
      <w:lvlJc w:val="left"/>
      <w:pPr>
        <w:ind w:left="3220" w:hanging="420"/>
      </w:pPr>
      <w:rPr>
        <w:rFonts w:hint="default"/>
      </w:rPr>
    </w:lvl>
  </w:abstractNum>
  <w:abstractNum w:abstractNumId="0">
    <w:multiLevelType w:val="hybridMultilevel"/>
    <w:lvl w:ilvl="0">
      <w:start w:val="0"/>
      <w:numFmt w:val="bullet"/>
      <w:lvlText w:val=""/>
      <w:lvlJc w:val="left"/>
      <w:pPr>
        <w:ind w:left="1290" w:hanging="453"/>
      </w:pPr>
      <w:rPr>
        <w:rFonts w:hint="default" w:ascii="Wingdings" w:hAnsi="Wingdings" w:eastAsia="Wingdings" w:cs="Wingdings"/>
        <w:w w:val="100"/>
        <w:sz w:val="21"/>
        <w:szCs w:val="21"/>
      </w:rPr>
    </w:lvl>
    <w:lvl w:ilvl="1">
      <w:start w:val="0"/>
      <w:numFmt w:val="bullet"/>
      <w:lvlText w:val="•"/>
      <w:lvlJc w:val="left"/>
      <w:pPr>
        <w:ind w:left="2248" w:hanging="453"/>
      </w:pPr>
      <w:rPr>
        <w:rFonts w:hint="default"/>
      </w:rPr>
    </w:lvl>
    <w:lvl w:ilvl="2">
      <w:start w:val="0"/>
      <w:numFmt w:val="bullet"/>
      <w:lvlText w:val="•"/>
      <w:lvlJc w:val="left"/>
      <w:pPr>
        <w:ind w:left="3196" w:hanging="453"/>
      </w:pPr>
      <w:rPr>
        <w:rFonts w:hint="default"/>
      </w:rPr>
    </w:lvl>
    <w:lvl w:ilvl="3">
      <w:start w:val="0"/>
      <w:numFmt w:val="bullet"/>
      <w:lvlText w:val="•"/>
      <w:lvlJc w:val="left"/>
      <w:pPr>
        <w:ind w:left="4145" w:hanging="453"/>
      </w:pPr>
      <w:rPr>
        <w:rFonts w:hint="default"/>
      </w:rPr>
    </w:lvl>
    <w:lvl w:ilvl="4">
      <w:start w:val="0"/>
      <w:numFmt w:val="bullet"/>
      <w:lvlText w:val="•"/>
      <w:lvlJc w:val="left"/>
      <w:pPr>
        <w:ind w:left="5093" w:hanging="453"/>
      </w:pPr>
      <w:rPr>
        <w:rFonts w:hint="default"/>
      </w:rPr>
    </w:lvl>
    <w:lvl w:ilvl="5">
      <w:start w:val="0"/>
      <w:numFmt w:val="bullet"/>
      <w:lvlText w:val="•"/>
      <w:lvlJc w:val="left"/>
      <w:pPr>
        <w:ind w:left="6042" w:hanging="453"/>
      </w:pPr>
      <w:rPr>
        <w:rFonts w:hint="default"/>
      </w:rPr>
    </w:lvl>
    <w:lvl w:ilvl="6">
      <w:start w:val="0"/>
      <w:numFmt w:val="bullet"/>
      <w:lvlText w:val="•"/>
      <w:lvlJc w:val="left"/>
      <w:pPr>
        <w:ind w:left="6990" w:hanging="453"/>
      </w:pPr>
      <w:rPr>
        <w:rFonts w:hint="default"/>
      </w:rPr>
    </w:lvl>
    <w:lvl w:ilvl="7">
      <w:start w:val="0"/>
      <w:numFmt w:val="bullet"/>
      <w:lvlText w:val="•"/>
      <w:lvlJc w:val="left"/>
      <w:pPr>
        <w:ind w:left="7939" w:hanging="453"/>
      </w:pPr>
      <w:rPr>
        <w:rFonts w:hint="default"/>
      </w:rPr>
    </w:lvl>
    <w:lvl w:ilvl="8">
      <w:start w:val="0"/>
      <w:numFmt w:val="bullet"/>
      <w:lvlText w:val="•"/>
      <w:lvlJc w:val="left"/>
      <w:pPr>
        <w:ind w:left="8887" w:hanging="45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8"/>
      <w:jc w:val="center"/>
      <w:outlineLvl w:val="1"/>
    </w:pPr>
    <w:rPr>
      <w:rFonts w:ascii="黑体" w:hAnsi="黑体" w:eastAsia="黑体" w:cs="黑体"/>
      <w:b/>
      <w:bCs/>
      <w:sz w:val="32"/>
      <w:szCs w:val="32"/>
    </w:rPr>
  </w:style>
  <w:style w:styleId="Heading2" w:type="paragraph">
    <w:name w:val="Heading 2"/>
    <w:basedOn w:val="Normal"/>
    <w:uiPriority w:val="1"/>
    <w:qFormat/>
    <w:pPr>
      <w:spacing w:before="35"/>
      <w:ind w:left="1282" w:hanging="1062"/>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282" w:hanging="10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huyifan</dc:creator>
  <dc:title>&lt;4D6963726F736F667420576F7264202D20B8BDBCFE39A3BAD6D0BAABB0AECFE0B0E9C9D9B6F9D6D8B4F3BCB2B2A1B1A3CFD541BFEECCF5BFEE&gt;</dc:title>
  <dcterms:created xsi:type="dcterms:W3CDTF">2018-10-19T21:54:57Z</dcterms:created>
  <dcterms:modified xsi:type="dcterms:W3CDTF">2018-10-19T21:54:57Z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2014-10-14T00:00:00Z</vt:filetime>
  </property>
  <property fmtid="{D5CDD505-2E9C-101B-9397-08002B2CF9AE}" pid="3" name="Creator">
    <vt:lpwstr>PScript5.dll Version 5.2.2</vt:lpwstr>
  </property>
  <property fmtid="{D5CDD505-2E9C-101B-9397-08002B2CF9AE}" pid="4" name="LastSaved">
    <vt:filetime>2018-10-19T00:00:00Z</vt:filetime>
  </property>
</Properties>
</file>