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3711">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046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623" w:right="665"/>
        <w:jc w:val="center"/>
      </w:pPr>
      <w:r>
        <w:rPr>
          <w:w w:val="95"/>
        </w:rPr>
        <w:t>附加长期重大疾病保险条款阅读指引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3687">
            <wp:simplePos x="0" y="0"/>
            <wp:positionH relativeFrom="page">
              <wp:posOffset>502702</wp:posOffset>
            </wp:positionH>
            <wp:positionV relativeFrom="paragraph">
              <wp:posOffset>-207706</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440" w:bottom="280" w:left="680" w:right="180"/>
          <w:cols w:num="2" w:equalWidth="0">
            <w:col w:w="3327" w:space="1083"/>
            <w:col w:w="6640"/>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w w:val="95"/>
        </w:rPr>
        <w:t>附加长期重大疾病保险条款</w:t>
      </w:r>
    </w:p>
    <w:p>
      <w:pPr>
        <w:pStyle w:val="BodyText"/>
        <w:spacing w:before="234"/>
        <w:ind w:left="162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56"/>
      </w:pPr>
      <w:r>
        <w:rPr>
          <w:spacing w:val="-3"/>
        </w:rPr>
        <w:t>在本条款中，“您”指投保人，“我们”和“本公司”指华夏人寿保险股份有限公司，“本附加合同”指您</w:t>
      </w:r>
      <w:r>
        <w:rPr>
          <w:spacing w:val="-8"/>
        </w:rPr>
        <w:t>与我们之间订立的“附加长期重大疾病保险合同”。</w:t>
      </w:r>
    </w:p>
    <w:p>
      <w:pPr>
        <w:pStyle w:val="BodyText"/>
        <w:spacing w:before="12"/>
        <w:rPr>
          <w:sz w:val="14"/>
        </w:rPr>
      </w:pPr>
    </w:p>
    <w:p>
      <w:pPr>
        <w:pStyle w:val="Heading2"/>
        <w:tabs>
          <w:tab w:pos="979" w:val="left" w:leader="none"/>
        </w:tabs>
        <w:ind w:left="212"/>
        <w:rPr>
          <w:rFonts w:ascii="宋体" w:eastAsia="宋体" w:hint="eastAsia"/>
        </w:rPr>
      </w:pPr>
      <w:r>
        <w:rPr/>
        <w:pict>
          <v:group style="position:absolute;margin-left:43.200001pt;margin-top:37.049904pt;width:508.6pt;height:1pt;mso-position-horizontal-relative:page;mso-position-vertical-relative:paragraph;z-index:1096;mso-wrap-distance-left:0;mso-wrap-distance-right:0" coordorigin="864,741" coordsize="10172,20">
            <v:line style="position:absolute" from="864,751" to="3680,751" stroked="true" strokeweight=".96002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29" w:right="228"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79" w:val="left" w:leader="none"/>
        </w:tabs>
        <w:spacing w:line="557" w:lineRule="exact" w:before="0"/>
        <w:ind w:left="212" w:right="0" w:firstLine="0"/>
        <w:jc w:val="left"/>
        <w:rPr>
          <w:b/>
          <w:sz w:val="24"/>
        </w:rPr>
      </w:pPr>
      <w:r>
        <w:rPr/>
        <w:pict>
          <v:group style="position:absolute;margin-left:43.200001pt;margin-top:31.197124pt;width:508.6pt;height:1pt;mso-position-horizontal-relative:page;mso-position-vertical-relative:paragraph;z-index:1120;mso-wrap-distance-left:0;mso-wrap-distance-right:0" coordorigin="864,624" coordsize="10172,20">
            <v:line style="position:absolute" from="864,634" to="3680,634" stroked="true" strokeweight=".96001pt" strokecolor="#000000">
              <v:stroke dashstyle="solid"/>
            </v:line>
            <v:line style="position:absolute" from="3680,634" to="1103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979" w:right="0" w:hanging="767"/>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280" w:bottom="640" w:left="760" w:right="760"/>
          <w:pgNumType w:start="2"/>
        </w:sectPr>
      </w:pPr>
    </w:p>
    <w:p>
      <w:pPr>
        <w:pStyle w:val="Heading2"/>
        <w:spacing w:line="184" w:lineRule="auto" w:before="46"/>
      </w:pPr>
      <w:r>
        <w:rPr/>
        <w:t>首次重大疾病保险金</w:t>
      </w:r>
    </w:p>
    <w:p>
      <w:pPr>
        <w:spacing w:line="273" w:lineRule="auto" w:before="36"/>
        <w:ind w:left="728" w:right="111" w:hanging="420"/>
        <w:jc w:val="left"/>
        <w:rPr>
          <w:sz w:val="21"/>
        </w:rPr>
      </w:pPr>
      <w:r>
        <w:rPr/>
        <w:br w:type="column"/>
      </w:r>
      <w:r>
        <w:rPr>
          <w:spacing w:val="-3"/>
          <w:sz w:val="21"/>
        </w:rPr>
        <w:t>一、若被保险人于本附加合同生效或最后一次复效之日起 </w:t>
      </w:r>
      <w:r>
        <w:rPr>
          <w:sz w:val="21"/>
        </w:rPr>
        <w:t>90</w:t>
      </w:r>
      <w:r>
        <w:rPr>
          <w:spacing w:val="-4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line="273" w:lineRule="auto" w:before="8"/>
        <w:ind w:left="728" w:right="214" w:hanging="420"/>
      </w:pPr>
      <w:r>
        <w:rPr/>
        <w:t>二、若被保险人因意外伤害，或于本附加合同生效或最后一次复效之日起 90 日后因意外伤害以外的原因导致初次患本附加合同所列的重大疾病，我们</w:t>
      </w:r>
    </w:p>
    <w:p>
      <w:pPr>
        <w:spacing w:after="0" w:line="273" w:lineRule="auto"/>
        <w:sectPr>
          <w:type w:val="continuous"/>
          <w:pgSz w:w="11910" w:h="16840"/>
          <w:pgMar w:top="440" w:bottom="280" w:left="760" w:right="760"/>
          <w:cols w:num="2" w:equalWidth="0">
            <w:col w:w="2662" w:space="40"/>
            <w:col w:w="7688"/>
          </w:cols>
        </w:sectPr>
      </w:pPr>
    </w:p>
    <w:p>
      <w:pPr>
        <w:pStyle w:val="BodyText"/>
        <w:spacing w:line="273" w:lineRule="auto" w:before="19"/>
        <w:ind w:left="3429" w:right="216"/>
        <w:jc w:val="both"/>
      </w:pPr>
      <w:r>
        <w:rPr/>
        <w:t>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60" w:right="760"/>
        </w:sectPr>
      </w:pPr>
    </w:p>
    <w:p>
      <w:pPr>
        <w:pStyle w:val="Heading2"/>
        <w:spacing w:line="184" w:lineRule="auto" w:before="45"/>
      </w:pPr>
      <w:r>
        <w:rPr/>
        <w:t>第二次重大疾病保险金</w:t>
      </w:r>
    </w:p>
    <w:p>
      <w:pPr>
        <w:pStyle w:val="BodyText"/>
        <w:spacing w:line="273" w:lineRule="auto" w:before="35"/>
        <w:ind w:left="305" w:right="212"/>
        <w:jc w:val="both"/>
      </w:pPr>
      <w:r>
        <w:rPr/>
        <w:br w:type="column"/>
      </w:r>
      <w:r>
        <w:rPr/>
        <w:t>若同一被保险人已领取首次重大疾病保险金，并且自首次重大疾病确诊之日算</w:t>
      </w:r>
      <w:r>
        <w:rPr>
          <w:spacing w:val="-15"/>
        </w:rPr>
        <w:t>起满 </w:t>
      </w:r>
      <w:r>
        <w:rPr/>
        <w:t>365</w:t>
      </w:r>
      <w:r>
        <w:rPr>
          <w:spacing w:val="-7"/>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440" w:bottom="280" w:left="760" w:right="760"/>
          <w:cols w:num="2" w:equalWidth="0">
            <w:col w:w="2662" w:space="40"/>
            <w:col w:w="7688"/>
          </w:cols>
        </w:sectPr>
      </w:pPr>
    </w:p>
    <w:p>
      <w:pPr>
        <w:pStyle w:val="BodyText"/>
        <w:spacing w:before="2"/>
        <w:rPr>
          <w:sz w:val="15"/>
        </w:rPr>
      </w:pPr>
    </w:p>
    <w:p>
      <w:pPr>
        <w:spacing w:after="0"/>
        <w:rPr>
          <w:sz w:val="15"/>
        </w:rPr>
        <w:sectPr>
          <w:type w:val="continuous"/>
          <w:pgSz w:w="11910" w:h="16840"/>
          <w:pgMar w:top="440" w:bottom="280" w:left="760" w:right="760"/>
        </w:sectPr>
      </w:pPr>
    </w:p>
    <w:p>
      <w:pPr>
        <w:pStyle w:val="Heading2"/>
        <w:spacing w:line="184" w:lineRule="auto" w:before="46"/>
      </w:pPr>
      <w:r>
        <w:rPr/>
        <w:t>重大疾病保险费豁免</w:t>
      </w:r>
    </w:p>
    <w:p>
      <w:pPr>
        <w:pStyle w:val="BodyText"/>
        <w:spacing w:line="273" w:lineRule="auto" w:before="36"/>
        <w:ind w:left="308" w:right="217"/>
      </w:pPr>
      <w:r>
        <w:rPr/>
        <w:br w:type="column"/>
      </w:r>
      <w:r>
        <w:rPr/>
        <w:t>若被保险人已领取首次重大疾病保险金，我们将豁免本附加合同自首次重大疾病确诊之日以后的各期保险费。</w:t>
      </w:r>
    </w:p>
    <w:p>
      <w:pPr>
        <w:pStyle w:val="BodyText"/>
        <w:spacing w:before="2"/>
        <w:rPr>
          <w:sz w:val="19"/>
        </w:rPr>
      </w:pPr>
    </w:p>
    <w:p>
      <w:pPr>
        <w:pStyle w:val="BodyText"/>
        <w:spacing w:line="273" w:lineRule="auto" w:before="0"/>
        <w:ind w:left="305" w:right="217" w:firstLine="2"/>
      </w:pPr>
      <w:r>
        <w:rPr/>
        <w:t>若被保险人已领取所附主合同的身故保险金、全残保险金或生命尊严提前给付保险金，我们不再给付本附加合同的首次及第二次重大疾病保险金。</w:t>
      </w:r>
    </w:p>
    <w:p>
      <w:pPr>
        <w:spacing w:after="0" w:line="273" w:lineRule="auto"/>
        <w:sectPr>
          <w:type w:val="continuous"/>
          <w:pgSz w:w="11910" w:h="16840"/>
          <w:pgMar w:top="440" w:bottom="280" w:left="760" w:right="760"/>
          <w:cols w:num="2" w:equalWidth="0">
            <w:col w:w="2662" w:space="40"/>
            <w:col w:w="7688"/>
          </w:cols>
        </w:sectPr>
      </w:pPr>
    </w:p>
    <w:p>
      <w:pPr>
        <w:pStyle w:val="BodyText"/>
        <w:spacing w:before="5"/>
        <w:rPr>
          <w:sz w:val="14"/>
        </w:rPr>
      </w:pPr>
    </w:p>
    <w:p>
      <w:pPr>
        <w:pStyle w:val="Heading3"/>
        <w:numPr>
          <w:ilvl w:val="1"/>
          <w:numId w:val="9"/>
        </w:numPr>
        <w:tabs>
          <w:tab w:pos="980" w:val="left" w:leader="none"/>
          <w:tab w:pos="981" w:val="left" w:leader="none"/>
          <w:tab w:pos="3009" w:val="left" w:leader="none"/>
        </w:tabs>
        <w:spacing w:line="240" w:lineRule="auto" w:before="34" w:after="0"/>
        <w:ind w:left="980" w:right="0" w:hanging="768"/>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429" w:right="1703"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5" w:right="47" w:hanging="417"/>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after="1"/>
        <w:rPr>
          <w:rFonts w:ascii="黑体"/>
          <w:i/>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260" w:hRule="atLeast"/>
        </w:trPr>
        <w:tc>
          <w:tcPr>
            <w:tcW w:w="670" w:type="dxa"/>
          </w:tcPr>
          <w:p>
            <w:pPr>
              <w:pStyle w:val="TableParagraph"/>
              <w:spacing w:line="210" w:lineRule="exact"/>
              <w:ind w:left="107"/>
              <w:rPr>
                <w:b/>
                <w:sz w:val="21"/>
              </w:rPr>
            </w:pPr>
            <w:r>
              <w:rPr>
                <w:b/>
                <w:sz w:val="21"/>
              </w:rPr>
              <w:t>2.3</w:t>
            </w:r>
          </w:p>
        </w:tc>
        <w:tc>
          <w:tcPr>
            <w:tcW w:w="1944" w:type="dxa"/>
          </w:tcPr>
          <w:p>
            <w:pPr>
              <w:pStyle w:val="TableParagraph"/>
              <w:spacing w:line="210" w:lineRule="exact"/>
              <w:ind w:left="205"/>
              <w:rPr>
                <w:b/>
                <w:sz w:val="21"/>
              </w:rPr>
            </w:pPr>
            <w:r>
              <w:rPr>
                <w:b/>
                <w:w w:val="95"/>
                <w:sz w:val="21"/>
              </w:rPr>
              <w:t>保险金额</w:t>
            </w:r>
          </w:p>
        </w:tc>
        <w:tc>
          <w:tcPr>
            <w:tcW w:w="7558" w:type="dxa"/>
          </w:tcPr>
          <w:p>
            <w:pPr>
              <w:pStyle w:val="TableParagraph"/>
              <w:spacing w:line="210" w:lineRule="exact"/>
              <w:ind w:left="291"/>
              <w:rPr>
                <w:sz w:val="21"/>
              </w:rPr>
            </w:pPr>
            <w:r>
              <w:rPr>
                <w:sz w:val="21"/>
              </w:rPr>
              <w:t>本附加合同的保险金额由您在投保时与我们约定并在保险单中载明，投保时的</w:t>
            </w:r>
          </w:p>
        </w:tc>
      </w:tr>
      <w:tr>
        <w:trPr>
          <w:trHeight w:val="311"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保险金额须符合我们当时的投保规则。若该金额发生变更，则以变更后的金额</w:t>
            </w:r>
          </w:p>
        </w:tc>
      </w:tr>
      <w:tr>
        <w:trPr>
          <w:trHeight w:val="434"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为保险金额。</w:t>
            </w:r>
          </w:p>
        </w:tc>
      </w:tr>
      <w:tr>
        <w:trPr>
          <w:trHeight w:val="434" w:hRule="atLeast"/>
        </w:trPr>
        <w:tc>
          <w:tcPr>
            <w:tcW w:w="670" w:type="dxa"/>
          </w:tcPr>
          <w:p>
            <w:pPr>
              <w:pStyle w:val="TableParagraph"/>
              <w:spacing w:before="109"/>
              <w:ind w:left="107"/>
              <w:rPr>
                <w:b/>
                <w:sz w:val="21"/>
              </w:rPr>
            </w:pPr>
            <w:r>
              <w:rPr>
                <w:b/>
                <w:sz w:val="21"/>
              </w:rPr>
              <w:t>2.4</w:t>
            </w:r>
          </w:p>
        </w:tc>
        <w:tc>
          <w:tcPr>
            <w:tcW w:w="1944" w:type="dxa"/>
          </w:tcPr>
          <w:p>
            <w:pPr>
              <w:pStyle w:val="TableParagraph"/>
              <w:spacing w:before="109"/>
              <w:ind w:left="205"/>
              <w:rPr>
                <w:b/>
                <w:sz w:val="21"/>
              </w:rPr>
            </w:pPr>
            <w:r>
              <w:rPr>
                <w:b/>
                <w:w w:val="95"/>
                <w:sz w:val="21"/>
              </w:rPr>
              <w:t>保险期间</w:t>
            </w:r>
          </w:p>
        </w:tc>
        <w:tc>
          <w:tcPr>
            <w:tcW w:w="7558" w:type="dxa"/>
          </w:tcPr>
          <w:p>
            <w:pPr>
              <w:pStyle w:val="TableParagraph"/>
              <w:spacing w:before="109"/>
              <w:ind w:left="291"/>
              <w:rPr>
                <w:sz w:val="21"/>
              </w:rPr>
            </w:pPr>
            <w:r>
              <w:rPr>
                <w:sz w:val="21"/>
              </w:rPr>
              <w:t>本附加合同的保险期间与主合同一致，自本附加合同生效日零时起算。所附主</w:t>
            </w:r>
          </w:p>
        </w:tc>
      </w:tr>
      <w:tr>
        <w:trPr>
          <w:trHeight w:val="450" w:hRule="atLeast"/>
        </w:trPr>
        <w:tc>
          <w:tcPr>
            <w:tcW w:w="670" w:type="dxa"/>
          </w:tcPr>
          <w:p>
            <w:pPr>
              <w:pStyle w:val="TableParagraph"/>
              <w:rPr>
                <w:rFonts w:ascii="Times New Roman"/>
                <w:sz w:val="20"/>
              </w:rPr>
            </w:pPr>
          </w:p>
        </w:tc>
        <w:tc>
          <w:tcPr>
            <w:tcW w:w="1944" w:type="dxa"/>
          </w:tcPr>
          <w:p>
            <w:pPr>
              <w:pStyle w:val="TableParagraph"/>
              <w:rPr>
                <w:rFonts w:ascii="Times New Roman"/>
                <w:sz w:val="20"/>
              </w:rPr>
            </w:pPr>
          </w:p>
        </w:tc>
        <w:tc>
          <w:tcPr>
            <w:tcW w:w="7558" w:type="dxa"/>
          </w:tcPr>
          <w:p>
            <w:pPr>
              <w:pStyle w:val="TableParagraph"/>
              <w:spacing w:line="261" w:lineRule="exact"/>
              <w:ind w:left="291"/>
              <w:rPr>
                <w:sz w:val="21"/>
              </w:rPr>
            </w:pPr>
            <w:r>
              <w:rPr>
                <w:sz w:val="21"/>
              </w:rPr>
              <w:t>合同终止的，本附加合同同时终止。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spacing w:before="206"/>
              <w:ind w:left="205"/>
              <w:rPr>
                <w:b/>
                <w:sz w:val="24"/>
              </w:rPr>
            </w:pPr>
            <w:r>
              <w:rPr>
                <w:b/>
                <w:w w:val="95"/>
                <w:sz w:val="24"/>
              </w:rPr>
              <w:t>保险金的申请</w:t>
            </w:r>
          </w:p>
        </w:tc>
        <w:tc>
          <w:tcPr>
            <w:tcW w:w="7558" w:type="dxa"/>
            <w:tcBorders>
              <w:bottom w:val="single" w:sz="8" w:space="0" w:color="000000"/>
            </w:tcBorders>
          </w:tcPr>
          <w:p>
            <w:pPr>
              <w:pStyle w:val="TableParagraph"/>
              <w:rPr>
                <w:rFonts w:ascii="Times New Roman"/>
                <w:sz w:val="20"/>
              </w:rPr>
            </w:pPr>
          </w:p>
        </w:tc>
      </w:tr>
      <w:tr>
        <w:trPr>
          <w:trHeight w:val="626" w:hRule="atLeast"/>
        </w:trPr>
        <w:tc>
          <w:tcPr>
            <w:tcW w:w="67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9"/>
              <w:rPr>
                <w:rFonts w:ascii="黑体"/>
                <w:i/>
                <w:sz w:val="14"/>
              </w:rPr>
            </w:pPr>
          </w:p>
          <w:p>
            <w:pPr>
              <w:pStyle w:val="TableParagraph"/>
              <w:ind w:left="206"/>
              <w:rPr>
                <w:b/>
                <w:sz w:val="21"/>
              </w:rPr>
            </w:pPr>
            <w:r>
              <w:rPr>
                <w:b/>
                <w:w w:val="95"/>
                <w:sz w:val="21"/>
              </w:rPr>
              <w:t>受益人</w:t>
            </w:r>
          </w:p>
        </w:tc>
        <w:tc>
          <w:tcPr>
            <w:tcW w:w="7558"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693" w:hRule="atLeast"/>
        </w:trPr>
        <w:tc>
          <w:tcPr>
            <w:tcW w:w="670" w:type="dxa"/>
          </w:tcPr>
          <w:p>
            <w:pPr>
              <w:pStyle w:val="TableParagraph"/>
              <w:spacing w:before="105"/>
              <w:ind w:left="107"/>
              <w:rPr>
                <w:b/>
                <w:sz w:val="21"/>
              </w:rPr>
            </w:pPr>
            <w:r>
              <w:rPr>
                <w:b/>
                <w:sz w:val="21"/>
              </w:rPr>
              <w:t>3.2</w:t>
            </w:r>
          </w:p>
        </w:tc>
        <w:tc>
          <w:tcPr>
            <w:tcW w:w="1944" w:type="dxa"/>
          </w:tcPr>
          <w:p>
            <w:pPr>
              <w:pStyle w:val="TableParagraph"/>
              <w:spacing w:before="105"/>
              <w:ind w:left="206"/>
              <w:rPr>
                <w:b/>
                <w:sz w:val="21"/>
              </w:rPr>
            </w:pPr>
            <w:r>
              <w:rPr>
                <w:b/>
                <w:w w:val="95"/>
                <w:sz w:val="21"/>
              </w:rPr>
              <w:t>保险事故通知</w:t>
            </w:r>
          </w:p>
        </w:tc>
        <w:tc>
          <w:tcPr>
            <w:tcW w:w="7558" w:type="dxa"/>
          </w:tcPr>
          <w:p>
            <w:pPr>
              <w:pStyle w:val="TableParagraph"/>
              <w:spacing w:line="310" w:lineRule="atLeast" w:before="71"/>
              <w:ind w:left="291" w:right="106"/>
              <w:rPr>
                <w:rFonts w:ascii="黑体" w:eastAsia="黑体" w:hint="eastAsia"/>
                <w:b/>
                <w:i/>
                <w:sz w:val="22"/>
              </w:rPr>
            </w:pPr>
            <w:r>
              <w:rPr>
                <w:spacing w:val="-10"/>
                <w:sz w:val="21"/>
              </w:rPr>
              <w:t>您、被保险人或受益人应于知道保险事故发生之日起 </w:t>
            </w:r>
            <w:r>
              <w:rPr>
                <w:sz w:val="21"/>
              </w:rPr>
              <w:t>10</w:t>
            </w:r>
            <w:r>
              <w:rPr>
                <w:spacing w:val="-16"/>
                <w:sz w:val="21"/>
              </w:rPr>
              <w:t> 日内通知我们。</w:t>
            </w:r>
            <w:r>
              <w:rPr>
                <w:rFonts w:ascii="黑体" w:eastAsia="黑体" w:hint="eastAsia"/>
                <w:b/>
                <w:i/>
                <w:sz w:val="22"/>
              </w:rPr>
              <w:t>若故意</w:t>
            </w:r>
            <w:r>
              <w:rPr>
                <w:rFonts w:ascii="黑体" w:eastAsia="黑体" w:hint="eastAsia"/>
                <w:b/>
                <w:i/>
                <w:spacing w:val="-3"/>
                <w:w w:val="95"/>
                <w:sz w:val="22"/>
              </w:rPr>
              <w:t>或因重大过失未及时通知，致使保险事故的性质、原因、损失程度等难以确定</w:t>
            </w:r>
          </w:p>
        </w:tc>
      </w:tr>
    </w:tbl>
    <w:p>
      <w:pPr>
        <w:spacing w:after="0" w:line="310" w:lineRule="atLeast"/>
        <w:rPr>
          <w:rFonts w:ascii="黑体" w:eastAsia="黑体" w:hint="eastAsia"/>
          <w:sz w:val="22"/>
        </w:rPr>
        <w:sectPr>
          <w:type w:val="continuous"/>
          <w:pgSz w:w="11910" w:h="16840"/>
          <w:pgMar w:top="440" w:bottom="280" w:left="760" w:right="760"/>
        </w:sectPr>
      </w:pPr>
    </w:p>
    <w:p>
      <w:pPr>
        <w:spacing w:line="271" w:lineRule="auto" w:before="7"/>
        <w:ind w:left="3009" w:right="216" w:hanging="1"/>
        <w:jc w:val="both"/>
        <w:rPr>
          <w:sz w:val="21"/>
        </w:rPr>
      </w:pPr>
      <w:r>
        <w:rPr>
          <w:rFonts w:ascii="黑体" w:eastAsia="黑体" w:hint="eastAsia"/>
          <w:b/>
          <w:i/>
          <w:w w:val="95"/>
          <w:sz w:val="22"/>
        </w:rPr>
        <w:t>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0"/>
        <w:rPr>
          <w:sz w:val="18"/>
        </w:rPr>
      </w:pPr>
    </w:p>
    <w:p>
      <w:pPr>
        <w:pStyle w:val="ListParagraph"/>
        <w:numPr>
          <w:ilvl w:val="1"/>
          <w:numId w:val="10"/>
        </w:numPr>
        <w:tabs>
          <w:tab w:pos="979" w:val="left" w:leader="none"/>
          <w:tab w:pos="981" w:val="left" w:leader="none"/>
          <w:tab w:pos="3009" w:val="left" w:leader="none"/>
        </w:tabs>
        <w:spacing w:line="240" w:lineRule="auto" w:before="0" w:after="0"/>
        <w:ind w:left="980" w:right="0" w:hanging="768"/>
        <w:jc w:val="left"/>
        <w:rPr>
          <w:sz w:val="21"/>
        </w:rPr>
      </w:pPr>
      <w:r>
        <w:rPr>
          <w:b/>
          <w:sz w:val="21"/>
        </w:rPr>
        <w:t>保险金申请</w:t>
        <w:tab/>
      </w:r>
      <w:r>
        <w:rPr>
          <w:spacing w:val="-1"/>
          <w:sz w:val="21"/>
        </w:rPr>
        <w:t>一、</w:t>
      </w:r>
      <w:r>
        <w:rPr>
          <w:sz w:val="21"/>
        </w:rPr>
        <w:t>在本附加合同有效期间内</w:t>
      </w:r>
      <w:r>
        <w:rPr>
          <w:spacing w:val="-87"/>
          <w:sz w:val="21"/>
        </w:rPr>
        <w:t>，</w:t>
      </w:r>
      <w:r>
        <w:rPr>
          <w:sz w:val="21"/>
        </w:rPr>
        <w:t>若发生符合本附加合同约定的保险金给付情形，</w:t>
      </w:r>
    </w:p>
    <w:p>
      <w:pPr>
        <w:pStyle w:val="BodyText"/>
        <w:spacing w:line="273" w:lineRule="auto" w:before="36"/>
        <w:ind w:left="3429" w:right="216"/>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60" w:right="760"/>
        </w:sectPr>
      </w:pPr>
    </w:p>
    <w:p>
      <w:pPr>
        <w:pStyle w:val="Heading2"/>
        <w:spacing w:line="184" w:lineRule="auto" w:before="45"/>
      </w:pPr>
      <w:r>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line="273" w:lineRule="auto" w:before="8"/>
        <w:ind w:left="308" w:right="4643"/>
      </w:pPr>
      <w:r>
        <w:rPr/>
        <w:t>(一)保险合同；            (二)申请人的有效身份证件；</w:t>
      </w:r>
    </w:p>
    <w:p>
      <w:pPr>
        <w:pStyle w:val="BodyText"/>
        <w:spacing w:line="273" w:lineRule="auto" w:before="8"/>
        <w:ind w:left="728" w:right="215" w:hanging="420"/>
      </w:pPr>
      <w:r>
        <w:rPr/>
        <w:t>(三)由</w:t>
      </w:r>
      <w:r>
        <w:rPr>
          <w:b/>
        </w:rPr>
        <w:t>医疗机构</w:t>
      </w:r>
      <w:r>
        <w:rPr/>
        <w:t>出具的可证明被保险人患重大疾病的诊断证明和诊断所患重大疾病必需的检查报告；</w:t>
      </w:r>
    </w:p>
    <w:p>
      <w:pPr>
        <w:pStyle w:val="BodyText"/>
        <w:spacing w:before="8"/>
        <w:ind w:left="308"/>
      </w:pPr>
      <w:r>
        <w:rPr/>
        <w:t>(四)所能提供的与确认保险事故的性质、原因、伤害程度等有关的其他资料。</w:t>
      </w:r>
    </w:p>
    <w:p>
      <w:pPr>
        <w:pStyle w:val="BodyText"/>
        <w:spacing w:before="2"/>
        <w:rPr>
          <w:sz w:val="20"/>
        </w:rPr>
      </w:pPr>
    </w:p>
    <w:p>
      <w:pPr>
        <w:pStyle w:val="BodyText"/>
        <w:spacing w:line="273" w:lineRule="auto" w:before="0"/>
        <w:ind w:left="728" w:right="216" w:hanging="420"/>
      </w:pPr>
      <w:r>
        <w:rPr/>
        <w:t>二、保险金作为被保险人遗产时，申请人还须提供可证明合法继承权的相关权利文件。</w:t>
      </w:r>
    </w:p>
    <w:p>
      <w:pPr>
        <w:pStyle w:val="BodyText"/>
        <w:spacing w:before="7"/>
        <w:ind w:left="308"/>
      </w:pPr>
      <w:r>
        <w:rPr/>
        <w:t>三、上述申请资料不完整的，我们将及时一次性通知申请人补充提供有关资料。</w:t>
      </w:r>
    </w:p>
    <w:p>
      <w:pPr>
        <w:spacing w:after="0"/>
        <w:sectPr>
          <w:type w:val="continuous"/>
          <w:pgSz w:w="11910" w:h="16840"/>
          <w:pgMar w:top="440" w:bottom="280" w:left="760" w:right="760"/>
          <w:cols w:num="2" w:equalWidth="0">
            <w:col w:w="2662" w:space="40"/>
            <w:col w:w="7688"/>
          </w:cols>
        </w:sectPr>
      </w:pPr>
    </w:p>
    <w:p>
      <w:pPr>
        <w:pStyle w:val="BodyText"/>
        <w:spacing w:before="1"/>
        <w:rPr>
          <w:sz w:val="18"/>
        </w:rPr>
      </w:pPr>
    </w:p>
    <w:p>
      <w:pPr>
        <w:pStyle w:val="ListParagraph"/>
        <w:numPr>
          <w:ilvl w:val="1"/>
          <w:numId w:val="10"/>
        </w:numPr>
        <w:tabs>
          <w:tab w:pos="980" w:val="left" w:leader="none"/>
          <w:tab w:pos="981" w:val="left" w:leader="none"/>
          <w:tab w:pos="3009" w:val="left" w:leader="none"/>
        </w:tabs>
        <w:spacing w:line="240" w:lineRule="auto" w:before="35" w:after="0"/>
        <w:ind w:left="980" w:right="0" w:hanging="768"/>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ind w:left="3414"/>
      </w:pPr>
      <w:r>
        <w:rPr/>
        <w:t>出核定；情形复杂的，在 30 日内作出核定。对属于保险责任的，我们在与</w:t>
      </w:r>
    </w:p>
    <w:p>
      <w:pPr>
        <w:pStyle w:val="BodyText"/>
        <w:ind w:left="3414"/>
      </w:pPr>
      <w:r>
        <w:rPr/>
        <w:t>受益人达成给付保险金的协议后 10 日内，履行给付保险金义务。</w:t>
      </w:r>
    </w:p>
    <w:p>
      <w:pPr>
        <w:pStyle w:val="BodyText"/>
        <w:spacing w:line="273" w:lineRule="auto"/>
        <w:ind w:left="3414" w:right="215" w:hanging="406"/>
        <w:jc w:val="both"/>
      </w:pPr>
      <w:r>
        <w:rPr/>
        <w:t>二、我们未及时履行前款规定义务的，除支付保险金外，应当赔偿受益人因此受到的损失。</w:t>
      </w:r>
    </w:p>
    <w:p>
      <w:pPr>
        <w:pStyle w:val="BodyText"/>
        <w:spacing w:line="273" w:lineRule="auto" w:before="8"/>
        <w:ind w:left="3414" w:right="215" w:hanging="406"/>
        <w:jc w:val="both"/>
      </w:pPr>
      <w:r>
        <w:rPr>
          <w:spacing w:val="-3"/>
        </w:rPr>
        <w:t>三、对不属于保险责任的，我们自作出核定之日起 </w:t>
      </w:r>
      <w:r>
        <w:rPr/>
        <w:t>3</w:t>
      </w:r>
      <w:r>
        <w:rPr>
          <w:spacing w:val="-8"/>
        </w:rPr>
        <w:t> 日内向受益人发出拒绝给付保险金通知书并说明理由。</w:t>
      </w:r>
    </w:p>
    <w:p>
      <w:pPr>
        <w:pStyle w:val="BodyText"/>
        <w:spacing w:line="273" w:lineRule="auto" w:before="8"/>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2"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70"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215" w:hanging="419"/>
        <w:jc w:val="both"/>
      </w:pPr>
      <w:r>
        <w:rPr>
          <w:spacing w:val="-2"/>
        </w:rPr>
        <w:t>二、分期交付保险费的，在交纳首期保险费后，您应当在每个保险费约定支付日之前交纳当期保险费。</w:t>
      </w:r>
    </w:p>
    <w:p>
      <w:pPr>
        <w:pStyle w:val="BodyText"/>
        <w:spacing w:before="12"/>
        <w:rPr>
          <w:sz w:val="17"/>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2" w:right="215" w:hanging="420"/>
        <w:jc w:val="both"/>
      </w:pPr>
      <w:r>
        <w:rPr>
          <w:spacing w:val="-1"/>
        </w:rPr>
        <w:t>二、若您宽限期结束之后仍未支付保险费，则本附加合同自宽限期满的次日零时起中止。</w:t>
      </w:r>
    </w:p>
    <w:p>
      <w:pPr>
        <w:spacing w:after="0" w:line="273" w:lineRule="auto"/>
        <w:jc w:val="both"/>
        <w:sectPr>
          <w:type w:val="continuous"/>
          <w:pgSz w:w="11910" w:h="16840"/>
          <w:pgMar w:top="440" w:bottom="280" w:left="760" w:right="760"/>
        </w:sectPr>
      </w:pPr>
    </w:p>
    <w:p>
      <w:pPr>
        <w:tabs>
          <w:tab w:pos="979" w:val="left" w:leader="none"/>
        </w:tabs>
        <w:spacing w:line="531" w:lineRule="exact" w:before="0"/>
        <w:ind w:left="212" w:right="0" w:firstLine="0"/>
        <w:jc w:val="left"/>
        <w:rPr>
          <w:b/>
          <w:sz w:val="24"/>
        </w:rPr>
      </w:pPr>
      <w:r>
        <w:rPr/>
        <w:pict>
          <v:group style="position:absolute;margin-left:43.200001pt;margin-top:29.899981pt;width:508.6pt;height:1pt;mso-position-horizontal-relative:page;mso-position-vertical-relative:paragraph;z-index:1144;mso-wrap-distance-left:0;mso-wrap-distance-right:0" coordorigin="864,598" coordsize="10172,20">
            <v:line style="position:absolute" from="864,608" to="3680,608" stroked="true" strokeweight=".96002pt" strokecolor="#000000">
              <v:stroke dashstyle="solid"/>
            </v:line>
            <v:line style="position:absolute" from="3680,608" to="11035,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0" w:val="left" w:leader="none"/>
        </w:tabs>
        <w:spacing w:line="273" w:lineRule="auto" w:before="35"/>
        <w:ind w:left="3009" w:right="233" w:hanging="2798"/>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79" w:val="left" w:leader="none"/>
          <w:tab w:pos="980" w:val="left" w:leader="none"/>
        </w:tabs>
        <w:spacing w:line="556" w:lineRule="exact" w:before="0" w:after="0"/>
        <w:ind w:left="980" w:right="0" w:hanging="768"/>
        <w:jc w:val="left"/>
        <w:rPr>
          <w:rFonts w:ascii="宋体" w:eastAsia="宋体" w:hint="eastAsia"/>
        </w:rPr>
      </w:pPr>
      <w:r>
        <w:rPr/>
        <w:pict>
          <v:group style="position:absolute;margin-left:43.200001pt;margin-top:31.164858pt;width:508.6pt;height:1pt;mso-position-horizontal-relative:page;mso-position-vertical-relative:paragraph;z-index:1168;mso-wrap-distance-left:0;mso-wrap-distance-right:0" coordorigin="864,623"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79" w:val="left" w:leader="none"/>
          <w:tab w:pos="980" w:val="left" w:leader="none"/>
          <w:tab w:pos="3009" w:val="left" w:leader="none"/>
        </w:tabs>
        <w:spacing w:line="259" w:lineRule="auto" w:before="34" w:after="0"/>
        <w:ind w:left="3009" w:right="220" w:hanging="2797"/>
        <w:jc w:val="left"/>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p>
      <w:pPr>
        <w:pStyle w:val="BodyText"/>
        <w:spacing w:before="11"/>
        <w:rPr>
          <w:rFonts w:ascii="黑体"/>
          <w:i/>
          <w:sz w:val="18"/>
        </w:rPr>
      </w:pPr>
    </w:p>
    <w:p>
      <w:pPr>
        <w:pStyle w:val="ListParagraph"/>
        <w:numPr>
          <w:ilvl w:val="1"/>
          <w:numId w:val="12"/>
        </w:numPr>
        <w:tabs>
          <w:tab w:pos="979" w:val="left" w:leader="none"/>
          <w:tab w:pos="980" w:val="left" w:leader="none"/>
          <w:tab w:pos="3009" w:val="left" w:leader="none"/>
        </w:tabs>
        <w:spacing w:line="240" w:lineRule="auto" w:before="1" w:after="0"/>
        <w:ind w:left="3009" w:right="0" w:hanging="2797"/>
        <w:jc w:val="left"/>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w:t>
      </w:r>
    </w:p>
    <w:p>
      <w:pPr>
        <w:pStyle w:val="BodyText"/>
        <w:spacing w:line="273" w:lineRule="auto"/>
        <w:ind w:left="3429" w:right="216"/>
      </w:pP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7"/>
        <w:ind w:left="3429" w:right="216" w:hanging="420"/>
      </w:pPr>
      <w:r>
        <w:rPr/>
        <w:t>二、自本附加合同中止之日起满2年您和我们未达成协议的，我们有权解除合同。我们解除合同的，向您退还合同中止时的现金价值。</w:t>
      </w:r>
    </w:p>
    <w:p>
      <w:pPr>
        <w:pStyle w:val="BodyText"/>
        <w:spacing w:before="3"/>
        <w:rPr>
          <w:sz w:val="19"/>
        </w:rPr>
      </w:pPr>
    </w:p>
    <w:p>
      <w:pPr>
        <w:tabs>
          <w:tab w:pos="979" w:val="left" w:leader="none"/>
        </w:tabs>
        <w:spacing w:line="556" w:lineRule="exact" w:before="0"/>
        <w:ind w:left="212" w:right="0" w:firstLine="0"/>
        <w:jc w:val="left"/>
        <w:rPr>
          <w:b/>
          <w:sz w:val="24"/>
        </w:rPr>
      </w:pPr>
      <w:r>
        <w:rPr/>
        <w:pict>
          <v:group style="position:absolute;margin-left:43.200001pt;margin-top:31.184769pt;width:508.6pt;height:1pt;mso-position-horizontal-relative:page;mso-position-vertical-relative:paragraph;z-index:1192;mso-wrap-distance-left:0;mso-wrap-distance-right:0" coordorigin="864,624"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60" w:bottom="640" w:left="760" w:right="760"/>
        </w:sectPr>
      </w:pPr>
    </w:p>
    <w:p>
      <w:pPr>
        <w:pStyle w:val="Heading4"/>
        <w:numPr>
          <w:ilvl w:val="1"/>
          <w:numId w:val="13"/>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440" w:bottom="280" w:left="760" w:right="760"/>
          <w:cols w:num="2" w:equalWidth="0">
            <w:col w:w="2878" w:space="40"/>
            <w:col w:w="7472"/>
          </w:cols>
        </w:sectPr>
      </w:pPr>
    </w:p>
    <w:p>
      <w:pPr>
        <w:pStyle w:val="BodyText"/>
        <w:spacing w:before="5"/>
        <w:rPr>
          <w:sz w:val="17"/>
        </w:rPr>
      </w:pPr>
    </w:p>
    <w:p>
      <w:pPr>
        <w:pStyle w:val="ListParagraph"/>
        <w:numPr>
          <w:ilvl w:val="1"/>
          <w:numId w:val="13"/>
        </w:numPr>
        <w:tabs>
          <w:tab w:pos="979" w:val="left" w:leader="none"/>
          <w:tab w:pos="980" w:val="left" w:leader="none"/>
          <w:tab w:pos="3009" w:val="left" w:leader="none"/>
        </w:tabs>
        <w:spacing w:line="240" w:lineRule="auto" w:before="36"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2"/>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852"/>
        <w:gridCol w:w="7648"/>
      </w:tblGrid>
      <w:tr>
        <w:trPr>
          <w:trHeight w:val="1335" w:hRule="atLeast"/>
        </w:trPr>
        <w:tc>
          <w:tcPr>
            <w:tcW w:w="670" w:type="dxa"/>
          </w:tcPr>
          <w:p>
            <w:pPr>
              <w:pStyle w:val="TableParagraph"/>
              <w:spacing w:line="210" w:lineRule="exact"/>
              <w:ind w:left="107"/>
              <w:rPr>
                <w:b/>
                <w:sz w:val="21"/>
              </w:rPr>
            </w:pPr>
            <w:r>
              <w:rPr>
                <w:b/>
                <w:sz w:val="21"/>
              </w:rPr>
              <w:t>7.3</w:t>
            </w:r>
          </w:p>
        </w:tc>
        <w:tc>
          <w:tcPr>
            <w:tcW w:w="1852" w:type="dxa"/>
          </w:tcPr>
          <w:p>
            <w:pPr>
              <w:pStyle w:val="TableParagraph"/>
              <w:spacing w:line="210" w:lineRule="exact"/>
              <w:ind w:left="206"/>
              <w:rPr>
                <w:b/>
                <w:sz w:val="21"/>
              </w:rPr>
            </w:pPr>
            <w:r>
              <w:rPr>
                <w:b/>
                <w:w w:val="95"/>
                <w:sz w:val="21"/>
              </w:rPr>
              <w:t>联系方式变更</w:t>
            </w:r>
          </w:p>
        </w:tc>
        <w:tc>
          <w:tcPr>
            <w:tcW w:w="7648" w:type="dxa"/>
          </w:tcPr>
          <w:p>
            <w:pPr>
              <w:pStyle w:val="TableParagraph"/>
              <w:spacing w:line="210" w:lineRule="exact"/>
              <w:ind w:left="383"/>
              <w:rPr>
                <w:sz w:val="21"/>
              </w:rPr>
            </w:pPr>
            <w:r>
              <w:rPr>
                <w:sz w:val="21"/>
              </w:rPr>
              <w:t>为保障您的合法权益，您的住所、通讯地址或电话等联系方式变更时，请及时</w:t>
            </w:r>
          </w:p>
          <w:p>
            <w:pPr>
              <w:pStyle w:val="TableParagraph"/>
              <w:spacing w:line="273" w:lineRule="auto" w:before="37"/>
              <w:ind w:left="383" w:right="107"/>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52" w:type="dxa"/>
            <w:tcBorders>
              <w:bottom w:val="single" w:sz="8" w:space="0" w:color="000000"/>
            </w:tcBorders>
          </w:tcPr>
          <w:p>
            <w:pPr>
              <w:pStyle w:val="TableParagraph"/>
              <w:spacing w:before="206"/>
              <w:ind w:left="205"/>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942"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52" w:type="dxa"/>
            <w:tcBorders>
              <w:top w:val="single" w:sz="8" w:space="0" w:color="000000"/>
            </w:tcBorders>
          </w:tcPr>
          <w:p>
            <w:pPr>
              <w:pStyle w:val="TableParagraph"/>
              <w:spacing w:before="9"/>
              <w:rPr>
                <w:sz w:val="14"/>
              </w:rPr>
            </w:pPr>
          </w:p>
          <w:p>
            <w:pPr>
              <w:pStyle w:val="TableParagraph"/>
              <w:ind w:left="206"/>
              <w:rPr>
                <w:b/>
                <w:sz w:val="21"/>
              </w:rPr>
            </w:pPr>
            <w:r>
              <w:rPr>
                <w:b/>
                <w:w w:val="95"/>
                <w:sz w:val="21"/>
              </w:rPr>
              <w:t>周岁</w:t>
            </w:r>
          </w:p>
        </w:tc>
        <w:tc>
          <w:tcPr>
            <w:tcW w:w="7648" w:type="dxa"/>
            <w:tcBorders>
              <w:top w:val="single" w:sz="8" w:space="0" w:color="000000"/>
            </w:tcBorders>
          </w:tcPr>
          <w:p>
            <w:pPr>
              <w:pStyle w:val="TableParagraph"/>
              <w:spacing w:before="9"/>
              <w:rPr>
                <w:sz w:val="14"/>
              </w:rPr>
            </w:pPr>
          </w:p>
          <w:p>
            <w:pPr>
              <w:pStyle w:val="TableParagraph"/>
              <w:spacing w:line="273" w:lineRule="auto"/>
              <w:ind w:left="383"/>
              <w:rPr>
                <w:sz w:val="21"/>
              </w:rPr>
            </w:pPr>
            <w:r>
              <w:rPr>
                <w:spacing w:val="-4"/>
                <w:sz w:val="21"/>
              </w:rPr>
              <w:t>指按法定身份证明文件中记载的出生日期计算的年龄，自出生之日起为零周岁， 每经过一年增加一岁，不足一年的不计。</w:t>
            </w:r>
          </w:p>
        </w:tc>
      </w:tr>
      <w:tr>
        <w:trPr>
          <w:trHeight w:val="424" w:hRule="atLeast"/>
        </w:trPr>
        <w:tc>
          <w:tcPr>
            <w:tcW w:w="670" w:type="dxa"/>
          </w:tcPr>
          <w:p>
            <w:pPr>
              <w:pStyle w:val="TableParagraph"/>
              <w:spacing w:before="98"/>
              <w:ind w:left="107"/>
              <w:rPr>
                <w:b/>
                <w:sz w:val="21"/>
              </w:rPr>
            </w:pPr>
            <w:r>
              <w:rPr>
                <w:b/>
                <w:sz w:val="21"/>
              </w:rPr>
              <w:t>8.2</w:t>
            </w:r>
          </w:p>
        </w:tc>
        <w:tc>
          <w:tcPr>
            <w:tcW w:w="1852" w:type="dxa"/>
          </w:tcPr>
          <w:p>
            <w:pPr>
              <w:pStyle w:val="TableParagraph"/>
              <w:spacing w:before="98"/>
              <w:ind w:left="206"/>
              <w:rPr>
                <w:b/>
                <w:sz w:val="21"/>
              </w:rPr>
            </w:pPr>
            <w:r>
              <w:rPr>
                <w:b/>
                <w:w w:val="95"/>
                <w:sz w:val="21"/>
              </w:rPr>
              <w:t>有效身份证件</w:t>
            </w:r>
          </w:p>
        </w:tc>
        <w:tc>
          <w:tcPr>
            <w:tcW w:w="7648" w:type="dxa"/>
          </w:tcPr>
          <w:p>
            <w:pPr>
              <w:pStyle w:val="TableParagraph"/>
              <w:spacing w:before="98"/>
              <w:ind w:left="383"/>
              <w:rPr>
                <w:sz w:val="21"/>
              </w:rPr>
            </w:pPr>
            <w:r>
              <w:rPr>
                <w:sz w:val="21"/>
              </w:rPr>
              <w:t>指由政府主管部门规定的证明其身份的证件，如：居民身份证、按规定可使用</w:t>
            </w:r>
          </w:p>
        </w:tc>
      </w:tr>
      <w:tr>
        <w:trPr>
          <w:trHeight w:val="260" w:hRule="atLeast"/>
        </w:trPr>
        <w:tc>
          <w:tcPr>
            <w:tcW w:w="670" w:type="dxa"/>
          </w:tcPr>
          <w:p>
            <w:pPr>
              <w:pStyle w:val="TableParagraph"/>
              <w:rPr>
                <w:rFonts w:ascii="Times New Roman"/>
                <w:sz w:val="18"/>
              </w:rPr>
            </w:pPr>
          </w:p>
        </w:tc>
        <w:tc>
          <w:tcPr>
            <w:tcW w:w="1852" w:type="dxa"/>
          </w:tcPr>
          <w:p>
            <w:pPr>
              <w:pStyle w:val="TableParagraph"/>
              <w:rPr>
                <w:rFonts w:ascii="Times New Roman"/>
                <w:sz w:val="18"/>
              </w:rPr>
            </w:pPr>
          </w:p>
        </w:tc>
        <w:tc>
          <w:tcPr>
            <w:tcW w:w="7648" w:type="dxa"/>
          </w:tcPr>
          <w:p>
            <w:pPr>
              <w:pStyle w:val="TableParagraph"/>
              <w:spacing w:line="241" w:lineRule="exact"/>
              <w:ind w:left="383"/>
              <w:rPr>
                <w:sz w:val="21"/>
              </w:rPr>
            </w:pPr>
            <w:r>
              <w:rPr>
                <w:sz w:val="21"/>
              </w:rPr>
              <w:t>的有效护照、军官证、警官证、士兵证、户口簿等证件。</w:t>
            </w:r>
          </w:p>
        </w:tc>
      </w:tr>
    </w:tbl>
    <w:p>
      <w:pPr>
        <w:spacing w:after="0" w:line="241" w:lineRule="exact"/>
        <w:rPr>
          <w:sz w:val="21"/>
        </w:rPr>
        <w:sectPr>
          <w:type w:val="continuous"/>
          <w:pgSz w:w="11910" w:h="16840"/>
          <w:pgMar w:top="440" w:bottom="280" w:left="760" w:right="760"/>
        </w:sectPr>
      </w:pPr>
    </w:p>
    <w:p>
      <w:pPr>
        <w:pStyle w:val="ListParagraph"/>
        <w:numPr>
          <w:ilvl w:val="1"/>
          <w:numId w:val="14"/>
        </w:numPr>
        <w:tabs>
          <w:tab w:pos="920" w:val="left" w:leader="none"/>
          <w:tab w:pos="921" w:val="left" w:leader="none"/>
          <w:tab w:pos="2949" w:val="left" w:leader="none"/>
        </w:tabs>
        <w:spacing w:line="273" w:lineRule="auto" w:before="19" w:after="0"/>
        <w:ind w:left="2949" w:right="110" w:hanging="2797"/>
        <w:jc w:val="left"/>
        <w:rPr>
          <w:sz w:val="21"/>
        </w:rPr>
      </w:pPr>
      <w:r>
        <w:rPr>
          <w:b/>
          <w:sz w:val="21"/>
        </w:rPr>
        <w:t>保单周年日</w:t>
        <w:tab/>
      </w:r>
      <w:r>
        <w:rPr>
          <w:spacing w:val="-1"/>
          <w:sz w:val="21"/>
        </w:rPr>
        <w:t>指本</w:t>
      </w:r>
      <w:r>
        <w:rPr>
          <w:sz w:val="21"/>
        </w:rPr>
        <w:t>附加合同生效日在合同生效后每年的对应日</w:t>
      </w:r>
      <w:r>
        <w:rPr>
          <w:spacing w:val="-8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921" w:val="left" w:leader="none"/>
        </w:tabs>
        <w:spacing w:line="273" w:lineRule="auto" w:before="0" w:after="0"/>
        <w:ind w:left="2949" w:right="233" w:hanging="2797"/>
        <w:jc w:val="both"/>
        <w:rPr>
          <w:sz w:val="21"/>
        </w:rPr>
      </w:pPr>
      <w:r>
        <w:rPr>
          <w:b/>
          <w:spacing w:val="1"/>
          <w:sz w:val="21"/>
        </w:rPr>
        <w:t>保险费约定支付日  </w:t>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921" w:val="left" w:leader="none"/>
          <w:tab w:pos="2955" w:val="left" w:leader="none"/>
        </w:tabs>
        <w:spacing w:line="256" w:lineRule="auto" w:before="0" w:after="0"/>
        <w:ind w:left="2955" w:right="206" w:hanging="2803"/>
        <w:jc w:val="both"/>
        <w:rPr>
          <w:sz w:val="21"/>
        </w:rPr>
      </w:pPr>
      <w:r>
        <w:rPr>
          <w:b/>
          <w:sz w:val="21"/>
        </w:rPr>
        <w:t>利息</w:t>
        <w:tab/>
      </w:r>
      <w:r>
        <w:rPr>
          <w:sz w:val="21"/>
        </w:rPr>
        <w:t>本附</w:t>
      </w:r>
      <w:r>
        <w:rPr>
          <w:spacing w:val="2"/>
          <w:sz w:val="21"/>
        </w:rPr>
        <w:t>加</w:t>
      </w:r>
      <w:r>
        <w:rPr>
          <w:sz w:val="21"/>
        </w:rPr>
        <w:t>合</w:t>
      </w:r>
      <w:r>
        <w:rPr>
          <w:spacing w:val="2"/>
          <w:sz w:val="21"/>
        </w:rPr>
        <w:t>同</w:t>
      </w:r>
      <w:r>
        <w:rPr>
          <w:sz w:val="21"/>
        </w:rPr>
        <w:t>补交</w:t>
      </w:r>
      <w:r>
        <w:rPr>
          <w:spacing w:val="2"/>
          <w:sz w:val="21"/>
        </w:rPr>
        <w:t>保</w:t>
      </w:r>
      <w:r>
        <w:rPr>
          <w:sz w:val="21"/>
        </w:rPr>
        <w:t>险</w:t>
      </w:r>
      <w:r>
        <w:rPr>
          <w:spacing w:val="2"/>
          <w:sz w:val="21"/>
        </w:rPr>
        <w:t>费</w:t>
      </w:r>
      <w:r>
        <w:rPr>
          <w:sz w:val="21"/>
        </w:rPr>
        <w:t>的利</w:t>
      </w:r>
      <w:r>
        <w:rPr>
          <w:spacing w:val="2"/>
          <w:sz w:val="21"/>
        </w:rPr>
        <w:t>息以</w:t>
      </w:r>
      <w:r>
        <w:rPr>
          <w:rFonts w:ascii="Times New Roman" w:hAnsi="Times New Roman" w:eastAsia="Times New Roman"/>
          <w:sz w:val="21"/>
        </w:rPr>
        <w:t>“</w:t>
      </w:r>
      <w:r>
        <w:rPr>
          <w:spacing w:val="2"/>
          <w:sz w:val="21"/>
        </w:rPr>
        <w:t>中</w:t>
      </w:r>
      <w:r>
        <w:rPr>
          <w:sz w:val="21"/>
        </w:rPr>
        <w:t>国人</w:t>
      </w:r>
      <w:r>
        <w:rPr>
          <w:spacing w:val="2"/>
          <w:sz w:val="21"/>
        </w:rPr>
        <w:t>民</w:t>
      </w:r>
      <w:r>
        <w:rPr>
          <w:sz w:val="21"/>
        </w:rPr>
        <w:t>银</w:t>
      </w:r>
      <w:r>
        <w:rPr>
          <w:spacing w:val="2"/>
          <w:sz w:val="21"/>
        </w:rPr>
        <w:t>行</w:t>
      </w:r>
      <w:r>
        <w:rPr>
          <w:sz w:val="21"/>
        </w:rPr>
        <w:t>当月</w:t>
      </w:r>
      <w:r>
        <w:rPr>
          <w:spacing w:val="2"/>
          <w:sz w:val="21"/>
        </w:rPr>
        <w:t>第</w:t>
      </w:r>
      <w:r>
        <w:rPr>
          <w:sz w:val="21"/>
        </w:rPr>
        <w:t>一</w:t>
      </w:r>
      <w:r>
        <w:rPr>
          <w:spacing w:val="2"/>
          <w:sz w:val="21"/>
        </w:rPr>
        <w:t>个</w:t>
      </w:r>
      <w:r>
        <w:rPr>
          <w:sz w:val="21"/>
        </w:rPr>
        <w:t>营业</w:t>
      </w:r>
      <w:r>
        <w:rPr>
          <w:spacing w:val="2"/>
          <w:sz w:val="21"/>
        </w:rPr>
        <w:t>日</w:t>
      </w:r>
      <w:r>
        <w:rPr>
          <w:sz w:val="21"/>
        </w:rPr>
        <w:t>颁</w:t>
      </w:r>
      <w:r>
        <w:rPr>
          <w:spacing w:val="2"/>
          <w:sz w:val="21"/>
        </w:rPr>
        <w:t>布</w:t>
      </w:r>
      <w:r>
        <w:rPr>
          <w:sz w:val="21"/>
        </w:rPr>
        <w:t>的两年 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9"/>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17" w:hanging="2797"/>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4"/>
        </w:numPr>
        <w:tabs>
          <w:tab w:pos="919" w:val="left" w:leader="none"/>
          <w:tab w:pos="921" w:val="left" w:leader="none"/>
          <w:tab w:pos="2949" w:val="left" w:leader="none"/>
        </w:tabs>
        <w:spacing w:line="273" w:lineRule="auto" w:before="0" w:after="0"/>
        <w:ind w:left="2949" w:right="110" w:hanging="2797"/>
        <w:jc w:val="left"/>
        <w:rPr>
          <w:sz w:val="21"/>
        </w:rPr>
      </w:pPr>
      <w:r>
        <w:rPr>
          <w:b/>
          <w:sz w:val="21"/>
        </w:rPr>
        <w:t>毒品</w:t>
        <w:tab/>
      </w:r>
      <w:r>
        <w:rPr>
          <w:spacing w:val="-1"/>
          <w:sz w:val="21"/>
        </w:rPr>
        <w:t>指中</w:t>
      </w:r>
      <w:r>
        <w:rPr>
          <w:sz w:val="21"/>
        </w:rPr>
        <w:t>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15"/>
        </w:rPr>
      </w:pPr>
    </w:p>
    <w:p>
      <w:pPr>
        <w:spacing w:after="0"/>
        <w:rPr>
          <w:sz w:val="15"/>
        </w:rPr>
        <w:sectPr>
          <w:pgSz w:w="11910" w:h="16840"/>
          <w:pgMar w:header="0" w:footer="442" w:top="1100" w:bottom="640" w:left="820" w:right="760"/>
        </w:sectPr>
      </w:pPr>
    </w:p>
    <w:p>
      <w:pPr>
        <w:pStyle w:val="Heading4"/>
        <w:numPr>
          <w:ilvl w:val="1"/>
          <w:numId w:val="14"/>
        </w:numPr>
        <w:tabs>
          <w:tab w:pos="920" w:val="left" w:leader="none"/>
          <w:tab w:pos="921" w:val="left" w:leader="none"/>
        </w:tabs>
        <w:spacing w:line="273" w:lineRule="auto" w:before="35" w:after="0"/>
        <w:ind w:left="919" w:right="0" w:hanging="767"/>
        <w:jc w:val="left"/>
        <w:rPr>
          <w:rFonts w:ascii="宋体" w:eastAsia="宋体" w:hint="eastAsia"/>
        </w:rPr>
      </w:pPr>
      <w:r>
        <w:rPr>
          <w:rFonts w:ascii="宋体" w:eastAsia="宋体" w:hint="eastAsia"/>
        </w:rPr>
        <w:t>无合法有效驾驶证驾驶</w:t>
      </w:r>
    </w:p>
    <w:p>
      <w:pPr>
        <w:pStyle w:val="BodyText"/>
        <w:spacing w:before="35"/>
        <w:ind w:left="91"/>
      </w:pPr>
      <w:r>
        <w:rPr/>
        <w:br w:type="column"/>
      </w:r>
      <w:r>
        <w:rPr/>
        <w:t>指下列情形之一：</w:t>
      </w:r>
    </w:p>
    <w:p>
      <w:pPr>
        <w:pStyle w:val="BodyText"/>
        <w:spacing w:before="36"/>
        <w:ind w:left="91"/>
      </w:pPr>
      <w:r>
        <w:rPr/>
        <w:t>（1）没有驾驶证驾驶；</w:t>
      </w:r>
    </w:p>
    <w:p>
      <w:pPr>
        <w:pStyle w:val="BodyText"/>
        <w:spacing w:before="36"/>
        <w:ind w:left="91"/>
      </w:pPr>
      <w:r>
        <w:rPr/>
        <w:t>（2）驾驶与驾驶证准驾车型不相符合的车辆；</w:t>
      </w:r>
    </w:p>
    <w:p>
      <w:pPr>
        <w:pStyle w:val="BodyText"/>
        <w:spacing w:before="36"/>
        <w:ind w:left="91"/>
      </w:pPr>
      <w:r>
        <w:rPr/>
        <w:t>（3）持审验不合格的驾驶证驾驶；</w:t>
      </w:r>
    </w:p>
    <w:p>
      <w:pPr>
        <w:pStyle w:val="BodyText"/>
        <w:spacing w:line="273" w:lineRule="auto" w:before="36"/>
        <w:ind w:left="595" w:right="135" w:hanging="504"/>
      </w:pPr>
      <w:r>
        <w:rPr/>
        <w:t>（4）持学习驾驶证学习驾车时，无教练员随车指导，或不按指定时间、路线学习驾车。</w:t>
      </w:r>
    </w:p>
    <w:p>
      <w:pPr>
        <w:spacing w:after="0" w:line="273" w:lineRule="auto"/>
        <w:sectPr>
          <w:type w:val="continuous"/>
          <w:pgSz w:w="11910" w:h="16840"/>
          <w:pgMar w:top="440" w:bottom="280" w:left="820" w:right="760"/>
          <w:cols w:num="2" w:equalWidth="0">
            <w:col w:w="2818" w:space="40"/>
            <w:col w:w="7472"/>
          </w:cols>
        </w:sectPr>
      </w:pPr>
    </w:p>
    <w:p>
      <w:pPr>
        <w:pStyle w:val="BodyText"/>
        <w:spacing w:before="11"/>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272"/>
      </w:tblGrid>
      <w:tr>
        <w:trPr>
          <w:trHeight w:val="260" w:hRule="atLeast"/>
        </w:trPr>
        <w:tc>
          <w:tcPr>
            <w:tcW w:w="646" w:type="dxa"/>
          </w:tcPr>
          <w:p>
            <w:pPr>
              <w:pStyle w:val="TableParagraph"/>
              <w:spacing w:line="210" w:lineRule="exact"/>
              <w:ind w:left="50"/>
              <w:rPr>
                <w:b/>
                <w:sz w:val="21"/>
              </w:rPr>
            </w:pPr>
            <w:r>
              <w:rPr>
                <w:b/>
                <w:sz w:val="21"/>
              </w:rPr>
              <w:t>8.13</w:t>
            </w:r>
          </w:p>
        </w:tc>
        <w:tc>
          <w:tcPr>
            <w:tcW w:w="2135" w:type="dxa"/>
          </w:tcPr>
          <w:p>
            <w:pPr>
              <w:pStyle w:val="TableParagraph"/>
              <w:spacing w:line="210" w:lineRule="exact"/>
              <w:ind w:left="172"/>
              <w:rPr>
                <w:b/>
                <w:sz w:val="21"/>
              </w:rPr>
            </w:pPr>
            <w:r>
              <w:rPr>
                <w:b/>
                <w:w w:val="95"/>
                <w:sz w:val="21"/>
              </w:rPr>
              <w:t>无有效行驶证</w:t>
            </w:r>
          </w:p>
        </w:tc>
        <w:tc>
          <w:tcPr>
            <w:tcW w:w="7272" w:type="dxa"/>
          </w:tcPr>
          <w:p>
            <w:pPr>
              <w:pStyle w:val="TableParagraph"/>
              <w:spacing w:line="210" w:lineRule="exact"/>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（1）机动车被依法注销登记的；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（2）未依法按时进行或通过机动车安全技术检验。</w:t>
            </w:r>
          </w:p>
        </w:tc>
      </w:tr>
      <w:tr>
        <w:trPr>
          <w:trHeight w:val="425" w:hRule="atLeast"/>
        </w:trPr>
        <w:tc>
          <w:tcPr>
            <w:tcW w:w="646" w:type="dxa"/>
          </w:tcPr>
          <w:p>
            <w:pPr>
              <w:pStyle w:val="TableParagraph"/>
              <w:spacing w:before="99"/>
              <w:ind w:left="50"/>
              <w:rPr>
                <w:b/>
                <w:sz w:val="21"/>
              </w:rPr>
            </w:pPr>
            <w:r>
              <w:rPr>
                <w:b/>
                <w:sz w:val="21"/>
              </w:rPr>
              <w:t>8.14</w:t>
            </w:r>
          </w:p>
        </w:tc>
        <w:tc>
          <w:tcPr>
            <w:tcW w:w="2135" w:type="dxa"/>
          </w:tcPr>
          <w:p>
            <w:pPr>
              <w:pStyle w:val="TableParagraph"/>
              <w:spacing w:before="99"/>
              <w:ind w:left="172"/>
              <w:rPr>
                <w:b/>
                <w:sz w:val="21"/>
              </w:rPr>
            </w:pPr>
            <w:r>
              <w:rPr>
                <w:b/>
                <w:w w:val="95"/>
                <w:sz w:val="21"/>
              </w:rPr>
              <w:t>机动车</w:t>
            </w:r>
          </w:p>
        </w:tc>
        <w:tc>
          <w:tcPr>
            <w:tcW w:w="7272" w:type="dxa"/>
          </w:tcPr>
          <w:p>
            <w:pPr>
              <w:pStyle w:val="TableParagraph"/>
              <w:spacing w:before="99"/>
              <w:ind w:left="66"/>
              <w:rPr>
                <w:sz w:val="21"/>
              </w:rPr>
            </w:pPr>
            <w:r>
              <w:rPr>
                <w:sz w:val="21"/>
              </w:rPr>
              <w:t>指以动力装置驱动或牵引，上道路行驶的供人员乘用或用于运送物品以及进行</w:t>
            </w:r>
          </w:p>
        </w:tc>
      </w:tr>
      <w:tr>
        <w:trPr>
          <w:trHeight w:val="42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工程专项作业的轮式车辆。</w:t>
            </w:r>
          </w:p>
        </w:tc>
      </w:tr>
      <w:tr>
        <w:trPr>
          <w:trHeight w:val="748" w:hRule="atLeast"/>
        </w:trPr>
        <w:tc>
          <w:tcPr>
            <w:tcW w:w="646" w:type="dxa"/>
          </w:tcPr>
          <w:p>
            <w:pPr>
              <w:pStyle w:val="TableParagraph"/>
              <w:spacing w:before="103"/>
              <w:ind w:left="50"/>
              <w:rPr>
                <w:b/>
                <w:sz w:val="21"/>
              </w:rPr>
            </w:pPr>
            <w:r>
              <w:rPr>
                <w:b/>
                <w:sz w:val="21"/>
              </w:rPr>
              <w:t>8.15</w:t>
            </w:r>
          </w:p>
        </w:tc>
        <w:tc>
          <w:tcPr>
            <w:tcW w:w="2135" w:type="dxa"/>
          </w:tcPr>
          <w:p>
            <w:pPr>
              <w:pStyle w:val="TableParagraph"/>
              <w:spacing w:line="273" w:lineRule="auto" w:before="103"/>
              <w:ind w:left="171" w:right="63"/>
              <w:rPr>
                <w:b/>
                <w:sz w:val="21"/>
              </w:rPr>
            </w:pPr>
            <w:r>
              <w:rPr>
                <w:b/>
                <w:sz w:val="21"/>
              </w:rPr>
              <w:t>感染艾滋病病毒或患</w:t>
            </w:r>
            <w:r>
              <w:rPr>
                <w:b/>
                <w:w w:val="95"/>
                <w:sz w:val="21"/>
              </w:rPr>
              <w:t>艾滋病</w:t>
            </w:r>
          </w:p>
        </w:tc>
        <w:tc>
          <w:tcPr>
            <w:tcW w:w="7272" w:type="dxa"/>
          </w:tcPr>
          <w:p>
            <w:pPr>
              <w:pStyle w:val="TableParagraph"/>
              <w:spacing w:line="256" w:lineRule="auto" w:before="103"/>
              <w:ind w:left="66" w:right="47"/>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7"/>
                <w:sz w:val="21"/>
              </w:rPr>
              <w:t>毒引起的获得性免疫缺陷综合征，英文缩写为 </w:t>
            </w:r>
            <w:r>
              <w:rPr>
                <w:rFonts w:ascii="Times New Roman" w:eastAsia="Times New Roman"/>
                <w:sz w:val="21"/>
              </w:rPr>
              <w:t>AIDS</w:t>
            </w:r>
            <w:r>
              <w:rPr>
                <w:spacing w:val="-8"/>
                <w:sz w:val="21"/>
              </w:rPr>
              <w:t>。在人体血液或其他样本中</w:t>
            </w:r>
          </w:p>
        </w:tc>
      </w:tr>
      <w:tr>
        <w:trPr>
          <w:trHeight w:val="304"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53" w:lineRule="exact"/>
              <w:ind w:left="66"/>
              <w:rPr>
                <w:sz w:val="21"/>
              </w:rPr>
            </w:pPr>
            <w:r>
              <w:rPr>
                <w:sz w:val="21"/>
              </w:rPr>
              <w:t>检测到艾滋病病毒或其抗体呈阳性，没有出现临床症状或体征的，为感染艾滋</w:t>
            </w:r>
          </w:p>
        </w:tc>
      </w:tr>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272" w:type="dxa"/>
          </w:tcPr>
          <w:p>
            <w:pPr>
              <w:pStyle w:val="TableParagraph"/>
              <w:spacing w:line="241" w:lineRule="exact"/>
              <w:ind w:left="66"/>
              <w:rPr>
                <w:sz w:val="21"/>
              </w:rPr>
            </w:pPr>
            <w:r>
              <w:rPr>
                <w:sz w:val="21"/>
              </w:rPr>
              <w:t>病病毒；若同时出现了明显临床症状或体征的，为患艾滋病。</w:t>
            </w:r>
          </w:p>
        </w:tc>
      </w:tr>
    </w:tbl>
    <w:p>
      <w:pPr>
        <w:spacing w:after="0" w:line="241" w:lineRule="exact"/>
        <w:rPr>
          <w:sz w:val="21"/>
        </w:rPr>
        <w:sectPr>
          <w:type w:val="continuous"/>
          <w:pgSz w:w="11910" w:h="16840"/>
          <w:pgMar w:top="440" w:bottom="280" w:left="8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8"/>
      </w:tblGrid>
      <w:tr>
        <w:trPr>
          <w:trHeight w:val="281" w:hRule="atLeast"/>
        </w:trPr>
        <w:tc>
          <w:tcPr>
            <w:tcW w:w="646" w:type="dxa"/>
          </w:tcPr>
          <w:p>
            <w:pPr>
              <w:pStyle w:val="TableParagraph"/>
              <w:spacing w:line="230" w:lineRule="exact"/>
              <w:ind w:left="50"/>
              <w:rPr>
                <w:b/>
                <w:sz w:val="21"/>
              </w:rPr>
            </w:pPr>
            <w:r>
              <w:rPr>
                <w:b/>
                <w:sz w:val="21"/>
              </w:rPr>
              <w:t>8.16</w:t>
            </w:r>
          </w:p>
        </w:tc>
        <w:tc>
          <w:tcPr>
            <w:tcW w:w="2135" w:type="dxa"/>
          </w:tcPr>
          <w:p>
            <w:pPr>
              <w:pStyle w:val="TableParagraph"/>
              <w:spacing w:line="230" w:lineRule="exact"/>
              <w:ind w:left="172"/>
              <w:rPr>
                <w:b/>
                <w:sz w:val="21"/>
              </w:rPr>
            </w:pPr>
            <w:r>
              <w:rPr>
                <w:b/>
                <w:w w:val="95"/>
                <w:sz w:val="21"/>
              </w:rPr>
              <w:t>初次患本附加合同所</w:t>
            </w:r>
          </w:p>
        </w:tc>
        <w:tc>
          <w:tcPr>
            <w:tcW w:w="7378" w:type="dxa"/>
          </w:tcPr>
          <w:p>
            <w:pPr>
              <w:pStyle w:val="TableParagraph"/>
              <w:spacing w:line="210" w:lineRule="exact"/>
              <w:ind w:left="66"/>
              <w:rPr>
                <w:sz w:val="21"/>
              </w:rPr>
            </w:pPr>
            <w:r>
              <w:rPr>
                <w:sz w:val="21"/>
              </w:rPr>
              <w:t>指被保险人患同时符合以下条件的重大疾病：</w:t>
            </w:r>
          </w:p>
        </w:tc>
      </w:tr>
      <w:tr>
        <w:trPr>
          <w:trHeight w:val="504" w:hRule="atLeast"/>
        </w:trPr>
        <w:tc>
          <w:tcPr>
            <w:tcW w:w="646" w:type="dxa"/>
          </w:tcPr>
          <w:p>
            <w:pPr>
              <w:pStyle w:val="TableParagraph"/>
              <w:rPr>
                <w:rFonts w:ascii="Times New Roman"/>
                <w:sz w:val="20"/>
              </w:rPr>
            </w:pPr>
          </w:p>
        </w:tc>
        <w:tc>
          <w:tcPr>
            <w:tcW w:w="2135" w:type="dxa"/>
          </w:tcPr>
          <w:p>
            <w:pPr>
              <w:pStyle w:val="TableParagraph"/>
              <w:spacing w:line="261" w:lineRule="exact"/>
              <w:ind w:left="171"/>
              <w:rPr>
                <w:b/>
                <w:sz w:val="21"/>
              </w:rPr>
            </w:pPr>
            <w:r>
              <w:rPr>
                <w:b/>
                <w:w w:val="95"/>
                <w:sz w:val="21"/>
              </w:rPr>
              <w:t>列的重大疾病</w:t>
            </w:r>
          </w:p>
        </w:tc>
        <w:tc>
          <w:tcPr>
            <w:tcW w:w="7378"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诊患该重大疾病；</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41" w:lineRule="exact"/>
              <w:ind w:left="66"/>
              <w:rPr>
                <w:sz w:val="21"/>
              </w:rPr>
            </w:pPr>
            <w:r>
              <w:rPr>
                <w:sz w:val="21"/>
              </w:rPr>
              <w:t>（4）该重大疾病已在本附加合同中列明。</w:t>
            </w:r>
          </w:p>
        </w:tc>
      </w:tr>
      <w:tr>
        <w:trPr>
          <w:trHeight w:val="30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58" w:lineRule="exact"/>
              <w:ind w:left="66"/>
              <w:rPr>
                <w:b/>
                <w:i/>
                <w:sz w:val="22"/>
              </w:rPr>
            </w:pPr>
            <w:r>
              <w:rPr>
                <w:b/>
                <w:i/>
                <w:w w:val="95"/>
                <w:sz w:val="22"/>
              </w:rPr>
              <w:t>对于被保险人在本附加合同生效日前出现的本附加合同所列的重大疾病之症</w:t>
            </w:r>
          </w:p>
        </w:tc>
      </w:tr>
      <w:tr>
        <w:trPr>
          <w:trHeight w:val="43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7" w:lineRule="exact"/>
              <w:ind w:left="66"/>
              <w:rPr>
                <w:b/>
                <w:i/>
                <w:sz w:val="22"/>
              </w:rPr>
            </w:pPr>
            <w:r>
              <w:rPr>
                <w:b/>
                <w:i/>
                <w:w w:val="95"/>
                <w:sz w:val="22"/>
              </w:rPr>
              <w:t>状体征或所患的重大疾病，我们不承担保险责任。</w:t>
            </w:r>
          </w:p>
        </w:tc>
      </w:tr>
      <w:tr>
        <w:trPr>
          <w:trHeight w:val="424" w:hRule="atLeast"/>
        </w:trPr>
        <w:tc>
          <w:tcPr>
            <w:tcW w:w="646" w:type="dxa"/>
          </w:tcPr>
          <w:p>
            <w:pPr>
              <w:pStyle w:val="TableParagraph"/>
              <w:spacing w:before="98"/>
              <w:ind w:left="50"/>
              <w:rPr>
                <w:b/>
                <w:sz w:val="21"/>
              </w:rPr>
            </w:pPr>
            <w:r>
              <w:rPr>
                <w:b/>
                <w:sz w:val="21"/>
              </w:rPr>
              <w:t>8.17</w:t>
            </w:r>
          </w:p>
        </w:tc>
        <w:tc>
          <w:tcPr>
            <w:tcW w:w="2135" w:type="dxa"/>
          </w:tcPr>
          <w:p>
            <w:pPr>
              <w:pStyle w:val="TableParagraph"/>
              <w:spacing w:before="98"/>
              <w:ind w:left="172"/>
              <w:rPr>
                <w:b/>
                <w:sz w:val="21"/>
              </w:rPr>
            </w:pPr>
            <w:r>
              <w:rPr>
                <w:b/>
                <w:sz w:val="21"/>
              </w:rPr>
              <w:t>重大疾病</w:t>
            </w:r>
          </w:p>
        </w:tc>
        <w:tc>
          <w:tcPr>
            <w:tcW w:w="7378" w:type="dxa"/>
          </w:tcPr>
          <w:p>
            <w:pPr>
              <w:pStyle w:val="TableParagraph"/>
              <w:spacing w:before="98"/>
              <w:ind w:left="66"/>
              <w:rPr>
                <w:sz w:val="21"/>
              </w:rPr>
            </w:pPr>
            <w:r>
              <w:rPr>
                <w:sz w:val="21"/>
              </w:rPr>
              <w:t>指被保险人发生符合以下疾病定义所述条件的疾病（</w:t>
            </w:r>
            <w:r>
              <w:rPr>
                <w:spacing w:val="-22"/>
                <w:sz w:val="21"/>
              </w:rPr>
              <w:t>共 </w:t>
            </w:r>
            <w:r>
              <w:rPr>
                <w:sz w:val="21"/>
              </w:rPr>
              <w:t>35</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疾病定义，第 25 至第 35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1、恶性肿瘤</w:t>
            </w:r>
          </w:p>
        </w:tc>
        <w:tc>
          <w:tcPr>
            <w:tcW w:w="7378" w:type="dxa"/>
          </w:tcPr>
          <w:p>
            <w:pPr>
              <w:pStyle w:val="TableParagraph"/>
              <w:spacing w:before="99"/>
              <w:ind w:left="66"/>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sz w:val="21"/>
              </w:rPr>
              <w:t>2、急性心ft梗塞</w:t>
            </w:r>
          </w:p>
        </w:tc>
        <w:tc>
          <w:tcPr>
            <w:tcW w:w="7378" w:type="dxa"/>
          </w:tcPr>
          <w:p>
            <w:pPr>
              <w:pStyle w:val="TableParagraph"/>
              <w:spacing w:before="99"/>
              <w:ind w:left="66"/>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化；</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pacing w:val="-28"/>
                <w:sz w:val="21"/>
              </w:rPr>
              <w:t>（4）</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3、脑中风后遗症</w:t>
            </w:r>
          </w:p>
        </w:tc>
        <w:tc>
          <w:tcPr>
            <w:tcW w:w="7378" w:type="dxa"/>
          </w:tcPr>
          <w:p>
            <w:pPr>
              <w:pStyle w:val="TableParagraph"/>
              <w:spacing w:before="99"/>
              <w:ind w:left="66"/>
              <w:rPr>
                <w:sz w:val="21"/>
              </w:rPr>
            </w:pPr>
            <w:r>
              <w:rPr>
                <w:sz w:val="21"/>
              </w:rPr>
              <w:t>指因脑血管的突发病变引起脑血管出血、栓塞或梗塞，并导致神经系统永久性</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8" w:lineRule="exact"/>
              <w:ind w:left="66"/>
              <w:rPr>
                <w:sz w:val="21"/>
              </w:rPr>
            </w:pPr>
            <w:r>
              <w:rPr>
                <w:sz w:val="21"/>
              </w:rPr>
              <w:t>功能障碍。神经系统永久性的功能障碍，指疾病确诊 180 天后，仍遗留下列一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种或一种以上障碍：</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（1）一肢或一肢以上肢体机能完全丧失；</w:t>
            </w:r>
          </w:p>
        </w:tc>
      </w:tr>
      <w:tr>
        <w:trPr>
          <w:trHeight w:val="30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（2）语言能力或咀嚼吞咽能力完全丧失；</w:t>
            </w:r>
          </w:p>
        </w:tc>
      </w:tr>
      <w:tr>
        <w:trPr>
          <w:trHeight w:val="32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80" w:lineRule="exact"/>
              <w:ind w:left="66"/>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53" w:lineRule="exact"/>
              <w:ind w:left="66"/>
              <w:rPr>
                <w:sz w:val="21"/>
              </w:rPr>
            </w:pPr>
            <w:r>
              <w:rPr>
                <w:sz w:val="21"/>
              </w:rPr>
              <w:t>三项以上。</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4、重大器官移植术</w:t>
            </w:r>
          </w:p>
        </w:tc>
        <w:tc>
          <w:tcPr>
            <w:tcW w:w="7378" w:type="dxa"/>
          </w:tcPr>
          <w:p>
            <w:pPr>
              <w:pStyle w:val="TableParagraph"/>
              <w:spacing w:before="99"/>
              <w:ind w:left="66"/>
              <w:rPr>
                <w:sz w:val="21"/>
              </w:rPr>
            </w:pPr>
            <w:r>
              <w:rPr>
                <w:sz w:val="21"/>
              </w:rPr>
              <w:t>重大器官移植术，指因相应器官功能衰竭，已经实施了肾脏、肝脏、心脏或肺</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或造血干细胞移植</w:t>
            </w:r>
          </w:p>
        </w:tc>
        <w:tc>
          <w:tcPr>
            <w:tcW w:w="7378" w:type="dxa"/>
          </w:tcPr>
          <w:p>
            <w:pPr>
              <w:pStyle w:val="TableParagraph"/>
              <w:spacing w:line="238" w:lineRule="exact"/>
              <w:ind w:left="66"/>
              <w:rPr>
                <w:sz w:val="21"/>
              </w:rPr>
            </w:pPr>
            <w:r>
              <w:rPr>
                <w:sz w:val="21"/>
              </w:rPr>
              <w:t>脏的异体移植手术。</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术</w:t>
            </w:r>
          </w:p>
        </w:tc>
        <w:tc>
          <w:tcPr>
            <w:tcW w:w="7378" w:type="dxa"/>
          </w:tcPr>
          <w:p>
            <w:pPr>
              <w:pStyle w:val="TableParagraph"/>
              <w:spacing w:line="234" w:lineRule="exact"/>
              <w:ind w:left="66"/>
              <w:rPr>
                <w:sz w:val="21"/>
              </w:rPr>
            </w:pPr>
            <w:r>
              <w:rPr>
                <w:sz w:val="21"/>
              </w:rPr>
              <w:t>造血干细胞移植术，指因造血功能损害或造血系统恶性肿瘤，已经实施了造血</w:t>
            </w:r>
          </w:p>
        </w:tc>
      </w:tr>
      <w:tr>
        <w:trPr>
          <w:trHeight w:val="28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30" w:lineRule="exact"/>
              <w:ind w:left="66"/>
              <w:rPr>
                <w:sz w:val="21"/>
              </w:rPr>
            </w:pPr>
            <w:r>
              <w:rPr>
                <w:sz w:val="21"/>
              </w:rPr>
              <w:t>干细胞（包括骨髓造血干细胞、外周造血干细胞和脐血造血干细胞）的异体移</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8" w:type="dxa"/>
          </w:tcPr>
          <w:p>
            <w:pPr>
              <w:pStyle w:val="TableParagraph"/>
              <w:spacing w:line="261" w:lineRule="exact"/>
              <w:ind w:left="66"/>
              <w:rPr>
                <w:sz w:val="21"/>
              </w:rPr>
            </w:pPr>
            <w:r>
              <w:rPr>
                <w:sz w:val="21"/>
              </w:rPr>
              <w:t>植手术。</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5、冠状动脉搭桥术</w:t>
            </w:r>
          </w:p>
        </w:tc>
        <w:tc>
          <w:tcPr>
            <w:tcW w:w="7378" w:type="dxa"/>
          </w:tcPr>
          <w:p>
            <w:pPr>
              <w:pStyle w:val="TableParagraph"/>
              <w:spacing w:before="100"/>
              <w:ind w:left="66"/>
              <w:rPr>
                <w:sz w:val="21"/>
              </w:rPr>
            </w:pPr>
            <w:r>
              <w:rPr>
                <w:spacing w:val="-8"/>
                <w:sz w:val="21"/>
              </w:rPr>
              <w:t>指为治疗严重的冠心病，实际实施了开胸进行的冠状动脉血管旁路移植的手术。</w:t>
            </w:r>
          </w:p>
        </w:tc>
      </w:tr>
      <w:tr>
        <w:trPr>
          <w:trHeight w:val="238" w:hRule="atLeast"/>
        </w:trPr>
        <w:tc>
          <w:tcPr>
            <w:tcW w:w="646" w:type="dxa"/>
          </w:tcPr>
          <w:p>
            <w:pPr>
              <w:pStyle w:val="TableParagraph"/>
              <w:rPr>
                <w:rFonts w:ascii="Times New Roman"/>
                <w:sz w:val="16"/>
              </w:rPr>
            </w:pPr>
          </w:p>
        </w:tc>
        <w:tc>
          <w:tcPr>
            <w:tcW w:w="2135" w:type="dxa"/>
          </w:tcPr>
          <w:p>
            <w:pPr>
              <w:pStyle w:val="TableParagraph"/>
              <w:rPr>
                <w:rFonts w:ascii="Times New Roman"/>
                <w:sz w:val="16"/>
              </w:rPr>
            </w:pPr>
          </w:p>
        </w:tc>
        <w:tc>
          <w:tcPr>
            <w:tcW w:w="7378" w:type="dxa"/>
          </w:tcPr>
          <w:p>
            <w:pPr>
              <w:pStyle w:val="TableParagraph"/>
              <w:spacing w:line="218" w:lineRule="exact"/>
              <w:ind w:left="66"/>
              <w:rPr>
                <w:sz w:val="21"/>
              </w:rPr>
            </w:pPr>
            <w:r>
              <w:rPr>
                <w:sz w:val="21"/>
              </w:rPr>
              <w:t>冠状动脉支架植入手术、心导管球囊扩张术、激光射频技术及其他非开胸的介</w:t>
            </w:r>
          </w:p>
        </w:tc>
      </w:tr>
    </w:tbl>
    <w:p>
      <w:pPr>
        <w:spacing w:after="0" w:line="218" w:lineRule="exact"/>
        <w:rPr>
          <w:sz w:val="21"/>
        </w:rPr>
        <w:sectPr>
          <w:pgSz w:w="11910" w:h="16840"/>
          <w:pgMar w:header="0" w:footer="442" w:top="1160" w:bottom="640" w:left="820" w:right="720"/>
        </w:sectPr>
      </w:pPr>
    </w:p>
    <w:p>
      <w:pPr>
        <w:pStyle w:val="BodyText"/>
        <w:spacing w:before="19"/>
        <w:ind w:left="2149"/>
      </w:pPr>
      <w:r>
        <w:rPr/>
        <w:t>入手术、腔镜手术不在保障范围内。</w:t>
      </w:r>
    </w:p>
    <w:p>
      <w:pPr>
        <w:pStyle w:val="BodyText"/>
        <w:spacing w:before="8"/>
        <w:rPr>
          <w:sz w:val="18"/>
        </w:rPr>
      </w:pPr>
    </w:p>
    <w:p>
      <w:pPr>
        <w:pStyle w:val="BodyText"/>
        <w:tabs>
          <w:tab w:pos="2149" w:val="left" w:leader="none"/>
        </w:tabs>
        <w:spacing w:line="228" w:lineRule="auto" w:before="0"/>
        <w:ind w:left="2149" w:right="114" w:hanging="2030"/>
      </w:pPr>
      <w:r>
        <w:rPr>
          <w:rFonts w:ascii="Microsoft JhengHei" w:eastAsia="Microsoft JhengHei" w:hint="eastAsia"/>
          <w:b/>
          <w:position w:val="-2"/>
        </w:rPr>
        <w:t>6、终末期肾病</w:t>
        <w:tab/>
      </w:r>
      <w:r>
        <w:rPr/>
        <w:t>指双肾功</w:t>
      </w:r>
      <w:r>
        <w:rPr>
          <w:spacing w:val="2"/>
        </w:rPr>
        <w:t>能</w:t>
      </w:r>
      <w:r>
        <w:rPr/>
        <w:t>慢性不可</w:t>
      </w:r>
      <w:r>
        <w:rPr>
          <w:spacing w:val="2"/>
        </w:rPr>
        <w:t>逆</w:t>
      </w:r>
      <w:r>
        <w:rPr/>
        <w:t>性衰竭，</w:t>
      </w:r>
      <w:r>
        <w:rPr>
          <w:spacing w:val="2"/>
        </w:rPr>
        <w:t>达</w:t>
      </w:r>
      <w:r>
        <w:rPr/>
        <w:t>到尿毒症</w:t>
      </w:r>
      <w:r>
        <w:rPr>
          <w:spacing w:val="2"/>
        </w:rPr>
        <w:t>期</w:t>
      </w:r>
      <w:r>
        <w:rPr/>
        <w:t>，经诊断</w:t>
      </w:r>
      <w:r>
        <w:rPr>
          <w:spacing w:val="2"/>
        </w:rPr>
        <w:t>后</w:t>
      </w:r>
      <w:r>
        <w:rPr/>
        <w:t>已经进行</w:t>
      </w:r>
      <w:r>
        <w:rPr>
          <w:spacing w:val="2"/>
        </w:rPr>
        <w:t>了</w:t>
      </w:r>
      <w:r>
        <w:rPr/>
        <w:t>至少</w:t>
      </w:r>
      <w:r>
        <w:rPr>
          <w:spacing w:val="83"/>
        </w:rPr>
        <w:t> </w:t>
      </w:r>
      <w:r>
        <w:rPr/>
        <w:t>90天的规律性透析治疗或实施了肾脏移植手术。</w:t>
      </w:r>
    </w:p>
    <w:p>
      <w:pPr>
        <w:pStyle w:val="BodyText"/>
        <w:spacing w:before="8"/>
        <w:rPr>
          <w:sz w:val="18"/>
        </w:rPr>
      </w:pPr>
    </w:p>
    <w:p>
      <w:pPr>
        <w:pStyle w:val="BodyText"/>
        <w:tabs>
          <w:tab w:pos="2149" w:val="left" w:leader="none"/>
        </w:tabs>
        <w:spacing w:line="228" w:lineRule="auto" w:before="0"/>
        <w:ind w:left="2149" w:right="1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6"/>
        <w:rPr>
          <w:sz w:val="17"/>
        </w:rPr>
      </w:pPr>
    </w:p>
    <w:p>
      <w:pPr>
        <w:spacing w:after="0"/>
        <w:rPr>
          <w:sz w:val="17"/>
        </w:rPr>
        <w:sectPr>
          <w:pgSz w:w="11910" w:h="16840"/>
          <w:pgMar w:header="0" w:footer="442" w:top="1100" w:bottom="640" w:left="1620" w:right="860"/>
        </w:sectPr>
      </w:pPr>
    </w:p>
    <w:p>
      <w:pPr>
        <w:pStyle w:val="Heading4"/>
        <w:spacing w:line="211" w:lineRule="auto" w:before="37"/>
      </w:pPr>
      <w:r>
        <w:rPr>
          <w:w w:val="95"/>
        </w:rPr>
        <w:t>8、急性或亚急性重</w:t>
      </w:r>
      <w:r>
        <w:rPr/>
        <w:t>症肝炎</w:t>
      </w:r>
    </w:p>
    <w:p>
      <w:pPr>
        <w:pStyle w:val="BodyText"/>
        <w:spacing w:line="273" w:lineRule="auto" w:before="35"/>
        <w:ind w:left="119" w:right="117"/>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440" w:bottom="280" w:left="1620" w:right="860"/>
          <w:cols w:num="2" w:equalWidth="0">
            <w:col w:w="1923" w:space="106"/>
            <w:col w:w="7401"/>
          </w:cols>
        </w:sectPr>
      </w:pPr>
    </w:p>
    <w:p>
      <w:pPr>
        <w:pStyle w:val="BodyText"/>
        <w:spacing w:before="7"/>
        <w:rPr>
          <w:sz w:val="17"/>
        </w:rPr>
      </w:pPr>
    </w:p>
    <w:p>
      <w:pPr>
        <w:pStyle w:val="BodyText"/>
        <w:tabs>
          <w:tab w:pos="2149" w:val="left" w:leader="none"/>
        </w:tabs>
        <w:spacing w:line="312" w:lineRule="exact" w:before="31"/>
        <w:ind w:left="2149" w:right="1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3"/>
        <w:ind w:left="2149"/>
      </w:pPr>
      <w:r>
        <w:rPr/>
        <w:t>（1）实际实施了开颅进行的脑肿瘤完全切除或部分切除的手术；</w:t>
      </w:r>
    </w:p>
    <w:p>
      <w:pPr>
        <w:pStyle w:val="BodyText"/>
        <w:spacing w:before="36"/>
        <w:ind w:left="2149"/>
      </w:pPr>
      <w:r>
        <w:rPr/>
        <w:t>（2）实际实施了对脑肿瘤进行的放射治疗。</w:t>
      </w:r>
    </w:p>
    <w:p>
      <w:pPr>
        <w:pStyle w:val="BodyText"/>
        <w:spacing w:before="36"/>
        <w:ind w:left="2149"/>
      </w:pPr>
      <w:r>
        <w:rPr/>
        <w:t>脑垂体瘤、脑囊肿、脑血管性疾病不在保障范围内。</w:t>
      </w:r>
    </w:p>
    <w:p>
      <w:pPr>
        <w:pStyle w:val="BodyText"/>
        <w:spacing w:before="5"/>
        <w:rPr>
          <w:sz w:val="17"/>
        </w:rPr>
      </w:pPr>
    </w:p>
    <w:p>
      <w:pPr>
        <w:spacing w:after="0"/>
        <w:rPr>
          <w:sz w:val="17"/>
        </w:rPr>
        <w:sectPr>
          <w:type w:val="continuous"/>
          <w:pgSz w:w="11910" w:h="16840"/>
          <w:pgMar w:top="440" w:bottom="280" w:left="1620" w:right="860"/>
        </w:sectPr>
      </w:pPr>
    </w:p>
    <w:p>
      <w:pPr>
        <w:pStyle w:val="Heading4"/>
        <w:spacing w:line="208" w:lineRule="auto" w:before="41"/>
      </w:pPr>
      <w:r>
        <w:rPr>
          <w:w w:val="95"/>
        </w:rPr>
        <w:t>10</w:t>
      </w:r>
      <w:r>
        <w:rPr>
          <w:spacing w:val="-11"/>
          <w:w w:val="95"/>
        </w:rPr>
        <w:t>、慢性肝功能衰竭</w:t>
      </w:r>
      <w:r>
        <w:rPr>
          <w:spacing w:val="-11"/>
        </w:rPr>
        <w:t>失代偿期</w:t>
      </w:r>
    </w:p>
    <w:p>
      <w:pPr>
        <w:pStyle w:val="BodyText"/>
        <w:spacing w:before="35"/>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ind w:left="119" w:right="2128"/>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20" w:right="860"/>
          <w:cols w:num="2" w:equalWidth="0">
            <w:col w:w="1934" w:space="96"/>
            <w:col w:w="7400"/>
          </w:cols>
        </w:sectPr>
      </w:pPr>
    </w:p>
    <w:p>
      <w:pPr>
        <w:pStyle w:val="BodyText"/>
        <w:spacing w:before="3"/>
        <w:rPr>
          <w:sz w:val="15"/>
        </w:rPr>
      </w:pPr>
    </w:p>
    <w:p>
      <w:pPr>
        <w:spacing w:after="0"/>
        <w:rPr>
          <w:sz w:val="15"/>
        </w:rPr>
        <w:sectPr>
          <w:type w:val="continuous"/>
          <w:pgSz w:w="11910" w:h="16840"/>
          <w:pgMar w:top="440" w:bottom="280" w:left="1620" w:right="860"/>
        </w:sectPr>
      </w:pPr>
    </w:p>
    <w:p>
      <w:pPr>
        <w:pStyle w:val="Heading4"/>
        <w:spacing w:line="211" w:lineRule="auto" w:before="37"/>
      </w:pPr>
      <w:r>
        <w:rPr>
          <w:w w:val="95"/>
        </w:rPr>
        <w:t>11</w:t>
      </w:r>
      <w:r>
        <w:rPr>
          <w:spacing w:val="-6"/>
          <w:w w:val="95"/>
        </w:rPr>
        <w:t>、脑炎后遗症或脑</w:t>
      </w:r>
      <w:r>
        <w:rPr>
          <w:spacing w:val="-6"/>
        </w:rPr>
        <w:t>膜炎后遗症</w:t>
      </w:r>
    </w:p>
    <w:p>
      <w:pPr>
        <w:pStyle w:val="BodyText"/>
        <w:spacing w:line="273" w:lineRule="auto" w:before="35"/>
        <w:ind w:left="119" w:right="11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119" w:right="35"/>
      </w:pPr>
      <w:r>
        <w:rPr/>
        <w:t>（3）自主生活能力完全丧失，无法独立完成六项基本日常生活活动中的三项或三项以上。</w:t>
      </w:r>
    </w:p>
    <w:p>
      <w:pPr>
        <w:spacing w:after="0" w:line="273" w:lineRule="auto"/>
        <w:sectPr>
          <w:type w:val="continuous"/>
          <w:pgSz w:w="11910" w:h="16840"/>
          <w:pgMar w:top="440" w:bottom="280" w:left="1620" w:right="860"/>
          <w:cols w:num="2" w:equalWidth="0">
            <w:col w:w="1934" w:space="95"/>
            <w:col w:w="7401"/>
          </w:cols>
        </w:sectPr>
      </w:pPr>
    </w:p>
    <w:p>
      <w:pPr>
        <w:pStyle w:val="BodyText"/>
        <w:spacing w:before="2"/>
        <w:rPr>
          <w:sz w:val="15"/>
        </w:rPr>
      </w:pPr>
    </w:p>
    <w:p>
      <w:pPr>
        <w:spacing w:after="0"/>
        <w:rPr>
          <w:sz w:val="15"/>
        </w:rPr>
        <w:sectPr>
          <w:type w:val="continuous"/>
          <w:pgSz w:w="11910" w:h="16840"/>
          <w:pgMar w:top="440" w:bottom="280" w:left="1620" w:right="860"/>
        </w:sectPr>
      </w:pPr>
    </w:p>
    <w:p>
      <w:pPr>
        <w:pStyle w:val="Heading4"/>
        <w:spacing w:line="211" w:lineRule="auto" w:before="38"/>
      </w:pPr>
      <w:r>
        <w:rPr>
          <w:w w:val="95"/>
        </w:rPr>
        <w:t>12</w:t>
      </w:r>
      <w:r>
        <w:rPr>
          <w:spacing w:val="-11"/>
          <w:w w:val="95"/>
        </w:rPr>
        <w:t>、双耳失聪－三周</w:t>
      </w:r>
      <w:r>
        <w:rPr>
          <w:spacing w:val="-11"/>
        </w:rPr>
        <w:t>岁始理赔</w:t>
      </w:r>
    </w:p>
    <w:p>
      <w:pPr>
        <w:pStyle w:val="BodyText"/>
        <w:spacing w:line="273" w:lineRule="auto" w:before="36"/>
        <w:ind w:left="119" w:right="1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left="119" w:right="1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440" w:bottom="280" w:left="1620" w:right="860"/>
          <w:cols w:num="2" w:equalWidth="0">
            <w:col w:w="1934" w:space="96"/>
            <w:col w:w="7400"/>
          </w:cols>
        </w:sectPr>
      </w:pPr>
    </w:p>
    <w:p>
      <w:pPr>
        <w:pStyle w:val="BodyText"/>
        <w:spacing w:before="2"/>
        <w:rPr>
          <w:sz w:val="15"/>
        </w:rPr>
      </w:pPr>
    </w:p>
    <w:p>
      <w:pPr>
        <w:spacing w:after="0"/>
        <w:rPr>
          <w:sz w:val="15"/>
        </w:rPr>
        <w:sectPr>
          <w:type w:val="continuous"/>
          <w:pgSz w:w="11910" w:h="16840"/>
          <w:pgMar w:top="440" w:bottom="280" w:left="1620" w:right="860"/>
        </w:sectPr>
      </w:pPr>
    </w:p>
    <w:p>
      <w:pPr>
        <w:pStyle w:val="Heading4"/>
        <w:spacing w:line="211" w:lineRule="auto" w:before="37"/>
      </w:pPr>
      <w:r>
        <w:rPr>
          <w:w w:val="95"/>
        </w:rPr>
        <w:t>13</w:t>
      </w:r>
      <w:r>
        <w:rPr>
          <w:spacing w:val="-11"/>
          <w:w w:val="95"/>
        </w:rPr>
        <w:t>、双目失明－三周</w:t>
      </w:r>
      <w:r>
        <w:rPr>
          <w:spacing w:val="-11"/>
        </w:rPr>
        <w:t>岁始理赔</w:t>
      </w:r>
    </w:p>
    <w:p>
      <w:pPr>
        <w:pStyle w:val="BodyText"/>
        <w:spacing w:line="273" w:lineRule="auto" w:before="35"/>
        <w:ind w:left="119" w:right="117"/>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pStyle w:val="BodyText"/>
        <w:spacing w:line="273" w:lineRule="auto"/>
        <w:ind w:left="119" w:right="117"/>
      </w:pPr>
      <w:r>
        <w:rPr/>
        <w:t>（2）矫正视力低于 0.02（采用国际标准视力表，如果使用其他视力表应进行换算</w:t>
      </w:r>
      <w:r>
        <w:rPr>
          <w:spacing w:val="-105"/>
        </w:rPr>
        <w:t>）</w:t>
      </w:r>
      <w:r>
        <w:rPr/>
        <w:t>；</w:t>
      </w:r>
    </w:p>
    <w:p>
      <w:pPr>
        <w:spacing w:after="0" w:line="273" w:lineRule="auto"/>
        <w:sectPr>
          <w:type w:val="continuous"/>
          <w:pgSz w:w="11910" w:h="16840"/>
          <w:pgMar w:top="440" w:bottom="280" w:left="1620" w:right="860"/>
          <w:cols w:num="2" w:equalWidth="0">
            <w:col w:w="1934" w:space="96"/>
            <w:col w:w="7400"/>
          </w:cols>
        </w:sectPr>
      </w:pPr>
    </w:p>
    <w:p>
      <w:pPr>
        <w:pStyle w:val="BodyText"/>
        <w:spacing w:before="19"/>
        <w:ind w:left="2149"/>
      </w:pPr>
      <w:r>
        <w:rPr/>
        <w:t>（3）视野半径小于 5 度。</w:t>
      </w:r>
    </w:p>
    <w:p>
      <w:pPr>
        <w:pStyle w:val="BodyText"/>
        <w:spacing w:line="273" w:lineRule="auto"/>
        <w:ind w:left="2149" w:right="217"/>
      </w:pPr>
      <w:r>
        <w:rPr/>
        <w:t>被保险人申请理赔时年龄必须在三周岁以上，并且提供理赔当时的视力丧失诊断及检查证据。</w:t>
      </w:r>
    </w:p>
    <w:p>
      <w:pPr>
        <w:pStyle w:val="BodyText"/>
        <w:spacing w:before="7"/>
        <w:rPr>
          <w:sz w:val="17"/>
        </w:rPr>
      </w:pPr>
    </w:p>
    <w:p>
      <w:pPr>
        <w:pStyle w:val="BodyText"/>
        <w:tabs>
          <w:tab w:pos="2149" w:val="left" w:leader="none"/>
        </w:tabs>
        <w:spacing w:line="312" w:lineRule="exact" w:before="0"/>
        <w:ind w:left="2149" w:right="215" w:hanging="2030"/>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50"/>
        </w:rPr>
        <w:t> </w:t>
      </w:r>
      <w:r>
        <w:rPr/>
        <w:t>180</w:t>
      </w:r>
      <w:r>
        <w:rPr>
          <w:spacing w:val="-50"/>
        </w:rPr>
        <w:t> </w:t>
      </w:r>
      <w:r>
        <w:rPr/>
        <w:t>天后或意外伤害发生</w:t>
      </w:r>
      <w:r>
        <w:rPr>
          <w:spacing w:val="-50"/>
        </w:rPr>
        <w:t> </w:t>
      </w:r>
      <w:r>
        <w:rPr/>
        <w:t>180</w:t>
      </w:r>
      <w:r>
        <w:rPr>
          <w:spacing w:val="-50"/>
        </w:rPr>
        <w:t> </w:t>
      </w:r>
      <w:r>
        <w:rPr/>
        <w:t>天后，每肢三大关节中的两大关节仍然完全僵硬，或不能随意识活动。</w:t>
      </w:r>
    </w:p>
    <w:p>
      <w:pPr>
        <w:pStyle w:val="BodyText"/>
        <w:spacing w:before="10"/>
        <w:rPr>
          <w:sz w:val="14"/>
        </w:rPr>
      </w:pPr>
    </w:p>
    <w:p>
      <w:pPr>
        <w:tabs>
          <w:tab w:pos="2149" w:val="left" w:leader="none"/>
        </w:tabs>
        <w:spacing w:before="0"/>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pgSz w:w="11910" w:h="16840"/>
          <w:pgMar w:header="0" w:footer="442" w:top="1100" w:bottom="640" w:left="1620" w:right="760"/>
        </w:sectPr>
      </w:pPr>
    </w:p>
    <w:p>
      <w:pPr>
        <w:pStyle w:val="Heading4"/>
        <w:spacing w:line="208" w:lineRule="auto" w:before="42"/>
      </w:pPr>
      <w:r>
        <w:rPr>
          <w:w w:val="95"/>
        </w:rPr>
        <w:t>16</w:t>
      </w:r>
      <w:r>
        <w:rPr>
          <w:spacing w:val="-11"/>
          <w:w w:val="95"/>
        </w:rPr>
        <w:t>、严重阿尔茨海默</w:t>
      </w:r>
      <w:r>
        <w:rPr>
          <w:spacing w:val="-11"/>
        </w:rPr>
        <w:t>病—限七十周岁前发病</w:t>
      </w:r>
    </w:p>
    <w:p>
      <w:pPr>
        <w:pStyle w:val="BodyText"/>
        <w:spacing w:line="273" w:lineRule="auto" w:before="36"/>
        <w:ind w:left="119"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9"/>
      </w:pPr>
      <w:r>
        <w:rPr/>
        <w:t>神经官能症和精神疾病不在保障范围内。</w:t>
      </w:r>
    </w:p>
    <w:p>
      <w:pPr>
        <w:spacing w:after="0"/>
        <w:sectPr>
          <w:type w:val="continuous"/>
          <w:pgSz w:w="11910" w:h="16840"/>
          <w:pgMar w:top="440" w:bottom="280" w:left="1620" w:right="760"/>
          <w:cols w:num="2" w:equalWidth="0">
            <w:col w:w="1934" w:space="96"/>
            <w:col w:w="7500"/>
          </w:cols>
        </w:sectPr>
      </w:pPr>
    </w:p>
    <w:p>
      <w:pPr>
        <w:pStyle w:val="BodyText"/>
        <w:spacing w:before="5"/>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before="36"/>
        <w:ind w:left="2149" w:right="127"/>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49"/>
      </w:pPr>
      <w:r>
        <w:rPr/>
        <w:t>（1）一肢或一肢以上肢体机能完全丧失；</w:t>
      </w:r>
    </w:p>
    <w:p>
      <w:pPr>
        <w:pStyle w:val="BodyText"/>
        <w:ind w:left="2149"/>
      </w:pPr>
      <w:r>
        <w:rPr/>
        <w:t>（2）语言能力或咀嚼吞咽能力完全丧失；</w:t>
      </w:r>
    </w:p>
    <w:p>
      <w:pPr>
        <w:pStyle w:val="BodyText"/>
        <w:spacing w:line="273" w:lineRule="auto"/>
        <w:ind w:left="2149" w:right="135"/>
      </w:pPr>
      <w:r>
        <w:rPr/>
        <w:t>（3）自主生活能力完全丧失，无法独立完成六项基本日常生活活动中的三项或三项以上。</w:t>
      </w:r>
    </w:p>
    <w:p>
      <w:pPr>
        <w:pStyle w:val="BodyText"/>
        <w:spacing w:before="4"/>
        <w:rPr>
          <w:sz w:val="16"/>
        </w:rPr>
      </w:pPr>
    </w:p>
    <w:p>
      <w:pPr>
        <w:pStyle w:val="BodyText"/>
        <w:tabs>
          <w:tab w:pos="2149" w:val="left" w:leader="none"/>
        </w:tabs>
        <w:spacing w:line="228" w:lineRule="auto" w:before="1"/>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49"/>
      </w:pPr>
      <w:r>
        <w:rPr/>
        <w:t>（1）药物治疗无法控制病情；</w:t>
      </w:r>
    </w:p>
    <w:p>
      <w:pPr>
        <w:pStyle w:val="BodyText"/>
        <w:spacing w:line="273" w:lineRule="auto"/>
        <w:ind w:left="2149" w:right="135"/>
      </w:pPr>
      <w:r>
        <w:rPr/>
        <w:t>（2）自主生活能力完全丧失，无法独立完成六项基本日常生活活动中的三项或三项以上。</w:t>
      </w:r>
    </w:p>
    <w:p>
      <w:pPr>
        <w:pStyle w:val="BodyText"/>
        <w:spacing w:before="8"/>
        <w:ind w:left="2149"/>
      </w:pPr>
      <w:r>
        <w:rPr/>
        <w:t>继发性帕金森综合征不在保障范围内。</w:t>
      </w:r>
    </w:p>
    <w:p>
      <w:pPr>
        <w:pStyle w:val="BodyText"/>
        <w:spacing w:before="9"/>
        <w:rPr>
          <w:sz w:val="18"/>
        </w:r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440" w:bottom="280" w:left="1620" w:right="760"/>
        </w:sectPr>
      </w:pPr>
    </w:p>
    <w:p>
      <w:pPr>
        <w:pStyle w:val="Heading4"/>
        <w:spacing w:line="208" w:lineRule="auto" w:before="41"/>
      </w:pPr>
      <w:r>
        <w:rPr>
          <w:w w:val="95"/>
        </w:rPr>
        <w:t>20、严重原发性肺</w:t>
      </w:r>
      <w:r>
        <w:rPr/>
        <w:t>动脉高压</w:t>
      </w:r>
    </w:p>
    <w:p>
      <w:pPr>
        <w:pStyle w:val="BodyText"/>
        <w:spacing w:line="273" w:lineRule="auto" w:before="36"/>
        <w:ind w:left="119"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440" w:bottom="280" w:left="1620" w:right="760"/>
          <w:cols w:num="2" w:equalWidth="0">
            <w:col w:w="1835" w:space="194"/>
            <w:col w:w="7501"/>
          </w:cols>
        </w:sectPr>
      </w:pPr>
    </w:p>
    <w:p>
      <w:pPr>
        <w:pStyle w:val="BodyText"/>
        <w:spacing w:before="3"/>
        <w:rPr>
          <w:sz w:val="15"/>
        </w:rPr>
      </w:pPr>
    </w:p>
    <w:p>
      <w:pPr>
        <w:spacing w:after="0"/>
        <w:rPr>
          <w:sz w:val="15"/>
        </w:rPr>
        <w:sectPr>
          <w:type w:val="continuous"/>
          <w:pgSz w:w="11910" w:h="16840"/>
          <w:pgMar w:top="440" w:bottom="280" w:left="1620" w:right="760"/>
        </w:sectPr>
      </w:pPr>
    </w:p>
    <w:p>
      <w:pPr>
        <w:pStyle w:val="Heading4"/>
        <w:spacing w:line="211" w:lineRule="auto" w:before="37"/>
      </w:pPr>
      <w:r>
        <w:rPr>
          <w:w w:val="95"/>
        </w:rPr>
        <w:t>21</w:t>
      </w:r>
      <w:r>
        <w:rPr>
          <w:spacing w:val="-11"/>
          <w:w w:val="95"/>
        </w:rPr>
        <w:t>、严重运动神经元</w:t>
      </w:r>
      <w:r>
        <w:rPr>
          <w:spacing w:val="-11"/>
        </w:rPr>
        <w:t>病</w:t>
      </w:r>
    </w:p>
    <w:p>
      <w:pPr>
        <w:pStyle w:val="BodyText"/>
        <w:spacing w:line="273" w:lineRule="auto" w:before="35"/>
        <w:ind w:left="119"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44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6"/>
        <w:ind w:left="119"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8"/>
        <w:ind w:left="119"/>
      </w:pPr>
      <w:r>
        <w:rPr/>
        <w:t>精神心理因素所致的语言能力丧失不在保障范围内。</w:t>
      </w:r>
    </w:p>
    <w:p>
      <w:pPr>
        <w:pStyle w:val="BodyText"/>
        <w:spacing w:line="273" w:lineRule="auto"/>
        <w:ind w:left="119" w:right="217"/>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20" w:right="760"/>
          <w:cols w:num="2" w:equalWidth="0">
            <w:col w:w="1832" w:space="198"/>
            <w:col w:w="7500"/>
          </w:cols>
        </w:sectPr>
      </w:pPr>
    </w:p>
    <w:p>
      <w:pPr>
        <w:pStyle w:val="Heading4"/>
        <w:spacing w:line="211" w:lineRule="auto" w:before="8"/>
      </w:pPr>
      <w:r>
        <w:rPr>
          <w:w w:val="95"/>
        </w:rPr>
        <w:t>23、重型再生障碍</w:t>
      </w:r>
      <w:r>
        <w:rPr/>
        <w:t>性贫血</w:t>
      </w:r>
    </w:p>
    <w:p>
      <w:pPr>
        <w:pStyle w:val="BodyText"/>
        <w:spacing w:line="273" w:lineRule="auto" w:before="6"/>
        <w:ind w:left="119" w:right="30"/>
      </w:pPr>
      <w:r>
        <w:rPr/>
        <w:br w:type="column"/>
      </w:r>
      <w:r>
        <w:rPr/>
        <w:t>指因骨髓造血功能慢性持续性衰竭导致的贫血、中性粒细胞减少及血小板减少， 须满足下列全部条件：</w:t>
      </w:r>
    </w:p>
    <w:p>
      <w:pPr>
        <w:pStyle w:val="BodyText"/>
        <w:spacing w:before="8"/>
        <w:ind w:left="119"/>
      </w:pPr>
      <w:r>
        <w:rPr/>
        <w:t>（1）骨髓穿刺检查或骨髓活检结果支持诊断；</w:t>
      </w:r>
    </w:p>
    <w:p>
      <w:pPr>
        <w:pStyle w:val="BodyText"/>
        <w:ind w:left="119"/>
      </w:pPr>
      <w:r>
        <w:rPr/>
        <w:t>（2）外周血象必须具备以下三项条件：</w:t>
      </w:r>
    </w:p>
    <w:p>
      <w:pPr>
        <w:pStyle w:val="BodyText"/>
        <w:ind w:left="539"/>
      </w:pPr>
      <w:r>
        <w:rPr/>
        <w:t>①中性粒细胞绝对值≤0.5×10</w:t>
      </w:r>
      <w:r>
        <w:rPr>
          <w:position w:val="11"/>
          <w:sz w:val="11"/>
        </w:rPr>
        <w:t>9</w:t>
      </w:r>
      <w:r>
        <w:rPr/>
        <w:t>/L；</w:t>
      </w:r>
    </w:p>
    <w:p>
      <w:pPr>
        <w:pStyle w:val="BodyText"/>
        <w:ind w:left="539"/>
      </w:pPr>
      <w:r>
        <w:rPr/>
        <w:t>②网织红细胞＜1%；</w:t>
      </w:r>
    </w:p>
    <w:p>
      <w:pPr>
        <w:pStyle w:val="BodyText"/>
        <w:ind w:left="539"/>
      </w:pPr>
      <w:r>
        <w:rPr/>
        <w:t>③血小板绝对值≤20×10</w:t>
      </w:r>
      <w:r>
        <w:rPr>
          <w:position w:val="11"/>
          <w:sz w:val="11"/>
        </w:rPr>
        <w:t>9</w:t>
      </w:r>
      <w:r>
        <w:rPr/>
        <w:t>/L。</w:t>
      </w:r>
    </w:p>
    <w:p>
      <w:pPr>
        <w:spacing w:after="0"/>
        <w:sectPr>
          <w:pgSz w:w="11910" w:h="16840"/>
          <w:pgMar w:header="0" w:footer="442" w:top="1340" w:bottom="640" w:left="1620" w:right="760"/>
          <w:cols w:num="2" w:equalWidth="0">
            <w:col w:w="1832" w:space="198"/>
            <w:col w:w="7500"/>
          </w:cols>
        </w:sectPr>
      </w:pPr>
    </w:p>
    <w:p>
      <w:pPr>
        <w:pStyle w:val="BodyText"/>
        <w:spacing w:before="6"/>
        <w:rPr>
          <w:sz w:val="17"/>
        </w:rPr>
      </w:pPr>
    </w:p>
    <w:p>
      <w:pPr>
        <w:pStyle w:val="BodyText"/>
        <w:spacing w:line="312" w:lineRule="exact" w:before="3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49"/>
      </w:pPr>
      <w:r>
        <w:rPr/>
        <w:t>动脉内血管成形术不在保障范围内。</w:t>
      </w:r>
    </w:p>
    <w:p>
      <w:pPr>
        <w:pStyle w:val="BodyText"/>
        <w:spacing w:before="6"/>
        <w:rPr>
          <w:sz w:val="17"/>
        </w:rPr>
      </w:pPr>
    </w:p>
    <w:p>
      <w:pPr>
        <w:spacing w:after="0"/>
        <w:rPr>
          <w:sz w:val="17"/>
        </w:rPr>
        <w:sectPr>
          <w:type w:val="continuous"/>
          <w:pgSz w:w="11910" w:h="16840"/>
          <w:pgMar w:top="440" w:bottom="280" w:left="1620" w:right="760"/>
        </w:sectPr>
      </w:pPr>
    </w:p>
    <w:p>
      <w:pPr>
        <w:pStyle w:val="Heading4"/>
        <w:spacing w:line="211" w:lineRule="auto" w:before="38"/>
      </w:pPr>
      <w:r>
        <w:rPr>
          <w:w w:val="95"/>
        </w:rPr>
        <w:t>25、慢性呼吸功能</w:t>
      </w:r>
      <w:r>
        <w:rPr/>
        <w:t>衰竭</w:t>
      </w:r>
    </w:p>
    <w:p>
      <w:pPr>
        <w:pStyle w:val="BodyText"/>
        <w:spacing w:line="273" w:lineRule="auto" w:before="35"/>
        <w:ind w:left="119" w:right="217"/>
      </w:pPr>
      <w:r>
        <w:rPr/>
        <w:br w:type="column"/>
      </w:r>
      <w:r>
        <w:rPr/>
        <w:t>慢性肺部疾病导致永久不可逆性的慢性呼吸功能衰竭。慢性呼吸功能衰竭必须明确诊断并满足下列全部条件：</w:t>
      </w:r>
    </w:p>
    <w:p>
      <w:pPr>
        <w:pStyle w:val="BodyText"/>
        <w:spacing w:before="7"/>
        <w:ind w:left="119"/>
      </w:pPr>
      <w:r>
        <w:rPr/>
        <w:t>（1）休息时出现呼吸困难；</w:t>
      </w:r>
    </w:p>
    <w:p>
      <w:pPr>
        <w:pStyle w:val="BodyText"/>
        <w:ind w:left="119"/>
      </w:pPr>
      <w:r>
        <w:rPr/>
        <w:t>（2）动脉血氧分压（PaO2）&lt;50mmHg；</w:t>
      </w:r>
    </w:p>
    <w:p>
      <w:pPr>
        <w:pStyle w:val="BodyText"/>
        <w:ind w:left="119"/>
      </w:pPr>
      <w:r>
        <w:rPr/>
        <w:t>（3）动脉血氧饱和度（SaO2）&lt;80％；</w:t>
      </w:r>
    </w:p>
    <w:p>
      <w:pPr>
        <w:pStyle w:val="BodyText"/>
        <w:ind w:left="119"/>
      </w:pPr>
      <w:r>
        <w:rPr/>
        <w:t>（4）因缺氧必须接受持续的输氧治疗。</w:t>
      </w:r>
    </w:p>
    <w:p>
      <w:pPr>
        <w:spacing w:after="0"/>
        <w:sectPr>
          <w:type w:val="continuous"/>
          <w:pgSz w:w="11910" w:h="16840"/>
          <w:pgMar w:top="440" w:bottom="280" w:left="1620" w:right="760"/>
          <w:cols w:num="2" w:equalWidth="0">
            <w:col w:w="1832" w:space="198"/>
            <w:col w:w="7500"/>
          </w:cols>
        </w:sectPr>
      </w:pPr>
    </w:p>
    <w:p>
      <w:pPr>
        <w:pStyle w:val="BodyText"/>
        <w:spacing w:before="7"/>
        <w:rPr>
          <w:sz w:val="17"/>
        </w:rPr>
      </w:pPr>
    </w:p>
    <w:p>
      <w:pPr>
        <w:spacing w:after="0"/>
        <w:rPr>
          <w:sz w:val="17"/>
        </w:rPr>
        <w:sectPr>
          <w:type w:val="continuous"/>
          <w:pgSz w:w="11910" w:h="16840"/>
          <w:pgMar w:top="440" w:bottom="280" w:left="1620" w:right="760"/>
        </w:sectPr>
      </w:pPr>
    </w:p>
    <w:p>
      <w:pPr>
        <w:pStyle w:val="Heading4"/>
        <w:spacing w:line="208" w:lineRule="auto" w:before="41"/>
      </w:pPr>
      <w:r>
        <w:rPr>
          <w:w w:val="95"/>
        </w:rPr>
        <w:t>26、严重多发性硬</w:t>
      </w:r>
      <w:r>
        <w:rPr/>
        <w:t>化</w:t>
      </w:r>
    </w:p>
    <w:p>
      <w:pPr>
        <w:pStyle w:val="BodyText"/>
        <w:spacing w:line="273" w:lineRule="auto" w:before="35"/>
        <w:ind w:left="119"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19"/>
        <w:jc w:val="both"/>
      </w:pPr>
      <w:r>
        <w:rPr/>
        <w:t>（1）移动：自己从一个房间到另一个房间；或者</w:t>
      </w:r>
    </w:p>
    <w:p>
      <w:pPr>
        <w:pStyle w:val="BodyText"/>
        <w:ind w:left="119"/>
        <w:jc w:val="both"/>
      </w:pPr>
      <w:r>
        <w:rPr/>
        <w:t>（2）进食：自己从已准备好的碗或碟中取食物放入口中。</w:t>
      </w:r>
    </w:p>
    <w:p>
      <w:pPr>
        <w:spacing w:after="0"/>
        <w:jc w:val="both"/>
        <w:sectPr>
          <w:type w:val="continuous"/>
          <w:pgSz w:w="11910" w:h="16840"/>
          <w:pgMar w:top="440" w:bottom="280" w:left="1620" w:right="760"/>
          <w:cols w:num="2" w:equalWidth="0">
            <w:col w:w="1832" w:space="198"/>
            <w:col w:w="7500"/>
          </w:cols>
        </w:sectPr>
      </w:pPr>
    </w:p>
    <w:p>
      <w:pPr>
        <w:pStyle w:val="BodyText"/>
        <w:spacing w:before="6"/>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440" w:bottom="280" w:left="1620" w:right="760"/>
        </w:sectPr>
      </w:pPr>
    </w:p>
    <w:p>
      <w:pPr>
        <w:pStyle w:val="Heading4"/>
        <w:spacing w:line="211" w:lineRule="auto" w:before="37"/>
      </w:pPr>
      <w:r>
        <w:rPr>
          <w:w w:val="95"/>
        </w:rPr>
        <w:t>28、急性坏死性胰</w:t>
      </w:r>
      <w:r>
        <w:rPr/>
        <w:t>腺炎</w:t>
      </w:r>
    </w:p>
    <w:p>
      <w:pPr>
        <w:pStyle w:val="BodyText"/>
        <w:spacing w:line="273" w:lineRule="auto" w:before="35"/>
        <w:ind w:left="119" w:right="21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620" w:right="760"/>
          <w:cols w:num="2" w:equalWidth="0">
            <w:col w:w="1832" w:space="198"/>
            <w:col w:w="7500"/>
          </w:cols>
        </w:sectPr>
      </w:pPr>
    </w:p>
    <w:p>
      <w:pPr>
        <w:pStyle w:val="BodyText"/>
        <w:spacing w:before="3"/>
        <w:rPr>
          <w:sz w:val="14"/>
        </w:rPr>
      </w:pPr>
    </w:p>
    <w:p>
      <w:pPr>
        <w:spacing w:after="0"/>
        <w:rPr>
          <w:sz w:val="14"/>
        </w:rPr>
        <w:sectPr>
          <w:type w:val="continuous"/>
          <w:pgSz w:w="11910" w:h="16840"/>
          <w:pgMar w:top="440" w:bottom="280" w:left="1620" w:right="760"/>
        </w:sectPr>
      </w:pPr>
    </w:p>
    <w:p>
      <w:pPr>
        <w:pStyle w:val="Heading4"/>
        <w:spacing w:line="211" w:lineRule="auto" w:before="37"/>
      </w:pPr>
      <w:r>
        <w:rPr/>
        <w:t>29、全身性重症ft 无力</w:t>
      </w:r>
    </w:p>
    <w:p>
      <w:pPr>
        <w:pStyle w:val="BodyText"/>
        <w:spacing w:line="273" w:lineRule="auto" w:before="35"/>
        <w:ind w:left="119" w:right="2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73" w:lineRule="auto" w:before="36"/>
        <w:ind w:left="119" w:right="2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440" w:bottom="280" w:left="1620" w:right="760"/>
          <w:cols w:num="2" w:equalWidth="0">
            <w:col w:w="1832" w:space="198"/>
            <w:col w:w="7500"/>
          </w:cols>
        </w:sectPr>
      </w:pPr>
    </w:p>
    <w:p>
      <w:pPr>
        <w:pStyle w:val="BodyText"/>
        <w:spacing w:before="3"/>
        <w:rPr>
          <w:sz w:val="15"/>
        </w:rPr>
      </w:pPr>
    </w:p>
    <w:p>
      <w:pPr>
        <w:pStyle w:val="BodyText"/>
        <w:spacing w:line="312" w:lineRule="exact" w:before="31"/>
        <w:ind w:left="2149" w:right="215" w:hanging="2030"/>
        <w:jc w:val="both"/>
      </w:pPr>
      <w:r>
        <w:rPr>
          <w:rFonts w:ascii="Microsoft JhengHei" w:eastAsia="Microsoft JhengHei" w:hint="eastAsia"/>
          <w:b/>
          <w:position w:val="-2"/>
        </w:rPr>
        <w:t>30、严重心ft病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24"/>
        </w:rPr>
        <w:t> 级。被保险人永久不可逆性的体力活动能力受限，不能从事任何体力活动。</w:t>
      </w:r>
    </w:p>
    <w:p>
      <w:pPr>
        <w:pStyle w:val="BodyText"/>
        <w:spacing w:before="12"/>
        <w:rPr>
          <w:sz w:val="14"/>
        </w:rPr>
      </w:pPr>
    </w:p>
    <w:p>
      <w:pPr>
        <w:spacing w:after="0"/>
        <w:rPr>
          <w:sz w:val="14"/>
        </w:rPr>
        <w:sectPr>
          <w:type w:val="continuous"/>
          <w:pgSz w:w="11910" w:h="16840"/>
          <w:pgMar w:top="440" w:bottom="280" w:left="1620" w:right="760"/>
        </w:sectPr>
      </w:pPr>
    </w:p>
    <w:p>
      <w:pPr>
        <w:pStyle w:val="Heading4"/>
        <w:spacing w:line="208" w:lineRule="auto" w:before="41"/>
      </w:pPr>
      <w:r>
        <w:rPr>
          <w:w w:val="95"/>
        </w:rPr>
        <w:t>31</w:t>
      </w:r>
      <w:r>
        <w:rPr>
          <w:spacing w:val="-11"/>
          <w:w w:val="95"/>
        </w:rPr>
        <w:t>、严重类风湿性关</w:t>
      </w:r>
      <w:r>
        <w:rPr>
          <w:spacing w:val="-11"/>
        </w:rPr>
        <w:t>节炎</w:t>
      </w:r>
    </w:p>
    <w:p>
      <w:pPr>
        <w:pStyle w:val="BodyText"/>
        <w:spacing w:line="273" w:lineRule="auto" w:before="35"/>
        <w:ind w:left="119" w:right="217"/>
      </w:pPr>
      <w:r>
        <w:rPr/>
        <w:br w:type="column"/>
      </w:r>
      <w:r>
        <w:rPr/>
        <w:t>类风湿性关节炎为广泛分布的慢性进行性多关节病变，表现为关节严重变形， 侵犯至少三个主要关节或关节组（如：双手（多手指）关节、双足（多足趾）</w:t>
      </w:r>
    </w:p>
    <w:p>
      <w:pPr>
        <w:spacing w:after="0" w:line="273" w:lineRule="auto"/>
        <w:sectPr>
          <w:type w:val="continuous"/>
          <w:pgSz w:w="11910" w:h="16840"/>
          <w:pgMar w:top="440" w:bottom="280" w:left="1620" w:right="760"/>
          <w:cols w:num="2" w:equalWidth="0">
            <w:col w:w="1934" w:space="96"/>
            <w:col w:w="7500"/>
          </w:cols>
        </w:sectPr>
      </w:pPr>
    </w:p>
    <w:p>
      <w:pPr>
        <w:pStyle w:val="BodyText"/>
        <w:spacing w:line="273" w:lineRule="auto" w:before="19"/>
        <w:ind w:left="2149" w:right="115"/>
        <w:jc w:val="both"/>
      </w:pPr>
      <w:r>
        <w:rPr>
          <w:spacing w:val="-8"/>
        </w:rPr>
        <w:t>关节、双腕关节、双膝关节和双髋关节</w:t>
      </w:r>
      <w:r>
        <w:rPr>
          <w:spacing w:val="-105"/>
        </w:rPr>
        <w:t>）</w:t>
      </w:r>
      <w:r>
        <w:rPr>
          <w:spacing w:val="-6"/>
        </w:rPr>
        <w:t>。类风湿性关节炎必须明确诊断并且已</w:t>
      </w:r>
      <w:r>
        <w:rPr>
          <w:spacing w:val="-9"/>
        </w:rPr>
        <w:t>经达到类风湿性关节炎功能分级 </w:t>
      </w:r>
      <w:r>
        <w:rPr/>
        <w:t>III</w:t>
      </w:r>
      <w:r>
        <w:rPr>
          <w:spacing w:val="-7"/>
        </w:rPr>
        <w:t> 级以上的功能障碍</w:t>
      </w:r>
      <w:r>
        <w:rPr/>
        <w:t>（关节活动严重限制， 不能完成大部分的日常工作和活动）并且满足下列全部条件：</w:t>
      </w:r>
    </w:p>
    <w:p>
      <w:pPr>
        <w:pStyle w:val="BodyText"/>
        <w:spacing w:before="7"/>
        <w:ind w:left="2149"/>
        <w:jc w:val="both"/>
      </w:pPr>
      <w:r>
        <w:rPr/>
        <w:t>（1）晨僵；</w:t>
      </w:r>
    </w:p>
    <w:p>
      <w:pPr>
        <w:pStyle w:val="BodyText"/>
        <w:spacing w:before="36"/>
        <w:ind w:left="2149"/>
        <w:jc w:val="both"/>
      </w:pPr>
      <w:r>
        <w:rPr/>
        <w:t>（2）对称性关节炎；</w:t>
      </w:r>
    </w:p>
    <w:p>
      <w:pPr>
        <w:pStyle w:val="BodyText"/>
        <w:spacing w:before="36"/>
        <w:ind w:left="2149"/>
        <w:jc w:val="both"/>
      </w:pPr>
      <w:r>
        <w:rPr/>
        <w:t>（3）类风湿性皮下结节；</w:t>
      </w:r>
    </w:p>
    <w:p>
      <w:pPr>
        <w:pStyle w:val="BodyText"/>
        <w:spacing w:before="36"/>
        <w:ind w:left="2149"/>
        <w:jc w:val="both"/>
      </w:pPr>
      <w:r>
        <w:rPr/>
        <w:t>（4）类风湿因子滴度升高；</w:t>
      </w:r>
    </w:p>
    <w:p>
      <w:pPr>
        <w:pStyle w:val="BodyText"/>
        <w:spacing w:before="36"/>
        <w:ind w:left="2149"/>
        <w:jc w:val="both"/>
      </w:pPr>
      <w:r>
        <w:rPr/>
        <w:t>（5）X 线显示严重的关节（软骨和骨）破坏和关节畸形。</w:t>
      </w:r>
    </w:p>
    <w:p>
      <w:pPr>
        <w:pStyle w:val="BodyText"/>
        <w:spacing w:before="5"/>
        <w:rPr>
          <w:sz w:val="17"/>
        </w:rPr>
      </w:pPr>
    </w:p>
    <w:p>
      <w:pPr>
        <w:spacing w:after="0"/>
        <w:rPr>
          <w:sz w:val="17"/>
        </w:rPr>
        <w:sectPr>
          <w:pgSz w:w="11910" w:h="16840"/>
          <w:pgMar w:header="0" w:footer="442" w:top="1100" w:bottom="640" w:left="1620" w:right="86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6"/>
        <w:ind w:left="119"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19"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8"/>
        <w:ind w:left="119"/>
        <w:jc w:val="both"/>
      </w:pPr>
      <w:r>
        <w:rPr/>
        <w:t>世界卫生组织（WHO）狼疮性肾炎分型：</w:t>
      </w:r>
    </w:p>
    <w:p>
      <w:pPr>
        <w:pStyle w:val="ListParagraph"/>
        <w:numPr>
          <w:ilvl w:val="0"/>
          <w:numId w:val="15"/>
        </w:numPr>
        <w:tabs>
          <w:tab w:pos="331" w:val="left" w:leader="none"/>
        </w:tabs>
        <w:spacing w:line="240" w:lineRule="auto" w:before="37" w:after="0"/>
        <w:ind w:left="330" w:right="0" w:hanging="211"/>
        <w:jc w:val="both"/>
        <w:rPr>
          <w:sz w:val="21"/>
        </w:rPr>
      </w:pPr>
      <w:r>
        <w:rPr>
          <w:sz w:val="21"/>
        </w:rPr>
        <w:t>型（微小病变型）</w:t>
      </w:r>
      <w:r>
        <w:rPr>
          <w:spacing w:val="2"/>
          <w:sz w:val="21"/>
        </w:rPr>
        <w:t>       镜下阴性，尿液正常</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型（系膜病变型）      中度蛋白尿，偶有尿沉渣改变</w:t>
      </w:r>
    </w:p>
    <w:p>
      <w:pPr>
        <w:pStyle w:val="ListParagraph"/>
        <w:numPr>
          <w:ilvl w:val="0"/>
          <w:numId w:val="15"/>
        </w:numPr>
        <w:tabs>
          <w:tab w:pos="541" w:val="left" w:leader="none"/>
        </w:tabs>
        <w:spacing w:line="240" w:lineRule="auto" w:before="37"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型（弥漫增生型）      急性肾炎伴有尿沉渣改变及</w:t>
      </w:r>
    </w:p>
    <w:p>
      <w:pPr>
        <w:pStyle w:val="BodyText"/>
        <w:ind w:left="2833" w:right="3056"/>
        <w:jc w:val="center"/>
      </w:pPr>
      <w:r>
        <w:rPr/>
        <w:t>／或肾病综合征</w:t>
      </w:r>
    </w:p>
    <w:p>
      <w:pPr>
        <w:pStyle w:val="ListParagraph"/>
        <w:numPr>
          <w:ilvl w:val="0"/>
          <w:numId w:val="15"/>
        </w:numPr>
        <w:tabs>
          <w:tab w:pos="331" w:val="left" w:leader="none"/>
          <w:tab w:pos="2850" w:val="left" w:leader="none"/>
        </w:tabs>
        <w:spacing w:line="240" w:lineRule="auto" w:before="37"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860"/>
          <w:cols w:num="2" w:equalWidth="0">
            <w:col w:w="1832" w:space="198"/>
            <w:col w:w="7400"/>
          </w:cols>
        </w:sectPr>
      </w:pPr>
    </w:p>
    <w:p>
      <w:pPr>
        <w:pStyle w:val="BodyText"/>
        <w:spacing w:before="6"/>
        <w:rPr>
          <w:sz w:val="17"/>
        </w:rPr>
      </w:pPr>
    </w:p>
    <w:p>
      <w:pPr>
        <w:spacing w:after="0"/>
        <w:rPr>
          <w:sz w:val="17"/>
        </w:rPr>
        <w:sectPr>
          <w:type w:val="continuous"/>
          <w:pgSz w:w="11910" w:h="16840"/>
          <w:pgMar w:top="440" w:bottom="280" w:left="1620" w:right="860"/>
        </w:sectPr>
      </w:pPr>
    </w:p>
    <w:p>
      <w:pPr>
        <w:pStyle w:val="Heading4"/>
        <w:spacing w:line="211" w:lineRule="auto" w:before="38"/>
        <w:jc w:val="both"/>
      </w:pPr>
      <w:r>
        <w:rPr>
          <w:w w:val="95"/>
        </w:rPr>
        <w:t>33、因职业关系导</w:t>
      </w:r>
      <w:r>
        <w:rPr/>
        <w:t>致的人类免疫缺陷</w:t>
      </w:r>
      <w:r>
        <w:rPr>
          <w:w w:val="95"/>
        </w:rPr>
        <w:t>病毒（HIV）感染</w:t>
      </w:r>
    </w:p>
    <w:p>
      <w:pPr>
        <w:pStyle w:val="BodyText"/>
        <w:spacing w:line="273" w:lineRule="auto" w:before="35"/>
        <w:ind w:left="119"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9" w:right="35"/>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before="36"/>
        <w:ind w:left="119" w:right="115"/>
      </w:pPr>
      <w:r>
        <w:rPr>
          <w:spacing w:val="-15"/>
        </w:rPr>
        <w:t>（3）</w:t>
      </w:r>
      <w:r>
        <w:rPr>
          <w:spacing w:val="-3"/>
        </w:rPr>
        <w:t>必须提供被保险人在所报事故发生后的 </w:t>
      </w:r>
      <w:r>
        <w:rPr/>
        <w:t>5</w:t>
      </w:r>
      <w:r>
        <w:rPr>
          <w:spacing w:val="-11"/>
        </w:rPr>
        <w:t> 天以内进行的检查报告，该报告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9"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line="273" w:lineRule="auto" w:before="7"/>
        <w:ind w:left="119" w:right="117"/>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620" w:right="860"/>
          <w:cols w:num="2" w:equalWidth="0">
            <w:col w:w="1832" w:space="198"/>
            <w:col w:w="7400"/>
          </w:cols>
        </w:sectPr>
      </w:pPr>
    </w:p>
    <w:p>
      <w:pPr>
        <w:pStyle w:val="BodyText"/>
        <w:spacing w:before="2"/>
        <w:rPr>
          <w:sz w:val="15"/>
        </w:rPr>
      </w:pPr>
    </w:p>
    <w:p>
      <w:pPr>
        <w:spacing w:after="0"/>
        <w:rPr>
          <w:sz w:val="15"/>
        </w:rPr>
        <w:sectPr>
          <w:type w:val="continuous"/>
          <w:pgSz w:w="11910" w:h="16840"/>
          <w:pgMar w:top="440" w:bottom="280" w:left="1620" w:right="860"/>
        </w:sectPr>
      </w:pPr>
    </w:p>
    <w:p>
      <w:pPr>
        <w:pStyle w:val="Heading4"/>
        <w:spacing w:line="211" w:lineRule="auto" w:before="38"/>
      </w:pPr>
      <w:r>
        <w:rPr>
          <w:w w:val="95"/>
        </w:rPr>
        <w:t>34、经输血导致的</w:t>
      </w:r>
      <w:r>
        <w:rPr/>
        <w:t>人类免疫缺陷病毒</w:t>
      </w:r>
    </w:p>
    <w:p>
      <w:pPr>
        <w:spacing w:line="320"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19"/>
      </w:pPr>
      <w:r>
        <w:rPr/>
        <w:br w:type="column"/>
      </w:r>
      <w:r>
        <w:rPr/>
        <w:t>被保险人感染上人类免疫缺陷病毒（HIV）并且满足下列全部条件：</w:t>
      </w:r>
    </w:p>
    <w:p>
      <w:pPr>
        <w:pStyle w:val="BodyText"/>
        <w:spacing w:before="36"/>
        <w:ind w:left="119"/>
      </w:pPr>
      <w:r>
        <w:rPr/>
        <w:t>（1）在保障起始日或复效日之后，被保险人因输血而感染 HIV；</w:t>
      </w:r>
    </w:p>
    <w:p>
      <w:pPr>
        <w:pStyle w:val="BodyText"/>
        <w:spacing w:line="273" w:lineRule="auto" w:before="36"/>
        <w:ind w:left="119" w:right="116"/>
      </w:pPr>
      <w:r>
        <w:rPr/>
        <w:t>（2）提供输血治疗的输血中心或医院出具该项输血感染属医疗责任事故的报告，或法院终审裁定为医疗责任并且不准上诉；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73" w:lineRule="auto"/>
        <w:ind w:left="119"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440" w:bottom="280" w:left="1620" w:right="860"/>
          <w:cols w:num="2" w:equalWidth="0">
            <w:col w:w="1832" w:space="198"/>
            <w:col w:w="7400"/>
          </w:cols>
        </w:sectPr>
      </w:pPr>
    </w:p>
    <w:p>
      <w:pPr>
        <w:pStyle w:val="BodyText"/>
        <w:spacing w:before="4"/>
        <w:rPr>
          <w:sz w:val="15"/>
        </w:rPr>
      </w:pPr>
    </w:p>
    <w:p>
      <w:pPr>
        <w:pStyle w:val="BodyText"/>
        <w:tabs>
          <w:tab w:pos="2149" w:val="left" w:leader="none"/>
        </w:tabs>
        <w:spacing w:line="228" w:lineRule="auto" w:before="15"/>
        <w:ind w:left="2149" w:right="117" w:hanging="2030"/>
      </w:pPr>
      <w:r>
        <w:rPr>
          <w:rFonts w:ascii="Microsoft JhengHei" w:eastAsia="Microsoft JhengHei" w:hint="eastAsia"/>
          <w:b/>
          <w:position w:val="-2"/>
        </w:rPr>
        <w:t>35、严重克隆病</w:t>
        <w:tab/>
      </w:r>
      <w:r>
        <w:rPr/>
        <w:t>克隆病是一种慢性肉芽肿性肠炎，具有特征性的克隆病病理组织学变化。诊断 必须由病理检查结果证实。被保险人所患的克隆病必须已经造成瘘管形成并伴</w:t>
      </w:r>
    </w:p>
    <w:p>
      <w:pPr>
        <w:spacing w:after="0" w:line="228" w:lineRule="auto"/>
        <w:sectPr>
          <w:type w:val="continuous"/>
          <w:pgSz w:w="11910" w:h="16840"/>
          <w:pgMar w:top="440" w:bottom="280" w:left="1620" w:right="860"/>
        </w:sectPr>
      </w:pPr>
    </w:p>
    <w:p>
      <w:pPr>
        <w:pStyle w:val="BodyText"/>
        <w:spacing w:before="19"/>
        <w:ind w:left="2909"/>
      </w:pPr>
      <w:r>
        <w:rPr/>
        <w:t>有肠梗阻或肠穿孔。</w:t>
      </w:r>
    </w:p>
    <w:p>
      <w:pPr>
        <w:pStyle w:val="BodyText"/>
        <w:spacing w:before="2"/>
        <w:rPr>
          <w:sz w:val="20"/>
        </w:rPr>
      </w:pPr>
    </w:p>
    <w:p>
      <w:pPr>
        <w:tabs>
          <w:tab w:pos="879" w:val="left" w:leader="none"/>
          <w:tab w:pos="2909" w:val="left" w:leader="none"/>
        </w:tabs>
        <w:spacing w:before="0"/>
        <w:ind w:left="111"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10"/>
        <w:rPr>
          <w:sz w:val="12"/>
        </w:rPr>
      </w:pPr>
    </w:p>
    <w:tbl>
      <w:tblPr>
        <w:tblW w:w="0" w:type="auto"/>
        <w:jc w:val="left"/>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18"/>
        <w:gridCol w:w="3119"/>
        <w:gridCol w:w="3171"/>
      </w:tblGrid>
      <w:tr>
        <w:trPr>
          <w:trHeight w:val="420" w:hRule="atLeast"/>
        </w:trPr>
        <w:tc>
          <w:tcPr>
            <w:tcW w:w="3118" w:type="dxa"/>
          </w:tcPr>
          <w:p>
            <w:pPr>
              <w:pStyle w:val="TableParagraph"/>
              <w:spacing w:before="40"/>
              <w:ind w:left="107"/>
              <w:rPr>
                <w:b/>
                <w:sz w:val="21"/>
              </w:rPr>
            </w:pPr>
            <w:r>
              <w:rPr>
                <w:rFonts w:ascii="Times New Roman" w:eastAsia="Times New Roman"/>
                <w:b/>
                <w:sz w:val="21"/>
              </w:rPr>
              <w:t>A </w:t>
            </w:r>
            <w:r>
              <w:rPr>
                <w:b/>
                <w:sz w:val="21"/>
              </w:rPr>
              <w:t>组</w:t>
            </w:r>
          </w:p>
        </w:tc>
        <w:tc>
          <w:tcPr>
            <w:tcW w:w="3119" w:type="dxa"/>
          </w:tcPr>
          <w:p>
            <w:pPr>
              <w:pStyle w:val="TableParagraph"/>
              <w:spacing w:before="40"/>
              <w:ind w:left="107"/>
              <w:rPr>
                <w:b/>
                <w:sz w:val="21"/>
              </w:rPr>
            </w:pPr>
            <w:r>
              <w:rPr>
                <w:rFonts w:ascii="Times New Roman" w:eastAsia="Times New Roman"/>
                <w:b/>
                <w:sz w:val="21"/>
              </w:rPr>
              <w:t>B </w:t>
            </w:r>
            <w:r>
              <w:rPr>
                <w:b/>
                <w:sz w:val="21"/>
              </w:rPr>
              <w:t>组</w:t>
            </w:r>
          </w:p>
        </w:tc>
        <w:tc>
          <w:tcPr>
            <w:tcW w:w="3171" w:type="dxa"/>
          </w:tcPr>
          <w:p>
            <w:pPr>
              <w:pStyle w:val="TableParagraph"/>
              <w:spacing w:before="40"/>
              <w:ind w:left="106"/>
              <w:rPr>
                <w:b/>
                <w:sz w:val="21"/>
              </w:rPr>
            </w:pPr>
            <w:r>
              <w:rPr>
                <w:rFonts w:ascii="Times New Roman" w:eastAsia="Times New Roman"/>
                <w:b/>
                <w:sz w:val="21"/>
              </w:rPr>
              <w:t>C </w:t>
            </w:r>
            <w:r>
              <w:rPr>
                <w:b/>
                <w:sz w:val="21"/>
              </w:rPr>
              <w:t>组</w:t>
            </w:r>
          </w:p>
        </w:tc>
      </w:tr>
      <w:tr>
        <w:trPr>
          <w:trHeight w:val="313" w:hRule="atLeast"/>
        </w:trPr>
        <w:tc>
          <w:tcPr>
            <w:tcW w:w="3118"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19"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3171"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4.</w:t>
            </w:r>
            <w:r>
              <w:rPr>
                <w:sz w:val="21"/>
              </w:rPr>
              <w:t>重大器官移植术或造血干细胞</w:t>
            </w:r>
          </w:p>
          <w:p>
            <w:pPr>
              <w:pStyle w:val="TableParagraph"/>
              <w:spacing w:before="21"/>
              <w:ind w:left="107"/>
              <w:rPr>
                <w:sz w:val="21"/>
              </w:rPr>
            </w:pPr>
            <w:r>
              <w:rPr>
                <w:sz w:val="21"/>
              </w:rPr>
              <w:t>移植术；</w:t>
            </w:r>
          </w:p>
        </w:tc>
        <w:tc>
          <w:tcPr>
            <w:tcW w:w="3119"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3171"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1" w:hRule="atLeast"/>
        </w:trPr>
        <w:tc>
          <w:tcPr>
            <w:tcW w:w="3118" w:type="dxa"/>
          </w:tcPr>
          <w:p>
            <w:pPr>
              <w:pStyle w:val="TableParagraph"/>
              <w:spacing w:line="275" w:lineRule="exact"/>
              <w:ind w:left="107"/>
              <w:rPr>
                <w:sz w:val="21"/>
              </w:rPr>
            </w:pPr>
            <w:r>
              <w:rPr>
                <w:rFonts w:ascii="Times New Roman" w:eastAsia="Times New Roman"/>
                <w:sz w:val="21"/>
              </w:rPr>
              <w:t>6.</w:t>
            </w:r>
            <w:r>
              <w:rPr>
                <w:sz w:val="21"/>
              </w:rPr>
              <w:t>终末期肾病；</w:t>
            </w:r>
          </w:p>
        </w:tc>
        <w:tc>
          <w:tcPr>
            <w:tcW w:w="3119" w:type="dxa"/>
          </w:tcPr>
          <w:p>
            <w:pPr>
              <w:pStyle w:val="TableParagraph"/>
              <w:spacing w:line="275" w:lineRule="exact"/>
              <w:ind w:left="107"/>
              <w:rPr>
                <w:sz w:val="21"/>
              </w:rPr>
            </w:pPr>
            <w:r>
              <w:rPr>
                <w:rFonts w:ascii="Times New Roman" w:eastAsia="Times New Roman"/>
                <w:sz w:val="21"/>
              </w:rPr>
              <w:t>15.</w:t>
            </w:r>
            <w:r>
              <w:rPr>
                <w:sz w:val="21"/>
              </w:rPr>
              <w:t>心脏瓣膜手术；</w:t>
            </w:r>
          </w:p>
        </w:tc>
        <w:tc>
          <w:tcPr>
            <w:tcW w:w="3171" w:type="dxa"/>
          </w:tcPr>
          <w:p>
            <w:pPr>
              <w:pStyle w:val="TableParagraph"/>
              <w:spacing w:line="275" w:lineRule="exact"/>
              <w:ind w:left="107"/>
              <w:rPr>
                <w:sz w:val="21"/>
              </w:rPr>
            </w:pPr>
            <w:r>
              <w:rPr>
                <w:rFonts w:ascii="Times New Roman" w:eastAsia="Times New Roman"/>
                <w:sz w:val="21"/>
              </w:rPr>
              <w:t>9.</w:t>
            </w:r>
            <w:r>
              <w:rPr>
                <w:sz w:val="21"/>
              </w:rPr>
              <w:t>良性脑肿瘤；</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19" w:type="dxa"/>
          </w:tcPr>
          <w:p>
            <w:pPr>
              <w:pStyle w:val="TableParagraph"/>
              <w:spacing w:line="277" w:lineRule="exact"/>
              <w:ind w:left="107"/>
              <w:rPr>
                <w:sz w:val="21"/>
              </w:rPr>
            </w:pPr>
            <w:r>
              <w:rPr>
                <w:rFonts w:ascii="Times New Roman" w:eastAsia="Times New Roman"/>
                <w:sz w:val="21"/>
              </w:rPr>
              <w:t>20.</w:t>
            </w:r>
            <w:r>
              <w:rPr>
                <w:sz w:val="21"/>
              </w:rPr>
              <w:t>严重原发性肺动脉高压；</w:t>
            </w:r>
          </w:p>
        </w:tc>
        <w:tc>
          <w:tcPr>
            <w:tcW w:w="3171" w:type="dxa"/>
          </w:tcPr>
          <w:p>
            <w:pPr>
              <w:pStyle w:val="TableParagraph"/>
              <w:spacing w:line="277" w:lineRule="exact"/>
              <w:ind w:left="107"/>
              <w:rPr>
                <w:sz w:val="21"/>
              </w:rPr>
            </w:pPr>
            <w:r>
              <w:rPr>
                <w:rFonts w:ascii="Times New Roman" w:eastAsia="Times New Roman"/>
                <w:sz w:val="21"/>
              </w:rPr>
              <w:t>11.</w:t>
            </w:r>
            <w:r>
              <w:rPr>
                <w:sz w:val="21"/>
              </w:rPr>
              <w:t>脑炎后遗症或脑膜炎后遗症；</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3119"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3171" w:type="dxa"/>
          </w:tcPr>
          <w:p>
            <w:pPr>
              <w:pStyle w:val="TableParagraph"/>
              <w:spacing w:line="277" w:lineRule="exact"/>
              <w:ind w:left="106"/>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19" w:type="dxa"/>
          </w:tcPr>
          <w:p>
            <w:pPr>
              <w:pStyle w:val="TableParagraph"/>
              <w:spacing w:line="275" w:lineRule="exact"/>
              <w:ind w:left="107"/>
              <w:rPr>
                <w:sz w:val="21"/>
              </w:rPr>
            </w:pPr>
            <w:r>
              <w:rPr>
                <w:rFonts w:ascii="Times New Roman" w:eastAsia="Times New Roman"/>
                <w:sz w:val="21"/>
              </w:rPr>
              <w:t>27.</w:t>
            </w:r>
            <w:r>
              <w:rPr>
                <w:sz w:val="21"/>
              </w:rPr>
              <w:t>坏死性筋膜炎；</w:t>
            </w:r>
          </w:p>
        </w:tc>
        <w:tc>
          <w:tcPr>
            <w:tcW w:w="3171" w:type="dxa"/>
          </w:tcPr>
          <w:p>
            <w:pPr>
              <w:pStyle w:val="TableParagraph"/>
              <w:spacing w:line="275" w:lineRule="exact"/>
              <w:ind w:left="106"/>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19" w:type="dxa"/>
          </w:tcPr>
          <w:p>
            <w:pPr>
              <w:pStyle w:val="TableParagraph"/>
              <w:spacing w:line="277" w:lineRule="exact"/>
              <w:ind w:left="107"/>
              <w:rPr>
                <w:sz w:val="21"/>
              </w:rPr>
            </w:pPr>
            <w:r>
              <w:rPr>
                <w:rFonts w:ascii="Times New Roman" w:eastAsia="Times New Roman"/>
                <w:sz w:val="21"/>
              </w:rPr>
              <w:t>29.</w:t>
            </w:r>
            <w:r>
              <w:rPr>
                <w:sz w:val="21"/>
              </w:rPr>
              <w:t>全身性重症肌无力；</w:t>
            </w:r>
          </w:p>
        </w:tc>
        <w:tc>
          <w:tcPr>
            <w:tcW w:w="3171" w:type="dxa"/>
          </w:tcPr>
          <w:p>
            <w:pPr>
              <w:pStyle w:val="TableParagraph"/>
              <w:spacing w:line="277" w:lineRule="exact"/>
              <w:ind w:left="106"/>
              <w:rPr>
                <w:sz w:val="21"/>
              </w:rPr>
            </w:pPr>
            <w:r>
              <w:rPr>
                <w:rFonts w:ascii="Times New Roman" w:eastAsia="Times New Roman"/>
                <w:sz w:val="21"/>
              </w:rPr>
              <w:t>14.</w:t>
            </w:r>
            <w:r>
              <w:rPr>
                <w:sz w:val="21"/>
              </w:rPr>
              <w:t>瘫痪；</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3119"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3171" w:type="dxa"/>
          </w:tcPr>
          <w:p>
            <w:pPr>
              <w:pStyle w:val="TableParagraph"/>
              <w:spacing w:line="277" w:lineRule="exact"/>
              <w:ind w:left="106"/>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6"/>
              <w:rPr>
                <w:sz w:val="21"/>
              </w:rPr>
            </w:pPr>
            <w:r>
              <w:rPr>
                <w:sz w:val="21"/>
              </w:rPr>
              <w:t>岁前发病；</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28.</w:t>
            </w:r>
            <w:r>
              <w:rPr>
                <w:sz w:val="21"/>
              </w:rPr>
              <w:t>急性坏死性胰腺炎；</w:t>
            </w:r>
          </w:p>
        </w:tc>
        <w:tc>
          <w:tcPr>
            <w:tcW w:w="3119" w:type="dxa"/>
          </w:tcPr>
          <w:p>
            <w:pPr>
              <w:pStyle w:val="TableParagraph"/>
              <w:spacing w:line="275" w:lineRule="exact"/>
              <w:ind w:left="107"/>
              <w:rPr>
                <w:sz w:val="21"/>
              </w:rPr>
            </w:pPr>
            <w:r>
              <w:rPr>
                <w:rFonts w:ascii="Times New Roman" w:eastAsia="Times New Roman"/>
                <w:sz w:val="21"/>
              </w:rPr>
              <w:t>31.</w:t>
            </w:r>
            <w:r>
              <w:rPr>
                <w:sz w:val="21"/>
              </w:rPr>
              <w:t>严重类风湿性关节炎。</w:t>
            </w:r>
          </w:p>
        </w:tc>
        <w:tc>
          <w:tcPr>
            <w:tcW w:w="3171" w:type="dxa"/>
          </w:tcPr>
          <w:p>
            <w:pPr>
              <w:pStyle w:val="TableParagraph"/>
              <w:spacing w:line="275" w:lineRule="exact"/>
              <w:ind w:left="106"/>
              <w:rPr>
                <w:sz w:val="21"/>
              </w:rPr>
            </w:pPr>
            <w:r>
              <w:rPr>
                <w:rFonts w:ascii="Times New Roman" w:eastAsia="Times New Roman"/>
                <w:sz w:val="21"/>
              </w:rPr>
              <w:t>17.</w:t>
            </w:r>
            <w:r>
              <w:rPr>
                <w:sz w:val="21"/>
              </w:rPr>
              <w:t>严重脑损伤；</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18.</w:t>
            </w:r>
            <w:r>
              <w:rPr>
                <w:sz w:val="21"/>
              </w:rPr>
              <w:t>严重帕金森病；</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33.</w:t>
            </w:r>
            <w:r>
              <w:rPr>
                <w:sz w:val="21"/>
              </w:rPr>
              <w:t>因职业关系导致的人类免疫</w:t>
            </w:r>
          </w:p>
          <w:p>
            <w:pPr>
              <w:pStyle w:val="TableParagraph"/>
              <w:spacing w:before="21"/>
              <w:ind w:left="107"/>
              <w:rPr>
                <w:sz w:val="21"/>
              </w:rPr>
            </w:pPr>
            <w:r>
              <w:rPr>
                <w:w w:val="95"/>
                <w:sz w:val="21"/>
              </w:rPr>
              <w:t>缺陷病毒（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21.</w:t>
            </w:r>
            <w:r>
              <w:rPr>
                <w:sz w:val="21"/>
              </w:rPr>
              <w:t>严重运动神经元病；</w:t>
            </w:r>
          </w:p>
        </w:tc>
      </w:tr>
      <w:tr>
        <w:trPr>
          <w:trHeight w:val="623" w:hRule="atLeast"/>
        </w:trPr>
        <w:tc>
          <w:tcPr>
            <w:tcW w:w="3118" w:type="dxa"/>
          </w:tcPr>
          <w:p>
            <w:pPr>
              <w:pStyle w:val="TableParagraph"/>
              <w:spacing w:line="275" w:lineRule="exact"/>
              <w:ind w:left="107"/>
              <w:rPr>
                <w:sz w:val="21"/>
              </w:rPr>
            </w:pPr>
            <w:r>
              <w:rPr>
                <w:rFonts w:ascii="Times New Roman" w:eastAsia="Times New Roman"/>
                <w:sz w:val="21"/>
              </w:rPr>
              <w:t>34.</w:t>
            </w:r>
            <w:r>
              <w:rPr>
                <w:sz w:val="21"/>
              </w:rPr>
              <w:t>经输血导致的人类免疫缺陷</w:t>
            </w:r>
          </w:p>
          <w:p>
            <w:pPr>
              <w:pStyle w:val="TableParagraph"/>
              <w:spacing w:before="21"/>
              <w:ind w:left="107"/>
              <w:rPr>
                <w:sz w:val="21"/>
              </w:rPr>
            </w:pPr>
            <w:r>
              <w:rPr>
                <w:w w:val="95"/>
                <w:sz w:val="21"/>
              </w:rPr>
              <w:t>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5" w:lineRule="exact"/>
              <w:ind w:left="106"/>
              <w:rPr>
                <w:sz w:val="21"/>
              </w:rPr>
            </w:pPr>
            <w:r>
              <w:rPr>
                <w:rFonts w:ascii="Times New Roman" w:eastAsia="Times New Roman"/>
                <w:sz w:val="21"/>
              </w:rPr>
              <w:t>22. </w:t>
            </w:r>
            <w:r>
              <w:rPr>
                <w:sz w:val="21"/>
              </w:rPr>
              <w:t>语言能力丧失</w:t>
            </w:r>
            <w:r>
              <w:rPr>
                <w:rFonts w:ascii="Times New Roman" w:eastAsia="Times New Roman"/>
                <w:sz w:val="21"/>
              </w:rPr>
              <w:t>- </w:t>
            </w:r>
            <w:r>
              <w:rPr>
                <w:sz w:val="21"/>
              </w:rPr>
              <w:t>三周岁始理</w:t>
            </w:r>
          </w:p>
          <w:p>
            <w:pPr>
              <w:pStyle w:val="TableParagraph"/>
              <w:spacing w:before="21"/>
              <w:ind w:left="107"/>
              <w:rPr>
                <w:sz w:val="21"/>
              </w:rPr>
            </w:pPr>
            <w:r>
              <w:rPr>
                <w:sz w:val="21"/>
              </w:rPr>
              <w:t>赔；</w:t>
            </w:r>
          </w:p>
        </w:tc>
      </w:tr>
      <w:tr>
        <w:trPr>
          <w:trHeight w:val="312" w:hRule="atLeast"/>
        </w:trPr>
        <w:tc>
          <w:tcPr>
            <w:tcW w:w="3118"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26.</w:t>
            </w:r>
            <w:r>
              <w:rPr>
                <w:sz w:val="21"/>
              </w:rPr>
              <w:t>严重多发性硬化。</w:t>
            </w: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icrosoft JhengHei">
    <w:altName w:val="Microsoft JhengHei"/>
    <w:charset w:val="0"/>
    <w:family w:val="swiss"/>
    <w:pitch w:val="variable"/>
  </w:font>
  <w:font w:name="MS UI Gothic">
    <w:altName w:val="MS UI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79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3">
    <w:multiLevelType w:val="hybridMultilevel"/>
    <w:lvl w:ilvl="0">
      <w:start w:val="8"/>
      <w:numFmt w:val="decimal"/>
      <w:lvlText w:val="%1"/>
      <w:lvlJc w:val="left"/>
      <w:pPr>
        <w:ind w:left="2949" w:hanging="769"/>
        <w:jc w:val="left"/>
      </w:pPr>
      <w:rPr>
        <w:rFonts w:hint="default"/>
      </w:rPr>
    </w:lvl>
    <w:lvl w:ilvl="1">
      <w:start w:val="3"/>
      <w:numFmt w:val="decimal"/>
      <w:lvlText w:val="%1.%2"/>
      <w:lvlJc w:val="left"/>
      <w:pPr>
        <w:ind w:left="2949" w:hanging="769"/>
        <w:jc w:val="left"/>
      </w:pPr>
      <w:rPr>
        <w:rFonts w:hint="default" w:ascii="宋体" w:hAnsi="宋体" w:eastAsia="宋体" w:cs="宋体"/>
        <w:b/>
        <w:bCs/>
        <w:spacing w:val="0"/>
        <w:w w:val="99"/>
        <w:sz w:val="21"/>
        <w:szCs w:val="21"/>
      </w:rPr>
    </w:lvl>
    <w:lvl w:ilvl="2">
      <w:start w:val="0"/>
      <w:numFmt w:val="bullet"/>
      <w:lvlText w:val="•"/>
      <w:lvlJc w:val="left"/>
      <w:pPr>
        <w:ind w:left="4416" w:hanging="769"/>
      </w:pPr>
      <w:rPr>
        <w:rFonts w:hint="default"/>
      </w:rPr>
    </w:lvl>
    <w:lvl w:ilvl="3">
      <w:start w:val="0"/>
      <w:numFmt w:val="bullet"/>
      <w:lvlText w:val="•"/>
      <w:lvlJc w:val="left"/>
      <w:pPr>
        <w:ind w:left="5155" w:hanging="769"/>
      </w:pPr>
      <w:rPr>
        <w:rFonts w:hint="default"/>
      </w:rPr>
    </w:lvl>
    <w:lvl w:ilvl="4">
      <w:start w:val="0"/>
      <w:numFmt w:val="bullet"/>
      <w:lvlText w:val="•"/>
      <w:lvlJc w:val="left"/>
      <w:pPr>
        <w:ind w:left="5893" w:hanging="769"/>
      </w:pPr>
      <w:rPr>
        <w:rFonts w:hint="default"/>
      </w:rPr>
    </w:lvl>
    <w:lvl w:ilvl="5">
      <w:start w:val="0"/>
      <w:numFmt w:val="bullet"/>
      <w:lvlText w:val="•"/>
      <w:lvlJc w:val="left"/>
      <w:pPr>
        <w:ind w:left="6632" w:hanging="769"/>
      </w:pPr>
      <w:rPr>
        <w:rFonts w:hint="default"/>
      </w:rPr>
    </w:lvl>
    <w:lvl w:ilvl="6">
      <w:start w:val="0"/>
      <w:numFmt w:val="bullet"/>
      <w:lvlText w:val="•"/>
      <w:lvlJc w:val="left"/>
      <w:pPr>
        <w:ind w:left="7370" w:hanging="769"/>
      </w:pPr>
      <w:rPr>
        <w:rFonts w:hint="default"/>
      </w:rPr>
    </w:lvl>
    <w:lvl w:ilvl="7">
      <w:start w:val="0"/>
      <w:numFmt w:val="bullet"/>
      <w:lvlText w:val="•"/>
      <w:lvlJc w:val="left"/>
      <w:pPr>
        <w:ind w:left="8109" w:hanging="769"/>
      </w:pPr>
      <w:rPr>
        <w:rFonts w:hint="default"/>
      </w:rPr>
    </w:lvl>
    <w:lvl w:ilvl="8">
      <w:start w:val="0"/>
      <w:numFmt w:val="bullet"/>
      <w:lvlText w:val="•"/>
      <w:lvlJc w:val="left"/>
      <w:pPr>
        <w:ind w:left="8847" w:hanging="769"/>
      </w:pPr>
      <w:rPr>
        <w:rFonts w:hint="default"/>
      </w:rPr>
    </w:lvl>
  </w:abstractNum>
  <w:abstractNum w:abstractNumId="12">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11">
    <w:multiLevelType w:val="hybridMultilevel"/>
    <w:lvl w:ilvl="0">
      <w:start w:val="6"/>
      <w:numFmt w:val="decimal"/>
      <w:lvlText w:val="%1"/>
      <w:lvlJc w:val="left"/>
      <w:pPr>
        <w:ind w:left="3009" w:hanging="768"/>
        <w:jc w:val="left"/>
      </w:pPr>
      <w:rPr>
        <w:rFonts w:hint="default"/>
      </w:rPr>
    </w:lvl>
    <w:lvl w:ilvl="1">
      <w:start w:val="1"/>
      <w:numFmt w:val="decimal"/>
      <w:lvlText w:val="%1.%2"/>
      <w:lvlJc w:val="left"/>
      <w:pPr>
        <w:ind w:left="3009" w:hanging="768"/>
        <w:jc w:val="left"/>
      </w:pPr>
      <w:rPr>
        <w:rFonts w:hint="default" w:ascii="宋体" w:hAnsi="宋体" w:eastAsia="宋体" w:cs="宋体"/>
        <w:b/>
        <w:bCs/>
        <w:w w:val="99"/>
        <w:sz w:val="21"/>
        <w:szCs w:val="21"/>
      </w:rPr>
    </w:lvl>
    <w:lvl w:ilvl="2">
      <w:start w:val="0"/>
      <w:numFmt w:val="bullet"/>
      <w:lvlText w:val="•"/>
      <w:lvlJc w:val="left"/>
      <w:pPr>
        <w:ind w:left="4476" w:hanging="768"/>
      </w:pPr>
      <w:rPr>
        <w:rFonts w:hint="default"/>
      </w:rPr>
    </w:lvl>
    <w:lvl w:ilvl="3">
      <w:start w:val="0"/>
      <w:numFmt w:val="bullet"/>
      <w:lvlText w:val="•"/>
      <w:lvlJc w:val="left"/>
      <w:pPr>
        <w:ind w:left="5215" w:hanging="768"/>
      </w:pPr>
      <w:rPr>
        <w:rFonts w:hint="default"/>
      </w:rPr>
    </w:lvl>
    <w:lvl w:ilvl="4">
      <w:start w:val="0"/>
      <w:numFmt w:val="bullet"/>
      <w:lvlText w:val="•"/>
      <w:lvlJc w:val="left"/>
      <w:pPr>
        <w:ind w:left="5953" w:hanging="768"/>
      </w:pPr>
      <w:rPr>
        <w:rFonts w:hint="default"/>
      </w:rPr>
    </w:lvl>
    <w:lvl w:ilvl="5">
      <w:start w:val="0"/>
      <w:numFmt w:val="bullet"/>
      <w:lvlText w:val="•"/>
      <w:lvlJc w:val="left"/>
      <w:pPr>
        <w:ind w:left="6692" w:hanging="768"/>
      </w:pPr>
      <w:rPr>
        <w:rFonts w:hint="default"/>
      </w:rPr>
    </w:lvl>
    <w:lvl w:ilvl="6">
      <w:start w:val="0"/>
      <w:numFmt w:val="bullet"/>
      <w:lvlText w:val="•"/>
      <w:lvlJc w:val="left"/>
      <w:pPr>
        <w:ind w:left="7430" w:hanging="768"/>
      </w:pPr>
      <w:rPr>
        <w:rFonts w:hint="default"/>
      </w:rPr>
    </w:lvl>
    <w:lvl w:ilvl="7">
      <w:start w:val="0"/>
      <w:numFmt w:val="bullet"/>
      <w:lvlText w:val="•"/>
      <w:lvlJc w:val="left"/>
      <w:pPr>
        <w:ind w:left="8169" w:hanging="768"/>
      </w:pPr>
      <w:rPr>
        <w:rFonts w:hint="default"/>
      </w:rPr>
    </w:lvl>
    <w:lvl w:ilvl="8">
      <w:start w:val="0"/>
      <w:numFmt w:val="bullet"/>
      <w:lvlText w:val="•"/>
      <w:lvlJc w:val="left"/>
      <w:pPr>
        <w:ind w:left="8907" w:hanging="768"/>
      </w:pPr>
      <w:rPr>
        <w:rFonts w:hint="default"/>
      </w:rPr>
    </w:lvl>
  </w:abstractNum>
  <w:abstractNum w:abstractNumId="10">
    <w:multiLevelType w:val="hybridMultilevel"/>
    <w:lvl w:ilvl="0">
      <w:start w:val="0"/>
      <w:numFmt w:val="bullet"/>
      <w:lvlText w:val="◉"/>
      <w:lvlJc w:val="left"/>
      <w:pPr>
        <w:ind w:left="980" w:hanging="768"/>
      </w:pPr>
      <w:rPr>
        <w:rFonts w:hint="default" w:ascii="Yu Gothic" w:hAnsi="Yu Gothic" w:eastAsia="Yu Gothic" w:cs="Yu Gothic"/>
        <w:b/>
        <w:bCs/>
        <w:w w:val="89"/>
        <w:position w:val="-3"/>
        <w:sz w:val="40"/>
        <w:szCs w:val="40"/>
      </w:rPr>
    </w:lvl>
    <w:lvl w:ilvl="1">
      <w:start w:val="0"/>
      <w:numFmt w:val="bullet"/>
      <w:lvlText w:val="•"/>
      <w:lvlJc w:val="left"/>
      <w:pPr>
        <w:ind w:left="1920" w:hanging="768"/>
      </w:pPr>
      <w:rPr>
        <w:rFonts w:hint="default"/>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9">
    <w:multiLevelType w:val="hybridMultilevel"/>
    <w:lvl w:ilvl="0">
      <w:start w:val="3"/>
      <w:numFmt w:val="decimal"/>
      <w:lvlText w:val="%1"/>
      <w:lvlJc w:val="left"/>
      <w:pPr>
        <w:ind w:left="980" w:hanging="769"/>
        <w:jc w:val="left"/>
      </w:pPr>
      <w:rPr>
        <w:rFonts w:hint="default"/>
      </w:rPr>
    </w:lvl>
    <w:lvl w:ilvl="1">
      <w:start w:val="3"/>
      <w:numFmt w:val="decimal"/>
      <w:lvlText w:val="%1.%2"/>
      <w:lvlJc w:val="left"/>
      <w:pPr>
        <w:ind w:left="980" w:hanging="769"/>
        <w:jc w:val="left"/>
      </w:pPr>
      <w:rPr>
        <w:rFonts w:hint="default" w:ascii="宋体" w:hAnsi="宋体" w:eastAsia="宋体" w:cs="宋体"/>
        <w:b/>
        <w:bCs/>
        <w:w w:val="99"/>
        <w:sz w:val="21"/>
        <w:szCs w:val="21"/>
      </w:rPr>
    </w:lvl>
    <w:lvl w:ilvl="2">
      <w:start w:val="0"/>
      <w:numFmt w:val="bullet"/>
      <w:lvlText w:val="•"/>
      <w:lvlJc w:val="left"/>
      <w:pPr>
        <w:ind w:left="2860" w:hanging="769"/>
      </w:pPr>
      <w:rPr>
        <w:rFonts w:hint="default"/>
      </w:rPr>
    </w:lvl>
    <w:lvl w:ilvl="3">
      <w:start w:val="0"/>
      <w:numFmt w:val="bullet"/>
      <w:lvlText w:val="•"/>
      <w:lvlJc w:val="left"/>
      <w:pPr>
        <w:ind w:left="3801" w:hanging="769"/>
      </w:pPr>
      <w:rPr>
        <w:rFonts w:hint="default"/>
      </w:rPr>
    </w:lvl>
    <w:lvl w:ilvl="4">
      <w:start w:val="0"/>
      <w:numFmt w:val="bullet"/>
      <w:lvlText w:val="•"/>
      <w:lvlJc w:val="left"/>
      <w:pPr>
        <w:ind w:left="4741" w:hanging="769"/>
      </w:pPr>
      <w:rPr>
        <w:rFonts w:hint="default"/>
      </w:rPr>
    </w:lvl>
    <w:lvl w:ilvl="5">
      <w:start w:val="0"/>
      <w:numFmt w:val="bullet"/>
      <w:lvlText w:val="•"/>
      <w:lvlJc w:val="left"/>
      <w:pPr>
        <w:ind w:left="5682" w:hanging="769"/>
      </w:pPr>
      <w:rPr>
        <w:rFonts w:hint="default"/>
      </w:rPr>
    </w:lvl>
    <w:lvl w:ilvl="6">
      <w:start w:val="0"/>
      <w:numFmt w:val="bullet"/>
      <w:lvlText w:val="•"/>
      <w:lvlJc w:val="left"/>
      <w:pPr>
        <w:ind w:left="6622" w:hanging="769"/>
      </w:pPr>
      <w:rPr>
        <w:rFonts w:hint="default"/>
      </w:rPr>
    </w:lvl>
    <w:lvl w:ilvl="7">
      <w:start w:val="0"/>
      <w:numFmt w:val="bullet"/>
      <w:lvlText w:val="•"/>
      <w:lvlJc w:val="left"/>
      <w:pPr>
        <w:ind w:left="7563" w:hanging="769"/>
      </w:pPr>
      <w:rPr>
        <w:rFonts w:hint="default"/>
      </w:rPr>
    </w:lvl>
    <w:lvl w:ilvl="8">
      <w:start w:val="0"/>
      <w:numFmt w:val="bullet"/>
      <w:lvlText w:val="•"/>
      <w:lvlJc w:val="left"/>
      <w:pPr>
        <w:ind w:left="8503" w:hanging="769"/>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979" w:hanging="768"/>
        <w:jc w:val="left"/>
      </w:pPr>
      <w:rPr>
        <w:rFonts w:hint="default"/>
        <w:b/>
        <w:bCs/>
        <w:w w:val="99"/>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98" w:hanging="420"/>
      </w:pPr>
      <w:rPr>
        <w:rFonts w:hint="default"/>
      </w:rPr>
    </w:lvl>
    <w:lvl w:ilvl="3">
      <w:start w:val="0"/>
      <w:numFmt w:val="bullet"/>
      <w:lvlText w:val="•"/>
      <w:lvlJc w:val="left"/>
      <w:pPr>
        <w:ind w:left="3278" w:hanging="420"/>
      </w:pPr>
      <w:rPr>
        <w:rFonts w:hint="default"/>
      </w:rPr>
    </w:lvl>
    <w:lvl w:ilvl="4">
      <w:start w:val="0"/>
      <w:numFmt w:val="bullet"/>
      <w:lvlText w:val="•"/>
      <w:lvlJc w:val="left"/>
      <w:pPr>
        <w:ind w:left="3757" w:hanging="420"/>
      </w:pPr>
      <w:rPr>
        <w:rFonts w:hint="default"/>
      </w:rPr>
    </w:lvl>
    <w:lvl w:ilvl="5">
      <w:start w:val="0"/>
      <w:numFmt w:val="bullet"/>
      <w:lvlText w:val="•"/>
      <w:lvlJc w:val="left"/>
      <w:pPr>
        <w:ind w:left="4237" w:hanging="420"/>
      </w:pPr>
      <w:rPr>
        <w:rFonts w:hint="default"/>
      </w:rPr>
    </w:lvl>
    <w:lvl w:ilvl="6">
      <w:start w:val="0"/>
      <w:numFmt w:val="bullet"/>
      <w:lvlText w:val="•"/>
      <w:lvlJc w:val="left"/>
      <w:pPr>
        <w:ind w:left="4716" w:hanging="420"/>
      </w:pPr>
      <w:rPr>
        <w:rFonts w:hint="default"/>
      </w:rPr>
    </w:lvl>
    <w:lvl w:ilvl="7">
      <w:start w:val="0"/>
      <w:numFmt w:val="bullet"/>
      <w:lvlText w:val="•"/>
      <w:lvlJc w:val="left"/>
      <w:pPr>
        <w:ind w:left="5196" w:hanging="420"/>
      </w:pPr>
      <w:rPr>
        <w:rFonts w:hint="default"/>
      </w:rPr>
    </w:lvl>
    <w:lvl w:ilvl="8">
      <w:start w:val="0"/>
      <w:numFmt w:val="bullet"/>
      <w:lvlText w:val="•"/>
      <w:lvlJc w:val="left"/>
      <w:pPr>
        <w:ind w:left="5675"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43"/>
      <w:outlineLvl w:val="1"/>
    </w:pPr>
    <w:rPr>
      <w:rFonts w:ascii="宋体" w:hAnsi="宋体" w:eastAsia="宋体" w:cs="宋体"/>
      <w:b/>
      <w:bCs/>
      <w:sz w:val="44"/>
      <w:szCs w:val="44"/>
    </w:rPr>
  </w:style>
  <w:style w:styleId="Heading2" w:type="paragraph">
    <w:name w:val="Heading 2"/>
    <w:basedOn w:val="Normal"/>
    <w:uiPriority w:val="1"/>
    <w:qFormat/>
    <w:pPr>
      <w:ind w:left="98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9"/>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&lt;4D6963726F736F667420576F7264202D20323030395F303436B8BDBCD3B3A4C6DAD6D8B4F3BCB2B2A1B1A3CFD5CCF5BFEE&gt;</dc:title>
  <dcterms:created xsi:type="dcterms:W3CDTF">2018-10-20T00:55:59Z</dcterms:created>
  <dcterms:modified xsi:type="dcterms:W3CDTF">2018-10-20T00:55:59Z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