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rPr>
          <w:rFonts w:ascii="Times New Roman"/>
          <w:sz w:val="5"/>
        </w:rPr>
      </w:pPr>
      <w:r>
        <w:rPr/>
        <w:pict>
          <v:shapetype id="_x0000_t202" o:spt="202" coordsize="21600,21600" path="m,l,21600r21600,l21600,xe">
            <v:stroke joinstyle="miter"/>
            <v:path gradientshapeok="t" o:connecttype="rect"/>
          </v:shapetype>
          <v:shape style="position:absolute;margin-left:359.040009pt;margin-top:596.284973pt;width:190.25pt;height:150.6pt;mso-position-horizontal-relative:page;mso-position-vertical-relative:page;z-index:1144" type="#_x0000_t202" filled="false" stroked="false">
            <v:textbox inset="0,0,0,0">
              <w:txbxContent>
                <w:p>
                  <w:pPr>
                    <w:pStyle w:val="BodyText"/>
                    <w:numPr>
                      <w:ilvl w:val="1"/>
                      <w:numId w:val="1"/>
                    </w:numPr>
                    <w:tabs>
                      <w:tab w:pos="632" w:val="left" w:leader="none"/>
                    </w:tabs>
                    <w:spacing w:line="211" w:lineRule="exact" w:before="0" w:after="0"/>
                    <w:ind w:left="631" w:right="0" w:hanging="631"/>
                    <w:jc w:val="left"/>
                    <w:rPr>
                      <w:rFonts w:ascii="仿宋" w:eastAsia="仿宋" w:hint="eastAsia"/>
                    </w:rPr>
                  </w:pPr>
                  <w:r>
                    <w:rPr>
                      <w:rFonts w:ascii="仿宋" w:eastAsia="仿宋" w:hint="eastAsia"/>
                      <w:spacing w:val="-2"/>
                    </w:rPr>
                    <w:t>机动车</w:t>
                  </w:r>
                </w:p>
                <w:p>
                  <w:pPr>
                    <w:pStyle w:val="BodyText"/>
                    <w:numPr>
                      <w:ilvl w:val="1"/>
                      <w:numId w:val="1"/>
                    </w:numPr>
                    <w:tabs>
                      <w:tab w:pos="632" w:val="left" w:leader="none"/>
                    </w:tabs>
                    <w:spacing w:line="240" w:lineRule="auto" w:before="6" w:after="0"/>
                    <w:ind w:left="631" w:right="0" w:hanging="631"/>
                    <w:jc w:val="left"/>
                    <w:rPr>
                      <w:rFonts w:ascii="仿宋" w:eastAsia="仿宋" w:hint="eastAsia"/>
                    </w:rPr>
                  </w:pPr>
                  <w:r>
                    <w:rPr>
                      <w:rFonts w:ascii="仿宋" w:eastAsia="仿宋" w:hint="eastAsia"/>
                      <w:spacing w:val="-3"/>
                    </w:rPr>
                    <w:t>先天性畸形、变形或染色体异常</w:t>
                  </w:r>
                </w:p>
                <w:p>
                  <w:pPr>
                    <w:pStyle w:val="BodyText"/>
                    <w:numPr>
                      <w:ilvl w:val="1"/>
                      <w:numId w:val="1"/>
                    </w:numPr>
                    <w:tabs>
                      <w:tab w:pos="632" w:val="left" w:leader="none"/>
                    </w:tabs>
                    <w:spacing w:line="240" w:lineRule="auto" w:before="3" w:after="0"/>
                    <w:ind w:left="631" w:right="0" w:hanging="631"/>
                    <w:jc w:val="left"/>
                    <w:rPr>
                      <w:rFonts w:ascii="仿宋" w:eastAsia="仿宋" w:hint="eastAsia"/>
                    </w:rPr>
                  </w:pPr>
                  <w:r>
                    <w:rPr>
                      <w:rFonts w:ascii="仿宋" w:eastAsia="仿宋" w:hint="eastAsia"/>
                      <w:spacing w:val="-3"/>
                    </w:rPr>
                    <w:t>遗传性疾病</w:t>
                  </w:r>
                </w:p>
                <w:p>
                  <w:pPr>
                    <w:pStyle w:val="BodyText"/>
                    <w:numPr>
                      <w:ilvl w:val="1"/>
                      <w:numId w:val="1"/>
                    </w:numPr>
                    <w:tabs>
                      <w:tab w:pos="632" w:val="left" w:leader="none"/>
                    </w:tabs>
                    <w:spacing w:line="240" w:lineRule="auto" w:before="5" w:after="0"/>
                    <w:ind w:left="631" w:right="0" w:hanging="631"/>
                    <w:jc w:val="left"/>
                    <w:rPr>
                      <w:rFonts w:ascii="仿宋" w:eastAsia="仿宋" w:hint="eastAsia"/>
                    </w:rPr>
                  </w:pPr>
                  <w:r>
                    <w:rPr>
                      <w:rFonts w:ascii="仿宋" w:eastAsia="仿宋" w:hint="eastAsia"/>
                      <w:spacing w:val="-2"/>
                    </w:rPr>
                    <w:t>现金价值</w:t>
                  </w:r>
                </w:p>
                <w:p>
                  <w:pPr>
                    <w:pStyle w:val="BodyText"/>
                    <w:numPr>
                      <w:ilvl w:val="1"/>
                      <w:numId w:val="1"/>
                    </w:numPr>
                    <w:tabs>
                      <w:tab w:pos="632" w:val="left" w:leader="none"/>
                    </w:tabs>
                    <w:spacing w:line="240" w:lineRule="auto" w:before="5" w:after="0"/>
                    <w:ind w:left="631" w:right="0" w:hanging="631"/>
                    <w:jc w:val="left"/>
                    <w:rPr>
                      <w:rFonts w:ascii="仿宋" w:eastAsia="仿宋" w:hint="eastAsia"/>
                    </w:rPr>
                  </w:pPr>
                  <w:r>
                    <w:rPr>
                      <w:rFonts w:ascii="仿宋" w:eastAsia="仿宋" w:hint="eastAsia"/>
                      <w:spacing w:val="-2"/>
                    </w:rPr>
                    <w:t>净保险费</w:t>
                  </w:r>
                </w:p>
                <w:p>
                  <w:pPr>
                    <w:pStyle w:val="BodyText"/>
                    <w:numPr>
                      <w:ilvl w:val="1"/>
                      <w:numId w:val="1"/>
                    </w:numPr>
                    <w:tabs>
                      <w:tab w:pos="632" w:val="left" w:leader="none"/>
                    </w:tabs>
                    <w:spacing w:line="240" w:lineRule="auto" w:before="3" w:after="0"/>
                    <w:ind w:left="631" w:right="0" w:hanging="631"/>
                    <w:jc w:val="left"/>
                    <w:rPr>
                      <w:rFonts w:ascii="仿宋" w:eastAsia="仿宋" w:hint="eastAsia"/>
                    </w:rPr>
                  </w:pPr>
                  <w:r>
                    <w:rPr>
                      <w:rFonts w:ascii="仿宋" w:eastAsia="仿宋" w:hint="eastAsia"/>
                    </w:rPr>
                    <w:t>利息</w:t>
                  </w:r>
                </w:p>
                <w:p>
                  <w:pPr>
                    <w:pStyle w:val="BodyText"/>
                    <w:numPr>
                      <w:ilvl w:val="1"/>
                      <w:numId w:val="1"/>
                    </w:numPr>
                    <w:tabs>
                      <w:tab w:pos="632" w:val="left" w:leader="none"/>
                    </w:tabs>
                    <w:spacing w:line="240" w:lineRule="auto" w:before="6" w:after="0"/>
                    <w:ind w:left="631" w:right="0" w:hanging="631"/>
                    <w:jc w:val="left"/>
                    <w:rPr>
                      <w:rFonts w:ascii="仿宋" w:eastAsia="仿宋" w:hint="eastAsia"/>
                    </w:rPr>
                  </w:pPr>
                  <w:r>
                    <w:rPr>
                      <w:rFonts w:ascii="仿宋" w:eastAsia="仿宋" w:hint="eastAsia"/>
                      <w:spacing w:val="-2"/>
                    </w:rPr>
                    <w:t>专科医生</w:t>
                  </w:r>
                </w:p>
                <w:p>
                  <w:pPr>
                    <w:pStyle w:val="BodyText"/>
                    <w:numPr>
                      <w:ilvl w:val="1"/>
                      <w:numId w:val="1"/>
                    </w:numPr>
                    <w:tabs>
                      <w:tab w:pos="632" w:val="left" w:leader="none"/>
                    </w:tabs>
                    <w:spacing w:line="240" w:lineRule="auto" w:before="6" w:after="0"/>
                    <w:ind w:left="631" w:right="0" w:hanging="631"/>
                    <w:jc w:val="left"/>
                    <w:rPr>
                      <w:rFonts w:ascii="仿宋" w:eastAsia="仿宋" w:hint="eastAsia"/>
                    </w:rPr>
                  </w:pPr>
                  <w:r>
                    <w:rPr>
                      <w:rFonts w:ascii="仿宋" w:eastAsia="仿宋" w:hint="eastAsia"/>
                      <w:spacing w:val="-3"/>
                    </w:rPr>
                    <w:t>肢体机能完全丧失</w:t>
                  </w:r>
                </w:p>
                <w:p>
                  <w:pPr>
                    <w:pStyle w:val="BodyText"/>
                    <w:numPr>
                      <w:ilvl w:val="1"/>
                      <w:numId w:val="1"/>
                    </w:numPr>
                    <w:tabs>
                      <w:tab w:pos="632" w:val="left" w:leader="none"/>
                    </w:tabs>
                    <w:spacing w:line="240" w:lineRule="auto" w:before="3" w:after="0"/>
                    <w:ind w:left="631" w:right="0" w:hanging="631"/>
                    <w:jc w:val="left"/>
                    <w:rPr>
                      <w:rFonts w:ascii="仿宋" w:eastAsia="仿宋" w:hint="eastAsia"/>
                    </w:rPr>
                  </w:pPr>
                  <w:r>
                    <w:rPr>
                      <w:rFonts w:ascii="仿宋" w:eastAsia="仿宋" w:hint="eastAsia"/>
                      <w:spacing w:val="-3"/>
                    </w:rPr>
                    <w:t>语言能力或咀嚼吞咽能力完全丧失</w:t>
                  </w:r>
                </w:p>
                <w:p>
                  <w:pPr>
                    <w:pStyle w:val="BodyText"/>
                    <w:numPr>
                      <w:ilvl w:val="1"/>
                      <w:numId w:val="1"/>
                    </w:numPr>
                    <w:tabs>
                      <w:tab w:pos="632" w:val="left" w:leader="none"/>
                    </w:tabs>
                    <w:spacing w:line="240" w:lineRule="auto" w:before="5" w:after="0"/>
                    <w:ind w:left="631" w:right="0" w:hanging="631"/>
                    <w:jc w:val="left"/>
                    <w:rPr>
                      <w:rFonts w:ascii="仿宋" w:eastAsia="仿宋" w:hint="eastAsia"/>
                    </w:rPr>
                  </w:pPr>
                  <w:r>
                    <w:rPr>
                      <w:rFonts w:ascii="仿宋" w:eastAsia="仿宋" w:hint="eastAsia"/>
                      <w:spacing w:val="-3"/>
                    </w:rPr>
                    <w:t>六项基本日常生活活动</w:t>
                  </w:r>
                </w:p>
                <w:p>
                  <w:pPr>
                    <w:pStyle w:val="BodyText"/>
                    <w:numPr>
                      <w:ilvl w:val="1"/>
                      <w:numId w:val="1"/>
                    </w:numPr>
                    <w:tabs>
                      <w:tab w:pos="632" w:val="left" w:leader="none"/>
                    </w:tabs>
                    <w:spacing w:line="240" w:lineRule="auto" w:before="5" w:after="0"/>
                    <w:ind w:left="631" w:right="0" w:hanging="631"/>
                    <w:jc w:val="left"/>
                    <w:rPr>
                      <w:rFonts w:ascii="仿宋" w:eastAsia="仿宋" w:hint="eastAsia"/>
                    </w:rPr>
                  </w:pPr>
                  <w:r>
                    <w:rPr>
                      <w:rFonts w:ascii="仿宋" w:eastAsia="仿宋" w:hint="eastAsia"/>
                      <w:spacing w:val="-3"/>
                    </w:rPr>
                    <w:t>永久不可逆</w:t>
                  </w:r>
                </w:p>
              </w:txbxContent>
            </v:textbox>
            <w10:wrap type="none"/>
          </v:shape>
        </w:pict>
      </w:r>
    </w:p>
    <w:p>
      <w:pPr>
        <w:pStyle w:val="BodyText"/>
        <w:spacing w:before="0"/>
        <w:ind w:left="10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9725" cy="386619"/>
                    </a:xfrm>
                    <a:prstGeom prst="rect">
                      <a:avLst/>
                    </a:prstGeom>
                  </pic:spPr>
                </pic:pic>
              </a:graphicData>
            </a:graphic>
          </wp:inline>
        </w:drawing>
      </w:r>
      <w:r>
        <w:rPr>
          <w:rFonts w:ascii="Times New Roman"/>
          <w:sz w:val="20"/>
        </w:rPr>
      </w:r>
    </w:p>
    <w:p>
      <w:pPr>
        <w:pStyle w:val="BodyText"/>
        <w:spacing w:before="3"/>
        <w:ind w:left="0"/>
        <w:rPr>
          <w:rFonts w:ascii="Times New Roman"/>
          <w:sz w:val="19"/>
        </w:rPr>
      </w:pPr>
    </w:p>
    <w:p>
      <w:pPr>
        <w:spacing w:line="254" w:lineRule="exact" w:before="37"/>
        <w:ind w:left="8829" w:right="0" w:firstLine="0"/>
        <w:jc w:val="left"/>
        <w:rPr>
          <w:sz w:val="20"/>
        </w:rPr>
      </w:pPr>
      <w:r>
        <w:rPr/>
        <w:drawing>
          <wp:anchor distT="0" distB="0" distL="0" distR="0" allowOverlap="1" layoutInCell="1" locked="0" behindDoc="0" simplePos="0" relativeHeight="1048">
            <wp:simplePos x="0" y="0"/>
            <wp:positionH relativeFrom="page">
              <wp:posOffset>6295644</wp:posOffset>
            </wp:positionH>
            <wp:positionV relativeFrom="paragraph">
              <wp:posOffset>-571884</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w w:val="99"/>
          <w:sz w:val="20"/>
        </w:rPr>
        <w:t> </w:t>
      </w:r>
    </w:p>
    <w:p>
      <w:pPr>
        <w:spacing w:line="182" w:lineRule="auto" w:before="55"/>
        <w:ind w:left="8155" w:right="285" w:hanging="802"/>
        <w:jc w:val="right"/>
        <w:rPr>
          <w:sz w:val="20"/>
        </w:rPr>
      </w:pPr>
      <w:r>
        <w:rPr>
          <w:sz w:val="20"/>
        </w:rPr>
        <w:t>农银人寿[2012]疾病保险 055 号</w:t>
      </w:r>
      <w:r>
        <w:rPr>
          <w:w w:val="99"/>
          <w:sz w:val="20"/>
        </w:rPr>
        <w:t> </w:t>
      </w:r>
      <w:r>
        <w:rPr>
          <w:w w:val="95"/>
          <w:sz w:val="20"/>
        </w:rPr>
        <w:t>请扫描以查询验证条款 </w:t>
      </w:r>
    </w:p>
    <w:p>
      <w:pPr>
        <w:pStyle w:val="Heading1"/>
        <w:spacing w:line="517" w:lineRule="exact"/>
        <w:ind w:left="1921"/>
      </w:pPr>
      <w:r>
        <w:rPr/>
        <w:t>嘉禾附加福寿安康重大疾病保险条款</w:t>
      </w:r>
    </w:p>
    <w:p>
      <w:pPr>
        <w:spacing w:before="71"/>
        <w:ind w:left="1916" w:right="178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2024" w:right="1786"/>
        <w:jc w:val="center"/>
      </w:pPr>
      <w:r>
        <w:rPr/>
        <w:pict>
          <v:group style="position:absolute;margin-left:56.880001pt;margin-top:24.963667pt;width:509.8pt;height:576.6pt;mso-position-horizontal-relative:page;mso-position-vertical-relative:paragraph;z-index:-58888" coordorigin="1138,499" coordsize="10196,11532">
            <v:line style="position:absolute" from="1445,5921" to="3833,5921" stroked="true" strokeweight=".48pt" strokecolor="#000000">
              <v:stroke dashstyle="solid"/>
            </v:line>
            <v:rect style="position:absolute;left:3832;top:5916;width:10;height:10" filled="true" fillcolor="#000000" stroked="false">
              <v:fill type="solid"/>
            </v:rect>
            <v:line style="position:absolute" from="3842,5921" to="7073,5921" stroked="true" strokeweight=".48pt" strokecolor="#000000">
              <v:stroke dashstyle="solid"/>
            </v:line>
            <v:rect style="position:absolute;left:7072;top:5916;width:10;height:10" filled="true" fillcolor="#000000" stroked="false">
              <v:fill type="solid"/>
            </v:rect>
            <v:shape style="position:absolute;left:1440;top:5916;width:9588;height:6056" coordorigin="1440,5916" coordsize="9588,6056" path="m7082,5921l11028,5921m1440,5916l1440,11971e" filled="false" stroked="true" strokeweight=".48pt" strokecolor="#000000">
              <v:path arrowok="t"/>
              <v:stroke dashstyle="solid"/>
            </v:shape>
            <v:line style="position:absolute" from="1445,11966" to="3833,11966" stroked="true" strokeweight=".48pt" strokecolor="#000000">
              <v:stroke dashstyle="solid"/>
            </v:line>
            <v:rect style="position:absolute;left:3818;top:11961;width:10;height:10" filled="true" fillcolor="#000000" stroked="false">
              <v:fill type="solid"/>
            </v:rect>
            <v:line style="position:absolute" from="3828,11966" to="7073,11966" stroked="true" strokeweight=".48pt" strokecolor="#000000">
              <v:stroke dashstyle="solid"/>
            </v:line>
            <v:rect style="position:absolute;left:7058;top:11961;width:10;height:10" filled="true" fillcolor="#000000" stroked="false">
              <v:fill type="solid"/>
            </v:rect>
            <v:line style="position:absolute" from="7068,11966" to="11028,11966" stroked="true" strokeweight=".48pt" strokecolor="#000000">
              <v:stroke dashstyle="solid"/>
            </v:line>
            <v:line style="position:absolute" from="11033,5916" to="11033,11971" stroked="true" strokeweight=".48pt" strokecolor="#000000">
              <v:stroke dashstyle="solid"/>
            </v:line>
            <v:shape style="position:absolute;left:1137;top:499;width:10196;height:11532" type="#_x0000_t75" stroked="false">
              <v:imagedata r:id="rId7"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387" w:val="left" w:leader="none"/>
        </w:tabs>
        <w:spacing w:line="240" w:lineRule="auto" w:before="84"/>
        <w:ind w:left="378"/>
      </w:pPr>
      <w:r>
        <w:rPr>
          <w:rFonts w:ascii="Times New Roman" w:eastAsia="Times New Roman"/>
          <w:position w:val="-11"/>
          <w:sz w:val="52"/>
        </w:rPr>
        <w:t>C</w:t>
        <w:tab/>
      </w:r>
      <w:r>
        <w:rPr>
          <w:spacing w:val="-1"/>
        </w:rPr>
        <w:t>您拥有的重要权益</w:t>
      </w:r>
    </w:p>
    <w:p>
      <w:pPr>
        <w:pStyle w:val="ListParagraph"/>
        <w:numPr>
          <w:ilvl w:val="0"/>
          <w:numId w:val="2"/>
        </w:numPr>
        <w:tabs>
          <w:tab w:pos="1768" w:val="left" w:leader="none"/>
          <w:tab w:pos="1769" w:val="left" w:leader="none"/>
        </w:tabs>
        <w:spacing w:line="274" w:lineRule="exact" w:before="0" w:after="0"/>
        <w:ind w:left="1768" w:right="0" w:hanging="422"/>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2"/>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2.4</w:t>
      </w:r>
    </w:p>
    <w:p>
      <w:pPr>
        <w:pStyle w:val="ListParagraph"/>
        <w:numPr>
          <w:ilvl w:val="0"/>
          <w:numId w:val="2"/>
        </w:numPr>
        <w:tabs>
          <w:tab w:pos="1768" w:val="left" w:leader="none"/>
          <w:tab w:pos="1769" w:val="left" w:leader="none"/>
          <w:tab w:pos="9753" w:val="right" w:leader="dot"/>
        </w:tabs>
        <w:spacing w:line="274" w:lineRule="exact" w:before="0" w:after="0"/>
        <w:ind w:left="1768"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387" w:val="left" w:leader="none"/>
        </w:tabs>
        <w:spacing w:line="596" w:lineRule="exact"/>
        <w:ind w:left="378"/>
      </w:pPr>
      <w:r>
        <w:rPr>
          <w:rFonts w:ascii="Times New Roman" w:eastAsia="Times New Roman"/>
          <w:position w:val="-11"/>
          <w:sz w:val="52"/>
        </w:rPr>
        <w:t>C</w:t>
        <w:tab/>
      </w:r>
      <w:r>
        <w:rPr>
          <w:spacing w:val="-1"/>
        </w:rPr>
        <w:t>您应当特别注意的事项</w:t>
      </w:r>
    </w:p>
    <w:p>
      <w:pPr>
        <w:pStyle w:val="ListParagraph"/>
        <w:numPr>
          <w:ilvl w:val="0"/>
          <w:numId w:val="3"/>
        </w:numPr>
        <w:tabs>
          <w:tab w:pos="1768" w:val="left" w:leader="none"/>
          <w:tab w:pos="1769" w:val="left" w:leader="none"/>
          <w:tab w:pos="9959" w:val="right" w:leader="dot"/>
        </w:tabs>
        <w:spacing w:line="274" w:lineRule="exact" w:before="0" w:after="0"/>
        <w:ind w:left="1768"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3"/>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3"/>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3"/>
        </w:numPr>
        <w:tabs>
          <w:tab w:pos="1768" w:val="left" w:leader="none"/>
          <w:tab w:pos="1769" w:val="left" w:leader="none"/>
          <w:tab w:pos="9753" w:val="right" w:leader="dot"/>
        </w:tabs>
        <w:spacing w:line="259" w:lineRule="exact" w:before="0" w:after="0"/>
        <w:ind w:left="1768"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3"/>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3"/>
        </w:numPr>
        <w:tabs>
          <w:tab w:pos="1768" w:val="left" w:leader="none"/>
          <w:tab w:pos="1769" w:val="left" w:leader="none"/>
          <w:tab w:pos="9959" w:val="right" w:leader="dot"/>
        </w:tabs>
        <w:spacing w:line="260" w:lineRule="exact" w:before="0" w:after="0"/>
        <w:ind w:left="1768" w:right="0" w:hanging="422"/>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3"/>
        </w:numPr>
        <w:tabs>
          <w:tab w:pos="1768" w:val="left" w:leader="none"/>
          <w:tab w:pos="1769" w:val="left" w:leader="none"/>
        </w:tabs>
        <w:spacing w:line="259" w:lineRule="exact" w:before="0" w:after="0"/>
        <w:ind w:left="1768"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3"/>
        </w:numPr>
        <w:tabs>
          <w:tab w:pos="1768" w:val="left" w:leader="none"/>
          <w:tab w:pos="1769" w:val="left" w:leader="none"/>
          <w:tab w:pos="10067" w:val="right" w:leader="dot"/>
        </w:tabs>
        <w:spacing w:line="274" w:lineRule="exact" w:before="0" w:after="0"/>
        <w:ind w:left="1768"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387" w:val="left" w:leader="none"/>
        </w:tabs>
        <w:spacing w:line="597" w:lineRule="exact"/>
        <w:ind w:left="378"/>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387" w:val="left" w:leader="none"/>
        </w:tabs>
        <w:spacing w:before="26"/>
        <w:ind w:left="378" w:right="0" w:firstLine="0"/>
        <w:jc w:val="left"/>
        <w:rPr>
          <w:sz w:val="21"/>
        </w:rPr>
      </w:pPr>
      <w:r>
        <w:rPr/>
        <w:pict>
          <v:shape style="position:absolute;margin-left:77.279999pt;margin-top:43.378426pt;width:106.6pt;height:290.55pt;mso-position-horizontal-relative:page;mso-position-vertical-relative:paragraph;z-index:1072" type="#_x0000_t202" filled="false" stroked="false">
            <v:textbox inset="0,0,0,0">
              <w:txbxContent>
                <w:p>
                  <w:pPr>
                    <w:spacing w:line="226" w:lineRule="exact" w:before="0"/>
                    <w:ind w:left="0" w:right="0" w:firstLine="0"/>
                    <w:jc w:val="left"/>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p>
                  <w:pPr>
                    <w:pStyle w:val="BodyText"/>
                    <w:numPr>
                      <w:ilvl w:val="1"/>
                      <w:numId w:val="4"/>
                    </w:numPr>
                    <w:tabs>
                      <w:tab w:pos="634" w:val="left" w:leader="none"/>
                    </w:tabs>
                    <w:spacing w:line="266" w:lineRule="exact" w:before="0" w:after="0"/>
                    <w:ind w:left="633" w:right="0" w:hanging="422"/>
                    <w:jc w:val="left"/>
                    <w:rPr>
                      <w:rFonts w:ascii="仿宋" w:eastAsia="仿宋" w:hint="eastAsia"/>
                    </w:rPr>
                  </w:pPr>
                  <w:r>
                    <w:rPr>
                      <w:rFonts w:ascii="仿宋" w:eastAsia="仿宋" w:hint="eastAsia"/>
                      <w:spacing w:val="-3"/>
                    </w:rPr>
                    <w:t>合同构成</w:t>
                  </w:r>
                </w:p>
                <w:p>
                  <w:pPr>
                    <w:pStyle w:val="BodyText"/>
                    <w:numPr>
                      <w:ilvl w:val="1"/>
                      <w:numId w:val="4"/>
                    </w:numPr>
                    <w:tabs>
                      <w:tab w:pos="632" w:val="left" w:leader="none"/>
                    </w:tabs>
                    <w:spacing w:line="240" w:lineRule="auto" w:before="3" w:after="0"/>
                    <w:ind w:left="631" w:right="0" w:hanging="420"/>
                    <w:jc w:val="left"/>
                    <w:rPr>
                      <w:rFonts w:ascii="仿宋" w:eastAsia="仿宋" w:hint="eastAsia"/>
                    </w:rPr>
                  </w:pPr>
                  <w:r>
                    <w:rPr>
                      <w:rFonts w:ascii="仿宋" w:eastAsia="仿宋" w:hint="eastAsia"/>
                      <w:spacing w:val="-3"/>
                    </w:rPr>
                    <w:t>合同成立与生效</w:t>
                  </w:r>
                </w:p>
                <w:p>
                  <w:pPr>
                    <w:pStyle w:val="BodyText"/>
                    <w:numPr>
                      <w:ilvl w:val="1"/>
                      <w:numId w:val="4"/>
                    </w:numPr>
                    <w:tabs>
                      <w:tab w:pos="634" w:val="left" w:leader="none"/>
                    </w:tabs>
                    <w:spacing w:line="240" w:lineRule="auto" w:before="5" w:after="0"/>
                    <w:ind w:left="633" w:right="0" w:hanging="422"/>
                    <w:jc w:val="left"/>
                    <w:rPr>
                      <w:rFonts w:ascii="仿宋" w:eastAsia="仿宋" w:hint="eastAsia"/>
                    </w:rPr>
                  </w:pPr>
                  <w:r>
                    <w:rPr>
                      <w:rFonts w:ascii="仿宋" w:eastAsia="仿宋" w:hint="eastAsia"/>
                      <w:spacing w:val="-3"/>
                    </w:rPr>
                    <w:t>投保年龄</w:t>
                  </w:r>
                </w:p>
                <w:p>
                  <w:pPr>
                    <w:pStyle w:val="BodyText"/>
                    <w:numPr>
                      <w:ilvl w:val="1"/>
                      <w:numId w:val="4"/>
                    </w:numPr>
                    <w:tabs>
                      <w:tab w:pos="632" w:val="left" w:leader="none"/>
                    </w:tabs>
                    <w:spacing w:line="243" w:lineRule="exact" w:before="5" w:after="0"/>
                    <w:ind w:left="631" w:right="0" w:hanging="420"/>
                    <w:jc w:val="left"/>
                    <w:rPr>
                      <w:rFonts w:ascii="仿宋" w:eastAsia="仿宋" w:hint="eastAsia"/>
                    </w:rPr>
                  </w:pPr>
                  <w:r>
                    <w:rPr>
                      <w:rFonts w:ascii="仿宋" w:eastAsia="仿宋" w:hint="eastAsia"/>
                      <w:spacing w:val="-3"/>
                    </w:rPr>
                    <w:t>犹豫期</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p>
                  <w:pPr>
                    <w:pStyle w:val="BodyText"/>
                    <w:numPr>
                      <w:ilvl w:val="1"/>
                      <w:numId w:val="5"/>
                    </w:numPr>
                    <w:tabs>
                      <w:tab w:pos="634" w:val="left" w:leader="none"/>
                    </w:tabs>
                    <w:spacing w:line="266" w:lineRule="exact" w:before="0" w:after="0"/>
                    <w:ind w:left="631" w:right="0" w:hanging="420"/>
                    <w:jc w:val="left"/>
                    <w:rPr>
                      <w:rFonts w:ascii="仿宋" w:eastAsia="仿宋" w:hint="eastAsia"/>
                    </w:rPr>
                  </w:pPr>
                  <w:r>
                    <w:rPr>
                      <w:rFonts w:ascii="仿宋" w:eastAsia="仿宋" w:hint="eastAsia"/>
                      <w:spacing w:val="-3"/>
                    </w:rPr>
                    <w:t>保险金额</w:t>
                  </w:r>
                </w:p>
                <w:p>
                  <w:pPr>
                    <w:pStyle w:val="BodyText"/>
                    <w:numPr>
                      <w:ilvl w:val="1"/>
                      <w:numId w:val="5"/>
                    </w:numPr>
                    <w:tabs>
                      <w:tab w:pos="634" w:val="left" w:leader="none"/>
                    </w:tabs>
                    <w:spacing w:line="242" w:lineRule="auto" w:before="5" w:after="0"/>
                    <w:ind w:left="631" w:right="25" w:hanging="420"/>
                    <w:jc w:val="left"/>
                    <w:rPr>
                      <w:rFonts w:ascii="仿宋" w:eastAsia="仿宋" w:hint="eastAsia"/>
                    </w:rPr>
                  </w:pPr>
                  <w:r>
                    <w:rPr>
                      <w:rFonts w:ascii="仿宋" w:eastAsia="仿宋" w:hint="eastAsia"/>
                      <w:spacing w:val="-3"/>
                    </w:rPr>
                    <w:t>未成年人身故保险金额限制</w:t>
                  </w:r>
                </w:p>
                <w:p>
                  <w:pPr>
                    <w:pStyle w:val="BodyText"/>
                    <w:numPr>
                      <w:ilvl w:val="1"/>
                      <w:numId w:val="5"/>
                    </w:numPr>
                    <w:tabs>
                      <w:tab w:pos="634" w:val="left" w:leader="none"/>
                    </w:tabs>
                    <w:spacing w:line="240" w:lineRule="auto" w:before="3" w:after="0"/>
                    <w:ind w:left="631" w:right="0" w:hanging="420"/>
                    <w:jc w:val="left"/>
                    <w:rPr>
                      <w:rFonts w:ascii="仿宋" w:eastAsia="仿宋" w:hint="eastAsia"/>
                    </w:rPr>
                  </w:pPr>
                  <w:r>
                    <w:rPr>
                      <w:rFonts w:ascii="仿宋" w:eastAsia="仿宋" w:hint="eastAsia"/>
                      <w:spacing w:val="-3"/>
                    </w:rPr>
                    <w:t>保险期间</w:t>
                  </w:r>
                </w:p>
                <w:p>
                  <w:pPr>
                    <w:pStyle w:val="BodyText"/>
                    <w:numPr>
                      <w:ilvl w:val="1"/>
                      <w:numId w:val="5"/>
                    </w:numPr>
                    <w:tabs>
                      <w:tab w:pos="634" w:val="left" w:leader="none"/>
                    </w:tabs>
                    <w:spacing w:line="240" w:lineRule="auto" w:before="5" w:after="0"/>
                    <w:ind w:left="631" w:right="0" w:hanging="420"/>
                    <w:jc w:val="left"/>
                    <w:rPr>
                      <w:rFonts w:ascii="仿宋" w:eastAsia="仿宋" w:hint="eastAsia"/>
                    </w:rPr>
                  </w:pPr>
                  <w:r>
                    <w:rPr>
                      <w:rFonts w:ascii="仿宋" w:eastAsia="仿宋" w:hint="eastAsia"/>
                      <w:spacing w:val="-3"/>
                    </w:rPr>
                    <w:t>保险责任</w:t>
                  </w:r>
                </w:p>
                <w:p>
                  <w:pPr>
                    <w:pStyle w:val="BodyText"/>
                    <w:numPr>
                      <w:ilvl w:val="1"/>
                      <w:numId w:val="5"/>
                    </w:numPr>
                    <w:tabs>
                      <w:tab w:pos="634" w:val="left" w:leader="none"/>
                    </w:tabs>
                    <w:spacing w:line="244" w:lineRule="exact" w:before="3" w:after="0"/>
                    <w:ind w:left="631" w:right="0" w:hanging="420"/>
                    <w:jc w:val="left"/>
                    <w:rPr>
                      <w:rFonts w:ascii="仿宋" w:eastAsia="仿宋" w:hint="eastAsia"/>
                    </w:rPr>
                  </w:pPr>
                  <w:r>
                    <w:rPr>
                      <w:rFonts w:ascii="仿宋" w:eastAsia="仿宋" w:hint="eastAsia"/>
                      <w:spacing w:val="-3"/>
                    </w:rPr>
                    <w:t>责任免除</w:t>
                  </w:r>
                </w:p>
                <w:p>
                  <w:pPr>
                    <w:spacing w:line="326" w:lineRule="exact" w:before="0"/>
                    <w:ind w:left="0" w:right="0" w:firstLine="0"/>
                    <w:jc w:val="left"/>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p>
                  <w:pPr>
                    <w:pStyle w:val="BodyText"/>
                    <w:numPr>
                      <w:ilvl w:val="1"/>
                      <w:numId w:val="6"/>
                    </w:numPr>
                    <w:tabs>
                      <w:tab w:pos="634" w:val="left" w:leader="none"/>
                    </w:tabs>
                    <w:spacing w:line="266" w:lineRule="exact" w:before="0" w:after="0"/>
                    <w:ind w:left="633" w:right="0" w:hanging="422"/>
                    <w:jc w:val="left"/>
                    <w:rPr>
                      <w:rFonts w:ascii="仿宋" w:eastAsia="仿宋" w:hint="eastAsia"/>
                    </w:rPr>
                  </w:pPr>
                  <w:r>
                    <w:rPr>
                      <w:rFonts w:ascii="仿宋" w:eastAsia="仿宋" w:hint="eastAsia"/>
                      <w:spacing w:val="-2"/>
                    </w:rPr>
                    <w:t>受益人</w:t>
                  </w:r>
                </w:p>
                <w:p>
                  <w:pPr>
                    <w:pStyle w:val="BodyText"/>
                    <w:numPr>
                      <w:ilvl w:val="1"/>
                      <w:numId w:val="6"/>
                    </w:numPr>
                    <w:tabs>
                      <w:tab w:pos="632" w:val="left" w:leader="none"/>
                    </w:tabs>
                    <w:spacing w:line="240" w:lineRule="auto" w:before="3" w:after="0"/>
                    <w:ind w:left="631" w:right="0" w:hanging="420"/>
                    <w:jc w:val="left"/>
                    <w:rPr>
                      <w:rFonts w:ascii="仿宋" w:eastAsia="仿宋" w:hint="eastAsia"/>
                    </w:rPr>
                  </w:pPr>
                  <w:r>
                    <w:rPr>
                      <w:rFonts w:ascii="仿宋" w:eastAsia="仿宋" w:hint="eastAsia"/>
                      <w:spacing w:val="-3"/>
                    </w:rPr>
                    <w:t>保险事故通知</w:t>
                  </w:r>
                </w:p>
                <w:p>
                  <w:pPr>
                    <w:pStyle w:val="BodyText"/>
                    <w:numPr>
                      <w:ilvl w:val="1"/>
                      <w:numId w:val="6"/>
                    </w:numPr>
                    <w:tabs>
                      <w:tab w:pos="632" w:val="left" w:leader="none"/>
                    </w:tabs>
                    <w:spacing w:line="240" w:lineRule="auto" w:before="5" w:after="0"/>
                    <w:ind w:left="631" w:right="0" w:hanging="420"/>
                    <w:jc w:val="left"/>
                    <w:rPr>
                      <w:rFonts w:ascii="仿宋" w:eastAsia="仿宋" w:hint="eastAsia"/>
                    </w:rPr>
                  </w:pPr>
                  <w:r>
                    <w:rPr>
                      <w:rFonts w:ascii="仿宋" w:eastAsia="仿宋" w:hint="eastAsia"/>
                      <w:spacing w:val="-3"/>
                    </w:rPr>
                    <w:t>保险金申请</w:t>
                  </w:r>
                </w:p>
                <w:p>
                  <w:pPr>
                    <w:pStyle w:val="BodyText"/>
                    <w:numPr>
                      <w:ilvl w:val="1"/>
                      <w:numId w:val="6"/>
                    </w:numPr>
                    <w:tabs>
                      <w:tab w:pos="632" w:val="left" w:leader="none"/>
                    </w:tabs>
                    <w:spacing w:line="240" w:lineRule="auto" w:before="5" w:after="0"/>
                    <w:ind w:left="631" w:right="0" w:hanging="420"/>
                    <w:jc w:val="left"/>
                    <w:rPr>
                      <w:rFonts w:ascii="仿宋" w:eastAsia="仿宋" w:hint="eastAsia"/>
                    </w:rPr>
                  </w:pPr>
                  <w:r>
                    <w:rPr>
                      <w:rFonts w:ascii="仿宋" w:eastAsia="仿宋" w:hint="eastAsia"/>
                      <w:spacing w:val="-3"/>
                    </w:rPr>
                    <w:t>保险金给付</w:t>
                  </w:r>
                </w:p>
                <w:p>
                  <w:pPr>
                    <w:pStyle w:val="BodyText"/>
                    <w:numPr>
                      <w:ilvl w:val="1"/>
                      <w:numId w:val="6"/>
                    </w:numPr>
                    <w:tabs>
                      <w:tab w:pos="634" w:val="left" w:leader="none"/>
                    </w:tabs>
                    <w:spacing w:line="240" w:lineRule="auto" w:before="3" w:after="0"/>
                    <w:ind w:left="633" w:right="0" w:hanging="422"/>
                    <w:jc w:val="left"/>
                    <w:rPr>
                      <w:rFonts w:ascii="仿宋" w:eastAsia="仿宋" w:hint="eastAsia"/>
                    </w:rPr>
                  </w:pPr>
                  <w:r>
                    <w:rPr>
                      <w:rFonts w:ascii="仿宋" w:eastAsia="仿宋" w:hint="eastAsia"/>
                      <w:spacing w:val="-3"/>
                    </w:rPr>
                    <w:t>宣告死亡处理</w:t>
                  </w:r>
                </w:p>
                <w:p>
                  <w:pPr>
                    <w:pStyle w:val="BodyText"/>
                    <w:numPr>
                      <w:ilvl w:val="1"/>
                      <w:numId w:val="6"/>
                    </w:numPr>
                    <w:tabs>
                      <w:tab w:pos="634" w:val="left" w:leader="none"/>
                    </w:tabs>
                    <w:spacing w:line="244" w:lineRule="exact" w:before="6" w:after="0"/>
                    <w:ind w:left="633" w:right="0" w:hanging="422"/>
                    <w:jc w:val="left"/>
                    <w:rPr>
                      <w:rFonts w:ascii="仿宋" w:eastAsia="仿宋" w:hint="eastAsia"/>
                    </w:rPr>
                  </w:pPr>
                  <w:r>
                    <w:rPr>
                      <w:rFonts w:ascii="仿宋" w:eastAsia="仿宋" w:hint="eastAsia"/>
                      <w:spacing w:val="-3"/>
                    </w:rPr>
                    <w:t>诉讼时效</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p>
                  <w:pPr>
                    <w:pStyle w:val="BodyText"/>
                    <w:spacing w:line="265" w:lineRule="exact" w:before="0"/>
                    <w:ind w:left="211"/>
                    <w:rPr>
                      <w:rFonts w:ascii="仿宋" w:eastAsia="仿宋" w:hint="eastAsia"/>
                    </w:rPr>
                  </w:pPr>
                  <w:r>
                    <w:rPr>
                      <w:rFonts w:ascii="仿宋" w:eastAsia="仿宋" w:hint="eastAsia"/>
                    </w:rPr>
                    <w:t>4.1 保险费的支付</w:t>
                  </w:r>
                </w:p>
              </w:txbxContent>
            </v:textbox>
            <w10:wrap type="none"/>
          </v:shape>
        </w:pict>
      </w:r>
      <w:r>
        <w:rPr/>
        <w:pict>
          <v:shape style="position:absolute;margin-left:197.039993pt;margin-top:43.378426pt;width:148.25pt;height:292.25pt;mso-position-horizontal-relative:page;mso-position-vertical-relative:paragraph;z-index:1096" type="#_x0000_t202" filled="false" stroked="false">
            <v:textbox inset="0,0,0,0">
              <w:txbxContent>
                <w:p>
                  <w:pPr>
                    <w:pStyle w:val="BodyText"/>
                    <w:spacing w:line="181" w:lineRule="exact" w:before="0"/>
                    <w:ind w:left="211"/>
                    <w:rPr>
                      <w:rFonts w:ascii="仿宋" w:eastAsia="仿宋" w:hint="eastAsia"/>
                    </w:rPr>
                  </w:pPr>
                  <w:r>
                    <w:rPr>
                      <w:rFonts w:ascii="仿宋" w:eastAsia="仿宋" w:hint="eastAsia"/>
                    </w:rPr>
                    <w:t>4.2 宽限期</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BodyText"/>
                    <w:numPr>
                      <w:ilvl w:val="1"/>
                      <w:numId w:val="7"/>
                    </w:numPr>
                    <w:tabs>
                      <w:tab w:pos="634" w:val="left" w:leader="none"/>
                    </w:tabs>
                    <w:spacing w:line="265" w:lineRule="exact" w:before="0" w:after="0"/>
                    <w:ind w:left="633" w:right="0" w:hanging="422"/>
                    <w:jc w:val="left"/>
                    <w:rPr>
                      <w:rFonts w:ascii="仿宋" w:eastAsia="仿宋" w:hint="eastAsia"/>
                    </w:rPr>
                  </w:pPr>
                  <w:r>
                    <w:rPr>
                      <w:rFonts w:ascii="仿宋" w:eastAsia="仿宋" w:hint="eastAsia"/>
                      <w:spacing w:val="-3"/>
                    </w:rPr>
                    <w:t>现金价值</w:t>
                  </w:r>
                </w:p>
                <w:p>
                  <w:pPr>
                    <w:pStyle w:val="BodyText"/>
                    <w:numPr>
                      <w:ilvl w:val="1"/>
                      <w:numId w:val="7"/>
                    </w:numPr>
                    <w:tabs>
                      <w:tab w:pos="634" w:val="left" w:leader="none"/>
                    </w:tabs>
                    <w:spacing w:line="240" w:lineRule="auto" w:before="6" w:after="0"/>
                    <w:ind w:left="633" w:right="0" w:hanging="422"/>
                    <w:jc w:val="left"/>
                    <w:rPr>
                      <w:rFonts w:ascii="仿宋" w:eastAsia="仿宋" w:hint="eastAsia"/>
                    </w:rPr>
                  </w:pPr>
                  <w:r>
                    <w:rPr>
                      <w:rFonts w:ascii="仿宋" w:eastAsia="仿宋" w:hint="eastAsia"/>
                      <w:spacing w:val="-3"/>
                    </w:rPr>
                    <w:t>保险费自动垫交</w:t>
                  </w:r>
                </w:p>
                <w:p>
                  <w:pPr>
                    <w:pStyle w:val="BodyText"/>
                    <w:numPr>
                      <w:ilvl w:val="1"/>
                      <w:numId w:val="7"/>
                    </w:numPr>
                    <w:tabs>
                      <w:tab w:pos="634" w:val="left" w:leader="none"/>
                    </w:tabs>
                    <w:spacing w:line="243" w:lineRule="exact" w:before="6" w:after="0"/>
                    <w:ind w:left="633" w:right="0" w:hanging="422"/>
                    <w:jc w:val="left"/>
                    <w:rPr>
                      <w:rFonts w:ascii="仿宋" w:eastAsia="仿宋" w:hint="eastAsia"/>
                    </w:rPr>
                  </w:pPr>
                  <w:r>
                    <w:rPr>
                      <w:rFonts w:ascii="仿宋" w:eastAsia="仿宋" w:hint="eastAsia"/>
                      <w:spacing w:val="-3"/>
                    </w:rPr>
                    <w:t>减额交清</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p>
                  <w:pPr>
                    <w:pStyle w:val="BodyText"/>
                    <w:numPr>
                      <w:ilvl w:val="1"/>
                      <w:numId w:val="8"/>
                    </w:numPr>
                    <w:tabs>
                      <w:tab w:pos="632" w:val="left" w:leader="none"/>
                    </w:tabs>
                    <w:spacing w:line="266" w:lineRule="exact" w:before="0" w:after="0"/>
                    <w:ind w:left="631" w:right="0" w:hanging="420"/>
                    <w:jc w:val="left"/>
                    <w:rPr>
                      <w:rFonts w:ascii="仿宋" w:eastAsia="仿宋" w:hint="eastAsia"/>
                    </w:rPr>
                  </w:pPr>
                  <w:r>
                    <w:rPr>
                      <w:rFonts w:ascii="仿宋" w:eastAsia="仿宋" w:hint="eastAsia"/>
                      <w:spacing w:val="-2"/>
                    </w:rPr>
                    <w:t>效力中止</w:t>
                  </w:r>
                </w:p>
                <w:p>
                  <w:pPr>
                    <w:pStyle w:val="BodyText"/>
                    <w:numPr>
                      <w:ilvl w:val="1"/>
                      <w:numId w:val="8"/>
                    </w:numPr>
                    <w:tabs>
                      <w:tab w:pos="632" w:val="left" w:leader="none"/>
                    </w:tabs>
                    <w:spacing w:line="243" w:lineRule="exact" w:before="6" w:after="0"/>
                    <w:ind w:left="631" w:right="0" w:hanging="420"/>
                    <w:jc w:val="left"/>
                    <w:rPr>
                      <w:rFonts w:ascii="仿宋" w:eastAsia="仿宋" w:hint="eastAsia"/>
                    </w:rPr>
                  </w:pPr>
                  <w:r>
                    <w:rPr>
                      <w:rFonts w:ascii="仿宋" w:eastAsia="仿宋" w:hint="eastAsia"/>
                      <w:spacing w:val="-2"/>
                    </w:rPr>
                    <w:t>效力恢复</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p>
                  <w:pPr>
                    <w:pStyle w:val="BodyText"/>
                    <w:spacing w:line="235" w:lineRule="exact" w:before="0"/>
                    <w:ind w:left="211"/>
                    <w:rPr>
                      <w:rFonts w:ascii="仿宋" w:eastAsia="仿宋" w:hint="eastAsia"/>
                    </w:rPr>
                  </w:pPr>
                  <w:r>
                    <w:rPr>
                      <w:rFonts w:ascii="仿宋" w:eastAsia="仿宋" w:hint="eastAsia"/>
                    </w:rPr>
                    <w:t>投保人解除合同的手续及风险</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p>
                  <w:pPr>
                    <w:pStyle w:val="BodyText"/>
                    <w:numPr>
                      <w:ilvl w:val="1"/>
                      <w:numId w:val="9"/>
                    </w:numPr>
                    <w:tabs>
                      <w:tab w:pos="634" w:val="left" w:leader="none"/>
                    </w:tabs>
                    <w:spacing w:line="265" w:lineRule="exact" w:before="0" w:after="0"/>
                    <w:ind w:left="633" w:right="0" w:hanging="422"/>
                    <w:jc w:val="left"/>
                    <w:rPr>
                      <w:rFonts w:ascii="仿宋" w:eastAsia="仿宋" w:hint="eastAsia"/>
                    </w:rPr>
                  </w:pPr>
                  <w:r>
                    <w:rPr>
                      <w:rFonts w:ascii="仿宋" w:eastAsia="仿宋" w:hint="eastAsia"/>
                      <w:spacing w:val="-3"/>
                    </w:rPr>
                    <w:t>明确说明和如实告知</w:t>
                  </w:r>
                </w:p>
                <w:p>
                  <w:pPr>
                    <w:pStyle w:val="BodyText"/>
                    <w:numPr>
                      <w:ilvl w:val="1"/>
                      <w:numId w:val="9"/>
                    </w:numPr>
                    <w:tabs>
                      <w:tab w:pos="632" w:val="left" w:leader="none"/>
                    </w:tabs>
                    <w:spacing w:line="244" w:lineRule="exact" w:before="6" w:after="0"/>
                    <w:ind w:left="631" w:right="0" w:hanging="420"/>
                    <w:jc w:val="left"/>
                    <w:rPr>
                      <w:rFonts w:ascii="仿宋" w:eastAsia="仿宋" w:hint="eastAsia"/>
                    </w:rPr>
                  </w:pPr>
                  <w:r>
                    <w:rPr>
                      <w:rFonts w:ascii="仿宋" w:eastAsia="仿宋" w:hint="eastAsia"/>
                      <w:spacing w:val="-3"/>
                    </w:rPr>
                    <w:t>本公司合同解除权的限制</w:t>
                  </w:r>
                </w:p>
                <w:p>
                  <w:pPr>
                    <w:spacing w:line="325" w:lineRule="exact" w:before="0"/>
                    <w:ind w:left="0" w:right="0" w:firstLine="0"/>
                    <w:jc w:val="left"/>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p>
                  <w:pPr>
                    <w:pStyle w:val="BodyText"/>
                    <w:numPr>
                      <w:ilvl w:val="1"/>
                      <w:numId w:val="10"/>
                    </w:numPr>
                    <w:tabs>
                      <w:tab w:pos="634" w:val="left" w:leader="none"/>
                    </w:tabs>
                    <w:spacing w:line="265" w:lineRule="exact" w:before="0" w:after="0"/>
                    <w:ind w:left="633" w:right="0" w:hanging="422"/>
                    <w:jc w:val="left"/>
                    <w:rPr>
                      <w:rFonts w:ascii="仿宋" w:eastAsia="仿宋" w:hint="eastAsia"/>
                    </w:rPr>
                  </w:pPr>
                  <w:r>
                    <w:rPr>
                      <w:rFonts w:ascii="仿宋" w:eastAsia="仿宋" w:hint="eastAsia"/>
                      <w:spacing w:val="-3"/>
                    </w:rPr>
                    <w:t>年龄错误</w:t>
                  </w:r>
                </w:p>
                <w:p>
                  <w:pPr>
                    <w:pStyle w:val="BodyText"/>
                    <w:numPr>
                      <w:ilvl w:val="1"/>
                      <w:numId w:val="10"/>
                    </w:numPr>
                    <w:tabs>
                      <w:tab w:pos="634" w:val="left" w:leader="none"/>
                    </w:tabs>
                    <w:spacing w:line="240" w:lineRule="auto" w:before="6" w:after="0"/>
                    <w:ind w:left="633" w:right="0" w:hanging="422"/>
                    <w:jc w:val="left"/>
                    <w:rPr>
                      <w:rFonts w:ascii="仿宋" w:eastAsia="仿宋" w:hint="eastAsia"/>
                    </w:rPr>
                  </w:pPr>
                  <w:r>
                    <w:rPr>
                      <w:rFonts w:ascii="仿宋" w:eastAsia="仿宋" w:hint="eastAsia"/>
                      <w:spacing w:val="-3"/>
                    </w:rPr>
                    <w:t>未还款项</w:t>
                  </w:r>
                </w:p>
                <w:p>
                  <w:pPr>
                    <w:pStyle w:val="BodyText"/>
                    <w:numPr>
                      <w:ilvl w:val="1"/>
                      <w:numId w:val="10"/>
                    </w:numPr>
                    <w:tabs>
                      <w:tab w:pos="634" w:val="left" w:leader="none"/>
                    </w:tabs>
                    <w:spacing w:line="240" w:lineRule="auto" w:before="6" w:after="0"/>
                    <w:ind w:left="633" w:right="0" w:hanging="422"/>
                    <w:jc w:val="left"/>
                    <w:rPr>
                      <w:rFonts w:ascii="仿宋" w:eastAsia="仿宋" w:hint="eastAsia"/>
                    </w:rPr>
                  </w:pPr>
                  <w:r>
                    <w:rPr>
                      <w:rFonts w:ascii="仿宋" w:eastAsia="仿宋" w:hint="eastAsia"/>
                      <w:spacing w:val="-3"/>
                    </w:rPr>
                    <w:t>合同内容变更</w:t>
                  </w:r>
                </w:p>
                <w:p>
                  <w:pPr>
                    <w:pStyle w:val="BodyText"/>
                    <w:numPr>
                      <w:ilvl w:val="1"/>
                      <w:numId w:val="10"/>
                    </w:numPr>
                    <w:tabs>
                      <w:tab w:pos="634" w:val="left" w:leader="none"/>
                    </w:tabs>
                    <w:spacing w:line="240" w:lineRule="auto" w:before="3" w:after="0"/>
                    <w:ind w:left="633" w:right="0" w:hanging="422"/>
                    <w:jc w:val="left"/>
                    <w:rPr>
                      <w:rFonts w:ascii="仿宋" w:eastAsia="仿宋" w:hint="eastAsia"/>
                    </w:rPr>
                  </w:pPr>
                  <w:r>
                    <w:rPr>
                      <w:rFonts w:ascii="仿宋" w:eastAsia="仿宋" w:hint="eastAsia"/>
                      <w:spacing w:val="-3"/>
                    </w:rPr>
                    <w:t>联系方式变更</w:t>
                  </w:r>
                </w:p>
                <w:p>
                  <w:pPr>
                    <w:pStyle w:val="BodyText"/>
                    <w:numPr>
                      <w:ilvl w:val="1"/>
                      <w:numId w:val="10"/>
                    </w:numPr>
                    <w:tabs>
                      <w:tab w:pos="634" w:val="left" w:leader="none"/>
                    </w:tabs>
                    <w:spacing w:line="240" w:lineRule="auto" w:before="5" w:after="0"/>
                    <w:ind w:left="633" w:right="0" w:hanging="422"/>
                    <w:jc w:val="left"/>
                    <w:rPr>
                      <w:rFonts w:ascii="仿宋" w:eastAsia="仿宋" w:hint="eastAsia"/>
                    </w:rPr>
                  </w:pPr>
                  <w:r>
                    <w:rPr>
                      <w:rFonts w:ascii="仿宋" w:eastAsia="仿宋" w:hint="eastAsia"/>
                      <w:spacing w:val="-3"/>
                    </w:rPr>
                    <w:t>合同效力终止的其它情况</w:t>
                  </w:r>
                </w:p>
                <w:p>
                  <w:pPr>
                    <w:pStyle w:val="BodyText"/>
                    <w:numPr>
                      <w:ilvl w:val="1"/>
                      <w:numId w:val="10"/>
                    </w:numPr>
                    <w:tabs>
                      <w:tab w:pos="634" w:val="left" w:leader="none"/>
                    </w:tabs>
                    <w:spacing w:line="243" w:lineRule="exact" w:before="5" w:after="0"/>
                    <w:ind w:left="633" w:right="0" w:hanging="422"/>
                    <w:jc w:val="left"/>
                    <w:rPr>
                      <w:rFonts w:ascii="仿宋" w:eastAsia="仿宋" w:hint="eastAsia"/>
                    </w:rPr>
                  </w:pPr>
                  <w:r>
                    <w:rPr>
                      <w:rFonts w:ascii="仿宋" w:eastAsia="仿宋" w:hint="eastAsia"/>
                      <w:spacing w:val="-3"/>
                    </w:rPr>
                    <w:t>争议处理</w:t>
                  </w:r>
                </w:p>
                <w:p>
                  <w:pPr>
                    <w:spacing w:line="334" w:lineRule="exact" w:before="0"/>
                    <w:ind w:left="86" w:right="2098" w:firstLine="0"/>
                    <w:jc w:val="center"/>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xbxContent>
            </v:textbox>
            <w10:wrap type="none"/>
          </v:shape>
        </w:pict>
      </w:r>
      <w:r>
        <w:rPr/>
        <w:pict>
          <v:shape style="position:absolute;margin-left:359.040009pt;margin-top:43.378426pt;width:137.7pt;height:122.55pt;mso-position-horizontal-relative:page;mso-position-vertical-relative:paragraph;z-index:1120" type="#_x0000_t202" filled="false" stroked="false">
            <v:textbox inset="0,0,0,0">
              <w:txbxContent>
                <w:p>
                  <w:pPr>
                    <w:pStyle w:val="BodyText"/>
                    <w:numPr>
                      <w:ilvl w:val="1"/>
                      <w:numId w:val="11"/>
                    </w:numPr>
                    <w:tabs>
                      <w:tab w:pos="631" w:val="left" w:leader="none"/>
                      <w:tab w:pos="632" w:val="left" w:leader="none"/>
                    </w:tabs>
                    <w:spacing w:line="211" w:lineRule="exact" w:before="0" w:after="0"/>
                    <w:ind w:left="631" w:right="0" w:hanging="631"/>
                    <w:jc w:val="left"/>
                    <w:rPr>
                      <w:rFonts w:ascii="仿宋" w:eastAsia="仿宋" w:hint="eastAsia"/>
                    </w:rPr>
                  </w:pPr>
                  <w:r>
                    <w:rPr>
                      <w:rFonts w:ascii="仿宋" w:eastAsia="仿宋" w:hint="eastAsia"/>
                    </w:rPr>
                    <w:t>周岁</w:t>
                  </w:r>
                </w:p>
                <w:p>
                  <w:pPr>
                    <w:pStyle w:val="BodyText"/>
                    <w:numPr>
                      <w:ilvl w:val="1"/>
                      <w:numId w:val="11"/>
                    </w:numPr>
                    <w:tabs>
                      <w:tab w:pos="631" w:val="left" w:leader="none"/>
                      <w:tab w:pos="632" w:val="left" w:leader="none"/>
                    </w:tabs>
                    <w:spacing w:line="240" w:lineRule="auto" w:before="6" w:after="0"/>
                    <w:ind w:left="631" w:right="0" w:hanging="631"/>
                    <w:jc w:val="left"/>
                    <w:rPr>
                      <w:rFonts w:ascii="仿宋" w:eastAsia="仿宋" w:hint="eastAsia"/>
                    </w:rPr>
                  </w:pPr>
                  <w:r>
                    <w:rPr>
                      <w:rFonts w:ascii="仿宋" w:eastAsia="仿宋" w:hint="eastAsia"/>
                      <w:spacing w:val="-3"/>
                    </w:rPr>
                    <w:t>有效身份证件</w:t>
                  </w:r>
                </w:p>
                <w:p>
                  <w:pPr>
                    <w:pStyle w:val="BodyText"/>
                    <w:numPr>
                      <w:ilvl w:val="1"/>
                      <w:numId w:val="11"/>
                    </w:numPr>
                    <w:tabs>
                      <w:tab w:pos="631" w:val="left" w:leader="none"/>
                      <w:tab w:pos="632" w:val="left" w:leader="none"/>
                    </w:tabs>
                    <w:spacing w:line="240" w:lineRule="auto" w:before="3" w:after="0"/>
                    <w:ind w:left="631" w:right="0" w:hanging="631"/>
                    <w:jc w:val="left"/>
                    <w:rPr>
                      <w:rFonts w:ascii="仿宋" w:eastAsia="仿宋" w:hint="eastAsia"/>
                    </w:rPr>
                  </w:pPr>
                  <w:r>
                    <w:rPr>
                      <w:rFonts w:ascii="仿宋" w:eastAsia="仿宋" w:hint="eastAsia"/>
                      <w:spacing w:val="-2"/>
                    </w:rPr>
                    <w:t>医疗机构</w:t>
                  </w:r>
                </w:p>
                <w:p>
                  <w:pPr>
                    <w:pStyle w:val="BodyText"/>
                    <w:numPr>
                      <w:ilvl w:val="1"/>
                      <w:numId w:val="11"/>
                    </w:numPr>
                    <w:tabs>
                      <w:tab w:pos="631" w:val="left" w:leader="none"/>
                      <w:tab w:pos="632" w:val="left" w:leader="none"/>
                    </w:tabs>
                    <w:spacing w:line="240" w:lineRule="auto" w:before="5" w:after="0"/>
                    <w:ind w:left="631" w:right="0" w:hanging="631"/>
                    <w:jc w:val="left"/>
                    <w:rPr>
                      <w:rFonts w:ascii="仿宋" w:eastAsia="仿宋" w:hint="eastAsia"/>
                    </w:rPr>
                  </w:pPr>
                  <w:r>
                    <w:rPr>
                      <w:rFonts w:ascii="仿宋" w:eastAsia="仿宋" w:hint="eastAsia"/>
                      <w:spacing w:val="-2"/>
                    </w:rPr>
                    <w:t>重大疾病</w:t>
                  </w:r>
                </w:p>
                <w:p>
                  <w:pPr>
                    <w:pStyle w:val="BodyText"/>
                    <w:numPr>
                      <w:ilvl w:val="1"/>
                      <w:numId w:val="11"/>
                    </w:numPr>
                    <w:tabs>
                      <w:tab w:pos="631" w:val="left" w:leader="none"/>
                      <w:tab w:pos="632" w:val="left" w:leader="none"/>
                    </w:tabs>
                    <w:spacing w:line="240" w:lineRule="auto" w:before="5" w:after="0"/>
                    <w:ind w:left="631" w:right="0" w:hanging="631"/>
                    <w:jc w:val="left"/>
                    <w:rPr>
                      <w:rFonts w:ascii="仿宋" w:eastAsia="仿宋" w:hint="eastAsia"/>
                    </w:rPr>
                  </w:pPr>
                  <w:r>
                    <w:rPr>
                      <w:rFonts w:ascii="仿宋" w:eastAsia="仿宋" w:hint="eastAsia"/>
                      <w:spacing w:val="-2"/>
                    </w:rPr>
                    <w:t>意外伤害</w:t>
                  </w:r>
                </w:p>
                <w:p>
                  <w:pPr>
                    <w:pStyle w:val="BodyText"/>
                    <w:numPr>
                      <w:ilvl w:val="1"/>
                      <w:numId w:val="11"/>
                    </w:numPr>
                    <w:tabs>
                      <w:tab w:pos="631" w:val="left" w:leader="none"/>
                      <w:tab w:pos="632" w:val="left" w:leader="none"/>
                    </w:tabs>
                    <w:spacing w:line="240" w:lineRule="auto" w:before="3" w:after="0"/>
                    <w:ind w:left="631" w:right="0" w:hanging="631"/>
                    <w:jc w:val="left"/>
                    <w:rPr>
                      <w:rFonts w:ascii="仿宋" w:eastAsia="仿宋" w:hint="eastAsia"/>
                    </w:rPr>
                  </w:pPr>
                  <w:r>
                    <w:rPr>
                      <w:rFonts w:ascii="仿宋" w:eastAsia="仿宋" w:hint="eastAsia"/>
                    </w:rPr>
                    <w:t>毒品</w:t>
                  </w:r>
                </w:p>
                <w:p>
                  <w:pPr>
                    <w:pStyle w:val="BodyText"/>
                    <w:numPr>
                      <w:ilvl w:val="1"/>
                      <w:numId w:val="11"/>
                    </w:numPr>
                    <w:tabs>
                      <w:tab w:pos="631" w:val="left" w:leader="none"/>
                      <w:tab w:pos="632" w:val="left" w:leader="none"/>
                    </w:tabs>
                    <w:spacing w:line="240" w:lineRule="auto" w:before="6" w:after="0"/>
                    <w:ind w:left="631" w:right="0" w:hanging="631"/>
                    <w:jc w:val="left"/>
                    <w:rPr>
                      <w:rFonts w:ascii="仿宋" w:eastAsia="仿宋" w:hint="eastAsia"/>
                    </w:rPr>
                  </w:pPr>
                  <w:r>
                    <w:rPr>
                      <w:rFonts w:ascii="仿宋" w:eastAsia="仿宋" w:hint="eastAsia"/>
                      <w:spacing w:val="-2"/>
                    </w:rPr>
                    <w:t>酒后驾驶</w:t>
                  </w:r>
                </w:p>
                <w:p>
                  <w:pPr>
                    <w:pStyle w:val="BodyText"/>
                    <w:numPr>
                      <w:ilvl w:val="1"/>
                      <w:numId w:val="11"/>
                    </w:numPr>
                    <w:tabs>
                      <w:tab w:pos="631" w:val="left" w:leader="none"/>
                      <w:tab w:pos="632" w:val="left" w:leader="none"/>
                    </w:tabs>
                    <w:spacing w:line="240" w:lineRule="auto" w:before="6" w:after="0"/>
                    <w:ind w:left="631" w:right="0" w:hanging="631"/>
                    <w:jc w:val="left"/>
                    <w:rPr>
                      <w:rFonts w:ascii="仿宋" w:eastAsia="仿宋" w:hint="eastAsia"/>
                    </w:rPr>
                  </w:pPr>
                  <w:r>
                    <w:rPr>
                      <w:rFonts w:ascii="仿宋" w:eastAsia="仿宋" w:hint="eastAsia"/>
                      <w:spacing w:val="-3"/>
                    </w:rPr>
                    <w:t>无合法有效驾驶证驾驶</w:t>
                  </w:r>
                </w:p>
                <w:p>
                  <w:pPr>
                    <w:pStyle w:val="BodyText"/>
                    <w:numPr>
                      <w:ilvl w:val="1"/>
                      <w:numId w:val="11"/>
                    </w:numPr>
                    <w:tabs>
                      <w:tab w:pos="631" w:val="left" w:leader="none"/>
                      <w:tab w:pos="632" w:val="left" w:leader="none"/>
                    </w:tabs>
                    <w:spacing w:line="240" w:lineRule="auto" w:before="3" w:after="0"/>
                    <w:ind w:left="631" w:right="0" w:hanging="631"/>
                    <w:jc w:val="left"/>
                    <w:rPr>
                      <w:rFonts w:ascii="仿宋" w:eastAsia="仿宋" w:hint="eastAsia"/>
                    </w:rPr>
                  </w:pPr>
                  <w:r>
                    <w:rPr>
                      <w:rFonts w:ascii="仿宋" w:eastAsia="仿宋" w:hint="eastAsia"/>
                      <w:spacing w:val="-3"/>
                    </w:rPr>
                    <w:t>无有效行驶证</w:t>
                  </w: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jc w:val="left"/>
        <w:rPr>
          <w:sz w:val="21"/>
        </w:rPr>
        <w:sectPr>
          <w:type w:val="continuous"/>
          <w:pgSz w:w="11900" w:h="16840"/>
          <w:pgMar w:top="500" w:bottom="280" w:left="900" w:right="460"/>
        </w:sectPr>
      </w:pPr>
    </w:p>
    <w:p>
      <w:pPr>
        <w:pStyle w:val="Heading1"/>
        <w:spacing w:line="485" w:lineRule="exact"/>
        <w:ind w:left="2594" w:right="0"/>
        <w:jc w:val="left"/>
      </w:pPr>
      <w:r>
        <w:rPr/>
        <w:t>嘉禾附加福寿安康重大疾病保险条款</w:t>
      </w:r>
    </w:p>
    <w:p>
      <w:pPr>
        <w:pStyle w:val="BodyText"/>
        <w:spacing w:line="273" w:lineRule="auto" w:before="107"/>
        <w:ind w:left="160" w:right="160" w:firstLine="420"/>
      </w:pPr>
      <w:r>
        <w:rPr>
          <w:spacing w:val="-7"/>
          <w:w w:val="100"/>
        </w:rPr>
        <w:t>在本条款中，“您”指投保人，“我们”指嘉禾人寿保险股份有限公司，“本附加险合同”指您与我们之</w:t>
      </w:r>
      <w:r>
        <w:rPr>
          <w:spacing w:val="-3"/>
        </w:rPr>
        <w:t>间订立的“嘉禾附加福寿安康重大疾病保险合同”。 </w:t>
      </w:r>
    </w:p>
    <w:p>
      <w:pPr>
        <w:pStyle w:val="BodyText"/>
        <w:spacing w:before="7"/>
        <w:ind w:left="338"/>
      </w:pPr>
      <w:r>
        <w:rPr>
          <w:w w:val="100"/>
        </w:rPr>
        <w:t> </w:t>
      </w:r>
    </w:p>
    <w:p>
      <w:pPr>
        <w:pStyle w:val="Heading2"/>
        <w:tabs>
          <w:tab w:pos="979" w:val="left" w:leader="none"/>
        </w:tabs>
      </w:pPr>
      <w:r>
        <w:rPr/>
        <w:pict>
          <v:group style="position:absolute;margin-left:59.759998pt;margin-top:37.513622pt;width:504.15pt;height:1pt;mso-position-horizontal-relative:page;mso-position-vertical-relative:paragraph;z-index:1168;mso-wrap-distance-left:0;mso-wrap-distance-right:0" coordorigin="1195,750" coordsize="10083,20">
            <v:line style="position:absolute" from="1195,760" to="1954,760" stroked="true" strokeweight=".96pt" strokecolor="#000000">
              <v:stroke dashstyle="solid"/>
            </v:line>
            <v:rect style="position:absolute;left:1953;top:750;width:20;height:20" filled="true" fillcolor="#000000" stroked="false">
              <v:fill type="solid"/>
            </v:rect>
            <v:line style="position:absolute" from="1973,760" to="3910,760" stroked="true" strokeweight=".96pt" strokecolor="#000000">
              <v:stroke dashstyle="solid"/>
            </v:line>
            <v:rect style="position:absolute;left:3909;top:750;width:20;height:20" filled="true" fillcolor="#000000" stroked="false">
              <v:fill type="solid"/>
            </v:rect>
            <v:line style="position:absolute" from="3929,760" to="11278,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9" w:val="left" w:leader="none"/>
          <w:tab w:pos="2937" w:val="left" w:leader="none"/>
        </w:tabs>
        <w:spacing w:before="39"/>
        <w:ind w:left="223"/>
      </w:pPr>
      <w:r>
        <w:rPr>
          <w:w w:val="100"/>
        </w:rPr>
        <w:t> </w:t>
      </w:r>
      <w:r>
        <w:rPr/>
        <w:tab/>
      </w:r>
      <w:r>
        <w:rPr>
          <w:w w:val="100"/>
        </w:rPr>
        <w:t> </w:t>
      </w:r>
      <w:r>
        <w:rPr/>
        <w:tab/>
      </w:r>
      <w:r>
        <w:rPr>
          <w:w w:val="100"/>
        </w:rPr>
        <w:t> </w:t>
      </w:r>
    </w:p>
    <w:p>
      <w:pPr>
        <w:pStyle w:val="ListParagraph"/>
        <w:numPr>
          <w:ilvl w:val="1"/>
          <w:numId w:val="12"/>
        </w:numPr>
        <w:tabs>
          <w:tab w:pos="980" w:val="left" w:leader="none"/>
          <w:tab w:pos="2937" w:val="left" w:leader="none"/>
        </w:tabs>
        <w:spacing w:line="259" w:lineRule="auto" w:before="46" w:after="0"/>
        <w:ind w:left="2937" w:right="219" w:hanging="2714"/>
        <w:jc w:val="both"/>
        <w:rPr>
          <w:sz w:val="21"/>
        </w:rPr>
      </w:pPr>
      <w:r>
        <w:rPr>
          <w:rFonts w:ascii="Microsoft JhengHei" w:eastAsia="Microsoft JhengHei" w:hint="eastAsia"/>
          <w:b/>
          <w:sz w:val="21"/>
        </w:rPr>
        <w:t>1     </w:t>
      </w:r>
      <w:r>
        <w:rPr>
          <w:rFonts w:ascii="Microsoft JhengHei" w:eastAsia="Microsoft JhengHei" w:hint="eastAsia"/>
          <w:b/>
          <w:spacing w:val="28"/>
          <w:sz w:val="21"/>
        </w:rPr>
        <w:t> </w:t>
      </w:r>
      <w:r>
        <w:rPr>
          <w:rFonts w:ascii="Microsoft JhengHei" w:eastAsia="Microsoft JhengHei" w:hint="eastAsia"/>
          <w:b/>
          <w:sz w:val="21"/>
        </w:rPr>
        <w:t>合 同 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w:t>
      </w:r>
      <w:r>
        <w:rPr>
          <w:spacing w:val="-3"/>
          <w:sz w:val="21"/>
        </w:rPr>
        <w:t>投</w:t>
      </w:r>
      <w:r>
        <w:rPr>
          <w:sz w:val="21"/>
        </w:rPr>
        <w:t>保单</w:t>
      </w:r>
      <w:r>
        <w:rPr>
          <w:spacing w:val="-3"/>
          <w:sz w:val="21"/>
        </w:rPr>
        <w:t>、</w:t>
      </w:r>
      <w:r>
        <w:rPr>
          <w:sz w:val="21"/>
        </w:rPr>
        <w:t>与</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效的</w:t>
      </w:r>
      <w:r>
        <w:rPr>
          <w:sz w:val="21"/>
        </w:rPr>
        <w:t>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tabs>
          <w:tab w:pos="979" w:val="left" w:leader="none"/>
          <w:tab w:pos="2937" w:val="left" w:leader="none"/>
        </w:tabs>
        <w:spacing w:before="99"/>
        <w:ind w:left="223"/>
      </w:pPr>
      <w:r>
        <w:rPr>
          <w:w w:val="100"/>
        </w:rPr>
        <w:t> </w:t>
      </w:r>
      <w:r>
        <w:rPr/>
        <w:tab/>
      </w:r>
      <w:r>
        <w:rPr>
          <w:w w:val="100"/>
        </w:rPr>
        <w:t> </w:t>
      </w:r>
      <w:r>
        <w:rPr/>
        <w:tab/>
      </w:r>
      <w:r>
        <w:rPr>
          <w:w w:val="100"/>
        </w:rPr>
        <w:t> </w:t>
      </w:r>
    </w:p>
    <w:p>
      <w:pPr>
        <w:pStyle w:val="ListParagraph"/>
        <w:numPr>
          <w:ilvl w:val="1"/>
          <w:numId w:val="12"/>
        </w:numPr>
        <w:tabs>
          <w:tab w:pos="980" w:val="left" w:leader="none"/>
        </w:tabs>
        <w:spacing w:line="259" w:lineRule="auto" w:before="47" w:after="0"/>
        <w:ind w:left="2937" w:right="219" w:hanging="2714"/>
        <w:jc w:val="both"/>
        <w:rPr>
          <w:sz w:val="21"/>
        </w:rPr>
      </w:pPr>
      <w:r>
        <w:rPr>
          <w:rFonts w:ascii="Microsoft JhengHei" w:eastAsia="Microsoft JhengHei" w:hint="eastAsia"/>
          <w:b/>
          <w:sz w:val="21"/>
        </w:rPr>
        <w:t>2       合同成立与生效        </w:t>
      </w:r>
      <w:r>
        <w:rPr>
          <w:spacing w:val="-3"/>
          <w:sz w:val="21"/>
        </w:rPr>
        <w:t>您提出保险申请、我们同意承保，本附加险合同成立，自本附加险合同成立、我们收取首期保险费并签发保险单或在保险单中批注的次日零时起本附加险合同生效。</w:t>
      </w:r>
    </w:p>
    <w:p>
      <w:pPr>
        <w:pStyle w:val="BodyText"/>
        <w:spacing w:line="271" w:lineRule="auto" w:before="99"/>
        <w:ind w:left="2937" w:right="219"/>
        <w:jc w:val="both"/>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line="273" w:lineRule="auto" w:before="88"/>
        <w:ind w:left="2937" w:right="215"/>
        <w:jc w:val="both"/>
      </w:pPr>
      <w:r>
        <w:rPr/>
        <w:t>除本附加险合同另有约定外，我们自生效日零时起开始承担本附加险合同约定的保险责任。本附加险合同的保单年度、保单周年日、保险费约定支付日与主险合同相同。</w:t>
      </w:r>
    </w:p>
    <w:p>
      <w:pPr>
        <w:pStyle w:val="BodyText"/>
        <w:tabs>
          <w:tab w:pos="979" w:val="left" w:leader="none"/>
        </w:tabs>
        <w:spacing w:before="86"/>
        <w:ind w:left="223"/>
      </w:pPr>
      <w:r>
        <w:rPr>
          <w:w w:val="100"/>
        </w:rPr>
        <w:t> </w:t>
      </w:r>
      <w:r>
        <w:rPr/>
        <w:tab/>
      </w:r>
      <w:r>
        <w:rPr>
          <w:w w:val="100"/>
        </w:rPr>
        <w:t> </w:t>
      </w:r>
    </w:p>
    <w:p>
      <w:pPr>
        <w:pStyle w:val="ListParagraph"/>
        <w:numPr>
          <w:ilvl w:val="1"/>
          <w:numId w:val="12"/>
        </w:numPr>
        <w:tabs>
          <w:tab w:pos="979" w:val="left" w:leader="none"/>
          <w:tab w:pos="980" w:val="left" w:leader="none"/>
          <w:tab w:pos="2937" w:val="left" w:leader="none"/>
        </w:tabs>
        <w:spacing w:line="249" w:lineRule="auto" w:before="46" w:after="0"/>
        <w:ind w:left="2937" w:right="203"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40"/>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65</w:t>
      </w:r>
      <w:r>
        <w:rPr>
          <w:spacing w:val="-50"/>
          <w:sz w:val="21"/>
        </w:rPr>
        <w:t> </w:t>
      </w:r>
      <w:r>
        <w:rPr>
          <w:sz w:val="21"/>
        </w:rPr>
        <w:t>周</w:t>
      </w:r>
      <w:r>
        <w:rPr>
          <w:spacing w:val="-3"/>
          <w:sz w:val="21"/>
        </w:rPr>
        <w:t>岁。</w:t>
      </w:r>
      <w:r>
        <w:rPr>
          <w:sz w:val="21"/>
        </w:rPr>
        <w:t> </w:t>
      </w:r>
    </w:p>
    <w:p>
      <w:pPr>
        <w:pStyle w:val="BodyText"/>
        <w:tabs>
          <w:tab w:pos="979" w:val="left" w:leader="none"/>
        </w:tabs>
        <w:spacing w:before="107"/>
        <w:ind w:left="223"/>
      </w:pPr>
      <w:r>
        <w:rPr>
          <w:w w:val="100"/>
        </w:rPr>
        <w:t> </w:t>
      </w:r>
      <w:r>
        <w:rPr/>
        <w:tab/>
      </w:r>
      <w:r>
        <w:rPr>
          <w:w w:val="100"/>
        </w:rPr>
        <w:t> </w:t>
      </w:r>
    </w:p>
    <w:p>
      <w:pPr>
        <w:pStyle w:val="ListParagraph"/>
        <w:numPr>
          <w:ilvl w:val="1"/>
          <w:numId w:val="12"/>
        </w:numPr>
        <w:tabs>
          <w:tab w:pos="979" w:val="left" w:leader="none"/>
          <w:tab w:pos="980" w:val="left" w:leader="none"/>
          <w:tab w:pos="2937" w:val="left" w:leader="none"/>
        </w:tabs>
        <w:spacing w:line="312" w:lineRule="exact" w:before="109" w:after="0"/>
        <w:ind w:left="2937" w:right="102" w:hanging="2714"/>
        <w:jc w:val="left"/>
        <w:rPr>
          <w:rFonts w:ascii="Microsoft JhengHei" w:eastAsia="Microsoft JhengHei" w:hint="eastAsia"/>
          <w:b/>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附加</w:t>
      </w:r>
      <w:r>
        <w:rPr>
          <w:sz w:val="21"/>
        </w:rPr>
        <w:t>险合</w:t>
      </w:r>
      <w:r>
        <w:rPr>
          <w:spacing w:val="-3"/>
          <w:sz w:val="21"/>
        </w:rPr>
        <w:t>同</w:t>
      </w:r>
      <w:r>
        <w:rPr>
          <w:sz w:val="21"/>
        </w:rPr>
        <w:t>，</w:t>
      </w:r>
      <w:r>
        <w:rPr>
          <w:spacing w:val="-3"/>
          <w:sz w:val="21"/>
        </w:rPr>
        <w:t>我</w:t>
      </w:r>
      <w:r>
        <w:rPr>
          <w:sz w:val="21"/>
        </w:rPr>
        <w:t>们</w:t>
      </w:r>
      <w:r>
        <w:rPr>
          <w:spacing w:val="-3"/>
          <w:sz w:val="21"/>
        </w:rPr>
        <w:t>将</w:t>
      </w:r>
      <w:r>
        <w:rPr>
          <w:sz w:val="21"/>
        </w:rPr>
        <w:t>退</w:t>
      </w:r>
      <w:r>
        <w:rPr>
          <w:spacing w:val="-3"/>
          <w:sz w:val="21"/>
        </w:rPr>
        <w:t>还</w:t>
      </w:r>
      <w:r>
        <w:rPr>
          <w:sz w:val="21"/>
        </w:rPr>
        <w:t>您</w:t>
      </w:r>
      <w:r>
        <w:rPr>
          <w:spacing w:val="-3"/>
          <w:sz w:val="21"/>
        </w:rPr>
        <w:t>所</w:t>
      </w:r>
      <w:r>
        <w:rPr>
          <w:sz w:val="21"/>
        </w:rPr>
        <w:t>支付</w:t>
      </w:r>
      <w:r>
        <w:rPr>
          <w:spacing w:val="-3"/>
          <w:sz w:val="21"/>
        </w:rPr>
        <w:t>的</w:t>
      </w:r>
      <w:r>
        <w:rPr>
          <w:sz w:val="21"/>
        </w:rPr>
        <w:t>全</w:t>
      </w:r>
      <w:r>
        <w:rPr>
          <w:spacing w:val="-3"/>
          <w:sz w:val="21"/>
        </w:rPr>
        <w:t>部</w:t>
      </w:r>
      <w:r>
        <w:rPr>
          <w:sz w:val="21"/>
        </w:rPr>
        <w:t>保</w:t>
      </w:r>
      <w:r>
        <w:rPr>
          <w:spacing w:val="-3"/>
          <w:sz w:val="21"/>
        </w:rPr>
        <w:t>险</w:t>
      </w:r>
      <w:r>
        <w:rPr>
          <w:sz w:val="21"/>
        </w:rPr>
        <w:t>费</w:t>
      </w:r>
      <w:r>
        <w:rPr>
          <w:spacing w:val="-3"/>
          <w:sz w:val="21"/>
        </w:rPr>
        <w:t>。                       </w:t>
      </w:r>
      <w:r>
        <w:rPr>
          <w:sz w:val="21"/>
        </w:rPr>
        <w:t>解除</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时</w:t>
      </w:r>
      <w:r>
        <w:rPr>
          <w:sz w:val="21"/>
        </w:rPr>
        <w:t>，</w:t>
      </w:r>
      <w:r>
        <w:rPr>
          <w:spacing w:val="-3"/>
          <w:sz w:val="21"/>
        </w:rPr>
        <w:t>您</w:t>
      </w:r>
      <w:r>
        <w:rPr>
          <w:sz w:val="21"/>
        </w:rPr>
        <w:t>需要</w:t>
      </w:r>
      <w:r>
        <w:rPr>
          <w:spacing w:val="-3"/>
          <w:sz w:val="21"/>
        </w:rPr>
        <w:t>填</w:t>
      </w:r>
      <w:r>
        <w:rPr>
          <w:sz w:val="21"/>
        </w:rPr>
        <w:t>写</w:t>
      </w:r>
      <w:r>
        <w:rPr>
          <w:spacing w:val="-3"/>
          <w:sz w:val="21"/>
        </w:rPr>
        <w:t>申</w:t>
      </w:r>
      <w:r>
        <w:rPr>
          <w:sz w:val="21"/>
        </w:rPr>
        <w:t>请</w:t>
      </w:r>
      <w:r>
        <w:rPr>
          <w:spacing w:val="-3"/>
          <w:sz w:val="21"/>
        </w:rPr>
        <w:t>书</w:t>
      </w:r>
      <w:r>
        <w:rPr>
          <w:sz w:val="21"/>
        </w:rPr>
        <w:t>，</w:t>
      </w:r>
      <w:r>
        <w:rPr>
          <w:spacing w:val="-3"/>
          <w:sz w:val="21"/>
        </w:rPr>
        <w:t>并</w:t>
      </w:r>
      <w:r>
        <w:rPr>
          <w:sz w:val="21"/>
        </w:rPr>
        <w:t>提</w:t>
      </w:r>
      <w:r>
        <w:rPr>
          <w:spacing w:val="-3"/>
          <w:sz w:val="21"/>
        </w:rPr>
        <w:t>供</w:t>
      </w:r>
      <w:r>
        <w:rPr>
          <w:sz w:val="21"/>
        </w:rPr>
        <w:t>您的</w:t>
      </w:r>
      <w:r>
        <w:rPr>
          <w:spacing w:val="-3"/>
          <w:sz w:val="21"/>
        </w:rPr>
        <w:t>保</w:t>
      </w:r>
      <w:r>
        <w:rPr>
          <w:sz w:val="21"/>
        </w:rPr>
        <w:t>险</w:t>
      </w:r>
      <w:r>
        <w:rPr>
          <w:spacing w:val="-3"/>
          <w:sz w:val="21"/>
        </w:rPr>
        <w:t>合</w:t>
      </w:r>
      <w:r>
        <w:rPr>
          <w:sz w:val="21"/>
        </w:rPr>
        <w:t>同</w:t>
      </w:r>
      <w:r>
        <w:rPr>
          <w:spacing w:val="-3"/>
          <w:sz w:val="21"/>
        </w:rPr>
        <w:t>及</w:t>
      </w:r>
      <w:r>
        <w:rPr>
          <w:rFonts w:ascii="Microsoft JhengHei" w:eastAsia="Microsoft JhengHei" w:hint="eastAsia"/>
          <w:b/>
          <w:sz w:val="21"/>
        </w:rPr>
        <w:t>有效身</w:t>
      </w:r>
      <w:r>
        <w:rPr>
          <w:rFonts w:ascii="Microsoft JhengHei" w:eastAsia="Microsoft JhengHei" w:hint="eastAsia"/>
          <w:b/>
          <w:spacing w:val="-3"/>
          <w:sz w:val="21"/>
        </w:rPr>
        <w:t>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w w:val="100"/>
          <w:sz w:val="21"/>
        </w:rPr>
        <w:t>自我们</w:t>
      </w:r>
      <w:r>
        <w:rPr>
          <w:rFonts w:ascii="Microsoft JhengHei" w:eastAsia="Microsoft JhengHei" w:hint="eastAsia"/>
          <w:b/>
          <w:spacing w:val="-3"/>
          <w:w w:val="100"/>
          <w:sz w:val="21"/>
        </w:rPr>
        <w:t>收</w:t>
      </w:r>
      <w:r>
        <w:rPr>
          <w:rFonts w:ascii="Microsoft JhengHei" w:eastAsia="Microsoft JhengHei" w:hint="eastAsia"/>
          <w:b/>
          <w:w w:val="100"/>
          <w:sz w:val="21"/>
        </w:rPr>
        <w:t>到您解除合同的书</w:t>
      </w:r>
      <w:r>
        <w:rPr>
          <w:rFonts w:ascii="Microsoft JhengHei" w:eastAsia="Microsoft JhengHei" w:hint="eastAsia"/>
          <w:b/>
          <w:spacing w:val="-3"/>
          <w:w w:val="100"/>
          <w:sz w:val="21"/>
        </w:rPr>
        <w:t>面</w:t>
      </w:r>
      <w:r>
        <w:rPr>
          <w:rFonts w:ascii="Microsoft JhengHei" w:eastAsia="Microsoft JhengHei" w:hint="eastAsia"/>
          <w:b/>
          <w:w w:val="100"/>
          <w:sz w:val="21"/>
        </w:rPr>
        <w:t>申</w:t>
      </w:r>
      <w:r>
        <w:rPr>
          <w:rFonts w:ascii="Microsoft JhengHei" w:eastAsia="Microsoft JhengHei" w:hint="eastAsia"/>
          <w:b/>
          <w:spacing w:val="-3"/>
          <w:w w:val="100"/>
          <w:sz w:val="21"/>
        </w:rPr>
        <w:t>请</w:t>
      </w:r>
      <w:r>
        <w:rPr>
          <w:rFonts w:ascii="Microsoft JhengHei" w:eastAsia="Microsoft JhengHei" w:hint="eastAsia"/>
          <w:b/>
          <w:w w:val="100"/>
          <w:sz w:val="21"/>
        </w:rPr>
        <w:t>时起，本附加险合</w:t>
      </w:r>
      <w:r>
        <w:rPr>
          <w:rFonts w:ascii="Microsoft JhengHei" w:eastAsia="Microsoft JhengHei" w:hint="eastAsia"/>
          <w:b/>
          <w:spacing w:val="-3"/>
          <w:w w:val="100"/>
          <w:sz w:val="21"/>
        </w:rPr>
        <w:t>同</w:t>
      </w:r>
      <w:r>
        <w:rPr>
          <w:rFonts w:ascii="Microsoft JhengHei" w:eastAsia="Microsoft JhengHei" w:hint="eastAsia"/>
          <w:b/>
          <w:w w:val="100"/>
          <w:sz w:val="21"/>
        </w:rPr>
        <w:t>即</w:t>
      </w:r>
      <w:r>
        <w:rPr>
          <w:rFonts w:ascii="Microsoft JhengHei" w:eastAsia="Microsoft JhengHei" w:hint="eastAsia"/>
          <w:b/>
          <w:spacing w:val="-3"/>
          <w:w w:val="100"/>
          <w:sz w:val="21"/>
        </w:rPr>
        <w:t>被解</w:t>
      </w:r>
      <w:r>
        <w:rPr>
          <w:rFonts w:ascii="Microsoft JhengHei" w:eastAsia="Microsoft JhengHei" w:hint="eastAsia"/>
          <w:b/>
          <w:sz w:val="21"/>
        </w:rPr>
        <w:t>除，合同解除前发</w:t>
      </w:r>
      <w:r>
        <w:rPr>
          <w:rFonts w:ascii="Microsoft JhengHei" w:eastAsia="Microsoft JhengHei" w:hint="eastAsia"/>
          <w:b/>
          <w:spacing w:val="-3"/>
          <w:sz w:val="21"/>
        </w:rPr>
        <w:t>生</w:t>
      </w:r>
      <w:r>
        <w:rPr>
          <w:rFonts w:ascii="Microsoft JhengHei" w:eastAsia="Microsoft JhengHei" w:hint="eastAsia"/>
          <w:b/>
          <w:sz w:val="21"/>
        </w:rPr>
        <w:t>的</w:t>
      </w:r>
      <w:r>
        <w:rPr>
          <w:rFonts w:ascii="Microsoft JhengHei" w:eastAsia="Microsoft JhengHei" w:hint="eastAsia"/>
          <w:b/>
          <w:spacing w:val="-3"/>
          <w:sz w:val="21"/>
        </w:rPr>
        <w:t>保</w:t>
      </w:r>
      <w:r>
        <w:rPr>
          <w:rFonts w:ascii="Microsoft JhengHei" w:eastAsia="Microsoft JhengHei" w:hint="eastAsia"/>
          <w:b/>
          <w:sz w:val="21"/>
        </w:rPr>
        <w:t>险事故我们不承担</w:t>
      </w:r>
      <w:r>
        <w:rPr>
          <w:rFonts w:ascii="Microsoft JhengHei" w:eastAsia="Microsoft JhengHei" w:hint="eastAsia"/>
          <w:b/>
          <w:spacing w:val="-3"/>
          <w:sz w:val="21"/>
        </w:rPr>
        <w:t>保</w:t>
      </w:r>
      <w:r>
        <w:rPr>
          <w:rFonts w:ascii="Microsoft JhengHei" w:eastAsia="Microsoft JhengHei" w:hint="eastAsia"/>
          <w:b/>
          <w:sz w:val="21"/>
        </w:rPr>
        <w:t>险</w:t>
      </w:r>
      <w:r>
        <w:rPr>
          <w:rFonts w:ascii="Microsoft JhengHei" w:eastAsia="Microsoft JhengHei" w:hint="eastAsia"/>
          <w:b/>
          <w:spacing w:val="-3"/>
          <w:sz w:val="21"/>
        </w:rPr>
        <w:t>责</w:t>
      </w:r>
      <w:r>
        <w:rPr>
          <w:rFonts w:ascii="Microsoft JhengHei" w:eastAsia="Microsoft JhengHei" w:hint="eastAsia"/>
          <w:b/>
          <w:sz w:val="21"/>
        </w:rPr>
        <w:t>任。</w:t>
      </w:r>
    </w:p>
    <w:p>
      <w:pPr>
        <w:pStyle w:val="BodyText"/>
        <w:tabs>
          <w:tab w:pos="979" w:val="left" w:leader="none"/>
          <w:tab w:pos="2937" w:val="left" w:leader="none"/>
        </w:tabs>
        <w:spacing w:before="83"/>
        <w:ind w:left="223"/>
      </w:pPr>
      <w:r>
        <w:rPr>
          <w:w w:val="100"/>
        </w:rPr>
        <w:t> </w:t>
      </w:r>
      <w:r>
        <w:rPr/>
        <w:tab/>
      </w:r>
      <w:r>
        <w:rPr>
          <w:w w:val="100"/>
        </w:rPr>
        <w:t> </w:t>
      </w:r>
      <w:r>
        <w:rPr/>
        <w:tab/>
      </w:r>
      <w:r>
        <w:rPr>
          <w:w w:val="100"/>
        </w:rPr>
        <w:t> </w:t>
      </w:r>
    </w:p>
    <w:p>
      <w:pPr>
        <w:tabs>
          <w:tab w:pos="979" w:val="left" w:leader="none"/>
        </w:tabs>
        <w:spacing w:before="165"/>
        <w:ind w:left="227" w:right="0" w:firstLine="0"/>
        <w:jc w:val="left"/>
        <w:rPr>
          <w:rFonts w:ascii="Microsoft JhengHei" w:eastAsia="Microsoft JhengHei" w:hint="eastAsia"/>
          <w:b/>
          <w:sz w:val="24"/>
        </w:rPr>
      </w:pPr>
      <w:r>
        <w:rPr/>
        <w:pict>
          <v:group style="position:absolute;margin-left:59.759998pt;margin-top:37.483646pt;width:504.15pt;height:1pt;mso-position-horizontal-relative:page;mso-position-vertical-relative:paragraph;z-index:1192;mso-wrap-distance-left:0;mso-wrap-distance-right:0" coordorigin="1195,750"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7"/>
        <w:ind w:left="2937"/>
      </w:pPr>
      <w:r>
        <w:rPr>
          <w:w w:val="100"/>
        </w:rPr>
        <w:t> </w:t>
      </w:r>
    </w:p>
    <w:p>
      <w:pPr>
        <w:tabs>
          <w:tab w:pos="979" w:val="left" w:leader="none"/>
          <w:tab w:pos="2937" w:val="left" w:leader="none"/>
        </w:tabs>
        <w:spacing w:before="49"/>
        <w:ind w:left="223"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3" w:lineRule="auto" w:before="90"/>
        <w:ind w:left="2937" w:right="208"/>
      </w:pPr>
      <w:r>
        <w:rPr/>
        <w:t>本附加险合同的基本保险金额由您在投保时与我们约定并在保险单上载明。若该金额发生变更，则以变更后的金额为基本保险金额。 </w:t>
      </w:r>
    </w:p>
    <w:p>
      <w:pPr>
        <w:pStyle w:val="BodyText"/>
        <w:spacing w:before="87"/>
        <w:ind w:left="2937"/>
      </w:pPr>
      <w:r>
        <w:rPr/>
        <w:t>（2）保险金额 </w:t>
      </w:r>
    </w:p>
    <w:p>
      <w:pPr>
        <w:pStyle w:val="BodyText"/>
        <w:spacing w:before="114"/>
        <w:ind w:left="2937"/>
      </w:pPr>
      <w:r>
        <w:rPr/>
        <w:t>保险金额是指我们根据本附加险合同承担赔偿或者给付保险金责任的最高限</w:t>
      </w:r>
    </w:p>
    <w:p>
      <w:pPr>
        <w:spacing w:after="0"/>
        <w:sectPr>
          <w:footerReference w:type="default" r:id="rId8"/>
          <w:pgSz w:w="11900" w:h="16840"/>
          <w:pgMar w:footer="724" w:header="0" w:top="1460" w:bottom="920" w:left="1080" w:right="520"/>
          <w:pgNumType w:start="2"/>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991"/>
        <w:gridCol w:w="7447"/>
      </w:tblGrid>
      <w:tr>
        <w:trPr>
          <w:trHeight w:val="301" w:hRule="atLeast"/>
        </w:trPr>
        <w:tc>
          <w:tcPr>
            <w:tcW w:w="2630" w:type="dxa"/>
            <w:gridSpan w:val="2"/>
          </w:tcPr>
          <w:p>
            <w:pPr>
              <w:pStyle w:val="TableParagraph"/>
              <w:rPr>
                <w:rFonts w:ascii="Times New Roman"/>
                <w:sz w:val="20"/>
              </w:rPr>
            </w:pPr>
          </w:p>
        </w:tc>
        <w:tc>
          <w:tcPr>
            <w:tcW w:w="7447" w:type="dxa"/>
          </w:tcPr>
          <w:p>
            <w:pPr>
              <w:pStyle w:val="TableParagraph"/>
              <w:spacing w:line="204" w:lineRule="exact"/>
              <w:ind w:left="134"/>
              <w:rPr>
                <w:sz w:val="21"/>
              </w:rPr>
            </w:pPr>
            <w:r>
              <w:rPr>
                <w:sz w:val="21"/>
              </w:rPr>
              <w:t>额。 </w:t>
            </w:r>
          </w:p>
        </w:tc>
      </w:tr>
      <w:tr>
        <w:trPr>
          <w:trHeight w:val="385"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6"/>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362" w:hRule="atLeast"/>
        </w:trPr>
        <w:tc>
          <w:tcPr>
            <w:tcW w:w="639" w:type="dxa"/>
          </w:tcPr>
          <w:p>
            <w:pPr>
              <w:pStyle w:val="TableParagraph"/>
              <w:spacing w:line="321" w:lineRule="exact"/>
              <w:ind w:left="50"/>
              <w:rPr>
                <w:sz w:val="21"/>
              </w:rPr>
            </w:pPr>
            <w:r>
              <w:rPr>
                <w:rFonts w:ascii="Microsoft JhengHei"/>
                <w:b/>
                <w:w w:val="90"/>
                <w:sz w:val="21"/>
              </w:rPr>
              <w:t>2. 2</w:t>
            </w:r>
            <w:r>
              <w:rPr>
                <w:rFonts w:ascii="Microsoft JhengHei"/>
                <w:b/>
                <w:sz w:val="21"/>
              </w:rPr>
              <w:t> </w:t>
            </w:r>
            <w:r>
              <w:rPr>
                <w:w w:val="100"/>
                <w:sz w:val="21"/>
              </w:rPr>
              <w:t> </w:t>
            </w:r>
          </w:p>
        </w:tc>
        <w:tc>
          <w:tcPr>
            <w:tcW w:w="1991" w:type="dxa"/>
          </w:tcPr>
          <w:p>
            <w:pPr>
              <w:pStyle w:val="TableParagraph"/>
              <w:spacing w:line="321" w:lineRule="exact"/>
              <w:ind w:left="167"/>
              <w:rPr>
                <w:rFonts w:ascii="Microsoft JhengHei" w:eastAsia="Microsoft JhengHei" w:hint="eastAsia"/>
                <w:b/>
                <w:sz w:val="21"/>
              </w:rPr>
            </w:pPr>
            <w:r>
              <w:rPr>
                <w:rFonts w:ascii="Microsoft JhengHei" w:eastAsia="Microsoft JhengHei" w:hint="eastAsia"/>
                <w:b/>
                <w:sz w:val="21"/>
              </w:rPr>
              <w:t>未成年人身故保险</w:t>
            </w:r>
          </w:p>
        </w:tc>
        <w:tc>
          <w:tcPr>
            <w:tcW w:w="7447" w:type="dxa"/>
          </w:tcPr>
          <w:p>
            <w:pPr>
              <w:pStyle w:val="TableParagraph"/>
              <w:spacing w:before="22"/>
              <w:ind w:left="134"/>
              <w:rPr>
                <w:sz w:val="21"/>
              </w:rPr>
            </w:pPr>
            <w:r>
              <w:rPr>
                <w:sz w:val="21"/>
              </w:rPr>
              <w:t>为未成年子女投保的人身保险，因被保险人身故给付的保险金总和不得超过国</w:t>
            </w:r>
          </w:p>
        </w:tc>
      </w:tr>
      <w:tr>
        <w:trPr>
          <w:trHeight w:val="304" w:hRule="atLeast"/>
        </w:trPr>
        <w:tc>
          <w:tcPr>
            <w:tcW w:w="639" w:type="dxa"/>
          </w:tcPr>
          <w:p>
            <w:pPr>
              <w:pStyle w:val="TableParagraph"/>
              <w:rPr>
                <w:rFonts w:ascii="Times New Roman"/>
                <w:sz w:val="20"/>
              </w:rPr>
            </w:pPr>
          </w:p>
        </w:tc>
        <w:tc>
          <w:tcPr>
            <w:tcW w:w="1991" w:type="dxa"/>
          </w:tcPr>
          <w:p>
            <w:pPr>
              <w:pStyle w:val="TableParagraph"/>
              <w:spacing w:line="271" w:lineRule="exact"/>
              <w:ind w:left="167"/>
              <w:rPr>
                <w:sz w:val="21"/>
              </w:rPr>
            </w:pPr>
            <w:r>
              <w:rPr>
                <w:rFonts w:ascii="Microsoft JhengHei" w:eastAsia="Microsoft JhengHei" w:hint="eastAsia"/>
                <w:b/>
                <w:sz w:val="21"/>
              </w:rPr>
              <w:t>金额限制</w:t>
            </w:r>
            <w:r>
              <w:rPr>
                <w:sz w:val="21"/>
              </w:rPr>
              <w:t> </w:t>
            </w:r>
          </w:p>
        </w:tc>
        <w:tc>
          <w:tcPr>
            <w:tcW w:w="7447" w:type="dxa"/>
          </w:tcPr>
          <w:p>
            <w:pPr>
              <w:pStyle w:val="TableParagraph"/>
              <w:spacing w:line="247" w:lineRule="exact"/>
              <w:ind w:left="134"/>
              <w:rPr>
                <w:sz w:val="21"/>
              </w:rPr>
            </w:pPr>
            <w:r>
              <w:rPr>
                <w:sz w:val="21"/>
              </w:rPr>
              <w:t>务院保险监督管理机构规定的限额，身故给付的保险金额总和约定也不得超过</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前述限额。 </w:t>
            </w:r>
          </w:p>
        </w:tc>
      </w:tr>
      <w:tr>
        <w:trPr>
          <w:trHeight w:val="385"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7"/>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362" w:hRule="atLeast"/>
        </w:trPr>
        <w:tc>
          <w:tcPr>
            <w:tcW w:w="639" w:type="dxa"/>
          </w:tcPr>
          <w:p>
            <w:pPr>
              <w:pStyle w:val="TableParagraph"/>
              <w:spacing w:line="321" w:lineRule="exact"/>
              <w:ind w:left="50"/>
              <w:rPr>
                <w:rFonts w:ascii="Microsoft JhengHei"/>
                <w:b/>
                <w:sz w:val="21"/>
              </w:rPr>
            </w:pPr>
            <w:r>
              <w:rPr>
                <w:rFonts w:ascii="Microsoft JhengHei"/>
                <w:b/>
                <w:w w:val="90"/>
                <w:sz w:val="21"/>
              </w:rPr>
              <w:t>2. 3</w:t>
            </w:r>
          </w:p>
        </w:tc>
        <w:tc>
          <w:tcPr>
            <w:tcW w:w="1991" w:type="dxa"/>
          </w:tcPr>
          <w:p>
            <w:pPr>
              <w:pStyle w:val="TableParagraph"/>
              <w:spacing w:line="321" w:lineRule="exact"/>
              <w:ind w:left="167"/>
              <w:rPr>
                <w:rFonts w:ascii="Microsoft JhengHei" w:eastAsia="Microsoft JhengHei" w:hint="eastAsia"/>
                <w:b/>
                <w:sz w:val="21"/>
              </w:rPr>
            </w:pPr>
            <w:r>
              <w:rPr>
                <w:rFonts w:ascii="Microsoft JhengHei" w:eastAsia="Microsoft JhengHei" w:hint="eastAsia"/>
                <w:b/>
                <w:sz w:val="21"/>
              </w:rPr>
              <w:t>保险期间</w:t>
            </w:r>
          </w:p>
        </w:tc>
        <w:tc>
          <w:tcPr>
            <w:tcW w:w="7447" w:type="dxa"/>
          </w:tcPr>
          <w:p>
            <w:pPr>
              <w:pStyle w:val="TableParagraph"/>
              <w:spacing w:before="22"/>
              <w:ind w:left="134"/>
              <w:rPr>
                <w:sz w:val="21"/>
              </w:rPr>
            </w:pPr>
            <w:r>
              <w:rPr>
                <w:sz w:val="21"/>
              </w:rPr>
              <w:t>本附加险合同的保险期间由您在投保时与我们约定，并在我们签发的保险单上</w:t>
            </w:r>
          </w:p>
        </w:tc>
      </w:tr>
      <w:tr>
        <w:trPr>
          <w:trHeight w:val="344"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47" w:lineRule="exact"/>
              <w:ind w:left="134"/>
              <w:rPr>
                <w:sz w:val="21"/>
              </w:rPr>
            </w:pPr>
            <w:r>
              <w:rPr>
                <w:sz w:val="21"/>
              </w:rPr>
              <w:t>载明。 </w:t>
            </w:r>
          </w:p>
        </w:tc>
      </w:tr>
      <w:tr>
        <w:trPr>
          <w:trHeight w:val="385"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7"/>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402" w:hRule="atLeast"/>
        </w:trPr>
        <w:tc>
          <w:tcPr>
            <w:tcW w:w="639" w:type="dxa"/>
          </w:tcPr>
          <w:p>
            <w:pPr>
              <w:pStyle w:val="TableParagraph"/>
              <w:spacing w:line="321" w:lineRule="exact"/>
              <w:ind w:left="50"/>
              <w:rPr>
                <w:rFonts w:ascii="Microsoft JhengHei"/>
                <w:b/>
                <w:sz w:val="21"/>
              </w:rPr>
            </w:pPr>
            <w:r>
              <w:rPr>
                <w:rFonts w:ascii="Microsoft JhengHei"/>
                <w:b/>
                <w:w w:val="90"/>
                <w:sz w:val="21"/>
              </w:rPr>
              <w:t>2. 4</w:t>
            </w:r>
          </w:p>
        </w:tc>
        <w:tc>
          <w:tcPr>
            <w:tcW w:w="1991" w:type="dxa"/>
          </w:tcPr>
          <w:p>
            <w:pPr>
              <w:pStyle w:val="TableParagraph"/>
              <w:spacing w:line="321" w:lineRule="exact"/>
              <w:ind w:left="167"/>
              <w:rPr>
                <w:rFonts w:ascii="Microsoft JhengHei" w:eastAsia="Microsoft JhengHei" w:hint="eastAsia"/>
                <w:b/>
                <w:sz w:val="21"/>
              </w:rPr>
            </w:pPr>
            <w:r>
              <w:rPr>
                <w:rFonts w:ascii="Microsoft JhengHei" w:eastAsia="Microsoft JhengHei" w:hint="eastAsia"/>
                <w:b/>
                <w:sz w:val="21"/>
              </w:rPr>
              <w:t>保险责任</w:t>
            </w:r>
          </w:p>
        </w:tc>
        <w:tc>
          <w:tcPr>
            <w:tcW w:w="7447" w:type="dxa"/>
          </w:tcPr>
          <w:p>
            <w:pPr>
              <w:pStyle w:val="TableParagraph"/>
              <w:spacing w:before="22"/>
              <w:ind w:left="134"/>
              <w:rPr>
                <w:sz w:val="21"/>
              </w:rPr>
            </w:pPr>
            <w:r>
              <w:rPr>
                <w:sz w:val="21"/>
              </w:rPr>
              <w:t>在保险期间内，我们承担下列保险责任： </w:t>
            </w:r>
          </w:p>
        </w:tc>
      </w:tr>
      <w:tr>
        <w:trPr>
          <w:trHeight w:val="379" w:hRule="atLeast"/>
        </w:trPr>
        <w:tc>
          <w:tcPr>
            <w:tcW w:w="639" w:type="dxa"/>
          </w:tcPr>
          <w:p>
            <w:pPr>
              <w:pStyle w:val="TableParagraph"/>
              <w:spacing w:before="11"/>
              <w:ind w:left="50"/>
              <w:rPr>
                <w:sz w:val="21"/>
              </w:rPr>
            </w:pPr>
            <w:r>
              <w:rPr>
                <w:w w:val="100"/>
                <w:sz w:val="21"/>
              </w:rPr>
              <w:t> </w:t>
            </w:r>
          </w:p>
        </w:tc>
        <w:tc>
          <w:tcPr>
            <w:tcW w:w="1991" w:type="dxa"/>
          </w:tcPr>
          <w:p>
            <w:pPr>
              <w:pStyle w:val="TableParagraph"/>
              <w:spacing w:before="11"/>
              <w:ind w:left="167"/>
              <w:rPr>
                <w:sz w:val="21"/>
              </w:rPr>
            </w:pPr>
            <w:r>
              <w:rPr>
                <w:w w:val="100"/>
                <w:sz w:val="21"/>
              </w:rPr>
              <w:t> </w:t>
            </w:r>
          </w:p>
        </w:tc>
        <w:tc>
          <w:tcPr>
            <w:tcW w:w="7447" w:type="dxa"/>
          </w:tcPr>
          <w:p>
            <w:pPr>
              <w:pStyle w:val="TableParagraph"/>
              <w:spacing w:before="11"/>
              <w:ind w:left="134"/>
              <w:rPr>
                <w:sz w:val="21"/>
              </w:rPr>
            </w:pPr>
            <w:r>
              <w:rPr>
                <w:w w:val="100"/>
                <w:sz w:val="21"/>
              </w:rPr>
              <w:t> </w:t>
            </w:r>
          </w:p>
        </w:tc>
      </w:tr>
      <w:tr>
        <w:trPr>
          <w:trHeight w:val="352" w:hRule="atLeast"/>
        </w:trPr>
        <w:tc>
          <w:tcPr>
            <w:tcW w:w="639" w:type="dxa"/>
          </w:tcPr>
          <w:p>
            <w:pPr>
              <w:pStyle w:val="TableParagraph"/>
              <w:rPr>
                <w:rFonts w:ascii="Times New Roman"/>
                <w:sz w:val="20"/>
              </w:rPr>
            </w:pPr>
          </w:p>
        </w:tc>
        <w:tc>
          <w:tcPr>
            <w:tcW w:w="1991" w:type="dxa"/>
          </w:tcPr>
          <w:p>
            <w:pPr>
              <w:pStyle w:val="TableParagraph"/>
              <w:spacing w:line="301" w:lineRule="exact"/>
              <w:ind w:left="167"/>
              <w:rPr>
                <w:rFonts w:ascii="Microsoft JhengHei" w:eastAsia="Microsoft JhengHei" w:hint="eastAsia"/>
                <w:b/>
                <w:sz w:val="21"/>
              </w:rPr>
            </w:pPr>
            <w:r>
              <w:rPr>
                <w:rFonts w:ascii="Microsoft JhengHei" w:eastAsia="Microsoft JhengHei" w:hint="eastAsia"/>
                <w:b/>
                <w:sz w:val="21"/>
              </w:rPr>
              <w:t>重大疾病保险金</w:t>
            </w:r>
          </w:p>
        </w:tc>
        <w:tc>
          <w:tcPr>
            <w:tcW w:w="7447" w:type="dxa"/>
          </w:tcPr>
          <w:p>
            <w:pPr>
              <w:pStyle w:val="TableParagraph"/>
              <w:spacing w:before="21"/>
              <w:ind w:left="134"/>
              <w:rPr>
                <w:sz w:val="21"/>
              </w:rPr>
            </w:pPr>
            <w:r>
              <w:rPr>
                <w:spacing w:val="-8"/>
                <w:w w:val="100"/>
                <w:sz w:val="21"/>
              </w:rPr>
              <w:t>自本附加险合同生效日或最后复效日</w:t>
            </w:r>
            <w:r>
              <w:rPr>
                <w:spacing w:val="-3"/>
                <w:w w:val="100"/>
                <w:sz w:val="21"/>
              </w:rPr>
              <w:t>（以较迟者为准</w:t>
            </w:r>
            <w:r>
              <w:rPr>
                <w:spacing w:val="-68"/>
                <w:w w:val="100"/>
                <w:sz w:val="21"/>
              </w:rPr>
              <w:t>）</w:t>
            </w:r>
            <w:r>
              <w:rPr>
                <w:w w:val="100"/>
                <w:sz w:val="21"/>
              </w:rPr>
              <w:t>起</w:t>
            </w:r>
            <w:r>
              <w:rPr>
                <w:spacing w:val="-53"/>
                <w:sz w:val="21"/>
              </w:rPr>
              <w:t> </w:t>
            </w:r>
            <w:r>
              <w:rPr>
                <w:w w:val="100"/>
                <w:sz w:val="21"/>
              </w:rPr>
              <w:t>90</w:t>
            </w:r>
            <w:r>
              <w:rPr>
                <w:spacing w:val="-55"/>
                <w:sz w:val="21"/>
              </w:rPr>
              <w:t> </w:t>
            </w:r>
            <w:r>
              <w:rPr>
                <w:spacing w:val="-34"/>
                <w:w w:val="100"/>
                <w:sz w:val="21"/>
              </w:rPr>
              <w:t>日内</w:t>
            </w:r>
            <w:r>
              <w:rPr>
                <w:spacing w:val="-3"/>
                <w:w w:val="100"/>
                <w:sz w:val="21"/>
              </w:rPr>
              <w:t>（</w:t>
            </w:r>
            <w:r>
              <w:rPr>
                <w:w w:val="100"/>
                <w:sz w:val="21"/>
              </w:rPr>
              <w:t>含第</w:t>
            </w:r>
            <w:r>
              <w:rPr>
                <w:spacing w:val="-55"/>
                <w:sz w:val="21"/>
              </w:rPr>
              <w:t> </w:t>
            </w:r>
            <w:r>
              <w:rPr>
                <w:w w:val="100"/>
                <w:sz w:val="21"/>
              </w:rPr>
              <w:t>90</w:t>
            </w:r>
            <w:r>
              <w:rPr>
                <w:spacing w:val="-53"/>
                <w:sz w:val="21"/>
              </w:rPr>
              <w:t> </w:t>
            </w:r>
            <w:r>
              <w:rPr>
                <w:spacing w:val="-3"/>
                <w:w w:val="100"/>
                <w:sz w:val="21"/>
              </w:rPr>
              <w:t>日</w:t>
            </w:r>
            <w:r>
              <w:rPr>
                <w:spacing w:val="-106"/>
                <w:w w:val="100"/>
                <w:sz w:val="21"/>
              </w:rPr>
              <w:t>）</w:t>
            </w:r>
            <w:r>
              <w:rPr>
                <w:w w:val="100"/>
                <w:sz w:val="21"/>
              </w:rPr>
              <w:t>，</w:t>
            </w:r>
          </w:p>
        </w:tc>
      </w:tr>
      <w:tr>
        <w:trPr>
          <w:trHeight w:val="313"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80" w:lineRule="exact"/>
              <w:ind w:left="134"/>
              <w:rPr>
                <w:rFonts w:ascii="Microsoft JhengHei" w:eastAsia="Microsoft JhengHei" w:hint="eastAsia"/>
                <w:b/>
                <w:sz w:val="21"/>
              </w:rPr>
            </w:pPr>
            <w:r>
              <w:rPr>
                <w:sz w:val="21"/>
              </w:rPr>
              <w:t>若被保险人经</w:t>
            </w:r>
            <w:r>
              <w:rPr>
                <w:rFonts w:ascii="Microsoft JhengHei" w:eastAsia="Microsoft JhengHei" w:hint="eastAsia"/>
                <w:b/>
                <w:sz w:val="21"/>
              </w:rPr>
              <w:t>医疗机构</w:t>
            </w:r>
            <w:r>
              <w:rPr>
                <w:sz w:val="21"/>
              </w:rPr>
              <w:t>（见 10.3）确诊，首次患上符合本条款定义的</w:t>
            </w:r>
            <w:r>
              <w:rPr>
                <w:rFonts w:ascii="Microsoft JhengHei" w:eastAsia="Microsoft JhengHei" w:hint="eastAsia"/>
                <w:b/>
                <w:sz w:val="21"/>
              </w:rPr>
              <w:t>重大疾病</w:t>
            </w:r>
          </w:p>
        </w:tc>
      </w:tr>
      <w:tr>
        <w:trPr>
          <w:trHeight w:val="31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w w:val="100"/>
                <w:sz w:val="21"/>
              </w:rPr>
              <w:t>（见</w:t>
            </w:r>
            <w:r>
              <w:rPr>
                <w:sz w:val="21"/>
              </w:rPr>
              <w:t> </w:t>
            </w:r>
            <w:r>
              <w:rPr>
                <w:w w:val="100"/>
                <w:sz w:val="21"/>
              </w:rPr>
              <w:t>1</w:t>
            </w:r>
            <w:r>
              <w:rPr>
                <w:spacing w:val="-3"/>
                <w:w w:val="100"/>
                <w:sz w:val="21"/>
              </w:rPr>
              <w:t>0</w:t>
            </w:r>
            <w:r>
              <w:rPr>
                <w:w w:val="100"/>
                <w:sz w:val="21"/>
              </w:rPr>
              <w:t>.4</w:t>
            </w:r>
            <w:r>
              <w:rPr>
                <w:spacing w:val="-106"/>
                <w:w w:val="100"/>
                <w:sz w:val="21"/>
              </w:rPr>
              <w:t>）</w:t>
            </w:r>
            <w:r>
              <w:rPr>
                <w:spacing w:val="-3"/>
                <w:w w:val="100"/>
                <w:sz w:val="21"/>
              </w:rPr>
              <w:t>，我们将按您所支付的全部保险费给付重大疾病保险金，本附加险</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合同终止。 </w:t>
            </w:r>
          </w:p>
        </w:tc>
      </w:tr>
      <w:tr>
        <w:trPr>
          <w:trHeight w:val="35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19"/>
              <w:ind w:left="134"/>
              <w:rPr>
                <w:sz w:val="21"/>
              </w:rPr>
            </w:pPr>
            <w:r>
              <w:rPr>
                <w:sz w:val="21"/>
              </w:rPr>
              <w:t>自本附加险合同生效日或最后复效日（以较迟者为准）起 90 日后（不含第 90</w:t>
            </w:r>
          </w:p>
        </w:tc>
      </w:tr>
      <w:tr>
        <w:trPr>
          <w:trHeight w:val="31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日</w:t>
            </w:r>
            <w:r>
              <w:rPr>
                <w:spacing w:val="-70"/>
                <w:sz w:val="21"/>
              </w:rPr>
              <w:t>）</w:t>
            </w:r>
            <w:r>
              <w:rPr>
                <w:spacing w:val="-13"/>
                <w:sz w:val="21"/>
              </w:rPr>
              <w:t>，若被保险人经医疗机构确诊，首次患上符合本条款定义的重大疾病，我们</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将按基本保险金额给付重大疾病保险金，本附加险合同终止。 </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19"/>
              <w:ind w:left="134"/>
              <w:rPr>
                <w:sz w:val="21"/>
              </w:rPr>
            </w:pPr>
            <w:r>
              <w:rPr>
                <w:sz w:val="21"/>
              </w:rPr>
              <w:t>被保险人经医疗机构确诊首次患上多种重大疾病的，重大疾病保险金的给付以</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基本保险金额为限。 </w:t>
            </w:r>
          </w:p>
        </w:tc>
      </w:tr>
      <w:tr>
        <w:trPr>
          <w:trHeight w:val="386"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7"/>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354" w:hRule="atLeast"/>
        </w:trPr>
        <w:tc>
          <w:tcPr>
            <w:tcW w:w="639" w:type="dxa"/>
          </w:tcPr>
          <w:p>
            <w:pPr>
              <w:pStyle w:val="TableParagraph"/>
              <w:rPr>
                <w:rFonts w:ascii="Times New Roman"/>
                <w:sz w:val="20"/>
              </w:rPr>
            </w:pPr>
          </w:p>
        </w:tc>
        <w:tc>
          <w:tcPr>
            <w:tcW w:w="1991" w:type="dxa"/>
          </w:tcPr>
          <w:p>
            <w:pPr>
              <w:pStyle w:val="TableParagraph"/>
              <w:spacing w:line="301" w:lineRule="exact"/>
              <w:ind w:left="167"/>
              <w:rPr>
                <w:rFonts w:ascii="Microsoft JhengHei" w:eastAsia="Microsoft JhengHei" w:hint="eastAsia"/>
                <w:b/>
                <w:sz w:val="21"/>
              </w:rPr>
            </w:pPr>
            <w:r>
              <w:rPr>
                <w:rFonts w:ascii="Microsoft JhengHei" w:eastAsia="Microsoft JhengHei" w:hint="eastAsia"/>
                <w:b/>
                <w:sz w:val="21"/>
              </w:rPr>
              <w:t>身故保险金</w:t>
            </w:r>
          </w:p>
        </w:tc>
        <w:tc>
          <w:tcPr>
            <w:tcW w:w="7447" w:type="dxa"/>
          </w:tcPr>
          <w:p>
            <w:pPr>
              <w:pStyle w:val="TableParagraph"/>
              <w:spacing w:line="320" w:lineRule="exact"/>
              <w:ind w:left="134"/>
              <w:rPr>
                <w:sz w:val="21"/>
              </w:rPr>
            </w:pPr>
            <w:r>
              <w:rPr>
                <w:sz w:val="21"/>
              </w:rPr>
              <w:t>若被保险人因</w:t>
            </w:r>
            <w:r>
              <w:rPr>
                <w:rFonts w:ascii="Microsoft JhengHei" w:eastAsia="Microsoft JhengHei" w:hint="eastAsia"/>
                <w:b/>
                <w:sz w:val="21"/>
              </w:rPr>
              <w:t>意外伤害</w:t>
            </w:r>
            <w:r>
              <w:rPr>
                <w:sz w:val="21"/>
              </w:rPr>
              <w:t>（见 10.5）身故，我们将按被保险人的基本保险金额给</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付身故保险金，本附加险合同终止。 </w:t>
            </w:r>
          </w:p>
        </w:tc>
      </w:tr>
      <w:tr>
        <w:trPr>
          <w:trHeight w:val="35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19"/>
              <w:ind w:left="134"/>
              <w:rPr>
                <w:sz w:val="21"/>
              </w:rPr>
            </w:pPr>
            <w:r>
              <w:rPr>
                <w:sz w:val="21"/>
              </w:rPr>
              <w:t>自本附加险合同生效日或最后复效日（以较迟者为准）起 180 日内（含第 180</w:t>
            </w:r>
          </w:p>
        </w:tc>
      </w:tr>
      <w:tr>
        <w:trPr>
          <w:trHeight w:val="31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日</w:t>
            </w:r>
            <w:r>
              <w:rPr>
                <w:spacing w:val="-104"/>
                <w:sz w:val="21"/>
              </w:rPr>
              <w:t>）</w:t>
            </w:r>
            <w:r>
              <w:rPr>
                <w:spacing w:val="-17"/>
                <w:sz w:val="21"/>
              </w:rPr>
              <w:t>，若被保险人因疾病身故，我们将按您所支付的全部保险费给付身故保险金，</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本附加险合同终止。 </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19"/>
              <w:ind w:left="134"/>
              <w:rPr>
                <w:sz w:val="21"/>
              </w:rPr>
            </w:pPr>
            <w:r>
              <w:rPr>
                <w:spacing w:val="-6"/>
                <w:sz w:val="21"/>
              </w:rPr>
              <w:t>自本附加险合同生效日或最后复效日</w:t>
            </w:r>
            <w:r>
              <w:rPr>
                <w:spacing w:val="-3"/>
                <w:sz w:val="21"/>
              </w:rPr>
              <w:t>（以较迟者为准</w:t>
            </w:r>
            <w:r>
              <w:rPr>
                <w:spacing w:val="-51"/>
                <w:sz w:val="21"/>
              </w:rPr>
              <w:t>）</w:t>
            </w:r>
            <w:r>
              <w:rPr>
                <w:spacing w:val="-21"/>
                <w:sz w:val="21"/>
              </w:rPr>
              <w:t>起 </w:t>
            </w:r>
            <w:r>
              <w:rPr>
                <w:sz w:val="21"/>
              </w:rPr>
              <w:t>180</w:t>
            </w:r>
            <w:r>
              <w:rPr>
                <w:spacing w:val="-32"/>
                <w:sz w:val="21"/>
              </w:rPr>
              <w:t> 日后</w:t>
            </w:r>
            <w:r>
              <w:rPr>
                <w:spacing w:val="-3"/>
                <w:sz w:val="21"/>
              </w:rPr>
              <w:t>（</w:t>
            </w:r>
            <w:r>
              <w:rPr>
                <w:spacing w:val="-12"/>
                <w:sz w:val="21"/>
              </w:rPr>
              <w:t>不含第 </w:t>
            </w:r>
            <w:r>
              <w:rPr>
                <w:sz w:val="21"/>
              </w:rPr>
              <w:t>180</w:t>
            </w:r>
          </w:p>
        </w:tc>
      </w:tr>
      <w:tr>
        <w:trPr>
          <w:trHeight w:val="312"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日</w:t>
            </w:r>
            <w:r>
              <w:rPr>
                <w:spacing w:val="-77"/>
                <w:sz w:val="21"/>
              </w:rPr>
              <w:t>）</w:t>
            </w:r>
            <w:r>
              <w:rPr>
                <w:spacing w:val="-13"/>
                <w:sz w:val="21"/>
              </w:rPr>
              <w:t>，若被保险人因疾病身故，我们将按被保险人的基本保险金额给付身故保险</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金，本附加险合同终止。 </w:t>
            </w:r>
          </w:p>
        </w:tc>
      </w:tr>
      <w:tr>
        <w:trPr>
          <w:trHeight w:val="385" w:hRule="atLeast"/>
        </w:trPr>
        <w:tc>
          <w:tcPr>
            <w:tcW w:w="639" w:type="dxa"/>
          </w:tcPr>
          <w:p>
            <w:pPr>
              <w:pStyle w:val="TableParagraph"/>
              <w:spacing w:before="19"/>
              <w:ind w:left="50"/>
              <w:rPr>
                <w:sz w:val="21"/>
              </w:rPr>
            </w:pPr>
            <w:r>
              <w:rPr>
                <w:w w:val="100"/>
                <w:sz w:val="21"/>
              </w:rPr>
              <w:t> </w:t>
            </w:r>
          </w:p>
        </w:tc>
        <w:tc>
          <w:tcPr>
            <w:tcW w:w="1991" w:type="dxa"/>
          </w:tcPr>
          <w:p>
            <w:pPr>
              <w:pStyle w:val="TableParagraph"/>
              <w:spacing w:before="19"/>
              <w:ind w:left="167"/>
              <w:rPr>
                <w:sz w:val="21"/>
              </w:rPr>
            </w:pPr>
            <w:r>
              <w:rPr>
                <w:w w:val="100"/>
                <w:sz w:val="21"/>
              </w:rPr>
              <w:t> </w:t>
            </w:r>
          </w:p>
        </w:tc>
        <w:tc>
          <w:tcPr>
            <w:tcW w:w="7447" w:type="dxa"/>
          </w:tcPr>
          <w:p>
            <w:pPr>
              <w:pStyle w:val="TableParagraph"/>
              <w:spacing w:before="19"/>
              <w:ind w:left="134"/>
              <w:rPr>
                <w:sz w:val="21"/>
              </w:rPr>
            </w:pPr>
            <w:r>
              <w:rPr>
                <w:w w:val="100"/>
                <w:sz w:val="21"/>
              </w:rPr>
              <w:t> </w:t>
            </w:r>
          </w:p>
        </w:tc>
      </w:tr>
      <w:tr>
        <w:trPr>
          <w:trHeight w:val="674" w:hRule="atLeast"/>
        </w:trPr>
        <w:tc>
          <w:tcPr>
            <w:tcW w:w="639" w:type="dxa"/>
          </w:tcPr>
          <w:p>
            <w:pPr>
              <w:pStyle w:val="TableParagraph"/>
              <w:spacing w:line="321" w:lineRule="exact"/>
              <w:ind w:left="50"/>
              <w:rPr>
                <w:rFonts w:ascii="Microsoft JhengHei"/>
                <w:b/>
                <w:sz w:val="21"/>
              </w:rPr>
            </w:pPr>
            <w:r>
              <w:rPr>
                <w:rFonts w:ascii="Microsoft JhengHei"/>
                <w:b/>
                <w:w w:val="90"/>
                <w:sz w:val="21"/>
              </w:rPr>
              <w:t>2. 5</w:t>
            </w:r>
          </w:p>
        </w:tc>
        <w:tc>
          <w:tcPr>
            <w:tcW w:w="1991" w:type="dxa"/>
          </w:tcPr>
          <w:p>
            <w:pPr>
              <w:pStyle w:val="TableParagraph"/>
              <w:spacing w:line="321" w:lineRule="exact"/>
              <w:ind w:left="167"/>
              <w:rPr>
                <w:sz w:val="21"/>
              </w:rPr>
            </w:pPr>
            <w:r>
              <w:rPr>
                <w:rFonts w:ascii="Microsoft JhengHei" w:eastAsia="Microsoft JhengHei" w:hint="eastAsia"/>
                <w:b/>
                <w:sz w:val="21"/>
              </w:rPr>
              <w:t>责任免除</w:t>
            </w:r>
            <w:r>
              <w:rPr>
                <w:sz w:val="21"/>
              </w:rPr>
              <w:t> </w:t>
            </w:r>
          </w:p>
        </w:tc>
        <w:tc>
          <w:tcPr>
            <w:tcW w:w="7447" w:type="dxa"/>
          </w:tcPr>
          <w:p>
            <w:pPr>
              <w:pStyle w:val="TableParagraph"/>
              <w:spacing w:line="295" w:lineRule="exact"/>
              <w:ind w:left="134"/>
              <w:rPr>
                <w:rFonts w:ascii="Microsoft JhengHei" w:eastAsia="Microsoft JhengHei" w:hint="eastAsia"/>
                <w:b/>
                <w:sz w:val="21"/>
              </w:rPr>
            </w:pPr>
            <w:r>
              <w:rPr>
                <w:rFonts w:ascii="Microsoft JhengHei" w:eastAsia="Microsoft JhengHei" w:hint="eastAsia"/>
                <w:b/>
                <w:w w:val="95"/>
                <w:sz w:val="21"/>
              </w:rPr>
              <w:t>因下列第（1）至（7）项情形之一导致被保险人身故，或因下列第（1）至（6）</w:t>
            </w:r>
          </w:p>
          <w:p>
            <w:pPr>
              <w:pStyle w:val="TableParagraph"/>
              <w:spacing w:line="339" w:lineRule="exact"/>
              <w:ind w:left="134"/>
              <w:rPr>
                <w:rFonts w:ascii="Microsoft JhengHei" w:eastAsia="Microsoft JhengHei" w:hint="eastAsia"/>
                <w:b/>
                <w:sz w:val="21"/>
              </w:rPr>
            </w:pPr>
            <w:r>
              <w:rPr>
                <w:rFonts w:ascii="Microsoft JhengHei" w:eastAsia="Microsoft JhengHei" w:hint="eastAsia"/>
                <w:b/>
                <w:w w:val="95"/>
                <w:sz w:val="21"/>
              </w:rPr>
              <w:t>以及第（8）至（9）项情形之一导致被保险人发生疾病、达到疾病状态或进行</w:t>
            </w:r>
          </w:p>
        </w:tc>
      </w:tr>
      <w:tr>
        <w:trPr>
          <w:trHeight w:val="339"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71" w:lineRule="exact"/>
              <w:ind w:left="134"/>
              <w:rPr>
                <w:rFonts w:ascii="Microsoft JhengHei" w:eastAsia="Microsoft JhengHei" w:hint="eastAsia"/>
                <w:b/>
                <w:sz w:val="21"/>
              </w:rPr>
            </w:pPr>
            <w:r>
              <w:rPr>
                <w:rFonts w:ascii="Microsoft JhengHei" w:eastAsia="Microsoft JhengHei" w:hint="eastAsia"/>
                <w:b/>
                <w:sz w:val="21"/>
              </w:rPr>
              <w:t>手术的，我们不承担给付保险金的责任：</w:t>
            </w:r>
          </w:p>
        </w:tc>
      </w:tr>
      <w:tr>
        <w:trPr>
          <w:trHeight w:val="397"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323" w:lineRule="exact"/>
              <w:ind w:left="134"/>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89"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314" w:lineRule="exact"/>
              <w:ind w:left="134"/>
              <w:rPr>
                <w:rFonts w:ascii="Microsoft JhengHei" w:eastAsia="Microsoft JhengHei" w:hint="eastAsia"/>
                <w:b/>
                <w:sz w:val="21"/>
              </w:rPr>
            </w:pPr>
            <w:r>
              <w:rPr>
                <w:rFonts w:ascii="Microsoft JhengHei" w:eastAsia="Microsoft JhengHei" w:hint="eastAsia"/>
                <w:b/>
                <w:sz w:val="21"/>
              </w:rPr>
              <w:t>（2）被保险人故意犯罪或者抗拒依法采取的刑事强制措施；</w:t>
            </w:r>
          </w:p>
        </w:tc>
      </w:tr>
      <w:tr>
        <w:trPr>
          <w:trHeight w:val="39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315" w:lineRule="exact"/>
              <w:ind w:left="13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12"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92" w:lineRule="exact"/>
              <w:ind w:left="13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tc>
      </w:tr>
    </w:tbl>
    <w:p>
      <w:pPr>
        <w:pStyle w:val="Heading3"/>
        <w:spacing w:line="314" w:lineRule="exact"/>
        <w:ind w:left="3384"/>
      </w:pPr>
      <w:r>
        <w:rPr>
          <w:w w:val="100"/>
        </w:rPr>
        <w:t>驶无有效行驶证（见</w:t>
      </w:r>
      <w:r>
        <w:rPr/>
        <w:t> </w:t>
      </w:r>
      <w:r>
        <w:rPr>
          <w:w w:val="84"/>
        </w:rPr>
        <w:t>1</w:t>
      </w:r>
      <w:r>
        <w:rPr>
          <w:spacing w:val="1"/>
          <w:w w:val="84"/>
        </w:rPr>
        <w:t>0</w:t>
      </w:r>
      <w:r>
        <w:rPr>
          <w:w w:val="109"/>
        </w:rPr>
        <w:t>.</w:t>
      </w:r>
      <w:r>
        <w:rPr>
          <w:spacing w:val="-29"/>
        </w:rPr>
        <w:t> </w:t>
      </w:r>
      <w:r>
        <w:rPr>
          <w:spacing w:val="17"/>
          <w:w w:val="84"/>
        </w:rPr>
        <w:t>9</w:t>
      </w:r>
      <w:r>
        <w:rPr>
          <w:w w:val="100"/>
        </w:rPr>
        <w:t>）的机动车（见</w:t>
      </w:r>
      <w:r>
        <w:rPr/>
        <w:t> </w:t>
      </w:r>
      <w:r>
        <w:rPr>
          <w:w w:val="84"/>
        </w:rPr>
        <w:t>1</w:t>
      </w:r>
      <w:r>
        <w:rPr>
          <w:spacing w:val="1"/>
          <w:w w:val="84"/>
        </w:rPr>
        <w:t>0</w:t>
      </w:r>
      <w:r>
        <w:rPr>
          <w:w w:val="109"/>
        </w:rPr>
        <w:t>.</w:t>
      </w:r>
      <w:r>
        <w:rPr>
          <w:spacing w:val="-29"/>
        </w:rPr>
        <w:t> </w:t>
      </w:r>
      <w:r>
        <w:rPr>
          <w:w w:val="84"/>
        </w:rPr>
        <w:t>10</w:t>
      </w:r>
      <w:r>
        <w:rPr>
          <w:spacing w:val="-33"/>
        </w:rPr>
        <w:t> </w:t>
      </w:r>
      <w:r>
        <w:rPr>
          <w:spacing w:val="-106"/>
          <w:w w:val="100"/>
        </w:rPr>
        <w:t>）</w:t>
      </w:r>
      <w:r>
        <w:rPr>
          <w:w w:val="100"/>
        </w:rPr>
        <w:t>；</w:t>
      </w:r>
    </w:p>
    <w:p>
      <w:pPr>
        <w:spacing w:before="25"/>
        <w:ind w:left="2877"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after="0"/>
        <w:jc w:val="left"/>
        <w:rPr>
          <w:rFonts w:ascii="Microsoft JhengHei" w:eastAsia="Microsoft JhengHei" w:hint="eastAsia"/>
          <w:sz w:val="21"/>
        </w:rPr>
        <w:sectPr>
          <w:pgSz w:w="11900" w:h="16840"/>
          <w:pgMar w:header="0" w:footer="724" w:top="1500" w:bottom="920" w:left="1140" w:right="460"/>
        </w:sectPr>
      </w:pPr>
    </w:p>
    <w:p>
      <w:pPr>
        <w:spacing w:line="327" w:lineRule="exact" w:before="0"/>
        <w:ind w:left="2937" w:right="0" w:firstLine="0"/>
        <w:jc w:val="left"/>
        <w:rPr>
          <w:rFonts w:ascii="Microsoft JhengHei" w:eastAsia="Microsoft JhengHei" w:hint="eastAsia"/>
          <w:b/>
          <w:sz w:val="21"/>
        </w:rPr>
      </w:pPr>
      <w:r>
        <w:rPr>
          <w:rFonts w:ascii="Microsoft JhengHei" w:eastAsia="Microsoft JhengHei" w:hint="eastAsia"/>
          <w:b/>
          <w:w w:val="95"/>
          <w:sz w:val="21"/>
        </w:rPr>
        <w:t>（6）核爆炸、核辐射或核污染；</w:t>
      </w:r>
    </w:p>
    <w:p>
      <w:pPr>
        <w:spacing w:line="204" w:lineRule="auto" w:before="78"/>
        <w:ind w:left="3465" w:right="250" w:hanging="528"/>
        <w:jc w:val="left"/>
        <w:rPr>
          <w:rFonts w:ascii="Microsoft JhengHei" w:eastAsia="Microsoft JhengHei" w:hint="eastAsia"/>
          <w:b/>
          <w:sz w:val="21"/>
        </w:rPr>
      </w:pPr>
      <w:r>
        <w:rPr>
          <w:rFonts w:ascii="Microsoft JhengHei" w:eastAsia="Microsoft JhengHei" w:hint="eastAsia"/>
          <w:b/>
          <w:sz w:val="21"/>
        </w:rPr>
        <w:t>（7）被保险人自本附加险合同成立或者本附加险合同效力恢复之日起 2 年内自杀，但被保险人自杀时为无民事行为能力人的除外。</w:t>
      </w:r>
    </w:p>
    <w:p>
      <w:pPr>
        <w:pStyle w:val="BodyText"/>
        <w:spacing w:before="7"/>
        <w:ind w:left="0"/>
        <w:rPr>
          <w:rFonts w:ascii="Microsoft JhengHei"/>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868"/>
        <w:gridCol w:w="7516"/>
      </w:tblGrid>
      <w:tr>
        <w:trPr>
          <w:trHeight w:val="1408"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45" w:lineRule="exact"/>
              <w:ind w:left="25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8</w:t>
            </w:r>
            <w:r>
              <w:rPr>
                <w:rFonts w:ascii="Microsoft JhengHei" w:eastAsia="Microsoft JhengHei" w:hint="eastAsia"/>
                <w:b/>
                <w:w w:val="100"/>
                <w:sz w:val="21"/>
              </w:rPr>
              <w:t>）</w:t>
            </w:r>
            <w:r>
              <w:rPr>
                <w:rFonts w:ascii="Microsoft JhengHei" w:eastAsia="Microsoft JhengHei" w:hint="eastAsia"/>
                <w:b/>
                <w:spacing w:val="-2"/>
                <w:w w:val="100"/>
                <w:sz w:val="21"/>
              </w:rPr>
              <w:t>先天性畸形、变形和染色体异常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TableParagraph"/>
              <w:spacing w:before="23"/>
              <w:ind w:left="257"/>
              <w:rPr>
                <w:rFonts w:ascii="Microsoft JhengHei" w:eastAsia="Microsoft JhengHei" w:hint="eastAsia"/>
                <w:b/>
                <w:sz w:val="21"/>
              </w:rPr>
            </w:pPr>
            <w:r>
              <w:rPr>
                <w:rFonts w:ascii="Microsoft JhengHei" w:eastAsia="Microsoft JhengHei" w:hint="eastAsia"/>
                <w:b/>
                <w:w w:val="95"/>
                <w:sz w:val="21"/>
              </w:rPr>
              <w:t>（9）被保险人故意自伤。</w:t>
            </w:r>
          </w:p>
          <w:p>
            <w:pPr>
              <w:pStyle w:val="TableParagraph"/>
              <w:spacing w:line="204" w:lineRule="auto" w:before="80"/>
              <w:ind w:left="257" w:right="111"/>
              <w:rPr>
                <w:rFonts w:ascii="Microsoft JhengHei" w:eastAsia="Microsoft JhengHei" w:hint="eastAsia"/>
                <w:b/>
                <w:sz w:val="21"/>
              </w:rPr>
            </w:pPr>
            <w:r>
              <w:rPr>
                <w:rFonts w:ascii="Microsoft JhengHei" w:eastAsia="Microsoft JhengHei" w:hint="eastAsia"/>
                <w:b/>
                <w:spacing w:val="-6"/>
                <w:sz w:val="21"/>
              </w:rPr>
              <w:t>发生上述情形导致被保险人身故、发生疾病、达到疾病状态或进行手术的，本</w:t>
            </w:r>
            <w:r>
              <w:rPr>
                <w:rFonts w:ascii="Microsoft JhengHei" w:eastAsia="Microsoft JhengHei" w:hint="eastAsia"/>
                <w:b/>
                <w:spacing w:val="-3"/>
                <w:sz w:val="21"/>
              </w:rPr>
              <w:t>附加险合同终止，我们退还本附加险合同的现金价值</w:t>
            </w:r>
            <w:r>
              <w:rPr>
                <w:rFonts w:ascii="Microsoft JhengHei" w:eastAsia="Microsoft JhengHei" w:hint="eastAsia"/>
                <w:b/>
                <w:sz w:val="21"/>
              </w:rPr>
              <w:t>（</w:t>
            </w:r>
            <w:r>
              <w:rPr>
                <w:rFonts w:ascii="Microsoft JhengHei" w:eastAsia="Microsoft JhengHei" w:hint="eastAsia"/>
                <w:b/>
                <w:spacing w:val="-11"/>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13 </w:t>
            </w:r>
            <w:r>
              <w:rPr>
                <w:rFonts w:ascii="Microsoft JhengHei" w:eastAsia="Microsoft JhengHei" w:hint="eastAsia"/>
                <w:b/>
                <w:spacing w:val="-106"/>
                <w:sz w:val="21"/>
              </w:rPr>
              <w:t>）。</w:t>
            </w:r>
          </w:p>
        </w:tc>
      </w:tr>
      <w:tr>
        <w:trPr>
          <w:trHeight w:val="399" w:hRule="atLeast"/>
        </w:trPr>
        <w:tc>
          <w:tcPr>
            <w:tcW w:w="697" w:type="dxa"/>
          </w:tcPr>
          <w:p>
            <w:pPr>
              <w:pStyle w:val="TableParagraph"/>
              <w:spacing w:before="18"/>
              <w:ind w:left="107"/>
              <w:rPr>
                <w:sz w:val="21"/>
              </w:rPr>
            </w:pPr>
            <w:r>
              <w:rPr>
                <w:w w:val="100"/>
                <w:sz w:val="21"/>
              </w:rPr>
              <w:t> </w:t>
            </w:r>
          </w:p>
        </w:tc>
        <w:tc>
          <w:tcPr>
            <w:tcW w:w="1868" w:type="dxa"/>
          </w:tcPr>
          <w:p>
            <w:pPr>
              <w:pStyle w:val="TableParagraph"/>
              <w:spacing w:before="18"/>
              <w:ind w:left="166"/>
              <w:rPr>
                <w:sz w:val="21"/>
              </w:rPr>
            </w:pPr>
            <w:r>
              <w:rPr>
                <w:w w:val="100"/>
                <w:sz w:val="21"/>
              </w:rPr>
              <w:t> </w:t>
            </w:r>
          </w:p>
        </w:tc>
        <w:tc>
          <w:tcPr>
            <w:tcW w:w="7516" w:type="dxa"/>
          </w:tcPr>
          <w:p>
            <w:pPr>
              <w:pStyle w:val="TableParagraph"/>
              <w:spacing w:before="18"/>
              <w:ind w:left="257"/>
              <w:rPr>
                <w:sz w:val="21"/>
              </w:rPr>
            </w:pPr>
            <w:r>
              <w:rPr>
                <w:w w:val="100"/>
                <w:sz w:val="21"/>
              </w:rPr>
              <w:t> </w:t>
            </w:r>
          </w:p>
        </w:tc>
      </w:tr>
      <w:tr>
        <w:trPr>
          <w:trHeight w:val="644" w:hRule="atLeast"/>
        </w:trPr>
        <w:tc>
          <w:tcPr>
            <w:tcW w:w="697" w:type="dxa"/>
            <w:tcBorders>
              <w:bottom w:val="single" w:sz="8" w:space="0" w:color="000000"/>
            </w:tcBorders>
          </w:tcPr>
          <w:p>
            <w:pPr>
              <w:pStyle w:val="TableParagraph"/>
              <w:spacing w:before="89"/>
              <w:ind w:left="109"/>
              <w:rPr>
                <w:rFonts w:ascii="Times New Roman"/>
                <w:b/>
                <w:sz w:val="40"/>
              </w:rPr>
            </w:pPr>
            <w:r>
              <w:rPr>
                <w:rFonts w:ascii="Times New Roman"/>
                <w:b/>
                <w:w w:val="100"/>
                <w:sz w:val="40"/>
              </w:rPr>
              <w:t>w</w:t>
            </w:r>
          </w:p>
        </w:tc>
        <w:tc>
          <w:tcPr>
            <w:tcW w:w="1868" w:type="dxa"/>
            <w:tcBorders>
              <w:bottom w:val="single" w:sz="8" w:space="0" w:color="000000"/>
            </w:tcBorders>
          </w:tcPr>
          <w:p>
            <w:pPr>
              <w:pStyle w:val="TableParagraph"/>
              <w:spacing w:before="62"/>
              <w:ind w:left="166"/>
              <w:rPr>
                <w:rFonts w:ascii="Microsoft JhengHei" w:eastAsia="Microsoft JhengHei" w:hint="eastAsia"/>
                <w:b/>
                <w:sz w:val="24"/>
              </w:rPr>
            </w:pPr>
            <w:r>
              <w:rPr>
                <w:rFonts w:ascii="Microsoft JhengHei" w:eastAsia="Microsoft JhengHei" w:hint="eastAsia"/>
                <w:b/>
                <w:sz w:val="24"/>
              </w:rPr>
              <w:t>保险金的申请</w:t>
            </w:r>
          </w:p>
        </w:tc>
        <w:tc>
          <w:tcPr>
            <w:tcW w:w="7516" w:type="dxa"/>
            <w:tcBorders>
              <w:bottom w:val="single" w:sz="8" w:space="0" w:color="000000"/>
            </w:tcBorders>
          </w:tcPr>
          <w:p>
            <w:pPr>
              <w:pStyle w:val="TableParagraph"/>
              <w:spacing w:before="174"/>
              <w:ind w:right="435"/>
              <w:jc w:val="right"/>
              <w:rPr>
                <w:sz w:val="21"/>
              </w:rPr>
            </w:pPr>
            <w:r>
              <w:rPr>
                <w:w w:val="100"/>
                <w:sz w:val="21"/>
              </w:rPr>
              <w:t> </w:t>
            </w:r>
          </w:p>
        </w:tc>
      </w:tr>
      <w:tr>
        <w:trPr>
          <w:trHeight w:val="427" w:hRule="atLeast"/>
        </w:trPr>
        <w:tc>
          <w:tcPr>
            <w:tcW w:w="697" w:type="dxa"/>
            <w:tcBorders>
              <w:top w:val="single" w:sz="8" w:space="0" w:color="000000"/>
            </w:tcBorders>
          </w:tcPr>
          <w:p>
            <w:pPr>
              <w:pStyle w:val="TableParagraph"/>
              <w:spacing w:before="68"/>
              <w:ind w:left="107"/>
              <w:rPr>
                <w:sz w:val="21"/>
              </w:rPr>
            </w:pPr>
            <w:r>
              <w:rPr>
                <w:w w:val="100"/>
                <w:sz w:val="21"/>
              </w:rPr>
              <w:t> </w:t>
            </w:r>
          </w:p>
        </w:tc>
        <w:tc>
          <w:tcPr>
            <w:tcW w:w="1868" w:type="dxa"/>
            <w:tcBorders>
              <w:top w:val="single" w:sz="8" w:space="0" w:color="000000"/>
            </w:tcBorders>
          </w:tcPr>
          <w:p>
            <w:pPr>
              <w:pStyle w:val="TableParagraph"/>
              <w:spacing w:before="68"/>
              <w:ind w:left="166"/>
              <w:rPr>
                <w:sz w:val="21"/>
              </w:rPr>
            </w:pPr>
            <w:r>
              <w:rPr>
                <w:w w:val="100"/>
                <w:sz w:val="21"/>
              </w:rPr>
              <w:t> </w:t>
            </w:r>
          </w:p>
        </w:tc>
        <w:tc>
          <w:tcPr>
            <w:tcW w:w="7516" w:type="dxa"/>
            <w:tcBorders>
              <w:top w:val="single" w:sz="8" w:space="0" w:color="000000"/>
            </w:tcBorders>
          </w:tcPr>
          <w:p>
            <w:pPr>
              <w:pStyle w:val="TableParagraph"/>
              <w:spacing w:before="68"/>
              <w:ind w:left="257"/>
              <w:rPr>
                <w:sz w:val="21"/>
              </w:rPr>
            </w:pPr>
            <w:r>
              <w:rPr>
                <w:w w:val="100"/>
                <w:sz w:val="21"/>
              </w:rPr>
              <w:t> </w:t>
            </w:r>
          </w:p>
        </w:tc>
      </w:tr>
      <w:tr>
        <w:trPr>
          <w:trHeight w:val="402" w:hRule="atLeast"/>
        </w:trPr>
        <w:tc>
          <w:tcPr>
            <w:tcW w:w="697" w:type="dxa"/>
          </w:tcPr>
          <w:p>
            <w:pPr>
              <w:pStyle w:val="TableParagraph"/>
              <w:spacing w:line="329" w:lineRule="exact"/>
              <w:ind w:left="107"/>
              <w:rPr>
                <w:rFonts w:ascii="Microsoft JhengHei"/>
                <w:b/>
                <w:sz w:val="21"/>
              </w:rPr>
            </w:pPr>
            <w:r>
              <w:rPr>
                <w:rFonts w:ascii="Microsoft JhengHei"/>
                <w:b/>
                <w:w w:val="90"/>
                <w:sz w:val="21"/>
              </w:rPr>
              <w:t>3. 1</w:t>
            </w:r>
          </w:p>
        </w:tc>
        <w:tc>
          <w:tcPr>
            <w:tcW w:w="1868" w:type="dxa"/>
          </w:tcPr>
          <w:p>
            <w:pPr>
              <w:pStyle w:val="TableParagraph"/>
              <w:spacing w:line="329" w:lineRule="exact"/>
              <w:ind w:left="166"/>
              <w:rPr>
                <w:rFonts w:ascii="Microsoft JhengHei" w:eastAsia="Microsoft JhengHei" w:hint="eastAsia"/>
                <w:b/>
                <w:sz w:val="21"/>
              </w:rPr>
            </w:pPr>
            <w:r>
              <w:rPr>
                <w:rFonts w:ascii="Microsoft JhengHei" w:eastAsia="Microsoft JhengHei" w:hint="eastAsia"/>
                <w:b/>
                <w:sz w:val="21"/>
              </w:rPr>
              <w:t>受益人</w:t>
            </w:r>
          </w:p>
        </w:tc>
        <w:tc>
          <w:tcPr>
            <w:tcW w:w="7516" w:type="dxa"/>
          </w:tcPr>
          <w:p>
            <w:pPr>
              <w:pStyle w:val="TableParagraph"/>
              <w:spacing w:before="30"/>
              <w:ind w:left="257"/>
              <w:rPr>
                <w:sz w:val="21"/>
              </w:rPr>
            </w:pPr>
            <w:r>
              <w:rPr>
                <w:sz w:val="21"/>
              </w:rPr>
              <w:t>您或者被保险人可以指定一人或者数人为身故保险金受益人。 </w:t>
            </w:r>
          </w:p>
        </w:tc>
      </w:tr>
      <w:tr>
        <w:trPr>
          <w:trHeight w:val="38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18"/>
              <w:ind w:left="257"/>
              <w:rPr>
                <w:sz w:val="21"/>
              </w:rPr>
            </w:pPr>
            <w:r>
              <w:rPr>
                <w:sz w:val="21"/>
              </w:rPr>
              <w:t>除本附加险合同另有指定外，重大疾病保险金的受益人为被保险人本人。</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5"/>
              <w:ind w:left="257"/>
              <w:rPr>
                <w:sz w:val="21"/>
              </w:rPr>
            </w:pPr>
            <w:r>
              <w:rPr>
                <w:sz w:val="21"/>
              </w:rPr>
              <w:t>被保险人为无民事行为能力人或限制民事行为能力人的，可以由其监护人指定</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受益人。</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受益人为数人的，被保险人或者投保人可以确定受益顺序和受益份额；未确定</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0" w:lineRule="exact"/>
              <w:ind w:left="257"/>
              <w:rPr>
                <w:sz w:val="21"/>
              </w:rPr>
            </w:pPr>
            <w:r>
              <w:rPr>
                <w:sz w:val="21"/>
              </w:rPr>
              <w:t>受益份额的，受益人按照相等份额享有受益权。 </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您或者被保险人可以变更受益人并书面通知我们。我们收到变更受益人的书面</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通知后，在保险单或者其他保险凭证上批注或者附贴批单。 </w:t>
            </w:r>
          </w:p>
        </w:tc>
      </w:tr>
      <w:tr>
        <w:trPr>
          <w:trHeight w:val="3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您指定或变更受益人时须经被保险人同意。 </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5"/>
              <w:ind w:left="257"/>
              <w:rPr>
                <w:sz w:val="21"/>
              </w:rPr>
            </w:pPr>
            <w:r>
              <w:rPr>
                <w:sz w:val="21"/>
              </w:rPr>
              <w:t>被保险人身故后，遇有下列情形之一的，保险金作为被保险人的遗产，由我们</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依照《中华人民共和国继承法》的规定履行给付保险金的义务： </w:t>
            </w:r>
          </w:p>
        </w:tc>
      </w:tr>
      <w:tr>
        <w:trPr>
          <w:trHeight w:val="3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（1）没有指定受益人，或者受益人指定不明无法确定的；  </w:t>
            </w:r>
          </w:p>
        </w:tc>
      </w:tr>
      <w:tr>
        <w:trPr>
          <w:trHeight w:val="3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5"/>
              <w:ind w:left="257"/>
              <w:rPr>
                <w:sz w:val="21"/>
              </w:rPr>
            </w:pPr>
            <w:r>
              <w:rPr>
                <w:sz w:val="21"/>
              </w:rPr>
              <w:t>（2）受益人先于被保险人身故，没有其他受益人的； </w:t>
            </w:r>
          </w:p>
        </w:tc>
      </w:tr>
      <w:tr>
        <w:trPr>
          <w:trHeight w:val="3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6"/>
              <w:ind w:left="257"/>
              <w:rPr>
                <w:sz w:val="21"/>
              </w:rPr>
            </w:pPr>
            <w:r>
              <w:rPr>
                <w:sz w:val="21"/>
              </w:rPr>
              <w:t>（3）受益人依法丧失受益权或者放弃受益权，没有其他受益人的。 </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before="25"/>
              <w:ind w:left="257"/>
              <w:rPr>
                <w:sz w:val="21"/>
              </w:rPr>
            </w:pPr>
            <w:r>
              <w:rPr>
                <w:sz w:val="21"/>
              </w:rPr>
              <w:t>受益人与被保险人在同一事件中身故，且不能确定身故顺序的，推定受益人身</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故在先。 </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325" w:lineRule="exact"/>
              <w:ind w:left="257" w:right="-15"/>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35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84" w:lineRule="exact"/>
              <w:ind w:left="257"/>
              <w:rPr>
                <w:rFonts w:ascii="Microsoft JhengHei" w:eastAsia="Microsoft JhengHei" w:hint="eastAsia"/>
                <w:b/>
                <w:sz w:val="21"/>
              </w:rPr>
            </w:pPr>
            <w:r>
              <w:rPr>
                <w:rFonts w:ascii="Microsoft JhengHei" w:eastAsia="Microsoft JhengHei" w:hint="eastAsia"/>
                <w:b/>
                <w:sz w:val="21"/>
              </w:rPr>
              <w:t>该受益人丧失受益权。</w:t>
            </w:r>
          </w:p>
        </w:tc>
      </w:tr>
      <w:tr>
        <w:trPr>
          <w:trHeight w:val="386" w:hRule="atLeast"/>
        </w:trPr>
        <w:tc>
          <w:tcPr>
            <w:tcW w:w="697" w:type="dxa"/>
          </w:tcPr>
          <w:p>
            <w:pPr>
              <w:pStyle w:val="TableParagraph"/>
              <w:spacing w:before="26"/>
              <w:ind w:left="107"/>
              <w:rPr>
                <w:sz w:val="21"/>
              </w:rPr>
            </w:pPr>
            <w:r>
              <w:rPr>
                <w:w w:val="100"/>
                <w:sz w:val="21"/>
              </w:rPr>
              <w:t> </w:t>
            </w:r>
          </w:p>
        </w:tc>
        <w:tc>
          <w:tcPr>
            <w:tcW w:w="1868" w:type="dxa"/>
          </w:tcPr>
          <w:p>
            <w:pPr>
              <w:pStyle w:val="TableParagraph"/>
              <w:spacing w:before="26"/>
              <w:ind w:left="166"/>
              <w:rPr>
                <w:sz w:val="21"/>
              </w:rPr>
            </w:pPr>
            <w:r>
              <w:rPr>
                <w:w w:val="100"/>
                <w:sz w:val="21"/>
              </w:rPr>
              <w:t> </w:t>
            </w:r>
          </w:p>
        </w:tc>
        <w:tc>
          <w:tcPr>
            <w:tcW w:w="7516" w:type="dxa"/>
          </w:tcPr>
          <w:p>
            <w:pPr>
              <w:pStyle w:val="TableParagraph"/>
              <w:spacing w:before="26"/>
              <w:ind w:left="257"/>
              <w:rPr>
                <w:sz w:val="21"/>
              </w:rPr>
            </w:pPr>
            <w:r>
              <w:rPr>
                <w:w w:val="100"/>
                <w:sz w:val="21"/>
              </w:rPr>
              <w:t> </w:t>
            </w:r>
          </w:p>
        </w:tc>
      </w:tr>
      <w:tr>
        <w:trPr>
          <w:trHeight w:val="402" w:hRule="atLeast"/>
        </w:trPr>
        <w:tc>
          <w:tcPr>
            <w:tcW w:w="697" w:type="dxa"/>
          </w:tcPr>
          <w:p>
            <w:pPr>
              <w:pStyle w:val="TableParagraph"/>
              <w:spacing w:line="330" w:lineRule="exact"/>
              <w:ind w:left="107"/>
              <w:rPr>
                <w:rFonts w:ascii="Microsoft JhengHei"/>
                <w:b/>
                <w:sz w:val="21"/>
              </w:rPr>
            </w:pPr>
            <w:r>
              <w:rPr>
                <w:rFonts w:ascii="Microsoft JhengHei"/>
                <w:b/>
                <w:w w:val="90"/>
                <w:sz w:val="21"/>
              </w:rPr>
              <w:t>3. 2</w:t>
            </w:r>
          </w:p>
        </w:tc>
        <w:tc>
          <w:tcPr>
            <w:tcW w:w="1868" w:type="dxa"/>
          </w:tcPr>
          <w:p>
            <w:pPr>
              <w:pStyle w:val="TableParagraph"/>
              <w:spacing w:line="330"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516" w:type="dxa"/>
          </w:tcPr>
          <w:p>
            <w:pPr>
              <w:pStyle w:val="TableParagraph"/>
              <w:spacing w:before="31"/>
              <w:ind w:left="257"/>
              <w:rPr>
                <w:sz w:val="21"/>
              </w:rPr>
            </w:pPr>
            <w:r>
              <w:rPr>
                <w:sz w:val="21"/>
              </w:rPr>
              <w:t>请您或受益人在知道保险事故发生后 10 日内通知我们。 </w:t>
            </w:r>
          </w:p>
        </w:tc>
      </w:tr>
      <w:tr>
        <w:trPr>
          <w:trHeight w:val="34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316" w:lineRule="exact"/>
              <w:ind w:left="25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31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85" w:lineRule="exact"/>
              <w:ind w:left="25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31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但我们通过其他途径已经及时知道或者应当及时知道保险事故发生的或者虽未</w:t>
            </w:r>
          </w:p>
        </w:tc>
      </w:tr>
      <w:tr>
        <w:trPr>
          <w:trHeight w:val="35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61" w:lineRule="exact"/>
              <w:ind w:left="257"/>
              <w:rPr>
                <w:sz w:val="21"/>
              </w:rPr>
            </w:pPr>
            <w:r>
              <w:rPr>
                <w:sz w:val="21"/>
              </w:rPr>
              <w:t>及时通知但不影响我们确定保险事故的性质、原因、损失程度除外。 </w:t>
            </w:r>
          </w:p>
        </w:tc>
      </w:tr>
      <w:tr>
        <w:trPr>
          <w:trHeight w:val="378" w:hRule="atLeast"/>
        </w:trPr>
        <w:tc>
          <w:tcPr>
            <w:tcW w:w="697" w:type="dxa"/>
          </w:tcPr>
          <w:p>
            <w:pPr>
              <w:pStyle w:val="TableParagraph"/>
              <w:spacing w:before="26"/>
              <w:ind w:left="108"/>
              <w:rPr>
                <w:sz w:val="21"/>
              </w:rPr>
            </w:pPr>
            <w:r>
              <w:rPr>
                <w:w w:val="100"/>
                <w:sz w:val="21"/>
              </w:rPr>
              <w:t> </w:t>
            </w:r>
          </w:p>
        </w:tc>
        <w:tc>
          <w:tcPr>
            <w:tcW w:w="1868" w:type="dxa"/>
          </w:tcPr>
          <w:p>
            <w:pPr>
              <w:pStyle w:val="TableParagraph"/>
              <w:spacing w:before="26"/>
              <w:ind w:left="167"/>
              <w:rPr>
                <w:sz w:val="21"/>
              </w:rPr>
            </w:pPr>
            <w:r>
              <w:rPr>
                <w:w w:val="100"/>
                <w:sz w:val="21"/>
              </w:rPr>
              <w:t> </w:t>
            </w:r>
          </w:p>
        </w:tc>
        <w:tc>
          <w:tcPr>
            <w:tcW w:w="7516" w:type="dxa"/>
          </w:tcPr>
          <w:p>
            <w:pPr>
              <w:pStyle w:val="TableParagraph"/>
              <w:spacing w:before="26"/>
              <w:ind w:left="257"/>
              <w:rPr>
                <w:sz w:val="21"/>
              </w:rPr>
            </w:pPr>
            <w:r>
              <w:rPr>
                <w:w w:val="100"/>
                <w:sz w:val="21"/>
              </w:rPr>
              <w:t> </w:t>
            </w:r>
          </w:p>
        </w:tc>
      </w:tr>
      <w:tr>
        <w:trPr>
          <w:trHeight w:val="397" w:hRule="atLeast"/>
        </w:trPr>
        <w:tc>
          <w:tcPr>
            <w:tcW w:w="697" w:type="dxa"/>
          </w:tcPr>
          <w:p>
            <w:pPr>
              <w:pStyle w:val="TableParagraph"/>
              <w:spacing w:line="336" w:lineRule="exact"/>
              <w:ind w:left="108"/>
              <w:rPr>
                <w:sz w:val="21"/>
              </w:rPr>
            </w:pPr>
            <w:r>
              <w:rPr>
                <w:rFonts w:ascii="Microsoft JhengHei"/>
                <w:b/>
                <w:w w:val="90"/>
                <w:sz w:val="21"/>
              </w:rPr>
              <w:t>3. 3</w:t>
            </w:r>
            <w:r>
              <w:rPr>
                <w:rFonts w:ascii="Microsoft JhengHei"/>
                <w:b/>
                <w:sz w:val="21"/>
              </w:rPr>
              <w:t> </w:t>
            </w:r>
            <w:r>
              <w:rPr>
                <w:w w:val="100"/>
                <w:sz w:val="21"/>
              </w:rPr>
              <w:t> </w:t>
            </w:r>
          </w:p>
        </w:tc>
        <w:tc>
          <w:tcPr>
            <w:tcW w:w="1868" w:type="dxa"/>
          </w:tcPr>
          <w:p>
            <w:pPr>
              <w:pStyle w:val="TableParagraph"/>
              <w:spacing w:line="336"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516" w:type="dxa"/>
          </w:tcPr>
          <w:p>
            <w:pPr>
              <w:pStyle w:val="TableParagraph"/>
              <w:spacing w:before="13"/>
              <w:ind w:left="271"/>
              <w:rPr>
                <w:sz w:val="21"/>
              </w:rPr>
            </w:pPr>
            <w:r>
              <w:rPr>
                <w:sz w:val="21"/>
              </w:rPr>
              <w:t>在申请保险金时，请按照下列方式办理： </w:t>
            </w:r>
          </w:p>
        </w:tc>
      </w:tr>
      <w:tr>
        <w:trPr>
          <w:trHeight w:val="28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16" w:type="dxa"/>
          </w:tcPr>
          <w:p>
            <w:pPr>
              <w:pStyle w:val="TableParagraph"/>
              <w:spacing w:line="255" w:lineRule="exact" w:before="6"/>
              <w:ind w:left="271"/>
              <w:rPr>
                <w:sz w:val="21"/>
              </w:rPr>
            </w:pPr>
            <w:r>
              <w:rPr>
                <w:w w:val="100"/>
                <w:sz w:val="21"/>
              </w:rPr>
              <w:t> </w:t>
            </w:r>
          </w:p>
        </w:tc>
      </w:tr>
    </w:tbl>
    <w:p>
      <w:pPr>
        <w:spacing w:after="0" w:line="255" w:lineRule="exact"/>
        <w:rPr>
          <w:sz w:val="21"/>
        </w:rPr>
        <w:sectPr>
          <w:pgSz w:w="11900" w:h="16840"/>
          <w:pgMar w:header="0" w:footer="724" w:top="1480" w:bottom="920" w:left="1080" w:right="520"/>
        </w:sectPr>
      </w:pPr>
    </w:p>
    <w:p>
      <w:pPr>
        <w:spacing w:line="204" w:lineRule="auto" w:before="0"/>
        <w:ind w:left="859" w:right="0" w:firstLine="0"/>
        <w:jc w:val="left"/>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before="28"/>
        <w:ind w:left="233"/>
      </w:pPr>
      <w:r>
        <w:rPr/>
        <w:br w:type="column"/>
      </w:r>
      <w:r>
        <w:rPr/>
        <w:t>在申请重大疾病保险金时，申请人须填写保险金给付申请书，并提供下列证明</w:t>
      </w:r>
    </w:p>
    <w:p>
      <w:pPr>
        <w:pStyle w:val="BodyText"/>
        <w:spacing w:before="34"/>
        <w:ind w:left="233"/>
      </w:pPr>
      <w:r>
        <w:rPr/>
        <w:t>和资料： </w:t>
      </w:r>
    </w:p>
    <w:p>
      <w:pPr>
        <w:pStyle w:val="BodyText"/>
        <w:spacing w:before="116"/>
        <w:ind w:left="233"/>
      </w:pPr>
      <w:r>
        <w:rPr/>
        <w:t>（1）保险合同； </w:t>
      </w:r>
    </w:p>
    <w:p>
      <w:pPr>
        <w:pStyle w:val="BodyText"/>
        <w:spacing w:before="116"/>
        <w:ind w:left="233"/>
      </w:pPr>
      <w:r>
        <w:rPr/>
        <w:t>（2）申请人的有效身份证件； </w:t>
      </w:r>
    </w:p>
    <w:p>
      <w:pPr>
        <w:pStyle w:val="BodyText"/>
        <w:spacing w:line="273" w:lineRule="auto" w:before="113"/>
        <w:ind w:left="737" w:right="102" w:hanging="504"/>
      </w:pPr>
      <w:r>
        <w:rPr/>
        <w:t>（3）</w:t>
      </w:r>
      <w:r>
        <w:rPr>
          <w:spacing w:val="-3"/>
        </w:rPr>
        <w:t>医疗机构根据本附加险合同释义中“</w:t>
      </w:r>
      <w:r>
        <w:rPr/>
        <w:t>10.4</w:t>
      </w:r>
      <w:r>
        <w:rPr>
          <w:spacing w:val="-9"/>
        </w:rPr>
        <w:t> 重大疾病”定义，出具的被保</w:t>
      </w:r>
      <w:r>
        <w:rPr>
          <w:spacing w:val="-8"/>
        </w:rPr>
        <w:t>险人的病历、必要病理检验、血液检验及其他科学诊断报告或手术证明；</w:t>
      </w:r>
      <w:r>
        <w:rPr/>
        <w:t> </w:t>
      </w:r>
    </w:p>
    <w:p>
      <w:pPr>
        <w:pStyle w:val="BodyText"/>
        <w:spacing w:line="271" w:lineRule="auto" w:before="86"/>
        <w:ind w:left="737" w:right="208" w:hanging="504"/>
      </w:pPr>
      <w:r>
        <w:rPr>
          <w:spacing w:val="-12"/>
        </w:rPr>
        <w:t>（4）</w:t>
      </w:r>
      <w:r>
        <w:rPr>
          <w:spacing w:val="-7"/>
        </w:rPr>
        <w:t>所能够提供的与确认保险事故的性质、原因、伤害程度等有关的其他证明</w:t>
      </w:r>
      <w:r>
        <w:rPr>
          <w:spacing w:val="-2"/>
        </w:rPr>
        <w:t>和资料。</w:t>
      </w:r>
      <w:r>
        <w:rPr/>
        <w:t> </w:t>
      </w:r>
    </w:p>
    <w:p>
      <w:pPr>
        <w:spacing w:after="0" w:line="271" w:lineRule="auto"/>
        <w:sectPr>
          <w:pgSz w:w="11900" w:h="16840"/>
          <w:pgMar w:header="0" w:footer="724" w:top="1480" w:bottom="920" w:left="1200" w:right="520"/>
          <w:cols w:num="2" w:equalWidth="0">
            <w:col w:w="2545" w:space="40"/>
            <w:col w:w="7595"/>
          </w:cols>
        </w:sectPr>
      </w:pPr>
    </w:p>
    <w:p>
      <w:pPr>
        <w:pStyle w:val="BodyText"/>
        <w:tabs>
          <w:tab w:pos="2817" w:val="left" w:leader="none"/>
        </w:tabs>
        <w:spacing w:before="88"/>
        <w:ind w:left="103"/>
      </w:pPr>
      <w:r>
        <w:rPr>
          <w:w w:val="100"/>
        </w:rPr>
        <w:t> </w:t>
      </w:r>
      <w:r>
        <w:rPr/>
        <w:tab/>
      </w:r>
      <w:r>
        <w:rPr>
          <w:w w:val="100"/>
        </w:rPr>
        <w:t> </w:t>
      </w:r>
    </w:p>
    <w:p>
      <w:pPr>
        <w:pStyle w:val="BodyText"/>
        <w:tabs>
          <w:tab w:pos="859" w:val="left" w:leader="none"/>
          <w:tab w:pos="2817" w:val="left" w:leader="none"/>
        </w:tabs>
        <w:spacing w:line="259" w:lineRule="auto" w:before="29"/>
        <w:ind w:left="2817" w:right="215" w:hanging="2715"/>
      </w:pPr>
      <w:r>
        <w:rPr>
          <w:w w:val="100"/>
        </w:rPr>
        <w:t> </w:t>
      </w:r>
      <w:r>
        <w:rPr/>
        <w:tab/>
      </w:r>
      <w:r>
        <w:rPr>
          <w:rFonts w:ascii="Microsoft JhengHei" w:eastAsia="Microsoft JhengHei" w:hint="eastAsia"/>
          <w:b/>
          <w:position w:val="2"/>
        </w:rPr>
        <w:t>身故</w:t>
      </w:r>
      <w:r>
        <w:rPr>
          <w:rFonts w:ascii="Microsoft JhengHei" w:eastAsia="Microsoft JhengHei" w:hint="eastAsia"/>
          <w:b/>
          <w:spacing w:val="-3"/>
          <w:position w:val="2"/>
        </w:rPr>
        <w:t>保</w:t>
      </w:r>
      <w:r>
        <w:rPr>
          <w:rFonts w:ascii="Microsoft JhengHei" w:eastAsia="Microsoft JhengHei" w:hint="eastAsia"/>
          <w:b/>
          <w:position w:val="2"/>
        </w:rPr>
        <w:t>险金</w:t>
      </w:r>
      <w:r>
        <w:rPr>
          <w:rFonts w:ascii="Microsoft JhengHei" w:eastAsia="Microsoft JhengHei" w:hint="eastAsia"/>
          <w:b/>
          <w:spacing w:val="-3"/>
          <w:position w:val="2"/>
        </w:rPr>
        <w:t>申</w:t>
      </w:r>
      <w:r>
        <w:rPr>
          <w:rFonts w:ascii="Microsoft JhengHei" w:eastAsia="Microsoft JhengHei" w:hint="eastAsia"/>
          <w:b/>
          <w:position w:val="2"/>
        </w:rPr>
        <w:t>请</w:t>
        <w:tab/>
      </w:r>
      <w:r>
        <w:rPr/>
        <w:t>在申</w:t>
      </w:r>
      <w:r>
        <w:rPr>
          <w:spacing w:val="-3"/>
        </w:rPr>
        <w:t>请</w:t>
      </w:r>
      <w:r>
        <w:rPr/>
        <w:t>身</w:t>
      </w:r>
      <w:r>
        <w:rPr>
          <w:spacing w:val="-3"/>
        </w:rPr>
        <w:t>故</w:t>
      </w:r>
      <w:r>
        <w:rPr/>
        <w:t>保</w:t>
      </w:r>
      <w:r>
        <w:rPr>
          <w:spacing w:val="-3"/>
        </w:rPr>
        <w:t>险</w:t>
      </w:r>
      <w:r>
        <w:rPr/>
        <w:t>金</w:t>
      </w:r>
      <w:r>
        <w:rPr>
          <w:spacing w:val="-3"/>
        </w:rPr>
        <w:t>时</w:t>
      </w:r>
      <w:r>
        <w:rPr/>
        <w:t>，</w:t>
      </w:r>
      <w:r>
        <w:rPr>
          <w:spacing w:val="-3"/>
        </w:rPr>
        <w:t>申</w:t>
      </w:r>
      <w:r>
        <w:rPr/>
        <w:t>请人</w:t>
      </w:r>
      <w:r>
        <w:rPr>
          <w:spacing w:val="-3"/>
        </w:rPr>
        <w:t>须</w:t>
      </w:r>
      <w:r>
        <w:rPr/>
        <w:t>填</w:t>
      </w:r>
      <w:r>
        <w:rPr>
          <w:spacing w:val="-3"/>
        </w:rPr>
        <w:t>写</w:t>
      </w:r>
      <w:r>
        <w:rPr/>
        <w:t>保</w:t>
      </w:r>
      <w:r>
        <w:rPr>
          <w:spacing w:val="-3"/>
        </w:rPr>
        <w:t>险</w:t>
      </w:r>
      <w:r>
        <w:rPr/>
        <w:t>金</w:t>
      </w:r>
      <w:r>
        <w:rPr>
          <w:spacing w:val="-3"/>
        </w:rPr>
        <w:t>给</w:t>
      </w:r>
      <w:r>
        <w:rPr/>
        <w:t>付</w:t>
      </w:r>
      <w:r>
        <w:rPr>
          <w:spacing w:val="-3"/>
        </w:rPr>
        <w:t>申</w:t>
      </w:r>
      <w:r>
        <w:rPr/>
        <w:t>请书</w:t>
      </w:r>
      <w:r>
        <w:rPr>
          <w:spacing w:val="-3"/>
        </w:rPr>
        <w:t>，</w:t>
      </w:r>
      <w:r>
        <w:rPr/>
        <w:t>并</w:t>
      </w:r>
      <w:r>
        <w:rPr>
          <w:spacing w:val="-3"/>
        </w:rPr>
        <w:t>提</w:t>
      </w:r>
      <w:r>
        <w:rPr/>
        <w:t>供</w:t>
      </w:r>
      <w:r>
        <w:rPr>
          <w:spacing w:val="-3"/>
        </w:rPr>
        <w:t>下</w:t>
      </w:r>
      <w:r>
        <w:rPr/>
        <w:t>列</w:t>
      </w:r>
      <w:r>
        <w:rPr>
          <w:spacing w:val="-3"/>
        </w:rPr>
        <w:t>证</w:t>
      </w:r>
      <w:r>
        <w:rPr/>
        <w:t>明</w:t>
      </w:r>
      <w:r>
        <w:rPr>
          <w:spacing w:val="-3"/>
        </w:rPr>
        <w:t>和</w:t>
      </w:r>
      <w:r>
        <w:rPr/>
        <w:t>资 料</w:t>
      </w:r>
      <w:r>
        <w:rPr>
          <w:spacing w:val="-3"/>
        </w:rPr>
        <w:t>：</w:t>
      </w:r>
      <w:r>
        <w:rPr/>
        <w:t> </w:t>
      </w:r>
    </w:p>
    <w:p>
      <w:pPr>
        <w:pStyle w:val="BodyText"/>
        <w:spacing w:before="99"/>
        <w:ind w:left="2817"/>
      </w:pPr>
      <w:r>
        <w:rPr/>
        <w:t>（1）保险合同； </w:t>
      </w:r>
    </w:p>
    <w:p>
      <w:pPr>
        <w:pStyle w:val="BodyText"/>
        <w:spacing w:before="115"/>
        <w:ind w:left="2817"/>
      </w:pPr>
      <w:r>
        <w:rPr/>
        <w:t>（2）申请人的有效身份证件； </w:t>
      </w:r>
    </w:p>
    <w:p>
      <w:pPr>
        <w:pStyle w:val="BodyText"/>
        <w:spacing w:line="273" w:lineRule="auto" w:before="113"/>
        <w:ind w:left="3343" w:right="207" w:hanging="526"/>
      </w:pPr>
      <w:r>
        <w:rPr>
          <w:spacing w:val="-17"/>
        </w:rPr>
        <w:t>（3）</w:t>
      </w:r>
      <w:r>
        <w:rPr>
          <w:spacing w:val="-6"/>
        </w:rPr>
        <w:t>国家卫生行政部门认定的医疗机构、公安部门或其他相关机构出具的被保</w:t>
      </w:r>
      <w:r>
        <w:rPr>
          <w:spacing w:val="-4"/>
        </w:rPr>
        <w:t>险人的死亡证明；</w:t>
      </w:r>
      <w:r>
        <w:rPr/>
        <w:t> </w:t>
      </w:r>
    </w:p>
    <w:p>
      <w:pPr>
        <w:pStyle w:val="BodyText"/>
        <w:spacing w:before="151"/>
        <w:ind w:left="2817"/>
      </w:pPr>
      <w:r>
        <w:rPr/>
        <w:t>（</w:t>
      </w:r>
      <w:r>
        <w:rPr>
          <w:rFonts w:ascii="Times New Roman" w:eastAsia="Times New Roman"/>
        </w:rPr>
        <w:t>4</w:t>
      </w:r>
      <w:r>
        <w:rPr/>
        <w:t>）所能提供的与确认保险事故的性质、原因等有关的其他证明和资料。</w:t>
      </w:r>
    </w:p>
    <w:p>
      <w:pPr>
        <w:pStyle w:val="BodyText"/>
        <w:spacing w:before="0"/>
        <w:ind w:left="0"/>
        <w:rPr>
          <w:sz w:val="20"/>
        </w:rPr>
      </w:pPr>
    </w:p>
    <w:p>
      <w:pPr>
        <w:pStyle w:val="BodyText"/>
        <w:spacing w:before="1"/>
        <w:ind w:left="0"/>
        <w:rPr>
          <w:sz w:val="15"/>
        </w:rPr>
      </w:pPr>
    </w:p>
    <w:p>
      <w:pPr>
        <w:pStyle w:val="BodyText"/>
        <w:tabs>
          <w:tab w:pos="859" w:val="left" w:leader="none"/>
          <w:tab w:pos="2831" w:val="left" w:leader="none"/>
        </w:tabs>
        <w:spacing w:line="336" w:lineRule="exact" w:before="0"/>
        <w:ind w:left="103"/>
      </w:pPr>
      <w:r>
        <w:rPr>
          <w:w w:val="100"/>
          <w:position w:val="-1"/>
        </w:rPr>
        <w:t> </w:t>
      </w:r>
      <w:r>
        <w:rPr>
          <w:position w:val="-1"/>
        </w:rPr>
        <w:tab/>
      </w:r>
      <w:r>
        <w:rPr>
          <w:rFonts w:ascii="Microsoft JhengHei" w:eastAsia="Microsoft JhengHei" w:hint="eastAsia"/>
          <w:b/>
        </w:rPr>
        <w:t>特别</w:t>
      </w:r>
      <w:r>
        <w:rPr>
          <w:rFonts w:ascii="Microsoft JhengHei" w:eastAsia="Microsoft JhengHei" w:hint="eastAsia"/>
          <w:b/>
          <w:spacing w:val="-3"/>
        </w:rPr>
        <w:t>注</w:t>
      </w:r>
      <w:r>
        <w:rPr>
          <w:rFonts w:ascii="Microsoft JhengHei" w:eastAsia="Microsoft JhengHei" w:hint="eastAsia"/>
          <w:b/>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before="140"/>
        <w:ind w:left="2817"/>
        <w:jc w:val="both"/>
      </w:pPr>
      <w:r>
        <w:rPr/>
        <w:t>以上证明和资料不完整的，我们将及时一次性通知申请人补充提供有关证明和</w:t>
      </w:r>
    </w:p>
    <w:p>
      <w:pPr>
        <w:pStyle w:val="BodyText"/>
        <w:spacing w:before="84"/>
        <w:ind w:left="2817"/>
        <w:jc w:val="both"/>
      </w:pPr>
      <w:r>
        <w:rPr/>
        <w:t>资料。</w:t>
      </w:r>
    </w:p>
    <w:p>
      <w:pPr>
        <w:pStyle w:val="BodyText"/>
        <w:tabs>
          <w:tab w:pos="859" w:val="left" w:leader="none"/>
          <w:tab w:pos="2817" w:val="left" w:leader="none"/>
        </w:tabs>
        <w:spacing w:before="96"/>
        <w:ind w:left="103"/>
      </w:pPr>
      <w:r>
        <w:rPr>
          <w:w w:val="100"/>
        </w:rPr>
        <w:t> </w:t>
      </w:r>
      <w:r>
        <w:rPr/>
        <w:tab/>
      </w:r>
      <w:r>
        <w:rPr>
          <w:w w:val="100"/>
        </w:rPr>
        <w:t> </w:t>
      </w:r>
      <w:r>
        <w:rPr/>
        <w:tab/>
      </w:r>
      <w:r>
        <w:rPr>
          <w:w w:val="100"/>
        </w:rPr>
        <w:t> </w:t>
      </w:r>
    </w:p>
    <w:p>
      <w:pPr>
        <w:pStyle w:val="ListParagraph"/>
        <w:numPr>
          <w:ilvl w:val="1"/>
          <w:numId w:val="13"/>
        </w:numPr>
        <w:tabs>
          <w:tab w:pos="860" w:val="left" w:leader="none"/>
          <w:tab w:pos="2817" w:val="left" w:leader="none"/>
        </w:tabs>
        <w:spacing w:line="290" w:lineRule="auto" w:before="54" w:after="0"/>
        <w:ind w:left="2817" w:right="207" w:hanging="2714"/>
        <w:jc w:val="both"/>
        <w:rPr>
          <w:sz w:val="21"/>
        </w:rPr>
      </w:pPr>
      <w:r>
        <w:rPr>
          <w:rFonts w:ascii="Microsoft JhengHei" w:eastAsia="Microsoft JhengHei" w:hint="eastAsia"/>
          <w:b/>
          <w:position w:val="6"/>
          <w:sz w:val="21"/>
        </w:rPr>
        <w:t>4    </w:t>
      </w:r>
      <w:r>
        <w:rPr>
          <w:rFonts w:ascii="Microsoft JhengHei" w:eastAsia="Microsoft JhengHei" w:hint="eastAsia"/>
          <w:b/>
          <w:spacing w:val="30"/>
          <w:position w:val="6"/>
          <w:sz w:val="21"/>
        </w:rPr>
        <w:t> </w:t>
      </w:r>
      <w:r>
        <w:rPr>
          <w:rFonts w:ascii="Microsoft JhengHei" w:eastAsia="Microsoft JhengHei" w:hint="eastAsia"/>
          <w:b/>
          <w:position w:val="6"/>
          <w:sz w:val="21"/>
        </w:rPr>
        <w:t>保 险 金 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pacing w:val="-94"/>
          <w:sz w:val="21"/>
        </w:rPr>
        <w:t>，</w:t>
      </w:r>
      <w:r>
        <w:rPr>
          <w:spacing w:val="-3"/>
          <w:sz w:val="21"/>
        </w:rPr>
        <w:t>将</w:t>
      </w:r>
      <w:r>
        <w:rPr>
          <w:sz w:val="21"/>
        </w:rPr>
        <w:t>在</w:t>
      </w:r>
      <w:r>
        <w:rPr>
          <w:rFonts w:ascii="Times New Roman" w:eastAsia="Times New Roman"/>
          <w:spacing w:val="-3"/>
          <w:sz w:val="21"/>
        </w:rPr>
        <w:t>5</w:t>
      </w:r>
      <w:r>
        <w:rPr>
          <w:spacing w:val="-3"/>
          <w:sz w:val="21"/>
        </w:rPr>
        <w:t>日</w:t>
      </w:r>
      <w:r>
        <w:rPr>
          <w:sz w:val="21"/>
        </w:rPr>
        <w:t>内 作出</w:t>
      </w:r>
      <w:r>
        <w:rPr>
          <w:spacing w:val="-3"/>
          <w:sz w:val="21"/>
        </w:rPr>
        <w:t>核</w:t>
      </w:r>
      <w:r>
        <w:rPr>
          <w:sz w:val="21"/>
        </w:rPr>
        <w:t>定</w:t>
      </w:r>
      <w:r>
        <w:rPr>
          <w:spacing w:val="-3"/>
          <w:sz w:val="21"/>
        </w:rPr>
        <w:t>；</w:t>
      </w:r>
      <w:r>
        <w:rPr>
          <w:sz w:val="21"/>
        </w:rPr>
        <w:t>情</w:t>
      </w:r>
      <w:r>
        <w:rPr>
          <w:spacing w:val="-3"/>
          <w:sz w:val="21"/>
        </w:rPr>
        <w:t>形</w:t>
      </w:r>
      <w:r>
        <w:rPr>
          <w:sz w:val="21"/>
        </w:rPr>
        <w:t>复</w:t>
      </w:r>
      <w:r>
        <w:rPr>
          <w:spacing w:val="-3"/>
          <w:sz w:val="21"/>
        </w:rPr>
        <w:t>杂</w:t>
      </w:r>
      <w:r>
        <w:rPr>
          <w:sz w:val="21"/>
        </w:rPr>
        <w:t>的</w:t>
      </w:r>
      <w:r>
        <w:rPr>
          <w:spacing w:val="-3"/>
          <w:sz w:val="21"/>
        </w:rPr>
        <w:t>，</w:t>
      </w:r>
      <w:r>
        <w:rPr>
          <w:sz w:val="21"/>
        </w:rPr>
        <w:t>在</w:t>
      </w:r>
      <w:r>
        <w:rPr>
          <w:rFonts w:ascii="Times New Roman" w:eastAsia="Times New Roman"/>
          <w:sz w:val="21"/>
        </w:rPr>
        <w:t>30</w:t>
      </w:r>
      <w:r>
        <w:rPr>
          <w:spacing w:val="-3"/>
          <w:sz w:val="21"/>
        </w:rPr>
        <w:t>日</w:t>
      </w:r>
      <w:r>
        <w:rPr>
          <w:sz w:val="21"/>
        </w:rPr>
        <w:t>内</w:t>
      </w:r>
      <w:r>
        <w:rPr>
          <w:spacing w:val="-3"/>
          <w:sz w:val="21"/>
        </w:rPr>
        <w:t>作</w:t>
      </w:r>
      <w:r>
        <w:rPr>
          <w:sz w:val="21"/>
        </w:rPr>
        <w:t>出</w:t>
      </w:r>
      <w:r>
        <w:rPr>
          <w:spacing w:val="-3"/>
          <w:sz w:val="21"/>
        </w:rPr>
        <w:t>核</w:t>
      </w:r>
      <w:r>
        <w:rPr>
          <w:sz w:val="21"/>
        </w:rPr>
        <w:t>定</w:t>
      </w:r>
      <w:r>
        <w:rPr>
          <w:spacing w:val="-3"/>
          <w:sz w:val="21"/>
        </w:rPr>
        <w:t>。</w:t>
      </w:r>
      <w:r>
        <w:rPr>
          <w:sz w:val="21"/>
        </w:rPr>
        <w:t>对</w:t>
      </w:r>
      <w:r>
        <w:rPr>
          <w:spacing w:val="-3"/>
          <w:sz w:val="21"/>
        </w:rPr>
        <w:t>属</w:t>
      </w:r>
      <w:r>
        <w:rPr>
          <w:sz w:val="21"/>
        </w:rPr>
        <w:t>于保</w:t>
      </w:r>
      <w:r>
        <w:rPr>
          <w:spacing w:val="-3"/>
          <w:sz w:val="21"/>
        </w:rPr>
        <w:t>险</w:t>
      </w:r>
      <w:r>
        <w:rPr>
          <w:sz w:val="21"/>
        </w:rPr>
        <w:t>责</w:t>
      </w:r>
      <w:r>
        <w:rPr>
          <w:spacing w:val="-3"/>
          <w:sz w:val="21"/>
        </w:rPr>
        <w:t>任</w:t>
      </w:r>
      <w:r>
        <w:rPr>
          <w:sz w:val="21"/>
        </w:rPr>
        <w:t>的</w:t>
      </w:r>
      <w:r>
        <w:rPr>
          <w:spacing w:val="-3"/>
          <w:sz w:val="21"/>
        </w:rPr>
        <w:t>，</w:t>
      </w:r>
      <w:r>
        <w:rPr>
          <w:sz w:val="21"/>
        </w:rPr>
        <w:t>我</w:t>
      </w:r>
      <w:r>
        <w:rPr>
          <w:spacing w:val="-3"/>
          <w:sz w:val="21"/>
        </w:rPr>
        <w:t>们</w:t>
      </w:r>
      <w:r>
        <w:rPr>
          <w:sz w:val="21"/>
        </w:rPr>
        <w:t>在</w:t>
      </w:r>
      <w:r>
        <w:rPr>
          <w:spacing w:val="-3"/>
          <w:sz w:val="21"/>
        </w:rPr>
        <w:t>与</w:t>
      </w:r>
      <w:r>
        <w:rPr>
          <w:sz w:val="21"/>
        </w:rPr>
        <w:t>受</w:t>
      </w:r>
      <w:r>
        <w:rPr>
          <w:spacing w:val="-1"/>
          <w:sz w:val="21"/>
        </w:rPr>
        <w:t>益人</w:t>
      </w:r>
      <w:r>
        <w:rPr>
          <w:spacing w:val="-3"/>
          <w:sz w:val="21"/>
        </w:rPr>
        <w:t>达</w:t>
      </w:r>
      <w:r>
        <w:rPr>
          <w:spacing w:val="-1"/>
          <w:sz w:val="21"/>
        </w:rPr>
        <w:t>成</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协</w:t>
      </w:r>
      <w:r>
        <w:rPr>
          <w:sz w:val="21"/>
        </w:rPr>
        <w:t>议后</w:t>
      </w:r>
      <w:r>
        <w:rPr>
          <w:rFonts w:ascii="Times New Roman" w:eastAsia="Times New Roman"/>
          <w:sz w:val="21"/>
        </w:rPr>
        <w:t>10</w:t>
      </w:r>
      <w:r>
        <w:rPr>
          <w:sz w:val="21"/>
        </w:rPr>
        <w:t>日</w:t>
      </w:r>
      <w:r>
        <w:rPr>
          <w:spacing w:val="-3"/>
          <w:sz w:val="21"/>
        </w:rPr>
        <w:t>内</w:t>
      </w:r>
      <w:r>
        <w:rPr>
          <w:sz w:val="21"/>
        </w:rPr>
        <w:t>，</w:t>
      </w:r>
      <w:r>
        <w:rPr>
          <w:spacing w:val="-3"/>
          <w:sz w:val="21"/>
        </w:rPr>
        <w:t>履</w:t>
      </w:r>
      <w:r>
        <w:rPr>
          <w:sz w:val="21"/>
        </w:rPr>
        <w:t>行</w:t>
      </w:r>
      <w:r>
        <w:rPr>
          <w:spacing w:val="-3"/>
          <w:sz w:val="21"/>
        </w:rPr>
        <w:t>给</w:t>
      </w:r>
      <w:r>
        <w:rPr>
          <w:sz w:val="21"/>
        </w:rPr>
        <w:t>付</w:t>
      </w:r>
      <w:r>
        <w:rPr>
          <w:spacing w:val="-3"/>
          <w:sz w:val="21"/>
        </w:rPr>
        <w:t>保</w:t>
      </w:r>
      <w:r>
        <w:rPr>
          <w:sz w:val="21"/>
        </w:rPr>
        <w:t>险金</w:t>
      </w:r>
      <w:r>
        <w:rPr>
          <w:spacing w:val="-3"/>
          <w:sz w:val="21"/>
        </w:rPr>
        <w:t>义</w:t>
      </w:r>
      <w:r>
        <w:rPr>
          <w:sz w:val="21"/>
        </w:rPr>
        <w:t>务。</w:t>
      </w:r>
    </w:p>
    <w:p>
      <w:pPr>
        <w:pStyle w:val="BodyText"/>
        <w:spacing w:line="316" w:lineRule="auto" w:before="97"/>
        <w:ind w:left="2817" w:right="215"/>
        <w:jc w:val="both"/>
      </w:pPr>
      <w:r>
        <w:rPr/>
        <w:t>我们未及时履行前款规定义务的，除支付保险金外，应当赔偿受益人因此受到的损失。</w:t>
      </w:r>
    </w:p>
    <w:p>
      <w:pPr>
        <w:pStyle w:val="Heading3"/>
        <w:spacing w:line="235" w:lineRule="auto" w:before="35"/>
        <w:ind w:left="2817" w:right="297"/>
        <w:jc w:val="both"/>
      </w:pPr>
      <w:r>
        <w:rPr/>
        <w:t>对不属于保险责任的，我们自作出核定之日起</w:t>
      </w:r>
      <w:r>
        <w:rPr>
          <w:rFonts w:ascii="Times New Roman" w:eastAsia="Times New Roman"/>
        </w:rPr>
        <w:t>3</w:t>
      </w:r>
      <w:r>
        <w:rPr/>
        <w:t>日内向受益人发出拒绝给付保险金通知书并说明理由。</w:t>
      </w:r>
    </w:p>
    <w:p>
      <w:pPr>
        <w:pStyle w:val="BodyText"/>
        <w:spacing w:line="273" w:lineRule="auto" w:before="73"/>
        <w:ind w:left="2817" w:right="207"/>
        <w:jc w:val="both"/>
      </w:pPr>
      <w:r>
        <w:rPr>
          <w:spacing w:val="-5"/>
        </w:rPr>
        <w:t>我们在收到保险金给付申请书及有关证明和资料之日起 </w:t>
      </w:r>
      <w:r>
        <w:rPr/>
        <w:t>60</w:t>
      </w:r>
      <w:r>
        <w:rPr>
          <w:spacing w:val="-17"/>
        </w:rPr>
        <w:t> 日内，对给付保险金</w:t>
      </w:r>
      <w:r>
        <w:rPr>
          <w:spacing w:val="-8"/>
        </w:rPr>
        <w:t>的数额不能确定的，根据已有证明和资料可以确定的数额先予支付；我们最终</w:t>
      </w:r>
      <w:r>
        <w:rPr>
          <w:spacing w:val="-3"/>
        </w:rPr>
        <w:t>确定给付保险金的数额后，将支付相应的差额。</w:t>
      </w:r>
    </w:p>
    <w:p>
      <w:pPr>
        <w:pStyle w:val="BodyText"/>
        <w:tabs>
          <w:tab w:pos="859" w:val="left" w:leader="none"/>
          <w:tab w:pos="2817" w:val="left" w:leader="none"/>
        </w:tabs>
        <w:spacing w:before="86"/>
        <w:ind w:left="103"/>
      </w:pPr>
      <w:r>
        <w:rPr>
          <w:w w:val="100"/>
        </w:rPr>
        <w:t> </w:t>
      </w:r>
      <w:r>
        <w:rPr/>
        <w:tab/>
      </w:r>
      <w:r>
        <w:rPr>
          <w:w w:val="100"/>
        </w:rPr>
        <w:t> </w:t>
      </w:r>
      <w:r>
        <w:rPr/>
        <w:tab/>
      </w:r>
      <w:r>
        <w:rPr>
          <w:w w:val="100"/>
        </w:rPr>
        <w:t> </w:t>
      </w:r>
    </w:p>
    <w:p>
      <w:pPr>
        <w:pStyle w:val="ListParagraph"/>
        <w:numPr>
          <w:ilvl w:val="1"/>
          <w:numId w:val="13"/>
        </w:numPr>
        <w:tabs>
          <w:tab w:pos="860" w:val="left" w:leader="none"/>
          <w:tab w:pos="2817" w:val="left" w:leader="none"/>
        </w:tabs>
        <w:spacing w:line="259" w:lineRule="auto" w:before="46" w:after="0"/>
        <w:ind w:left="2817" w:right="215" w:hanging="2714"/>
        <w:jc w:val="both"/>
        <w:rPr>
          <w:sz w:val="21"/>
        </w:rPr>
      </w:pPr>
      <w:r>
        <w:rPr>
          <w:rFonts w:ascii="Microsoft JhengHei" w:eastAsia="Microsoft JhengHei" w:hint="eastAsia"/>
          <w:b/>
          <w:sz w:val="21"/>
        </w:rPr>
        <w:t>5   </w:t>
      </w:r>
      <w:r>
        <w:rPr>
          <w:rFonts w:ascii="Microsoft JhengHei" w:eastAsia="Microsoft JhengHei" w:hint="eastAsia"/>
          <w:b/>
          <w:spacing w:val="28"/>
          <w:sz w:val="21"/>
        </w:rPr>
        <w:t> </w:t>
      </w:r>
      <w:r>
        <w:rPr>
          <w:rFonts w:ascii="Microsoft JhengHei" w:eastAsia="Microsoft JhengHei" w:hint="eastAsia"/>
          <w:b/>
          <w:sz w:val="21"/>
        </w:rPr>
        <w:t>宣 告 死 亡 处理</w:t>
        <w:tab/>
      </w:r>
      <w:r>
        <w:rPr>
          <w:sz w:val="21"/>
        </w:rPr>
        <w:t>如果</w:t>
      </w:r>
      <w:r>
        <w:rPr>
          <w:spacing w:val="-3"/>
          <w:sz w:val="21"/>
        </w:rPr>
        <w:t>被</w:t>
      </w:r>
      <w:r>
        <w:rPr>
          <w:sz w:val="21"/>
        </w:rPr>
        <w:t>保</w:t>
      </w:r>
      <w:r>
        <w:rPr>
          <w:spacing w:val="-3"/>
          <w:sz w:val="21"/>
        </w:rPr>
        <w:t>险</w:t>
      </w:r>
      <w:r>
        <w:rPr>
          <w:sz w:val="21"/>
        </w:rPr>
        <w:t>人</w:t>
      </w:r>
      <w:r>
        <w:rPr>
          <w:spacing w:val="-3"/>
          <w:sz w:val="21"/>
        </w:rPr>
        <w:t>在</w:t>
      </w:r>
      <w:r>
        <w:rPr>
          <w:sz w:val="21"/>
        </w:rPr>
        <w:t>本</w:t>
      </w:r>
      <w:r>
        <w:rPr>
          <w:spacing w:val="-3"/>
          <w:sz w:val="21"/>
        </w:rPr>
        <w:t>附</w:t>
      </w:r>
      <w:r>
        <w:rPr>
          <w:sz w:val="21"/>
        </w:rPr>
        <w:t>加</w:t>
      </w:r>
      <w:r>
        <w:rPr>
          <w:spacing w:val="-3"/>
          <w:sz w:val="21"/>
        </w:rPr>
        <w:t>险</w:t>
      </w:r>
      <w:r>
        <w:rPr>
          <w:sz w:val="21"/>
        </w:rPr>
        <w:t>合同</w:t>
      </w:r>
      <w:r>
        <w:rPr>
          <w:spacing w:val="-3"/>
          <w:sz w:val="21"/>
        </w:rPr>
        <w:t>有</w:t>
      </w:r>
      <w:r>
        <w:rPr>
          <w:sz w:val="21"/>
        </w:rPr>
        <w:t>效</w:t>
      </w:r>
      <w:r>
        <w:rPr>
          <w:spacing w:val="-3"/>
          <w:sz w:val="21"/>
        </w:rPr>
        <w:t>期</w:t>
      </w:r>
      <w:r>
        <w:rPr>
          <w:sz w:val="21"/>
        </w:rPr>
        <w:t>内</w:t>
      </w:r>
      <w:r>
        <w:rPr>
          <w:spacing w:val="-3"/>
          <w:sz w:val="21"/>
        </w:rPr>
        <w:t>失</w:t>
      </w:r>
      <w:r>
        <w:rPr>
          <w:sz w:val="21"/>
        </w:rPr>
        <w:t>踪</w:t>
      </w:r>
      <w:r>
        <w:rPr>
          <w:spacing w:val="-3"/>
          <w:sz w:val="21"/>
        </w:rPr>
        <w:t>，</w:t>
      </w:r>
      <w:r>
        <w:rPr>
          <w:sz w:val="21"/>
        </w:rPr>
        <w:t>而</w:t>
      </w:r>
      <w:r>
        <w:rPr>
          <w:spacing w:val="-3"/>
          <w:sz w:val="21"/>
        </w:rPr>
        <w:t>且</w:t>
      </w:r>
      <w:r>
        <w:rPr>
          <w:sz w:val="21"/>
        </w:rPr>
        <w:t>被法</w:t>
      </w:r>
      <w:r>
        <w:rPr>
          <w:spacing w:val="-3"/>
          <w:sz w:val="21"/>
        </w:rPr>
        <w:t>院</w:t>
      </w:r>
      <w:r>
        <w:rPr>
          <w:sz w:val="21"/>
        </w:rPr>
        <w:t>宣</w:t>
      </w:r>
      <w:r>
        <w:rPr>
          <w:spacing w:val="-3"/>
          <w:sz w:val="21"/>
        </w:rPr>
        <w:t>告</w:t>
      </w:r>
      <w:r>
        <w:rPr>
          <w:sz w:val="21"/>
        </w:rPr>
        <w:t>死</w:t>
      </w:r>
      <w:r>
        <w:rPr>
          <w:spacing w:val="-3"/>
          <w:sz w:val="21"/>
        </w:rPr>
        <w:t>亡</w:t>
      </w:r>
      <w:r>
        <w:rPr>
          <w:sz w:val="21"/>
        </w:rPr>
        <w:t>，</w:t>
      </w:r>
      <w:r>
        <w:rPr>
          <w:spacing w:val="-3"/>
          <w:sz w:val="21"/>
        </w:rPr>
        <w:t>我</w:t>
      </w:r>
      <w:r>
        <w:rPr>
          <w:sz w:val="21"/>
        </w:rPr>
        <w:t>们</w:t>
      </w:r>
      <w:r>
        <w:rPr>
          <w:spacing w:val="-3"/>
          <w:sz w:val="21"/>
        </w:rPr>
        <w:t>以法 </w:t>
      </w:r>
      <w:r>
        <w:rPr>
          <w:sz w:val="21"/>
        </w:rPr>
        <w:t>院判</w:t>
      </w:r>
      <w:r>
        <w:rPr>
          <w:spacing w:val="-3"/>
          <w:sz w:val="21"/>
        </w:rPr>
        <w:t>决</w:t>
      </w:r>
      <w:r>
        <w:rPr>
          <w:sz w:val="21"/>
        </w:rPr>
        <w:t>宣</w:t>
      </w:r>
      <w:r>
        <w:rPr>
          <w:spacing w:val="-3"/>
          <w:sz w:val="21"/>
        </w:rPr>
        <w:t>告</w:t>
      </w:r>
      <w:r>
        <w:rPr>
          <w:sz w:val="21"/>
        </w:rPr>
        <w:t>死</w:t>
      </w:r>
      <w:r>
        <w:rPr>
          <w:spacing w:val="-3"/>
          <w:sz w:val="21"/>
        </w:rPr>
        <w:t>亡</w:t>
      </w:r>
      <w:r>
        <w:rPr>
          <w:sz w:val="21"/>
        </w:rPr>
        <w:t>之</w:t>
      </w:r>
      <w:r>
        <w:rPr>
          <w:spacing w:val="-3"/>
          <w:sz w:val="21"/>
        </w:rPr>
        <w:t>日</w:t>
      </w:r>
      <w:r>
        <w:rPr>
          <w:sz w:val="21"/>
        </w:rPr>
        <w:t>作</w:t>
      </w:r>
      <w:r>
        <w:rPr>
          <w:spacing w:val="-3"/>
          <w:sz w:val="21"/>
        </w:rPr>
        <w:t>为</w:t>
      </w:r>
      <w:r>
        <w:rPr>
          <w:sz w:val="21"/>
        </w:rPr>
        <w:t>被保</w:t>
      </w:r>
      <w:r>
        <w:rPr>
          <w:spacing w:val="-3"/>
          <w:sz w:val="21"/>
        </w:rPr>
        <w:t>险</w:t>
      </w:r>
      <w:r>
        <w:rPr>
          <w:sz w:val="21"/>
        </w:rPr>
        <w:t>人</w:t>
      </w:r>
      <w:r>
        <w:rPr>
          <w:spacing w:val="-3"/>
          <w:sz w:val="21"/>
        </w:rPr>
        <w:t>的</w:t>
      </w:r>
      <w:r>
        <w:rPr>
          <w:sz w:val="21"/>
        </w:rPr>
        <w:t>死</w:t>
      </w:r>
      <w:r>
        <w:rPr>
          <w:spacing w:val="-3"/>
          <w:sz w:val="21"/>
        </w:rPr>
        <w:t>亡</w:t>
      </w:r>
      <w:r>
        <w:rPr>
          <w:sz w:val="21"/>
        </w:rPr>
        <w:t>时</w:t>
      </w:r>
      <w:r>
        <w:rPr>
          <w:spacing w:val="-3"/>
          <w:sz w:val="21"/>
        </w:rPr>
        <w:t>间</w:t>
      </w:r>
      <w:r>
        <w:rPr>
          <w:sz w:val="21"/>
        </w:rPr>
        <w:t>，</w:t>
      </w:r>
      <w:r>
        <w:rPr>
          <w:spacing w:val="-3"/>
          <w:sz w:val="21"/>
        </w:rPr>
        <w:t>按</w:t>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约</w:t>
      </w:r>
      <w:r>
        <w:rPr>
          <w:spacing w:val="-3"/>
          <w:sz w:val="21"/>
        </w:rPr>
        <w:t>定</w:t>
      </w:r>
      <w:r>
        <w:rPr>
          <w:sz w:val="21"/>
        </w:rPr>
        <w:t>给</w:t>
      </w:r>
      <w:r>
        <w:rPr>
          <w:spacing w:val="-3"/>
          <w:sz w:val="21"/>
        </w:rPr>
        <w:t>付</w:t>
      </w:r>
      <w:r>
        <w:rPr>
          <w:sz w:val="21"/>
        </w:rPr>
        <w:t>身故保</w:t>
      </w:r>
      <w:r>
        <w:rPr>
          <w:spacing w:val="-3"/>
          <w:sz w:val="21"/>
        </w:rPr>
        <w:t>险</w:t>
      </w:r>
      <w:r>
        <w:rPr>
          <w:sz w:val="21"/>
        </w:rPr>
        <w:t>金</w:t>
      </w:r>
      <w:r>
        <w:rPr>
          <w:spacing w:val="-3"/>
          <w:sz w:val="21"/>
        </w:rPr>
        <w:t>，</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终止</w:t>
      </w:r>
      <w:r>
        <w:rPr>
          <w:spacing w:val="-3"/>
          <w:sz w:val="21"/>
        </w:rPr>
        <w:t>。  </w:t>
      </w:r>
    </w:p>
    <w:p>
      <w:pPr>
        <w:pStyle w:val="BodyText"/>
        <w:spacing w:before="99"/>
        <w:ind w:left="2817"/>
        <w:jc w:val="both"/>
      </w:pPr>
      <w:r>
        <w:rPr/>
        <w:t>如果被保险人在宣告死亡后重新出现或者受益人确知其没有死亡，受益人应于</w:t>
      </w:r>
    </w:p>
    <w:p>
      <w:pPr>
        <w:pStyle w:val="BodyText"/>
        <w:spacing w:before="34"/>
        <w:ind w:left="2817"/>
        <w:jc w:val="both"/>
      </w:pPr>
      <w:r>
        <w:rPr/>
        <w:t>知道后 30 日内向我们退还已给付的保险金。 </w:t>
      </w:r>
    </w:p>
    <w:p>
      <w:pPr>
        <w:spacing w:after="0"/>
        <w:jc w:val="both"/>
        <w:sectPr>
          <w:type w:val="continuous"/>
          <w:pgSz w:w="11900" w:h="16840"/>
          <w:pgMar w:top="500" w:bottom="280" w:left="1200" w:right="5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48"/>
        <w:gridCol w:w="7500"/>
      </w:tblGrid>
      <w:tr>
        <w:trPr>
          <w:trHeight w:val="1002" w:hRule="atLeast"/>
        </w:trPr>
        <w:tc>
          <w:tcPr>
            <w:tcW w:w="634" w:type="dxa"/>
          </w:tcPr>
          <w:p>
            <w:pPr>
              <w:pStyle w:val="TableParagraph"/>
              <w:spacing w:line="203" w:lineRule="exact"/>
              <w:ind w:left="107"/>
              <w:rPr>
                <w:sz w:val="21"/>
              </w:rPr>
            </w:pPr>
            <w:r>
              <w:rPr>
                <w:w w:val="100"/>
                <w:sz w:val="21"/>
              </w:rPr>
              <w:t> </w:t>
            </w:r>
          </w:p>
          <w:p>
            <w:pPr>
              <w:pStyle w:val="TableParagraph"/>
              <w:spacing w:before="47"/>
              <w:ind w:left="107"/>
              <w:rPr>
                <w:rFonts w:ascii="Microsoft JhengHei"/>
                <w:b/>
                <w:sz w:val="21"/>
              </w:rPr>
            </w:pPr>
            <w:r>
              <w:rPr>
                <w:rFonts w:ascii="Microsoft JhengHei"/>
                <w:b/>
                <w:w w:val="90"/>
                <w:sz w:val="21"/>
              </w:rPr>
              <w:t>3. 6</w:t>
            </w:r>
          </w:p>
        </w:tc>
        <w:tc>
          <w:tcPr>
            <w:tcW w:w="1948" w:type="dxa"/>
          </w:tcPr>
          <w:p>
            <w:pPr>
              <w:pStyle w:val="TableParagraph"/>
              <w:spacing w:line="203" w:lineRule="exact"/>
              <w:ind w:left="230"/>
              <w:rPr>
                <w:sz w:val="21"/>
              </w:rPr>
            </w:pPr>
            <w:r>
              <w:rPr>
                <w:w w:val="100"/>
                <w:sz w:val="21"/>
              </w:rPr>
              <w:t> </w:t>
            </w:r>
          </w:p>
          <w:p>
            <w:pPr>
              <w:pStyle w:val="TableParagraph"/>
              <w:spacing w:before="47"/>
              <w:ind w:left="230"/>
              <w:rPr>
                <w:rFonts w:ascii="Microsoft JhengHei" w:eastAsia="Microsoft JhengHei" w:hint="eastAsia"/>
                <w:b/>
                <w:sz w:val="21"/>
              </w:rPr>
            </w:pPr>
            <w:r>
              <w:rPr>
                <w:rFonts w:ascii="Microsoft JhengHei" w:eastAsia="Microsoft JhengHei" w:hint="eastAsia"/>
                <w:b/>
                <w:sz w:val="21"/>
              </w:rPr>
              <w:t>诉讼时效</w:t>
            </w:r>
          </w:p>
        </w:tc>
        <w:tc>
          <w:tcPr>
            <w:tcW w:w="7500" w:type="dxa"/>
          </w:tcPr>
          <w:p>
            <w:pPr>
              <w:pStyle w:val="TableParagraph"/>
              <w:spacing w:line="203" w:lineRule="exact"/>
              <w:ind w:left="240"/>
              <w:rPr>
                <w:sz w:val="21"/>
              </w:rPr>
            </w:pPr>
            <w:r>
              <w:rPr>
                <w:w w:val="100"/>
                <w:sz w:val="21"/>
              </w:rPr>
              <w:t> </w:t>
            </w:r>
          </w:p>
          <w:p>
            <w:pPr>
              <w:pStyle w:val="TableParagraph"/>
              <w:spacing w:before="114"/>
              <w:ind w:left="240"/>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p>
            <w:pPr>
              <w:pStyle w:val="TableParagraph"/>
              <w:spacing w:before="21"/>
              <w:ind w:left="240"/>
              <w:rPr>
                <w:sz w:val="21"/>
              </w:rPr>
            </w:pPr>
            <w:r>
              <w:rPr>
                <w:sz w:val="21"/>
              </w:rPr>
              <w:t>保险事故发生之日起计算。</w:t>
            </w:r>
          </w:p>
        </w:tc>
      </w:tr>
      <w:tr>
        <w:trPr>
          <w:trHeight w:val="405" w:hRule="atLeast"/>
        </w:trPr>
        <w:tc>
          <w:tcPr>
            <w:tcW w:w="634" w:type="dxa"/>
          </w:tcPr>
          <w:p>
            <w:pPr>
              <w:pStyle w:val="TableParagraph"/>
              <w:spacing w:before="18"/>
              <w:ind w:left="108"/>
              <w:rPr>
                <w:sz w:val="21"/>
              </w:rPr>
            </w:pPr>
            <w:r>
              <w:rPr>
                <w:w w:val="100"/>
                <w:sz w:val="21"/>
              </w:rPr>
              <w:t> </w:t>
            </w:r>
          </w:p>
        </w:tc>
        <w:tc>
          <w:tcPr>
            <w:tcW w:w="1948" w:type="dxa"/>
          </w:tcPr>
          <w:p>
            <w:pPr>
              <w:pStyle w:val="TableParagraph"/>
              <w:spacing w:before="18"/>
              <w:ind w:left="230"/>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645" w:hRule="atLeast"/>
        </w:trPr>
        <w:tc>
          <w:tcPr>
            <w:tcW w:w="634" w:type="dxa"/>
            <w:tcBorders>
              <w:bottom w:val="single" w:sz="8" w:space="0" w:color="000000"/>
            </w:tcBorders>
          </w:tcPr>
          <w:p>
            <w:pPr>
              <w:pStyle w:val="TableParagraph"/>
              <w:spacing w:before="80"/>
              <w:ind w:left="111"/>
              <w:rPr>
                <w:rFonts w:ascii="Times New Roman"/>
                <w:b/>
                <w:sz w:val="40"/>
              </w:rPr>
            </w:pPr>
            <w:r>
              <w:rPr>
                <w:rFonts w:ascii="Times New Roman"/>
                <w:b/>
                <w:w w:val="100"/>
                <w:sz w:val="40"/>
              </w:rPr>
              <w:t>x</w:t>
            </w:r>
          </w:p>
        </w:tc>
        <w:tc>
          <w:tcPr>
            <w:tcW w:w="1948" w:type="dxa"/>
            <w:tcBorders>
              <w:bottom w:val="single" w:sz="8" w:space="0" w:color="000000"/>
            </w:tcBorders>
          </w:tcPr>
          <w:p>
            <w:pPr>
              <w:pStyle w:val="TableParagraph"/>
              <w:spacing w:before="53"/>
              <w:ind w:left="230"/>
              <w:rPr>
                <w:rFonts w:ascii="Microsoft JhengHei" w:eastAsia="Microsoft JhengHei" w:hint="eastAsia"/>
                <w:b/>
                <w:sz w:val="24"/>
              </w:rPr>
            </w:pPr>
            <w:r>
              <w:rPr>
                <w:rFonts w:ascii="Microsoft JhengHei" w:eastAsia="Microsoft JhengHei" w:hint="eastAsia"/>
                <w:b/>
                <w:sz w:val="24"/>
              </w:rPr>
              <w:t>保险费的支付</w:t>
            </w:r>
          </w:p>
        </w:tc>
        <w:tc>
          <w:tcPr>
            <w:tcW w:w="7500" w:type="dxa"/>
            <w:tcBorders>
              <w:bottom w:val="single" w:sz="8" w:space="0" w:color="000000"/>
            </w:tcBorders>
          </w:tcPr>
          <w:p>
            <w:pPr>
              <w:pStyle w:val="TableParagraph"/>
              <w:rPr>
                <w:rFonts w:ascii="Times New Roman"/>
                <w:sz w:val="20"/>
              </w:rPr>
            </w:pPr>
          </w:p>
        </w:tc>
      </w:tr>
      <w:tr>
        <w:trPr>
          <w:trHeight w:val="426" w:hRule="atLeast"/>
        </w:trPr>
        <w:tc>
          <w:tcPr>
            <w:tcW w:w="634" w:type="dxa"/>
            <w:tcBorders>
              <w:top w:val="single" w:sz="8" w:space="0" w:color="000000"/>
            </w:tcBorders>
          </w:tcPr>
          <w:p>
            <w:pPr>
              <w:pStyle w:val="TableParagraph"/>
              <w:spacing w:before="58"/>
              <w:ind w:left="107"/>
              <w:rPr>
                <w:sz w:val="21"/>
              </w:rPr>
            </w:pPr>
            <w:r>
              <w:rPr>
                <w:w w:val="100"/>
                <w:sz w:val="21"/>
              </w:rPr>
              <w:t> </w:t>
            </w:r>
          </w:p>
        </w:tc>
        <w:tc>
          <w:tcPr>
            <w:tcW w:w="1948" w:type="dxa"/>
            <w:tcBorders>
              <w:top w:val="single" w:sz="8" w:space="0" w:color="000000"/>
            </w:tcBorders>
          </w:tcPr>
          <w:p>
            <w:pPr>
              <w:pStyle w:val="TableParagraph"/>
              <w:spacing w:before="58"/>
              <w:ind w:left="230"/>
              <w:rPr>
                <w:sz w:val="21"/>
              </w:rPr>
            </w:pPr>
            <w:r>
              <w:rPr>
                <w:w w:val="100"/>
                <w:sz w:val="21"/>
              </w:rPr>
              <w:t> </w:t>
            </w:r>
          </w:p>
        </w:tc>
        <w:tc>
          <w:tcPr>
            <w:tcW w:w="7500" w:type="dxa"/>
            <w:tcBorders>
              <w:top w:val="single" w:sz="8" w:space="0" w:color="000000"/>
            </w:tcBorders>
          </w:tcPr>
          <w:p>
            <w:pPr>
              <w:pStyle w:val="TableParagraph"/>
              <w:spacing w:before="58"/>
              <w:ind w:left="240"/>
              <w:rPr>
                <w:sz w:val="21"/>
              </w:rPr>
            </w:pPr>
            <w:r>
              <w:rPr>
                <w:w w:val="100"/>
                <w:sz w:val="21"/>
              </w:rPr>
              <w:t> </w:t>
            </w:r>
          </w:p>
        </w:tc>
      </w:tr>
      <w:tr>
        <w:trPr>
          <w:trHeight w:val="402" w:hRule="atLeast"/>
        </w:trPr>
        <w:tc>
          <w:tcPr>
            <w:tcW w:w="634" w:type="dxa"/>
          </w:tcPr>
          <w:p>
            <w:pPr>
              <w:pStyle w:val="TableParagraph"/>
              <w:spacing w:line="322" w:lineRule="exact"/>
              <w:ind w:left="107"/>
              <w:rPr>
                <w:rFonts w:ascii="Microsoft JhengHei"/>
                <w:b/>
                <w:sz w:val="21"/>
              </w:rPr>
            </w:pPr>
            <w:r>
              <w:rPr>
                <w:rFonts w:ascii="Microsoft JhengHei"/>
                <w:b/>
                <w:w w:val="90"/>
                <w:sz w:val="21"/>
              </w:rPr>
              <w:t>4. 1</w:t>
            </w:r>
          </w:p>
        </w:tc>
        <w:tc>
          <w:tcPr>
            <w:tcW w:w="1948"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00" w:type="dxa"/>
          </w:tcPr>
          <w:p>
            <w:pPr>
              <w:pStyle w:val="TableParagraph"/>
              <w:spacing w:before="23"/>
              <w:ind w:left="240"/>
              <w:rPr>
                <w:sz w:val="21"/>
              </w:rPr>
            </w:pPr>
            <w:r>
              <w:rPr>
                <w:sz w:val="21"/>
              </w:rPr>
              <w:t>本附加险合同的交费方式和交费期间由您和我们约定并在保险单上载明。 </w:t>
            </w:r>
          </w:p>
        </w:tc>
      </w:tr>
      <w:tr>
        <w:trPr>
          <w:trHeight w:val="34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9"/>
              <w:ind w:left="240"/>
              <w:rPr>
                <w:sz w:val="21"/>
              </w:rPr>
            </w:pPr>
            <w:r>
              <w:rPr>
                <w:sz w:val="21"/>
              </w:rPr>
              <w:t>分期支付保险费的，在支付首期保险费后，您应当按照约定，在保险费约定支</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付日支付其余各期的保险费。 </w:t>
            </w:r>
          </w:p>
        </w:tc>
      </w:tr>
      <w:tr>
        <w:trPr>
          <w:trHeight w:val="35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8"/>
              <w:ind w:left="240"/>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31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2" w:lineRule="exact"/>
              <w:ind w:left="240"/>
              <w:rPr>
                <w:sz w:val="21"/>
              </w:rPr>
            </w:pPr>
            <w:r>
              <w:rPr>
                <w:sz w:val="21"/>
              </w:rPr>
              <w:t>知您。保险费率的调整针对所有被保险人或同一投保年龄的所有被保险人。我</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们进行保险费率调整后，请您按调整后的保险费交付以后各期保险费。 </w:t>
            </w:r>
          </w:p>
        </w:tc>
      </w:tr>
      <w:tr>
        <w:trPr>
          <w:trHeight w:val="386" w:hRule="atLeast"/>
        </w:trPr>
        <w:tc>
          <w:tcPr>
            <w:tcW w:w="634" w:type="dxa"/>
          </w:tcPr>
          <w:p>
            <w:pPr>
              <w:pStyle w:val="TableParagraph"/>
              <w:spacing w:before="18"/>
              <w:ind w:left="108"/>
              <w:rPr>
                <w:sz w:val="21"/>
              </w:rPr>
            </w:pPr>
            <w:r>
              <w:rPr>
                <w:w w:val="100"/>
                <w:sz w:val="21"/>
              </w:rPr>
              <w:t> </w:t>
            </w:r>
          </w:p>
        </w:tc>
        <w:tc>
          <w:tcPr>
            <w:tcW w:w="1948" w:type="dxa"/>
          </w:tcPr>
          <w:p>
            <w:pPr>
              <w:pStyle w:val="TableParagraph"/>
              <w:spacing w:before="18"/>
              <w:ind w:left="230"/>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666" w:hRule="atLeast"/>
        </w:trPr>
        <w:tc>
          <w:tcPr>
            <w:tcW w:w="634" w:type="dxa"/>
          </w:tcPr>
          <w:p>
            <w:pPr>
              <w:pStyle w:val="TableParagraph"/>
              <w:spacing w:line="322" w:lineRule="exact"/>
              <w:ind w:left="108"/>
              <w:rPr>
                <w:rFonts w:ascii="Microsoft JhengHei"/>
                <w:b/>
                <w:sz w:val="21"/>
              </w:rPr>
            </w:pPr>
            <w:r>
              <w:rPr>
                <w:rFonts w:ascii="Microsoft JhengHei"/>
                <w:b/>
                <w:w w:val="90"/>
                <w:sz w:val="21"/>
              </w:rPr>
              <w:t>4. 2</w:t>
            </w:r>
          </w:p>
        </w:tc>
        <w:tc>
          <w:tcPr>
            <w:tcW w:w="1948"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宽限期</w:t>
            </w:r>
          </w:p>
        </w:tc>
        <w:tc>
          <w:tcPr>
            <w:tcW w:w="7500" w:type="dxa"/>
          </w:tcPr>
          <w:p>
            <w:pPr>
              <w:pStyle w:val="TableParagraph"/>
              <w:spacing w:before="23"/>
              <w:ind w:left="240"/>
              <w:rPr>
                <w:sz w:val="21"/>
              </w:rPr>
            </w:pPr>
            <w:r>
              <w:rPr>
                <w:sz w:val="21"/>
              </w:rPr>
              <w:t>分期支付保险费的，您支付首期保险费后，除本附加险合同另有约定外，如果</w:t>
            </w:r>
          </w:p>
          <w:p>
            <w:pPr>
              <w:pStyle w:val="TableParagraph"/>
              <w:spacing w:before="34"/>
              <w:ind w:left="240"/>
              <w:rPr>
                <w:sz w:val="21"/>
              </w:rPr>
            </w:pPr>
            <w:r>
              <w:rPr>
                <w:spacing w:val="-9"/>
                <w:sz w:val="21"/>
              </w:rPr>
              <w:t>您到期未支付保险费，自保险费约定支付日的次日零时起 </w:t>
            </w:r>
            <w:r>
              <w:rPr>
                <w:sz w:val="21"/>
              </w:rPr>
              <w:t>60</w:t>
            </w:r>
            <w:r>
              <w:rPr>
                <w:spacing w:val="-12"/>
                <w:sz w:val="21"/>
              </w:rPr>
              <w:t> 日为宽限期。宽限</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期内发生的保险事故，我们仍会承担保险责任，但在给付保险金时会扣减您欠</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交的保险费。 </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317" w:lineRule="exact"/>
              <w:ind w:left="240"/>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若您在宽限期结束之后仍未支付保险费，则本附加险合同自宽限期满的次日零</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77" w:lineRule="exact"/>
              <w:ind w:left="240"/>
              <w:rPr>
                <w:rFonts w:ascii="Microsoft JhengHei" w:eastAsia="Microsoft JhengHei" w:hint="eastAsia"/>
                <w:b/>
                <w:sz w:val="21"/>
              </w:rPr>
            </w:pPr>
            <w:r>
              <w:rPr>
                <w:rFonts w:ascii="Microsoft JhengHei" w:eastAsia="Microsoft JhengHei" w:hint="eastAsia"/>
                <w:b/>
                <w:sz w:val="21"/>
              </w:rPr>
              <w:t>时起效力中止。</w:t>
            </w:r>
          </w:p>
        </w:tc>
      </w:tr>
      <w:tr>
        <w:trPr>
          <w:trHeight w:val="39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8"/>
              <w:ind w:left="240"/>
              <w:rPr>
                <w:sz w:val="21"/>
              </w:rPr>
            </w:pPr>
            <w:r>
              <w:rPr>
                <w:sz w:val="21"/>
              </w:rPr>
              <w:t>主险合同效力中止期间，本附加险合同不能单独申请复效。</w:t>
            </w:r>
          </w:p>
        </w:tc>
      </w:tr>
      <w:tr>
        <w:trPr>
          <w:trHeight w:val="405" w:hRule="atLeast"/>
        </w:trPr>
        <w:tc>
          <w:tcPr>
            <w:tcW w:w="634" w:type="dxa"/>
          </w:tcPr>
          <w:p>
            <w:pPr>
              <w:pStyle w:val="TableParagraph"/>
              <w:spacing w:before="17"/>
              <w:ind w:left="108"/>
              <w:rPr>
                <w:sz w:val="21"/>
              </w:rPr>
            </w:pPr>
            <w:r>
              <w:rPr>
                <w:w w:val="100"/>
                <w:sz w:val="21"/>
              </w:rPr>
              <w:t> </w:t>
            </w:r>
          </w:p>
        </w:tc>
        <w:tc>
          <w:tcPr>
            <w:tcW w:w="1948" w:type="dxa"/>
          </w:tcPr>
          <w:p>
            <w:pPr>
              <w:pStyle w:val="TableParagraph"/>
              <w:spacing w:before="17"/>
              <w:ind w:left="230"/>
              <w:rPr>
                <w:sz w:val="21"/>
              </w:rPr>
            </w:pPr>
            <w:r>
              <w:rPr>
                <w:w w:val="100"/>
                <w:sz w:val="21"/>
              </w:rPr>
              <w:t> </w:t>
            </w:r>
          </w:p>
        </w:tc>
        <w:tc>
          <w:tcPr>
            <w:tcW w:w="7500" w:type="dxa"/>
          </w:tcPr>
          <w:p>
            <w:pPr>
              <w:pStyle w:val="TableParagraph"/>
              <w:spacing w:before="17"/>
              <w:ind w:left="240"/>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1"/>
              <w:ind w:left="111"/>
              <w:rPr>
                <w:rFonts w:ascii="Times New Roman"/>
                <w:b/>
                <w:sz w:val="40"/>
              </w:rPr>
            </w:pPr>
            <w:r>
              <w:rPr>
                <w:rFonts w:ascii="Times New Roman"/>
                <w:b/>
                <w:w w:val="100"/>
                <w:sz w:val="40"/>
              </w:rPr>
              <w:t>y</w:t>
            </w:r>
          </w:p>
        </w:tc>
        <w:tc>
          <w:tcPr>
            <w:tcW w:w="1948" w:type="dxa"/>
            <w:tcBorders>
              <w:bottom w:val="single" w:sz="8" w:space="0" w:color="000000"/>
            </w:tcBorders>
          </w:tcPr>
          <w:p>
            <w:pPr>
              <w:pStyle w:val="TableParagraph"/>
              <w:spacing w:before="54"/>
              <w:ind w:left="230"/>
              <w:rPr>
                <w:rFonts w:ascii="Microsoft JhengHei" w:eastAsia="Microsoft JhengHei" w:hint="eastAsia"/>
                <w:b/>
                <w:sz w:val="24"/>
              </w:rPr>
            </w:pPr>
            <w:r>
              <w:rPr>
                <w:rFonts w:ascii="Microsoft JhengHei" w:eastAsia="Microsoft JhengHei" w:hint="eastAsia"/>
                <w:b/>
                <w:sz w:val="24"/>
              </w:rPr>
              <w:t>现金价值权益</w:t>
            </w:r>
          </w:p>
        </w:tc>
        <w:tc>
          <w:tcPr>
            <w:tcW w:w="7500" w:type="dxa"/>
            <w:tcBorders>
              <w:bottom w:val="single" w:sz="8" w:space="0" w:color="000000"/>
            </w:tcBorders>
          </w:tcPr>
          <w:p>
            <w:pPr>
              <w:pStyle w:val="TableParagraph"/>
              <w:rPr>
                <w:rFonts w:ascii="Times New Roman"/>
                <w:sz w:val="20"/>
              </w:rPr>
            </w:pPr>
          </w:p>
        </w:tc>
      </w:tr>
      <w:tr>
        <w:trPr>
          <w:trHeight w:val="427"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48" w:type="dxa"/>
            <w:tcBorders>
              <w:top w:val="single" w:sz="8" w:space="0" w:color="000000"/>
            </w:tcBorders>
          </w:tcPr>
          <w:p>
            <w:pPr>
              <w:pStyle w:val="TableParagraph"/>
              <w:spacing w:before="61"/>
              <w:ind w:left="230"/>
              <w:rPr>
                <w:sz w:val="21"/>
              </w:rPr>
            </w:pPr>
            <w:r>
              <w:rPr>
                <w:w w:val="100"/>
                <w:sz w:val="21"/>
              </w:rPr>
              <w:t> </w:t>
            </w:r>
          </w:p>
        </w:tc>
        <w:tc>
          <w:tcPr>
            <w:tcW w:w="7500" w:type="dxa"/>
            <w:tcBorders>
              <w:top w:val="single" w:sz="8" w:space="0" w:color="000000"/>
            </w:tcBorders>
          </w:tcPr>
          <w:p>
            <w:pPr>
              <w:pStyle w:val="TableParagraph"/>
              <w:spacing w:before="61"/>
              <w:ind w:left="240"/>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5. 1</w:t>
            </w:r>
          </w:p>
        </w:tc>
        <w:tc>
          <w:tcPr>
            <w:tcW w:w="1948"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00" w:type="dxa"/>
          </w:tcPr>
          <w:p>
            <w:pPr>
              <w:pStyle w:val="TableParagraph"/>
              <w:spacing w:before="22"/>
              <w:ind w:left="240"/>
              <w:rPr>
                <w:sz w:val="21"/>
              </w:rPr>
            </w:pPr>
            <w:r>
              <w:rPr>
                <w:sz w:val="21"/>
              </w:rPr>
              <w:t>本附加险合同保单年度末的现金价值会在保险单上载明。保单年度内的现金价</w:t>
            </w:r>
          </w:p>
        </w:tc>
      </w:tr>
      <w:tr>
        <w:trPr>
          <w:trHeight w:val="344"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46" w:lineRule="exact"/>
              <w:ind w:left="240"/>
              <w:rPr>
                <w:sz w:val="21"/>
              </w:rPr>
            </w:pPr>
            <w:r>
              <w:rPr>
                <w:sz w:val="21"/>
              </w:rPr>
              <w:t>值，您可以向我们咨询。 </w:t>
            </w:r>
          </w:p>
        </w:tc>
      </w:tr>
      <w:tr>
        <w:trPr>
          <w:trHeight w:val="385" w:hRule="atLeast"/>
        </w:trPr>
        <w:tc>
          <w:tcPr>
            <w:tcW w:w="634" w:type="dxa"/>
          </w:tcPr>
          <w:p>
            <w:pPr>
              <w:pStyle w:val="TableParagraph"/>
              <w:spacing w:before="18"/>
              <w:ind w:left="107"/>
              <w:rPr>
                <w:sz w:val="21"/>
              </w:rPr>
            </w:pPr>
            <w:r>
              <w:rPr>
                <w:w w:val="100"/>
                <w:sz w:val="21"/>
              </w:rPr>
              <w:t> </w:t>
            </w:r>
          </w:p>
        </w:tc>
        <w:tc>
          <w:tcPr>
            <w:tcW w:w="1948" w:type="dxa"/>
          </w:tcPr>
          <w:p>
            <w:pPr>
              <w:pStyle w:val="TableParagraph"/>
              <w:spacing w:before="18"/>
              <w:ind w:left="229"/>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402" w:hRule="atLeast"/>
        </w:trPr>
        <w:tc>
          <w:tcPr>
            <w:tcW w:w="634" w:type="dxa"/>
          </w:tcPr>
          <w:p>
            <w:pPr>
              <w:pStyle w:val="TableParagraph"/>
              <w:spacing w:line="321" w:lineRule="exact"/>
              <w:ind w:left="107"/>
              <w:rPr>
                <w:rFonts w:ascii="Microsoft JhengHei"/>
                <w:b/>
                <w:sz w:val="21"/>
              </w:rPr>
            </w:pPr>
            <w:r>
              <w:rPr>
                <w:rFonts w:ascii="Microsoft JhengHei"/>
                <w:b/>
                <w:w w:val="90"/>
                <w:sz w:val="21"/>
              </w:rPr>
              <w:t>5. 2</w:t>
            </w:r>
          </w:p>
        </w:tc>
        <w:tc>
          <w:tcPr>
            <w:tcW w:w="1948" w:type="dxa"/>
          </w:tcPr>
          <w:p>
            <w:pPr>
              <w:pStyle w:val="TableParagraph"/>
              <w:spacing w:line="321" w:lineRule="exact"/>
              <w:ind w:left="229"/>
              <w:rPr>
                <w:rFonts w:ascii="Microsoft JhengHei" w:eastAsia="Microsoft JhengHei" w:hint="eastAsia"/>
                <w:b/>
                <w:sz w:val="21"/>
              </w:rPr>
            </w:pPr>
            <w:r>
              <w:rPr>
                <w:rFonts w:ascii="Microsoft JhengHei" w:eastAsia="Microsoft JhengHei" w:hint="eastAsia"/>
                <w:b/>
                <w:sz w:val="21"/>
              </w:rPr>
              <w:t>保险费自动垫交</w:t>
            </w:r>
          </w:p>
        </w:tc>
        <w:tc>
          <w:tcPr>
            <w:tcW w:w="7500" w:type="dxa"/>
          </w:tcPr>
          <w:p>
            <w:pPr>
              <w:pStyle w:val="TableParagraph"/>
              <w:spacing w:before="22"/>
              <w:ind w:left="240"/>
              <w:rPr>
                <w:sz w:val="21"/>
              </w:rPr>
            </w:pPr>
            <w:r>
              <w:rPr>
                <w:sz w:val="21"/>
              </w:rPr>
              <w:t>您可选择使用现金价值的保险费自动垫交功能。 </w:t>
            </w:r>
          </w:p>
        </w:tc>
      </w:tr>
      <w:tr>
        <w:trPr>
          <w:trHeight w:val="34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0"/>
              <w:ind w:left="240"/>
              <w:rPr>
                <w:sz w:val="21"/>
              </w:rPr>
            </w:pPr>
            <w:r>
              <w:rPr>
                <w:sz w:val="21"/>
              </w:rPr>
              <w:t>如果您在宽限期结束时仍未支付保险费，我们将以本附加险合同的现金价值扣</w:t>
            </w:r>
          </w:p>
        </w:tc>
      </w:tr>
      <w:tr>
        <w:trPr>
          <w:trHeight w:val="31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2" w:lineRule="exact"/>
              <w:ind w:left="240"/>
              <w:rPr>
                <w:sz w:val="21"/>
              </w:rPr>
            </w:pPr>
            <w:r>
              <w:rPr>
                <w:sz w:val="21"/>
              </w:rPr>
              <w:t>除“9.2 未还款项”中规定的欠款之后的余额自动垫交到期应交的保险费，本</w:t>
            </w:r>
          </w:p>
        </w:tc>
      </w:tr>
      <w:tr>
        <w:trPr>
          <w:trHeight w:val="31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附加险合同继续有效。当现金价值的余额不足以垫交到期应交的保险费时，我</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们将根据现金价值的余额计算本附加险合同可以继续有效的天数，本附加险合</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同在此期间继续有效。当现金价值余额为零时，本附加险合同效力中止。 </w:t>
            </w:r>
          </w:p>
        </w:tc>
      </w:tr>
      <w:tr>
        <w:trPr>
          <w:trHeight w:val="39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8"/>
              <w:ind w:left="240"/>
              <w:rPr>
                <w:sz w:val="21"/>
              </w:rPr>
            </w:pPr>
            <w:r>
              <w:rPr>
                <w:sz w:val="21"/>
              </w:rPr>
              <w:t>本附加险合同必须与主险合同同时办理保险费的垫交。 </w:t>
            </w:r>
          </w:p>
        </w:tc>
      </w:tr>
      <w:tr>
        <w:trPr>
          <w:trHeight w:val="385" w:hRule="atLeast"/>
        </w:trPr>
        <w:tc>
          <w:tcPr>
            <w:tcW w:w="634" w:type="dxa"/>
          </w:tcPr>
          <w:p>
            <w:pPr>
              <w:pStyle w:val="TableParagraph"/>
              <w:spacing w:before="18"/>
              <w:ind w:left="108"/>
              <w:rPr>
                <w:sz w:val="21"/>
              </w:rPr>
            </w:pPr>
            <w:r>
              <w:rPr>
                <w:w w:val="100"/>
                <w:sz w:val="21"/>
              </w:rPr>
              <w:t> </w:t>
            </w:r>
          </w:p>
        </w:tc>
        <w:tc>
          <w:tcPr>
            <w:tcW w:w="1948" w:type="dxa"/>
          </w:tcPr>
          <w:p>
            <w:pPr>
              <w:pStyle w:val="TableParagraph"/>
              <w:spacing w:before="18"/>
              <w:ind w:left="230"/>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362" w:hRule="atLeast"/>
        </w:trPr>
        <w:tc>
          <w:tcPr>
            <w:tcW w:w="634" w:type="dxa"/>
          </w:tcPr>
          <w:p>
            <w:pPr>
              <w:pStyle w:val="TableParagraph"/>
              <w:spacing w:line="321" w:lineRule="exact"/>
              <w:ind w:left="108"/>
              <w:rPr>
                <w:rFonts w:ascii="Microsoft JhengHei"/>
                <w:b/>
                <w:sz w:val="21"/>
              </w:rPr>
            </w:pPr>
            <w:r>
              <w:rPr>
                <w:rFonts w:ascii="Microsoft JhengHei"/>
                <w:b/>
                <w:w w:val="90"/>
                <w:sz w:val="21"/>
              </w:rPr>
              <w:t>5. 3</w:t>
            </w:r>
          </w:p>
        </w:tc>
        <w:tc>
          <w:tcPr>
            <w:tcW w:w="1948"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减额交清</w:t>
            </w:r>
          </w:p>
        </w:tc>
        <w:tc>
          <w:tcPr>
            <w:tcW w:w="7500" w:type="dxa"/>
          </w:tcPr>
          <w:p>
            <w:pPr>
              <w:pStyle w:val="TableParagraph"/>
              <w:spacing w:before="22"/>
              <w:ind w:left="240"/>
              <w:rPr>
                <w:sz w:val="21"/>
              </w:rPr>
            </w:pPr>
            <w:r>
              <w:rPr>
                <w:sz w:val="21"/>
              </w:rPr>
              <w:t>在本附加险合同的宽限期内，您可以申请并经我们审核同意后使用现金价值的</w:t>
            </w:r>
          </w:p>
        </w:tc>
      </w:tr>
      <w:tr>
        <w:trPr>
          <w:trHeight w:val="254" w:hRule="atLeast"/>
        </w:trPr>
        <w:tc>
          <w:tcPr>
            <w:tcW w:w="634" w:type="dxa"/>
          </w:tcPr>
          <w:p>
            <w:pPr>
              <w:pStyle w:val="TableParagraph"/>
              <w:rPr>
                <w:rFonts w:ascii="Times New Roman"/>
                <w:sz w:val="18"/>
              </w:rPr>
            </w:pPr>
          </w:p>
        </w:tc>
        <w:tc>
          <w:tcPr>
            <w:tcW w:w="1948" w:type="dxa"/>
          </w:tcPr>
          <w:p>
            <w:pPr>
              <w:pStyle w:val="TableParagraph"/>
              <w:rPr>
                <w:rFonts w:ascii="Times New Roman"/>
                <w:sz w:val="18"/>
              </w:rPr>
            </w:pPr>
          </w:p>
        </w:tc>
        <w:tc>
          <w:tcPr>
            <w:tcW w:w="7500" w:type="dxa"/>
          </w:tcPr>
          <w:p>
            <w:pPr>
              <w:pStyle w:val="TableParagraph"/>
              <w:spacing w:line="234" w:lineRule="exact"/>
              <w:ind w:left="240"/>
              <w:rPr>
                <w:sz w:val="21"/>
              </w:rPr>
            </w:pPr>
            <w:r>
              <w:rPr>
                <w:sz w:val="21"/>
              </w:rPr>
              <w:t>减额交清功能。 </w:t>
            </w:r>
          </w:p>
        </w:tc>
      </w:tr>
    </w:tbl>
    <w:p>
      <w:pPr>
        <w:spacing w:after="0" w:line="234" w:lineRule="exact"/>
        <w:rPr>
          <w:sz w:val="21"/>
        </w:rPr>
        <w:sectPr>
          <w:pgSz w:w="11900" w:h="16840"/>
          <w:pgMar w:header="0" w:footer="724" w:top="1580" w:bottom="920" w:left="1080" w:right="520"/>
        </w:sectPr>
      </w:pPr>
    </w:p>
    <w:p>
      <w:pPr>
        <w:pStyle w:val="BodyText"/>
        <w:spacing w:line="211" w:lineRule="auto" w:before="41"/>
        <w:ind w:left="2937" w:right="207"/>
        <w:jc w:val="both"/>
      </w:pPr>
      <w:r>
        <w:rPr>
          <w:spacing w:val="-3"/>
        </w:rPr>
        <w:t>我们将以宽限期开始前一日的现金价值扣除“</w:t>
      </w:r>
      <w:r>
        <w:rPr/>
        <w:t>9.2</w:t>
      </w:r>
      <w:r>
        <w:rPr>
          <w:spacing w:val="-3"/>
        </w:rPr>
        <w:t> 未还款项”中规定的欠款之</w:t>
      </w:r>
      <w:r>
        <w:rPr>
          <w:spacing w:val="-3"/>
          <w:w w:val="100"/>
        </w:rPr>
        <w:t>后的余额作为一次交清的</w:t>
      </w:r>
      <w:r>
        <w:rPr>
          <w:rFonts w:ascii="Microsoft JhengHei" w:hAnsi="Microsoft JhengHei" w:eastAsia="Microsoft JhengHei" w:hint="eastAsia"/>
          <w:b/>
          <w:spacing w:val="-6"/>
          <w:w w:val="100"/>
        </w:rPr>
        <w:t>净保险费</w:t>
      </w:r>
      <w:r>
        <w:rPr>
          <w:spacing w:val="-3"/>
          <w:w w:val="100"/>
        </w:rPr>
        <w:t>（</w:t>
      </w:r>
      <w:r>
        <w:rPr>
          <w:w w:val="100"/>
        </w:rPr>
        <w:t>见</w:t>
      </w:r>
      <w:r>
        <w:rPr>
          <w:spacing w:val="-53"/>
        </w:rPr>
        <w:t> </w:t>
      </w:r>
      <w:r>
        <w:rPr>
          <w:w w:val="100"/>
        </w:rPr>
        <w:t>1</w:t>
      </w:r>
      <w:r>
        <w:rPr>
          <w:spacing w:val="-3"/>
          <w:w w:val="100"/>
        </w:rPr>
        <w:t>0</w:t>
      </w:r>
      <w:r>
        <w:rPr>
          <w:w w:val="100"/>
        </w:rPr>
        <w:t>.14</w:t>
      </w:r>
      <w:r>
        <w:rPr>
          <w:spacing w:val="-108"/>
          <w:w w:val="100"/>
        </w:rPr>
        <w:t>）</w:t>
      </w:r>
      <w:r>
        <w:rPr>
          <w:spacing w:val="-6"/>
          <w:w w:val="100"/>
        </w:rPr>
        <w:t>，重新计算本附加险合同的基本</w:t>
      </w:r>
      <w:r>
        <w:rPr>
          <w:spacing w:val="-4"/>
        </w:rPr>
        <w:t>保险金额，</w:t>
      </w:r>
      <w:r>
        <w:rPr>
          <w:rFonts w:ascii="Microsoft JhengHei" w:hAnsi="Microsoft JhengHei" w:eastAsia="Microsoft JhengHei" w:hint="eastAsia"/>
          <w:b/>
          <w:spacing w:val="-1"/>
        </w:rPr>
        <w:t>基本保险金额会相应减少，</w:t>
      </w:r>
      <w:r>
        <w:rPr>
          <w:spacing w:val="-3"/>
        </w:rPr>
        <w:t>但不得低于我们规定的最低基本保险金</w:t>
      </w:r>
    </w:p>
    <w:p>
      <w:pPr>
        <w:pStyle w:val="BodyText"/>
        <w:spacing w:before="13"/>
        <w:ind w:left="2937"/>
        <w:jc w:val="both"/>
      </w:pPr>
      <w:r>
        <w:rPr/>
        <w:t>额标准。 </w:t>
      </w:r>
    </w:p>
    <w:p>
      <w:pPr>
        <w:pStyle w:val="BodyText"/>
        <w:spacing w:before="116"/>
        <w:ind w:left="2937"/>
        <w:jc w:val="both"/>
      </w:pPr>
      <w:r>
        <w:rPr/>
        <w:t>减额交清后，您不需要再支付保险费，本附加险合同继续有效。 </w:t>
      </w:r>
    </w:p>
    <w:p>
      <w:pPr>
        <w:pStyle w:val="BodyText"/>
        <w:spacing w:before="116"/>
        <w:ind w:left="2937"/>
        <w:jc w:val="both"/>
      </w:pPr>
      <w:r>
        <w:rPr/>
        <w:t>本附加险合同必须与主险合同同时办理减额交清。 </w:t>
      </w:r>
    </w:p>
    <w:p>
      <w:pPr>
        <w:pStyle w:val="BodyText"/>
        <w:tabs>
          <w:tab w:pos="979" w:val="left" w:leader="none"/>
          <w:tab w:pos="2937" w:val="left" w:leader="none"/>
        </w:tabs>
        <w:spacing w:before="114"/>
        <w:ind w:left="223"/>
      </w:pPr>
      <w:r>
        <w:rPr>
          <w:w w:val="100"/>
        </w:rPr>
        <w:t> </w:t>
      </w:r>
      <w:r>
        <w:rPr/>
        <w:tab/>
      </w:r>
      <w:r>
        <w:rPr>
          <w:w w:val="100"/>
        </w:rPr>
        <w:t> </w:t>
      </w:r>
      <w:r>
        <w:rPr/>
        <w:tab/>
      </w:r>
      <w:r>
        <w:rPr>
          <w:w w:val="100"/>
        </w:rPr>
        <w:t> </w:t>
      </w:r>
    </w:p>
    <w:p>
      <w:pPr>
        <w:pStyle w:val="Heading2"/>
        <w:tabs>
          <w:tab w:pos="979" w:val="left" w:leader="none"/>
        </w:tabs>
        <w:ind w:left="227"/>
      </w:pPr>
      <w:r>
        <w:rPr/>
        <w:pict>
          <v:group style="position:absolute;margin-left:59.759998pt;margin-top:37.513634pt;width:504.15pt;height:1pt;mso-position-horizontal-relative:page;mso-position-vertical-relative:paragraph;z-index:1216;mso-wrap-distance-left:0;mso-wrap-distance-right:0" coordorigin="1195,750" coordsize="10083,20">
            <v:line style="position:absolute" from="1195,760" to="1954,760" stroked="true" strokeweight=".96pt" strokecolor="#000000">
              <v:stroke dashstyle="solid"/>
            </v:line>
            <v:rect style="position:absolute;left:1953;top:750;width:20;height:20" filled="true" fillcolor="#000000" stroked="false">
              <v:fill type="solid"/>
            </v:rect>
            <v:line style="position:absolute" from="1973,760" to="3910,760" stroked="true" strokeweight=".96pt" strokecolor="#000000">
              <v:stroke dashstyle="solid"/>
            </v:line>
            <v:rect style="position:absolute;left:3909;top:750;width:20;height:20" filled="true" fillcolor="#000000" stroked="false">
              <v:fill type="solid"/>
            </v:rect>
            <v:line style="position:absolute" from="3929,760" to="11278,760"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9" w:val="left" w:leader="none"/>
          <w:tab w:pos="2937" w:val="left" w:leader="none"/>
        </w:tabs>
        <w:spacing w:before="39"/>
        <w:ind w:left="223"/>
      </w:pPr>
      <w:r>
        <w:rPr>
          <w:w w:val="100"/>
        </w:rPr>
        <w:t> </w:t>
      </w:r>
      <w:r>
        <w:rPr/>
        <w:tab/>
      </w:r>
      <w:r>
        <w:rPr>
          <w:w w:val="100"/>
        </w:rPr>
        <w:t> </w:t>
      </w:r>
      <w:r>
        <w:rPr/>
        <w:tab/>
      </w:r>
      <w:r>
        <w:rPr>
          <w:w w:val="100"/>
        </w:rPr>
        <w:t> </w:t>
      </w:r>
    </w:p>
    <w:p>
      <w:pPr>
        <w:pStyle w:val="Heading3"/>
        <w:numPr>
          <w:ilvl w:val="1"/>
          <w:numId w:val="14"/>
        </w:numPr>
        <w:tabs>
          <w:tab w:pos="979" w:val="left" w:leader="none"/>
          <w:tab w:pos="980" w:val="left" w:leader="none"/>
          <w:tab w:pos="2951" w:val="left" w:leader="none"/>
        </w:tabs>
        <w:spacing w:line="240" w:lineRule="auto" w:before="22" w:after="0"/>
        <w:ind w:left="2937" w:right="0" w:hanging="2714"/>
        <w:jc w:val="left"/>
      </w:pPr>
      <w:r>
        <w:rPr>
          <w:position w:val="-1"/>
        </w:rPr>
        <w:t>1</w:t>
        <w:tab/>
        <w:t>效力中止</w:t>
        <w:tab/>
      </w:r>
      <w:r>
        <w:rPr/>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BodyText"/>
        <w:tabs>
          <w:tab w:pos="979" w:val="left" w:leader="none"/>
          <w:tab w:pos="2937" w:val="left" w:leader="none"/>
        </w:tabs>
        <w:spacing w:before="96"/>
        <w:ind w:left="223"/>
      </w:pPr>
      <w:r>
        <w:rPr>
          <w:w w:val="100"/>
        </w:rPr>
        <w:t> </w:t>
      </w:r>
      <w:r>
        <w:rPr/>
        <w:tab/>
      </w:r>
      <w:r>
        <w:rPr>
          <w:w w:val="100"/>
        </w:rPr>
        <w:t> </w:t>
      </w:r>
      <w:r>
        <w:rPr/>
        <w:tab/>
      </w:r>
      <w:r>
        <w:rPr>
          <w:w w:val="100"/>
        </w:rPr>
        <w:t> </w:t>
      </w:r>
    </w:p>
    <w:p>
      <w:pPr>
        <w:pStyle w:val="ListParagraph"/>
        <w:numPr>
          <w:ilvl w:val="1"/>
          <w:numId w:val="14"/>
        </w:numPr>
        <w:tabs>
          <w:tab w:pos="979" w:val="left" w:leader="none"/>
          <w:tab w:pos="980" w:val="left" w:leader="none"/>
          <w:tab w:pos="2937" w:val="left" w:leader="none"/>
        </w:tabs>
        <w:spacing w:line="249" w:lineRule="auto" w:before="47" w:after="0"/>
        <w:ind w:left="2937" w:right="220" w:hanging="2714"/>
        <w:jc w:val="left"/>
        <w:rPr>
          <w:sz w:val="21"/>
        </w:rPr>
      </w:pPr>
      <w:r>
        <w:rPr>
          <w:rFonts w:ascii="Microsoft JhengHei" w:eastAsia="Microsoft JhengHei" w:hint="eastAsia"/>
          <w:b/>
          <w:sz w:val="21"/>
        </w:rPr>
        <w:t>2</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sz w:val="21"/>
        </w:rPr>
        <w:t>2</w:t>
      </w:r>
      <w:r>
        <w:rPr>
          <w:spacing w:val="-33"/>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我们</w:t>
      </w:r>
      <w:r>
        <w:rPr>
          <w:sz w:val="21"/>
        </w:rPr>
        <w:t>与您</w:t>
      </w:r>
      <w:r>
        <w:rPr>
          <w:spacing w:val="-3"/>
          <w:sz w:val="21"/>
        </w:rPr>
        <w:t>协</w:t>
      </w:r>
      <w:r>
        <w:rPr>
          <w:sz w:val="21"/>
        </w:rPr>
        <w:t>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您补</w:t>
      </w:r>
      <w:r>
        <w:rPr>
          <w:spacing w:val="-3"/>
          <w:sz w:val="21"/>
        </w:rPr>
        <w:t>交</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附加</w:t>
      </w:r>
      <w:r>
        <w:rPr>
          <w:spacing w:val="-3"/>
          <w:sz w:val="21"/>
        </w:rPr>
        <w:t>险</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 </w:t>
      </w:r>
    </w:p>
    <w:p>
      <w:pPr>
        <w:pStyle w:val="Heading3"/>
        <w:spacing w:line="204" w:lineRule="auto" w:before="96"/>
        <w:ind w:left="2937" w:right="208"/>
        <w:jc w:val="both"/>
      </w:pPr>
      <w:r>
        <w:rPr>
          <w:spacing w:val="-2"/>
        </w:rPr>
        <w:t>自本附加险合同效力中止之日起满 </w:t>
      </w:r>
      <w:r>
        <w:rPr/>
        <w:t>2</w:t>
      </w:r>
      <w:r>
        <w:rPr>
          <w:spacing w:val="-3"/>
        </w:rPr>
        <w:t> 年您和我们未达成协议的，我们有权解除</w:t>
      </w:r>
      <w:r>
        <w:rPr>
          <w:spacing w:val="-4"/>
        </w:rPr>
        <w:t>本附加险合同。我们解除合同的，向您退还本附加险合同效力中止时的现金价值。</w:t>
      </w:r>
    </w:p>
    <w:p>
      <w:pPr>
        <w:pStyle w:val="BodyText"/>
        <w:spacing w:before="92"/>
        <w:ind w:left="2937"/>
        <w:jc w:val="both"/>
      </w:pPr>
      <w:r>
        <w:rPr>
          <w:w w:val="100"/>
        </w:rPr>
        <w:t> </w:t>
      </w:r>
    </w:p>
    <w:p>
      <w:pPr>
        <w:tabs>
          <w:tab w:pos="979" w:val="left" w:leader="none"/>
          <w:tab w:pos="9412" w:val="left" w:leader="none"/>
        </w:tabs>
        <w:spacing w:before="167"/>
        <w:ind w:left="228" w:right="0" w:firstLine="0"/>
        <w:jc w:val="left"/>
        <w:rPr>
          <w:sz w:val="21"/>
        </w:rPr>
      </w:pPr>
      <w:r>
        <w:rPr/>
        <w:pict>
          <v:group style="position:absolute;margin-left:59.759998pt;margin-top:37.46365pt;width:504.15pt;height:1pt;mso-position-horizontal-relative:page;mso-position-vertical-relative:paragraph;z-index:1240;mso-wrap-distance-left:0;mso-wrap-distance-right:0" coordorigin="1195,749"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spacing w:before="12"/>
        <w:ind w:left="0"/>
        <w:rPr>
          <w:sz w:val="29"/>
        </w:rPr>
      </w:pPr>
    </w:p>
    <w:p>
      <w:pPr>
        <w:spacing w:after="0"/>
        <w:rPr>
          <w:sz w:val="29"/>
        </w:rPr>
        <w:sectPr>
          <w:pgSz w:w="11900" w:h="16840"/>
          <w:pgMar w:header="0" w:footer="724" w:top="1500" w:bottom="920" w:left="1080" w:right="520"/>
        </w:sectPr>
      </w:pPr>
    </w:p>
    <w:p>
      <w:pPr>
        <w:pStyle w:val="Heading3"/>
        <w:spacing w:line="309" w:lineRule="exact"/>
        <w:ind w:left="979"/>
      </w:pPr>
      <w:r>
        <w:rPr/>
        <w:t>投保人解除合同的</w:t>
      </w:r>
    </w:p>
    <w:p>
      <w:pPr>
        <w:spacing w:line="339" w:lineRule="exact" w:before="0"/>
        <w:ind w:left="979"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73" w:lineRule="auto" w:before="37"/>
        <w:ind w:left="228" w:right="215"/>
      </w:pPr>
      <w:r>
        <w:rPr/>
        <w:br w:type="column"/>
      </w:r>
      <w:r>
        <w:rPr/>
        <w:t>如您在犹豫期后申请解除本附加险合同，请填写保险合同变更申请书并提供下列资料： </w:t>
      </w:r>
    </w:p>
    <w:p>
      <w:pPr>
        <w:pStyle w:val="BodyText"/>
        <w:spacing w:before="87"/>
        <w:ind w:left="228"/>
      </w:pPr>
      <w:r>
        <w:rPr/>
        <w:t>（1）保险合同； </w:t>
      </w:r>
    </w:p>
    <w:p>
      <w:pPr>
        <w:pStyle w:val="BodyText"/>
        <w:spacing w:before="114"/>
        <w:ind w:left="228"/>
      </w:pPr>
      <w:r>
        <w:rPr/>
        <w:t>（2）您的有效身份证件。 </w:t>
      </w:r>
    </w:p>
    <w:p>
      <w:pPr>
        <w:pStyle w:val="BodyText"/>
        <w:spacing w:line="271" w:lineRule="auto" w:before="116"/>
        <w:ind w:left="228" w:right="219"/>
      </w:pPr>
      <w:r>
        <w:rPr/>
        <w:t>自我们收到保险合同变更申请书时起，本附加险合同终止。我们自收到保险合同变更申请书之日起 30 日内向您退还本附加险合同的现金价值。 </w:t>
      </w:r>
    </w:p>
    <w:p>
      <w:pPr>
        <w:pStyle w:val="Heading3"/>
        <w:spacing w:line="240" w:lineRule="auto" w:before="22"/>
        <w:ind w:left="228"/>
      </w:pPr>
      <w:r>
        <w:rPr/>
        <w:t>您在犹豫期后解除合同会遭受一定损失。</w:t>
      </w:r>
    </w:p>
    <w:p>
      <w:pPr>
        <w:spacing w:after="0" w:line="240" w:lineRule="auto"/>
        <w:sectPr>
          <w:type w:val="continuous"/>
          <w:pgSz w:w="11900" w:h="16840"/>
          <w:pgMar w:top="500" w:bottom="280" w:left="1080" w:right="520"/>
          <w:cols w:num="2" w:equalWidth="0">
            <w:col w:w="2669" w:space="40"/>
            <w:col w:w="7591"/>
          </w:cols>
        </w:sectPr>
      </w:pPr>
    </w:p>
    <w:p>
      <w:pPr>
        <w:pStyle w:val="BodyText"/>
        <w:tabs>
          <w:tab w:pos="979" w:val="left" w:leader="none"/>
          <w:tab w:pos="2937" w:val="left" w:leader="none"/>
        </w:tabs>
        <w:spacing w:before="92"/>
        <w:ind w:left="223"/>
      </w:pPr>
      <w:r>
        <w:rPr>
          <w:w w:val="100"/>
        </w:rPr>
        <w:t> </w:t>
      </w:r>
      <w:r>
        <w:rPr/>
        <w:tab/>
      </w:r>
      <w:r>
        <w:rPr>
          <w:w w:val="100"/>
        </w:rPr>
        <w:t> </w:t>
      </w:r>
      <w:r>
        <w:rPr/>
        <w:tab/>
      </w:r>
      <w:r>
        <w:rPr>
          <w:w w:val="100"/>
        </w:rPr>
        <w:t> </w:t>
      </w:r>
    </w:p>
    <w:p>
      <w:pPr>
        <w:tabs>
          <w:tab w:pos="979" w:val="left" w:leader="none"/>
          <w:tab w:pos="9050" w:val="left" w:leader="none"/>
        </w:tabs>
        <w:spacing w:before="165"/>
        <w:ind w:left="229" w:right="0" w:firstLine="0"/>
        <w:jc w:val="left"/>
        <w:rPr>
          <w:sz w:val="21"/>
        </w:rPr>
      </w:pPr>
      <w:r>
        <w:rPr/>
        <w:pict>
          <v:group style="position:absolute;margin-left:59.759998pt;margin-top:37.483643pt;width:504.15pt;height:1pt;mso-position-horizontal-relative:page;mso-position-vertical-relative:paragraph;z-index:1264;mso-wrap-distance-left:0;mso-wrap-distance-right:0" coordorigin="1195,750"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spacing w:before="0"/>
        <w:ind w:left="0"/>
        <w:rPr>
          <w:sz w:val="29"/>
        </w:rPr>
      </w:pPr>
    </w:p>
    <w:p>
      <w:pPr>
        <w:spacing w:after="0"/>
        <w:rPr>
          <w:sz w:val="29"/>
        </w:rPr>
        <w:sectPr>
          <w:type w:val="continuous"/>
          <w:pgSz w:w="11900" w:h="16840"/>
          <w:pgMar w:top="500" w:bottom="280" w:left="1080" w:right="520"/>
        </w:sectPr>
      </w:pPr>
    </w:p>
    <w:p>
      <w:pPr>
        <w:pStyle w:val="Heading3"/>
        <w:tabs>
          <w:tab w:pos="979" w:val="left" w:leader="none"/>
        </w:tabs>
        <w:spacing w:line="319" w:lineRule="exact"/>
        <w:ind w:left="223"/>
      </w:pPr>
      <w:r>
        <w:rPr/>
        <w:t>8</w:t>
      </w:r>
      <w:r>
        <w:rPr>
          <w:spacing w:val="-17"/>
        </w:rPr>
        <w:t>. </w:t>
      </w:r>
      <w:r>
        <w:rPr/>
        <w:t>1</w:t>
        <w:tab/>
        <w:t>明确说明和如实告</w:t>
      </w:r>
    </w:p>
    <w:p>
      <w:pPr>
        <w:spacing w:line="339" w:lineRule="exact" w:before="0"/>
        <w:ind w:left="0" w:right="497"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73" w:lineRule="auto" w:before="46"/>
        <w:ind w:left="223" w:right="215"/>
        <w:jc w:val="both"/>
      </w:pPr>
      <w:r>
        <w:rPr/>
        <w:br w:type="column"/>
      </w:r>
      <w:r>
        <w:rPr/>
        <w:t>订立本附加险合同时，我们应向您说明本附加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240" w:lineRule="auto" w:before="19"/>
        <w:ind w:left="223"/>
        <w:jc w:val="both"/>
      </w:pPr>
      <w:r>
        <w:rPr/>
        <w:t>如果您故意或因重大过失未履行如实告知义务，足以影响我们决定是否同意承</w:t>
      </w:r>
    </w:p>
    <w:p>
      <w:pPr>
        <w:spacing w:after="0" w:line="240" w:lineRule="auto"/>
        <w:jc w:val="both"/>
        <w:sectPr>
          <w:type w:val="continuous"/>
          <w:pgSz w:w="11900" w:h="16840"/>
          <w:pgMar w:top="500" w:bottom="280" w:left="1080" w:right="520"/>
          <w:cols w:num="2" w:equalWidth="0">
            <w:col w:w="2669" w:space="45"/>
            <w:col w:w="7586"/>
          </w:cols>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48"/>
      </w:tblGrid>
      <w:tr>
        <w:trPr>
          <w:trHeight w:val="301" w:hRule="atLeast"/>
        </w:trPr>
        <w:tc>
          <w:tcPr>
            <w:tcW w:w="2630" w:type="dxa"/>
            <w:gridSpan w:val="2"/>
            <w:vMerge w:val="restart"/>
          </w:tcPr>
          <w:p>
            <w:pPr>
              <w:pStyle w:val="TableParagraph"/>
              <w:rPr>
                <w:rFonts w:ascii="Times New Roman"/>
                <w:sz w:val="20"/>
              </w:rPr>
            </w:pPr>
          </w:p>
        </w:tc>
        <w:tc>
          <w:tcPr>
            <w:tcW w:w="7348" w:type="dxa"/>
          </w:tcPr>
          <w:p>
            <w:pPr>
              <w:pStyle w:val="TableParagraph"/>
              <w:spacing w:line="228"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保或者提高保险费率的，我们有权解除本附加险合同。</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line="318"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line="277" w:lineRule="exact"/>
              <w:ind w:left="134"/>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351" w:hRule="atLeast"/>
        </w:trPr>
        <w:tc>
          <w:tcPr>
            <w:tcW w:w="2630" w:type="dxa"/>
            <w:gridSpan w:val="2"/>
            <w:vMerge/>
            <w:tcBorders>
              <w:top w:val="nil"/>
            </w:tcBorders>
          </w:tcPr>
          <w:p>
            <w:pPr>
              <w:rPr>
                <w:sz w:val="2"/>
                <w:szCs w:val="2"/>
              </w:rPr>
            </w:pPr>
          </w:p>
        </w:tc>
        <w:tc>
          <w:tcPr>
            <w:tcW w:w="7348" w:type="dxa"/>
          </w:tcPr>
          <w:p>
            <w:pPr>
              <w:pStyle w:val="TableParagraph"/>
              <w:spacing w:line="318"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312" w:hRule="atLeast"/>
        </w:trPr>
        <w:tc>
          <w:tcPr>
            <w:tcW w:w="2630" w:type="dxa"/>
            <w:gridSpan w:val="2"/>
            <w:vMerge/>
            <w:tcBorders>
              <w:top w:val="nil"/>
            </w:tcBorders>
          </w:tcPr>
          <w:p>
            <w:pPr>
              <w:rPr>
                <w:sz w:val="2"/>
                <w:szCs w:val="2"/>
              </w:rPr>
            </w:pPr>
          </w:p>
        </w:tc>
        <w:tc>
          <w:tcPr>
            <w:tcW w:w="7348" w:type="dxa"/>
          </w:tcPr>
          <w:p>
            <w:pPr>
              <w:pStyle w:val="TableParagraph"/>
              <w:spacing w:line="278" w:lineRule="exact"/>
              <w:ind w:left="134"/>
              <w:rPr>
                <w:rFonts w:ascii="Microsoft JhengHei" w:eastAsia="Microsoft JhengHei" w:hint="eastAsia"/>
                <w:b/>
                <w:sz w:val="21"/>
              </w:rPr>
            </w:pPr>
            <w:r>
              <w:rPr>
                <w:rFonts w:ascii="Microsoft JhengHei" w:eastAsia="Microsoft JhengHei" w:hint="eastAsia"/>
                <w:b/>
                <w:sz w:val="21"/>
              </w:rPr>
              <w:t>于本附加险合同解除前发生的保险事故，我们不承担给付保险金的责任，但退</w:t>
            </w:r>
          </w:p>
        </w:tc>
      </w:tr>
      <w:tr>
        <w:trPr>
          <w:trHeight w:val="351" w:hRule="atLeast"/>
        </w:trPr>
        <w:tc>
          <w:tcPr>
            <w:tcW w:w="2630" w:type="dxa"/>
            <w:gridSpan w:val="2"/>
            <w:vMerge/>
            <w:tcBorders>
              <w:top w:val="nil"/>
            </w:tcBorders>
          </w:tcPr>
          <w:p>
            <w:pPr>
              <w:rPr>
                <w:sz w:val="2"/>
                <w:szCs w:val="2"/>
              </w:rPr>
            </w:pPr>
          </w:p>
        </w:tc>
        <w:tc>
          <w:tcPr>
            <w:tcW w:w="7348" w:type="dxa"/>
          </w:tcPr>
          <w:p>
            <w:pPr>
              <w:pStyle w:val="TableParagraph"/>
              <w:spacing w:line="278" w:lineRule="exact"/>
              <w:ind w:left="134"/>
              <w:rPr>
                <w:rFonts w:ascii="Microsoft JhengHei" w:eastAsia="Microsoft JhengHei" w:hint="eastAsia"/>
                <w:b/>
                <w:sz w:val="21"/>
              </w:rPr>
            </w:pPr>
            <w:r>
              <w:rPr>
                <w:rFonts w:ascii="Microsoft JhengHei" w:eastAsia="Microsoft JhengHei" w:hint="eastAsia"/>
                <w:b/>
                <w:sz w:val="21"/>
              </w:rPr>
              <w:t>还保险费。</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before="19"/>
              <w:ind w:left="134"/>
              <w:rPr>
                <w:sz w:val="21"/>
              </w:rPr>
            </w:pPr>
            <w:r>
              <w:rPr>
                <w:sz w:val="21"/>
              </w:rPr>
              <w:t>我们在本附加险合同订立时已经知道您未如实告知的情况的，我们不得解除本</w:t>
            </w:r>
          </w:p>
        </w:tc>
      </w:tr>
      <w:tr>
        <w:trPr>
          <w:trHeight w:val="350" w:hRule="atLeast"/>
        </w:trPr>
        <w:tc>
          <w:tcPr>
            <w:tcW w:w="2630" w:type="dxa"/>
            <w:gridSpan w:val="2"/>
            <w:vMerge/>
            <w:tcBorders>
              <w:top w:val="nil"/>
            </w:tcBorders>
          </w:tcPr>
          <w:p>
            <w:pPr>
              <w:rPr>
                <w:sz w:val="2"/>
                <w:szCs w:val="2"/>
              </w:rPr>
            </w:pPr>
          </w:p>
        </w:tc>
        <w:tc>
          <w:tcPr>
            <w:tcW w:w="7348" w:type="dxa"/>
          </w:tcPr>
          <w:p>
            <w:pPr>
              <w:pStyle w:val="TableParagraph"/>
              <w:spacing w:line="253" w:lineRule="exact"/>
              <w:ind w:left="134"/>
              <w:rPr>
                <w:sz w:val="21"/>
              </w:rPr>
            </w:pPr>
            <w:r>
              <w:rPr>
                <w:sz w:val="21"/>
              </w:rPr>
              <w:t>附加险合同；发生保险事故的，我们承担给付保险金的责任。 </w:t>
            </w:r>
          </w:p>
        </w:tc>
      </w:tr>
      <w:tr>
        <w:trPr>
          <w:trHeight w:val="386" w:hRule="atLeast"/>
        </w:trPr>
        <w:tc>
          <w:tcPr>
            <w:tcW w:w="2630" w:type="dxa"/>
            <w:gridSpan w:val="2"/>
            <w:vMerge/>
            <w:tcBorders>
              <w:top w:val="nil"/>
            </w:tcBorders>
          </w:tcPr>
          <w:p>
            <w:pPr>
              <w:rPr>
                <w:sz w:val="2"/>
                <w:szCs w:val="2"/>
              </w:rPr>
            </w:pPr>
          </w:p>
        </w:tc>
        <w:tc>
          <w:tcPr>
            <w:tcW w:w="7348" w:type="dxa"/>
          </w:tcPr>
          <w:p>
            <w:pPr>
              <w:pStyle w:val="TableParagraph"/>
              <w:spacing w:before="19"/>
              <w:ind w:left="134"/>
              <w:rPr>
                <w:sz w:val="21"/>
              </w:rPr>
            </w:pPr>
            <w:r>
              <w:rPr>
                <w:w w:val="100"/>
                <w:sz w:val="21"/>
              </w:rPr>
              <w:t> </w:t>
            </w:r>
          </w:p>
        </w:tc>
      </w:tr>
      <w:tr>
        <w:trPr>
          <w:trHeight w:val="673" w:hRule="atLeast"/>
        </w:trPr>
        <w:tc>
          <w:tcPr>
            <w:tcW w:w="576" w:type="dxa"/>
          </w:tcPr>
          <w:p>
            <w:pPr>
              <w:pStyle w:val="TableParagraph"/>
              <w:spacing w:line="323" w:lineRule="exact"/>
              <w:ind w:left="50"/>
              <w:rPr>
                <w:rFonts w:ascii="Microsoft JhengHei"/>
                <w:b/>
                <w:sz w:val="21"/>
              </w:rPr>
            </w:pPr>
            <w:r>
              <w:rPr>
                <w:rFonts w:ascii="Microsoft JhengHei"/>
                <w:b/>
                <w:w w:val="90"/>
                <w:sz w:val="21"/>
              </w:rPr>
              <w:t>8. 2</w:t>
            </w:r>
          </w:p>
        </w:tc>
        <w:tc>
          <w:tcPr>
            <w:tcW w:w="2054" w:type="dxa"/>
          </w:tcPr>
          <w:p>
            <w:pPr>
              <w:pStyle w:val="TableParagraph"/>
              <w:spacing w:line="204" w:lineRule="auto" w:before="12"/>
              <w:ind w:left="230" w:right="132"/>
              <w:rPr>
                <w:rFonts w:ascii="Microsoft JhengHei" w:eastAsia="Microsoft JhengHei" w:hint="eastAsia"/>
                <w:b/>
                <w:sz w:val="21"/>
              </w:rPr>
            </w:pPr>
            <w:r>
              <w:rPr>
                <w:rFonts w:ascii="Microsoft JhengHei" w:eastAsia="Microsoft JhengHei" w:hint="eastAsia"/>
                <w:b/>
                <w:sz w:val="21"/>
              </w:rPr>
              <w:t>本公司合同解除权的限制</w:t>
            </w:r>
          </w:p>
        </w:tc>
        <w:tc>
          <w:tcPr>
            <w:tcW w:w="7348" w:type="dxa"/>
          </w:tcPr>
          <w:p>
            <w:pPr>
              <w:pStyle w:val="TableParagraph"/>
              <w:spacing w:line="295"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p>
            <w:pPr>
              <w:pStyle w:val="TableParagraph"/>
              <w:spacing w:line="338" w:lineRule="exact"/>
              <w:ind w:left="134"/>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r>
        <w:trPr>
          <w:trHeight w:val="34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48" w:type="dxa"/>
          </w:tcPr>
          <w:p>
            <w:pPr>
              <w:pStyle w:val="TableParagraph"/>
              <w:spacing w:line="271" w:lineRule="exact"/>
              <w:ind w:left="134"/>
              <w:rPr>
                <w:rFonts w:ascii="Microsoft JhengHei" w:eastAsia="Microsoft JhengHei" w:hint="eastAsia"/>
                <w:b/>
                <w:sz w:val="21"/>
              </w:rPr>
            </w:pPr>
            <w:r>
              <w:rPr>
                <w:rFonts w:ascii="Microsoft JhengHei" w:eastAsia="Microsoft JhengHei" w:hint="eastAsia"/>
                <w:b/>
                <w:sz w:val="21"/>
              </w:rPr>
              <w:t>不得解除本附加险合同；发生保险事故的，我们承担给付保险金的责任。</w:t>
            </w:r>
          </w:p>
        </w:tc>
      </w:tr>
      <w:tr>
        <w:trPr>
          <w:trHeight w:val="301" w:hRule="atLeast"/>
        </w:trPr>
        <w:tc>
          <w:tcPr>
            <w:tcW w:w="576" w:type="dxa"/>
          </w:tcPr>
          <w:p>
            <w:pPr>
              <w:pStyle w:val="TableParagraph"/>
              <w:spacing w:line="262" w:lineRule="exact" w:before="19"/>
              <w:ind w:left="50"/>
              <w:rPr>
                <w:sz w:val="21"/>
              </w:rPr>
            </w:pPr>
            <w:r>
              <w:rPr>
                <w:w w:val="100"/>
                <w:sz w:val="21"/>
              </w:rPr>
              <w:t> </w:t>
            </w:r>
          </w:p>
        </w:tc>
        <w:tc>
          <w:tcPr>
            <w:tcW w:w="2054" w:type="dxa"/>
          </w:tcPr>
          <w:p>
            <w:pPr>
              <w:pStyle w:val="TableParagraph"/>
              <w:spacing w:line="262" w:lineRule="exact" w:before="19"/>
              <w:ind w:left="230"/>
              <w:rPr>
                <w:sz w:val="21"/>
              </w:rPr>
            </w:pPr>
            <w:r>
              <w:rPr>
                <w:w w:val="100"/>
                <w:sz w:val="21"/>
              </w:rPr>
              <w:t> </w:t>
            </w:r>
          </w:p>
        </w:tc>
        <w:tc>
          <w:tcPr>
            <w:tcW w:w="7348" w:type="dxa"/>
          </w:tcPr>
          <w:p>
            <w:pPr>
              <w:pStyle w:val="TableParagraph"/>
              <w:spacing w:line="262" w:lineRule="exact" w:before="19"/>
              <w:ind w:left="134"/>
              <w:rPr>
                <w:sz w:val="21"/>
              </w:rPr>
            </w:pPr>
            <w:r>
              <w:rPr>
                <w:w w:val="100"/>
                <w:sz w:val="21"/>
              </w:rPr>
              <w:t> </w:t>
            </w:r>
          </w:p>
        </w:tc>
      </w:tr>
    </w:tbl>
    <w:p>
      <w:pPr>
        <w:pStyle w:val="BodyText"/>
        <w:spacing w:before="16"/>
        <w:ind w:left="0"/>
        <w:rPr>
          <w:rFonts w:ascii="Microsoft JhengHei"/>
          <w:b/>
          <w:sz w:val="5"/>
        </w:rPr>
      </w:pPr>
    </w:p>
    <w:p>
      <w:pPr>
        <w:tabs>
          <w:tab w:pos="979" w:val="left" w:leader="none"/>
        </w:tabs>
        <w:spacing w:before="58"/>
        <w:ind w:left="228" w:right="0" w:firstLine="0"/>
        <w:jc w:val="left"/>
        <w:rPr>
          <w:rFonts w:ascii="Microsoft JhengHei" w:eastAsia="Microsoft JhengHei" w:hint="eastAsia"/>
          <w:b/>
          <w:sz w:val="24"/>
        </w:rPr>
      </w:pPr>
      <w:r>
        <w:rPr/>
        <w:pict>
          <v:group style="position:absolute;margin-left:59.759998pt;margin-top:32.013672pt;width:504.15pt;height:1pt;mso-position-horizontal-relative:page;mso-position-vertical-relative:paragraph;z-index:1288;mso-wrap-distance-left:0;mso-wrap-distance-right:0" coordorigin="1195,640" coordsize="10083,20">
            <v:line style="position:absolute" from="1195,650" to="1954,650" stroked="true" strokeweight=".96pt" strokecolor="#000000">
              <v:stroke dashstyle="solid"/>
            </v:line>
            <v:rect style="position:absolute;left:1953;top:640;width:20;height:20" filled="true" fillcolor="#000000" stroked="false">
              <v:fill type="solid"/>
            </v:rect>
            <v:line style="position:absolute" from="1973,650" to="3910,650" stroked="true" strokeweight=".96pt" strokecolor="#000000">
              <v:stroke dashstyle="solid"/>
            </v:line>
            <v:rect style="position:absolute;left:3909;top:640;width:20;height:20" filled="true" fillcolor="#000000" stroked="false">
              <v:fill type="solid"/>
            </v:rect>
            <v:line style="position:absolute" from="3929,650" to="11278,65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其他需要关注的事项</w:t>
      </w:r>
    </w:p>
    <w:p>
      <w:pPr>
        <w:pStyle w:val="BodyText"/>
        <w:tabs>
          <w:tab w:pos="979" w:val="left" w:leader="none"/>
          <w:tab w:pos="2937" w:val="left" w:leader="none"/>
        </w:tabs>
        <w:spacing w:before="39"/>
        <w:ind w:left="223"/>
      </w:pPr>
      <w:r>
        <w:rPr>
          <w:w w:val="100"/>
        </w:rPr>
        <w:t> </w:t>
      </w:r>
      <w:r>
        <w:rPr/>
        <w:tab/>
      </w:r>
      <w:r>
        <w:rPr>
          <w:w w:val="100"/>
        </w:rPr>
        <w:t> </w:t>
      </w:r>
      <w:r>
        <w:rPr/>
        <w:tab/>
      </w:r>
      <w:r>
        <w:rPr>
          <w:w w:val="100"/>
        </w:rPr>
        <w:t> </w:t>
      </w:r>
    </w:p>
    <w:p>
      <w:pPr>
        <w:pStyle w:val="BodyText"/>
        <w:tabs>
          <w:tab w:pos="979" w:val="left" w:leader="none"/>
          <w:tab w:pos="2937" w:val="left" w:leader="none"/>
        </w:tabs>
        <w:spacing w:line="249" w:lineRule="auto" w:before="46"/>
        <w:ind w:left="2937" w:right="215" w:hanging="2715"/>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204" w:lineRule="auto" w:before="95"/>
        <w:ind w:left="3441" w:right="207" w:hanging="504"/>
        <w:rPr>
          <w:rFonts w:ascii="宋体" w:hAnsi="宋体" w:eastAsia="宋体" w:hint="eastAsia"/>
          <w:b w:val="0"/>
        </w:rPr>
      </w:pPr>
      <w:r>
        <w:rPr>
          <w:rFonts w:ascii="宋体" w:hAnsi="宋体" w:eastAsia="宋体" w:hint="eastAsia"/>
          <w:b w:val="0"/>
        </w:rPr>
        <w:t>（1）</w:t>
      </w:r>
      <w:r>
        <w:rPr>
          <w:spacing w:val="-3"/>
        </w:rPr>
        <w:t>您申报的被保险人年龄不真实，并且其真实年龄不符合本附加险合同约</w:t>
      </w:r>
      <w:r>
        <w:rPr>
          <w:spacing w:val="-10"/>
        </w:rPr>
        <w:t>定投保年龄限制的，在保险事故发生之前我们有权解除本附加险合同，并</w:t>
      </w:r>
      <w:r>
        <w:rPr>
          <w:spacing w:val="-11"/>
        </w:rPr>
        <w:t>向您退还本附加险合同的现金价值。我们行使合同解除权适用“</w:t>
      </w:r>
      <w:r>
        <w:rPr/>
        <w:t>8</w:t>
      </w:r>
      <w:r>
        <w:rPr>
          <w:spacing w:val="-14"/>
        </w:rPr>
        <w:t>. </w:t>
      </w:r>
      <w:r>
        <w:rPr/>
        <w:t>2</w:t>
      </w:r>
      <w:r>
        <w:rPr>
          <w:spacing w:val="6"/>
        </w:rPr>
        <w:t> 本公</w:t>
      </w:r>
      <w:r>
        <w:rPr/>
        <w:t>司合同解除权的限制”的规定。</w:t>
      </w:r>
      <w:r>
        <w:rPr>
          <w:rFonts w:ascii="宋体" w:hAnsi="宋体" w:eastAsia="宋体" w:hint="eastAsia"/>
          <w:b w:val="0"/>
        </w:rPr>
        <w:t> </w:t>
      </w:r>
    </w:p>
    <w:p>
      <w:pPr>
        <w:spacing w:line="204" w:lineRule="auto" w:before="80"/>
        <w:ind w:left="3441" w:right="207" w:hanging="504"/>
        <w:jc w:val="left"/>
        <w:rPr>
          <w:sz w:val="21"/>
        </w:rPr>
      </w:pPr>
      <w:r>
        <w:rPr>
          <w:sz w:val="21"/>
        </w:rPr>
        <w:t>（2）</w:t>
      </w:r>
      <w:r>
        <w:rPr>
          <w:rFonts w:ascii="Microsoft JhengHei" w:eastAsia="Microsoft JhengHei" w:hint="eastAsia"/>
          <w:b/>
          <w:spacing w:val="-3"/>
          <w:sz w:val="21"/>
        </w:rPr>
        <w:t>您申报的被保险人年龄不真实，致使您实付保险费少于应付保险费的， </w:t>
      </w:r>
      <w:r>
        <w:rPr>
          <w:rFonts w:ascii="Microsoft JhengHei" w:eastAsia="Microsoft JhengHei" w:hint="eastAsia"/>
          <w:b/>
          <w:spacing w:val="-8"/>
          <w:sz w:val="21"/>
        </w:rPr>
        <w:t>我们有权更正并要求您补交保险费。若已经发生保险事故，在给付保险金时按实付保险费和应付保险费的比例给付。</w:t>
      </w:r>
      <w:r>
        <w:rPr>
          <w:sz w:val="21"/>
        </w:rPr>
        <w:t> </w:t>
      </w:r>
    </w:p>
    <w:p>
      <w:pPr>
        <w:pStyle w:val="BodyText"/>
        <w:spacing w:line="271" w:lineRule="auto" w:before="92"/>
        <w:ind w:left="3463" w:right="239" w:hanging="526"/>
      </w:pPr>
      <w:r>
        <w:rPr>
          <w:spacing w:val="-12"/>
        </w:rPr>
        <w:t>（3）</w:t>
      </w:r>
      <w:r>
        <w:rPr>
          <w:spacing w:val="-8"/>
        </w:rPr>
        <w:t>您申报的被保险人年龄不真实，致使您实付保险费多于应付保险费的，我</w:t>
      </w:r>
      <w:r>
        <w:rPr>
          <w:spacing w:val="-3"/>
        </w:rPr>
        <w:t>们会将多收的保险费退还给您。</w:t>
      </w:r>
      <w:r>
        <w:rPr/>
        <w:t> </w:t>
      </w:r>
    </w:p>
    <w:p>
      <w:pPr>
        <w:pStyle w:val="BodyText"/>
        <w:spacing w:before="8"/>
        <w:ind w:left="0"/>
        <w:rPr>
          <w:sz w:val="11"/>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53"/>
      </w:tblGrid>
      <w:tr>
        <w:trPr>
          <w:trHeight w:val="1313" w:hRule="atLeast"/>
        </w:trPr>
        <w:tc>
          <w:tcPr>
            <w:tcW w:w="576" w:type="dxa"/>
          </w:tcPr>
          <w:p>
            <w:pPr>
              <w:pStyle w:val="TableParagraph"/>
              <w:spacing w:line="211" w:lineRule="exact"/>
              <w:ind w:left="50"/>
              <w:rPr>
                <w:sz w:val="21"/>
              </w:rPr>
            </w:pPr>
            <w:r>
              <w:rPr>
                <w:w w:val="100"/>
                <w:sz w:val="21"/>
              </w:rPr>
              <w:t> </w:t>
            </w:r>
          </w:p>
          <w:p>
            <w:pPr>
              <w:pStyle w:val="TableParagraph"/>
              <w:spacing w:before="49"/>
              <w:ind w:left="50"/>
              <w:rPr>
                <w:rFonts w:ascii="Microsoft JhengHei"/>
                <w:b/>
                <w:sz w:val="21"/>
              </w:rPr>
            </w:pPr>
            <w:r>
              <w:rPr>
                <w:rFonts w:ascii="Microsoft JhengHei"/>
                <w:b/>
                <w:w w:val="90"/>
                <w:sz w:val="21"/>
              </w:rPr>
              <w:t>9. 2</w:t>
            </w:r>
          </w:p>
        </w:tc>
        <w:tc>
          <w:tcPr>
            <w:tcW w:w="1843" w:type="dxa"/>
          </w:tcPr>
          <w:p>
            <w:pPr>
              <w:pStyle w:val="TableParagraph"/>
              <w:spacing w:line="211" w:lineRule="exact"/>
              <w:ind w:left="230"/>
              <w:rPr>
                <w:sz w:val="21"/>
              </w:rPr>
            </w:pPr>
            <w:r>
              <w:rPr>
                <w:w w:val="100"/>
                <w:sz w:val="21"/>
              </w:rPr>
              <w:t> </w:t>
            </w:r>
          </w:p>
          <w:p>
            <w:pPr>
              <w:pStyle w:val="TableParagraph"/>
              <w:spacing w:before="49"/>
              <w:ind w:left="230"/>
              <w:rPr>
                <w:rFonts w:ascii="Microsoft JhengHei" w:eastAsia="Microsoft JhengHei" w:hint="eastAsia"/>
                <w:b/>
                <w:sz w:val="21"/>
              </w:rPr>
            </w:pPr>
            <w:r>
              <w:rPr>
                <w:rFonts w:ascii="Microsoft JhengHei" w:eastAsia="Microsoft JhengHei" w:hint="eastAsia"/>
                <w:b/>
                <w:sz w:val="21"/>
              </w:rPr>
              <w:t>未还款项</w:t>
            </w:r>
          </w:p>
        </w:tc>
        <w:tc>
          <w:tcPr>
            <w:tcW w:w="7553" w:type="dxa"/>
          </w:tcPr>
          <w:p>
            <w:pPr>
              <w:pStyle w:val="TableParagraph"/>
              <w:spacing w:line="211" w:lineRule="exact"/>
              <w:ind w:left="345"/>
              <w:rPr>
                <w:sz w:val="21"/>
              </w:rPr>
            </w:pPr>
            <w:r>
              <w:rPr>
                <w:w w:val="100"/>
                <w:sz w:val="21"/>
              </w:rPr>
              <w:t> </w:t>
            </w:r>
          </w:p>
          <w:p>
            <w:pPr>
              <w:pStyle w:val="TableParagraph"/>
              <w:spacing w:line="259" w:lineRule="auto" w:before="49"/>
              <w:ind w:left="345" w:right="48"/>
              <w:jc w:val="both"/>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15</w:t>
            </w:r>
            <w:r>
              <w:rPr>
                <w:spacing w:val="-106"/>
                <w:w w:val="100"/>
                <w:sz w:val="21"/>
              </w:rPr>
              <w:t>）</w:t>
            </w:r>
            <w:r>
              <w:rPr>
                <w:spacing w:val="-6"/>
                <w:w w:val="100"/>
                <w:sz w:val="21"/>
              </w:rPr>
              <w:t>、欠交的保险费及其它</w:t>
            </w:r>
            <w:r>
              <w:rPr>
                <w:spacing w:val="-4"/>
                <w:sz w:val="21"/>
              </w:rPr>
              <w:t>欠款。我们在给付各项保险金、退还现金价值或返还保险费时，会在扣除上述</w:t>
            </w:r>
            <w:r>
              <w:rPr>
                <w:spacing w:val="-3"/>
                <w:sz w:val="21"/>
              </w:rPr>
              <w:t>各项欠款后给付。</w:t>
            </w:r>
            <w:r>
              <w:rPr>
                <w:sz w:val="21"/>
              </w:rPr>
              <w:t>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553" w:type="dxa"/>
          </w:tcPr>
          <w:p>
            <w:pPr>
              <w:pStyle w:val="TableParagraph"/>
              <w:spacing w:before="26"/>
              <w:ind w:left="345"/>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9. 3</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53" w:type="dxa"/>
          </w:tcPr>
          <w:p>
            <w:pPr>
              <w:pStyle w:val="TableParagraph"/>
              <w:spacing w:line="271" w:lineRule="auto" w:before="31"/>
              <w:ind w:left="345" w:right="63"/>
              <w:rPr>
                <w:sz w:val="21"/>
              </w:rPr>
            </w:pPr>
            <w:r>
              <w:rPr>
                <w:sz w:val="21"/>
              </w:rPr>
              <w:t>在本附加险合同有效期内，经您与我们协商一致，可以变更本附加险合同的有关内容。变更本附加险合同的，应当由我们在保险单或者其他保险凭证上批注</w:t>
            </w:r>
          </w:p>
        </w:tc>
      </w:tr>
      <w:tr>
        <w:trPr>
          <w:trHeight w:val="35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553" w:type="dxa"/>
          </w:tcPr>
          <w:p>
            <w:pPr>
              <w:pStyle w:val="TableParagraph"/>
              <w:spacing w:line="261" w:lineRule="exact"/>
              <w:ind w:left="345"/>
              <w:rPr>
                <w:sz w:val="21"/>
              </w:rPr>
            </w:pPr>
            <w:r>
              <w:rPr>
                <w:sz w:val="21"/>
              </w:rPr>
              <w:t>或者附贴批单，也可以由您与我们订立书面的变更协议。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553" w:type="dxa"/>
          </w:tcPr>
          <w:p>
            <w:pPr>
              <w:pStyle w:val="TableParagraph"/>
              <w:spacing w:before="26"/>
              <w:ind w:left="345"/>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9. 4</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553" w:type="dxa"/>
          </w:tcPr>
          <w:p>
            <w:pPr>
              <w:pStyle w:val="TableParagraph"/>
              <w:spacing w:line="271" w:lineRule="auto" w:before="31"/>
              <w:ind w:left="345" w:right="60"/>
              <w:rPr>
                <w:sz w:val="21"/>
              </w:rPr>
            </w:pPr>
            <w:r>
              <w:rPr>
                <w:sz w:val="21"/>
              </w:rPr>
              <w:t>为了保障您的合法权益，您的住所、通讯地址或电话等联系方式变更时，请及时以书面形式或双方认可的其他形式通知我们。若您未以书面形式或双方认可</w:t>
            </w:r>
          </w:p>
        </w:tc>
      </w:tr>
      <w:tr>
        <w:trPr>
          <w:trHeight w:val="31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553" w:type="dxa"/>
          </w:tcPr>
          <w:p>
            <w:pPr>
              <w:pStyle w:val="TableParagraph"/>
              <w:spacing w:line="261" w:lineRule="exact"/>
              <w:ind w:left="345"/>
              <w:rPr>
                <w:sz w:val="21"/>
              </w:rPr>
            </w:pPr>
            <w:r>
              <w:rPr>
                <w:sz w:val="21"/>
              </w:rPr>
              <w:t>的其他形式通知我们，我们按本附加险合同载明的最后住所或通讯地址所发送</w:t>
            </w:r>
          </w:p>
        </w:tc>
      </w:tr>
      <w:tr>
        <w:trPr>
          <w:trHeight w:val="261"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53" w:type="dxa"/>
          </w:tcPr>
          <w:p>
            <w:pPr>
              <w:pStyle w:val="TableParagraph"/>
              <w:spacing w:line="242" w:lineRule="exact"/>
              <w:ind w:left="345"/>
              <w:rPr>
                <w:sz w:val="21"/>
              </w:rPr>
            </w:pPr>
            <w:r>
              <w:rPr>
                <w:sz w:val="21"/>
              </w:rPr>
              <w:t>的有关通知，均视为已送达给您。 </w:t>
            </w:r>
          </w:p>
        </w:tc>
      </w:tr>
    </w:tbl>
    <w:p>
      <w:pPr>
        <w:spacing w:after="0" w:line="242" w:lineRule="exact"/>
        <w:rPr>
          <w:sz w:val="21"/>
        </w:rPr>
        <w:sectPr>
          <w:pgSz w:w="11900" w:h="16840"/>
          <w:pgMar w:header="0" w:footer="724" w:top="1500" w:bottom="920" w:left="1080" w:right="520"/>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295"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362" w:hRule="atLeast"/>
        </w:trPr>
        <w:tc>
          <w:tcPr>
            <w:tcW w:w="576" w:type="dxa"/>
          </w:tcPr>
          <w:p>
            <w:pPr>
              <w:pStyle w:val="TableParagraph"/>
              <w:spacing w:line="321" w:lineRule="exact"/>
              <w:ind w:left="50"/>
              <w:rPr>
                <w:rFonts w:ascii="Microsoft JhengHei"/>
                <w:b/>
                <w:sz w:val="21"/>
              </w:rPr>
            </w:pPr>
            <w:r>
              <w:rPr>
                <w:rFonts w:ascii="Microsoft JhengHei"/>
                <w:b/>
                <w:w w:val="90"/>
                <w:sz w:val="21"/>
              </w:rPr>
              <w:t>9. 5</w:t>
            </w:r>
          </w:p>
        </w:tc>
        <w:tc>
          <w:tcPr>
            <w:tcW w:w="2054"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321"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4  保险责任”中约定的合同效力终止情况之外，发生下述情况的，本附</w:t>
            </w:r>
          </w:p>
        </w:tc>
      </w:tr>
      <w:tr>
        <w:trPr>
          <w:trHeight w:val="339" w:hRule="atLeast"/>
        </w:trPr>
        <w:tc>
          <w:tcPr>
            <w:tcW w:w="576" w:type="dxa"/>
          </w:tcPr>
          <w:p>
            <w:pPr>
              <w:pStyle w:val="TableParagraph"/>
              <w:rPr>
                <w:rFonts w:ascii="Times New Roman"/>
                <w:sz w:val="20"/>
              </w:rPr>
            </w:pPr>
          </w:p>
        </w:tc>
        <w:tc>
          <w:tcPr>
            <w:tcW w:w="2054" w:type="dxa"/>
          </w:tcPr>
          <w:p>
            <w:pPr>
              <w:pStyle w:val="TableParagraph"/>
              <w:spacing w:line="27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7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39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22"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39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13"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34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09"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350"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76" w:lineRule="exact"/>
              <w:ind w:left="134"/>
              <w:rPr>
                <w:sz w:val="21"/>
              </w:rPr>
            </w:pPr>
            <w:r>
              <w:rPr>
                <w:rFonts w:ascii="Microsoft JhengHei" w:eastAsia="Microsoft JhengHei" w:hint="eastAsia"/>
                <w:b/>
                <w:sz w:val="21"/>
              </w:rPr>
              <w:t>险合同的现金价值。</w:t>
            </w:r>
            <w:r>
              <w:rPr>
                <w:sz w:val="21"/>
              </w:rPr>
              <w:t> </w:t>
            </w:r>
          </w:p>
        </w:tc>
      </w:tr>
      <w:tr>
        <w:trPr>
          <w:trHeight w:val="386" w:hRule="atLeast"/>
        </w:trPr>
        <w:tc>
          <w:tcPr>
            <w:tcW w:w="576" w:type="dxa"/>
          </w:tcPr>
          <w:p>
            <w:pPr>
              <w:pStyle w:val="TableParagraph"/>
              <w:spacing w:before="18"/>
              <w:ind w:left="50"/>
              <w:rPr>
                <w:sz w:val="21"/>
              </w:rPr>
            </w:pPr>
            <w:r>
              <w:rPr>
                <w:w w:val="100"/>
                <w:sz w:val="21"/>
              </w:rPr>
              <w:t> </w:t>
            </w:r>
          </w:p>
        </w:tc>
        <w:tc>
          <w:tcPr>
            <w:tcW w:w="2054" w:type="dxa"/>
          </w:tcPr>
          <w:p>
            <w:pPr>
              <w:pStyle w:val="TableParagraph"/>
              <w:spacing w:before="18"/>
              <w:ind w:left="230"/>
              <w:rPr>
                <w:sz w:val="21"/>
              </w:rPr>
            </w:pPr>
            <w:r>
              <w:rPr>
                <w:w w:val="100"/>
                <w:sz w:val="21"/>
              </w:rPr>
              <w:t> </w:t>
            </w:r>
          </w:p>
        </w:tc>
        <w:tc>
          <w:tcPr>
            <w:tcW w:w="7334" w:type="dxa"/>
          </w:tcPr>
          <w:p>
            <w:pPr>
              <w:pStyle w:val="TableParagraph"/>
              <w:spacing w:before="18"/>
              <w:ind w:left="134"/>
              <w:rPr>
                <w:sz w:val="21"/>
              </w:rPr>
            </w:pPr>
            <w:r>
              <w:rPr>
                <w:w w:val="100"/>
                <w:sz w:val="21"/>
              </w:rPr>
              <w:t> </w:t>
            </w:r>
          </w:p>
        </w:tc>
      </w:tr>
      <w:tr>
        <w:trPr>
          <w:trHeight w:val="705" w:hRule="atLeast"/>
        </w:trPr>
        <w:tc>
          <w:tcPr>
            <w:tcW w:w="576" w:type="dxa"/>
          </w:tcPr>
          <w:p>
            <w:pPr>
              <w:pStyle w:val="TableParagraph"/>
              <w:spacing w:line="322" w:lineRule="exact"/>
              <w:ind w:left="50"/>
              <w:rPr>
                <w:rFonts w:ascii="Microsoft JhengHei"/>
                <w:b/>
                <w:sz w:val="21"/>
              </w:rPr>
            </w:pPr>
            <w:r>
              <w:rPr>
                <w:rFonts w:ascii="Microsoft JhengHei"/>
                <w:b/>
                <w:w w:val="90"/>
                <w:sz w:val="21"/>
              </w:rPr>
              <w:t>9. 6</w:t>
            </w:r>
          </w:p>
        </w:tc>
        <w:tc>
          <w:tcPr>
            <w:tcW w:w="2054"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before="23"/>
              <w:ind w:left="134"/>
              <w:rPr>
                <w:sz w:val="21"/>
              </w:rPr>
            </w:pPr>
            <w:r>
              <w:rPr>
                <w:sz w:val="21"/>
              </w:rPr>
              <w:t>本附加险合同争议解决方式由您在投保时与我们约定，从下列两种方式中选择</w:t>
            </w:r>
          </w:p>
          <w:p>
            <w:pPr>
              <w:pStyle w:val="TableParagraph"/>
              <w:spacing w:before="34"/>
              <w:ind w:left="134"/>
              <w:rPr>
                <w:sz w:val="21"/>
              </w:rPr>
            </w:pPr>
            <w:r>
              <w:rPr>
                <w:sz w:val="21"/>
              </w:rPr>
              <w:t>一种： </w:t>
            </w:r>
          </w:p>
        </w:tc>
      </w:tr>
      <w:tr>
        <w:trPr>
          <w:trHeight w:val="301"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3" w:lineRule="exact" w:before="18"/>
              <w:ind w:left="134"/>
              <w:rPr>
                <w:sz w:val="21"/>
              </w:rPr>
            </w:pPr>
            <w:r>
              <w:rPr>
                <w:sz w:val="21"/>
              </w:rPr>
              <w:t>（1）因履行本附加险合同发生的争议，由双方协商解决，协商不成的，提交</w:t>
            </w:r>
          </w:p>
        </w:tc>
      </w:tr>
    </w:tbl>
    <w:p>
      <w:pPr>
        <w:pStyle w:val="BodyText"/>
        <w:tabs>
          <w:tab w:pos="4178" w:val="left" w:leader="none"/>
        </w:tabs>
        <w:spacing w:before="29"/>
        <w:ind w:left="3441"/>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before="116"/>
        <w:ind w:left="2937"/>
      </w:pPr>
      <w:r>
        <w:rPr/>
        <w:t>（2）因履行本附加险合同发生的争议，由双方协商解决，协商不成的，依法向</w:t>
      </w:r>
    </w:p>
    <w:p>
      <w:pPr>
        <w:pStyle w:val="BodyText"/>
        <w:spacing w:before="34"/>
        <w:ind w:left="3441"/>
      </w:pPr>
      <w:r>
        <w:rPr/>
        <w:t>人民法院起诉。 </w:t>
      </w:r>
    </w:p>
    <w:p>
      <w:pPr>
        <w:pStyle w:val="BodyText"/>
        <w:spacing w:before="9"/>
        <w:ind w:left="0"/>
        <w:rPr>
          <w:sz w:val="1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27"/>
        <w:gridCol w:w="7606"/>
      </w:tblGrid>
      <w:tr>
        <w:trPr>
          <w:trHeight w:val="961" w:hRule="atLeast"/>
        </w:trPr>
        <w:tc>
          <w:tcPr>
            <w:tcW w:w="750" w:type="dxa"/>
            <w:tcBorders>
              <w:bottom w:val="single" w:sz="8" w:space="0" w:color="000000"/>
            </w:tcBorders>
          </w:tcPr>
          <w:p>
            <w:pPr>
              <w:pStyle w:val="TableParagraph"/>
              <w:spacing w:line="211" w:lineRule="exact"/>
              <w:ind w:left="107"/>
              <w:rPr>
                <w:sz w:val="21"/>
              </w:rPr>
            </w:pPr>
            <w:r>
              <w:rPr>
                <w:w w:val="100"/>
                <w:sz w:val="21"/>
              </w:rPr>
              <w:t> </w:t>
            </w:r>
          </w:p>
          <w:p>
            <w:pPr>
              <w:pStyle w:val="TableParagraph"/>
              <w:spacing w:before="11"/>
              <w:rPr>
                <w:sz w:val="14"/>
              </w:rPr>
            </w:pPr>
          </w:p>
          <w:p>
            <w:pPr>
              <w:pStyle w:val="TableParagraph"/>
              <w:ind w:left="111"/>
              <w:rPr>
                <w:rFonts w:ascii="Times New Roman"/>
                <w:b/>
                <w:sz w:val="40"/>
              </w:rPr>
            </w:pPr>
            <w:r>
              <w:rPr>
                <w:rFonts w:ascii="Times New Roman"/>
                <w:b/>
                <w:w w:val="100"/>
                <w:sz w:val="40"/>
              </w:rPr>
              <w:t>~</w:t>
            </w:r>
          </w:p>
        </w:tc>
        <w:tc>
          <w:tcPr>
            <w:tcW w:w="1727" w:type="dxa"/>
            <w:tcBorders>
              <w:bottom w:val="single" w:sz="8" w:space="0" w:color="000000"/>
            </w:tcBorders>
          </w:tcPr>
          <w:p>
            <w:pPr>
              <w:pStyle w:val="TableParagraph"/>
              <w:spacing w:line="211" w:lineRule="exact"/>
              <w:ind w:left="113"/>
              <w:rPr>
                <w:sz w:val="21"/>
              </w:rPr>
            </w:pPr>
            <w:r>
              <w:rPr>
                <w:w w:val="100"/>
                <w:sz w:val="21"/>
              </w:rPr>
              <w:t> </w:t>
            </w:r>
          </w:p>
          <w:p>
            <w:pPr>
              <w:pStyle w:val="TableParagraph"/>
              <w:spacing w:before="168"/>
              <w:ind w:left="113"/>
              <w:rPr>
                <w:rFonts w:ascii="Microsoft JhengHei" w:eastAsia="Microsoft JhengHei" w:hint="eastAsia"/>
                <w:b/>
                <w:sz w:val="24"/>
              </w:rPr>
            </w:pPr>
            <w:r>
              <w:rPr>
                <w:rFonts w:ascii="Microsoft JhengHei" w:eastAsia="Microsoft JhengHei" w:hint="eastAsia"/>
                <w:b/>
                <w:sz w:val="24"/>
              </w:rPr>
              <w:t>释义</w:t>
            </w:r>
          </w:p>
        </w:tc>
        <w:tc>
          <w:tcPr>
            <w:tcW w:w="7606" w:type="dxa"/>
            <w:tcBorders>
              <w:bottom w:val="single" w:sz="8" w:space="0" w:color="000000"/>
            </w:tcBorders>
          </w:tcPr>
          <w:p>
            <w:pPr>
              <w:pStyle w:val="TableParagraph"/>
              <w:spacing w:line="211" w:lineRule="exact"/>
              <w:ind w:left="345"/>
              <w:rPr>
                <w:sz w:val="21"/>
              </w:rPr>
            </w:pPr>
            <w:r>
              <w:rPr>
                <w:w w:val="100"/>
                <w:sz w:val="21"/>
              </w:rPr>
              <w:t> </w:t>
            </w:r>
          </w:p>
        </w:tc>
      </w:tr>
      <w:tr>
        <w:trPr>
          <w:trHeight w:val="427" w:hRule="atLeast"/>
        </w:trPr>
        <w:tc>
          <w:tcPr>
            <w:tcW w:w="750" w:type="dxa"/>
            <w:tcBorders>
              <w:top w:val="single" w:sz="8" w:space="0" w:color="000000"/>
            </w:tcBorders>
          </w:tcPr>
          <w:p>
            <w:pPr>
              <w:pStyle w:val="TableParagraph"/>
              <w:spacing w:before="68"/>
              <w:ind w:left="107"/>
              <w:rPr>
                <w:sz w:val="21"/>
              </w:rPr>
            </w:pPr>
            <w:r>
              <w:rPr>
                <w:w w:val="100"/>
                <w:sz w:val="21"/>
              </w:rPr>
              <w:t> </w:t>
            </w:r>
          </w:p>
        </w:tc>
        <w:tc>
          <w:tcPr>
            <w:tcW w:w="1727" w:type="dxa"/>
            <w:tcBorders>
              <w:top w:val="single" w:sz="8" w:space="0" w:color="000000"/>
            </w:tcBorders>
          </w:tcPr>
          <w:p>
            <w:pPr>
              <w:pStyle w:val="TableParagraph"/>
              <w:spacing w:before="68"/>
              <w:ind w:left="114"/>
              <w:rPr>
                <w:sz w:val="21"/>
              </w:rPr>
            </w:pPr>
            <w:r>
              <w:rPr>
                <w:w w:val="100"/>
                <w:sz w:val="21"/>
              </w:rPr>
              <w:t> </w:t>
            </w:r>
          </w:p>
        </w:tc>
        <w:tc>
          <w:tcPr>
            <w:tcW w:w="7606" w:type="dxa"/>
            <w:tcBorders>
              <w:top w:val="single" w:sz="8" w:space="0" w:color="000000"/>
            </w:tcBorders>
          </w:tcPr>
          <w:p>
            <w:pPr>
              <w:pStyle w:val="TableParagraph"/>
              <w:spacing w:before="68"/>
              <w:ind w:left="345"/>
              <w:rPr>
                <w:sz w:val="21"/>
              </w:rPr>
            </w:pPr>
            <w:r>
              <w:rPr>
                <w:w w:val="100"/>
                <w:sz w:val="21"/>
              </w:rPr>
              <w:t> </w:t>
            </w:r>
          </w:p>
        </w:tc>
      </w:tr>
      <w:tr>
        <w:trPr>
          <w:trHeight w:val="706" w:hRule="atLeast"/>
        </w:trPr>
        <w:tc>
          <w:tcPr>
            <w:tcW w:w="750" w:type="dxa"/>
          </w:tcPr>
          <w:p>
            <w:pPr>
              <w:pStyle w:val="TableParagraph"/>
              <w:spacing w:line="329" w:lineRule="exact"/>
              <w:ind w:left="107"/>
              <w:rPr>
                <w:rFonts w:ascii="Microsoft JhengHei"/>
                <w:b/>
                <w:sz w:val="21"/>
              </w:rPr>
            </w:pPr>
            <w:r>
              <w:rPr>
                <w:rFonts w:ascii="Microsoft JhengHei"/>
                <w:b/>
                <w:w w:val="90"/>
                <w:sz w:val="21"/>
              </w:rPr>
              <w:t>10. 1</w:t>
            </w:r>
          </w:p>
        </w:tc>
        <w:tc>
          <w:tcPr>
            <w:tcW w:w="1727" w:type="dxa"/>
          </w:tcPr>
          <w:p>
            <w:pPr>
              <w:pStyle w:val="TableParagraph"/>
              <w:spacing w:line="329" w:lineRule="exact"/>
              <w:ind w:left="114"/>
              <w:rPr>
                <w:sz w:val="21"/>
              </w:rPr>
            </w:pPr>
            <w:r>
              <w:rPr>
                <w:rFonts w:ascii="Microsoft JhengHei" w:eastAsia="Microsoft JhengHei" w:hint="eastAsia"/>
                <w:b/>
                <w:sz w:val="21"/>
              </w:rPr>
              <w:t>周岁</w:t>
            </w:r>
            <w:r>
              <w:rPr>
                <w:sz w:val="21"/>
              </w:rPr>
              <w:t>  </w:t>
            </w:r>
          </w:p>
        </w:tc>
        <w:tc>
          <w:tcPr>
            <w:tcW w:w="7606" w:type="dxa"/>
          </w:tcPr>
          <w:p>
            <w:pPr>
              <w:pStyle w:val="TableParagraph"/>
              <w:spacing w:before="30"/>
              <w:ind w:left="345"/>
              <w:rPr>
                <w:sz w:val="21"/>
              </w:rPr>
            </w:pPr>
            <w:r>
              <w:rPr>
                <w:sz w:val="21"/>
              </w:rPr>
              <w:t>指按有效身份证件中记载的出生日期计算的年龄，自出生之日起为 0 周岁，每</w:t>
            </w:r>
          </w:p>
          <w:p>
            <w:pPr>
              <w:pStyle w:val="TableParagraph"/>
              <w:spacing w:before="37"/>
              <w:ind w:left="345"/>
              <w:rPr>
                <w:sz w:val="21"/>
              </w:rPr>
            </w:pPr>
            <w:r>
              <w:rPr>
                <w:sz w:val="21"/>
              </w:rPr>
              <w:t>经过 1 年增加 1 岁，不足 1 年的不计。 </w:t>
            </w:r>
          </w:p>
        </w:tc>
      </w:tr>
      <w:tr>
        <w:trPr>
          <w:trHeight w:val="385"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706" w:hRule="atLeast"/>
        </w:trPr>
        <w:tc>
          <w:tcPr>
            <w:tcW w:w="750" w:type="dxa"/>
          </w:tcPr>
          <w:p>
            <w:pPr>
              <w:pStyle w:val="TableParagraph"/>
              <w:spacing w:line="329" w:lineRule="exact"/>
              <w:ind w:left="108"/>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6" w:type="dxa"/>
          </w:tcPr>
          <w:p>
            <w:pPr>
              <w:pStyle w:val="TableParagraph"/>
              <w:spacing w:line="273" w:lineRule="auto" w:before="30"/>
              <w:ind w:left="345" w:right="116"/>
              <w:rPr>
                <w:sz w:val="21"/>
              </w:rPr>
            </w:pPr>
            <w:r>
              <w:rPr>
                <w:sz w:val="21"/>
              </w:rPr>
              <w:t>指由政府主管部门规定的证明其身份的证件，如：居民身份证、按规定可使用的有效护照、军官证、警官证、士兵证、户口簿等证件。 </w:t>
            </w:r>
          </w:p>
        </w:tc>
      </w:tr>
      <w:tr>
        <w:trPr>
          <w:trHeight w:val="377"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377" w:hRule="atLeast"/>
        </w:trPr>
        <w:tc>
          <w:tcPr>
            <w:tcW w:w="750" w:type="dxa"/>
          </w:tcPr>
          <w:p>
            <w:pPr>
              <w:pStyle w:val="TableParagraph"/>
              <w:spacing w:line="336" w:lineRule="exact"/>
              <w:ind w:left="108"/>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336" w:lineRule="exact"/>
              <w:ind w:left="114"/>
              <w:rPr>
                <w:sz w:val="21"/>
              </w:rPr>
            </w:pPr>
            <w:r>
              <w:rPr>
                <w:rFonts w:ascii="Microsoft JhengHei" w:eastAsia="Microsoft JhengHei" w:hint="eastAsia"/>
                <w:b/>
                <w:sz w:val="21"/>
              </w:rPr>
              <w:t>医疗机构</w:t>
            </w:r>
            <w:r>
              <w:rPr>
                <w:sz w:val="21"/>
              </w:rPr>
              <w:t> </w:t>
            </w:r>
          </w:p>
        </w:tc>
        <w:tc>
          <w:tcPr>
            <w:tcW w:w="7606" w:type="dxa"/>
          </w:tcPr>
          <w:p>
            <w:pPr>
              <w:pStyle w:val="TableParagraph"/>
              <w:spacing w:before="13"/>
              <w:ind w:left="345"/>
              <w:rPr>
                <w:sz w:val="21"/>
              </w:rPr>
            </w:pPr>
            <w:r>
              <w:rPr>
                <w:sz w:val="21"/>
              </w:rPr>
              <w:t>除本附加险合同另有约定外，指符合下列所有条件的机构： </w:t>
            </w:r>
          </w:p>
        </w:tc>
      </w:tr>
      <w:tr>
        <w:trPr>
          <w:trHeight w:val="261" w:hRule="atLeast"/>
        </w:trPr>
        <w:tc>
          <w:tcPr>
            <w:tcW w:w="750" w:type="dxa"/>
          </w:tcPr>
          <w:p>
            <w:pPr>
              <w:pStyle w:val="TableParagraph"/>
              <w:rPr>
                <w:rFonts w:ascii="Times New Roman"/>
                <w:sz w:val="18"/>
              </w:rPr>
            </w:pPr>
          </w:p>
        </w:tc>
        <w:tc>
          <w:tcPr>
            <w:tcW w:w="1727" w:type="dxa"/>
          </w:tcPr>
          <w:p>
            <w:pPr>
              <w:pStyle w:val="TableParagraph"/>
              <w:rPr>
                <w:rFonts w:ascii="Times New Roman"/>
                <w:sz w:val="18"/>
              </w:rPr>
            </w:pPr>
          </w:p>
        </w:tc>
        <w:tc>
          <w:tcPr>
            <w:tcW w:w="7606" w:type="dxa"/>
          </w:tcPr>
          <w:p>
            <w:pPr>
              <w:pStyle w:val="TableParagraph"/>
              <w:spacing w:line="241" w:lineRule="exact"/>
              <w:ind w:left="345"/>
              <w:rPr>
                <w:sz w:val="21"/>
              </w:rPr>
            </w:pPr>
            <w:r>
              <w:rPr>
                <w:sz w:val="21"/>
              </w:rPr>
              <w:t>（1）指经国家卫生行政部门评定的二级或二级以上综合医院或专科医院(前述</w:t>
            </w:r>
          </w:p>
        </w:tc>
      </w:tr>
    </w:tbl>
    <w:p>
      <w:pPr>
        <w:pStyle w:val="BodyText"/>
        <w:spacing w:before="0"/>
        <w:ind w:left="3463" w:right="198"/>
      </w:pPr>
      <w:r>
        <w:rPr>
          <w:spacing w:val="-8"/>
        </w:rPr>
        <w:t>综合医院和专科医院中的观察室、联合病床、康复病房、家庭长期护理病</w:t>
      </w:r>
      <w:r>
        <w:rPr>
          <w:spacing w:val="-2"/>
        </w:rPr>
        <w:t>床除外)；</w:t>
      </w:r>
      <w:r>
        <w:rPr/>
        <w:t> </w:t>
      </w:r>
    </w:p>
    <w:p>
      <w:pPr>
        <w:pStyle w:val="BodyText"/>
        <w:spacing w:line="274" w:lineRule="exact" w:before="73"/>
        <w:ind w:left="2937"/>
      </w:pPr>
      <w:r>
        <w:rPr/>
        <w:t>（2）不包括精神病院、私人诊所，以及作为康复、疗养、护理、戒酒、戒毒或</w:t>
      </w:r>
    </w:p>
    <w:p>
      <w:pPr>
        <w:pStyle w:val="BodyText"/>
        <w:spacing w:line="274" w:lineRule="exact" w:before="0"/>
        <w:ind w:left="3496" w:right="5083"/>
        <w:jc w:val="center"/>
      </w:pPr>
      <w:r>
        <w:rPr/>
        <w:t>类似的医疗机构。 </w:t>
      </w:r>
    </w:p>
    <w:p>
      <w:pPr>
        <w:pStyle w:val="BodyText"/>
        <w:spacing w:before="99"/>
        <w:ind w:left="2937"/>
      </w:pPr>
      <w:r>
        <w:rPr>
          <w:w w:val="100"/>
        </w:rPr>
        <w:t> </w:t>
      </w:r>
    </w:p>
    <w:p>
      <w:pPr>
        <w:pStyle w:val="BodyText"/>
        <w:tabs>
          <w:tab w:pos="2937" w:val="left" w:leader="none"/>
        </w:tabs>
        <w:spacing w:line="225" w:lineRule="auto" w:before="63"/>
        <w:ind w:left="2937" w:right="273" w:hanging="2715"/>
        <w:jc w:val="both"/>
      </w:pPr>
      <w:r>
        <w:rPr>
          <w:rFonts w:ascii="Microsoft JhengHei" w:hAnsi="Microsoft JhengHei" w:eastAsia="Microsoft JhengHei" w:hint="eastAsia"/>
          <w:b/>
          <w:position w:val="-1"/>
        </w:rPr>
        <w:t>10. 4  </w:t>
      </w:r>
      <w:r>
        <w:rPr>
          <w:rFonts w:ascii="Microsoft JhengHei" w:hAnsi="Microsoft JhengHei" w:eastAsia="Microsoft JhengHei" w:hint="eastAsia"/>
          <w:b/>
          <w:spacing w:val="30"/>
          <w:position w:val="-1"/>
        </w:rPr>
        <w:t> </w:t>
      </w:r>
      <w:r>
        <w:rPr>
          <w:rFonts w:ascii="Microsoft JhengHei" w:hAnsi="Microsoft JhengHei" w:eastAsia="Microsoft JhengHei" w:hint="eastAsia"/>
          <w:b/>
          <w:position w:val="-1"/>
        </w:rPr>
        <w:t>重 大 疾病</w:t>
        <w:tab/>
      </w:r>
      <w:r>
        <w:rPr/>
        <w:t>“一</w:t>
      </w:r>
      <w:r>
        <w:rPr>
          <w:spacing w:val="-22"/>
        </w:rPr>
        <w:t>”</w:t>
      </w:r>
      <w:r>
        <w:rPr>
          <w:spacing w:val="-20"/>
        </w:rPr>
        <w:t>至</w:t>
      </w:r>
      <w:r>
        <w:rPr>
          <w:spacing w:val="-3"/>
        </w:rPr>
        <w:t>“</w:t>
      </w:r>
      <w:r>
        <w:rPr/>
        <w:t>二</w:t>
      </w:r>
      <w:r>
        <w:rPr>
          <w:spacing w:val="-3"/>
        </w:rPr>
        <w:t>十</w:t>
      </w:r>
      <w:r>
        <w:rPr/>
        <w:t>五</w:t>
      </w:r>
      <w:r>
        <w:rPr>
          <w:spacing w:val="-22"/>
        </w:rPr>
        <w:t>”</w:t>
      </w:r>
      <w:r>
        <w:rPr/>
        <w:t>项</w:t>
      </w:r>
      <w:r>
        <w:rPr>
          <w:spacing w:val="-3"/>
        </w:rPr>
        <w:t>所</w:t>
      </w:r>
      <w:r>
        <w:rPr/>
        <w:t>列重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协会统</w:t>
      </w:r>
      <w:r>
        <w:rPr/>
        <w:t>一 制</w:t>
      </w:r>
      <w:r>
        <w:rPr>
          <w:spacing w:val="-20"/>
        </w:rPr>
        <w:t>定</w:t>
      </w:r>
      <w:r>
        <w:rPr>
          <w:spacing w:val="-3"/>
        </w:rPr>
        <w:t>（</w:t>
      </w:r>
      <w:r>
        <w:rPr>
          <w:spacing w:val="-20"/>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spacing w:val="-22"/>
        </w:rPr>
        <w:t>。</w:t>
      </w:r>
      <w:r>
        <w:rPr/>
        <w:t>为扩</w:t>
      </w:r>
      <w:r>
        <w:rPr>
          <w:spacing w:val="-3"/>
        </w:rPr>
        <w:t>大</w:t>
      </w:r>
      <w:r>
        <w:rPr/>
        <w:t>本</w:t>
      </w:r>
      <w:r>
        <w:rPr>
          <w:spacing w:val="-3"/>
        </w:rPr>
        <w:t>附</w:t>
      </w:r>
      <w:r>
        <w:rPr/>
        <w:t>加</w:t>
      </w:r>
      <w:r>
        <w:rPr>
          <w:spacing w:val="-3"/>
        </w:rPr>
        <w:t>险</w:t>
      </w:r>
      <w:r>
        <w:rPr/>
        <w:t>合</w:t>
      </w:r>
      <w:r>
        <w:rPr>
          <w:spacing w:val="-3"/>
        </w:rPr>
        <w:t>同的保</w:t>
      </w:r>
      <w:r>
        <w:rPr/>
        <w:t>障</w:t>
      </w:r>
      <w:r>
        <w:rPr>
          <w:w w:val="100"/>
        </w:rPr>
        <w:t>范</w:t>
      </w:r>
      <w:r>
        <w:rPr>
          <w:spacing w:val="1"/>
          <w:w w:val="100"/>
        </w:rPr>
        <w:t>围</w:t>
      </w:r>
      <w:r>
        <w:rPr>
          <w:spacing w:val="-106"/>
          <w:w w:val="100"/>
        </w:rPr>
        <w:t>，</w:t>
      </w:r>
      <w:r>
        <w:rPr>
          <w:w w:val="100"/>
        </w:rPr>
        <w:t>“二十六”至“</w:t>
      </w:r>
      <w:r>
        <w:rPr>
          <w:spacing w:val="1"/>
          <w:w w:val="100"/>
        </w:rPr>
        <w:t>三</w:t>
      </w:r>
      <w:r>
        <w:rPr>
          <w:w w:val="100"/>
        </w:rPr>
        <w:t>十五”项</w:t>
      </w:r>
      <w:r>
        <w:rPr>
          <w:spacing w:val="1"/>
          <w:w w:val="100"/>
        </w:rPr>
        <w:t>重</w:t>
      </w:r>
      <w:r>
        <w:rPr>
          <w:w w:val="100"/>
        </w:rPr>
        <w:t>大疾病名称及疾病定义</w:t>
      </w:r>
      <w:r>
        <w:rPr>
          <w:spacing w:val="1"/>
          <w:w w:val="100"/>
        </w:rPr>
        <w:t>由</w:t>
      </w:r>
      <w:r>
        <w:rPr>
          <w:w w:val="100"/>
        </w:rPr>
        <w:t>我们自行制</w:t>
      </w:r>
      <w:r>
        <w:rPr>
          <w:spacing w:val="1"/>
          <w:w w:val="100"/>
        </w:rPr>
        <w:t>定</w:t>
      </w:r>
      <w:r>
        <w:rPr>
          <w:w w:val="100"/>
        </w:rPr>
        <w:t>使</w:t>
      </w:r>
      <w:r>
        <w:rPr/>
        <w:t>用</w:t>
      </w:r>
      <w:r>
        <w:rPr>
          <w:spacing w:val="-3"/>
        </w:rPr>
        <w:t>。</w:t>
      </w:r>
      <w:r>
        <w:rPr/>
        <w:t> </w:t>
      </w:r>
    </w:p>
    <w:p>
      <w:pPr>
        <w:pStyle w:val="BodyText"/>
        <w:spacing w:line="353" w:lineRule="exact" w:before="8"/>
        <w:ind w:left="2937"/>
      </w:pPr>
      <w:r>
        <w:rPr/>
        <w:t>被保险人发生符合以下疾病定义所述条件的疾病，应当由</w:t>
      </w:r>
      <w:r>
        <w:rPr>
          <w:rFonts w:ascii="Microsoft JhengHei" w:eastAsia="Microsoft JhengHei" w:hint="eastAsia"/>
          <w:b/>
        </w:rPr>
        <w:t>专科医生</w:t>
      </w:r>
      <w:r>
        <w:rPr/>
        <w:t>（见10.16）</w:t>
      </w:r>
    </w:p>
    <w:p>
      <w:pPr>
        <w:pStyle w:val="BodyText"/>
        <w:spacing w:line="262" w:lineRule="exact" w:before="0"/>
        <w:ind w:left="2937"/>
      </w:pPr>
      <w:r>
        <w:rPr/>
        <w:t>明确诊断。  </w:t>
      </w:r>
    </w:p>
    <w:p>
      <w:pPr>
        <w:pStyle w:val="BodyText"/>
        <w:spacing w:before="74"/>
        <w:ind w:left="2937"/>
      </w:pPr>
      <w:r>
        <w:rPr/>
        <w:t>一、恶性肿瘤  </w:t>
      </w:r>
    </w:p>
    <w:p>
      <w:pPr>
        <w:pStyle w:val="BodyText"/>
        <w:spacing w:line="274" w:lineRule="exact"/>
        <w:ind w:left="2937"/>
      </w:pPr>
      <w:r>
        <w:rPr/>
        <w:t>指恶性细胞不受控制的进行性增长和扩散，浸润和破坏周围正常组织，可以经</w:t>
      </w:r>
    </w:p>
    <w:p>
      <w:pPr>
        <w:pStyle w:val="BodyText"/>
        <w:spacing w:line="274" w:lineRule="exact" w:before="0"/>
        <w:ind w:left="2937"/>
      </w:pPr>
      <w:r>
        <w:rPr/>
        <w:t>血管、淋巴管和体腔扩散转移到身体其它部位的疾病。经病理学检查结果明确</w:t>
      </w:r>
    </w:p>
    <w:p>
      <w:pPr>
        <w:spacing w:after="0" w:line="274" w:lineRule="exact"/>
        <w:sectPr>
          <w:pgSz w:w="11900" w:h="16840"/>
          <w:pgMar w:header="0" w:footer="724" w:top="1580" w:bottom="920" w:left="1080" w:right="520"/>
        </w:sectPr>
      </w:pPr>
    </w:p>
    <w:p>
      <w:pPr>
        <w:pStyle w:val="BodyText"/>
        <w:spacing w:line="273" w:lineRule="exact" w:before="7"/>
        <w:jc w:val="both"/>
      </w:pPr>
      <w:r>
        <w:rPr/>
        <w:t>诊断，临床诊断属于世界卫生组织《疾病和有关健康问题的国际统计分类》</w:t>
      </w:r>
    </w:p>
    <w:p>
      <w:pPr>
        <w:pStyle w:val="BodyText"/>
        <w:spacing w:line="273" w:lineRule="exact" w:before="0"/>
        <w:jc w:val="both"/>
      </w:pPr>
      <w:r>
        <w:rPr/>
        <w:t>（ICD-10）的恶性肿瘤范畴。  </w:t>
      </w:r>
    </w:p>
    <w:p>
      <w:pPr>
        <w:pStyle w:val="BodyText"/>
        <w:spacing w:before="76"/>
        <w:jc w:val="both"/>
      </w:pPr>
      <w:r>
        <w:rPr/>
        <w:t>下列疾病不在保障范围内：  </w:t>
      </w:r>
    </w:p>
    <w:p>
      <w:pPr>
        <w:pStyle w:val="BodyText"/>
        <w:jc w:val="both"/>
      </w:pPr>
      <w:r>
        <w:rPr/>
        <w:t>（1）原位癌；  </w:t>
      </w:r>
    </w:p>
    <w:p>
      <w:pPr>
        <w:pStyle w:val="BodyText"/>
        <w:jc w:val="both"/>
      </w:pPr>
      <w:r>
        <w:rPr/>
        <w:t>（2）相当于Binet分期方案A期程度的慢性淋巴细胞白血病；  </w:t>
      </w:r>
    </w:p>
    <w:p>
      <w:pPr>
        <w:pStyle w:val="BodyText"/>
        <w:jc w:val="both"/>
      </w:pPr>
      <w:r>
        <w:rPr/>
        <w:t>（3）相当于Ann Arbor分期方案I期程度的何杰金氏病；  </w:t>
      </w:r>
    </w:p>
    <w:p>
      <w:pPr>
        <w:pStyle w:val="BodyText"/>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jc w:val="both"/>
      </w:pPr>
      <w:r>
        <w:rPr/>
        <w:t>（5）TNM分期为T1N0M0期或更轻分期的前列腺癌；  </w:t>
      </w:r>
    </w:p>
    <w:p>
      <w:pPr>
        <w:pStyle w:val="BodyText"/>
        <w:jc w:val="both"/>
      </w:pPr>
      <w:r>
        <w:rPr/>
        <w:t>（6）感染艾滋病病毒或患艾滋病期间所患恶性肿瘤。  </w:t>
      </w:r>
    </w:p>
    <w:p>
      <w:pPr>
        <w:pStyle w:val="BodyText"/>
        <w:jc w:val="both"/>
      </w:pPr>
      <w:r>
        <w:rPr/>
        <w:t>二、急性心肌梗塞  </w:t>
      </w:r>
    </w:p>
    <w:p>
      <w:pPr>
        <w:pStyle w:val="BodyText"/>
        <w:spacing w:line="274" w:lineRule="exact"/>
        <w:jc w:val="both"/>
      </w:pPr>
      <w:r>
        <w:rPr/>
        <w:t>指因冠状动脉阻塞导致的相应区域供血不足造成部分心肌坏死。须满足下列至</w:t>
      </w:r>
    </w:p>
    <w:p>
      <w:pPr>
        <w:pStyle w:val="BodyText"/>
        <w:spacing w:line="274" w:lineRule="exact" w:before="0"/>
        <w:jc w:val="both"/>
      </w:pPr>
      <w:r>
        <w:rPr/>
        <w:t>少三项条件：  </w:t>
      </w:r>
    </w:p>
    <w:p>
      <w:pPr>
        <w:pStyle w:val="BodyText"/>
        <w:spacing w:before="73"/>
        <w:jc w:val="both"/>
      </w:pPr>
      <w:r>
        <w:rPr/>
        <w:t>（1）典型临床表现，例如急性胸痛等；  </w:t>
      </w:r>
    </w:p>
    <w:p>
      <w:pPr>
        <w:pStyle w:val="BodyText"/>
        <w:jc w:val="both"/>
      </w:pPr>
      <w:r>
        <w:rPr/>
        <w:t>（2）新近的心电图改变提示急性心肌梗塞；  </w:t>
      </w:r>
    </w:p>
    <w:p>
      <w:pPr>
        <w:pStyle w:val="BodyText"/>
        <w:spacing w:line="274" w:lineRule="exact"/>
        <w:jc w:val="both"/>
      </w:pPr>
      <w:r>
        <w:rPr/>
        <w:t>（3）心肌酶或肌钙蛋白有诊断意义的升高，或呈符合急性心肌梗塞的动态性变</w:t>
      </w:r>
    </w:p>
    <w:p>
      <w:pPr>
        <w:pStyle w:val="BodyText"/>
        <w:spacing w:line="274" w:lineRule="exact" w:before="0"/>
        <w:jc w:val="both"/>
      </w:pPr>
      <w:r>
        <w:rPr/>
        <w:t>化；  </w:t>
      </w:r>
    </w:p>
    <w:p>
      <w:pPr>
        <w:pStyle w:val="BodyText"/>
        <w:spacing w:before="76"/>
        <w:jc w:val="both"/>
      </w:pPr>
      <w:r>
        <w:rPr/>
        <w:t>（4）发病90天后，经检查证实左心室功能降低，如左心室射血分数低于50%。 </w:t>
      </w:r>
    </w:p>
    <w:p>
      <w:pPr>
        <w:pStyle w:val="BodyText"/>
        <w:jc w:val="both"/>
      </w:pPr>
      <w:r>
        <w:rPr/>
        <w:t>三、脑中风后遗症  </w:t>
      </w:r>
    </w:p>
    <w:p>
      <w:pPr>
        <w:pStyle w:val="BodyText"/>
        <w:spacing w:line="237" w:lineRule="auto" w:before="77"/>
        <w:ind w:right="208"/>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358" w:lineRule="exact" w:before="5"/>
        <w:ind w:left="2337"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.17</w:t>
      </w:r>
      <w:r>
        <w:rPr>
          <w:spacing w:val="-108"/>
          <w:w w:val="100"/>
          <w:sz w:val="21"/>
        </w:rPr>
        <w:t>）</w:t>
      </w:r>
      <w:r>
        <w:rPr>
          <w:w w:val="100"/>
          <w:sz w:val="21"/>
        </w:rPr>
        <w:t>；</w:t>
      </w:r>
      <w:r>
        <w:rPr>
          <w:spacing w:val="-3"/>
          <w:w w:val="100"/>
          <w:sz w:val="21"/>
        </w:rPr>
        <w:t>  </w:t>
      </w:r>
    </w:p>
    <w:p>
      <w:pPr>
        <w:spacing w:line="350" w:lineRule="exact" w:before="0"/>
        <w:ind w:left="2337"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.18</w:t>
      </w:r>
      <w:r>
        <w:rPr>
          <w:spacing w:val="-108"/>
          <w:w w:val="100"/>
          <w:sz w:val="21"/>
        </w:rPr>
        <w:t>）</w:t>
      </w:r>
      <w:r>
        <w:rPr>
          <w:w w:val="100"/>
          <w:sz w:val="21"/>
        </w:rPr>
        <w:t>；</w:t>
      </w:r>
      <w:r>
        <w:rPr>
          <w:spacing w:val="-3"/>
          <w:w w:val="100"/>
          <w:sz w:val="21"/>
        </w:rPr>
        <w:t>  </w:t>
      </w:r>
    </w:p>
    <w:p>
      <w:pPr>
        <w:spacing w:line="345" w:lineRule="exact" w:before="0"/>
        <w:ind w:left="2337"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（见10.19）</w:t>
      </w:r>
    </w:p>
    <w:p>
      <w:pPr>
        <w:pStyle w:val="BodyText"/>
        <w:spacing w:line="262" w:lineRule="exact" w:before="0"/>
        <w:jc w:val="both"/>
      </w:pPr>
      <w:r>
        <w:rPr/>
        <w:t>中的三项或三项以上。  </w:t>
      </w:r>
    </w:p>
    <w:p>
      <w:pPr>
        <w:pStyle w:val="BodyText"/>
        <w:spacing w:before="76"/>
        <w:jc w:val="both"/>
      </w:pPr>
      <w:r>
        <w:rPr/>
        <w:t>四、重大器官移植术或造血干细胞移植术  </w:t>
      </w:r>
    </w:p>
    <w:p>
      <w:pPr>
        <w:pStyle w:val="BodyText"/>
        <w:ind w:right="215"/>
      </w:pPr>
      <w:r>
        <w:rPr/>
        <w:t>重大器官移植术，指因相应器官功能衰竭，已经实施了肾脏、肝脏、心脏或肺脏的异体移植手术。  </w:t>
      </w:r>
    </w:p>
    <w:p>
      <w:pPr>
        <w:pStyle w:val="BodyText"/>
        <w:spacing w:before="73"/>
        <w:ind w:right="215"/>
        <w:jc w:val="both"/>
      </w:pPr>
      <w:r>
        <w:rPr/>
        <w:t>造血干细胞移植术，指因造血功能损害或造血系统恶性肿瘤，已经实施了造血干细胞（包括骨髓造血干细胞、外周血造血干细胞和脐血造血干细胞）的异体移植手术。  </w:t>
      </w:r>
    </w:p>
    <w:p>
      <w:pPr>
        <w:pStyle w:val="BodyText"/>
        <w:spacing w:before="73"/>
        <w:jc w:val="both"/>
      </w:pPr>
      <w:r>
        <w:rPr/>
        <w:t>五、冠状动脉搭桥术（或称冠状动脉旁路移植术）  </w:t>
      </w:r>
    </w:p>
    <w:p>
      <w:pPr>
        <w:pStyle w:val="BodyText"/>
        <w:jc w:val="both"/>
      </w:pPr>
      <w:r>
        <w:rPr/>
        <w:t>指为治疗严重的冠心病，实际实施了开胸进行的冠状动脉血管旁路移植的手术。 </w:t>
      </w:r>
    </w:p>
    <w:p>
      <w:pPr>
        <w:pStyle w:val="BodyText"/>
        <w:spacing w:line="274" w:lineRule="exact"/>
        <w:jc w:val="both"/>
      </w:pPr>
      <w:r>
        <w:rPr/>
        <w:t>冠状动脉支架植入术、心导管球囊扩张术、激光射频技术及其它非开胸的介入</w:t>
      </w:r>
    </w:p>
    <w:p>
      <w:pPr>
        <w:pStyle w:val="BodyText"/>
        <w:spacing w:line="274" w:lineRule="exact" w:before="0"/>
        <w:jc w:val="both"/>
      </w:pPr>
      <w:r>
        <w:rPr/>
        <w:t>手术、腔镜手术不在保障范围内。  </w:t>
      </w:r>
    </w:p>
    <w:p>
      <w:pPr>
        <w:pStyle w:val="BodyText"/>
        <w:spacing w:before="76"/>
        <w:jc w:val="both"/>
      </w:pPr>
      <w:r>
        <w:rPr/>
        <w:t>六、终末期肾病（或称慢性肾功能衰竭尿毒症期）  </w:t>
      </w:r>
    </w:p>
    <w:p>
      <w:pPr>
        <w:pStyle w:val="BodyText"/>
        <w:ind w:right="208"/>
      </w:pPr>
      <w:r>
        <w:rPr/>
        <w:t>指双肾功能慢性不可逆性衰竭，达到尿毒症期，经诊断后已经进行了至少90天的规律性透析治疗或实施了肾脏移植手术。  </w:t>
      </w:r>
    </w:p>
    <w:p>
      <w:pPr>
        <w:pStyle w:val="BodyText"/>
        <w:spacing w:before="72"/>
        <w:jc w:val="both"/>
      </w:pPr>
      <w:r>
        <w:rPr/>
        <w:t>七、多个肢体缺失  </w:t>
      </w:r>
    </w:p>
    <w:p>
      <w:pPr>
        <w:pStyle w:val="BodyText"/>
        <w:spacing w:line="274" w:lineRule="exact"/>
        <w:jc w:val="both"/>
      </w:pPr>
      <w:r>
        <w:rPr/>
        <w:t>指因疾病或意外伤害导致两个或两个以上肢体自腕关节或踝关节近端（靠近躯</w:t>
      </w:r>
    </w:p>
    <w:p>
      <w:pPr>
        <w:pStyle w:val="BodyText"/>
        <w:spacing w:line="274" w:lineRule="exact" w:before="0"/>
        <w:jc w:val="both"/>
      </w:pPr>
      <w:r>
        <w:rPr/>
        <w:t>干端）以上完全性断离。  </w:t>
      </w:r>
    </w:p>
    <w:p>
      <w:pPr>
        <w:pStyle w:val="BodyText"/>
        <w:jc w:val="both"/>
      </w:pPr>
      <w:r>
        <w:rPr/>
        <w:t>八、急性或亚急性重症肝炎  </w:t>
      </w:r>
    </w:p>
    <w:p>
      <w:pPr>
        <w:spacing w:after="0"/>
        <w:jc w:val="both"/>
        <w:sectPr>
          <w:pgSz w:w="11900" w:h="16840"/>
          <w:pgMar w:header="0" w:footer="724" w:top="1400" w:bottom="920" w:left="1680" w:right="520"/>
        </w:sectPr>
      </w:pPr>
    </w:p>
    <w:p>
      <w:pPr>
        <w:pStyle w:val="BodyText"/>
        <w:spacing w:before="24"/>
        <w:ind w:right="230"/>
      </w:pPr>
      <w:r>
        <w:rPr/>
        <w:t>指因肝炎病毒感染引起肝脏组织弥漫性坏死，导致急性肝功能衰竭，且经血清学或病毒学检查证实，并须满足下列全部条件：  </w:t>
      </w:r>
    </w:p>
    <w:p>
      <w:pPr>
        <w:pStyle w:val="BodyText"/>
        <w:spacing w:before="73"/>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  </w:t>
      </w:r>
    </w:p>
    <w:p>
      <w:pPr>
        <w:pStyle w:val="BodyText"/>
        <w:spacing w:line="237" w:lineRule="auto" w:before="78"/>
        <w:ind w:right="227"/>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304" w:lineRule="auto"/>
        <w:ind w:right="2027"/>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4" w:lineRule="exact" w:before="18"/>
      </w:pPr>
      <w:r>
        <w:rPr/>
        <w:t>指因患脑炎或脑膜炎导致的神经系统永久性的功能障碍。神经系统永久性的功</w:t>
      </w:r>
    </w:p>
    <w:p>
      <w:pPr>
        <w:pStyle w:val="BodyText"/>
        <w:spacing w:line="274" w:lineRule="exact" w:before="0"/>
      </w:pPr>
      <w:r>
        <w:rPr/>
        <w:t>能障碍，指疾病确诊180天后，仍遗留下列一种或一种以上障碍：  </w:t>
      </w:r>
    </w:p>
    <w:p>
      <w:pPr>
        <w:pStyle w:val="BodyText"/>
        <w:spacing w:before="76"/>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3"/>
      </w:pPr>
      <w:r>
        <w:rPr/>
        <w:t>十二、深度昏迷  </w:t>
      </w:r>
    </w:p>
    <w:p>
      <w:pPr>
        <w:pStyle w:val="BodyText"/>
        <w:ind w:right="239"/>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73"/>
      </w:pPr>
      <w:r>
        <w:rPr/>
        <w:t>因酗酒或药物滥用导致的深度昏迷不在保障范围内。  </w:t>
      </w:r>
    </w:p>
    <w:p>
      <w:pPr>
        <w:pStyle w:val="BodyText"/>
      </w:pPr>
      <w:r>
        <w:rPr/>
        <w:t>十三、双耳失聪  </w:t>
      </w:r>
    </w:p>
    <w:p>
      <w:pPr>
        <w:pStyle w:val="BodyText"/>
        <w:spacing w:line="353" w:lineRule="exact" w:before="8"/>
      </w:pPr>
      <w:r>
        <w:rPr/>
        <w:t>指因疾病或意外伤害导致双耳听力</w:t>
      </w:r>
      <w:r>
        <w:rPr>
          <w:rFonts w:ascii="Microsoft JhengHei" w:eastAsia="Microsoft JhengHei" w:hint="eastAsia"/>
          <w:b/>
        </w:rPr>
        <w:t>永久不可逆</w:t>
      </w:r>
      <w:r>
        <w:rPr/>
        <w:t>（见10.20）性丧失，在500赫兹、</w:t>
      </w:r>
    </w:p>
    <w:p>
      <w:pPr>
        <w:pStyle w:val="BodyText"/>
        <w:spacing w:before="0"/>
        <w:ind w:right="235"/>
      </w:pPr>
      <w:r>
        <w:rPr/>
        <w:t>1000赫兹和2000赫兹语音频率下，平均听阈大于90分贝，且经纯音听力测试、声导抗检测或听觉诱发电位检测等证实。  </w:t>
      </w:r>
    </w:p>
    <w:p>
      <w:pPr>
        <w:pStyle w:val="BodyText"/>
        <w:spacing w:before="86"/>
      </w:pPr>
      <w:r>
        <w:rPr/>
        <w:t>十四、双目失明  </w:t>
      </w:r>
    </w:p>
    <w:p>
      <w:pPr>
        <w:pStyle w:val="BodyText"/>
        <w:ind w:right="228"/>
      </w:pPr>
      <w:r>
        <w:rPr/>
        <w:t>指因疾病或意外伤害导致双眼视力永久不可逆性丧失，双眼中较好眼须满足下列至少一项条件：  </w:t>
      </w:r>
    </w:p>
    <w:p>
      <w:pPr>
        <w:pStyle w:val="BodyText"/>
      </w:pPr>
      <w:r>
        <w:rPr/>
        <w:t>（1）眼球缺失或摘除；  </w:t>
      </w:r>
    </w:p>
    <w:p>
      <w:pPr>
        <w:pStyle w:val="BodyText"/>
      </w:pPr>
      <w:r>
        <w:rPr/>
        <w:t>（2）矫正视力低于0.02（采用国际标准视力表，如果使用其它视力表应进行换</w:t>
      </w:r>
    </w:p>
    <w:p>
      <w:pPr>
        <w:spacing w:after="0"/>
        <w:sectPr>
          <w:pgSz w:w="11900" w:h="16840"/>
          <w:pgMar w:header="0" w:footer="724" w:top="1460" w:bottom="920" w:left="1680" w:right="500"/>
        </w:sectPr>
      </w:pPr>
    </w:p>
    <w:p>
      <w:pPr>
        <w:pStyle w:val="BodyText"/>
        <w:spacing w:before="7"/>
      </w:pPr>
      <w:r>
        <w:rPr>
          <w:w w:val="100"/>
        </w:rPr>
        <w:t>算</w:t>
      </w:r>
      <w:r>
        <w:rPr>
          <w:spacing w:val="-106"/>
          <w:w w:val="100"/>
        </w:rPr>
        <w:t>）</w:t>
      </w:r>
      <w:r>
        <w:rPr>
          <w:w w:val="100"/>
        </w:rPr>
        <w:t>；</w:t>
      </w:r>
      <w:r>
        <w:rPr>
          <w:spacing w:val="-3"/>
          <w:w w:val="100"/>
        </w:rPr>
        <w:t>  </w:t>
      </w:r>
    </w:p>
    <w:p>
      <w:pPr>
        <w:pStyle w:val="BodyText"/>
        <w:spacing w:before="72"/>
      </w:pPr>
      <w:r>
        <w:rPr/>
        <w:t>（3）视野半径小于5度。  </w:t>
      </w:r>
    </w:p>
    <w:p>
      <w:pPr>
        <w:pStyle w:val="BodyText"/>
      </w:pPr>
      <w:r>
        <w:rPr/>
        <w:t>十五、瘫痪  </w:t>
      </w:r>
    </w:p>
    <w:p>
      <w:pPr>
        <w:pStyle w:val="BodyText"/>
        <w:ind w:right="215"/>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72"/>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78"/>
        <w:ind w:right="100"/>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307" w:lineRule="auto" w:before="73"/>
        <w:ind w:right="3267"/>
      </w:pPr>
      <w:r>
        <w:rPr>
          <w:spacing w:val="-3"/>
        </w:rPr>
        <w:t>神经官能症和精神疾病不在保障范围内。  十八、严重脑损伤  </w:t>
      </w:r>
    </w:p>
    <w:p>
      <w:pPr>
        <w:pStyle w:val="BodyText"/>
        <w:spacing w:line="274" w:lineRule="exact" w:before="16"/>
      </w:pPr>
      <w:r>
        <w:rPr/>
        <w:t>指因头部遭受机械性外力，引起脑重要部位损伤，导致神经系统永久性的功能</w:t>
      </w:r>
    </w:p>
    <w:p>
      <w:pPr>
        <w:pStyle w:val="BodyText"/>
        <w:spacing w:line="274" w:lineRule="exact" w:before="0"/>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before="0"/>
      </w:pPr>
      <w:r>
        <w:rPr/>
        <w:t>（PET）等影像学检查证实。神经系统永久性的功能障碍，指脑损伤180天后，</w:t>
      </w:r>
    </w:p>
    <w:p>
      <w:pPr>
        <w:pStyle w:val="BodyText"/>
        <w:spacing w:line="273" w:lineRule="exact" w:before="0"/>
      </w:pPr>
      <w:r>
        <w:rPr/>
        <w:t>仍遗留下列一种或一种以上障碍：  </w:t>
      </w:r>
    </w:p>
    <w:p>
      <w:pPr>
        <w:pStyle w:val="BodyText"/>
        <w:spacing w:before="76"/>
      </w:pPr>
      <w:r>
        <w:rPr/>
        <w:t>（1）一肢或一肢以上肢体机能完全丧失；  </w:t>
      </w:r>
    </w:p>
    <w:p>
      <w:pPr>
        <w:pStyle w:val="BodyText"/>
        <w:spacing w:before="73"/>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6"/>
      </w:pPr>
      <w:r>
        <w:rPr/>
        <w:t>十九、严重帕金森病  </w:t>
      </w:r>
    </w:p>
    <w:p>
      <w:pPr>
        <w:pStyle w:val="BodyText"/>
        <w:spacing w:line="274" w:lineRule="exact"/>
      </w:pPr>
      <w:r>
        <w:rPr/>
        <w:t>是一种中枢神经系统的退行性疾病，临床表现为震颤麻痹、共济失调等。须满</w:t>
      </w:r>
    </w:p>
    <w:p>
      <w:pPr>
        <w:pStyle w:val="BodyText"/>
        <w:spacing w:line="274" w:lineRule="exact" w:before="0"/>
      </w:pPr>
      <w:r>
        <w:rPr/>
        <w:t>足下列全部条件：  </w:t>
      </w:r>
    </w:p>
    <w:p>
      <w:pPr>
        <w:pStyle w:val="BodyText"/>
        <w:spacing w:before="73"/>
      </w:pPr>
      <w:r>
        <w:rPr/>
        <w:t>（1）药物治疗无法控制病情；  </w:t>
      </w:r>
    </w:p>
    <w:p>
      <w:pPr>
        <w:pStyle w:val="BodyText"/>
        <w:spacing w:line="274" w:lineRule="exact"/>
      </w:pPr>
      <w:r>
        <w:rPr/>
        <w:t>（2）自主生活能力完全丧失，无法独立完成六项基本日常生活活动中的三项或</w:t>
      </w:r>
    </w:p>
    <w:p>
      <w:pPr>
        <w:pStyle w:val="BodyText"/>
        <w:spacing w:line="274" w:lineRule="exact" w:before="0"/>
      </w:pPr>
      <w:r>
        <w:rPr/>
        <w:t>三项以上。  </w:t>
      </w:r>
    </w:p>
    <w:p>
      <w:pPr>
        <w:pStyle w:val="BodyText"/>
      </w:pPr>
      <w:r>
        <w:rPr/>
        <w:t>继发性帕金森综合征不在保障范围内。  </w:t>
      </w:r>
    </w:p>
    <w:p>
      <w:pPr>
        <w:pStyle w:val="BodyText"/>
      </w:pPr>
      <w:r>
        <w:rPr/>
        <w:t>二十、严重Ⅲ度烧伤  </w:t>
      </w:r>
    </w:p>
    <w:p>
      <w:pPr>
        <w:pStyle w:val="BodyText"/>
        <w:spacing w:line="274" w:lineRule="exact"/>
      </w:pPr>
      <w:r>
        <w:rPr/>
        <w:t>指烧伤程度为Ⅲ度，且Ⅲ度烧伤的面积达到全身体表面积的20％或20％以上。</w:t>
      </w:r>
    </w:p>
    <w:p>
      <w:pPr>
        <w:pStyle w:val="BodyText"/>
        <w:spacing w:line="304" w:lineRule="auto" w:before="0"/>
        <w:ind w:right="3580"/>
      </w:pPr>
      <w:r>
        <w:rPr>
          <w:spacing w:val="-3"/>
        </w:rPr>
        <w:t>体表面积根据《中国新九分法》计算。 二十一、严重原发性肺动脉高压  </w:t>
      </w:r>
    </w:p>
    <w:p>
      <w:pPr>
        <w:pStyle w:val="BodyText"/>
        <w:spacing w:before="20"/>
        <w:ind w:right="215"/>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before="73"/>
      </w:pPr>
      <w:r>
        <w:rPr/>
        <w:t>二十二、严重运动神经元病  </w:t>
      </w:r>
    </w:p>
    <w:p>
      <w:pPr>
        <w:pStyle w:val="BodyText"/>
        <w:spacing w:line="237" w:lineRule="auto" w:before="78"/>
        <w:ind w:right="20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73"/>
      </w:pPr>
      <w:r>
        <w:rPr/>
        <w:t>二十三、语言能力丧失  </w:t>
      </w:r>
    </w:p>
    <w:p>
      <w:pPr>
        <w:spacing w:after="0"/>
        <w:sectPr>
          <w:pgSz w:w="11900" w:h="16840"/>
          <w:pgMar w:header="0" w:footer="724" w:top="1400" w:bottom="920" w:left="1680" w:right="520"/>
        </w:sectPr>
      </w:pPr>
    </w:p>
    <w:p>
      <w:pPr>
        <w:pStyle w:val="BodyText"/>
        <w:spacing w:line="274" w:lineRule="exact" w:before="24"/>
      </w:pPr>
      <w:r>
        <w:rPr/>
        <w:t>指因疾病或意外伤害导致完全丧失语言能力，经过积极治疗至少12个月（声带</w:t>
      </w:r>
    </w:p>
    <w:p>
      <w:pPr>
        <w:pStyle w:val="BodyText"/>
        <w:spacing w:line="274" w:lineRule="exact" w:before="0"/>
      </w:pPr>
      <w:r>
        <w:rPr>
          <w:spacing w:val="-3"/>
          <w:w w:val="100"/>
        </w:rPr>
        <w:t>完全切除不受此时间限制</w:t>
      </w:r>
      <w:r>
        <w:rPr>
          <w:spacing w:val="-108"/>
          <w:w w:val="100"/>
        </w:rPr>
        <w:t>）</w:t>
      </w:r>
      <w:r>
        <w:rPr>
          <w:spacing w:val="-3"/>
          <w:w w:val="100"/>
        </w:rPr>
        <w:t>，仍无法通过现有医疗手段恢复。  </w:t>
      </w:r>
    </w:p>
    <w:p>
      <w:pPr>
        <w:pStyle w:val="BodyText"/>
        <w:spacing w:line="307" w:lineRule="auto" w:before="73"/>
        <w:ind w:right="2320"/>
      </w:pPr>
      <w:r>
        <w:rPr>
          <w:spacing w:val="-3"/>
        </w:rPr>
        <w:t>精神心理因素所致的语言能力丧失不在保障范围内。 二十四、重型再生障碍性贫血  </w:t>
      </w:r>
    </w:p>
    <w:p>
      <w:pPr>
        <w:pStyle w:val="BodyText"/>
        <w:spacing w:before="16"/>
        <w:ind w:right="100"/>
      </w:pPr>
      <w:r>
        <w:rPr>
          <w:spacing w:val="-8"/>
        </w:rPr>
        <w:t>指因骨髓造血功能慢性持续性衰竭导致的贫血、中性粒细胞减少及血小板减少。</w:t>
      </w:r>
      <w:r>
        <w:rPr>
          <w:spacing w:val="-5"/>
        </w:rPr>
        <w:t>须满足下列全部条件：</w:t>
      </w:r>
      <w:r>
        <w:rPr>
          <w:spacing w:val="-3"/>
        </w:rPr>
        <w:t>  </w:t>
      </w:r>
    </w:p>
    <w:p>
      <w:pPr>
        <w:pStyle w:val="BodyText"/>
      </w:pPr>
      <w:r>
        <w:rPr/>
        <w:t>（1）骨髓穿刺检查或骨髓活检结果支持诊断；  </w:t>
      </w:r>
    </w:p>
    <w:p>
      <w:pPr>
        <w:pStyle w:val="BodyText"/>
      </w:pPr>
      <w:r>
        <w:rPr/>
        <w:t>（2）外周血象须具备以下三项条件：  </w:t>
      </w:r>
    </w:p>
    <w:p>
      <w:pPr>
        <w:pStyle w:val="BodyText"/>
        <w:ind w:left="2863"/>
      </w:pPr>
      <w:r>
        <w:rPr/>
        <w:t>① 中性粒细胞绝对值≤0.5×109/L ；  </w:t>
      </w:r>
    </w:p>
    <w:p>
      <w:pPr>
        <w:pStyle w:val="BodyText"/>
        <w:ind w:left="2863"/>
      </w:pPr>
      <w:r>
        <w:rPr/>
        <w:t>② 网织红细胞＜1%；  </w:t>
      </w:r>
    </w:p>
    <w:p>
      <w:pPr>
        <w:pStyle w:val="BodyText"/>
        <w:ind w:left="2863"/>
      </w:pPr>
      <w:r>
        <w:rPr/>
        <w:t>③ 血小板绝对值≤20×109/L。  </w:t>
      </w:r>
    </w:p>
    <w:p>
      <w:pPr>
        <w:pStyle w:val="BodyText"/>
      </w:pPr>
      <w:r>
        <w:rPr/>
        <w:t>二十五、主动脉手术  </w:t>
      </w:r>
    </w:p>
    <w:p>
      <w:pPr>
        <w:pStyle w:val="BodyText"/>
        <w:spacing w:line="237" w:lineRule="auto" w:before="78"/>
        <w:ind w:right="208"/>
        <w:jc w:val="both"/>
      </w:pPr>
      <w:r>
        <w:rPr/>
        <w:t>指为治疗主动脉疾病，实际实施了开胸或开腹进行的切除、置换、修补病损主动脉血管的手术。主动脉指胸主动脉和腹主动脉，不包括胸主动脉和腹主动脉的分支血管。  </w:t>
      </w:r>
    </w:p>
    <w:p>
      <w:pPr>
        <w:pStyle w:val="BodyText"/>
      </w:pPr>
      <w:r>
        <w:rPr/>
        <w:t>动脉内血管成形术不在保障范围内。  </w:t>
      </w:r>
    </w:p>
    <w:p>
      <w:pPr>
        <w:pStyle w:val="BodyText"/>
      </w:pPr>
      <w:r>
        <w:rPr/>
        <w:t>二十六、严重多发性硬化症</w:t>
      </w:r>
    </w:p>
    <w:p>
      <w:pPr>
        <w:pStyle w:val="BodyText"/>
        <w:spacing w:line="237" w:lineRule="auto" w:before="78"/>
        <w:ind w:right="215"/>
        <w:jc w:val="both"/>
      </w:pPr>
      <w:r>
        <w:rPr/>
        <w:t>多发性硬化症为中枢神经系统白质多灶性脱髓鞘病变，病变有时累及灰质。多发性硬化症诊断必须明确无疑。本附加险合同仅对多发性硬化症造成神经系统功能损害并且被保险人永久不可逆性的丧失自主生活能力，无法独立完成六项基本日常生活活动中的三项或三项以上的情况予以理赔。</w:t>
      </w:r>
    </w:p>
    <w:p>
      <w:pPr>
        <w:pStyle w:val="BodyText"/>
        <w:spacing w:before="73"/>
      </w:pPr>
      <w:r>
        <w:rPr/>
        <w:t>二十七、脊髓灰质炎</w:t>
      </w:r>
    </w:p>
    <w:p>
      <w:pPr>
        <w:pStyle w:val="BodyText"/>
        <w:spacing w:line="237" w:lineRule="auto" w:before="78"/>
        <w:ind w:right="208"/>
        <w:jc w:val="both"/>
      </w:pPr>
      <w:r>
        <w:rPr/>
        <w:t>脊髓灰质炎是由于脊髓灰质炎病毒感染所致的瘫痪性疾病，临床表现为运动功能损害或呼吸无力。脊髓灰质炎诊断必须明确无疑。本附加险合同仅对脊髓灰质炎造成的神经系统功能损害已导致被保险人永久不可逆性的肢体瘫痪的情况予以理赔。 </w:t>
      </w:r>
    </w:p>
    <w:p>
      <w:pPr>
        <w:pStyle w:val="BodyText"/>
        <w:spacing w:before="72"/>
      </w:pPr>
      <w:r>
        <w:rPr/>
        <w:t>二十八、严重慢性呼吸功能衰竭</w:t>
      </w:r>
    </w:p>
    <w:p>
      <w:pPr>
        <w:pStyle w:val="BodyText"/>
        <w:ind w:right="208"/>
      </w:pPr>
      <w:r>
        <w:rPr/>
        <w:t>被保险人患有慢性呼吸系统疾病或其它导致呼吸功能障碍的慢性疾病而出现永久不可逆性的慢性呼吸衰竭，由专科医生确认并符合以下各项： </w:t>
      </w:r>
    </w:p>
    <w:p>
      <w:pPr>
        <w:pStyle w:val="BodyText"/>
      </w:pPr>
      <w:r>
        <w:rPr/>
        <w:t>（1）休息时出现呼吸困难； </w:t>
      </w:r>
    </w:p>
    <w:p>
      <w:pPr>
        <w:pStyle w:val="BodyText"/>
        <w:spacing w:before="74"/>
      </w:pPr>
      <w:r>
        <w:rPr>
          <w:position w:val="1"/>
        </w:rPr>
        <w:t>（2）动脉氧分压 （PaO</w:t>
      </w:r>
      <w:r>
        <w:rPr>
          <w:sz w:val="11"/>
        </w:rPr>
        <w:t>2</w:t>
      </w:r>
      <w:r>
        <w:rPr>
          <w:position w:val="1"/>
        </w:rPr>
        <w:t>）&lt; 50mmHg； </w:t>
      </w:r>
    </w:p>
    <w:p>
      <w:pPr>
        <w:pStyle w:val="BodyText"/>
      </w:pPr>
      <w:r>
        <w:rPr>
          <w:position w:val="1"/>
        </w:rPr>
        <w:t>（3）动脉血氧饱和度 （SaO</w:t>
      </w:r>
      <w:r>
        <w:rPr>
          <w:sz w:val="11"/>
        </w:rPr>
        <w:t>2</w:t>
      </w:r>
      <w:r>
        <w:rPr>
          <w:position w:val="1"/>
        </w:rPr>
        <w:t>）&lt; 80％； </w:t>
      </w:r>
    </w:p>
    <w:p>
      <w:pPr>
        <w:pStyle w:val="BodyText"/>
        <w:spacing w:before="76"/>
      </w:pPr>
      <w:r>
        <w:rPr/>
        <w:t>（</w:t>
      </w:r>
      <w:r>
        <w:rPr>
          <w:rFonts w:ascii="Times New Roman" w:eastAsia="Times New Roman"/>
        </w:rPr>
        <w:t>4</w:t>
      </w:r>
      <w:r>
        <w:rPr/>
        <w:t>）因缺氧必须接受持续的输氧治疗。 </w:t>
      </w:r>
    </w:p>
    <w:p>
      <w:pPr>
        <w:pStyle w:val="BodyText"/>
        <w:spacing w:before="60"/>
      </w:pPr>
      <w:r>
        <w:rPr/>
        <w:t>二十九、严重类风湿关节炎</w:t>
      </w:r>
    </w:p>
    <w:p>
      <w:pPr>
        <w:pStyle w:val="BodyText"/>
        <w:spacing w:line="235" w:lineRule="auto" w:before="81"/>
        <w:ind w:right="100"/>
      </w:pPr>
      <w:r>
        <w:rPr>
          <w:spacing w:val="-7"/>
        </w:rPr>
        <w:t>严重类风湿关节炎为广泛分布的慢性进行性多关节病变，表现为关节严重变形， </w:t>
      </w:r>
      <w:r>
        <w:rPr>
          <w:spacing w:val="-5"/>
        </w:rPr>
        <w:t>侵犯至少三个主要关节或关节组</w:t>
      </w:r>
      <w:r>
        <w:rPr>
          <w:spacing w:val="-3"/>
        </w:rPr>
        <w:t>（</w:t>
      </w:r>
      <w:r>
        <w:rPr>
          <w:spacing w:val="-1"/>
        </w:rPr>
        <w:t>如：双手</w:t>
      </w:r>
      <w:r>
        <w:rPr/>
        <w:t>（</w:t>
      </w:r>
      <w:r>
        <w:rPr>
          <w:spacing w:val="-2"/>
        </w:rPr>
        <w:t>多手指</w:t>
      </w:r>
      <w:r>
        <w:rPr/>
        <w:t>）</w:t>
      </w:r>
      <w:r>
        <w:rPr>
          <w:spacing w:val="-3"/>
        </w:rPr>
        <w:t>关节、双足</w:t>
      </w:r>
      <w:r>
        <w:rPr/>
        <w:t>（</w:t>
      </w:r>
      <w:r>
        <w:rPr>
          <w:spacing w:val="-3"/>
        </w:rPr>
        <w:t>多足趾</w:t>
      </w:r>
      <w:r>
        <w:rPr/>
        <w:t>） </w:t>
      </w:r>
      <w:r>
        <w:rPr>
          <w:spacing w:val="-8"/>
        </w:rPr>
        <w:t>关节、双腕关节、双膝关节和双髋关节</w:t>
      </w:r>
      <w:r>
        <w:rPr>
          <w:spacing w:val="-106"/>
        </w:rPr>
        <w:t>）</w:t>
      </w:r>
      <w:r>
        <w:rPr>
          <w:spacing w:val="-8"/>
        </w:rPr>
        <w:t>。诊断必须由专科医生确认，被保险人</w:t>
      </w:r>
      <w:r>
        <w:rPr>
          <w:spacing w:val="-3"/>
        </w:rPr>
        <w:t>所患的严重类风湿关节炎必须已经达到类风湿关节炎功能分级 </w:t>
      </w:r>
      <w:r>
        <w:rPr>
          <w:rFonts w:ascii="Times New Roman" w:eastAsia="Times New Roman"/>
        </w:rPr>
        <w:t>III</w:t>
      </w:r>
      <w:r>
        <w:rPr>
          <w:rFonts w:ascii="Times New Roman" w:eastAsia="Times New Roman"/>
          <w:spacing w:val="6"/>
        </w:rPr>
        <w:t> </w:t>
      </w:r>
      <w:r>
        <w:rPr/>
        <w:t>级以上的功能障碍</w:t>
      </w:r>
      <w:r>
        <w:rPr>
          <w:spacing w:val="-3"/>
        </w:rPr>
        <w:t>（严重限制，不能完成大部分的日常工作和活动</w:t>
      </w:r>
      <w:r>
        <w:rPr/>
        <w:t>）</w:t>
      </w:r>
      <w:r>
        <w:rPr>
          <w:spacing w:val="-3"/>
        </w:rPr>
        <w:t>并且符合下列所有条</w:t>
      </w:r>
      <w:r>
        <w:rPr/>
        <w:t>件：</w:t>
      </w:r>
    </w:p>
    <w:p>
      <w:pPr>
        <w:pStyle w:val="BodyText"/>
        <w:spacing w:before="73"/>
      </w:pPr>
      <w:r>
        <w:rPr/>
        <w:t>（</w:t>
      </w:r>
      <w:r>
        <w:rPr>
          <w:rFonts w:ascii="Times New Roman" w:eastAsia="Times New Roman"/>
        </w:rPr>
        <w:t>1</w:t>
      </w:r>
      <w:r>
        <w:rPr/>
        <w:t>）晨僵；</w:t>
      </w:r>
    </w:p>
    <w:p>
      <w:pPr>
        <w:pStyle w:val="BodyText"/>
        <w:spacing w:before="59"/>
      </w:pPr>
      <w:r>
        <w:rPr/>
        <w:t>（</w:t>
      </w:r>
      <w:r>
        <w:rPr>
          <w:rFonts w:ascii="Times New Roman" w:eastAsia="Times New Roman"/>
        </w:rPr>
        <w:t>2</w:t>
      </w:r>
      <w:r>
        <w:rPr/>
        <w:t>）对称性关节炎；</w:t>
      </w:r>
    </w:p>
    <w:p>
      <w:pPr>
        <w:pStyle w:val="BodyText"/>
        <w:spacing w:before="59"/>
      </w:pPr>
      <w:r>
        <w:rPr/>
        <w:t>（</w:t>
      </w:r>
      <w:r>
        <w:rPr>
          <w:rFonts w:ascii="Times New Roman" w:eastAsia="Times New Roman"/>
        </w:rPr>
        <w:t>3</w:t>
      </w:r>
      <w:r>
        <w:rPr/>
        <w:t>）类风湿性皮下结节；</w:t>
      </w:r>
    </w:p>
    <w:p>
      <w:pPr>
        <w:spacing w:after="0"/>
        <w:sectPr>
          <w:pgSz w:w="11900" w:h="16840"/>
          <w:pgMar w:header="0" w:footer="724" w:top="1460" w:bottom="920" w:left="1680" w:right="520"/>
        </w:sectPr>
      </w:pPr>
    </w:p>
    <w:p>
      <w:pPr>
        <w:pStyle w:val="BodyText"/>
        <w:spacing w:before="24"/>
        <w:jc w:val="both"/>
      </w:pPr>
      <w:r>
        <w:rPr/>
        <w:t>（</w:t>
      </w:r>
      <w:r>
        <w:rPr>
          <w:rFonts w:ascii="Times New Roman" w:eastAsia="Times New Roman"/>
        </w:rPr>
        <w:t>4</w:t>
      </w:r>
      <w:r>
        <w:rPr/>
        <w:t>）类风湿因子滴度升高；</w:t>
      </w:r>
    </w:p>
    <w:p>
      <w:pPr>
        <w:pStyle w:val="BodyText"/>
        <w:spacing w:before="59"/>
        <w:jc w:val="both"/>
      </w:pPr>
      <w:r>
        <w:rPr/>
        <w:t>（</w:t>
      </w:r>
      <w:r>
        <w:rPr>
          <w:rFonts w:ascii="Times New Roman" w:eastAsia="Times New Roman"/>
        </w:rPr>
        <w:t>5</w:t>
      </w:r>
      <w:r>
        <w:rPr/>
        <w:t>）X 线显示严重的关节（软骨和骨）破坏和关节畸形。</w:t>
      </w:r>
    </w:p>
    <w:p>
      <w:pPr>
        <w:pStyle w:val="BodyText"/>
        <w:spacing w:before="59"/>
        <w:jc w:val="both"/>
      </w:pPr>
      <w:r>
        <w:rPr/>
        <w:t>三十、严重系统性红斑狼疮</w:t>
      </w:r>
    </w:p>
    <w:p>
      <w:pPr>
        <w:pStyle w:val="BodyText"/>
        <w:spacing w:line="274" w:lineRule="exact"/>
        <w:ind w:left="2246"/>
        <w:jc w:val="both"/>
      </w:pPr>
      <w:r>
        <w:rPr/>
        <w:t>系统性红斑狼疮是由多种因素引起，累及多系统的自身免疫性疾病。其特点是</w:t>
      </w:r>
    </w:p>
    <w:p>
      <w:pPr>
        <w:pStyle w:val="BodyText"/>
        <w:spacing w:line="274" w:lineRule="exact" w:before="0"/>
        <w:ind w:left="2246"/>
        <w:jc w:val="both"/>
      </w:pPr>
      <w:r>
        <w:rPr/>
        <w:t>生成自身抗体对抗多种自身抗原。多见于育龄妇女。 </w:t>
      </w:r>
    </w:p>
    <w:p>
      <w:pPr>
        <w:pStyle w:val="BodyText"/>
        <w:spacing w:before="73"/>
        <w:ind w:left="2246" w:right="206"/>
        <w:jc w:val="both"/>
      </w:pPr>
      <w:r>
        <w:rPr>
          <w:spacing w:val="-3"/>
        </w:rPr>
        <w:t>本附加险合同所指的系统性红斑狼疮仅限于累及肾脏</w:t>
      </w:r>
      <w:r>
        <w:rPr/>
        <w:t>（</w:t>
      </w:r>
      <w:r>
        <w:rPr>
          <w:spacing w:val="-3"/>
        </w:rPr>
        <w:t>经肾脏活检确认的，符</w:t>
      </w:r>
      <w:r>
        <w:rPr>
          <w:spacing w:val="-25"/>
        </w:rPr>
        <w:t>合 </w:t>
      </w:r>
      <w:r>
        <w:rPr/>
        <w:t>WHO</w:t>
      </w:r>
      <w:r>
        <w:rPr>
          <w:spacing w:val="-15"/>
        </w:rPr>
        <w:t> 诊断标准定义 </w:t>
      </w:r>
      <w:r>
        <w:rPr/>
        <w:t>III</w:t>
      </w:r>
      <w:r>
        <w:rPr>
          <w:spacing w:val="-25"/>
        </w:rPr>
        <w:t> 型至 </w:t>
      </w:r>
      <w:r>
        <w:rPr/>
        <w:t>V</w:t>
      </w:r>
      <w:r>
        <w:rPr>
          <w:spacing w:val="-9"/>
        </w:rPr>
        <w:t> 型狼疮性肾炎</w:t>
      </w:r>
      <w:r>
        <w:rPr/>
        <w:t>）</w:t>
      </w:r>
      <w:r>
        <w:rPr>
          <w:spacing w:val="-3"/>
        </w:rPr>
        <w:t>的系统性红斑狼疮。其他类型的红斑性狼疮，如盘状狼疮、仅累及血液及关节的狼疮不在保障范围内。</w:t>
      </w:r>
      <w:r>
        <w:rPr/>
        <w:t> </w:t>
      </w:r>
    </w:p>
    <w:p>
      <w:pPr>
        <w:pStyle w:val="BodyText"/>
        <w:spacing w:before="72"/>
        <w:ind w:left="2246"/>
        <w:jc w:val="both"/>
      </w:pPr>
      <w:r>
        <w:rPr/>
        <w:t>世界卫生组织（WHO）狼疮性肾炎分型：</w:t>
      </w:r>
    </w:p>
    <w:p>
      <w:pPr>
        <w:pStyle w:val="BodyText"/>
        <w:spacing w:before="11"/>
        <w:ind w:left="0"/>
        <w:rPr>
          <w:sz w:val="26"/>
        </w:rPr>
      </w:pPr>
    </w:p>
    <w:tbl>
      <w:tblPr>
        <w:tblW w:w="0" w:type="auto"/>
        <w:jc w:val="left"/>
        <w:tblInd w:w="2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8"/>
        <w:gridCol w:w="4368"/>
      </w:tblGrid>
      <w:tr>
        <w:trPr>
          <w:trHeight w:val="352" w:hRule="atLeast"/>
        </w:trPr>
        <w:tc>
          <w:tcPr>
            <w:tcW w:w="2698" w:type="dxa"/>
          </w:tcPr>
          <w:p>
            <w:pPr>
              <w:pStyle w:val="TableParagraph"/>
              <w:spacing w:before="45"/>
              <w:ind w:left="107"/>
              <w:rPr>
                <w:sz w:val="21"/>
              </w:rPr>
            </w:pPr>
            <w:r>
              <w:rPr>
                <w:sz w:val="21"/>
              </w:rPr>
              <w:t>I 型（微小病变型）</w:t>
            </w:r>
          </w:p>
        </w:tc>
        <w:tc>
          <w:tcPr>
            <w:tcW w:w="4368" w:type="dxa"/>
          </w:tcPr>
          <w:p>
            <w:pPr>
              <w:pStyle w:val="TableParagraph"/>
              <w:spacing w:before="45"/>
              <w:ind w:left="88"/>
              <w:rPr>
                <w:sz w:val="21"/>
              </w:rPr>
            </w:pPr>
            <w:r>
              <w:rPr>
                <w:sz w:val="21"/>
              </w:rPr>
              <w:t>镜下阴性，尿液正常 </w:t>
            </w:r>
          </w:p>
        </w:tc>
      </w:tr>
      <w:tr>
        <w:trPr>
          <w:trHeight w:val="350" w:hRule="atLeast"/>
        </w:trPr>
        <w:tc>
          <w:tcPr>
            <w:tcW w:w="2698" w:type="dxa"/>
          </w:tcPr>
          <w:p>
            <w:pPr>
              <w:pStyle w:val="TableParagraph"/>
              <w:spacing w:before="42"/>
              <w:ind w:left="107"/>
              <w:rPr>
                <w:sz w:val="21"/>
              </w:rPr>
            </w:pPr>
            <w:r>
              <w:rPr>
                <w:sz w:val="21"/>
              </w:rPr>
              <w:t>II 型（系膜病变型） </w:t>
            </w:r>
          </w:p>
        </w:tc>
        <w:tc>
          <w:tcPr>
            <w:tcW w:w="4368" w:type="dxa"/>
          </w:tcPr>
          <w:p>
            <w:pPr>
              <w:pStyle w:val="TableParagraph"/>
              <w:spacing w:before="42"/>
              <w:ind w:left="88"/>
              <w:rPr>
                <w:sz w:val="21"/>
              </w:rPr>
            </w:pPr>
            <w:r>
              <w:rPr>
                <w:sz w:val="21"/>
              </w:rPr>
              <w:t>中度蛋白尿，偶有尿沉渣改变 </w:t>
            </w:r>
          </w:p>
        </w:tc>
      </w:tr>
      <w:tr>
        <w:trPr>
          <w:trHeight w:val="350" w:hRule="atLeast"/>
        </w:trPr>
        <w:tc>
          <w:tcPr>
            <w:tcW w:w="2698" w:type="dxa"/>
          </w:tcPr>
          <w:p>
            <w:pPr>
              <w:pStyle w:val="TableParagraph"/>
              <w:spacing w:before="42"/>
              <w:ind w:left="107" w:right="-15"/>
              <w:rPr>
                <w:sz w:val="21"/>
              </w:rPr>
            </w:pPr>
            <w:r>
              <w:rPr>
                <w:sz w:val="21"/>
              </w:rPr>
              <w:t>III</w:t>
            </w:r>
            <w:r>
              <w:rPr>
                <w:spacing w:val="-66"/>
                <w:sz w:val="21"/>
              </w:rPr>
              <w:t> 型</w:t>
            </w:r>
            <w:r>
              <w:rPr>
                <w:sz w:val="21"/>
              </w:rPr>
              <w:t>（</w:t>
            </w:r>
            <w:r>
              <w:rPr>
                <w:spacing w:val="-3"/>
                <w:sz w:val="21"/>
              </w:rPr>
              <w:t>局灶及节段增生型</w:t>
            </w:r>
            <w:r>
              <w:rPr>
                <w:spacing w:val="-106"/>
                <w:sz w:val="21"/>
              </w:rPr>
              <w:t>）</w:t>
            </w:r>
            <w:r>
              <w:rPr>
                <w:sz w:val="21"/>
              </w:rPr>
              <w:t> </w:t>
            </w:r>
          </w:p>
        </w:tc>
        <w:tc>
          <w:tcPr>
            <w:tcW w:w="4368" w:type="dxa"/>
          </w:tcPr>
          <w:p>
            <w:pPr>
              <w:pStyle w:val="TableParagraph"/>
              <w:spacing w:before="42"/>
              <w:ind w:left="88"/>
              <w:rPr>
                <w:sz w:val="21"/>
              </w:rPr>
            </w:pPr>
            <w:r>
              <w:rPr>
                <w:sz w:val="21"/>
              </w:rPr>
              <w:t>蛋白尿，尿沉渣改变 </w:t>
            </w:r>
          </w:p>
        </w:tc>
      </w:tr>
      <w:tr>
        <w:trPr>
          <w:trHeight w:val="350" w:hRule="atLeast"/>
        </w:trPr>
        <w:tc>
          <w:tcPr>
            <w:tcW w:w="2698" w:type="dxa"/>
          </w:tcPr>
          <w:p>
            <w:pPr>
              <w:pStyle w:val="TableParagraph"/>
              <w:spacing w:before="42"/>
              <w:ind w:left="107"/>
              <w:rPr>
                <w:sz w:val="21"/>
              </w:rPr>
            </w:pPr>
            <w:r>
              <w:rPr>
                <w:sz w:val="21"/>
              </w:rPr>
              <w:t>IV 型（弥漫增生型） </w:t>
            </w:r>
          </w:p>
        </w:tc>
        <w:tc>
          <w:tcPr>
            <w:tcW w:w="4368" w:type="dxa"/>
          </w:tcPr>
          <w:p>
            <w:pPr>
              <w:pStyle w:val="TableParagraph"/>
              <w:spacing w:before="42"/>
              <w:ind w:left="88"/>
              <w:rPr>
                <w:sz w:val="21"/>
              </w:rPr>
            </w:pPr>
            <w:r>
              <w:rPr>
                <w:sz w:val="21"/>
              </w:rPr>
              <w:t>急性肾炎伴有尿沉渣改变及／或肾病综合征 </w:t>
            </w:r>
          </w:p>
        </w:tc>
      </w:tr>
      <w:tr>
        <w:trPr>
          <w:trHeight w:val="297" w:hRule="atLeast"/>
        </w:trPr>
        <w:tc>
          <w:tcPr>
            <w:tcW w:w="2698" w:type="dxa"/>
          </w:tcPr>
          <w:p>
            <w:pPr>
              <w:pStyle w:val="TableParagraph"/>
              <w:spacing w:line="235" w:lineRule="exact" w:before="42"/>
              <w:ind w:left="107"/>
              <w:rPr>
                <w:sz w:val="21"/>
              </w:rPr>
            </w:pPr>
            <w:r>
              <w:rPr>
                <w:sz w:val="21"/>
              </w:rPr>
              <w:t>V 型（膜型） </w:t>
            </w:r>
          </w:p>
        </w:tc>
        <w:tc>
          <w:tcPr>
            <w:tcW w:w="4368" w:type="dxa"/>
          </w:tcPr>
          <w:p>
            <w:pPr>
              <w:pStyle w:val="TableParagraph"/>
              <w:spacing w:line="235" w:lineRule="exact" w:before="42"/>
              <w:ind w:left="104"/>
              <w:rPr>
                <w:sz w:val="21"/>
              </w:rPr>
            </w:pPr>
            <w:r>
              <w:rPr>
                <w:sz w:val="21"/>
              </w:rPr>
              <w:t>肾病综合征或重度蛋白尿 </w:t>
            </w:r>
          </w:p>
        </w:tc>
      </w:tr>
    </w:tbl>
    <w:p>
      <w:pPr>
        <w:pStyle w:val="BodyText"/>
        <w:spacing w:before="8"/>
        <w:ind w:left="0"/>
        <w:rPr>
          <w:sz w:val="27"/>
        </w:rPr>
      </w:pPr>
    </w:p>
    <w:p>
      <w:pPr>
        <w:pStyle w:val="BodyText"/>
        <w:spacing w:before="0"/>
        <w:jc w:val="both"/>
      </w:pPr>
      <w:r>
        <w:rPr/>
        <w:t>三十一、经输血导致的人类免疫缺陷病毒感染</w:t>
      </w:r>
    </w:p>
    <w:p>
      <w:pPr>
        <w:pStyle w:val="BodyText"/>
        <w:jc w:val="both"/>
      </w:pPr>
      <w:r>
        <w:rPr/>
        <w:t>被保险人感染上人类免疫缺陷病毒（HIV）并且符合下列所有条件： </w:t>
      </w:r>
    </w:p>
    <w:p>
      <w:pPr>
        <w:pStyle w:val="BodyText"/>
        <w:jc w:val="both"/>
      </w:pPr>
      <w:r>
        <w:rPr/>
        <w:t>（1）本附加险合同生效日或最后复效日后，被保险人因输血而感染 HIV； </w:t>
      </w:r>
    </w:p>
    <w:p>
      <w:pPr>
        <w:pStyle w:val="BodyText"/>
        <w:spacing w:line="274" w:lineRule="exact"/>
        <w:jc w:val="both"/>
      </w:pPr>
      <w:r>
        <w:rPr>
          <w:w w:val="100"/>
        </w:rPr>
        <w:t>（2</w:t>
      </w:r>
      <w:r>
        <w:rPr>
          <w:spacing w:val="-94"/>
          <w:w w:val="100"/>
        </w:rPr>
        <w:t>）</w:t>
      </w:r>
      <w:r>
        <w:rPr>
          <w:spacing w:val="-3"/>
          <w:w w:val="100"/>
        </w:rPr>
        <w:t>提供输血治疗的输血中心或医疗机构出具该项输血感染属医疗责任事故的</w:t>
      </w:r>
    </w:p>
    <w:p>
      <w:pPr>
        <w:pStyle w:val="BodyText"/>
        <w:spacing w:line="274" w:lineRule="exact" w:before="0"/>
        <w:jc w:val="both"/>
      </w:pPr>
      <w:r>
        <w:rPr/>
        <w:t>报告，或者法院终审裁定为医疗责任； </w:t>
      </w:r>
    </w:p>
    <w:p>
      <w:pPr>
        <w:pStyle w:val="BodyText"/>
        <w:spacing w:before="73"/>
        <w:jc w:val="both"/>
      </w:pPr>
      <w:r>
        <w:rPr/>
        <w:t>（3）受感染的被保险人不是血友病患者。 </w:t>
      </w:r>
    </w:p>
    <w:p>
      <w:pPr>
        <w:pStyle w:val="BodyText"/>
        <w:spacing w:before="164"/>
        <w:ind w:left="2344"/>
        <w:jc w:val="both"/>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p>
    <w:p>
      <w:pPr>
        <w:pStyle w:val="BodyText"/>
        <w:spacing w:before="71"/>
        <w:ind w:left="2344"/>
        <w:jc w:val="both"/>
      </w:pPr>
      <w:r>
        <w:rPr>
          <w:rFonts w:ascii="Times New Roman" w:eastAsia="Times New Roman"/>
        </w:rPr>
        <w:t>AIDS</w:t>
      </w:r>
      <w:r>
        <w:rPr/>
        <w:t>发生的医疗方法被研究出来以后，本附加险合同将不再予以赔付。</w:t>
      </w:r>
    </w:p>
    <w:p>
      <w:pPr>
        <w:pStyle w:val="BodyText"/>
        <w:spacing w:line="274" w:lineRule="exact" w:before="57"/>
        <w:jc w:val="both"/>
      </w:pPr>
      <w:r>
        <w:rPr/>
        <w:t>任何因其他传播方式（包括：性传播或静脉注射毒品）导致的 HIV 感染不在保</w:t>
      </w:r>
    </w:p>
    <w:p>
      <w:pPr>
        <w:pStyle w:val="BodyText"/>
        <w:spacing w:line="274" w:lineRule="exact" w:before="0"/>
        <w:jc w:val="both"/>
      </w:pPr>
      <w:r>
        <w:rPr/>
        <w:t>障范围内。 </w:t>
      </w:r>
    </w:p>
    <w:p>
      <w:pPr>
        <w:pStyle w:val="BodyText"/>
        <w:spacing w:before="73"/>
        <w:jc w:val="both"/>
      </w:pPr>
      <w:r>
        <w:rPr/>
        <w:t>三十二、Ⅰ型糖尿病</w:t>
      </w:r>
    </w:p>
    <w:p>
      <w:pPr>
        <w:pStyle w:val="BodyText"/>
        <w:spacing w:line="237" w:lineRule="auto" w:before="78"/>
        <w:ind w:right="108"/>
        <w:jc w:val="both"/>
      </w:pPr>
      <w:r>
        <w:rPr/>
        <w:t>胰岛素依赖型糖尿病是由于胰岛素分泌不足引起的慢性血糖升高，并需持续性地依赖外源性胰岛素维持一百八十天以上，须由专科医生确诊并满足下述至少一个条件： </w:t>
      </w:r>
    </w:p>
    <w:p>
      <w:pPr>
        <w:pStyle w:val="BodyText"/>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jc w:val="both"/>
      </w:pPr>
      <w:r>
        <w:rPr/>
        <w:t>三十三、克隆病</w:t>
      </w:r>
    </w:p>
    <w:p>
      <w:pPr>
        <w:pStyle w:val="BodyText"/>
        <w:spacing w:line="237" w:lineRule="auto" w:before="78"/>
        <w:ind w:right="115"/>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jc w:val="both"/>
      </w:pPr>
      <w:r>
        <w:rPr/>
        <w:t>三十四、植物人状态</w:t>
      </w:r>
    </w:p>
    <w:p>
      <w:pPr>
        <w:pStyle w:val="BodyText"/>
        <w:spacing w:line="237" w:lineRule="auto" w:before="77"/>
        <w:ind w:right="108"/>
        <w:jc w:val="both"/>
      </w:pPr>
      <w:r>
        <w:rPr/>
        <w:t>本附加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jc w:val="both"/>
      </w:pPr>
      <w:r>
        <w:rPr/>
        <w:t>Glasgow 头部创伤昏迷评分表： </w:t>
      </w:r>
    </w:p>
    <w:p>
      <w:pPr>
        <w:spacing w:after="0"/>
        <w:jc w:val="both"/>
        <w:sectPr>
          <w:pgSz w:w="11900" w:h="16840"/>
          <w:pgMar w:header="0" w:footer="724" w:top="1460" w:bottom="920" w:left="1680" w:right="620"/>
        </w:sectPr>
      </w:pPr>
    </w:p>
    <w:tbl>
      <w:tblPr>
        <w:tblW w:w="0" w:type="auto"/>
        <w:jc w:val="left"/>
        <w:tblInd w:w="3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350" w:hRule="atLeast"/>
        </w:trPr>
        <w:tc>
          <w:tcPr>
            <w:tcW w:w="1790" w:type="dxa"/>
            <w:gridSpan w:val="2"/>
          </w:tcPr>
          <w:p>
            <w:pPr>
              <w:pStyle w:val="TableParagraph"/>
              <w:spacing w:before="42"/>
              <w:ind w:left="211"/>
              <w:rPr>
                <w:sz w:val="21"/>
              </w:rPr>
            </w:pPr>
            <w:r>
              <w:rPr>
                <w:sz w:val="21"/>
              </w:rPr>
              <w:t>睁眼活动（E） </w:t>
            </w:r>
          </w:p>
        </w:tc>
        <w:tc>
          <w:tcPr>
            <w:tcW w:w="2340" w:type="dxa"/>
            <w:gridSpan w:val="2"/>
          </w:tcPr>
          <w:p>
            <w:pPr>
              <w:pStyle w:val="TableParagraph"/>
              <w:spacing w:before="42"/>
              <w:ind w:left="485"/>
              <w:rPr>
                <w:sz w:val="21"/>
              </w:rPr>
            </w:pPr>
            <w:r>
              <w:rPr>
                <w:sz w:val="21"/>
              </w:rPr>
              <w:t>运动功能（M） </w:t>
            </w:r>
          </w:p>
        </w:tc>
        <w:tc>
          <w:tcPr>
            <w:tcW w:w="1536" w:type="dxa"/>
            <w:gridSpan w:val="2"/>
          </w:tcPr>
          <w:p>
            <w:pPr>
              <w:pStyle w:val="TableParagraph"/>
              <w:spacing w:before="42"/>
              <w:ind w:left="108" w:right="-15"/>
              <w:rPr>
                <w:sz w:val="21"/>
              </w:rPr>
            </w:pPr>
            <w:r>
              <w:rPr>
                <w:spacing w:val="-1"/>
                <w:sz w:val="21"/>
              </w:rPr>
              <w:t>语言功能</w:t>
            </w:r>
            <w:r>
              <w:rPr>
                <w:spacing w:val="-18"/>
                <w:sz w:val="21"/>
              </w:rPr>
              <w:t>（V）</w:t>
            </w:r>
            <w:r>
              <w:rPr>
                <w:sz w:val="21"/>
              </w:rPr>
              <w:t> </w:t>
            </w:r>
          </w:p>
        </w:tc>
      </w:tr>
      <w:tr>
        <w:trPr>
          <w:trHeight w:val="387" w:hRule="atLeast"/>
        </w:trPr>
        <w:tc>
          <w:tcPr>
            <w:tcW w:w="1459" w:type="dxa"/>
            <w:tcBorders>
              <w:bottom w:val="nil"/>
            </w:tcBorders>
          </w:tcPr>
          <w:p>
            <w:pPr>
              <w:pStyle w:val="TableParagraph"/>
              <w:spacing w:before="42"/>
              <w:ind w:left="107"/>
              <w:rPr>
                <w:sz w:val="21"/>
              </w:rPr>
            </w:pPr>
            <w:r>
              <w:rPr>
                <w:sz w:val="21"/>
              </w:rPr>
              <w:t>自动睁眼 </w:t>
            </w:r>
          </w:p>
        </w:tc>
        <w:tc>
          <w:tcPr>
            <w:tcW w:w="331" w:type="dxa"/>
            <w:tcBorders>
              <w:bottom w:val="nil"/>
            </w:tcBorders>
          </w:tcPr>
          <w:p>
            <w:pPr>
              <w:pStyle w:val="TableParagraph"/>
              <w:spacing w:before="42"/>
              <w:ind w:right="2"/>
              <w:jc w:val="right"/>
              <w:rPr>
                <w:sz w:val="21"/>
              </w:rPr>
            </w:pPr>
            <w:r>
              <w:rPr>
                <w:sz w:val="21"/>
              </w:rPr>
              <w:t>4 </w:t>
            </w:r>
          </w:p>
        </w:tc>
        <w:tc>
          <w:tcPr>
            <w:tcW w:w="1939" w:type="dxa"/>
            <w:tcBorders>
              <w:bottom w:val="nil"/>
            </w:tcBorders>
          </w:tcPr>
          <w:p>
            <w:pPr>
              <w:pStyle w:val="TableParagraph"/>
              <w:spacing w:before="42"/>
              <w:ind w:left="105"/>
              <w:rPr>
                <w:sz w:val="21"/>
              </w:rPr>
            </w:pPr>
            <w:r>
              <w:rPr>
                <w:sz w:val="21"/>
              </w:rPr>
              <w:t>能听从指令活动 </w:t>
            </w:r>
          </w:p>
        </w:tc>
        <w:tc>
          <w:tcPr>
            <w:tcW w:w="401" w:type="dxa"/>
            <w:tcBorders>
              <w:bottom w:val="nil"/>
            </w:tcBorders>
          </w:tcPr>
          <w:p>
            <w:pPr>
              <w:pStyle w:val="TableParagraph"/>
              <w:spacing w:before="42"/>
              <w:ind w:left="141" w:right="104"/>
              <w:jc w:val="center"/>
              <w:rPr>
                <w:sz w:val="21"/>
              </w:rPr>
            </w:pPr>
            <w:r>
              <w:rPr>
                <w:sz w:val="21"/>
              </w:rPr>
              <w:t>6 </w:t>
            </w:r>
          </w:p>
        </w:tc>
        <w:tc>
          <w:tcPr>
            <w:tcW w:w="1080" w:type="dxa"/>
            <w:tcBorders>
              <w:bottom w:val="nil"/>
            </w:tcBorders>
          </w:tcPr>
          <w:p>
            <w:pPr>
              <w:pStyle w:val="TableParagraph"/>
              <w:spacing w:before="42"/>
              <w:ind w:left="108"/>
              <w:rPr>
                <w:sz w:val="21"/>
              </w:rPr>
            </w:pPr>
            <w:r>
              <w:rPr>
                <w:sz w:val="21"/>
              </w:rPr>
              <w:t>语言切题 </w:t>
            </w:r>
          </w:p>
        </w:tc>
        <w:tc>
          <w:tcPr>
            <w:tcW w:w="456" w:type="dxa"/>
            <w:tcBorders>
              <w:bottom w:val="nil"/>
            </w:tcBorders>
          </w:tcPr>
          <w:p>
            <w:pPr>
              <w:pStyle w:val="TableParagraph"/>
              <w:spacing w:before="42"/>
              <w:ind w:left="142" w:right="158"/>
              <w:jc w:val="center"/>
              <w:rPr>
                <w:sz w:val="21"/>
              </w:rPr>
            </w:pPr>
            <w:r>
              <w:rPr>
                <w:sz w:val="21"/>
              </w:rPr>
              <w:t>5 </w:t>
            </w:r>
          </w:p>
        </w:tc>
      </w:tr>
      <w:tr>
        <w:trPr>
          <w:trHeight w:val="350" w:hRule="atLeast"/>
        </w:trPr>
        <w:tc>
          <w:tcPr>
            <w:tcW w:w="1459" w:type="dxa"/>
            <w:tcBorders>
              <w:top w:val="nil"/>
              <w:bottom w:val="nil"/>
            </w:tcBorders>
          </w:tcPr>
          <w:p>
            <w:pPr>
              <w:pStyle w:val="TableParagraph"/>
              <w:spacing w:before="6"/>
              <w:ind w:left="107"/>
              <w:rPr>
                <w:sz w:val="21"/>
              </w:rPr>
            </w:pPr>
            <w:r>
              <w:rPr>
                <w:sz w:val="21"/>
              </w:rPr>
              <w:t>闻声后睁眼 </w:t>
            </w:r>
          </w:p>
        </w:tc>
        <w:tc>
          <w:tcPr>
            <w:tcW w:w="331" w:type="dxa"/>
            <w:tcBorders>
              <w:top w:val="nil"/>
              <w:bottom w:val="nil"/>
            </w:tcBorders>
          </w:tcPr>
          <w:p>
            <w:pPr>
              <w:pStyle w:val="TableParagraph"/>
              <w:spacing w:before="6"/>
              <w:ind w:right="2"/>
              <w:jc w:val="right"/>
              <w:rPr>
                <w:sz w:val="21"/>
              </w:rPr>
            </w:pPr>
            <w:r>
              <w:rPr>
                <w:sz w:val="21"/>
              </w:rPr>
              <w:t>3 </w:t>
            </w:r>
          </w:p>
        </w:tc>
        <w:tc>
          <w:tcPr>
            <w:tcW w:w="1939" w:type="dxa"/>
            <w:tcBorders>
              <w:top w:val="nil"/>
              <w:bottom w:val="nil"/>
            </w:tcBorders>
          </w:tcPr>
          <w:p>
            <w:pPr>
              <w:pStyle w:val="TableParagraph"/>
              <w:spacing w:before="6"/>
              <w:ind w:left="105"/>
              <w:rPr>
                <w:sz w:val="21"/>
              </w:rPr>
            </w:pPr>
            <w:r>
              <w:rPr>
                <w:sz w:val="21"/>
              </w:rPr>
              <w:t>局部痛刺激有反应 </w:t>
            </w:r>
          </w:p>
        </w:tc>
        <w:tc>
          <w:tcPr>
            <w:tcW w:w="401" w:type="dxa"/>
            <w:tcBorders>
              <w:top w:val="nil"/>
              <w:bottom w:val="nil"/>
            </w:tcBorders>
          </w:tcPr>
          <w:p>
            <w:pPr>
              <w:pStyle w:val="TableParagraph"/>
              <w:spacing w:before="6"/>
              <w:ind w:left="141" w:right="104"/>
              <w:jc w:val="center"/>
              <w:rPr>
                <w:sz w:val="21"/>
              </w:rPr>
            </w:pPr>
            <w:r>
              <w:rPr>
                <w:sz w:val="21"/>
              </w:rPr>
              <w:t>5 </w:t>
            </w:r>
          </w:p>
        </w:tc>
        <w:tc>
          <w:tcPr>
            <w:tcW w:w="1080" w:type="dxa"/>
            <w:tcBorders>
              <w:top w:val="nil"/>
              <w:bottom w:val="nil"/>
            </w:tcBorders>
          </w:tcPr>
          <w:p>
            <w:pPr>
              <w:pStyle w:val="TableParagraph"/>
              <w:spacing w:before="6"/>
              <w:ind w:left="108"/>
              <w:rPr>
                <w:sz w:val="21"/>
              </w:rPr>
            </w:pPr>
            <w:r>
              <w:rPr>
                <w:sz w:val="21"/>
              </w:rPr>
              <w:t>语不达意 </w:t>
            </w:r>
          </w:p>
        </w:tc>
        <w:tc>
          <w:tcPr>
            <w:tcW w:w="456" w:type="dxa"/>
            <w:tcBorders>
              <w:top w:val="nil"/>
              <w:bottom w:val="nil"/>
            </w:tcBorders>
          </w:tcPr>
          <w:p>
            <w:pPr>
              <w:pStyle w:val="TableParagraph"/>
              <w:spacing w:before="6"/>
              <w:ind w:left="142" w:right="158"/>
              <w:jc w:val="center"/>
              <w:rPr>
                <w:sz w:val="21"/>
              </w:rPr>
            </w:pPr>
            <w:r>
              <w:rPr>
                <w:sz w:val="21"/>
              </w:rPr>
              <w:t>4 </w:t>
            </w:r>
          </w:p>
        </w:tc>
      </w:tr>
      <w:tr>
        <w:trPr>
          <w:trHeight w:val="350" w:hRule="atLeast"/>
        </w:trPr>
        <w:tc>
          <w:tcPr>
            <w:tcW w:w="1459" w:type="dxa"/>
            <w:tcBorders>
              <w:top w:val="nil"/>
              <w:bottom w:val="nil"/>
            </w:tcBorders>
          </w:tcPr>
          <w:p>
            <w:pPr>
              <w:pStyle w:val="TableParagraph"/>
              <w:spacing w:before="6"/>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before="6"/>
              <w:ind w:right="2"/>
              <w:jc w:val="right"/>
              <w:rPr>
                <w:sz w:val="21"/>
              </w:rPr>
            </w:pPr>
            <w:r>
              <w:rPr>
                <w:sz w:val="21"/>
              </w:rPr>
              <w:t>2 </w:t>
            </w:r>
          </w:p>
        </w:tc>
        <w:tc>
          <w:tcPr>
            <w:tcW w:w="1939" w:type="dxa"/>
            <w:tcBorders>
              <w:top w:val="nil"/>
              <w:bottom w:val="nil"/>
            </w:tcBorders>
          </w:tcPr>
          <w:p>
            <w:pPr>
              <w:pStyle w:val="TableParagraph"/>
              <w:spacing w:before="6"/>
              <w:ind w:left="105"/>
              <w:rPr>
                <w:sz w:val="21"/>
              </w:rPr>
            </w:pPr>
            <w:r>
              <w:rPr>
                <w:sz w:val="21"/>
              </w:rPr>
              <w:t>正常回缩反应 </w:t>
            </w:r>
          </w:p>
        </w:tc>
        <w:tc>
          <w:tcPr>
            <w:tcW w:w="401" w:type="dxa"/>
            <w:tcBorders>
              <w:top w:val="nil"/>
              <w:bottom w:val="nil"/>
            </w:tcBorders>
          </w:tcPr>
          <w:p>
            <w:pPr>
              <w:pStyle w:val="TableParagraph"/>
              <w:spacing w:before="6"/>
              <w:ind w:left="141" w:right="104"/>
              <w:jc w:val="center"/>
              <w:rPr>
                <w:sz w:val="21"/>
              </w:rPr>
            </w:pPr>
            <w:r>
              <w:rPr>
                <w:sz w:val="21"/>
              </w:rPr>
              <w:t>4 </w:t>
            </w:r>
          </w:p>
        </w:tc>
        <w:tc>
          <w:tcPr>
            <w:tcW w:w="1080" w:type="dxa"/>
            <w:tcBorders>
              <w:top w:val="nil"/>
              <w:bottom w:val="nil"/>
            </w:tcBorders>
          </w:tcPr>
          <w:p>
            <w:pPr>
              <w:pStyle w:val="TableParagraph"/>
              <w:spacing w:before="6"/>
              <w:ind w:left="108"/>
              <w:rPr>
                <w:sz w:val="21"/>
              </w:rPr>
            </w:pPr>
            <w:r>
              <w:rPr>
                <w:sz w:val="21"/>
              </w:rPr>
              <w:t>语言错乱 </w:t>
            </w:r>
          </w:p>
        </w:tc>
        <w:tc>
          <w:tcPr>
            <w:tcW w:w="456" w:type="dxa"/>
            <w:tcBorders>
              <w:top w:val="nil"/>
              <w:bottom w:val="nil"/>
            </w:tcBorders>
          </w:tcPr>
          <w:p>
            <w:pPr>
              <w:pStyle w:val="TableParagraph"/>
              <w:spacing w:before="6"/>
              <w:ind w:left="142" w:right="158"/>
              <w:jc w:val="center"/>
              <w:rPr>
                <w:sz w:val="21"/>
              </w:rPr>
            </w:pPr>
            <w:r>
              <w:rPr>
                <w:sz w:val="21"/>
              </w:rPr>
              <w:t>3 </w:t>
            </w:r>
          </w:p>
        </w:tc>
      </w:tr>
      <w:tr>
        <w:trPr>
          <w:trHeight w:val="350" w:hRule="atLeast"/>
        </w:trPr>
        <w:tc>
          <w:tcPr>
            <w:tcW w:w="1459" w:type="dxa"/>
            <w:tcBorders>
              <w:top w:val="nil"/>
              <w:bottom w:val="nil"/>
            </w:tcBorders>
          </w:tcPr>
          <w:p>
            <w:pPr>
              <w:pStyle w:val="TableParagraph"/>
              <w:spacing w:before="6"/>
              <w:ind w:left="107"/>
              <w:rPr>
                <w:sz w:val="21"/>
              </w:rPr>
            </w:pPr>
            <w:r>
              <w:rPr>
                <w:sz w:val="21"/>
              </w:rPr>
              <w:t>从不睁眼 </w:t>
            </w:r>
          </w:p>
        </w:tc>
        <w:tc>
          <w:tcPr>
            <w:tcW w:w="331" w:type="dxa"/>
            <w:tcBorders>
              <w:top w:val="nil"/>
              <w:bottom w:val="nil"/>
            </w:tcBorders>
          </w:tcPr>
          <w:p>
            <w:pPr>
              <w:pStyle w:val="TableParagraph"/>
              <w:spacing w:before="6"/>
              <w:ind w:right="2"/>
              <w:jc w:val="right"/>
              <w:rPr>
                <w:sz w:val="21"/>
              </w:rPr>
            </w:pPr>
            <w:r>
              <w:rPr>
                <w:sz w:val="21"/>
              </w:rPr>
              <w:t>1 </w:t>
            </w:r>
          </w:p>
        </w:tc>
        <w:tc>
          <w:tcPr>
            <w:tcW w:w="1939" w:type="dxa"/>
            <w:tcBorders>
              <w:top w:val="nil"/>
              <w:bottom w:val="nil"/>
            </w:tcBorders>
          </w:tcPr>
          <w:p>
            <w:pPr>
              <w:pStyle w:val="TableParagraph"/>
              <w:spacing w:before="6"/>
              <w:ind w:left="105"/>
              <w:rPr>
                <w:sz w:val="21"/>
              </w:rPr>
            </w:pPr>
            <w:r>
              <w:rPr>
                <w:sz w:val="21"/>
              </w:rPr>
              <w:t>屈曲性姿势 </w:t>
            </w:r>
          </w:p>
        </w:tc>
        <w:tc>
          <w:tcPr>
            <w:tcW w:w="401" w:type="dxa"/>
            <w:tcBorders>
              <w:top w:val="nil"/>
              <w:bottom w:val="nil"/>
            </w:tcBorders>
          </w:tcPr>
          <w:p>
            <w:pPr>
              <w:pStyle w:val="TableParagraph"/>
              <w:spacing w:before="6"/>
              <w:ind w:left="141" w:right="104"/>
              <w:jc w:val="center"/>
              <w:rPr>
                <w:sz w:val="21"/>
              </w:rPr>
            </w:pPr>
            <w:r>
              <w:rPr>
                <w:sz w:val="21"/>
              </w:rPr>
              <w:t>3 </w:t>
            </w:r>
          </w:p>
        </w:tc>
        <w:tc>
          <w:tcPr>
            <w:tcW w:w="1080" w:type="dxa"/>
            <w:tcBorders>
              <w:top w:val="nil"/>
              <w:bottom w:val="nil"/>
            </w:tcBorders>
          </w:tcPr>
          <w:p>
            <w:pPr>
              <w:pStyle w:val="TableParagraph"/>
              <w:spacing w:before="6"/>
              <w:ind w:left="108"/>
              <w:rPr>
                <w:sz w:val="21"/>
              </w:rPr>
            </w:pPr>
            <w:r>
              <w:rPr>
                <w:sz w:val="21"/>
              </w:rPr>
              <w:t>糊涂发音 </w:t>
            </w:r>
          </w:p>
        </w:tc>
        <w:tc>
          <w:tcPr>
            <w:tcW w:w="456" w:type="dxa"/>
            <w:tcBorders>
              <w:top w:val="nil"/>
              <w:bottom w:val="nil"/>
            </w:tcBorders>
          </w:tcPr>
          <w:p>
            <w:pPr>
              <w:pStyle w:val="TableParagraph"/>
              <w:spacing w:before="6"/>
              <w:ind w:left="142" w:right="158"/>
              <w:jc w:val="center"/>
              <w:rPr>
                <w:sz w:val="21"/>
              </w:rPr>
            </w:pPr>
            <w:r>
              <w:rPr>
                <w:sz w:val="21"/>
              </w:rPr>
              <w:t>2 </w:t>
            </w:r>
          </w:p>
        </w:tc>
      </w:tr>
      <w:tr>
        <w:trPr>
          <w:trHeight w:val="350" w:hRule="atLeast"/>
        </w:trPr>
        <w:tc>
          <w:tcPr>
            <w:tcW w:w="1459"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39" w:type="dxa"/>
            <w:tcBorders>
              <w:top w:val="nil"/>
              <w:bottom w:val="nil"/>
            </w:tcBorders>
          </w:tcPr>
          <w:p>
            <w:pPr>
              <w:pStyle w:val="TableParagraph"/>
              <w:spacing w:before="6"/>
              <w:ind w:left="105"/>
              <w:rPr>
                <w:sz w:val="21"/>
              </w:rPr>
            </w:pPr>
            <w:r>
              <w:rPr>
                <w:sz w:val="21"/>
              </w:rPr>
              <w:t>伸直性姿势 </w:t>
            </w:r>
          </w:p>
        </w:tc>
        <w:tc>
          <w:tcPr>
            <w:tcW w:w="401" w:type="dxa"/>
            <w:tcBorders>
              <w:top w:val="nil"/>
              <w:bottom w:val="nil"/>
            </w:tcBorders>
          </w:tcPr>
          <w:p>
            <w:pPr>
              <w:pStyle w:val="TableParagraph"/>
              <w:spacing w:before="6"/>
              <w:ind w:left="141" w:right="104"/>
              <w:jc w:val="center"/>
              <w:rPr>
                <w:sz w:val="21"/>
              </w:rPr>
            </w:pPr>
            <w:r>
              <w:rPr>
                <w:sz w:val="21"/>
              </w:rPr>
              <w:t>2 </w:t>
            </w:r>
          </w:p>
        </w:tc>
        <w:tc>
          <w:tcPr>
            <w:tcW w:w="1080" w:type="dxa"/>
            <w:tcBorders>
              <w:top w:val="nil"/>
              <w:bottom w:val="nil"/>
            </w:tcBorders>
          </w:tcPr>
          <w:p>
            <w:pPr>
              <w:pStyle w:val="TableParagraph"/>
              <w:spacing w:before="6"/>
              <w:ind w:left="108"/>
              <w:rPr>
                <w:sz w:val="21"/>
              </w:rPr>
            </w:pPr>
            <w:r>
              <w:rPr>
                <w:sz w:val="21"/>
              </w:rPr>
              <w:t>无语言 </w:t>
            </w:r>
          </w:p>
        </w:tc>
        <w:tc>
          <w:tcPr>
            <w:tcW w:w="456" w:type="dxa"/>
            <w:tcBorders>
              <w:top w:val="nil"/>
              <w:bottom w:val="nil"/>
            </w:tcBorders>
          </w:tcPr>
          <w:p>
            <w:pPr>
              <w:pStyle w:val="TableParagraph"/>
              <w:spacing w:before="6"/>
              <w:ind w:left="142" w:right="158"/>
              <w:jc w:val="center"/>
              <w:rPr>
                <w:sz w:val="21"/>
              </w:rPr>
            </w:pPr>
            <w:r>
              <w:rPr>
                <w:sz w:val="21"/>
              </w:rPr>
              <w:t>1 </w:t>
            </w:r>
          </w:p>
        </w:tc>
      </w:tr>
      <w:tr>
        <w:trPr>
          <w:trHeight w:val="313" w:hRule="atLeast"/>
        </w:trPr>
        <w:tc>
          <w:tcPr>
            <w:tcW w:w="1459"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39" w:type="dxa"/>
            <w:tcBorders>
              <w:top w:val="nil"/>
            </w:tcBorders>
          </w:tcPr>
          <w:p>
            <w:pPr>
              <w:pStyle w:val="TableParagraph"/>
              <w:spacing w:before="6"/>
              <w:ind w:left="105"/>
              <w:rPr>
                <w:sz w:val="21"/>
              </w:rPr>
            </w:pPr>
            <w:r>
              <w:rPr>
                <w:sz w:val="21"/>
              </w:rPr>
              <w:t>无运动反应 </w:t>
            </w:r>
          </w:p>
        </w:tc>
        <w:tc>
          <w:tcPr>
            <w:tcW w:w="401" w:type="dxa"/>
            <w:tcBorders>
              <w:top w:val="nil"/>
            </w:tcBorders>
          </w:tcPr>
          <w:p>
            <w:pPr>
              <w:pStyle w:val="TableParagraph"/>
              <w:spacing w:before="6"/>
              <w:ind w:left="141" w:right="104"/>
              <w:jc w:val="center"/>
              <w:rPr>
                <w:sz w:val="21"/>
              </w:rPr>
            </w:pPr>
            <w:r>
              <w:rPr>
                <w:sz w:val="21"/>
              </w:rPr>
              <w:t>1 </w:t>
            </w:r>
          </w:p>
        </w:tc>
        <w:tc>
          <w:tcPr>
            <w:tcW w:w="1080" w:type="dxa"/>
            <w:tcBorders>
              <w:top w:val="nil"/>
            </w:tcBorders>
          </w:tcPr>
          <w:p>
            <w:pPr>
              <w:pStyle w:val="TableParagraph"/>
              <w:rPr>
                <w:rFonts w:ascii="Times New Roman"/>
                <w:sz w:val="20"/>
              </w:rPr>
            </w:pPr>
          </w:p>
        </w:tc>
        <w:tc>
          <w:tcPr>
            <w:tcW w:w="456" w:type="dxa"/>
            <w:tcBorders>
              <w:top w:val="nil"/>
            </w:tcBorders>
          </w:tcPr>
          <w:p>
            <w:pPr>
              <w:pStyle w:val="TableParagraph"/>
              <w:spacing w:before="6"/>
              <w:ind w:right="123"/>
              <w:jc w:val="center"/>
              <w:rPr>
                <w:sz w:val="21"/>
              </w:rPr>
            </w:pPr>
            <w:r>
              <w:rPr>
                <w:w w:val="100"/>
                <w:sz w:val="21"/>
              </w:rPr>
              <w:t> </w:t>
            </w:r>
          </w:p>
        </w:tc>
      </w:tr>
    </w:tbl>
    <w:p>
      <w:pPr>
        <w:pStyle w:val="BodyText"/>
        <w:spacing w:before="1" w:after="1"/>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938"/>
        <w:gridCol w:w="7447"/>
      </w:tblGrid>
      <w:tr>
        <w:trPr>
          <w:trHeight w:val="280" w:hRule="atLeast"/>
        </w:trPr>
        <w:tc>
          <w:tcPr>
            <w:tcW w:w="2630" w:type="dxa"/>
            <w:gridSpan w:val="2"/>
            <w:vMerge w:val="restart"/>
          </w:tcPr>
          <w:p>
            <w:pPr>
              <w:pStyle w:val="TableParagraph"/>
              <w:rPr>
                <w:rFonts w:ascii="Times New Roman"/>
                <w:sz w:val="20"/>
              </w:rPr>
            </w:pPr>
          </w:p>
        </w:tc>
        <w:tc>
          <w:tcPr>
            <w:tcW w:w="7447" w:type="dxa"/>
          </w:tcPr>
          <w:p>
            <w:pPr>
              <w:pStyle w:val="TableParagraph"/>
              <w:spacing w:line="211" w:lineRule="exact"/>
              <w:ind w:left="134"/>
              <w:rPr>
                <w:sz w:val="21"/>
              </w:rPr>
            </w:pPr>
            <w:r>
              <w:rPr>
                <w:sz w:val="21"/>
              </w:rPr>
              <w:t>评分＝E＋M＋V</w:t>
            </w:r>
          </w:p>
        </w:tc>
      </w:tr>
      <w:tr>
        <w:trPr>
          <w:trHeight w:val="350" w:hRule="atLeast"/>
        </w:trPr>
        <w:tc>
          <w:tcPr>
            <w:tcW w:w="2630" w:type="dxa"/>
            <w:gridSpan w:val="2"/>
            <w:vMerge/>
            <w:tcBorders>
              <w:top w:val="nil"/>
            </w:tcBorders>
          </w:tcPr>
          <w:p>
            <w:pPr>
              <w:rPr>
                <w:sz w:val="2"/>
                <w:szCs w:val="2"/>
              </w:rPr>
            </w:pPr>
          </w:p>
        </w:tc>
        <w:tc>
          <w:tcPr>
            <w:tcW w:w="7447" w:type="dxa"/>
          </w:tcPr>
          <w:p>
            <w:pPr>
              <w:pStyle w:val="TableParagraph"/>
              <w:spacing w:before="6"/>
              <w:ind w:left="134"/>
              <w:rPr>
                <w:sz w:val="21"/>
              </w:rPr>
            </w:pPr>
            <w:r>
              <w:rPr>
                <w:sz w:val="21"/>
              </w:rPr>
              <w:t>三十五、严重全身型重症肌无力</w:t>
            </w:r>
          </w:p>
        </w:tc>
      </w:tr>
      <w:tr>
        <w:trPr>
          <w:trHeight w:val="1441" w:hRule="atLeast"/>
        </w:trPr>
        <w:tc>
          <w:tcPr>
            <w:tcW w:w="2630" w:type="dxa"/>
            <w:gridSpan w:val="2"/>
            <w:vMerge/>
            <w:tcBorders>
              <w:top w:val="nil"/>
            </w:tcBorders>
          </w:tcPr>
          <w:p>
            <w:pPr>
              <w:rPr>
                <w:sz w:val="2"/>
                <w:szCs w:val="2"/>
              </w:rPr>
            </w:pPr>
          </w:p>
        </w:tc>
        <w:tc>
          <w:tcPr>
            <w:tcW w:w="7447" w:type="dxa"/>
          </w:tcPr>
          <w:p>
            <w:pPr>
              <w:pStyle w:val="TableParagraph"/>
              <w:spacing w:line="237" w:lineRule="auto" w:before="8"/>
              <w:ind w:left="134" w:right="158"/>
              <w:jc w:val="both"/>
              <w:rPr>
                <w:sz w:val="21"/>
              </w:rPr>
            </w:pPr>
            <w:r>
              <w:rPr>
                <w:sz w:val="21"/>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tc>
      </w:tr>
      <w:tr>
        <w:trPr>
          <w:trHeight w:val="356" w:hRule="atLeast"/>
        </w:trPr>
        <w:tc>
          <w:tcPr>
            <w:tcW w:w="2630" w:type="dxa"/>
            <w:gridSpan w:val="2"/>
            <w:vMerge/>
            <w:tcBorders>
              <w:top w:val="nil"/>
            </w:tcBorders>
          </w:tcPr>
          <w:p>
            <w:pPr>
              <w:rPr>
                <w:sz w:val="2"/>
                <w:szCs w:val="2"/>
              </w:rPr>
            </w:pPr>
          </w:p>
        </w:tc>
        <w:tc>
          <w:tcPr>
            <w:tcW w:w="7447" w:type="dxa"/>
          </w:tcPr>
          <w:p>
            <w:pPr>
              <w:pStyle w:val="TableParagraph"/>
              <w:spacing w:before="4"/>
              <w:ind w:left="134"/>
              <w:rPr>
                <w:sz w:val="21"/>
              </w:rPr>
            </w:pPr>
            <w:r>
              <w:rPr>
                <w:sz w:val="21"/>
              </w:rPr>
              <w:t>眼肌型重症肌无力不在保障范围内。</w:t>
            </w:r>
          </w:p>
        </w:tc>
      </w:tr>
      <w:tr>
        <w:trPr>
          <w:trHeight w:val="355" w:hRule="atLeast"/>
        </w:trPr>
        <w:tc>
          <w:tcPr>
            <w:tcW w:w="692" w:type="dxa"/>
          </w:tcPr>
          <w:p>
            <w:pPr>
              <w:pStyle w:val="TableParagraph"/>
              <w:spacing w:line="321" w:lineRule="exact"/>
              <w:ind w:left="50"/>
              <w:rPr>
                <w:sz w:val="21"/>
              </w:rPr>
            </w:pPr>
            <w:r>
              <w:rPr>
                <w:rFonts w:ascii="Microsoft JhengHei"/>
                <w:b/>
                <w:w w:val="90"/>
                <w:sz w:val="21"/>
              </w:rPr>
              <w:t>10. 5</w:t>
            </w:r>
            <w:r>
              <w:rPr>
                <w:rFonts w:ascii="Microsoft JhengHei"/>
                <w:b/>
                <w:sz w:val="21"/>
              </w:rPr>
              <w:t> </w:t>
            </w:r>
            <w:r>
              <w:rPr>
                <w:w w:val="100"/>
                <w:sz w:val="21"/>
              </w:rPr>
              <w:t> </w:t>
            </w:r>
          </w:p>
        </w:tc>
        <w:tc>
          <w:tcPr>
            <w:tcW w:w="1938" w:type="dxa"/>
          </w:tcPr>
          <w:p>
            <w:pPr>
              <w:pStyle w:val="TableParagraph"/>
              <w:spacing w:line="321" w:lineRule="exact"/>
              <w:ind w:left="114"/>
              <w:rPr>
                <w:sz w:val="21"/>
              </w:rPr>
            </w:pPr>
            <w:r>
              <w:rPr>
                <w:rFonts w:ascii="Microsoft JhengHei" w:eastAsia="Microsoft JhengHei" w:hint="eastAsia"/>
                <w:b/>
                <w:sz w:val="21"/>
              </w:rPr>
              <w:t>意外伤害</w:t>
            </w:r>
            <w:r>
              <w:rPr>
                <w:sz w:val="21"/>
              </w:rPr>
              <w:t> </w:t>
            </w:r>
          </w:p>
        </w:tc>
        <w:tc>
          <w:tcPr>
            <w:tcW w:w="7447" w:type="dxa"/>
          </w:tcPr>
          <w:p>
            <w:pPr>
              <w:pStyle w:val="TableParagraph"/>
              <w:spacing w:before="22"/>
              <w:ind w:left="134"/>
              <w:rPr>
                <w:sz w:val="21"/>
              </w:rPr>
            </w:pPr>
            <w:r>
              <w:rPr>
                <w:sz w:val="21"/>
              </w:rPr>
              <w:t>指遭受外来的、突发的、非本意的、非疾病的客观事件直接致使身体受到的伤</w:t>
            </w:r>
          </w:p>
        </w:tc>
      </w:tr>
      <w:tr>
        <w:trPr>
          <w:trHeight w:val="344"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害。 </w:t>
            </w:r>
          </w:p>
        </w:tc>
      </w:tr>
      <w:tr>
        <w:trPr>
          <w:trHeight w:val="385" w:hRule="atLeast"/>
        </w:trPr>
        <w:tc>
          <w:tcPr>
            <w:tcW w:w="692" w:type="dxa"/>
          </w:tcPr>
          <w:p>
            <w:pPr>
              <w:pStyle w:val="TableParagraph"/>
              <w:spacing w:before="26"/>
              <w:ind w:left="50"/>
              <w:rPr>
                <w:sz w:val="21"/>
              </w:rPr>
            </w:pPr>
            <w:r>
              <w:rPr>
                <w:w w:val="100"/>
                <w:sz w:val="21"/>
              </w:rPr>
              <w:t> </w:t>
            </w:r>
          </w:p>
        </w:tc>
        <w:tc>
          <w:tcPr>
            <w:tcW w:w="1938" w:type="dxa"/>
          </w:tcPr>
          <w:p>
            <w:pPr>
              <w:pStyle w:val="TableParagraph"/>
              <w:spacing w:before="26"/>
              <w:ind w:left="114"/>
              <w:rPr>
                <w:sz w:val="21"/>
              </w:rPr>
            </w:pPr>
            <w:r>
              <w:rPr>
                <w:w w:val="100"/>
                <w:sz w:val="21"/>
              </w:rPr>
              <w:t> </w:t>
            </w:r>
          </w:p>
        </w:tc>
        <w:tc>
          <w:tcPr>
            <w:tcW w:w="7447" w:type="dxa"/>
          </w:tcPr>
          <w:p>
            <w:pPr>
              <w:pStyle w:val="TableParagraph"/>
              <w:spacing w:before="26"/>
              <w:ind w:left="134"/>
              <w:rPr>
                <w:sz w:val="21"/>
              </w:rPr>
            </w:pPr>
            <w:r>
              <w:rPr>
                <w:w w:val="100"/>
                <w:sz w:val="21"/>
              </w:rPr>
              <w:t> </w:t>
            </w:r>
          </w:p>
        </w:tc>
      </w:tr>
      <w:tr>
        <w:trPr>
          <w:trHeight w:val="362" w:hRule="atLeast"/>
        </w:trPr>
        <w:tc>
          <w:tcPr>
            <w:tcW w:w="692" w:type="dxa"/>
          </w:tcPr>
          <w:p>
            <w:pPr>
              <w:pStyle w:val="TableParagraph"/>
              <w:spacing w:line="329" w:lineRule="exact"/>
              <w:ind w:left="50"/>
              <w:rPr>
                <w:rFonts w:ascii="Microsoft JhengHei"/>
                <w:b/>
                <w:sz w:val="21"/>
              </w:rPr>
            </w:pPr>
            <w:r>
              <w:rPr>
                <w:rFonts w:ascii="Microsoft JhengHei"/>
                <w:b/>
                <w:w w:val="90"/>
                <w:sz w:val="21"/>
              </w:rPr>
              <w:t>10. 6</w:t>
            </w:r>
          </w:p>
        </w:tc>
        <w:tc>
          <w:tcPr>
            <w:tcW w:w="1938"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before="30"/>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tc>
      </w:tr>
      <w:tr>
        <w:trPr>
          <w:trHeight w:val="304"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可卡因以及国家规定管制的其他能够使人形成瘾癖的麻醉药品和精神药品，但</w:t>
            </w:r>
          </w:p>
        </w:tc>
      </w:tr>
      <w:tr>
        <w:trPr>
          <w:trHeight w:val="351"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不包括由医生开具并遵医嘱使用的用于治疗疾病但含有毒品成分的处方药品。</w:t>
            </w:r>
          </w:p>
        </w:tc>
      </w:tr>
      <w:tr>
        <w:trPr>
          <w:trHeight w:val="385"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362" w:hRule="atLeast"/>
        </w:trPr>
        <w:tc>
          <w:tcPr>
            <w:tcW w:w="692" w:type="dxa"/>
          </w:tcPr>
          <w:p>
            <w:pPr>
              <w:pStyle w:val="TableParagraph"/>
              <w:spacing w:line="329" w:lineRule="exact"/>
              <w:ind w:left="50"/>
              <w:rPr>
                <w:rFonts w:ascii="Microsoft JhengHei"/>
                <w:b/>
                <w:sz w:val="21"/>
              </w:rPr>
            </w:pPr>
            <w:r>
              <w:rPr>
                <w:rFonts w:ascii="Microsoft JhengHei"/>
                <w:b/>
                <w:w w:val="90"/>
                <w:sz w:val="21"/>
              </w:rPr>
              <w:t>10. 7</w:t>
            </w:r>
          </w:p>
        </w:tc>
        <w:tc>
          <w:tcPr>
            <w:tcW w:w="1938"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before="30"/>
              <w:ind w:left="134"/>
              <w:rPr>
                <w:sz w:val="21"/>
              </w:rPr>
            </w:pPr>
            <w:r>
              <w:rPr>
                <w:sz w:val="21"/>
              </w:rPr>
              <w:t>指经检测或鉴定，发生事故时车辆驾驶人员每百毫升血液中的酒精含量达到或</w:t>
            </w:r>
          </w:p>
        </w:tc>
      </w:tr>
      <w:tr>
        <w:trPr>
          <w:trHeight w:val="304"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超过一定的标准，公安机关交通管理部门依据《道路交通安全法》的规定认定</w:t>
            </w:r>
          </w:p>
        </w:tc>
      </w:tr>
      <w:tr>
        <w:trPr>
          <w:trHeight w:val="351"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为饮酒后驾驶或醉酒后驾驶。</w:t>
            </w:r>
          </w:p>
        </w:tc>
      </w:tr>
      <w:tr>
        <w:trPr>
          <w:trHeight w:val="385"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319" w:hRule="atLeast"/>
        </w:trPr>
        <w:tc>
          <w:tcPr>
            <w:tcW w:w="692" w:type="dxa"/>
          </w:tcPr>
          <w:p>
            <w:pPr>
              <w:pStyle w:val="TableParagraph"/>
              <w:spacing w:line="300" w:lineRule="exact"/>
              <w:ind w:left="50"/>
              <w:rPr>
                <w:rFonts w:ascii="Microsoft JhengHei"/>
                <w:b/>
                <w:sz w:val="21"/>
              </w:rPr>
            </w:pPr>
            <w:r>
              <w:rPr>
                <w:rFonts w:ascii="Microsoft JhengHei"/>
                <w:b/>
                <w:w w:val="90"/>
                <w:sz w:val="21"/>
              </w:rPr>
              <w:t>10. 8</w:t>
            </w:r>
          </w:p>
        </w:tc>
        <w:tc>
          <w:tcPr>
            <w:tcW w:w="1938" w:type="dxa"/>
          </w:tcPr>
          <w:p>
            <w:pPr>
              <w:pStyle w:val="TableParagraph"/>
              <w:spacing w:line="300" w:lineRule="exact"/>
              <w:ind w:left="11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70" w:lineRule="exact" w:before="30"/>
              <w:ind w:left="134"/>
              <w:rPr>
                <w:sz w:val="21"/>
              </w:rPr>
            </w:pPr>
            <w:r>
              <w:rPr>
                <w:sz w:val="21"/>
              </w:rPr>
              <w:t>指下列情形之一：</w:t>
            </w:r>
          </w:p>
        </w:tc>
      </w:tr>
    </w:tbl>
    <w:p>
      <w:pPr>
        <w:pStyle w:val="BodyText"/>
        <w:tabs>
          <w:tab w:pos="2877" w:val="left" w:leader="none"/>
        </w:tabs>
        <w:spacing w:line="392" w:lineRule="exact" w:before="0"/>
        <w:ind w:left="919"/>
      </w:pPr>
      <w:r>
        <w:rPr>
          <w:rFonts w:ascii="Microsoft JhengHei" w:eastAsia="Microsoft JhengHei" w:hint="eastAsia"/>
          <w:b/>
          <w:position w:val="8"/>
        </w:rPr>
        <w:t>驾驶</w:t>
        <w:tab/>
      </w:r>
      <w:r>
        <w:rPr>
          <w:spacing w:val="-1"/>
        </w:rPr>
        <w:t>（</w:t>
      </w:r>
      <w:r>
        <w:rPr>
          <w:rFonts w:ascii="Times New Roman" w:eastAsia="Times New Roman"/>
          <w:spacing w:val="-1"/>
        </w:rPr>
        <w:t>1</w:t>
      </w:r>
      <w:r>
        <w:rPr>
          <w:spacing w:val="-1"/>
        </w:rPr>
        <w:t>）</w:t>
      </w:r>
      <w:r>
        <w:rPr/>
        <w:t>没</w:t>
      </w:r>
      <w:r>
        <w:rPr>
          <w:spacing w:val="-3"/>
        </w:rPr>
        <w:t>有</w:t>
      </w:r>
      <w:r>
        <w:rPr/>
        <w:t>取</w:t>
      </w:r>
      <w:r>
        <w:rPr>
          <w:spacing w:val="-3"/>
        </w:rPr>
        <w:t>得</w:t>
      </w:r>
      <w:r>
        <w:rPr/>
        <w:t>驾</w:t>
      </w:r>
      <w:r>
        <w:rPr>
          <w:spacing w:val="-3"/>
        </w:rPr>
        <w:t>驶</w:t>
      </w:r>
      <w:r>
        <w:rPr/>
        <w:t>资</w:t>
      </w:r>
      <w:r>
        <w:rPr>
          <w:spacing w:val="-3"/>
        </w:rPr>
        <w:t>格</w:t>
      </w:r>
      <w:r>
        <w:rPr/>
        <w:t>；</w:t>
      </w:r>
    </w:p>
    <w:p>
      <w:pPr>
        <w:pStyle w:val="BodyText"/>
        <w:spacing w:before="98"/>
        <w:ind w:left="2877"/>
      </w:pPr>
      <w:r>
        <w:rPr/>
        <w:t>（</w:t>
      </w:r>
      <w:r>
        <w:rPr>
          <w:rFonts w:ascii="Times New Roman" w:eastAsia="Times New Roman"/>
        </w:rPr>
        <w:t>2</w:t>
      </w:r>
      <w:r>
        <w:rPr/>
        <w:t>）驾驶与驾驶证准驾车型不相符合的车辆；</w:t>
      </w:r>
    </w:p>
    <w:p>
      <w:pPr>
        <w:pStyle w:val="BodyText"/>
        <w:spacing w:before="100"/>
        <w:ind w:left="2877"/>
      </w:pPr>
      <w:r>
        <w:rPr/>
        <w:t>（</w:t>
      </w:r>
      <w:r>
        <w:rPr>
          <w:rFonts w:ascii="Times New Roman" w:eastAsia="Times New Roman"/>
        </w:rPr>
        <w:t>3</w:t>
      </w:r>
      <w:r>
        <w:rPr/>
        <w:t>）持审验不合格的驾驶证驾驶；</w:t>
      </w:r>
    </w:p>
    <w:p>
      <w:pPr>
        <w:pStyle w:val="BodyText"/>
        <w:spacing w:before="97"/>
        <w:ind w:left="2877"/>
      </w:pPr>
      <w:r>
        <w:rPr/>
        <w:t>（</w:t>
      </w:r>
      <w:r>
        <w:rPr>
          <w:rFonts w:ascii="Times New Roman" w:eastAsia="Times New Roman"/>
        </w:rPr>
        <w:t>4</w:t>
      </w:r>
      <w:r>
        <w:rPr/>
        <w:t>）持学习驾驶证学习驾车时，无教练员随车指导，或不按指定时间、路线学</w:t>
      </w:r>
    </w:p>
    <w:p>
      <w:pPr>
        <w:pStyle w:val="BodyText"/>
        <w:spacing w:before="20"/>
        <w:ind w:left="3403"/>
      </w:pPr>
      <w:r>
        <w:rPr/>
        <w:t>习驾车。</w:t>
      </w:r>
    </w:p>
    <w:p>
      <w:pPr>
        <w:pStyle w:val="BodyText"/>
        <w:spacing w:before="115"/>
        <w:ind w:left="2877"/>
      </w:pPr>
      <w:r>
        <w:rPr>
          <w:w w:val="100"/>
        </w:rPr>
        <w:t> </w:t>
      </w:r>
    </w:p>
    <w:p>
      <w:pPr>
        <w:pStyle w:val="ListParagraph"/>
        <w:numPr>
          <w:ilvl w:val="1"/>
          <w:numId w:val="15"/>
        </w:numPr>
        <w:tabs>
          <w:tab w:pos="919" w:val="left" w:leader="none"/>
          <w:tab w:pos="920" w:val="left" w:leader="none"/>
          <w:tab w:pos="2877" w:val="left" w:leader="none"/>
        </w:tabs>
        <w:spacing w:line="240" w:lineRule="auto" w:before="46" w:after="0"/>
        <w:ind w:left="919" w:right="0" w:hanging="756"/>
        <w:jc w:val="left"/>
        <w:rPr>
          <w:sz w:val="21"/>
        </w:rPr>
      </w:pPr>
      <w:r>
        <w:rPr>
          <w:rFonts w:ascii="Microsoft JhengHei" w:eastAsia="Microsoft JhengHei" w:hint="eastAsia"/>
          <w:b/>
          <w:sz w:val="21"/>
        </w:rPr>
        <w:t>9</w:t>
        <w:tab/>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p>
    <w:p>
      <w:pPr>
        <w:pStyle w:val="BodyText"/>
        <w:spacing w:before="92"/>
        <w:ind w:left="2877"/>
      </w:pPr>
      <w:r>
        <w:rPr/>
        <w:t>（</w:t>
      </w:r>
      <w:r>
        <w:rPr>
          <w:rFonts w:ascii="Times New Roman" w:eastAsia="Times New Roman"/>
        </w:rPr>
        <w:t>1</w:t>
      </w:r>
      <w:r>
        <w:rPr/>
        <w:t>）机动车被依法注销登记的；</w:t>
      </w:r>
    </w:p>
    <w:p>
      <w:pPr>
        <w:pStyle w:val="BodyText"/>
        <w:spacing w:before="98"/>
        <w:ind w:left="2877"/>
      </w:pPr>
      <w:r>
        <w:rPr/>
        <w:t>（</w:t>
      </w:r>
      <w:r>
        <w:rPr>
          <w:rFonts w:ascii="Times New Roman" w:eastAsia="Times New Roman"/>
        </w:rPr>
        <w:t>2</w:t>
      </w:r>
      <w:r>
        <w:rPr/>
        <w:t>）未依法按时进行或通过机动车安全技术检验。</w:t>
      </w:r>
    </w:p>
    <w:p>
      <w:pPr>
        <w:pStyle w:val="BodyText"/>
        <w:spacing w:before="100"/>
        <w:ind w:left="2877"/>
      </w:pPr>
      <w:r>
        <w:rPr>
          <w:w w:val="100"/>
        </w:rPr>
        <w:t> </w:t>
      </w:r>
    </w:p>
    <w:p>
      <w:pPr>
        <w:pStyle w:val="ListParagraph"/>
        <w:numPr>
          <w:ilvl w:val="1"/>
          <w:numId w:val="15"/>
        </w:numPr>
        <w:tabs>
          <w:tab w:pos="919" w:val="left" w:leader="none"/>
          <w:tab w:pos="920" w:val="left" w:leader="none"/>
          <w:tab w:pos="2877" w:val="left" w:leader="none"/>
        </w:tabs>
        <w:spacing w:line="240" w:lineRule="auto" w:before="46" w:after="0"/>
        <w:ind w:left="919" w:right="0" w:hanging="756"/>
        <w:jc w:val="left"/>
        <w:rPr>
          <w:sz w:val="21"/>
        </w:rPr>
      </w:pPr>
      <w:r>
        <w:rPr>
          <w:rFonts w:ascii="Microsoft JhengHei" w:eastAsia="Microsoft JhengHei"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3"/>
          <w:sz w:val="21"/>
        </w:rPr>
        <w:t>上</w:t>
      </w:r>
      <w:r>
        <w:rPr>
          <w:sz w:val="21"/>
        </w:rPr>
        <w:t>道</w:t>
      </w:r>
      <w:r>
        <w:rPr>
          <w:spacing w:val="-3"/>
          <w:sz w:val="21"/>
        </w:rPr>
        <w:t>路</w:t>
      </w:r>
      <w:r>
        <w:rPr>
          <w:sz w:val="21"/>
        </w:rPr>
        <w:t>行</w:t>
      </w:r>
      <w:r>
        <w:rPr>
          <w:spacing w:val="-3"/>
          <w:sz w:val="21"/>
        </w:rPr>
        <w:t>驶</w:t>
      </w:r>
      <w:r>
        <w:rPr>
          <w:sz w:val="21"/>
        </w:rPr>
        <w:t>的</w:t>
      </w:r>
      <w:r>
        <w:rPr>
          <w:spacing w:val="-3"/>
          <w:sz w:val="21"/>
        </w:rPr>
        <w:t>供</w:t>
      </w:r>
      <w:r>
        <w:rPr>
          <w:sz w:val="21"/>
        </w:rPr>
        <w:t>人</w:t>
      </w:r>
      <w:r>
        <w:rPr>
          <w:spacing w:val="-3"/>
          <w:sz w:val="21"/>
        </w:rPr>
        <w:t>员</w:t>
      </w:r>
      <w:r>
        <w:rPr>
          <w:sz w:val="21"/>
        </w:rPr>
        <w:t>乘用</w:t>
      </w:r>
      <w:r>
        <w:rPr>
          <w:spacing w:val="-3"/>
          <w:sz w:val="21"/>
        </w:rPr>
        <w:t>或</w:t>
      </w:r>
      <w:r>
        <w:rPr>
          <w:sz w:val="21"/>
        </w:rPr>
        <w:t>者</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w:t>
      </w:r>
    </w:p>
    <w:p>
      <w:pPr>
        <w:pStyle w:val="BodyText"/>
        <w:spacing w:before="12"/>
        <w:ind w:left="2877"/>
      </w:pPr>
      <w:r>
        <w:rPr/>
        <w:t>进行工程专项作业的轮式车辆。 </w:t>
      </w:r>
    </w:p>
    <w:p>
      <w:pPr>
        <w:spacing w:after="0"/>
        <w:sectPr>
          <w:pgSz w:w="11900" w:h="16840"/>
          <w:pgMar w:header="0" w:footer="724" w:top="1440" w:bottom="920" w:left="114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654" w:hRule="atLeast"/>
        </w:trPr>
        <w:tc>
          <w:tcPr>
            <w:tcW w:w="682" w:type="dxa"/>
          </w:tcPr>
          <w:p>
            <w:pPr>
              <w:pStyle w:val="TableParagraph"/>
              <w:spacing w:before="1"/>
              <w:rPr>
                <w:sz w:val="19"/>
              </w:rPr>
            </w:pPr>
          </w:p>
          <w:p>
            <w:pPr>
              <w:pStyle w:val="TableParagraph"/>
              <w:ind w:left="50"/>
              <w:rPr>
                <w:rFonts w:ascii="Microsoft JhengHei"/>
                <w:b/>
                <w:sz w:val="21"/>
              </w:rPr>
            </w:pPr>
            <w:r>
              <w:rPr>
                <w:rFonts w:ascii="Microsoft JhengHei"/>
                <w:b/>
                <w:w w:val="90"/>
                <w:sz w:val="21"/>
              </w:rPr>
              <w:t>10. 11</w:t>
            </w:r>
          </w:p>
        </w:tc>
        <w:tc>
          <w:tcPr>
            <w:tcW w:w="1948" w:type="dxa"/>
          </w:tcPr>
          <w:p>
            <w:pPr>
              <w:pStyle w:val="TableParagraph"/>
              <w:spacing w:before="1"/>
              <w:rPr>
                <w:sz w:val="19"/>
              </w:rPr>
            </w:pPr>
          </w:p>
          <w:p>
            <w:pPr>
              <w:pStyle w:val="TableParagraph"/>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03" w:lineRule="exact"/>
              <w:ind w:left="134"/>
              <w:rPr>
                <w:sz w:val="21"/>
              </w:rPr>
            </w:pPr>
            <w:r>
              <w:rPr>
                <w:w w:val="100"/>
                <w:sz w:val="21"/>
              </w:rPr>
              <w:t> </w:t>
            </w:r>
          </w:p>
          <w:p>
            <w:pPr>
              <w:pStyle w:val="TableParagraph"/>
              <w:spacing w:before="114"/>
              <w:ind w:left="134"/>
              <w:rPr>
                <w:sz w:val="21"/>
              </w:rPr>
            </w:pPr>
            <w:r>
              <w:rPr>
                <w:sz w:val="21"/>
              </w:rPr>
              <w:t>指被保险人出生时就具有的畸形、变形或染色体异常。先天性畸形、变形和染</w:t>
            </w:r>
          </w:p>
        </w:tc>
      </w:tr>
      <w:tr>
        <w:trPr>
          <w:trHeight w:val="315" w:hRule="atLeast"/>
        </w:trPr>
        <w:tc>
          <w:tcPr>
            <w:tcW w:w="682" w:type="dxa"/>
          </w:tcPr>
          <w:p>
            <w:pPr>
              <w:pStyle w:val="TableParagraph"/>
              <w:rPr>
                <w:rFonts w:ascii="Times New Roman"/>
                <w:sz w:val="20"/>
              </w:rPr>
            </w:pPr>
          </w:p>
        </w:tc>
        <w:tc>
          <w:tcPr>
            <w:tcW w:w="1948" w:type="dxa"/>
          </w:tcPr>
          <w:p>
            <w:pPr>
              <w:pStyle w:val="TableParagraph"/>
              <w:spacing w:line="273"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65"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34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z w:val="21"/>
              </w:rPr>
              <w:t>确定。 </w:t>
            </w:r>
          </w:p>
        </w:tc>
      </w:tr>
      <w:tr>
        <w:trPr>
          <w:trHeight w:val="385" w:hRule="atLeast"/>
        </w:trPr>
        <w:tc>
          <w:tcPr>
            <w:tcW w:w="682" w:type="dxa"/>
          </w:tcPr>
          <w:p>
            <w:pPr>
              <w:pStyle w:val="TableParagraph"/>
              <w:rPr>
                <w:rFonts w:ascii="Times New Roman"/>
                <w:sz w:val="20"/>
              </w:rPr>
            </w:pPr>
          </w:p>
        </w:tc>
        <w:tc>
          <w:tcPr>
            <w:tcW w:w="1948" w:type="dxa"/>
          </w:tcPr>
          <w:p>
            <w:pPr>
              <w:pStyle w:val="TableParagraph"/>
              <w:spacing w:before="18"/>
              <w:ind w:left="124"/>
              <w:rPr>
                <w:sz w:val="21"/>
              </w:rPr>
            </w:pPr>
            <w:r>
              <w:rPr>
                <w:w w:val="100"/>
                <w:sz w:val="21"/>
              </w:rPr>
              <w:t> </w:t>
            </w:r>
          </w:p>
        </w:tc>
        <w:tc>
          <w:tcPr>
            <w:tcW w:w="7447" w:type="dxa"/>
          </w:tcPr>
          <w:p>
            <w:pPr>
              <w:pStyle w:val="TableParagraph"/>
              <w:spacing w:before="18"/>
              <w:ind w:left="134"/>
              <w:rPr>
                <w:sz w:val="21"/>
              </w:rPr>
            </w:pPr>
            <w:r>
              <w:rPr>
                <w:w w:val="100"/>
                <w:sz w:val="21"/>
              </w:rPr>
              <w:t> </w:t>
            </w:r>
          </w:p>
        </w:tc>
      </w:tr>
      <w:tr>
        <w:trPr>
          <w:trHeight w:val="362" w:hRule="atLeast"/>
        </w:trPr>
        <w:tc>
          <w:tcPr>
            <w:tcW w:w="682" w:type="dxa"/>
          </w:tcPr>
          <w:p>
            <w:pPr>
              <w:pStyle w:val="TableParagraph"/>
              <w:spacing w:line="321" w:lineRule="exact"/>
              <w:ind w:left="50"/>
              <w:rPr>
                <w:rFonts w:ascii="Microsoft JhengHei"/>
                <w:b/>
                <w:sz w:val="21"/>
              </w:rPr>
            </w:pPr>
            <w:r>
              <w:rPr>
                <w:rFonts w:ascii="Microsoft JhengHei"/>
                <w:b/>
                <w:w w:val="90"/>
                <w:sz w:val="21"/>
              </w:rPr>
              <w:t>10. 12</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before="22"/>
              <w:ind w:left="134"/>
              <w:rPr>
                <w:sz w:val="21"/>
              </w:rPr>
            </w:pPr>
            <w:r>
              <w:rPr>
                <w:sz w:val="21"/>
              </w:rPr>
              <w:t>指生殖细胞或受精卵的遗传物质（染色体和基因）发生突变或畸变所引起的疾</w:t>
            </w:r>
          </w:p>
        </w:tc>
      </w:tr>
      <w:tr>
        <w:trPr>
          <w:trHeight w:val="344"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z w:val="21"/>
              </w:rPr>
              <w:t>病，通常具有由亲代传至后代的垂直传递的特征。 </w:t>
            </w:r>
          </w:p>
        </w:tc>
      </w:tr>
      <w:tr>
        <w:trPr>
          <w:trHeight w:val="38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8"/>
              <w:ind w:left="134"/>
              <w:rPr>
                <w:sz w:val="21"/>
              </w:rPr>
            </w:pPr>
            <w:r>
              <w:rPr>
                <w:w w:val="100"/>
                <w:sz w:val="21"/>
              </w:rPr>
              <w:t> </w:t>
            </w:r>
          </w:p>
        </w:tc>
      </w:tr>
      <w:tr>
        <w:trPr>
          <w:trHeight w:val="362" w:hRule="atLeast"/>
        </w:trPr>
        <w:tc>
          <w:tcPr>
            <w:tcW w:w="682" w:type="dxa"/>
          </w:tcPr>
          <w:p>
            <w:pPr>
              <w:pStyle w:val="TableParagraph"/>
              <w:spacing w:line="321" w:lineRule="exact"/>
              <w:ind w:left="50"/>
              <w:rPr>
                <w:rFonts w:ascii="Microsoft JhengHei"/>
                <w:b/>
                <w:sz w:val="21"/>
              </w:rPr>
            </w:pPr>
            <w:r>
              <w:rPr>
                <w:rFonts w:ascii="Microsoft JhengHei"/>
                <w:b/>
                <w:w w:val="90"/>
                <w:sz w:val="21"/>
              </w:rPr>
              <w:t>10. 13</w:t>
            </w:r>
          </w:p>
        </w:tc>
        <w:tc>
          <w:tcPr>
            <w:tcW w:w="1948" w:type="dxa"/>
          </w:tcPr>
          <w:p>
            <w:pPr>
              <w:pStyle w:val="TableParagraph"/>
              <w:spacing w:line="321"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before="22"/>
              <w:ind w:left="134"/>
              <w:rPr>
                <w:sz w:val="21"/>
              </w:rPr>
            </w:pPr>
            <w:r>
              <w:rPr>
                <w:sz w:val="21"/>
              </w:rPr>
              <w:t>指保险单所具有的价值，通常体现为解除本附加险合同时，根据精算原理计算</w:t>
            </w:r>
          </w:p>
        </w:tc>
      </w:tr>
      <w:tr>
        <w:trPr>
          <w:trHeight w:val="33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z w:val="21"/>
              </w:rPr>
              <w:t>的，由我们退还的那部分金额。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584" w:hRule="atLeast"/>
        </w:trPr>
        <w:tc>
          <w:tcPr>
            <w:tcW w:w="682" w:type="dxa"/>
          </w:tcPr>
          <w:p>
            <w:pPr>
              <w:pStyle w:val="TableParagraph"/>
              <w:spacing w:line="313" w:lineRule="exact"/>
              <w:ind w:left="50"/>
              <w:rPr>
                <w:rFonts w:ascii="Microsoft JhengHei"/>
                <w:b/>
                <w:sz w:val="21"/>
              </w:rPr>
            </w:pPr>
            <w:r>
              <w:rPr>
                <w:rFonts w:ascii="Microsoft JhengHei"/>
                <w:b/>
                <w:w w:val="90"/>
                <w:sz w:val="21"/>
              </w:rPr>
              <w:t>10. 14</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净保险费</w:t>
            </w:r>
          </w:p>
        </w:tc>
        <w:tc>
          <w:tcPr>
            <w:tcW w:w="7447" w:type="dxa"/>
          </w:tcPr>
          <w:p>
            <w:pPr>
              <w:pStyle w:val="TableParagraph"/>
              <w:spacing w:before="14"/>
              <w:ind w:left="134"/>
              <w:rPr>
                <w:sz w:val="21"/>
              </w:rPr>
            </w:pPr>
            <w:r>
              <w:rPr>
                <w:sz w:val="21"/>
              </w:rPr>
              <w:t>指不包含公司营业费用、佣金等其他费用的保险费。 </w:t>
            </w:r>
          </w:p>
        </w:tc>
      </w:tr>
      <w:tr>
        <w:trPr>
          <w:trHeight w:val="549" w:hRule="atLeast"/>
        </w:trPr>
        <w:tc>
          <w:tcPr>
            <w:tcW w:w="682" w:type="dxa"/>
          </w:tcPr>
          <w:p>
            <w:pPr>
              <w:pStyle w:val="TableParagraph"/>
              <w:spacing w:before="143"/>
              <w:ind w:left="50"/>
              <w:rPr>
                <w:rFonts w:ascii="Microsoft JhengHei"/>
                <w:b/>
                <w:sz w:val="21"/>
              </w:rPr>
            </w:pPr>
            <w:r>
              <w:rPr>
                <w:rFonts w:ascii="Microsoft JhengHei"/>
                <w:b/>
                <w:w w:val="90"/>
                <w:sz w:val="21"/>
              </w:rPr>
              <w:t>10. 15</w:t>
            </w:r>
          </w:p>
        </w:tc>
        <w:tc>
          <w:tcPr>
            <w:tcW w:w="1948" w:type="dxa"/>
          </w:tcPr>
          <w:p>
            <w:pPr>
              <w:pStyle w:val="TableParagraph"/>
              <w:spacing w:before="143"/>
              <w:ind w:left="124"/>
              <w:rPr>
                <w:sz w:val="21"/>
              </w:rPr>
            </w:pPr>
            <w:r>
              <w:rPr>
                <w:rFonts w:ascii="Microsoft JhengHei" w:eastAsia="Microsoft JhengHei" w:hint="eastAsia"/>
                <w:b/>
                <w:sz w:val="21"/>
              </w:rPr>
              <w:t>利息</w:t>
            </w:r>
            <w:r>
              <w:rPr>
                <w:sz w:val="21"/>
              </w:rPr>
              <w:t> </w:t>
            </w:r>
          </w:p>
        </w:tc>
        <w:tc>
          <w:tcPr>
            <w:tcW w:w="7447" w:type="dxa"/>
          </w:tcPr>
          <w:p>
            <w:pPr>
              <w:pStyle w:val="TableParagraph"/>
              <w:rPr>
                <w:sz w:val="16"/>
              </w:rPr>
            </w:pPr>
          </w:p>
          <w:p>
            <w:pPr>
              <w:pStyle w:val="TableParagraph"/>
              <w:ind w:left="134"/>
              <w:rPr>
                <w:sz w:val="21"/>
              </w:rPr>
            </w:pPr>
            <w:r>
              <w:rPr>
                <w:sz w:val="21"/>
              </w:rPr>
              <w:t>欠款的利息将根据欠款的数额、经过的天数和当时的贷款利率按复利计算。贷</w:t>
            </w:r>
          </w:p>
        </w:tc>
      </w:tr>
      <w:tr>
        <w:trPr>
          <w:trHeight w:val="30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5"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35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对于补交的保险费，我们将不收取利息。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8"/>
              <w:ind w:left="134"/>
              <w:rPr>
                <w:sz w:val="21"/>
              </w:rPr>
            </w:pPr>
            <w:r>
              <w:rPr>
                <w:w w:val="100"/>
                <w:sz w:val="21"/>
              </w:rPr>
              <w:t> </w:t>
            </w:r>
          </w:p>
        </w:tc>
      </w:tr>
      <w:tr>
        <w:trPr>
          <w:trHeight w:val="362" w:hRule="atLeast"/>
        </w:trPr>
        <w:tc>
          <w:tcPr>
            <w:tcW w:w="682" w:type="dxa"/>
          </w:tcPr>
          <w:p>
            <w:pPr>
              <w:pStyle w:val="TableParagraph"/>
              <w:spacing w:line="322" w:lineRule="exact"/>
              <w:ind w:left="50"/>
              <w:rPr>
                <w:rFonts w:ascii="Microsoft JhengHei"/>
                <w:b/>
                <w:sz w:val="21"/>
              </w:rPr>
            </w:pPr>
            <w:r>
              <w:rPr>
                <w:rFonts w:ascii="Microsoft JhengHei"/>
                <w:b/>
                <w:w w:val="90"/>
                <w:sz w:val="21"/>
              </w:rPr>
              <w:t>10. 16</w:t>
            </w:r>
          </w:p>
        </w:tc>
        <w:tc>
          <w:tcPr>
            <w:tcW w:w="1948" w:type="dxa"/>
          </w:tcPr>
          <w:p>
            <w:pPr>
              <w:pStyle w:val="TableParagraph"/>
              <w:spacing w:line="322"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before="23"/>
              <w:ind w:left="134"/>
              <w:rPr>
                <w:sz w:val="21"/>
              </w:rPr>
            </w:pPr>
            <w:r>
              <w:rPr>
                <w:sz w:val="21"/>
              </w:rPr>
              <w:t>专科医生应当同时满足以下四项资格条件：①具有有效的中华人民共和国《医</w:t>
            </w:r>
          </w:p>
        </w:tc>
      </w:tr>
      <w:tr>
        <w:trPr>
          <w:trHeight w:val="30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5" w:lineRule="exact"/>
              <w:ind w:left="134"/>
              <w:rPr>
                <w:sz w:val="21"/>
              </w:rPr>
            </w:pPr>
            <w:r>
              <w:rPr>
                <w:spacing w:val="-16"/>
                <w:sz w:val="21"/>
              </w:rPr>
              <w:t>师资格证书》；②具有有效的中华人民共和国《医师执业证书》，并按期到相关</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部门登记注册；③具有有效的中华人民共和国主治医师或主治医师以上职称的</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《医师职称证书》；④在二级或二级以上医院的相应科室从事临床工作三年以</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上。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355" w:hRule="atLeast"/>
        </w:trPr>
        <w:tc>
          <w:tcPr>
            <w:tcW w:w="682" w:type="dxa"/>
          </w:tcPr>
          <w:p>
            <w:pPr>
              <w:pStyle w:val="TableParagraph"/>
              <w:spacing w:line="313" w:lineRule="exact"/>
              <w:ind w:left="50"/>
              <w:rPr>
                <w:rFonts w:ascii="Microsoft JhengHei"/>
                <w:b/>
                <w:sz w:val="21"/>
              </w:rPr>
            </w:pPr>
            <w:r>
              <w:rPr>
                <w:rFonts w:ascii="Microsoft JhengHei"/>
                <w:b/>
                <w:w w:val="90"/>
                <w:sz w:val="21"/>
              </w:rPr>
              <w:t>10. 17</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before="14"/>
              <w:ind w:left="134"/>
              <w:rPr>
                <w:sz w:val="21"/>
              </w:rPr>
            </w:pPr>
            <w:r>
              <w:rPr>
                <w:sz w:val="21"/>
              </w:rPr>
              <w:t>指肢体的三大关节中的两大关节僵硬，或不能随意识活动。肢体是指包括肩关</w:t>
            </w:r>
          </w:p>
        </w:tc>
      </w:tr>
      <w:tr>
        <w:trPr>
          <w:trHeight w:val="33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134"/>
              <w:rPr>
                <w:sz w:val="21"/>
              </w:rPr>
            </w:pPr>
            <w:r>
              <w:rPr>
                <w:sz w:val="21"/>
              </w:rPr>
              <w:t>节的整个上肢或包括髋关节的整个下肢。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354" w:hRule="atLeast"/>
        </w:trPr>
        <w:tc>
          <w:tcPr>
            <w:tcW w:w="682" w:type="dxa"/>
          </w:tcPr>
          <w:p>
            <w:pPr>
              <w:pStyle w:val="TableParagraph"/>
              <w:spacing w:line="313" w:lineRule="exact"/>
              <w:ind w:left="50"/>
              <w:rPr>
                <w:rFonts w:ascii="Microsoft JhengHei"/>
                <w:b/>
                <w:sz w:val="21"/>
              </w:rPr>
            </w:pPr>
            <w:r>
              <w:rPr>
                <w:rFonts w:ascii="Microsoft JhengHei"/>
                <w:b/>
                <w:w w:val="90"/>
                <w:sz w:val="21"/>
              </w:rPr>
              <w:t>10. 18</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before="14"/>
              <w:ind w:left="134"/>
              <w:rPr>
                <w:sz w:val="21"/>
              </w:rPr>
            </w:pPr>
            <w:r>
              <w:rPr>
                <w:sz w:val="21"/>
              </w:rPr>
              <w:t>语言能力完全丧失，指无法发出四种语音（包括口唇音、齿舌音、口盖音和喉</w:t>
            </w:r>
          </w:p>
        </w:tc>
      </w:tr>
      <w:tr>
        <w:trPr>
          <w:trHeight w:val="303" w:hRule="atLeast"/>
        </w:trPr>
        <w:tc>
          <w:tcPr>
            <w:tcW w:w="682" w:type="dxa"/>
          </w:tcPr>
          <w:p>
            <w:pPr>
              <w:pStyle w:val="TableParagraph"/>
              <w:rPr>
                <w:rFonts w:ascii="Times New Roman"/>
                <w:sz w:val="20"/>
              </w:rPr>
            </w:pPr>
          </w:p>
        </w:tc>
        <w:tc>
          <w:tcPr>
            <w:tcW w:w="1948" w:type="dxa"/>
          </w:tcPr>
          <w:p>
            <w:pPr>
              <w:pStyle w:val="TableParagraph"/>
              <w:spacing w:line="269"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45"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31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咀嚼吞咽能力完全丧失，指因牙齿以外的原因导致器质障碍或机能障碍，以致</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不能作咀嚼吞咽运动，除流质食物外不能摄取或吞咽的状态。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355" w:hRule="atLeast"/>
        </w:trPr>
        <w:tc>
          <w:tcPr>
            <w:tcW w:w="682" w:type="dxa"/>
          </w:tcPr>
          <w:p>
            <w:pPr>
              <w:pStyle w:val="TableParagraph"/>
              <w:spacing w:line="313" w:lineRule="exact"/>
              <w:ind w:left="50"/>
              <w:rPr>
                <w:rFonts w:ascii="Microsoft JhengHei"/>
                <w:b/>
                <w:sz w:val="21"/>
              </w:rPr>
            </w:pPr>
            <w:r>
              <w:rPr>
                <w:rFonts w:ascii="Microsoft JhengHei"/>
                <w:b/>
                <w:w w:val="90"/>
                <w:sz w:val="21"/>
              </w:rPr>
              <w:t>10. 19</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before="14"/>
              <w:ind w:left="134"/>
              <w:rPr>
                <w:sz w:val="21"/>
              </w:rPr>
            </w:pPr>
            <w:r>
              <w:rPr>
                <w:sz w:val="21"/>
              </w:rPr>
              <w:t>六项基本日常生活活动是指：①穿衣：自己能够穿衣及脱衣；②移动：自己从</w:t>
            </w:r>
          </w:p>
        </w:tc>
      </w:tr>
      <w:tr>
        <w:trPr>
          <w:trHeight w:val="304" w:hRule="atLeast"/>
        </w:trPr>
        <w:tc>
          <w:tcPr>
            <w:tcW w:w="682" w:type="dxa"/>
          </w:tcPr>
          <w:p>
            <w:pPr>
              <w:pStyle w:val="TableParagraph"/>
              <w:rPr>
                <w:rFonts w:ascii="Times New Roman"/>
                <w:sz w:val="20"/>
              </w:rPr>
            </w:pPr>
          </w:p>
        </w:tc>
        <w:tc>
          <w:tcPr>
            <w:tcW w:w="1948" w:type="dxa"/>
          </w:tcPr>
          <w:p>
            <w:pPr>
              <w:pStyle w:val="TableParagraph"/>
              <w:spacing w:line="270"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46" w:lineRule="exact"/>
              <w:ind w:left="134"/>
              <w:rPr>
                <w:sz w:val="21"/>
              </w:rPr>
            </w:pPr>
            <w:r>
              <w:rPr>
                <w:sz w:val="21"/>
              </w:rPr>
              <w:t>一个房间到另一个房间；③行动：自己上下床或上下轮椅；④如厕：自己控制</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进行大小便；⑤进食：自己从已准备好的碗或碟中取食物放入口中；⑥洗澡：</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自己进行淋浴或盆浴。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6"/>
              <w:ind w:left="134"/>
              <w:rPr>
                <w:sz w:val="21"/>
              </w:rPr>
            </w:pPr>
            <w:r>
              <w:rPr>
                <w:w w:val="100"/>
                <w:sz w:val="21"/>
              </w:rPr>
              <w:t> </w:t>
            </w:r>
          </w:p>
        </w:tc>
      </w:tr>
      <w:tr>
        <w:trPr>
          <w:trHeight w:val="354" w:hRule="atLeast"/>
        </w:trPr>
        <w:tc>
          <w:tcPr>
            <w:tcW w:w="682" w:type="dxa"/>
          </w:tcPr>
          <w:p>
            <w:pPr>
              <w:pStyle w:val="TableParagraph"/>
              <w:spacing w:line="313" w:lineRule="exact"/>
              <w:ind w:left="50"/>
              <w:rPr>
                <w:rFonts w:ascii="Microsoft JhengHei"/>
                <w:b/>
                <w:sz w:val="21"/>
              </w:rPr>
            </w:pPr>
            <w:r>
              <w:rPr>
                <w:rFonts w:ascii="Microsoft JhengHei"/>
                <w:b/>
                <w:w w:val="90"/>
                <w:sz w:val="21"/>
              </w:rPr>
              <w:t>10. 20</w:t>
            </w:r>
          </w:p>
        </w:tc>
        <w:tc>
          <w:tcPr>
            <w:tcW w:w="1948" w:type="dxa"/>
          </w:tcPr>
          <w:p>
            <w:pPr>
              <w:pStyle w:val="TableParagraph"/>
              <w:spacing w:line="313"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before="14"/>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586" w:hRule="atLeast"/>
        </w:trPr>
        <w:tc>
          <w:tcPr>
            <w:tcW w:w="682" w:type="dxa"/>
          </w:tcPr>
          <w:p>
            <w:pPr>
              <w:pStyle w:val="TableParagraph"/>
              <w:spacing w:before="6"/>
              <w:rPr>
                <w:sz w:val="20"/>
              </w:rPr>
            </w:pPr>
          </w:p>
          <w:p>
            <w:pPr>
              <w:pStyle w:val="TableParagraph"/>
              <w:ind w:left="165"/>
              <w:rPr>
                <w:sz w:val="16"/>
              </w:rPr>
            </w:pPr>
            <w:r>
              <w:rPr>
                <w:w w:val="100"/>
                <w:sz w:val="16"/>
              </w:rPr>
              <w:t> </w:t>
            </w:r>
          </w:p>
        </w:tc>
        <w:tc>
          <w:tcPr>
            <w:tcW w:w="1948" w:type="dxa"/>
          </w:tcPr>
          <w:p>
            <w:pPr>
              <w:pStyle w:val="TableParagraph"/>
              <w:rPr>
                <w:rFonts w:ascii="Times New Roman"/>
                <w:sz w:val="20"/>
              </w:rPr>
            </w:pPr>
          </w:p>
        </w:tc>
        <w:tc>
          <w:tcPr>
            <w:tcW w:w="7447" w:type="dxa"/>
          </w:tcPr>
          <w:p>
            <w:pPr>
              <w:pStyle w:val="TableParagraph"/>
              <w:spacing w:line="244" w:lineRule="exact"/>
              <w:ind w:left="134"/>
              <w:rPr>
                <w:sz w:val="21"/>
              </w:rPr>
            </w:pPr>
            <w:r>
              <w:rPr>
                <w:sz w:val="21"/>
              </w:rPr>
              <w:t>有医疗手段恢复。 </w:t>
            </w:r>
          </w:p>
        </w:tc>
      </w:tr>
      <w:tr>
        <w:trPr>
          <w:trHeight w:val="261" w:hRule="atLeast"/>
        </w:trPr>
        <w:tc>
          <w:tcPr>
            <w:tcW w:w="682" w:type="dxa"/>
          </w:tcPr>
          <w:p>
            <w:pPr>
              <w:pStyle w:val="TableParagraph"/>
              <w:spacing w:line="197" w:lineRule="exact" w:before="44"/>
              <w:ind w:left="165"/>
              <w:rPr>
                <w:sz w:val="16"/>
              </w:rPr>
            </w:pPr>
            <w:r>
              <w:rPr>
                <w:w w:val="100"/>
                <w:sz w:val="16"/>
              </w:rPr>
              <w:t> </w:t>
            </w:r>
          </w:p>
        </w:tc>
        <w:tc>
          <w:tcPr>
            <w:tcW w:w="1948" w:type="dxa"/>
          </w:tcPr>
          <w:p>
            <w:pPr>
              <w:pStyle w:val="TableParagraph"/>
              <w:rPr>
                <w:rFonts w:ascii="Times New Roman"/>
                <w:sz w:val="18"/>
              </w:rPr>
            </w:pPr>
          </w:p>
        </w:tc>
        <w:tc>
          <w:tcPr>
            <w:tcW w:w="7447" w:type="dxa"/>
          </w:tcPr>
          <w:p>
            <w:pPr>
              <w:pStyle w:val="TableParagraph"/>
              <w:rPr>
                <w:rFonts w:ascii="Times New Roman"/>
                <w:sz w:val="18"/>
              </w:rPr>
            </w:pPr>
          </w:p>
        </w:tc>
      </w:tr>
    </w:tbl>
    <w:sectPr>
      <w:pgSz w:w="11900" w:h="16840"/>
      <w:pgMar w:header="0" w:footer="724" w:top="1580" w:bottom="920" w:left="114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05.320007pt;margin-top:794.820007pt;width:13.15pt;height:12pt;mso-position-horizontal-relative:page;mso-position-vertical-relative:page;z-index:-58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768" w:hanging="423"/>
      </w:pPr>
      <w:rPr>
        <w:rFonts w:hint="default" w:ascii="Wingdings" w:hAnsi="Wingdings" w:eastAsia="Wingdings" w:cs="Wingdings"/>
        <w:w w:val="100"/>
        <w:sz w:val="21"/>
        <w:szCs w:val="21"/>
      </w:rPr>
    </w:lvl>
    <w:lvl w:ilvl="1">
      <w:start w:val="0"/>
      <w:numFmt w:val="bullet"/>
      <w:lvlText w:val="•"/>
      <w:lvlJc w:val="left"/>
      <w:pPr>
        <w:ind w:left="2638" w:hanging="423"/>
      </w:pPr>
      <w:rPr>
        <w:rFonts w:hint="default"/>
      </w:rPr>
    </w:lvl>
    <w:lvl w:ilvl="2">
      <w:start w:val="0"/>
      <w:numFmt w:val="bullet"/>
      <w:lvlText w:val="•"/>
      <w:lvlJc w:val="left"/>
      <w:pPr>
        <w:ind w:left="3516" w:hanging="423"/>
      </w:pPr>
      <w:rPr>
        <w:rFonts w:hint="default"/>
      </w:rPr>
    </w:lvl>
    <w:lvl w:ilvl="3">
      <w:start w:val="0"/>
      <w:numFmt w:val="bullet"/>
      <w:lvlText w:val="•"/>
      <w:lvlJc w:val="left"/>
      <w:pPr>
        <w:ind w:left="4394" w:hanging="423"/>
      </w:pPr>
      <w:rPr>
        <w:rFonts w:hint="default"/>
      </w:rPr>
    </w:lvl>
    <w:lvl w:ilvl="4">
      <w:start w:val="0"/>
      <w:numFmt w:val="bullet"/>
      <w:lvlText w:val="•"/>
      <w:lvlJc w:val="left"/>
      <w:pPr>
        <w:ind w:left="5272" w:hanging="423"/>
      </w:pPr>
      <w:rPr>
        <w:rFonts w:hint="default"/>
      </w:rPr>
    </w:lvl>
    <w:lvl w:ilvl="5">
      <w:start w:val="0"/>
      <w:numFmt w:val="bullet"/>
      <w:lvlText w:val="•"/>
      <w:lvlJc w:val="left"/>
      <w:pPr>
        <w:ind w:left="6150" w:hanging="423"/>
      </w:pPr>
      <w:rPr>
        <w:rFonts w:hint="default"/>
      </w:rPr>
    </w:lvl>
    <w:lvl w:ilvl="6">
      <w:start w:val="0"/>
      <w:numFmt w:val="bullet"/>
      <w:lvlText w:val="•"/>
      <w:lvlJc w:val="left"/>
      <w:pPr>
        <w:ind w:left="7028" w:hanging="423"/>
      </w:pPr>
      <w:rPr>
        <w:rFonts w:hint="default"/>
      </w:rPr>
    </w:lvl>
    <w:lvl w:ilvl="7">
      <w:start w:val="0"/>
      <w:numFmt w:val="bullet"/>
      <w:lvlText w:val="•"/>
      <w:lvlJc w:val="left"/>
      <w:pPr>
        <w:ind w:left="7906" w:hanging="423"/>
      </w:pPr>
      <w:rPr>
        <w:rFonts w:hint="default"/>
      </w:rPr>
    </w:lvl>
    <w:lvl w:ilvl="8">
      <w:start w:val="0"/>
      <w:numFmt w:val="bullet"/>
      <w:lvlText w:val="•"/>
      <w:lvlJc w:val="left"/>
      <w:pPr>
        <w:ind w:left="8784" w:hanging="423"/>
      </w:pPr>
      <w:rPr>
        <w:rFonts w:hint="default"/>
      </w:rPr>
    </w:lvl>
  </w:abstractNum>
  <w:abstractNum w:abstractNumId="1">
    <w:multiLevelType w:val="hybridMultilevel"/>
    <w:lvl w:ilvl="0">
      <w:start w:val="0"/>
      <w:numFmt w:val="bullet"/>
      <w:lvlText w:val=""/>
      <w:lvlJc w:val="left"/>
      <w:pPr>
        <w:ind w:left="1768" w:hanging="423"/>
      </w:pPr>
      <w:rPr>
        <w:rFonts w:hint="default" w:ascii="Wingdings" w:hAnsi="Wingdings" w:eastAsia="Wingdings" w:cs="Wingdings"/>
        <w:w w:val="100"/>
        <w:sz w:val="21"/>
        <w:szCs w:val="21"/>
      </w:rPr>
    </w:lvl>
    <w:lvl w:ilvl="1">
      <w:start w:val="0"/>
      <w:numFmt w:val="bullet"/>
      <w:lvlText w:val="•"/>
      <w:lvlJc w:val="left"/>
      <w:pPr>
        <w:ind w:left="2638" w:hanging="423"/>
      </w:pPr>
      <w:rPr>
        <w:rFonts w:hint="default"/>
      </w:rPr>
    </w:lvl>
    <w:lvl w:ilvl="2">
      <w:start w:val="0"/>
      <w:numFmt w:val="bullet"/>
      <w:lvlText w:val="•"/>
      <w:lvlJc w:val="left"/>
      <w:pPr>
        <w:ind w:left="3516" w:hanging="423"/>
      </w:pPr>
      <w:rPr>
        <w:rFonts w:hint="default"/>
      </w:rPr>
    </w:lvl>
    <w:lvl w:ilvl="3">
      <w:start w:val="0"/>
      <w:numFmt w:val="bullet"/>
      <w:lvlText w:val="•"/>
      <w:lvlJc w:val="left"/>
      <w:pPr>
        <w:ind w:left="4394" w:hanging="423"/>
      </w:pPr>
      <w:rPr>
        <w:rFonts w:hint="default"/>
      </w:rPr>
    </w:lvl>
    <w:lvl w:ilvl="4">
      <w:start w:val="0"/>
      <w:numFmt w:val="bullet"/>
      <w:lvlText w:val="•"/>
      <w:lvlJc w:val="left"/>
      <w:pPr>
        <w:ind w:left="5272" w:hanging="423"/>
      </w:pPr>
      <w:rPr>
        <w:rFonts w:hint="default"/>
      </w:rPr>
    </w:lvl>
    <w:lvl w:ilvl="5">
      <w:start w:val="0"/>
      <w:numFmt w:val="bullet"/>
      <w:lvlText w:val="•"/>
      <w:lvlJc w:val="left"/>
      <w:pPr>
        <w:ind w:left="6150" w:hanging="423"/>
      </w:pPr>
      <w:rPr>
        <w:rFonts w:hint="default"/>
      </w:rPr>
    </w:lvl>
    <w:lvl w:ilvl="6">
      <w:start w:val="0"/>
      <w:numFmt w:val="bullet"/>
      <w:lvlText w:val="•"/>
      <w:lvlJc w:val="left"/>
      <w:pPr>
        <w:ind w:left="7028" w:hanging="423"/>
      </w:pPr>
      <w:rPr>
        <w:rFonts w:hint="default"/>
      </w:rPr>
    </w:lvl>
    <w:lvl w:ilvl="7">
      <w:start w:val="0"/>
      <w:numFmt w:val="bullet"/>
      <w:lvlText w:val="•"/>
      <w:lvlJc w:val="left"/>
      <w:pPr>
        <w:ind w:left="7906" w:hanging="423"/>
      </w:pPr>
      <w:rPr>
        <w:rFonts w:hint="default"/>
      </w:rPr>
    </w:lvl>
    <w:lvl w:ilvl="8">
      <w:start w:val="0"/>
      <w:numFmt w:val="bullet"/>
      <w:lvlText w:val="•"/>
      <w:lvlJc w:val="left"/>
      <w:pPr>
        <w:ind w:left="8784" w:hanging="423"/>
      </w:pPr>
      <w:rPr>
        <w:rFonts w:hint="default"/>
      </w:rPr>
    </w:lvl>
  </w:abstractNum>
  <w:abstractNum w:abstractNumId="14">
    <w:multiLevelType w:val="hybridMultilevel"/>
    <w:lvl w:ilvl="0">
      <w:start w:val="10"/>
      <w:numFmt w:val="decimal"/>
      <w:lvlText w:val="%1"/>
      <w:lvlJc w:val="left"/>
      <w:pPr>
        <w:ind w:left="919" w:hanging="756"/>
        <w:jc w:val="left"/>
      </w:pPr>
      <w:rPr>
        <w:rFonts w:hint="default"/>
      </w:rPr>
    </w:lvl>
    <w:lvl w:ilvl="1">
      <w:start w:val="9"/>
      <w:numFmt w:val="decimal"/>
      <w:lvlText w:val="%1.%2"/>
      <w:lvlJc w:val="left"/>
      <w:pPr>
        <w:ind w:left="91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796" w:hanging="756"/>
      </w:pPr>
      <w:rPr>
        <w:rFonts w:hint="default"/>
      </w:rPr>
    </w:lvl>
    <w:lvl w:ilvl="3">
      <w:start w:val="0"/>
      <w:numFmt w:val="bullet"/>
      <w:lvlText w:val="•"/>
      <w:lvlJc w:val="left"/>
      <w:pPr>
        <w:ind w:left="3734" w:hanging="756"/>
      </w:pPr>
      <w:rPr>
        <w:rFonts w:hint="default"/>
      </w:rPr>
    </w:lvl>
    <w:lvl w:ilvl="4">
      <w:start w:val="0"/>
      <w:numFmt w:val="bullet"/>
      <w:lvlText w:val="•"/>
      <w:lvlJc w:val="left"/>
      <w:pPr>
        <w:ind w:left="4672" w:hanging="756"/>
      </w:pPr>
      <w:rPr>
        <w:rFonts w:hint="default"/>
      </w:rPr>
    </w:lvl>
    <w:lvl w:ilvl="5">
      <w:start w:val="0"/>
      <w:numFmt w:val="bullet"/>
      <w:lvlText w:val="•"/>
      <w:lvlJc w:val="left"/>
      <w:pPr>
        <w:ind w:left="5610" w:hanging="756"/>
      </w:pPr>
      <w:rPr>
        <w:rFonts w:hint="default"/>
      </w:rPr>
    </w:lvl>
    <w:lvl w:ilvl="6">
      <w:start w:val="0"/>
      <w:numFmt w:val="bullet"/>
      <w:lvlText w:val="•"/>
      <w:lvlJc w:val="left"/>
      <w:pPr>
        <w:ind w:left="6548" w:hanging="756"/>
      </w:pPr>
      <w:rPr>
        <w:rFonts w:hint="default"/>
      </w:rPr>
    </w:lvl>
    <w:lvl w:ilvl="7">
      <w:start w:val="0"/>
      <w:numFmt w:val="bullet"/>
      <w:lvlText w:val="•"/>
      <w:lvlJc w:val="left"/>
      <w:pPr>
        <w:ind w:left="7486" w:hanging="756"/>
      </w:pPr>
      <w:rPr>
        <w:rFonts w:hint="default"/>
      </w:rPr>
    </w:lvl>
    <w:lvl w:ilvl="8">
      <w:start w:val="0"/>
      <w:numFmt w:val="bullet"/>
      <w:lvlText w:val="•"/>
      <w:lvlJc w:val="left"/>
      <w:pPr>
        <w:ind w:left="8424" w:hanging="756"/>
      </w:pPr>
      <w:rPr>
        <w:rFonts w:hint="default"/>
      </w:rPr>
    </w:lvl>
  </w:abstractNum>
  <w:abstractNum w:abstractNumId="13">
    <w:multiLevelType w:val="hybridMultilevel"/>
    <w:lvl w:ilvl="0">
      <w:start w:val="6"/>
      <w:numFmt w:val="decimal"/>
      <w:lvlText w:val="%1"/>
      <w:lvlJc w:val="left"/>
      <w:pPr>
        <w:ind w:left="2937" w:hanging="756"/>
        <w:jc w:val="left"/>
      </w:pPr>
      <w:rPr>
        <w:rFonts w:hint="default"/>
      </w:rPr>
    </w:lvl>
    <w:lvl w:ilvl="1">
      <w:start w:val="1"/>
      <w:numFmt w:val="decimal"/>
      <w:lvlText w:val="%1.%2"/>
      <w:lvlJc w:val="left"/>
      <w:pPr>
        <w:ind w:left="2937" w:hanging="756"/>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12">
    <w:multiLevelType w:val="hybridMultilevel"/>
    <w:lvl w:ilvl="0">
      <w:start w:val="3"/>
      <w:numFmt w:val="decimal"/>
      <w:lvlText w:val="%1"/>
      <w:lvlJc w:val="left"/>
      <w:pPr>
        <w:ind w:left="2817" w:hanging="756"/>
        <w:jc w:val="left"/>
      </w:pPr>
      <w:rPr>
        <w:rFonts w:hint="default"/>
      </w:rPr>
    </w:lvl>
    <w:lvl w:ilvl="1">
      <w:start w:val="4"/>
      <w:numFmt w:val="decimal"/>
      <w:lvlText w:val="%1.%2"/>
      <w:lvlJc w:val="left"/>
      <w:pPr>
        <w:ind w:left="2817" w:hanging="756"/>
        <w:jc w:val="left"/>
      </w:pPr>
      <w:rPr>
        <w:rFonts w:hint="default" w:ascii="Microsoft JhengHei" w:hAnsi="Microsoft JhengHei" w:eastAsia="Microsoft JhengHei" w:cs="Microsoft JhengHei"/>
        <w:b/>
        <w:bCs/>
        <w:spacing w:val="-29"/>
        <w:w w:val="84"/>
        <w:position w:val="6"/>
        <w:sz w:val="21"/>
        <w:szCs w:val="21"/>
      </w:rPr>
    </w:lvl>
    <w:lvl w:ilvl="2">
      <w:start w:val="0"/>
      <w:numFmt w:val="bullet"/>
      <w:lvlText w:val="•"/>
      <w:lvlJc w:val="left"/>
      <w:pPr>
        <w:ind w:left="4292" w:hanging="756"/>
      </w:pPr>
      <w:rPr>
        <w:rFonts w:hint="default"/>
      </w:rPr>
    </w:lvl>
    <w:lvl w:ilvl="3">
      <w:start w:val="0"/>
      <w:numFmt w:val="bullet"/>
      <w:lvlText w:val="•"/>
      <w:lvlJc w:val="left"/>
      <w:pPr>
        <w:ind w:left="5028" w:hanging="756"/>
      </w:pPr>
      <w:rPr>
        <w:rFonts w:hint="default"/>
      </w:rPr>
    </w:lvl>
    <w:lvl w:ilvl="4">
      <w:start w:val="0"/>
      <w:numFmt w:val="bullet"/>
      <w:lvlText w:val="•"/>
      <w:lvlJc w:val="left"/>
      <w:pPr>
        <w:ind w:left="5764" w:hanging="756"/>
      </w:pPr>
      <w:rPr>
        <w:rFonts w:hint="default"/>
      </w:rPr>
    </w:lvl>
    <w:lvl w:ilvl="5">
      <w:start w:val="0"/>
      <w:numFmt w:val="bullet"/>
      <w:lvlText w:val="•"/>
      <w:lvlJc w:val="left"/>
      <w:pPr>
        <w:ind w:left="6500" w:hanging="756"/>
      </w:pPr>
      <w:rPr>
        <w:rFonts w:hint="default"/>
      </w:rPr>
    </w:lvl>
    <w:lvl w:ilvl="6">
      <w:start w:val="0"/>
      <w:numFmt w:val="bullet"/>
      <w:lvlText w:val="•"/>
      <w:lvlJc w:val="left"/>
      <w:pPr>
        <w:ind w:left="7236" w:hanging="756"/>
      </w:pPr>
      <w:rPr>
        <w:rFonts w:hint="default"/>
      </w:rPr>
    </w:lvl>
    <w:lvl w:ilvl="7">
      <w:start w:val="0"/>
      <w:numFmt w:val="bullet"/>
      <w:lvlText w:val="•"/>
      <w:lvlJc w:val="left"/>
      <w:pPr>
        <w:ind w:left="7972" w:hanging="756"/>
      </w:pPr>
      <w:rPr>
        <w:rFonts w:hint="default"/>
      </w:rPr>
    </w:lvl>
    <w:lvl w:ilvl="8">
      <w:start w:val="0"/>
      <w:numFmt w:val="bullet"/>
      <w:lvlText w:val="•"/>
      <w:lvlJc w:val="left"/>
      <w:pPr>
        <w:ind w:left="8708" w:hanging="756"/>
      </w:pPr>
      <w:rPr>
        <w:rFonts w:hint="default"/>
      </w:rPr>
    </w:lvl>
  </w:abstractNum>
  <w:abstractNum w:abstractNumId="11">
    <w:multiLevelType w:val="hybridMultilevel"/>
    <w:lvl w:ilvl="0">
      <w:start w:val="1"/>
      <w:numFmt w:val="decimal"/>
      <w:lvlText w:val="%1"/>
      <w:lvlJc w:val="left"/>
      <w:pPr>
        <w:ind w:left="2937" w:hanging="756"/>
        <w:jc w:val="left"/>
      </w:pPr>
      <w:rPr>
        <w:rFonts w:hint="default"/>
      </w:rPr>
    </w:lvl>
    <w:lvl w:ilvl="1">
      <w:start w:val="1"/>
      <w:numFmt w:val="decimal"/>
      <w:lvlText w:val="%1.%2"/>
      <w:lvlJc w:val="left"/>
      <w:pPr>
        <w:ind w:left="2937"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0">
    <w:multiLevelType w:val="hybridMultilevel"/>
    <w:lvl w:ilvl="0">
      <w:start w:val="10"/>
      <w:numFmt w:val="decimal"/>
      <w:lvlText w:val="%1"/>
      <w:lvlJc w:val="left"/>
      <w:pPr>
        <w:ind w:left="631" w:hanging="632"/>
        <w:jc w:val="left"/>
      </w:pPr>
      <w:rPr>
        <w:rFonts w:hint="default"/>
      </w:rPr>
    </w:lvl>
    <w:lvl w:ilvl="1">
      <w:start w:val="10"/>
      <w:numFmt w:val="decimal"/>
      <w:lvlText w:val="%1.%2"/>
      <w:lvlJc w:val="left"/>
      <w:pPr>
        <w:ind w:left="631" w:hanging="632"/>
        <w:jc w:val="left"/>
      </w:pPr>
      <w:rPr>
        <w:rFonts w:hint="default" w:ascii="仿宋" w:hAnsi="仿宋" w:eastAsia="仿宋" w:cs="仿宋"/>
        <w:w w:val="100"/>
        <w:sz w:val="21"/>
        <w:szCs w:val="21"/>
      </w:rPr>
    </w:lvl>
    <w:lvl w:ilvl="2">
      <w:start w:val="0"/>
      <w:numFmt w:val="bullet"/>
      <w:lvlText w:val="•"/>
      <w:lvlJc w:val="left"/>
      <w:pPr>
        <w:ind w:left="1272" w:hanging="632"/>
      </w:pPr>
      <w:rPr>
        <w:rFonts w:hint="default"/>
      </w:rPr>
    </w:lvl>
    <w:lvl w:ilvl="3">
      <w:start w:val="0"/>
      <w:numFmt w:val="bullet"/>
      <w:lvlText w:val="•"/>
      <w:lvlJc w:val="left"/>
      <w:pPr>
        <w:ind w:left="1589" w:hanging="632"/>
      </w:pPr>
      <w:rPr>
        <w:rFonts w:hint="default"/>
      </w:rPr>
    </w:lvl>
    <w:lvl w:ilvl="4">
      <w:start w:val="0"/>
      <w:numFmt w:val="bullet"/>
      <w:lvlText w:val="•"/>
      <w:lvlJc w:val="left"/>
      <w:pPr>
        <w:ind w:left="1905" w:hanging="632"/>
      </w:pPr>
      <w:rPr>
        <w:rFonts w:hint="default"/>
      </w:rPr>
    </w:lvl>
    <w:lvl w:ilvl="5">
      <w:start w:val="0"/>
      <w:numFmt w:val="bullet"/>
      <w:lvlText w:val="•"/>
      <w:lvlJc w:val="left"/>
      <w:pPr>
        <w:ind w:left="2222" w:hanging="632"/>
      </w:pPr>
      <w:rPr>
        <w:rFonts w:hint="default"/>
      </w:rPr>
    </w:lvl>
    <w:lvl w:ilvl="6">
      <w:start w:val="0"/>
      <w:numFmt w:val="bullet"/>
      <w:lvlText w:val="•"/>
      <w:lvlJc w:val="left"/>
      <w:pPr>
        <w:ind w:left="2538" w:hanging="632"/>
      </w:pPr>
      <w:rPr>
        <w:rFonts w:hint="default"/>
      </w:rPr>
    </w:lvl>
    <w:lvl w:ilvl="7">
      <w:start w:val="0"/>
      <w:numFmt w:val="bullet"/>
      <w:lvlText w:val="•"/>
      <w:lvlJc w:val="left"/>
      <w:pPr>
        <w:ind w:left="2855" w:hanging="632"/>
      </w:pPr>
      <w:rPr>
        <w:rFonts w:hint="default"/>
      </w:rPr>
    </w:lvl>
    <w:lvl w:ilvl="8">
      <w:start w:val="0"/>
      <w:numFmt w:val="bullet"/>
      <w:lvlText w:val="•"/>
      <w:lvlJc w:val="left"/>
      <w:pPr>
        <w:ind w:left="3171" w:hanging="632"/>
      </w:pPr>
      <w:rPr>
        <w:rFonts w:hint="default"/>
      </w:rPr>
    </w:lvl>
  </w:abstractNum>
  <w:abstractNum w:abstractNumId="10">
    <w:multiLevelType w:val="hybridMultilevel"/>
    <w:lvl w:ilvl="0">
      <w:start w:val="10"/>
      <w:numFmt w:val="decimal"/>
      <w:lvlText w:val="%1"/>
      <w:lvlJc w:val="left"/>
      <w:pPr>
        <w:ind w:left="631" w:hanging="632"/>
        <w:jc w:val="left"/>
      </w:pPr>
      <w:rPr>
        <w:rFonts w:hint="default"/>
      </w:rPr>
    </w:lvl>
    <w:lvl w:ilvl="1">
      <w:start w:val="1"/>
      <w:numFmt w:val="decimal"/>
      <w:lvlText w:val="%1.%2"/>
      <w:lvlJc w:val="left"/>
      <w:pPr>
        <w:ind w:left="631" w:hanging="632"/>
        <w:jc w:val="left"/>
      </w:pPr>
      <w:rPr>
        <w:rFonts w:hint="default" w:ascii="仿宋" w:hAnsi="仿宋" w:eastAsia="仿宋" w:cs="仿宋"/>
        <w:w w:val="100"/>
        <w:sz w:val="21"/>
        <w:szCs w:val="21"/>
      </w:rPr>
    </w:lvl>
    <w:lvl w:ilvl="2">
      <w:start w:val="0"/>
      <w:numFmt w:val="bullet"/>
      <w:lvlText w:val="•"/>
      <w:lvlJc w:val="left"/>
      <w:pPr>
        <w:ind w:left="1062" w:hanging="632"/>
      </w:pPr>
      <w:rPr>
        <w:rFonts w:hint="default"/>
      </w:rPr>
    </w:lvl>
    <w:lvl w:ilvl="3">
      <w:start w:val="0"/>
      <w:numFmt w:val="bullet"/>
      <w:lvlText w:val="•"/>
      <w:lvlJc w:val="left"/>
      <w:pPr>
        <w:ind w:left="1274" w:hanging="632"/>
      </w:pPr>
      <w:rPr>
        <w:rFonts w:hint="default"/>
      </w:rPr>
    </w:lvl>
    <w:lvl w:ilvl="4">
      <w:start w:val="0"/>
      <w:numFmt w:val="bullet"/>
      <w:lvlText w:val="•"/>
      <w:lvlJc w:val="left"/>
      <w:pPr>
        <w:ind w:left="1485" w:hanging="632"/>
      </w:pPr>
      <w:rPr>
        <w:rFonts w:hint="default"/>
      </w:rPr>
    </w:lvl>
    <w:lvl w:ilvl="5">
      <w:start w:val="0"/>
      <w:numFmt w:val="bullet"/>
      <w:lvlText w:val="•"/>
      <w:lvlJc w:val="left"/>
      <w:pPr>
        <w:ind w:left="1696" w:hanging="632"/>
      </w:pPr>
      <w:rPr>
        <w:rFonts w:hint="default"/>
      </w:rPr>
    </w:lvl>
    <w:lvl w:ilvl="6">
      <w:start w:val="0"/>
      <w:numFmt w:val="bullet"/>
      <w:lvlText w:val="•"/>
      <w:lvlJc w:val="left"/>
      <w:pPr>
        <w:ind w:left="1908" w:hanging="632"/>
      </w:pPr>
      <w:rPr>
        <w:rFonts w:hint="default"/>
      </w:rPr>
    </w:lvl>
    <w:lvl w:ilvl="7">
      <w:start w:val="0"/>
      <w:numFmt w:val="bullet"/>
      <w:lvlText w:val="•"/>
      <w:lvlJc w:val="left"/>
      <w:pPr>
        <w:ind w:left="2119" w:hanging="632"/>
      </w:pPr>
      <w:rPr>
        <w:rFonts w:hint="default"/>
      </w:rPr>
    </w:lvl>
    <w:lvl w:ilvl="8">
      <w:start w:val="0"/>
      <w:numFmt w:val="bullet"/>
      <w:lvlText w:val="•"/>
      <w:lvlJc w:val="left"/>
      <w:pPr>
        <w:ind w:left="2330" w:hanging="632"/>
      </w:pPr>
      <w:rPr>
        <w:rFonts w:hint="default"/>
      </w:rPr>
    </w:lvl>
  </w:abstractNum>
  <w:abstractNum w:abstractNumId="9">
    <w:multiLevelType w:val="hybridMultilevel"/>
    <w:lvl w:ilvl="0">
      <w:start w:val="9"/>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337" w:hanging="423"/>
      </w:pPr>
      <w:rPr>
        <w:rFonts w:hint="default"/>
      </w:rPr>
    </w:lvl>
    <w:lvl w:ilvl="4">
      <w:start w:val="0"/>
      <w:numFmt w:val="bullet"/>
      <w:lvlText w:val="•"/>
      <w:lvlJc w:val="left"/>
      <w:pPr>
        <w:ind w:left="156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34" w:hanging="423"/>
      </w:pPr>
      <w:rPr>
        <w:rFonts w:hint="default"/>
      </w:rPr>
    </w:lvl>
    <w:lvl w:ilvl="7">
      <w:start w:val="0"/>
      <w:numFmt w:val="bullet"/>
      <w:lvlText w:val="•"/>
      <w:lvlJc w:val="left"/>
      <w:pPr>
        <w:ind w:left="2267" w:hanging="423"/>
      </w:pPr>
      <w:rPr>
        <w:rFonts w:hint="default"/>
      </w:rPr>
    </w:lvl>
    <w:lvl w:ilvl="8">
      <w:start w:val="0"/>
      <w:numFmt w:val="bullet"/>
      <w:lvlText w:val="•"/>
      <w:lvlJc w:val="left"/>
      <w:pPr>
        <w:ind w:left="2499" w:hanging="423"/>
      </w:pPr>
      <w:rPr>
        <w:rFonts w:hint="default"/>
      </w:rPr>
    </w:lvl>
  </w:abstractNum>
  <w:abstractNum w:abstractNumId="8">
    <w:multiLevelType w:val="hybridMultilevel"/>
    <w:lvl w:ilvl="0">
      <w:start w:val="8"/>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337" w:hanging="423"/>
      </w:pPr>
      <w:rPr>
        <w:rFonts w:hint="default"/>
      </w:rPr>
    </w:lvl>
    <w:lvl w:ilvl="4">
      <w:start w:val="0"/>
      <w:numFmt w:val="bullet"/>
      <w:lvlText w:val="•"/>
      <w:lvlJc w:val="left"/>
      <w:pPr>
        <w:ind w:left="156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34" w:hanging="423"/>
      </w:pPr>
      <w:rPr>
        <w:rFonts w:hint="default"/>
      </w:rPr>
    </w:lvl>
    <w:lvl w:ilvl="7">
      <w:start w:val="0"/>
      <w:numFmt w:val="bullet"/>
      <w:lvlText w:val="•"/>
      <w:lvlJc w:val="left"/>
      <w:pPr>
        <w:ind w:left="2267" w:hanging="423"/>
      </w:pPr>
      <w:rPr>
        <w:rFonts w:hint="default"/>
      </w:rPr>
    </w:lvl>
    <w:lvl w:ilvl="8">
      <w:start w:val="0"/>
      <w:numFmt w:val="bullet"/>
      <w:lvlText w:val="•"/>
      <w:lvlJc w:val="left"/>
      <w:pPr>
        <w:ind w:left="2499" w:hanging="423"/>
      </w:pPr>
      <w:rPr>
        <w:rFonts w:hint="default"/>
      </w:rPr>
    </w:lvl>
  </w:abstractNum>
  <w:abstractNum w:abstractNumId="7">
    <w:multiLevelType w:val="hybridMultilevel"/>
    <w:lvl w:ilvl="0">
      <w:start w:val="6"/>
      <w:numFmt w:val="decimal"/>
      <w:lvlText w:val="%1"/>
      <w:lvlJc w:val="left"/>
      <w:pPr>
        <w:ind w:left="631" w:hanging="420"/>
        <w:jc w:val="left"/>
      </w:pPr>
      <w:rPr>
        <w:rFonts w:hint="default"/>
      </w:rPr>
    </w:lvl>
    <w:lvl w:ilvl="1">
      <w:start w:val="1"/>
      <w:numFmt w:val="decimal"/>
      <w:lvlText w:val="%1.%2"/>
      <w:lvlJc w:val="left"/>
      <w:pPr>
        <w:ind w:left="631" w:hanging="420"/>
        <w:jc w:val="left"/>
      </w:pPr>
      <w:rPr>
        <w:rFonts w:hint="default" w:ascii="仿宋" w:hAnsi="仿宋" w:eastAsia="仿宋" w:cs="仿宋"/>
        <w:w w:val="100"/>
        <w:sz w:val="21"/>
        <w:szCs w:val="21"/>
      </w:rPr>
    </w:lvl>
    <w:lvl w:ilvl="2">
      <w:start w:val="0"/>
      <w:numFmt w:val="bullet"/>
      <w:lvlText w:val="•"/>
      <w:lvlJc w:val="left"/>
      <w:pPr>
        <w:ind w:left="1104" w:hanging="420"/>
      </w:pPr>
      <w:rPr>
        <w:rFonts w:hint="default"/>
      </w:rPr>
    </w:lvl>
    <w:lvl w:ilvl="3">
      <w:start w:val="0"/>
      <w:numFmt w:val="bullet"/>
      <w:lvlText w:val="•"/>
      <w:lvlJc w:val="left"/>
      <w:pPr>
        <w:ind w:left="1337" w:hanging="420"/>
      </w:pPr>
      <w:rPr>
        <w:rFonts w:hint="default"/>
      </w:rPr>
    </w:lvl>
    <w:lvl w:ilvl="4">
      <w:start w:val="0"/>
      <w:numFmt w:val="bullet"/>
      <w:lvlText w:val="•"/>
      <w:lvlJc w:val="left"/>
      <w:pPr>
        <w:ind w:left="1569" w:hanging="420"/>
      </w:pPr>
      <w:rPr>
        <w:rFonts w:hint="default"/>
      </w:rPr>
    </w:lvl>
    <w:lvl w:ilvl="5">
      <w:start w:val="0"/>
      <w:numFmt w:val="bullet"/>
      <w:lvlText w:val="•"/>
      <w:lvlJc w:val="left"/>
      <w:pPr>
        <w:ind w:left="1802" w:hanging="420"/>
      </w:pPr>
      <w:rPr>
        <w:rFonts w:hint="default"/>
      </w:rPr>
    </w:lvl>
    <w:lvl w:ilvl="6">
      <w:start w:val="0"/>
      <w:numFmt w:val="bullet"/>
      <w:lvlText w:val="•"/>
      <w:lvlJc w:val="left"/>
      <w:pPr>
        <w:ind w:left="2034" w:hanging="420"/>
      </w:pPr>
      <w:rPr>
        <w:rFonts w:hint="default"/>
      </w:rPr>
    </w:lvl>
    <w:lvl w:ilvl="7">
      <w:start w:val="0"/>
      <w:numFmt w:val="bullet"/>
      <w:lvlText w:val="•"/>
      <w:lvlJc w:val="left"/>
      <w:pPr>
        <w:ind w:left="2267" w:hanging="420"/>
      </w:pPr>
      <w:rPr>
        <w:rFonts w:hint="default"/>
      </w:rPr>
    </w:lvl>
    <w:lvl w:ilvl="8">
      <w:start w:val="0"/>
      <w:numFmt w:val="bullet"/>
      <w:lvlText w:val="•"/>
      <w:lvlJc w:val="left"/>
      <w:pPr>
        <w:ind w:left="2499" w:hanging="420"/>
      </w:pPr>
      <w:rPr>
        <w:rFonts w:hint="default"/>
      </w:rPr>
    </w:lvl>
  </w:abstractNum>
  <w:abstractNum w:abstractNumId="6">
    <w:multiLevelType w:val="hybridMultilevel"/>
    <w:lvl w:ilvl="0">
      <w:start w:val="5"/>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337" w:hanging="423"/>
      </w:pPr>
      <w:rPr>
        <w:rFonts w:hint="default"/>
      </w:rPr>
    </w:lvl>
    <w:lvl w:ilvl="4">
      <w:start w:val="0"/>
      <w:numFmt w:val="bullet"/>
      <w:lvlText w:val="•"/>
      <w:lvlJc w:val="left"/>
      <w:pPr>
        <w:ind w:left="156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34" w:hanging="423"/>
      </w:pPr>
      <w:rPr>
        <w:rFonts w:hint="default"/>
      </w:rPr>
    </w:lvl>
    <w:lvl w:ilvl="7">
      <w:start w:val="0"/>
      <w:numFmt w:val="bullet"/>
      <w:lvlText w:val="•"/>
      <w:lvlJc w:val="left"/>
      <w:pPr>
        <w:ind w:left="2267" w:hanging="423"/>
      </w:pPr>
      <w:rPr>
        <w:rFonts w:hint="default"/>
      </w:rPr>
    </w:lvl>
    <w:lvl w:ilvl="8">
      <w:start w:val="0"/>
      <w:numFmt w:val="bullet"/>
      <w:lvlText w:val="•"/>
      <w:lvlJc w:val="left"/>
      <w:pPr>
        <w:ind w:left="2499" w:hanging="423"/>
      </w:pPr>
      <w:rPr>
        <w:rFonts w:hint="default"/>
      </w:rPr>
    </w:lvl>
  </w:abstractNum>
  <w:abstractNum w:abstractNumId="5">
    <w:multiLevelType w:val="hybridMultilevel"/>
    <w:lvl w:ilvl="0">
      <w:start w:val="3"/>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938" w:hanging="423"/>
      </w:pPr>
      <w:rPr>
        <w:rFonts w:hint="default"/>
      </w:rPr>
    </w:lvl>
    <w:lvl w:ilvl="3">
      <w:start w:val="0"/>
      <w:numFmt w:val="bullet"/>
      <w:lvlText w:val="•"/>
      <w:lvlJc w:val="left"/>
      <w:pPr>
        <w:ind w:left="1087" w:hanging="423"/>
      </w:pPr>
      <w:rPr>
        <w:rFonts w:hint="default"/>
      </w:rPr>
    </w:lvl>
    <w:lvl w:ilvl="4">
      <w:start w:val="0"/>
      <w:numFmt w:val="bullet"/>
      <w:lvlText w:val="•"/>
      <w:lvlJc w:val="left"/>
      <w:pPr>
        <w:ind w:left="1236" w:hanging="423"/>
      </w:pPr>
      <w:rPr>
        <w:rFonts w:hint="default"/>
      </w:rPr>
    </w:lvl>
    <w:lvl w:ilvl="5">
      <w:start w:val="0"/>
      <w:numFmt w:val="bullet"/>
      <w:lvlText w:val="•"/>
      <w:lvlJc w:val="left"/>
      <w:pPr>
        <w:ind w:left="1386" w:hanging="423"/>
      </w:pPr>
      <w:rPr>
        <w:rFonts w:hint="default"/>
      </w:rPr>
    </w:lvl>
    <w:lvl w:ilvl="6">
      <w:start w:val="0"/>
      <w:numFmt w:val="bullet"/>
      <w:lvlText w:val="•"/>
      <w:lvlJc w:val="left"/>
      <w:pPr>
        <w:ind w:left="1535" w:hanging="423"/>
      </w:pPr>
      <w:rPr>
        <w:rFonts w:hint="default"/>
      </w:rPr>
    </w:lvl>
    <w:lvl w:ilvl="7">
      <w:start w:val="0"/>
      <w:numFmt w:val="bullet"/>
      <w:lvlText w:val="•"/>
      <w:lvlJc w:val="left"/>
      <w:pPr>
        <w:ind w:left="1684" w:hanging="423"/>
      </w:pPr>
      <w:rPr>
        <w:rFonts w:hint="default"/>
      </w:rPr>
    </w:lvl>
    <w:lvl w:ilvl="8">
      <w:start w:val="0"/>
      <w:numFmt w:val="bullet"/>
      <w:lvlText w:val="•"/>
      <w:lvlJc w:val="left"/>
      <w:pPr>
        <w:ind w:left="1833" w:hanging="423"/>
      </w:pPr>
      <w:rPr>
        <w:rFonts w:hint="default"/>
      </w:rPr>
    </w:lvl>
  </w:abstractNum>
  <w:abstractNum w:abstractNumId="4">
    <w:multiLevelType w:val="hybridMultilevel"/>
    <w:lvl w:ilvl="0">
      <w:start w:val="2"/>
      <w:numFmt w:val="decimal"/>
      <w:lvlText w:val="%1"/>
      <w:lvlJc w:val="left"/>
      <w:pPr>
        <w:ind w:left="631" w:hanging="423"/>
        <w:jc w:val="left"/>
      </w:pPr>
      <w:rPr>
        <w:rFonts w:hint="default"/>
      </w:rPr>
    </w:lvl>
    <w:lvl w:ilvl="1">
      <w:start w:val="1"/>
      <w:numFmt w:val="decimal"/>
      <w:lvlText w:val="%1.%2"/>
      <w:lvlJc w:val="left"/>
      <w:pPr>
        <w:ind w:left="631" w:hanging="423"/>
        <w:jc w:val="left"/>
      </w:pPr>
      <w:rPr>
        <w:rFonts w:hint="default" w:ascii="仿宋" w:hAnsi="仿宋" w:eastAsia="仿宋" w:cs="仿宋"/>
        <w:w w:val="100"/>
        <w:sz w:val="21"/>
        <w:szCs w:val="21"/>
      </w:rPr>
    </w:lvl>
    <w:lvl w:ilvl="2">
      <w:start w:val="0"/>
      <w:numFmt w:val="bullet"/>
      <w:lvlText w:val="•"/>
      <w:lvlJc w:val="left"/>
      <w:pPr>
        <w:ind w:left="938" w:hanging="423"/>
      </w:pPr>
      <w:rPr>
        <w:rFonts w:hint="default"/>
      </w:rPr>
    </w:lvl>
    <w:lvl w:ilvl="3">
      <w:start w:val="0"/>
      <w:numFmt w:val="bullet"/>
      <w:lvlText w:val="•"/>
      <w:lvlJc w:val="left"/>
      <w:pPr>
        <w:ind w:left="1087" w:hanging="423"/>
      </w:pPr>
      <w:rPr>
        <w:rFonts w:hint="default"/>
      </w:rPr>
    </w:lvl>
    <w:lvl w:ilvl="4">
      <w:start w:val="0"/>
      <w:numFmt w:val="bullet"/>
      <w:lvlText w:val="•"/>
      <w:lvlJc w:val="left"/>
      <w:pPr>
        <w:ind w:left="1236" w:hanging="423"/>
      </w:pPr>
      <w:rPr>
        <w:rFonts w:hint="default"/>
      </w:rPr>
    </w:lvl>
    <w:lvl w:ilvl="5">
      <w:start w:val="0"/>
      <w:numFmt w:val="bullet"/>
      <w:lvlText w:val="•"/>
      <w:lvlJc w:val="left"/>
      <w:pPr>
        <w:ind w:left="1386" w:hanging="423"/>
      </w:pPr>
      <w:rPr>
        <w:rFonts w:hint="default"/>
      </w:rPr>
    </w:lvl>
    <w:lvl w:ilvl="6">
      <w:start w:val="0"/>
      <w:numFmt w:val="bullet"/>
      <w:lvlText w:val="•"/>
      <w:lvlJc w:val="left"/>
      <w:pPr>
        <w:ind w:left="1535" w:hanging="423"/>
      </w:pPr>
      <w:rPr>
        <w:rFonts w:hint="default"/>
      </w:rPr>
    </w:lvl>
    <w:lvl w:ilvl="7">
      <w:start w:val="0"/>
      <w:numFmt w:val="bullet"/>
      <w:lvlText w:val="•"/>
      <w:lvlJc w:val="left"/>
      <w:pPr>
        <w:ind w:left="1684" w:hanging="423"/>
      </w:pPr>
      <w:rPr>
        <w:rFonts w:hint="default"/>
      </w:rPr>
    </w:lvl>
    <w:lvl w:ilvl="8">
      <w:start w:val="0"/>
      <w:numFmt w:val="bullet"/>
      <w:lvlText w:val="•"/>
      <w:lvlJc w:val="left"/>
      <w:pPr>
        <w:ind w:left="1833" w:hanging="423"/>
      </w:pPr>
      <w:rPr>
        <w:rFonts w:hint="default"/>
      </w:rPr>
    </w:lvl>
  </w:abstractNum>
  <w:abstractNum w:abstractNumId="3">
    <w:multiLevelType w:val="hybridMultilevel"/>
    <w:lvl w:ilvl="0">
      <w:start w:val="1"/>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938" w:hanging="423"/>
      </w:pPr>
      <w:rPr>
        <w:rFonts w:hint="default"/>
      </w:rPr>
    </w:lvl>
    <w:lvl w:ilvl="3">
      <w:start w:val="0"/>
      <w:numFmt w:val="bullet"/>
      <w:lvlText w:val="•"/>
      <w:lvlJc w:val="left"/>
      <w:pPr>
        <w:ind w:left="1087" w:hanging="423"/>
      </w:pPr>
      <w:rPr>
        <w:rFonts w:hint="default"/>
      </w:rPr>
    </w:lvl>
    <w:lvl w:ilvl="4">
      <w:start w:val="0"/>
      <w:numFmt w:val="bullet"/>
      <w:lvlText w:val="•"/>
      <w:lvlJc w:val="left"/>
      <w:pPr>
        <w:ind w:left="1236" w:hanging="423"/>
      </w:pPr>
      <w:rPr>
        <w:rFonts w:hint="default"/>
      </w:rPr>
    </w:lvl>
    <w:lvl w:ilvl="5">
      <w:start w:val="0"/>
      <w:numFmt w:val="bullet"/>
      <w:lvlText w:val="•"/>
      <w:lvlJc w:val="left"/>
      <w:pPr>
        <w:ind w:left="1386" w:hanging="423"/>
      </w:pPr>
      <w:rPr>
        <w:rFonts w:hint="default"/>
      </w:rPr>
    </w:lvl>
    <w:lvl w:ilvl="6">
      <w:start w:val="0"/>
      <w:numFmt w:val="bullet"/>
      <w:lvlText w:val="•"/>
      <w:lvlJc w:val="left"/>
      <w:pPr>
        <w:ind w:left="1535" w:hanging="423"/>
      </w:pPr>
      <w:rPr>
        <w:rFonts w:hint="default"/>
      </w:rPr>
    </w:lvl>
    <w:lvl w:ilvl="7">
      <w:start w:val="0"/>
      <w:numFmt w:val="bullet"/>
      <w:lvlText w:val="•"/>
      <w:lvlJc w:val="left"/>
      <w:pPr>
        <w:ind w:left="1684" w:hanging="423"/>
      </w:pPr>
      <w:rPr>
        <w:rFonts w:hint="default"/>
      </w:rPr>
    </w:lvl>
    <w:lvl w:ilvl="8">
      <w:start w:val="0"/>
      <w:numFmt w:val="bullet"/>
      <w:lvlText w:val="•"/>
      <w:lvlJc w:val="left"/>
      <w:pPr>
        <w:ind w:left="1833" w:hanging="423"/>
      </w:pPr>
      <w:rPr>
        <w:rFonts w:hint="default"/>
      </w:rPr>
    </w:lvl>
  </w:abstractNum>
  <w:num w:numId="3">
    <w:abstractNumId w:val="2"/>
  </w:num>
  <w:num w:numId="2">
    <w:abstractNumId w:val="1"/>
  </w:num>
  <w:num w:numId="15">
    <w:abstractNumId w:val="14"/>
  </w:num>
  <w:num w:numId="14">
    <w:abstractNumId w:val="13"/>
  </w:num>
  <w:num w:numId="13">
    <w:abstractNumId w:val="12"/>
  </w:num>
  <w:num w:numId="12">
    <w:abstractNumId w:val="11"/>
  </w:num>
  <w:num w:numId="1">
    <w:abstractNumId w:val="0"/>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5"/>
      <w:ind w:left="2337"/>
    </w:pPr>
    <w:rPr>
      <w:rFonts w:ascii="宋体" w:hAnsi="宋体" w:eastAsia="宋体" w:cs="宋体"/>
      <w:sz w:val="21"/>
      <w:szCs w:val="21"/>
    </w:rPr>
  </w:style>
  <w:style w:styleId="Heading1" w:type="paragraph">
    <w:name w:val="Heading 1"/>
    <w:basedOn w:val="Normal"/>
    <w:uiPriority w:val="1"/>
    <w:qFormat/>
    <w:pPr>
      <w:ind w:left="1916" w:right="1786"/>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68"/>
      <w:ind w:left="22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325" w:lineRule="exact"/>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60" w:lineRule="exact"/>
      <w:ind w:left="1768"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嘉禾发[2012]349号-14 嘉禾附加福寿安康重大疾病保险条款</dc:title>
  <dcterms:created xsi:type="dcterms:W3CDTF">2018-10-19T22:07:13Z</dcterms:created>
  <dcterms:modified xsi:type="dcterms:W3CDTF">2018-10-19T22:07:13Z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