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33" w:lineRule="exact" w:before="0"/>
        <w:ind w:left="5" w:right="49" w:firstLine="0"/>
        <w:jc w:val="center"/>
        <w:rPr>
          <w:rFonts w:ascii="Microsoft JhengHei" w:eastAsia="Microsoft JhengHei" w:hint="eastAsia"/>
          <w:b/>
          <w:sz w:val="32"/>
        </w:rPr>
      </w:pPr>
      <w:r>
        <w:rPr>
          <w:rFonts w:ascii="Microsoft JhengHei" w:eastAsia="Microsoft JhengHei" w:hint="eastAsia"/>
          <w:b/>
          <w:sz w:val="32"/>
        </w:rPr>
        <w:t>光大永明人寿保险有限公司</w:t>
      </w:r>
    </w:p>
    <w:p>
      <w:pPr>
        <w:pStyle w:val="BodyText"/>
        <w:spacing w:before="3"/>
        <w:rPr>
          <w:rFonts w:ascii="Microsoft JhengHei"/>
          <w:b/>
          <w:sz w:val="20"/>
        </w:rPr>
      </w:pPr>
    </w:p>
    <w:p>
      <w:pPr>
        <w:spacing w:before="0"/>
        <w:ind w:left="5" w:right="48" w:firstLine="0"/>
        <w:jc w:val="center"/>
        <w:rPr>
          <w:b/>
          <w:sz w:val="48"/>
        </w:rPr>
      </w:pPr>
      <w:r>
        <w:rPr>
          <w:b/>
          <w:w w:val="95"/>
          <w:sz w:val="48"/>
        </w:rPr>
        <w:t>光大永明附加金保瑞重大疾病保险</w:t>
      </w:r>
    </w:p>
    <w:p>
      <w:pPr>
        <w:pStyle w:val="BodyText"/>
        <w:spacing w:before="1"/>
        <w:rPr>
          <w:b/>
          <w:sz w:val="54"/>
        </w:rPr>
      </w:pPr>
    </w:p>
    <w:p>
      <w:pPr>
        <w:spacing w:before="1"/>
        <w:ind w:left="214" w:right="0" w:firstLine="0"/>
        <w:jc w:val="left"/>
        <w:rPr>
          <w:rFonts w:ascii="Microsoft JhengHei" w:eastAsia="Microsoft JhengHei" w:hint="eastAsia"/>
          <w:b/>
          <w:sz w:val="18"/>
        </w:rPr>
      </w:pPr>
      <w:r>
        <w:rPr>
          <w:rFonts w:ascii="Microsoft JhengHei" w:eastAsia="Microsoft JhengHei" w:hint="eastAsia"/>
          <w:b/>
          <w:sz w:val="18"/>
        </w:rPr>
        <w:t>感谢您选择了光大永明人寿。为了帮助您更好地理解本条款，在阅读本条款前，请您注意阅读提示和说明。</w:t>
      </w:r>
    </w:p>
    <w:p>
      <w:pPr>
        <w:pStyle w:val="BodyText"/>
        <w:spacing w:before="11"/>
        <w:rPr>
          <w:rFonts w:ascii="Microsoft JhengHei"/>
          <w:b/>
          <w:sz w:val="13"/>
        </w:rPr>
      </w:pPr>
    </w:p>
    <w:p>
      <w:pPr>
        <w:spacing w:before="0"/>
        <w:ind w:left="214" w:right="0" w:firstLine="0"/>
        <w:jc w:val="left"/>
        <w:rPr>
          <w:rFonts w:ascii="Microsoft JhengHei" w:eastAsia="Microsoft JhengHei" w:hint="eastAsia"/>
          <w:b/>
          <w:sz w:val="28"/>
        </w:rPr>
      </w:pPr>
      <w:r>
        <w:rPr>
          <w:rFonts w:ascii="Microsoft JhengHei" w:eastAsia="Microsoft JhengHei" w:hint="eastAsia"/>
          <w:b/>
          <w:sz w:val="28"/>
        </w:rPr>
        <w:t>阅读提示</w:t>
      </w:r>
    </w:p>
    <w:p>
      <w:pPr>
        <w:pStyle w:val="BodyText"/>
        <w:spacing w:before="14"/>
        <w:rPr>
          <w:rFonts w:ascii="Microsoft JhengHei"/>
          <w:b/>
          <w:sz w:val="17"/>
        </w:rPr>
      </w:pPr>
      <w:r>
        <w:rPr/>
        <w:pict>
          <v:line style="position:absolute;mso-position-horizontal-relative:page;mso-position-vertical-relative:paragraph;z-index:0;mso-wrap-distance-left:0;mso-wrap-distance-right:0" from="51.299999pt,17.712172pt" to="557.819999pt,17.712172pt" stroked="true" strokeweight=".47998pt" strokecolor="#000000">
            <v:stroke dashstyle="solid"/>
            <w10:wrap type="topAndBottom"/>
          </v:line>
        </w:pict>
      </w:r>
    </w:p>
    <w:p>
      <w:pPr>
        <w:spacing w:before="0"/>
        <w:ind w:left="5" w:right="0" w:firstLine="0"/>
        <w:jc w:val="center"/>
        <w:rPr>
          <w:rFonts w:ascii="Microsoft JhengHei" w:eastAsia="Microsoft JhengHei" w:hint="eastAsia"/>
          <w:b/>
          <w:sz w:val="24"/>
        </w:rPr>
      </w:pPr>
      <w:r>
        <w:rPr>
          <w:rFonts w:ascii="Microsoft JhengHei" w:eastAsia="Microsoft JhengHei" w:hint="eastAsia"/>
          <w:b/>
          <w:sz w:val="24"/>
        </w:rPr>
        <w:t>您所享有的重要权益</w:t>
      </w:r>
    </w:p>
    <w:p>
      <w:pPr>
        <w:pStyle w:val="BodyText"/>
        <w:spacing w:before="11"/>
        <w:rPr>
          <w:rFonts w:ascii="Microsoft JhengHei"/>
          <w:b/>
          <w:sz w:val="6"/>
        </w:rPr>
      </w:pPr>
    </w:p>
    <w:p>
      <w:pPr>
        <w:pStyle w:val="BodyText"/>
        <w:tabs>
          <w:tab w:pos="8418" w:val="left" w:leader="none"/>
          <w:tab w:pos="9067" w:val="left" w:leader="none"/>
          <w:tab w:pos="9716" w:val="left" w:leader="none"/>
        </w:tabs>
        <w:spacing w:line="341" w:lineRule="exact"/>
        <w:ind w:left="5"/>
        <w:jc w:val="center"/>
        <w:rPr>
          <w:rFonts w:ascii="Microsoft JhengHei" w:hAnsi="Microsoft JhengHei" w:eastAsia="Microsoft JhengHei" w:hint="eastAsia"/>
          <w:b/>
        </w:rPr>
      </w:pPr>
      <w:r>
        <w:rPr>
          <w:w w:val="80"/>
        </w:rPr>
        <w:t>本附加合同所提供的保</w:t>
      </w:r>
      <w:r>
        <w:rPr>
          <w:spacing w:val="10"/>
          <w:w w:val="80"/>
        </w:rPr>
        <w:t>障</w:t>
      </w:r>
      <w:r>
        <w:rPr>
          <w:rFonts w:ascii="Times New Roman" w:hAnsi="Times New Roman" w:eastAsia="Times New Roman"/>
          <w:w w:val="80"/>
        </w:rPr>
        <w:t>··········································································································</w:t>
        <w:tab/>
      </w:r>
      <w:r>
        <w:rPr>
          <w:rFonts w:ascii="Microsoft JhengHei" w:hAnsi="Microsoft JhengHei" w:eastAsia="Microsoft JhengHei" w:hint="eastAsia"/>
          <w:b/>
        </w:rPr>
        <w:t>第</w:t>
        <w:tab/>
        <w:t>五</w:t>
        <w:tab/>
        <w:t>条</w:t>
      </w:r>
    </w:p>
    <w:p>
      <w:pPr>
        <w:spacing w:before="53"/>
        <w:ind w:left="1749" w:right="1743" w:firstLine="0"/>
        <w:jc w:val="center"/>
        <w:rPr>
          <w:rFonts w:ascii="Microsoft JhengHei" w:eastAsia="Microsoft JhengHei" w:hint="eastAsia"/>
          <w:b/>
          <w:sz w:val="24"/>
        </w:rPr>
      </w:pPr>
      <w:r>
        <w:rPr>
          <w:rFonts w:ascii="Microsoft JhengHei" w:eastAsia="Microsoft JhengHei" w:hint="eastAsia"/>
          <w:b/>
          <w:sz w:val="24"/>
        </w:rPr>
        <w:t>您应当特别注意的事项</w:t>
      </w:r>
    </w:p>
    <w:p>
      <w:pPr>
        <w:pStyle w:val="BodyText"/>
        <w:spacing w:before="7"/>
        <w:rPr>
          <w:rFonts w:ascii="Microsoft JhengHei"/>
          <w:b/>
          <w:sz w:val="12"/>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9"/>
        <w:gridCol w:w="613"/>
        <w:gridCol w:w="648"/>
        <w:gridCol w:w="478"/>
      </w:tblGrid>
      <w:tr>
        <w:trPr>
          <w:trHeight w:val="348" w:hRule="atLeast"/>
        </w:trPr>
        <w:tc>
          <w:tcPr>
            <w:tcW w:w="8279" w:type="dxa"/>
          </w:tcPr>
          <w:p>
            <w:pPr>
              <w:pStyle w:val="TableParagraph"/>
              <w:spacing w:line="233" w:lineRule="exact"/>
              <w:ind w:left="50"/>
              <w:rPr>
                <w:sz w:val="21"/>
              </w:rPr>
            </w:pPr>
            <w:r>
              <w:rPr>
                <w:rFonts w:ascii="宋体" w:hAnsi="宋体" w:eastAsia="宋体" w:hint="eastAsia"/>
                <w:w w:val="80"/>
                <w:sz w:val="21"/>
              </w:rPr>
              <w:t>在某些情况下，我们不承担保险责任</w:t>
            </w:r>
            <w:r>
              <w:rPr>
                <w:w w:val="80"/>
                <w:sz w:val="21"/>
              </w:rPr>
              <w:t>······················································································</w:t>
            </w:r>
          </w:p>
        </w:tc>
        <w:tc>
          <w:tcPr>
            <w:tcW w:w="613" w:type="dxa"/>
          </w:tcPr>
          <w:p>
            <w:pPr>
              <w:pStyle w:val="TableParagraph"/>
              <w:spacing w:line="241" w:lineRule="exact"/>
              <w:ind w:left="184"/>
              <w:rPr>
                <w:rFonts w:ascii="Microsoft JhengHei" w:eastAsia="Microsoft JhengHei" w:hint="eastAsia"/>
                <w:b/>
                <w:sz w:val="21"/>
              </w:rPr>
            </w:pPr>
            <w:r>
              <w:rPr>
                <w:rFonts w:ascii="Microsoft JhengHei" w:eastAsia="Microsoft JhengHei" w:hint="eastAsia"/>
                <w:b/>
                <w:sz w:val="21"/>
              </w:rPr>
              <w:t>第</w:t>
            </w:r>
          </w:p>
        </w:tc>
        <w:tc>
          <w:tcPr>
            <w:tcW w:w="648" w:type="dxa"/>
          </w:tcPr>
          <w:p>
            <w:pPr>
              <w:pStyle w:val="TableParagraph"/>
              <w:spacing w:line="241" w:lineRule="exact"/>
              <w:ind w:left="220"/>
              <w:rPr>
                <w:rFonts w:ascii="Microsoft JhengHei" w:eastAsia="Microsoft JhengHei" w:hint="eastAsia"/>
                <w:b/>
                <w:sz w:val="21"/>
              </w:rPr>
            </w:pPr>
            <w:r>
              <w:rPr>
                <w:rFonts w:ascii="Microsoft JhengHei" w:eastAsia="Microsoft JhengHei" w:hint="eastAsia"/>
                <w:b/>
                <w:sz w:val="21"/>
              </w:rPr>
              <w:t>六</w:t>
            </w:r>
          </w:p>
        </w:tc>
        <w:tc>
          <w:tcPr>
            <w:tcW w:w="478" w:type="dxa"/>
          </w:tcPr>
          <w:p>
            <w:pPr>
              <w:pStyle w:val="TableParagraph"/>
              <w:spacing w:line="241" w:lineRule="exact"/>
              <w:ind w:right="45"/>
              <w:jc w:val="right"/>
              <w:rPr>
                <w:rFonts w:ascii="Microsoft JhengHei" w:eastAsia="Microsoft JhengHei" w:hint="eastAsia"/>
                <w:b/>
                <w:sz w:val="21"/>
              </w:rPr>
            </w:pPr>
            <w:r>
              <w:rPr>
                <w:rFonts w:ascii="Microsoft JhengHei" w:eastAsia="Microsoft JhengHei" w:hint="eastAsia"/>
                <w:b/>
                <w:sz w:val="21"/>
              </w:rPr>
              <w:t>条</w:t>
            </w:r>
          </w:p>
        </w:tc>
      </w:tr>
      <w:tr>
        <w:trPr>
          <w:trHeight w:val="348" w:hRule="atLeast"/>
        </w:trPr>
        <w:tc>
          <w:tcPr>
            <w:tcW w:w="8279" w:type="dxa"/>
          </w:tcPr>
          <w:p>
            <w:pPr>
              <w:pStyle w:val="TableParagraph"/>
              <w:spacing w:line="271" w:lineRule="exact" w:before="57"/>
              <w:ind w:left="50"/>
              <w:rPr>
                <w:sz w:val="21"/>
              </w:rPr>
            </w:pPr>
            <w:r>
              <w:rPr>
                <w:rFonts w:ascii="宋体" w:hAnsi="宋体" w:eastAsia="宋体" w:hint="eastAsia"/>
                <w:w w:val="80"/>
                <w:sz w:val="21"/>
              </w:rPr>
              <w:t>如何申领保险金 </w:t>
            </w:r>
            <w:r>
              <w:rPr>
                <w:w w:val="80"/>
                <w:sz w:val="21"/>
              </w:rPr>
              <w:t>·························································································································</w:t>
            </w:r>
          </w:p>
        </w:tc>
        <w:tc>
          <w:tcPr>
            <w:tcW w:w="613" w:type="dxa"/>
          </w:tcPr>
          <w:p>
            <w:pPr>
              <w:pStyle w:val="TableParagraph"/>
              <w:spacing w:line="328" w:lineRule="exact"/>
              <w:ind w:left="184"/>
              <w:rPr>
                <w:rFonts w:ascii="Microsoft JhengHei" w:eastAsia="Microsoft JhengHei" w:hint="eastAsia"/>
                <w:b/>
                <w:sz w:val="21"/>
              </w:rPr>
            </w:pPr>
            <w:r>
              <w:rPr>
                <w:rFonts w:ascii="Microsoft JhengHei" w:eastAsia="Microsoft JhengHei" w:hint="eastAsia"/>
                <w:b/>
                <w:sz w:val="21"/>
              </w:rPr>
              <w:t>第</w:t>
            </w:r>
          </w:p>
        </w:tc>
        <w:tc>
          <w:tcPr>
            <w:tcW w:w="648" w:type="dxa"/>
          </w:tcPr>
          <w:p>
            <w:pPr>
              <w:pStyle w:val="TableParagraph"/>
              <w:spacing w:line="328" w:lineRule="exact"/>
              <w:ind w:left="220"/>
              <w:rPr>
                <w:rFonts w:ascii="Microsoft JhengHei" w:eastAsia="Microsoft JhengHei" w:hint="eastAsia"/>
                <w:b/>
                <w:sz w:val="21"/>
              </w:rPr>
            </w:pPr>
            <w:r>
              <w:rPr>
                <w:rFonts w:ascii="Microsoft JhengHei" w:eastAsia="Microsoft JhengHei" w:hint="eastAsia"/>
                <w:b/>
                <w:sz w:val="21"/>
              </w:rPr>
              <w:t>八</w:t>
            </w:r>
          </w:p>
        </w:tc>
        <w:tc>
          <w:tcPr>
            <w:tcW w:w="478" w:type="dxa"/>
          </w:tcPr>
          <w:p>
            <w:pPr>
              <w:pStyle w:val="TableParagraph"/>
              <w:spacing w:line="328" w:lineRule="exact"/>
              <w:ind w:right="45"/>
              <w:jc w:val="right"/>
              <w:rPr>
                <w:rFonts w:ascii="Microsoft JhengHei" w:eastAsia="Microsoft JhengHei" w:hint="eastAsia"/>
                <w:b/>
                <w:sz w:val="21"/>
              </w:rPr>
            </w:pPr>
            <w:r>
              <w:rPr>
                <w:rFonts w:ascii="Microsoft JhengHei" w:eastAsia="Microsoft JhengHei" w:hint="eastAsia"/>
                <w:b/>
                <w:sz w:val="21"/>
              </w:rPr>
              <w:t>条</w:t>
            </w:r>
          </w:p>
        </w:tc>
      </w:tr>
    </w:tbl>
    <w:p>
      <w:pPr>
        <w:pStyle w:val="BodyText"/>
        <w:rPr>
          <w:rFonts w:ascii="Microsoft JhengHei"/>
          <w:b/>
          <w:sz w:val="20"/>
        </w:rPr>
      </w:pPr>
    </w:p>
    <w:p>
      <w:pPr>
        <w:pStyle w:val="BodyText"/>
        <w:spacing w:before="2"/>
        <w:rPr>
          <w:rFonts w:ascii="Microsoft JhengHei"/>
          <w:b/>
          <w:sz w:val="27"/>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9"/>
        <w:gridCol w:w="925"/>
        <w:gridCol w:w="7646"/>
      </w:tblGrid>
      <w:tr>
        <w:trPr>
          <w:trHeight w:val="660" w:hRule="atLeast"/>
        </w:trPr>
        <w:tc>
          <w:tcPr>
            <w:tcW w:w="1559" w:type="dxa"/>
            <w:tcBorders>
              <w:bottom w:val="single" w:sz="4" w:space="0" w:color="000000"/>
            </w:tcBorders>
          </w:tcPr>
          <w:p>
            <w:pPr>
              <w:pStyle w:val="TableParagraph"/>
              <w:spacing w:line="312" w:lineRule="exact"/>
              <w:ind w:left="108"/>
              <w:rPr>
                <w:rFonts w:ascii="Microsoft JhengHei" w:eastAsia="Microsoft JhengHei" w:hint="eastAsia"/>
                <w:b/>
                <w:sz w:val="28"/>
              </w:rPr>
            </w:pPr>
            <w:r>
              <w:rPr>
                <w:rFonts w:ascii="Microsoft JhengHei" w:eastAsia="Microsoft JhengHei" w:hint="eastAsia"/>
                <w:b/>
                <w:sz w:val="28"/>
              </w:rPr>
              <w:t>说明</w:t>
            </w:r>
          </w:p>
        </w:tc>
        <w:tc>
          <w:tcPr>
            <w:tcW w:w="8571" w:type="dxa"/>
            <w:gridSpan w:val="2"/>
            <w:tcBorders>
              <w:bottom w:val="single" w:sz="4" w:space="0" w:color="000000"/>
            </w:tcBorders>
          </w:tcPr>
          <w:p>
            <w:pPr>
              <w:pStyle w:val="TableParagraph"/>
              <w:rPr>
                <w:sz w:val="22"/>
              </w:rPr>
            </w:pPr>
          </w:p>
        </w:tc>
      </w:tr>
      <w:tr>
        <w:trPr>
          <w:trHeight w:val="379" w:hRule="atLeast"/>
        </w:trPr>
        <w:tc>
          <w:tcPr>
            <w:tcW w:w="1559" w:type="dxa"/>
            <w:tcBorders>
              <w:top w:val="single" w:sz="4" w:space="0" w:color="000000"/>
            </w:tcBorders>
          </w:tcPr>
          <w:p>
            <w:pPr>
              <w:pStyle w:val="TableParagraph"/>
              <w:spacing w:line="333" w:lineRule="exact"/>
              <w:ind w:left="108"/>
              <w:rPr>
                <w:rFonts w:ascii="Microsoft JhengHei" w:eastAsia="Microsoft JhengHei" w:hint="eastAsia"/>
                <w:b/>
                <w:sz w:val="21"/>
              </w:rPr>
            </w:pPr>
            <w:r>
              <w:rPr>
                <w:rFonts w:ascii="Microsoft JhengHei" w:eastAsia="Microsoft JhengHei" w:hint="eastAsia"/>
                <w:b/>
                <w:sz w:val="21"/>
              </w:rPr>
              <w:t>我们</w:t>
            </w:r>
          </w:p>
        </w:tc>
        <w:tc>
          <w:tcPr>
            <w:tcW w:w="925" w:type="dxa"/>
            <w:tcBorders>
              <w:top w:val="single" w:sz="4" w:space="0" w:color="000000"/>
            </w:tcBorders>
          </w:tcPr>
          <w:p>
            <w:pPr>
              <w:pStyle w:val="TableParagraph"/>
              <w:spacing w:line="333" w:lineRule="exact"/>
              <w:ind w:right="107"/>
              <w:jc w:val="right"/>
              <w:rPr>
                <w:rFonts w:ascii="Microsoft JhengHei" w:eastAsia="Microsoft JhengHei" w:hint="eastAsia"/>
                <w:b/>
                <w:sz w:val="21"/>
              </w:rPr>
            </w:pPr>
            <w:r>
              <w:rPr>
                <w:rFonts w:ascii="Microsoft JhengHei" w:eastAsia="Microsoft JhengHei" w:hint="eastAsia"/>
                <w:b/>
                <w:sz w:val="21"/>
              </w:rPr>
              <w:t>：</w:t>
            </w:r>
          </w:p>
        </w:tc>
        <w:tc>
          <w:tcPr>
            <w:tcW w:w="7646" w:type="dxa"/>
            <w:tcBorders>
              <w:top w:val="single" w:sz="4" w:space="0" w:color="000000"/>
            </w:tcBorders>
          </w:tcPr>
          <w:p>
            <w:pPr>
              <w:pStyle w:val="TableParagraph"/>
              <w:spacing w:before="34"/>
              <w:ind w:left="109"/>
              <w:rPr>
                <w:rFonts w:ascii="宋体" w:eastAsia="宋体" w:hint="eastAsia"/>
                <w:sz w:val="21"/>
              </w:rPr>
            </w:pPr>
            <w:r>
              <w:rPr>
                <w:rFonts w:ascii="宋体" w:eastAsia="宋体" w:hint="eastAsia"/>
                <w:sz w:val="21"/>
              </w:rPr>
              <w:t>指光大永明人寿保险有限公司。</w:t>
            </w:r>
          </w:p>
        </w:tc>
      </w:tr>
      <w:tr>
        <w:trPr>
          <w:trHeight w:val="350" w:hRule="atLeast"/>
        </w:trPr>
        <w:tc>
          <w:tcPr>
            <w:tcW w:w="1559" w:type="dxa"/>
          </w:tcPr>
          <w:p>
            <w:pPr>
              <w:pStyle w:val="TableParagraph"/>
              <w:spacing w:line="304" w:lineRule="exact"/>
              <w:ind w:left="108"/>
              <w:rPr>
                <w:rFonts w:ascii="Microsoft JhengHei" w:eastAsia="Microsoft JhengHei" w:hint="eastAsia"/>
                <w:b/>
                <w:sz w:val="21"/>
              </w:rPr>
            </w:pPr>
            <w:r>
              <w:rPr>
                <w:rFonts w:ascii="Microsoft JhengHei" w:eastAsia="Microsoft JhengHei" w:hint="eastAsia"/>
                <w:b/>
                <w:sz w:val="21"/>
              </w:rPr>
              <w:t>您</w:t>
            </w:r>
          </w:p>
        </w:tc>
        <w:tc>
          <w:tcPr>
            <w:tcW w:w="925" w:type="dxa"/>
          </w:tcPr>
          <w:p>
            <w:pPr>
              <w:pStyle w:val="TableParagraph"/>
              <w:spacing w:line="304" w:lineRule="exact"/>
              <w:ind w:right="107"/>
              <w:jc w:val="right"/>
              <w:rPr>
                <w:rFonts w:ascii="Microsoft JhengHei" w:eastAsia="Microsoft JhengHei" w:hint="eastAsia"/>
                <w:b/>
                <w:sz w:val="21"/>
              </w:rPr>
            </w:pPr>
            <w:r>
              <w:rPr>
                <w:rFonts w:ascii="Microsoft JhengHei" w:eastAsia="Microsoft JhengHei" w:hint="eastAsia"/>
                <w:b/>
                <w:sz w:val="21"/>
              </w:rPr>
              <w:t>：</w:t>
            </w:r>
          </w:p>
        </w:tc>
        <w:tc>
          <w:tcPr>
            <w:tcW w:w="7646" w:type="dxa"/>
          </w:tcPr>
          <w:p>
            <w:pPr>
              <w:pStyle w:val="TableParagraph"/>
              <w:spacing w:before="5"/>
              <w:ind w:left="109"/>
              <w:rPr>
                <w:rFonts w:ascii="宋体" w:eastAsia="宋体" w:hint="eastAsia"/>
                <w:sz w:val="21"/>
              </w:rPr>
            </w:pPr>
            <w:r>
              <w:rPr>
                <w:rFonts w:ascii="宋体" w:eastAsia="宋体" w:hint="eastAsia"/>
                <w:sz w:val="21"/>
              </w:rPr>
              <w:t>指投保人。</w:t>
            </w:r>
          </w:p>
        </w:tc>
      </w:tr>
      <w:tr>
        <w:trPr>
          <w:trHeight w:val="280" w:hRule="atLeast"/>
        </w:trPr>
        <w:tc>
          <w:tcPr>
            <w:tcW w:w="1559" w:type="dxa"/>
          </w:tcPr>
          <w:p>
            <w:pPr>
              <w:pStyle w:val="TableParagraph"/>
              <w:spacing w:line="260" w:lineRule="exact"/>
              <w:ind w:left="108"/>
              <w:rPr>
                <w:rFonts w:ascii="Microsoft JhengHei" w:eastAsia="Microsoft JhengHei" w:hint="eastAsia"/>
                <w:b/>
                <w:sz w:val="21"/>
              </w:rPr>
            </w:pPr>
            <w:r>
              <w:rPr>
                <w:rFonts w:ascii="Microsoft JhengHei" w:eastAsia="Microsoft JhengHei" w:hint="eastAsia"/>
                <w:b/>
                <w:sz w:val="21"/>
              </w:rPr>
              <w:t>保险条款</w:t>
            </w:r>
          </w:p>
        </w:tc>
        <w:tc>
          <w:tcPr>
            <w:tcW w:w="925" w:type="dxa"/>
          </w:tcPr>
          <w:p>
            <w:pPr>
              <w:pStyle w:val="TableParagraph"/>
              <w:spacing w:line="260" w:lineRule="exact"/>
              <w:ind w:right="107"/>
              <w:jc w:val="right"/>
              <w:rPr>
                <w:rFonts w:ascii="Microsoft JhengHei" w:eastAsia="Microsoft JhengHei" w:hint="eastAsia"/>
                <w:b/>
                <w:sz w:val="21"/>
              </w:rPr>
            </w:pPr>
            <w:r>
              <w:rPr>
                <w:rFonts w:ascii="Microsoft JhengHei" w:eastAsia="Microsoft JhengHei" w:hint="eastAsia"/>
                <w:b/>
                <w:sz w:val="21"/>
              </w:rPr>
              <w:t>：</w:t>
            </w:r>
          </w:p>
        </w:tc>
        <w:tc>
          <w:tcPr>
            <w:tcW w:w="7646" w:type="dxa"/>
          </w:tcPr>
          <w:p>
            <w:pPr>
              <w:pStyle w:val="TableParagraph"/>
              <w:spacing w:line="255" w:lineRule="exact" w:before="5"/>
              <w:ind w:left="109"/>
              <w:rPr>
                <w:rFonts w:ascii="宋体" w:eastAsia="宋体" w:hint="eastAsia"/>
                <w:sz w:val="21"/>
              </w:rPr>
            </w:pPr>
            <w:r>
              <w:rPr>
                <w:rFonts w:ascii="宋体" w:eastAsia="宋体" w:hint="eastAsia"/>
                <w:sz w:val="21"/>
              </w:rPr>
              <w:t>指本条款。</w:t>
            </w:r>
          </w:p>
        </w:tc>
      </w:tr>
    </w:tbl>
    <w:p>
      <w:pPr>
        <w:spacing w:after="0" w:line="255" w:lineRule="exact"/>
        <w:rPr>
          <w:rFonts w:ascii="宋体" w:eastAsia="宋体" w:hint="eastAsia"/>
          <w:sz w:val="21"/>
        </w:rPr>
        <w:sectPr>
          <w:footerReference w:type="default" r:id="rId5"/>
          <w:type w:val="continuous"/>
          <w:pgSz w:w="11910" w:h="16840"/>
          <w:pgMar w:footer="998" w:top="1520" w:bottom="1180" w:left="920" w:right="640"/>
          <w:pgNumType w:start="1"/>
        </w:sectPr>
      </w:pPr>
    </w:p>
    <w:p>
      <w:pPr>
        <w:spacing w:line="446" w:lineRule="exact" w:before="0"/>
        <w:ind w:left="4340" w:right="4235" w:firstLine="0"/>
        <w:jc w:val="center"/>
        <w:rPr>
          <w:b/>
          <w:sz w:val="36"/>
        </w:rPr>
      </w:pPr>
      <w:r>
        <w:rPr>
          <w:b/>
          <w:w w:val="95"/>
          <w:sz w:val="36"/>
        </w:rPr>
        <w:t>条款目录</w:t>
      </w:r>
    </w:p>
    <w:sdt>
      <w:sdtPr>
        <w:docPartObj>
          <w:docPartGallery w:val="Table of Contents"/>
          <w:docPartUnique/>
        </w:docPartObj>
      </w:sdtPr>
      <w:sdtEndPr/>
      <w:sdtContent>
        <w:p>
          <w:pPr>
            <w:pStyle w:val="TOC1"/>
            <w:tabs>
              <w:tab w:pos="1189" w:val="left" w:leader="none"/>
              <w:tab w:pos="9874" w:val="right" w:leader="dot"/>
            </w:tabs>
            <w:spacing w:line="240" w:lineRule="auto" w:before="362"/>
            <w:rPr>
              <w:rFonts w:ascii="Times New Roman" w:eastAsia="Times New Roman"/>
            </w:rPr>
          </w:pPr>
          <w:hyperlink w:history="true" w:anchor="_TOC_250014">
            <w:r>
              <w:rPr/>
              <w:t>第一部分</w:t>
              <w:tab/>
              <w:t>您与我们的合同</w:t>
              <w:tab/>
            </w:r>
            <w:r>
              <w:rPr>
                <w:rFonts w:ascii="Times New Roman" w:eastAsia="Times New Roman"/>
              </w:rPr>
              <w:t>1</w:t>
            </w:r>
          </w:hyperlink>
        </w:p>
        <w:p>
          <w:pPr>
            <w:pStyle w:val="TOC2"/>
            <w:tabs>
              <w:tab w:pos="1909" w:val="left" w:leader="none"/>
              <w:tab w:pos="9873" w:val="right" w:leader="dot"/>
            </w:tabs>
            <w:spacing w:before="13"/>
            <w:rPr>
              <w:rFonts w:ascii="Times New Roman" w:eastAsia="Times New Roman"/>
            </w:rPr>
          </w:pPr>
          <w:hyperlink w:history="true" w:anchor="_TOC_250013">
            <w:r>
              <w:rPr/>
              <w:t>第一条</w:t>
              <w:tab/>
              <w:t>附加保险合同的构成</w:t>
              <w:tab/>
            </w:r>
            <w:r>
              <w:rPr>
                <w:rFonts w:ascii="Times New Roman" w:eastAsia="Times New Roman"/>
              </w:rPr>
              <w:t>1</w:t>
            </w:r>
          </w:hyperlink>
        </w:p>
        <w:p>
          <w:pPr>
            <w:pStyle w:val="TOC2"/>
            <w:tabs>
              <w:tab w:pos="1909" w:val="left" w:leader="none"/>
              <w:tab w:pos="9873" w:val="right" w:leader="dot"/>
            </w:tabs>
            <w:rPr>
              <w:rFonts w:ascii="Times New Roman" w:eastAsia="Times New Roman"/>
            </w:rPr>
          </w:pPr>
          <w:hyperlink w:history="true" w:anchor="_TOC_250012">
            <w:r>
              <w:rPr/>
              <w:t>第二条</w:t>
              <w:tab/>
              <w:t>受益人的指定</w:t>
              <w:tab/>
            </w:r>
            <w:r>
              <w:rPr>
                <w:rFonts w:ascii="Times New Roman" w:eastAsia="Times New Roman"/>
              </w:rPr>
              <w:t>1</w:t>
            </w:r>
          </w:hyperlink>
        </w:p>
        <w:p>
          <w:pPr>
            <w:pStyle w:val="TOC2"/>
            <w:tabs>
              <w:tab w:pos="1909" w:val="left" w:leader="none"/>
              <w:tab w:pos="9873" w:val="right" w:leader="dot"/>
            </w:tabs>
            <w:rPr>
              <w:rFonts w:ascii="Times New Roman" w:eastAsia="Times New Roman"/>
            </w:rPr>
          </w:pPr>
          <w:r>
            <w:rPr/>
            <w:t>第三条</w:t>
            <w:tab/>
            <w:t>保险责任的开始</w:t>
            <w:tab/>
          </w:r>
          <w:r>
            <w:rPr>
              <w:rFonts w:ascii="Times New Roman" w:eastAsia="Times New Roman"/>
            </w:rPr>
            <w:t>1</w:t>
          </w:r>
        </w:p>
        <w:p>
          <w:pPr>
            <w:pStyle w:val="TOC2"/>
            <w:tabs>
              <w:tab w:pos="1909" w:val="left" w:leader="none"/>
              <w:tab w:pos="9873" w:val="right" w:leader="dot"/>
            </w:tabs>
            <w:spacing w:line="268" w:lineRule="exact"/>
            <w:rPr>
              <w:rFonts w:ascii="Times New Roman" w:eastAsia="Times New Roman"/>
            </w:rPr>
          </w:pPr>
          <w:hyperlink w:history="true" w:anchor="_TOC_250011">
            <w:r>
              <w:rPr/>
              <w:t>第四条</w:t>
              <w:tab/>
              <w:t>附加保险合同的终止</w:t>
              <w:tab/>
            </w:r>
            <w:r>
              <w:rPr>
                <w:rFonts w:ascii="Times New Roman" w:eastAsia="Times New Roman"/>
              </w:rPr>
              <w:t>1</w:t>
            </w:r>
          </w:hyperlink>
        </w:p>
        <w:p>
          <w:pPr>
            <w:pStyle w:val="TOC1"/>
            <w:tabs>
              <w:tab w:pos="1189" w:val="left" w:leader="none"/>
              <w:tab w:pos="9874" w:val="right" w:leader="dot"/>
            </w:tabs>
            <w:rPr>
              <w:rFonts w:ascii="Times New Roman" w:eastAsia="Times New Roman"/>
            </w:rPr>
          </w:pPr>
          <w:hyperlink w:history="true" w:anchor="_TOC_250010">
            <w:r>
              <w:rPr/>
              <w:t>第二部分</w:t>
              <w:tab/>
              <w:t>我们提供的保障</w:t>
              <w:tab/>
            </w:r>
            <w:r>
              <w:rPr>
                <w:rFonts w:ascii="Times New Roman" w:eastAsia="Times New Roman"/>
              </w:rPr>
              <w:t>1</w:t>
            </w:r>
          </w:hyperlink>
        </w:p>
        <w:p>
          <w:pPr>
            <w:pStyle w:val="TOC2"/>
            <w:tabs>
              <w:tab w:pos="1909" w:val="left" w:leader="none"/>
              <w:tab w:pos="9874" w:val="right" w:leader="dot"/>
            </w:tabs>
            <w:spacing w:before="13"/>
            <w:rPr>
              <w:rFonts w:ascii="Times New Roman" w:eastAsia="Times New Roman"/>
            </w:rPr>
          </w:pPr>
          <w:hyperlink w:history="true" w:anchor="_TOC_250009">
            <w:r>
              <w:rPr/>
              <w:t>第五条</w:t>
              <w:tab/>
              <w:t>保险责任</w:t>
              <w:tab/>
            </w:r>
            <w:r>
              <w:rPr>
                <w:rFonts w:ascii="Times New Roman" w:eastAsia="Times New Roman"/>
              </w:rPr>
              <w:t>1</w:t>
            </w:r>
          </w:hyperlink>
        </w:p>
        <w:p>
          <w:pPr>
            <w:pStyle w:val="TOC2"/>
            <w:tabs>
              <w:tab w:pos="1909" w:val="left" w:leader="none"/>
              <w:tab w:pos="9874" w:val="right" w:leader="dot"/>
            </w:tabs>
            <w:rPr>
              <w:rFonts w:ascii="Times New Roman" w:eastAsia="Times New Roman"/>
            </w:rPr>
          </w:pPr>
          <w:hyperlink w:history="true" w:anchor="_TOC_250008">
            <w:r>
              <w:rPr/>
              <w:t>第六条</w:t>
              <w:tab/>
              <w:t>责任免除</w:t>
              <w:tab/>
            </w:r>
            <w:r>
              <w:rPr>
                <w:rFonts w:ascii="Times New Roman" w:eastAsia="Times New Roman"/>
              </w:rPr>
              <w:t>2</w:t>
            </w:r>
          </w:hyperlink>
        </w:p>
        <w:p>
          <w:pPr>
            <w:pStyle w:val="TOC2"/>
            <w:tabs>
              <w:tab w:pos="1909" w:val="left" w:leader="none"/>
              <w:tab w:pos="9874" w:val="right" w:leader="dot"/>
            </w:tabs>
            <w:spacing w:line="268" w:lineRule="exact"/>
            <w:rPr>
              <w:rFonts w:ascii="Times New Roman" w:eastAsia="Times New Roman"/>
            </w:rPr>
          </w:pPr>
          <w:hyperlink w:history="true" w:anchor="_TOC_250007">
            <w:r>
              <w:rPr/>
              <w:t>第七条</w:t>
              <w:tab/>
              <w:t>保险金额</w:t>
              <w:tab/>
            </w:r>
            <w:r>
              <w:rPr>
                <w:rFonts w:ascii="Times New Roman" w:eastAsia="Times New Roman"/>
              </w:rPr>
              <w:t>2</w:t>
            </w:r>
          </w:hyperlink>
        </w:p>
        <w:p>
          <w:pPr>
            <w:pStyle w:val="TOC1"/>
            <w:tabs>
              <w:tab w:pos="1189" w:val="left" w:leader="none"/>
              <w:tab w:pos="9874" w:val="right" w:leader="dot"/>
            </w:tabs>
            <w:rPr>
              <w:rFonts w:ascii="Times New Roman" w:eastAsia="Times New Roman"/>
            </w:rPr>
          </w:pPr>
          <w:hyperlink w:history="true" w:anchor="_TOC_250006">
            <w:r>
              <w:rPr/>
              <w:t>第三部分</w:t>
              <w:tab/>
              <w:t>如何领取保险金</w:t>
              <w:tab/>
            </w:r>
            <w:r>
              <w:rPr>
                <w:rFonts w:ascii="Times New Roman" w:eastAsia="Times New Roman"/>
              </w:rPr>
              <w:t>2</w:t>
            </w:r>
          </w:hyperlink>
        </w:p>
        <w:p>
          <w:pPr>
            <w:pStyle w:val="TOC2"/>
            <w:tabs>
              <w:tab w:pos="1909" w:val="left" w:leader="none"/>
              <w:tab w:pos="9873" w:val="right" w:leader="dot"/>
            </w:tabs>
            <w:spacing w:before="13"/>
            <w:rPr>
              <w:rFonts w:ascii="Times New Roman" w:eastAsia="Times New Roman"/>
            </w:rPr>
          </w:pPr>
          <w:hyperlink w:history="true" w:anchor="_TOC_250005">
            <w:r>
              <w:rPr/>
              <w:t>第八条</w:t>
              <w:tab/>
              <w:t>保险金的申领</w:t>
              <w:tab/>
            </w:r>
            <w:r>
              <w:rPr>
                <w:rFonts w:ascii="Times New Roman" w:eastAsia="Times New Roman"/>
              </w:rPr>
              <w:t>2</w:t>
            </w:r>
          </w:hyperlink>
        </w:p>
        <w:p>
          <w:pPr>
            <w:pStyle w:val="TOC2"/>
            <w:tabs>
              <w:tab w:pos="1909" w:val="left" w:leader="none"/>
              <w:tab w:pos="9874" w:val="right" w:leader="dot"/>
            </w:tabs>
            <w:spacing w:line="268" w:lineRule="exact" w:before="20"/>
            <w:rPr>
              <w:rFonts w:ascii="Times New Roman" w:eastAsia="Times New Roman"/>
            </w:rPr>
          </w:pPr>
          <w:r>
            <w:rPr/>
            <w:t>第九条</w:t>
            <w:tab/>
            <w:t>索赔时效</w:t>
            <w:tab/>
          </w:r>
          <w:r>
            <w:rPr>
              <w:rFonts w:ascii="Times New Roman" w:eastAsia="Times New Roman"/>
            </w:rPr>
            <w:t>2</w:t>
          </w:r>
        </w:p>
        <w:p>
          <w:pPr>
            <w:pStyle w:val="TOC1"/>
            <w:tabs>
              <w:tab w:pos="1189" w:val="left" w:leader="none"/>
              <w:tab w:pos="9873" w:val="right" w:leader="dot"/>
            </w:tabs>
            <w:rPr>
              <w:rFonts w:ascii="Times New Roman" w:eastAsia="Times New Roman"/>
            </w:rPr>
          </w:pPr>
          <w:hyperlink w:history="true" w:anchor="_TOC_250004">
            <w:r>
              <w:rPr/>
              <w:t>第四部分</w:t>
              <w:tab/>
              <w:t>保险费的分配和费用的扣取</w:t>
              <w:tab/>
            </w:r>
            <w:r>
              <w:rPr>
                <w:rFonts w:ascii="Times New Roman" w:eastAsia="Times New Roman"/>
              </w:rPr>
              <w:t>2</w:t>
            </w:r>
          </w:hyperlink>
        </w:p>
        <w:p>
          <w:pPr>
            <w:pStyle w:val="TOC2"/>
            <w:tabs>
              <w:tab w:pos="1909" w:val="left" w:leader="none"/>
              <w:tab w:pos="9873" w:val="right" w:leader="dot"/>
            </w:tabs>
            <w:spacing w:before="14"/>
            <w:rPr>
              <w:rFonts w:ascii="Times New Roman" w:eastAsia="Times New Roman"/>
            </w:rPr>
          </w:pPr>
          <w:hyperlink w:history="true" w:anchor="_TOC_250003">
            <w:r>
              <w:rPr/>
              <w:t>第十条</w:t>
              <w:tab/>
              <w:t>保险费的交纳</w:t>
              <w:tab/>
            </w:r>
            <w:r>
              <w:rPr>
                <w:rFonts w:ascii="Times New Roman" w:eastAsia="Times New Roman"/>
              </w:rPr>
              <w:t>2</w:t>
            </w:r>
          </w:hyperlink>
        </w:p>
        <w:p>
          <w:pPr>
            <w:pStyle w:val="TOC2"/>
            <w:tabs>
              <w:tab w:pos="1909" w:val="left" w:leader="none"/>
              <w:tab w:pos="9877" w:val="right" w:leader="dot"/>
            </w:tabs>
            <w:spacing w:line="268" w:lineRule="exact"/>
            <w:rPr>
              <w:rFonts w:ascii="Times New Roman" w:eastAsia="Times New Roman"/>
            </w:rPr>
          </w:pPr>
          <w:r>
            <w:rPr/>
            <w:t>第十一条</w:t>
            <w:tab/>
            <w:t>费用的扣取</w:t>
            <w:tab/>
          </w:r>
          <w:r>
            <w:rPr>
              <w:rFonts w:ascii="Times New Roman" w:eastAsia="Times New Roman"/>
            </w:rPr>
            <w:t>2</w:t>
          </w:r>
        </w:p>
        <w:p>
          <w:pPr>
            <w:pStyle w:val="TOC1"/>
            <w:tabs>
              <w:tab w:pos="1189" w:val="left" w:leader="none"/>
              <w:tab w:pos="9874" w:val="right" w:leader="dot"/>
            </w:tabs>
            <w:rPr>
              <w:rFonts w:ascii="Times New Roman" w:eastAsia="Times New Roman"/>
            </w:rPr>
          </w:pPr>
          <w:hyperlink w:history="true" w:anchor="_TOC_250002">
            <w:r>
              <w:rPr/>
              <w:t>第五部分</w:t>
              <w:tab/>
              <w:t>其他事项</w:t>
              <w:tab/>
            </w:r>
            <w:r>
              <w:rPr>
                <w:rFonts w:ascii="Times New Roman" w:eastAsia="Times New Roman"/>
              </w:rPr>
              <w:t>3</w:t>
            </w:r>
          </w:hyperlink>
        </w:p>
        <w:p>
          <w:pPr>
            <w:pStyle w:val="TOC2"/>
            <w:tabs>
              <w:tab w:pos="1909" w:val="left" w:leader="none"/>
              <w:tab w:pos="9874" w:val="right" w:leader="dot"/>
            </w:tabs>
            <w:spacing w:before="13"/>
            <w:rPr>
              <w:rFonts w:ascii="Times New Roman" w:eastAsia="Times New Roman"/>
            </w:rPr>
          </w:pPr>
          <w:hyperlink w:history="true" w:anchor="_TOC_250001">
            <w:r>
              <w:rPr/>
              <w:t>第十二条</w:t>
              <w:tab/>
              <w:t>就医须知</w:t>
              <w:tab/>
            </w:r>
            <w:r>
              <w:rPr>
                <w:rFonts w:ascii="Times New Roman" w:eastAsia="Times New Roman"/>
              </w:rPr>
              <w:t>3</w:t>
            </w:r>
          </w:hyperlink>
        </w:p>
        <w:p>
          <w:pPr>
            <w:pStyle w:val="TOC2"/>
            <w:tabs>
              <w:tab w:pos="1909" w:val="left" w:leader="none"/>
              <w:tab w:pos="9874" w:val="right" w:leader="dot"/>
            </w:tabs>
            <w:spacing w:before="20"/>
            <w:rPr>
              <w:rFonts w:ascii="Times New Roman" w:eastAsia="Times New Roman"/>
            </w:rPr>
          </w:pPr>
          <w:hyperlink w:history="true" w:anchor="_TOC_250000">
            <w:r>
              <w:rPr/>
              <w:t>第十三条</w:t>
              <w:tab/>
              <w:t>名词释义</w:t>
              <w:tab/>
            </w:r>
            <w:r>
              <w:rPr>
                <w:rFonts w:ascii="Times New Roman" w:eastAsia="Times New Roman"/>
              </w:rPr>
              <w:t>3</w:t>
            </w:r>
          </w:hyperlink>
        </w:p>
      </w:sdtContent>
    </w:sdt>
    <w:p>
      <w:pPr>
        <w:spacing w:after="0"/>
        <w:rPr>
          <w:rFonts w:ascii="Times New Roman" w:eastAsia="Times New Roman"/>
        </w:rPr>
        <w:sectPr>
          <w:pgSz w:w="11910" w:h="16840"/>
          <w:pgMar w:header="0" w:footer="998" w:top="1180" w:bottom="1180" w:left="740" w:right="1180"/>
        </w:sectPr>
      </w:pPr>
    </w:p>
    <w:p>
      <w:pPr>
        <w:pStyle w:val="Heading1"/>
        <w:tabs>
          <w:tab w:pos="1543" w:val="left" w:leader="none"/>
        </w:tabs>
        <w:spacing w:before="204"/>
      </w:pPr>
      <w:bookmarkStart w:name="_TOC_250014" w:id="1"/>
      <w:r>
        <w:rPr/>
        <w:t>第一部分</w:t>
        <w:tab/>
      </w:r>
      <w:bookmarkEnd w:id="1"/>
      <w:r>
        <w:rPr>
          <w:w w:val="95"/>
        </w:rPr>
        <w:t>您与我们的合同</w:t>
      </w:r>
    </w:p>
    <w:p>
      <w:pPr>
        <w:pStyle w:val="BodyText"/>
        <w:spacing w:before="10"/>
        <w:rPr>
          <w:b/>
          <w:sz w:val="24"/>
        </w:rPr>
      </w:pPr>
    </w:p>
    <w:p>
      <w:pPr>
        <w:pStyle w:val="Heading2"/>
        <w:tabs>
          <w:tab w:pos="1213" w:val="left" w:leader="none"/>
        </w:tabs>
        <w:ind w:left="134"/>
      </w:pPr>
      <w:bookmarkStart w:name="_TOC_250013" w:id="2"/>
      <w:bookmarkEnd w:id="2"/>
      <w:r>
        <w:rPr/>
        <w:t>第一条</w:t>
        <w:tab/>
        <w:t>附加保险合同的构成</w:t>
      </w:r>
    </w:p>
    <w:p>
      <w:pPr>
        <w:pStyle w:val="BodyText"/>
        <w:spacing w:line="237" w:lineRule="auto" w:before="109"/>
        <w:ind w:left="133" w:right="118" w:firstLine="420"/>
      </w:pPr>
      <w:r>
        <w:rPr>
          <w:spacing w:val="-1"/>
        </w:rPr>
        <w:t>本附加合同可附加于我们规定的主保险合同</w:t>
      </w:r>
      <w:r>
        <w:rPr/>
        <w:t>（</w:t>
      </w:r>
      <w:r>
        <w:rPr>
          <w:spacing w:val="-14"/>
        </w:rPr>
        <w:t>以下简称“主合同”</w:t>
      </w:r>
      <w:r>
        <w:rPr>
          <w:spacing w:val="-5"/>
        </w:rPr>
        <w:t>）</w:t>
      </w:r>
      <w:r>
        <w:rPr>
          <w:spacing w:val="-4"/>
        </w:rPr>
        <w:t>上。主合同所包含的条款、投保书、</w:t>
      </w:r>
      <w:r>
        <w:rPr>
          <w:spacing w:val="-7"/>
        </w:rPr>
        <w:t>投保提示及与本附加合同有关的其他投保文件、合法有效的声明、批注和其他书面协议，凡与本附加合同相关者，均为本附加合同的构成部分。</w:t>
      </w:r>
    </w:p>
    <w:p>
      <w:pPr>
        <w:pStyle w:val="BodyText"/>
        <w:spacing w:line="237" w:lineRule="auto"/>
        <w:ind w:left="133" w:right="174" w:firstLine="420"/>
      </w:pPr>
      <w:r>
        <w:rPr/>
        <w:t>除本附加合同另有约定外，主合同条款适用于本附加合同。若主合同的条款与本附加合同冲突时，以本附加合同为准。</w:t>
      </w:r>
    </w:p>
    <w:p>
      <w:pPr>
        <w:pStyle w:val="BodyText"/>
        <w:spacing w:before="1"/>
        <w:rPr>
          <w:sz w:val="14"/>
        </w:rPr>
      </w:pPr>
    </w:p>
    <w:p>
      <w:pPr>
        <w:pStyle w:val="Heading2"/>
        <w:tabs>
          <w:tab w:pos="1213" w:val="left" w:leader="none"/>
        </w:tabs>
        <w:ind w:left="133"/>
      </w:pPr>
      <w:bookmarkStart w:name="_TOC_250012" w:id="3"/>
      <w:bookmarkEnd w:id="3"/>
      <w:r>
        <w:rPr/>
        <w:t>第二条</w:t>
        <w:tab/>
        <w:t>受益人的指定</w:t>
      </w:r>
    </w:p>
    <w:p>
      <w:pPr>
        <w:tabs>
          <w:tab w:pos="1213" w:val="left" w:leader="none"/>
        </w:tabs>
        <w:spacing w:line="400" w:lineRule="auto" w:before="105"/>
        <w:ind w:left="133" w:right="3558" w:firstLine="420"/>
        <w:jc w:val="left"/>
        <w:rPr>
          <w:rFonts w:ascii="Microsoft JhengHei" w:eastAsia="Microsoft JhengHei" w:hint="eastAsia"/>
          <w:b/>
          <w:sz w:val="21"/>
        </w:rPr>
      </w:pPr>
      <w:r>
        <w:rPr>
          <w:sz w:val="21"/>
        </w:rPr>
        <w:t>除另有约定外，本附加合同下各项保险金受益人为被保险人本人。</w:t>
      </w:r>
      <w:r>
        <w:rPr>
          <w:rFonts w:ascii="Microsoft JhengHei" w:eastAsia="Microsoft JhengHei" w:hint="eastAsia"/>
          <w:b/>
          <w:sz w:val="21"/>
        </w:rPr>
        <w:t>第三条</w:t>
        <w:tab/>
        <w:t>保险责任的开始</w:t>
      </w:r>
    </w:p>
    <w:p>
      <w:pPr>
        <w:pStyle w:val="BodyText"/>
        <w:spacing w:line="193" w:lineRule="exact"/>
        <w:ind w:left="553"/>
      </w:pPr>
      <w:r>
        <w:rPr/>
        <w:t>我们在收取首期保险费并同意承保后，将签发保险单或批注作为保险凭证。我们自本附加合同生效日零</w:t>
      </w:r>
    </w:p>
    <w:p>
      <w:pPr>
        <w:pStyle w:val="BodyText"/>
        <w:spacing w:line="272" w:lineRule="exact"/>
        <w:ind w:left="133"/>
      </w:pPr>
      <w:r>
        <w:rPr/>
        <w:t>时起承担保险责任。</w:t>
      </w:r>
    </w:p>
    <w:p>
      <w:pPr>
        <w:pStyle w:val="BodyText"/>
        <w:spacing w:line="230" w:lineRule="auto" w:before="9"/>
        <w:ind w:left="133" w:right="222" w:firstLine="420"/>
        <w:jc w:val="both"/>
      </w:pPr>
      <w:r>
        <w:rPr>
          <w:spacing w:val="-2"/>
        </w:rPr>
        <w:t>如果本附加合同与主合同同时投保，则本附加合同的生效日与主合同相同。如果您在主合同有效期内投</w:t>
      </w:r>
      <w:r>
        <w:rPr>
          <w:spacing w:val="-8"/>
        </w:rPr>
        <w:t>保本附加合同，则本附加合同生效日以批注所载的日期为准。本附加合同的保险单周年日</w:t>
      </w:r>
      <w:r>
        <w:rPr>
          <w:rFonts w:ascii="Times New Roman" w:eastAsia="Times New Roman"/>
          <w:vertAlign w:val="superscript"/>
        </w:rPr>
        <w:t>1</w:t>
      </w:r>
      <w:r>
        <w:rPr>
          <w:rFonts w:ascii="Times New Roman" w:eastAsia="Times New Roman"/>
          <w:vertAlign w:val="baseline"/>
        </w:rPr>
      </w:r>
      <w:r>
        <w:rPr>
          <w:spacing w:val="-6"/>
          <w:vertAlign w:val="baseline"/>
        </w:rPr>
        <w:t>、保险单年度均以本附加合同生效日为基础计算。</w:t>
      </w:r>
    </w:p>
    <w:p>
      <w:pPr>
        <w:pStyle w:val="BodyText"/>
        <w:rPr>
          <w:sz w:val="14"/>
        </w:rPr>
      </w:pPr>
    </w:p>
    <w:p>
      <w:pPr>
        <w:pStyle w:val="Heading2"/>
        <w:tabs>
          <w:tab w:pos="1213" w:val="left" w:leader="none"/>
        </w:tabs>
        <w:ind w:left="133"/>
      </w:pPr>
      <w:bookmarkStart w:name="_TOC_250011" w:id="4"/>
      <w:bookmarkEnd w:id="4"/>
      <w:r>
        <w:rPr/>
        <w:t>第四条</w:t>
        <w:tab/>
        <w:t>附加保险合同的终止</w:t>
      </w:r>
    </w:p>
    <w:p>
      <w:pPr>
        <w:pStyle w:val="BodyText"/>
        <w:spacing w:line="274" w:lineRule="exact" w:before="106"/>
        <w:ind w:left="553"/>
      </w:pPr>
      <w:r>
        <w:rPr/>
        <w:t>发生下列情况之一时，本附加合同终止：</w:t>
      </w:r>
    </w:p>
    <w:p>
      <w:pPr>
        <w:pStyle w:val="BodyText"/>
        <w:spacing w:line="280" w:lineRule="exact"/>
        <w:ind w:left="553"/>
      </w:pPr>
      <w:r>
        <w:rPr>
          <w:rFonts w:ascii="Times New Roman" w:eastAsia="Times New Roman"/>
        </w:rPr>
        <w:t>1</w:t>
      </w:r>
      <w:r>
        <w:rPr/>
        <w:t>、 您于本附加合同有效期内向我们申请解除本附加合同；</w:t>
      </w:r>
    </w:p>
    <w:p>
      <w:pPr>
        <w:pStyle w:val="BodyText"/>
        <w:spacing w:line="272" w:lineRule="exact"/>
        <w:ind w:left="553"/>
      </w:pPr>
      <w:r>
        <w:rPr>
          <w:rFonts w:ascii="Times New Roman" w:eastAsia="Times New Roman"/>
        </w:rPr>
        <w:t>2</w:t>
      </w:r>
      <w:r>
        <w:rPr/>
        <w:t>、 因本附加合同其他条款所列情况而终止；</w:t>
      </w:r>
    </w:p>
    <w:p>
      <w:pPr>
        <w:pStyle w:val="BodyText"/>
        <w:spacing w:line="272" w:lineRule="exact"/>
        <w:ind w:left="553"/>
      </w:pPr>
      <w:r>
        <w:rPr>
          <w:rFonts w:ascii="Times New Roman" w:eastAsia="Times New Roman"/>
        </w:rPr>
        <w:t>3</w:t>
      </w:r>
      <w:r>
        <w:rPr/>
        <w:t>、 本附加合同保险期间届满；</w:t>
      </w:r>
    </w:p>
    <w:p>
      <w:pPr>
        <w:pStyle w:val="BodyText"/>
        <w:spacing w:line="282" w:lineRule="exact"/>
        <w:ind w:left="553"/>
      </w:pPr>
      <w:r>
        <w:rPr>
          <w:rFonts w:ascii="Times New Roman" w:eastAsia="Times New Roman"/>
        </w:rPr>
        <w:t>4</w:t>
      </w:r>
      <w:r>
        <w:rPr/>
        <w:t>、 主合同终止。</w:t>
      </w:r>
    </w:p>
    <w:p>
      <w:pPr>
        <w:pStyle w:val="BodyText"/>
        <w:spacing w:before="11"/>
        <w:rPr>
          <w:sz w:val="16"/>
        </w:rPr>
      </w:pPr>
    </w:p>
    <w:p>
      <w:pPr>
        <w:pStyle w:val="Heading1"/>
        <w:tabs>
          <w:tab w:pos="1543" w:val="left" w:leader="none"/>
        </w:tabs>
      </w:pPr>
      <w:bookmarkStart w:name="_TOC_250010" w:id="5"/>
      <w:r>
        <w:rPr/>
        <w:t>第二部分</w:t>
        <w:tab/>
      </w:r>
      <w:bookmarkEnd w:id="5"/>
      <w:r>
        <w:rPr>
          <w:w w:val="95"/>
        </w:rPr>
        <w:t>我们提供的保障</w:t>
      </w:r>
    </w:p>
    <w:p>
      <w:pPr>
        <w:pStyle w:val="BodyText"/>
        <w:spacing w:before="10"/>
        <w:rPr>
          <w:b/>
          <w:sz w:val="24"/>
        </w:rPr>
      </w:pPr>
    </w:p>
    <w:p>
      <w:pPr>
        <w:pStyle w:val="Heading2"/>
        <w:tabs>
          <w:tab w:pos="1213" w:val="left" w:leader="none"/>
        </w:tabs>
        <w:spacing w:before="1"/>
        <w:ind w:left="134"/>
      </w:pPr>
      <w:bookmarkStart w:name="_TOC_250009" w:id="6"/>
      <w:bookmarkEnd w:id="6"/>
      <w:r>
        <w:rPr/>
        <w:t>第五条</w:t>
        <w:tab/>
        <w:t>保险责任</w:t>
      </w:r>
    </w:p>
    <w:p>
      <w:pPr>
        <w:pStyle w:val="BodyText"/>
        <w:spacing w:line="273" w:lineRule="auto" w:before="126"/>
        <w:ind w:left="554" w:right="5028"/>
      </w:pPr>
      <w:r>
        <w:rPr/>
        <w:t>在本附加合同有效期内，我们承担下列保险责任： 一、重大疾病保险金</w:t>
      </w:r>
    </w:p>
    <w:p>
      <w:pPr>
        <w:pStyle w:val="BodyText"/>
        <w:spacing w:line="273" w:lineRule="auto" w:before="7"/>
        <w:ind w:left="134" w:right="198" w:firstLine="420"/>
        <w:jc w:val="both"/>
      </w:pPr>
      <w:r>
        <w:rPr/>
        <w:t>若被保险人于本附加合同生效三百六十五天后经定点医疗机构确诊初次患有本附加合同约定的重大疾病中的一种或多种，确诊三十天后被保险人仍生存，且确诊时被保险人未满六十周岁，我们按确诊时下一个评估基准日主合同的保险单账户价值的 </w:t>
      </w:r>
      <w:r>
        <w:rPr>
          <w:rFonts w:ascii="Times New Roman" w:eastAsia="Times New Roman"/>
        </w:rPr>
        <w:t>10%</w:t>
      </w:r>
      <w:r>
        <w:rPr/>
        <w:t>向被保险人给付重大疾病保险金，本附加合同终止。</w:t>
      </w:r>
    </w:p>
    <w:p>
      <w:pPr>
        <w:pStyle w:val="BodyText"/>
        <w:spacing w:line="243" w:lineRule="exact"/>
        <w:ind w:left="554"/>
      </w:pPr>
      <w:r>
        <w:rPr/>
        <w:t>同一被保险人购买一份或多份此产品时，我们累计给付的重大疾病保险金最高不超过三十万元。</w:t>
      </w:r>
    </w:p>
    <w:p>
      <w:pPr>
        <w:pStyle w:val="BodyText"/>
        <w:spacing w:before="18"/>
        <w:ind w:left="554"/>
      </w:pPr>
      <w:r>
        <w:rPr/>
        <w:t>二、重大疾病豁免解除合同手续费</w:t>
      </w:r>
    </w:p>
    <w:p>
      <w:pPr>
        <w:pStyle w:val="BodyText"/>
        <w:spacing w:line="273" w:lineRule="auto" w:before="36"/>
        <w:ind w:left="134" w:right="198" w:firstLine="420"/>
      </w:pPr>
      <w:r>
        <w:rPr/>
        <w:t>若被保险人经定点医疗机构确诊初次患有本附加合同约定的重大疾病中的一种或多种, 且您要求解除主合同的，我们将豁免主合同解除合同手续费，本附加合同与主合同同时终止。</w:t>
      </w:r>
    </w:p>
    <w:p>
      <w:pPr>
        <w:pStyle w:val="BodyText"/>
        <w:spacing w:before="7"/>
        <w:ind w:left="554"/>
      </w:pPr>
      <w:r>
        <w:rPr/>
        <w:t>三、重大疾病豁免部分提取费用</w:t>
      </w:r>
    </w:p>
    <w:p>
      <w:pPr>
        <w:pStyle w:val="BodyText"/>
        <w:spacing w:line="273" w:lineRule="auto" w:before="37"/>
        <w:ind w:left="134" w:right="198" w:firstLine="420"/>
      </w:pPr>
      <w:r>
        <w:rPr/>
        <w:t>若被保险人经定点医疗机构确诊初次患有本附加合同约定的重大疾病中的一种或多种, 且您要求部分提取主合同保险单账户价值的，我们将豁免主合同的部分提取费用。</w:t>
      </w:r>
    </w:p>
    <w:p>
      <w:pPr>
        <w:pStyle w:val="BodyText"/>
        <w:spacing w:line="273" w:lineRule="auto" w:before="7"/>
        <w:ind w:left="134" w:right="198" w:firstLine="420"/>
      </w:pPr>
      <w:r>
        <w:rPr/>
        <w:t>本条款中提到的保险单账户价值是以被保险人被诊断患有重大疾病的下一个评估基准日计算的《光大永明金保瑞投资连结保险》的保险单账户价值。</w:t>
      </w:r>
    </w:p>
    <w:p>
      <w:pPr>
        <w:pStyle w:val="BodyText"/>
        <w:spacing w:before="11"/>
        <w:rPr>
          <w:sz w:val="27"/>
        </w:rPr>
      </w:pPr>
      <w:r>
        <w:rPr/>
        <w:pict>
          <v:line style="position:absolute;mso-position-horizontal-relative:page;mso-position-vertical-relative:paragraph;z-index:1048;mso-wrap-distance-left:0;mso-wrap-distance-right:0" from="56.700001pt,20.508417pt" to="200.700001pt,20.508417pt" stroked="true" strokeweight=".54001pt" strokecolor="#000000">
            <v:stroke dashstyle="solid"/>
            <w10:wrap type="topAndBottom"/>
          </v:line>
        </w:pict>
      </w:r>
    </w:p>
    <w:p>
      <w:pPr>
        <w:spacing w:line="235" w:lineRule="exact" w:before="30"/>
        <w:ind w:left="134" w:right="0" w:firstLine="0"/>
        <w:jc w:val="left"/>
        <w:rPr>
          <w:sz w:val="18"/>
        </w:rPr>
      </w:pPr>
      <w:r>
        <w:rPr>
          <w:rFonts w:ascii="Times New Roman" w:eastAsia="Times New Roman"/>
          <w:position w:val="8"/>
          <w:sz w:val="12"/>
        </w:rPr>
        <w:t>1</w:t>
      </w:r>
      <w:r>
        <w:rPr>
          <w:sz w:val="18"/>
        </w:rPr>
        <w:t>保险单周年日指在本附加合同有效期内的每一个保险单年度内本附加合同生效日的对应日。第一个保险单周年日是指保险单生</w:t>
      </w:r>
    </w:p>
    <w:p>
      <w:pPr>
        <w:spacing w:line="235" w:lineRule="exact" w:before="0"/>
        <w:ind w:left="134" w:right="0" w:firstLine="0"/>
        <w:jc w:val="left"/>
        <w:rPr>
          <w:sz w:val="18"/>
        </w:rPr>
      </w:pPr>
      <w:r>
        <w:rPr>
          <w:sz w:val="18"/>
        </w:rPr>
        <w:t>效一年后的本附加合同生效日期的对应日。</w:t>
      </w:r>
    </w:p>
    <w:p>
      <w:pPr>
        <w:spacing w:after="0" w:line="235" w:lineRule="exact"/>
        <w:jc w:val="left"/>
        <w:rPr>
          <w:sz w:val="18"/>
        </w:rPr>
        <w:sectPr>
          <w:headerReference w:type="default" r:id="rId6"/>
          <w:footerReference w:type="default" r:id="rId7"/>
          <w:pgSz w:w="11910" w:h="16840"/>
          <w:pgMar w:header="880" w:footer="1014" w:top="1140" w:bottom="1200" w:left="1000" w:right="700"/>
          <w:pgNumType w:start="1"/>
        </w:sectPr>
      </w:pPr>
    </w:p>
    <w:p>
      <w:pPr>
        <w:pStyle w:val="Heading2"/>
        <w:tabs>
          <w:tab w:pos="1229" w:val="left" w:leader="none"/>
        </w:tabs>
        <w:spacing w:before="32"/>
      </w:pPr>
      <w:bookmarkStart w:name="_TOC_250008" w:id="7"/>
      <w:bookmarkEnd w:id="7"/>
      <w:r>
        <w:rPr/>
        <w:t>第六条</w:t>
        <w:tab/>
        <w:t>责任免除</w:t>
      </w:r>
    </w:p>
    <w:p>
      <w:pPr>
        <w:pStyle w:val="BodyText"/>
        <w:spacing w:line="273" w:lineRule="auto" w:before="127"/>
        <w:ind w:left="141" w:right="222" w:firstLine="420"/>
        <w:rPr>
          <w:rFonts w:ascii="黑体" w:eastAsia="黑体" w:hint="eastAsia"/>
        </w:rPr>
      </w:pPr>
      <w:r>
        <w:rPr>
          <w:rFonts w:ascii="黑体" w:eastAsia="黑体" w:hint="eastAsia"/>
          <w:spacing w:val="-10"/>
        </w:rPr>
        <w:t>根据中国保险行业协会制定的《重大疾病保险的疾病定义使用规范》，因下列情形之一导致被保险人发</w:t>
      </w:r>
      <w:r>
        <w:rPr>
          <w:rFonts w:ascii="黑体" w:eastAsia="黑体" w:hint="eastAsia"/>
        </w:rPr>
        <w:t>Th 重大疾病、达到重大疾病状态的，我们不承担给付保险金及豁免相关费用的责任：</w:t>
      </w:r>
    </w:p>
    <w:p>
      <w:pPr>
        <w:pStyle w:val="ListParagraph"/>
        <w:numPr>
          <w:ilvl w:val="0"/>
          <w:numId w:val="1"/>
        </w:numPr>
        <w:tabs>
          <w:tab w:pos="981" w:val="left" w:leader="none"/>
          <w:tab w:pos="982" w:val="left" w:leader="none"/>
        </w:tabs>
        <w:spacing w:line="240" w:lineRule="auto" w:before="7" w:after="0"/>
        <w:ind w:left="981" w:right="0" w:hanging="420"/>
        <w:jc w:val="left"/>
        <w:rPr>
          <w:rFonts w:ascii="黑体" w:eastAsia="黑体" w:hint="eastAsia"/>
          <w:sz w:val="21"/>
        </w:rPr>
      </w:pPr>
      <w:r>
        <w:rPr>
          <w:rFonts w:ascii="黑体" w:eastAsia="黑体" w:hint="eastAsia"/>
          <w:sz w:val="21"/>
        </w:rPr>
        <w:t>您对被保险人的故意杀害、故意伤害；</w:t>
      </w:r>
    </w:p>
    <w:p>
      <w:pPr>
        <w:pStyle w:val="ListParagraph"/>
        <w:numPr>
          <w:ilvl w:val="0"/>
          <w:numId w:val="1"/>
        </w:numPr>
        <w:tabs>
          <w:tab w:pos="981" w:val="left" w:leader="none"/>
          <w:tab w:pos="982" w:val="left" w:leader="none"/>
        </w:tabs>
        <w:spacing w:line="240" w:lineRule="auto" w:before="20" w:after="0"/>
        <w:ind w:left="981" w:right="0" w:hanging="420"/>
        <w:jc w:val="left"/>
        <w:rPr>
          <w:rFonts w:ascii="黑体" w:eastAsia="黑体" w:hint="eastAsia"/>
          <w:sz w:val="21"/>
        </w:rPr>
      </w:pPr>
      <w:r>
        <w:rPr>
          <w:rFonts w:ascii="黑体" w:eastAsia="黑体" w:hint="eastAsia"/>
          <w:sz w:val="21"/>
        </w:rPr>
        <w:t>被保险人故意自伤、故意犯罪或拒捕；</w:t>
      </w:r>
    </w:p>
    <w:p>
      <w:pPr>
        <w:pStyle w:val="ListParagraph"/>
        <w:numPr>
          <w:ilvl w:val="0"/>
          <w:numId w:val="1"/>
        </w:numPr>
        <w:tabs>
          <w:tab w:pos="981" w:val="left" w:leader="none"/>
          <w:tab w:pos="982" w:val="left" w:leader="none"/>
        </w:tabs>
        <w:spacing w:line="240" w:lineRule="auto" w:before="20" w:after="0"/>
        <w:ind w:left="981" w:right="0" w:hanging="420"/>
        <w:jc w:val="left"/>
        <w:rPr>
          <w:rFonts w:ascii="黑体" w:eastAsia="黑体" w:hint="eastAsia"/>
          <w:sz w:val="21"/>
        </w:rPr>
      </w:pPr>
      <w:r>
        <w:rPr>
          <w:rFonts w:ascii="黑体" w:eastAsia="黑体" w:hint="eastAsia"/>
          <w:sz w:val="21"/>
        </w:rPr>
        <w:t>被保险人服用、吸食或注射毒品；</w:t>
      </w:r>
    </w:p>
    <w:p>
      <w:pPr>
        <w:pStyle w:val="ListParagraph"/>
        <w:numPr>
          <w:ilvl w:val="0"/>
          <w:numId w:val="1"/>
        </w:numPr>
        <w:tabs>
          <w:tab w:pos="981" w:val="left" w:leader="none"/>
          <w:tab w:pos="982" w:val="left" w:leader="none"/>
        </w:tabs>
        <w:spacing w:line="240" w:lineRule="auto" w:before="20" w:after="0"/>
        <w:ind w:left="981" w:right="0" w:hanging="420"/>
        <w:jc w:val="left"/>
        <w:rPr>
          <w:rFonts w:ascii="黑体" w:eastAsia="黑体" w:hint="eastAsia"/>
          <w:sz w:val="21"/>
        </w:rPr>
      </w:pPr>
      <w:r>
        <w:rPr>
          <w:rFonts w:ascii="黑体" w:eastAsia="黑体" w:hint="eastAsia"/>
          <w:sz w:val="21"/>
        </w:rPr>
        <w:t>被保险人酒后驾驶、无合法有效驾驶证驾驶，或驾驶无有效行驶证的机动车；</w:t>
      </w:r>
    </w:p>
    <w:p>
      <w:pPr>
        <w:pStyle w:val="ListParagraph"/>
        <w:numPr>
          <w:ilvl w:val="0"/>
          <w:numId w:val="1"/>
        </w:numPr>
        <w:tabs>
          <w:tab w:pos="981" w:val="left" w:leader="none"/>
          <w:tab w:pos="982" w:val="left" w:leader="none"/>
        </w:tabs>
        <w:spacing w:line="240" w:lineRule="auto" w:before="20" w:after="0"/>
        <w:ind w:left="981" w:right="0" w:hanging="420"/>
        <w:jc w:val="left"/>
        <w:rPr>
          <w:rFonts w:ascii="黑体" w:eastAsia="黑体" w:hint="eastAsia"/>
          <w:sz w:val="21"/>
        </w:rPr>
      </w:pPr>
      <w:r>
        <w:rPr>
          <w:rFonts w:ascii="黑体" w:eastAsia="黑体" w:hint="eastAsia"/>
          <w:sz w:val="21"/>
        </w:rPr>
        <w:t>被保险人感染艾滋病病毒或患艾滋病；</w:t>
      </w:r>
    </w:p>
    <w:p>
      <w:pPr>
        <w:pStyle w:val="ListParagraph"/>
        <w:numPr>
          <w:ilvl w:val="0"/>
          <w:numId w:val="1"/>
        </w:numPr>
        <w:tabs>
          <w:tab w:pos="981" w:val="left" w:leader="none"/>
          <w:tab w:pos="982" w:val="left" w:leader="none"/>
        </w:tabs>
        <w:spacing w:line="240" w:lineRule="auto" w:before="20" w:after="0"/>
        <w:ind w:left="981"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81" w:val="left" w:leader="none"/>
          <w:tab w:pos="982" w:val="left" w:leader="none"/>
        </w:tabs>
        <w:spacing w:line="240" w:lineRule="auto" w:before="20" w:after="0"/>
        <w:ind w:left="981" w:right="0" w:hanging="420"/>
        <w:jc w:val="left"/>
        <w:rPr>
          <w:rFonts w:ascii="黑体" w:eastAsia="黑体" w:hint="eastAsia"/>
          <w:sz w:val="21"/>
        </w:rPr>
      </w:pPr>
      <w:r>
        <w:rPr>
          <w:rFonts w:ascii="黑体" w:eastAsia="黑体" w:hint="eastAsia"/>
          <w:sz w:val="21"/>
        </w:rPr>
        <w:t>核爆炸、核辐射或核污染；</w:t>
      </w:r>
    </w:p>
    <w:p>
      <w:pPr>
        <w:pStyle w:val="ListParagraph"/>
        <w:numPr>
          <w:ilvl w:val="0"/>
          <w:numId w:val="1"/>
        </w:numPr>
        <w:tabs>
          <w:tab w:pos="981" w:val="left" w:leader="none"/>
          <w:tab w:pos="982" w:val="left" w:leader="none"/>
        </w:tabs>
        <w:spacing w:line="240" w:lineRule="auto" w:before="20" w:after="0"/>
        <w:ind w:left="981" w:right="0" w:hanging="420"/>
        <w:jc w:val="left"/>
        <w:rPr>
          <w:rFonts w:ascii="黑体" w:eastAsia="黑体" w:hint="eastAsia"/>
          <w:sz w:val="21"/>
        </w:rPr>
      </w:pPr>
      <w:r>
        <w:rPr>
          <w:rFonts w:ascii="黑体" w:eastAsia="黑体" w:hint="eastAsia"/>
          <w:sz w:val="21"/>
        </w:rPr>
        <w:t>遗传性疾病，先天性畸形、变形或染色体异常。</w:t>
      </w:r>
    </w:p>
    <w:p>
      <w:pPr>
        <w:pStyle w:val="BodyText"/>
        <w:spacing w:before="20"/>
        <w:ind w:left="561"/>
        <w:rPr>
          <w:rFonts w:ascii="黑体" w:eastAsia="黑体" w:hint="eastAsia"/>
        </w:rPr>
      </w:pPr>
      <w:r>
        <w:rPr>
          <w:rFonts w:ascii="黑体" w:eastAsia="黑体" w:hint="eastAsia"/>
        </w:rPr>
        <w:t>因上述情形之一导致被保险人发Th重大疾病、达到重大疾病状态的，本附加合同终止。</w:t>
      </w:r>
    </w:p>
    <w:p>
      <w:pPr>
        <w:pStyle w:val="BodyText"/>
        <w:spacing w:before="7"/>
        <w:rPr>
          <w:rFonts w:ascii="黑体"/>
          <w:sz w:val="15"/>
        </w:rPr>
      </w:pPr>
    </w:p>
    <w:p>
      <w:pPr>
        <w:pStyle w:val="Heading2"/>
        <w:tabs>
          <w:tab w:pos="1229" w:val="left" w:leader="none"/>
        </w:tabs>
      </w:pPr>
      <w:bookmarkStart w:name="_TOC_250007" w:id="8"/>
      <w:bookmarkEnd w:id="8"/>
      <w:r>
        <w:rPr/>
        <w:t>第七条</w:t>
        <w:tab/>
        <w:t>保险金额</w:t>
      </w:r>
    </w:p>
    <w:p>
      <w:pPr>
        <w:pStyle w:val="BodyText"/>
        <w:spacing w:before="126"/>
        <w:ind w:left="567"/>
      </w:pPr>
      <w:r>
        <w:rPr/>
        <w:t>本附加合同的保险金额由您与我们约定，并在保险合同中载明。</w:t>
      </w:r>
    </w:p>
    <w:p>
      <w:pPr>
        <w:pStyle w:val="BodyText"/>
        <w:spacing w:before="8"/>
        <w:rPr>
          <w:sz w:val="19"/>
        </w:rPr>
      </w:pPr>
    </w:p>
    <w:p>
      <w:pPr>
        <w:pStyle w:val="Heading1"/>
        <w:tabs>
          <w:tab w:pos="1543" w:val="left" w:leader="none"/>
        </w:tabs>
        <w:ind w:right="357"/>
      </w:pPr>
      <w:bookmarkStart w:name="_TOC_250006" w:id="9"/>
      <w:r>
        <w:rPr/>
        <w:t>第三部分</w:t>
        <w:tab/>
      </w:r>
      <w:bookmarkEnd w:id="9"/>
      <w:r>
        <w:rPr>
          <w:w w:val="95"/>
        </w:rPr>
        <w:t>如何领取保险金</w:t>
      </w:r>
    </w:p>
    <w:p>
      <w:pPr>
        <w:pStyle w:val="BodyText"/>
        <w:spacing w:before="11"/>
        <w:rPr>
          <w:b/>
          <w:sz w:val="24"/>
        </w:rPr>
      </w:pPr>
    </w:p>
    <w:p>
      <w:pPr>
        <w:pStyle w:val="Heading2"/>
        <w:tabs>
          <w:tab w:pos="1229" w:val="left" w:leader="none"/>
        </w:tabs>
      </w:pPr>
      <w:bookmarkStart w:name="_TOC_250005" w:id="10"/>
      <w:bookmarkEnd w:id="10"/>
      <w:r>
        <w:rPr/>
        <w:t>第八条</w:t>
        <w:tab/>
        <w:t>保险金的申领</w:t>
      </w:r>
    </w:p>
    <w:p>
      <w:pPr>
        <w:pStyle w:val="BodyText"/>
        <w:spacing w:line="237" w:lineRule="auto" w:before="109"/>
        <w:ind w:left="149" w:right="199" w:firstLine="420"/>
      </w:pPr>
      <w:r>
        <w:rPr/>
        <w:t>若被保险人患本附加合同约定的重大疾病，索赔权利人需填写保险金给付申请书并凭下列证明材料向我们申请给付重大疾病保险金或豁免相关费用：</w:t>
      </w:r>
    </w:p>
    <w:p>
      <w:pPr>
        <w:pStyle w:val="ListParagraph"/>
        <w:numPr>
          <w:ilvl w:val="0"/>
          <w:numId w:val="2"/>
        </w:numPr>
        <w:tabs>
          <w:tab w:pos="883" w:val="left" w:leader="none"/>
          <w:tab w:pos="884" w:val="left" w:leader="none"/>
        </w:tabs>
        <w:spacing w:line="279" w:lineRule="exact" w:before="0" w:after="0"/>
        <w:ind w:left="883" w:right="0" w:hanging="314"/>
        <w:jc w:val="left"/>
        <w:rPr>
          <w:sz w:val="21"/>
        </w:rPr>
      </w:pPr>
      <w:r>
        <w:rPr>
          <w:sz w:val="21"/>
        </w:rPr>
        <w:t>本附加合同；</w:t>
      </w:r>
    </w:p>
    <w:p>
      <w:pPr>
        <w:pStyle w:val="ListParagraph"/>
        <w:numPr>
          <w:ilvl w:val="0"/>
          <w:numId w:val="2"/>
        </w:numPr>
        <w:tabs>
          <w:tab w:pos="883" w:val="left" w:leader="none"/>
          <w:tab w:pos="884" w:val="left" w:leader="none"/>
        </w:tabs>
        <w:spacing w:line="272" w:lineRule="exact" w:before="0" w:after="0"/>
        <w:ind w:left="883" w:right="0" w:hanging="314"/>
        <w:jc w:val="left"/>
        <w:rPr>
          <w:sz w:val="21"/>
        </w:rPr>
      </w:pPr>
      <w:r>
        <w:rPr>
          <w:sz w:val="21"/>
        </w:rPr>
        <w:t>索赔权利人的身份证明和索赔权利证明；</w:t>
      </w:r>
    </w:p>
    <w:p>
      <w:pPr>
        <w:pStyle w:val="ListParagraph"/>
        <w:numPr>
          <w:ilvl w:val="0"/>
          <w:numId w:val="2"/>
        </w:numPr>
        <w:tabs>
          <w:tab w:pos="883" w:val="left" w:leader="none"/>
          <w:tab w:pos="884" w:val="left" w:leader="none"/>
        </w:tabs>
        <w:spacing w:line="272" w:lineRule="exact" w:before="0" w:after="0"/>
        <w:ind w:left="883" w:right="0" w:hanging="314"/>
        <w:jc w:val="left"/>
        <w:rPr>
          <w:sz w:val="21"/>
        </w:rPr>
      </w:pPr>
      <w:r>
        <w:rPr>
          <w:sz w:val="21"/>
        </w:rPr>
        <w:t>定点医疗机构的专科医生出具的医学诊断证明及相关诊治资料；</w:t>
      </w:r>
    </w:p>
    <w:p>
      <w:pPr>
        <w:pStyle w:val="ListParagraph"/>
        <w:numPr>
          <w:ilvl w:val="0"/>
          <w:numId w:val="2"/>
        </w:numPr>
        <w:tabs>
          <w:tab w:pos="883" w:val="left" w:leader="none"/>
          <w:tab w:pos="884" w:val="left" w:leader="none"/>
        </w:tabs>
        <w:spacing w:line="282" w:lineRule="exact" w:before="0" w:after="0"/>
        <w:ind w:left="883" w:right="0" w:hanging="314"/>
        <w:jc w:val="left"/>
        <w:rPr>
          <w:sz w:val="21"/>
        </w:rPr>
      </w:pPr>
      <w:r>
        <w:rPr>
          <w:sz w:val="21"/>
        </w:rPr>
        <w:t>我们所需的并且索赔权利人能够提供的与事故有关的其他材料。</w:t>
      </w:r>
    </w:p>
    <w:p>
      <w:pPr>
        <w:pStyle w:val="BodyText"/>
        <w:spacing w:before="2"/>
        <w:rPr>
          <w:sz w:val="17"/>
        </w:rPr>
      </w:pPr>
    </w:p>
    <w:p>
      <w:pPr>
        <w:pStyle w:val="BodyText"/>
        <w:spacing w:line="237" w:lineRule="auto"/>
        <w:ind w:left="149" w:right="246" w:firstLine="420"/>
        <w:jc w:val="both"/>
      </w:pPr>
      <w:r>
        <w:rPr>
          <w:spacing w:val="-2"/>
        </w:rPr>
        <w:t>我们收到申请人保险金给付申请书及相应的证明材料后，对确属保险责任范围的，在与申请人达成有关</w:t>
      </w:r>
      <w:r>
        <w:rPr>
          <w:spacing w:val="-5"/>
        </w:rPr>
        <w:t>给付保险金数额的协议后十日内，履行给付保险金责任；对不属于保险责任范围的，向申请人发出拒绝给付保险金通知书。</w:t>
      </w:r>
    </w:p>
    <w:p>
      <w:pPr>
        <w:pStyle w:val="BodyText"/>
        <w:spacing w:line="237" w:lineRule="auto"/>
        <w:ind w:left="149" w:right="248" w:firstLine="420"/>
        <w:jc w:val="both"/>
      </w:pPr>
      <w:r>
        <w:rPr>
          <w:spacing w:val="-1"/>
        </w:rPr>
        <w:t>我们自收到申请人的保险金给付申请书及相应的证明材料之日起六十日内，对属于保险责任而给付保险</w:t>
      </w:r>
      <w:r>
        <w:rPr>
          <w:spacing w:val="-4"/>
        </w:rPr>
        <w:t>金的数额暂时不能确定的，根据已有的证明材料，按可以确定的最低数额先予支付，我们最终确定给付保险金数额后，再支付相应的差额。</w:t>
      </w:r>
    </w:p>
    <w:p>
      <w:pPr>
        <w:pStyle w:val="BodyText"/>
        <w:tabs>
          <w:tab w:pos="1229" w:val="left" w:leader="none"/>
        </w:tabs>
        <w:spacing w:line="400" w:lineRule="auto"/>
        <w:ind w:left="149" w:right="2742" w:firstLine="420"/>
        <w:rPr>
          <w:rFonts w:ascii="Microsoft JhengHei" w:eastAsia="Microsoft JhengHei" w:hint="eastAsia"/>
          <w:b/>
        </w:rPr>
      </w:pPr>
      <w:r>
        <w:rPr/>
        <w:t>保险金作为被保险人遗产时，必须提供可证明合法继承权的相关权利文件。</w:t>
      </w:r>
      <w:r>
        <w:rPr>
          <w:rFonts w:ascii="Microsoft JhengHei" w:eastAsia="Microsoft JhengHei" w:hint="eastAsia"/>
          <w:b/>
        </w:rPr>
        <w:t>第九条</w:t>
        <w:tab/>
        <w:t>索赔时效</w:t>
      </w:r>
    </w:p>
    <w:p>
      <w:pPr>
        <w:pStyle w:val="BodyText"/>
        <w:spacing w:line="192" w:lineRule="exact" w:before="2"/>
        <w:ind w:left="569"/>
      </w:pPr>
      <w:r>
        <w:rPr/>
        <w:t>本附加合同的索赔权利人向我们请求给付保险金的诉讼时效期间为两年，自其知道或应当知道保险事故</w:t>
      </w:r>
    </w:p>
    <w:p>
      <w:pPr>
        <w:pStyle w:val="BodyText"/>
        <w:spacing w:line="274" w:lineRule="exact"/>
        <w:ind w:left="149"/>
      </w:pPr>
      <w:r>
        <w:rPr/>
        <w:t>发生之日起计算。</w:t>
      </w:r>
    </w:p>
    <w:p>
      <w:pPr>
        <w:pStyle w:val="BodyText"/>
        <w:spacing w:before="2"/>
        <w:rPr>
          <w:sz w:val="18"/>
        </w:rPr>
      </w:pPr>
    </w:p>
    <w:p>
      <w:pPr>
        <w:pStyle w:val="Heading1"/>
        <w:tabs>
          <w:tab w:pos="1544" w:val="left" w:leader="none"/>
        </w:tabs>
        <w:ind w:right="357"/>
      </w:pPr>
      <w:bookmarkStart w:name="_TOC_250004" w:id="11"/>
      <w:r>
        <w:rPr/>
        <w:t>第四部分</w:t>
        <w:tab/>
      </w:r>
      <w:bookmarkEnd w:id="11"/>
      <w:r>
        <w:rPr>
          <w:w w:val="95"/>
        </w:rPr>
        <w:t>保险费的分配和费用的扣取</w:t>
      </w:r>
    </w:p>
    <w:p>
      <w:pPr>
        <w:pStyle w:val="BodyText"/>
        <w:spacing w:before="11"/>
        <w:rPr>
          <w:b/>
          <w:sz w:val="24"/>
        </w:rPr>
      </w:pPr>
    </w:p>
    <w:p>
      <w:pPr>
        <w:pStyle w:val="Heading2"/>
        <w:tabs>
          <w:tab w:pos="1229" w:val="left" w:leader="none"/>
        </w:tabs>
      </w:pPr>
      <w:bookmarkStart w:name="_TOC_250003" w:id="12"/>
      <w:bookmarkEnd w:id="12"/>
      <w:r>
        <w:rPr/>
        <w:t>第十条</w:t>
        <w:tab/>
        <w:t>保险费的交纳</w:t>
      </w:r>
    </w:p>
    <w:p>
      <w:pPr>
        <w:tabs>
          <w:tab w:pos="1229" w:val="left" w:leader="none"/>
        </w:tabs>
        <w:spacing w:line="400" w:lineRule="auto" w:before="106"/>
        <w:ind w:left="149" w:right="6732" w:firstLine="420"/>
        <w:jc w:val="left"/>
        <w:rPr>
          <w:rFonts w:ascii="Microsoft JhengHei" w:eastAsia="Microsoft JhengHei" w:hint="eastAsia"/>
          <w:b/>
          <w:sz w:val="21"/>
        </w:rPr>
      </w:pPr>
      <w:r>
        <w:rPr>
          <w:sz w:val="21"/>
        </w:rPr>
        <w:t>本附加合同的基本保险费为零。</w:t>
      </w:r>
      <w:r>
        <w:rPr>
          <w:rFonts w:ascii="Microsoft JhengHei" w:eastAsia="Microsoft JhengHei" w:hint="eastAsia"/>
          <w:b/>
          <w:sz w:val="21"/>
        </w:rPr>
        <w:t>第十一条</w:t>
        <w:tab/>
        <w:t>费用的扣取</w:t>
      </w:r>
    </w:p>
    <w:p>
      <w:pPr>
        <w:pStyle w:val="BodyText"/>
        <w:spacing w:line="214" w:lineRule="exact"/>
        <w:ind w:left="569"/>
      </w:pPr>
      <w:r>
        <w:rPr/>
        <w:t>在本附加合同有效期内，我们在每个保险单月处理日从保险单账户中扣取本附加合同当月的风险保障费。</w:t>
      </w:r>
    </w:p>
    <w:p>
      <w:pPr>
        <w:pStyle w:val="BodyText"/>
        <w:spacing w:before="38"/>
        <w:ind w:left="569"/>
      </w:pPr>
      <w:r>
        <w:rPr/>
        <w:t>本附加合同的风险保障费为零。</w:t>
      </w:r>
    </w:p>
    <w:p>
      <w:pPr>
        <w:spacing w:after="0"/>
        <w:sectPr>
          <w:pgSz w:w="11910" w:h="16840"/>
          <w:pgMar w:header="880" w:footer="1014" w:top="1140" w:bottom="1220" w:left="700" w:right="960"/>
        </w:sectPr>
      </w:pPr>
    </w:p>
    <w:p>
      <w:pPr>
        <w:pStyle w:val="Heading1"/>
        <w:tabs>
          <w:tab w:pos="1544" w:val="left" w:leader="none"/>
        </w:tabs>
        <w:spacing w:before="84"/>
        <w:ind w:right="368"/>
      </w:pPr>
      <w:bookmarkStart w:name="_TOC_250002" w:id="13"/>
      <w:r>
        <w:rPr/>
        <w:t>第五部分</w:t>
        <w:tab/>
      </w:r>
      <w:bookmarkEnd w:id="13"/>
      <w:r>
        <w:rPr>
          <w:w w:val="95"/>
        </w:rPr>
        <w:t>其他事项</w:t>
      </w:r>
    </w:p>
    <w:p>
      <w:pPr>
        <w:pStyle w:val="BodyText"/>
        <w:spacing w:before="10"/>
        <w:rPr>
          <w:b/>
          <w:sz w:val="24"/>
        </w:rPr>
      </w:pPr>
    </w:p>
    <w:p>
      <w:pPr>
        <w:pStyle w:val="Heading2"/>
        <w:tabs>
          <w:tab w:pos="1213" w:val="left" w:leader="none"/>
        </w:tabs>
        <w:ind w:left="134"/>
      </w:pPr>
      <w:bookmarkStart w:name="_TOC_250001" w:id="14"/>
      <w:bookmarkEnd w:id="14"/>
      <w:r>
        <w:rPr/>
        <w:t>第十二条</w:t>
        <w:tab/>
        <w:t>就医须知</w:t>
      </w:r>
    </w:p>
    <w:p>
      <w:pPr>
        <w:pStyle w:val="BodyText"/>
        <w:spacing w:line="237" w:lineRule="auto" w:before="109"/>
        <w:ind w:left="133" w:right="243" w:firstLine="420"/>
        <w:jc w:val="both"/>
      </w:pPr>
      <w:r>
        <w:rPr>
          <w:spacing w:val="-3"/>
        </w:rPr>
        <w:t>被保险人须在定点医疗机构接受治疗，但被保险人紧急抢救不受此限制，在病情稳定后，应转入定点医疗机构继续治疗。</w:t>
      </w:r>
    </w:p>
    <w:p>
      <w:pPr>
        <w:pStyle w:val="BodyText"/>
        <w:spacing w:before="2"/>
        <w:rPr>
          <w:sz w:val="14"/>
        </w:rPr>
      </w:pPr>
    </w:p>
    <w:p>
      <w:pPr>
        <w:pStyle w:val="Heading2"/>
        <w:tabs>
          <w:tab w:pos="1213" w:val="left" w:leader="none"/>
        </w:tabs>
        <w:ind w:left="133"/>
      </w:pPr>
      <w:bookmarkStart w:name="_TOC_250000" w:id="15"/>
      <w:bookmarkEnd w:id="15"/>
      <w:r>
        <w:rPr/>
        <w:t>第十三条</w:t>
        <w:tab/>
        <w:t>名词释义</w:t>
      </w:r>
    </w:p>
    <w:p>
      <w:pPr>
        <w:pStyle w:val="BodyText"/>
        <w:spacing w:line="249" w:lineRule="auto" w:before="59"/>
        <w:ind w:left="1751" w:right="216" w:hanging="1618"/>
      </w:pPr>
      <w:r>
        <w:rPr>
          <w:rFonts w:ascii="Microsoft JhengHei" w:eastAsia="Microsoft JhengHei" w:hint="eastAsia"/>
          <w:b/>
        </w:rPr>
        <w:t>定点医疗机构： </w:t>
      </w:r>
      <w:r>
        <w:rPr/>
        <w:t>我们为被保险人提供多家不同层次的专业医疗机构名单，供被保险人在此范围内选择，定点医疗机构名单请见合同附件。</w:t>
      </w:r>
    </w:p>
    <w:p>
      <w:pPr>
        <w:pStyle w:val="BodyText"/>
        <w:tabs>
          <w:tab w:pos="1751" w:val="left" w:leader="none"/>
        </w:tabs>
        <w:spacing w:line="312" w:lineRule="exact" w:before="24"/>
        <w:ind w:left="1751" w:right="176" w:hanging="1618"/>
      </w:pPr>
      <w:r>
        <w:rPr>
          <w:rFonts w:ascii="Microsoft JhengHei" w:eastAsia="Microsoft JhengHei" w:hint="eastAsia"/>
          <w:b/>
        </w:rPr>
        <w:t>专科医生：</w:t>
        <w:tab/>
      </w:r>
      <w:r>
        <w:rPr>
          <w:spacing w:val="-1"/>
        </w:rPr>
        <w:t>专科医生应当同时满足以下四项资格条件</w:t>
      </w:r>
      <w:r>
        <w:rPr>
          <w:spacing w:val="-9"/>
        </w:rPr>
        <w:t>：（1）</w:t>
      </w:r>
      <w:r>
        <w:rPr>
          <w:spacing w:val="-1"/>
        </w:rPr>
        <w:t>具有有效的中华人民共和</w:t>
      </w:r>
      <w:r>
        <w:rPr>
          <w:spacing w:val="-11"/>
        </w:rPr>
        <w:t>国</w:t>
      </w:r>
      <w:r>
        <w:rPr>
          <w:spacing w:val="-1"/>
        </w:rPr>
        <w:t>《医师资</w:t>
      </w:r>
      <w:r>
        <w:rPr/>
        <w:t>格证</w:t>
      </w:r>
      <w:r>
        <w:rPr>
          <w:spacing w:val="-1"/>
        </w:rPr>
        <w:t>书》；（2）具有有效的中华人民共和国《医师执业证书》，并按期到相关部门登记注册；</w:t>
      </w:r>
    </w:p>
    <w:p>
      <w:pPr>
        <w:pStyle w:val="BodyText"/>
        <w:spacing w:line="273" w:lineRule="auto" w:before="4"/>
        <w:ind w:left="1751" w:right="55"/>
      </w:pPr>
      <w:r>
        <w:rPr/>
        <w:t>（3）具有有效的中华人民共和国主治医师或主治医师以上职称的《医师职称证书》；（4） 在二级或二级以上医院的相应科室从事临床工作三年以上。</w:t>
      </w:r>
    </w:p>
    <w:p>
      <w:pPr>
        <w:tabs>
          <w:tab w:pos="1751" w:val="left" w:leader="none"/>
        </w:tabs>
        <w:spacing w:line="204" w:lineRule="auto" w:before="0"/>
        <w:ind w:left="133" w:right="1120" w:firstLine="0"/>
        <w:jc w:val="left"/>
        <w:rPr>
          <w:rFonts w:ascii="Microsoft JhengHei" w:eastAsia="Microsoft JhengHei" w:hint="eastAsia"/>
          <w:b/>
          <w:sz w:val="21"/>
        </w:rPr>
      </w:pPr>
      <w:r>
        <w:rPr>
          <w:rFonts w:ascii="Microsoft JhengHei" w:eastAsia="Microsoft JhengHei" w:hint="eastAsia"/>
          <w:b/>
          <w:sz w:val="21"/>
        </w:rPr>
        <w:t>意外事故：</w:t>
        <w:tab/>
      </w:r>
      <w:r>
        <w:rPr>
          <w:sz w:val="21"/>
        </w:rPr>
        <w:t>指外来的、突然的、非本意的、非疾病的使被保险人身体受到伤害的客观事件。</w:t>
      </w:r>
      <w:r>
        <w:rPr>
          <w:rFonts w:ascii="Microsoft JhengHei" w:eastAsia="Microsoft JhengHei" w:hint="eastAsia"/>
          <w:b/>
          <w:sz w:val="21"/>
        </w:rPr>
        <w:t>感染艾滋病病毒或患艾滋病：</w:t>
      </w:r>
    </w:p>
    <w:p>
      <w:pPr>
        <w:pStyle w:val="BodyText"/>
        <w:spacing w:line="273" w:lineRule="auto" w:before="17"/>
        <w:ind w:left="1745" w:right="216"/>
      </w:pPr>
      <w:r>
        <w:rPr>
          <w:spacing w:val="-7"/>
        </w:rPr>
        <w:t>艾滋病病毒指人类免疫缺陷病毒，英文缩写为 </w:t>
      </w:r>
      <w:r>
        <w:rPr/>
        <w:t>HIV</w:t>
      </w:r>
      <w:r>
        <w:rPr>
          <w:spacing w:val="-7"/>
        </w:rPr>
        <w:t>。艾滋病指人类免疫缺陷病毒引起的获得</w:t>
      </w:r>
      <w:r>
        <w:rPr>
          <w:spacing w:val="-12"/>
        </w:rPr>
        <w:t>性免疫缺陷综合征，英文缩写为 </w:t>
      </w:r>
      <w:r>
        <w:rPr/>
        <w:t>AIDS。</w:t>
      </w:r>
    </w:p>
    <w:p>
      <w:pPr>
        <w:pStyle w:val="BodyText"/>
        <w:spacing w:line="273" w:lineRule="auto" w:before="7"/>
        <w:ind w:left="1745" w:right="57"/>
      </w:pPr>
      <w:r>
        <w:rPr/>
        <w:t>在人体血液或其它样本中检测到艾滋病病毒或其抗体呈阳性，没有出现临床症状或体征的， 为感染艾滋病病毒；如果同时出现了明显临床症状或体征的，为患艾滋病。</w:t>
      </w:r>
    </w:p>
    <w:p>
      <w:pPr>
        <w:pStyle w:val="BodyText"/>
        <w:tabs>
          <w:tab w:pos="1751" w:val="left" w:leader="none"/>
        </w:tabs>
        <w:spacing w:line="312" w:lineRule="exact" w:before="3"/>
        <w:ind w:left="1751" w:right="216" w:hanging="1618"/>
      </w:pPr>
      <w:r>
        <w:rPr>
          <w:rFonts w:ascii="Microsoft JhengHei" w:eastAsia="Microsoft JhengHei" w:hint="eastAsia"/>
          <w:b/>
        </w:rPr>
        <w:t>遗传性疾病:</w:t>
        <w:tab/>
      </w:r>
      <w:r>
        <w:rPr/>
        <w:t>指生殖细胞或受精卵的遗传物质（染色体和基因）发生突变或畸变所引起的疾病，通常具 有由亲代传至后代的垂直传递的特征。</w:t>
      </w:r>
    </w:p>
    <w:p>
      <w:pPr>
        <w:pStyle w:val="Heading2"/>
        <w:spacing w:line="303" w:lineRule="exact"/>
        <w:ind w:left="133"/>
      </w:pPr>
      <w:r>
        <w:rPr/>
        <w:t>先天性畸形、变形或染色体异常:</w:t>
      </w:r>
    </w:p>
    <w:p>
      <w:pPr>
        <w:pStyle w:val="BodyText"/>
        <w:spacing w:line="273" w:lineRule="auto" w:before="13"/>
        <w:ind w:left="1751" w:right="216"/>
      </w:pPr>
      <w:r>
        <w:rPr/>
        <w:t>指被保险人出生时就具有的畸形、变形或染色体异常。先天性畸形、变形和染色体异常依照世界卫生组织《疾病和有关健康问题的国际统计分类》 （ICD-10）确定。</w:t>
      </w:r>
    </w:p>
    <w:p>
      <w:pPr>
        <w:pStyle w:val="BodyText"/>
        <w:rPr>
          <w:sz w:val="20"/>
        </w:rPr>
      </w:pPr>
    </w:p>
    <w:p>
      <w:pPr>
        <w:pStyle w:val="BodyText"/>
        <w:spacing w:before="3"/>
        <w:rPr>
          <w:sz w:val="28"/>
        </w:rPr>
      </w:pPr>
    </w:p>
    <w:p>
      <w:pPr>
        <w:pStyle w:val="BodyText"/>
        <w:spacing w:line="273" w:lineRule="auto"/>
        <w:ind w:left="133" w:right="217" w:firstLine="420"/>
        <w:jc w:val="both"/>
      </w:pPr>
      <w:r>
        <w:rPr>
          <w:spacing w:val="-9"/>
        </w:rPr>
        <w:t>根据中国保险行业协会制定的《重大疾病保险的疾病定义使用规范》，本附加合同的重大疾病为《重大疾病保险的疾病定义使用规范》范围以内的疾病种类：</w:t>
      </w:r>
    </w:p>
    <w:p>
      <w:pPr>
        <w:spacing w:line="306" w:lineRule="exact" w:before="0"/>
        <w:ind w:left="133" w:right="0" w:firstLine="0"/>
        <w:jc w:val="left"/>
        <w:rPr>
          <w:rFonts w:ascii="Microsoft JhengHei" w:eastAsia="Microsoft JhengHei" w:hint="eastAsia"/>
          <w:b/>
          <w:sz w:val="21"/>
        </w:rPr>
      </w:pPr>
      <w:r>
        <w:rPr>
          <w:rFonts w:ascii="Microsoft JhengHei" w:eastAsia="Microsoft JhengHei" w:hint="eastAsia"/>
          <w:b/>
          <w:sz w:val="21"/>
        </w:rPr>
        <w:t>1、 恶性肿瘤</w:t>
      </w:r>
    </w:p>
    <w:p>
      <w:pPr>
        <w:pStyle w:val="BodyText"/>
        <w:spacing w:line="273" w:lineRule="auto" w:before="13"/>
        <w:ind w:left="133" w:right="218"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7"/>
        <w:ind w:left="553"/>
      </w:pPr>
      <w:r>
        <w:rPr/>
        <w:t>下列疾病不在保障范围内：</w:t>
      </w:r>
    </w:p>
    <w:p>
      <w:pPr>
        <w:pStyle w:val="BodyText"/>
        <w:spacing w:before="36"/>
        <w:ind w:left="427"/>
      </w:pPr>
      <w:r>
        <w:rPr/>
        <w:t>（1） 原位癌；</w:t>
      </w:r>
    </w:p>
    <w:p>
      <w:pPr>
        <w:pStyle w:val="BodyText"/>
        <w:spacing w:before="36"/>
        <w:ind w:left="427"/>
      </w:pPr>
      <w:r>
        <w:rPr/>
        <w:t>（2） 相当于 Binet 分期方案 A 期程度的慢性淋巴细胞白血病；</w:t>
      </w:r>
    </w:p>
    <w:p>
      <w:pPr>
        <w:pStyle w:val="BodyText"/>
        <w:spacing w:before="36"/>
        <w:ind w:left="427"/>
      </w:pPr>
      <w:r>
        <w:rPr/>
        <w:t>（3） 相当于 Ann Arbor 分期方案 I 期程度的何杰金氏病；</w:t>
      </w:r>
    </w:p>
    <w:p>
      <w:pPr>
        <w:pStyle w:val="BodyText"/>
        <w:spacing w:before="36"/>
        <w:ind w:left="427"/>
      </w:pPr>
      <w:r>
        <w:rPr>
          <w:spacing w:val="-1"/>
        </w:rPr>
        <w:t>（4</w:t>
      </w:r>
      <w:r>
        <w:rPr/>
        <w:t>）</w:t>
      </w:r>
      <w:r>
        <w:rPr>
          <w:spacing w:val="-21"/>
        </w:rPr>
        <w:t> 皮肤癌</w:t>
      </w:r>
      <w:r>
        <w:rPr/>
        <w:t>（不包括恶性黑色素瘤及已发生转移的皮肤癌</w:t>
      </w:r>
      <w:r>
        <w:rPr>
          <w:spacing w:val="-105"/>
        </w:rPr>
        <w:t>）</w:t>
      </w:r>
      <w:r>
        <w:rPr/>
        <w:t>；</w:t>
      </w:r>
    </w:p>
    <w:p>
      <w:pPr>
        <w:pStyle w:val="BodyText"/>
        <w:spacing w:before="36"/>
        <w:ind w:left="427"/>
      </w:pPr>
      <w:r>
        <w:rPr>
          <w:position w:val="1"/>
        </w:rPr>
        <w:t>（5）</w:t>
      </w:r>
      <w:r>
        <w:rPr>
          <w:spacing w:val="-85"/>
          <w:position w:val="1"/>
        </w:rPr>
        <w:t> </w:t>
      </w:r>
      <w:r>
        <w:rPr>
          <w:position w:val="1"/>
        </w:rPr>
        <w:t>TNM</w:t>
      </w:r>
      <w:r>
        <w:rPr>
          <w:spacing w:val="-22"/>
          <w:position w:val="1"/>
        </w:rPr>
        <w:t> 分期为 </w:t>
      </w:r>
      <w:r>
        <w:rPr>
          <w:position w:val="1"/>
        </w:rPr>
        <w:t>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60" w:lineRule="exact" w:before="37"/>
        <w:ind w:left="428"/>
      </w:pPr>
      <w:r>
        <w:rPr/>
        <w:t>（6） 感染艾滋病病毒或患艾滋病期间所患恶性肿瘤。</w:t>
      </w:r>
    </w:p>
    <w:p>
      <w:pPr>
        <w:spacing w:line="351" w:lineRule="exact" w:before="0"/>
        <w:ind w:left="134" w:right="0" w:firstLine="0"/>
        <w:jc w:val="left"/>
        <w:rPr>
          <w:rFonts w:ascii="Microsoft JhengHei" w:eastAsia="Microsoft JhengHei" w:hint="eastAsia"/>
          <w:b/>
          <w:sz w:val="21"/>
        </w:rPr>
      </w:pPr>
      <w:r>
        <w:rPr>
          <w:rFonts w:ascii="Microsoft JhengHei" w:eastAsia="Microsoft JhengHei" w:hint="eastAsia"/>
          <w:b/>
          <w:sz w:val="21"/>
        </w:rPr>
        <w:t>2、 急性心肌梗塞</w:t>
      </w:r>
    </w:p>
    <w:p>
      <w:pPr>
        <w:pStyle w:val="BodyText"/>
        <w:spacing w:before="13"/>
        <w:ind w:left="554"/>
      </w:pPr>
      <w:r>
        <w:rPr/>
        <w:t>指因冠状动脉阻塞导致的相应区域供血不足造成部分心肌坏死。须满足下列至少三项条件：</w:t>
      </w:r>
    </w:p>
    <w:p>
      <w:pPr>
        <w:pStyle w:val="ListParagraph"/>
        <w:numPr>
          <w:ilvl w:val="0"/>
          <w:numId w:val="3"/>
        </w:numPr>
        <w:tabs>
          <w:tab w:pos="975" w:val="left" w:leader="none"/>
        </w:tabs>
        <w:spacing w:line="240" w:lineRule="auto" w:before="36" w:after="0"/>
        <w:ind w:left="974" w:right="0" w:hanging="562"/>
        <w:jc w:val="left"/>
        <w:rPr>
          <w:sz w:val="21"/>
        </w:rPr>
      </w:pPr>
      <w:r>
        <w:rPr>
          <w:spacing w:val="-1"/>
          <w:sz w:val="21"/>
        </w:rPr>
        <w:t>典型临床表现，例如急性胸痛等；</w:t>
      </w:r>
    </w:p>
    <w:p>
      <w:pPr>
        <w:pStyle w:val="ListParagraph"/>
        <w:numPr>
          <w:ilvl w:val="0"/>
          <w:numId w:val="3"/>
        </w:numPr>
        <w:tabs>
          <w:tab w:pos="975" w:val="left" w:leader="none"/>
        </w:tabs>
        <w:spacing w:line="240" w:lineRule="auto" w:before="36" w:after="0"/>
        <w:ind w:left="974" w:right="0" w:hanging="562"/>
        <w:jc w:val="left"/>
        <w:rPr>
          <w:sz w:val="21"/>
        </w:rPr>
      </w:pPr>
      <w:r>
        <w:rPr>
          <w:sz w:val="21"/>
        </w:rPr>
        <w:t>新近的心电图改变提示急性心肌梗塞；</w:t>
      </w:r>
    </w:p>
    <w:p>
      <w:pPr>
        <w:pStyle w:val="ListParagraph"/>
        <w:numPr>
          <w:ilvl w:val="0"/>
          <w:numId w:val="3"/>
        </w:numPr>
        <w:tabs>
          <w:tab w:pos="975" w:val="left" w:leader="none"/>
        </w:tabs>
        <w:spacing w:line="240" w:lineRule="auto" w:before="36" w:after="0"/>
        <w:ind w:left="974" w:right="0" w:hanging="562"/>
        <w:jc w:val="left"/>
        <w:rPr>
          <w:sz w:val="21"/>
        </w:rPr>
      </w:pPr>
      <w:r>
        <w:rPr>
          <w:sz w:val="21"/>
        </w:rPr>
        <w:t>心肌酶或肌钙蛋白有诊断意义的升高，或呈符合急性心肌梗塞的动态性变化；</w:t>
      </w:r>
    </w:p>
    <w:p>
      <w:pPr>
        <w:pStyle w:val="ListParagraph"/>
        <w:numPr>
          <w:ilvl w:val="0"/>
          <w:numId w:val="3"/>
        </w:numPr>
        <w:tabs>
          <w:tab w:pos="975" w:val="left" w:leader="none"/>
        </w:tabs>
        <w:spacing w:line="240" w:lineRule="auto" w:before="31" w:after="0"/>
        <w:ind w:left="974" w:right="0" w:hanging="562"/>
        <w:jc w:val="left"/>
        <w:rPr>
          <w:sz w:val="21"/>
        </w:rPr>
      </w:pPr>
      <w:r>
        <w:rPr>
          <w:position w:val="1"/>
          <w:sz w:val="21"/>
        </w:rPr>
        <w:t>发病</w:t>
      </w:r>
      <w:r>
        <w:rPr>
          <w:spacing w:val="-67"/>
          <w:position w:val="1"/>
          <w:sz w:val="21"/>
        </w:rPr>
        <w:t> </w:t>
      </w:r>
      <w:r>
        <w:rPr>
          <w:position w:val="1"/>
          <w:sz w:val="21"/>
        </w:rPr>
        <w:t>90</w:t>
      </w:r>
      <w:r>
        <w:rPr>
          <w:spacing w:val="-67"/>
          <w:position w:val="1"/>
          <w:sz w:val="21"/>
        </w:rPr>
        <w:t> </w:t>
      </w:r>
      <w:r>
        <w:rPr>
          <w:position w:val="1"/>
          <w:sz w:val="21"/>
        </w:rPr>
        <w:t>天后，经检查证实左心室功能降低，如左心室射血分数低于</w:t>
      </w:r>
      <w:r>
        <w:rPr>
          <w:spacing w:val="-53"/>
          <w:position w:val="1"/>
          <w:sz w:val="21"/>
        </w:rPr>
        <w:t> </w:t>
      </w:r>
      <w:r>
        <w:rPr>
          <w:spacing w:val="3"/>
          <w:sz w:val="21"/>
        </w:rPr>
        <w:drawing>
          <wp:inline distT="0" distB="0" distL="0" distR="0">
            <wp:extent cx="60325" cy="104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60325" cy="104775"/>
                    </a:xfrm>
                    <a:prstGeom prst="rect">
                      <a:avLst/>
                    </a:prstGeom>
                  </pic:spPr>
                </pic:pic>
              </a:graphicData>
            </a:graphic>
          </wp:inline>
        </w:drawing>
      </w:r>
      <w:r>
        <w:rPr>
          <w:spacing w:val="3"/>
          <w:sz w:val="21"/>
        </w:rPr>
      </w:r>
      <w:r>
        <w:rPr>
          <w:position w:val="1"/>
          <w:sz w:val="21"/>
        </w:rPr>
        <w:t>。</w:t>
      </w:r>
    </w:p>
    <w:p>
      <w:pPr>
        <w:spacing w:after="0" w:line="240" w:lineRule="auto"/>
        <w:jc w:val="left"/>
        <w:rPr>
          <w:sz w:val="21"/>
        </w:rPr>
        <w:sectPr>
          <w:footerReference w:type="default" r:id="rId8"/>
          <w:pgSz w:w="11910" w:h="16840"/>
          <w:pgMar w:footer="1037" w:header="880" w:top="1140" w:bottom="1220" w:left="1000" w:right="680"/>
          <w:pgNumType w:start="3"/>
        </w:sectPr>
      </w:pPr>
    </w:p>
    <w:p>
      <w:pPr>
        <w:spacing w:line="346" w:lineRule="exact" w:before="0"/>
        <w:ind w:left="149" w:right="0" w:firstLine="0"/>
        <w:jc w:val="left"/>
        <w:rPr>
          <w:rFonts w:ascii="Microsoft JhengHei" w:eastAsia="Microsoft JhengHei" w:hint="eastAsia"/>
          <w:b/>
          <w:sz w:val="21"/>
        </w:rPr>
      </w:pPr>
      <w:r>
        <w:rPr/>
        <w:pict>
          <v:line style="position:absolute;mso-position-horizontal-relative:page;mso-position-vertical-relative:paragraph;z-index:-9160" from="40.98pt,2.843718pt" to="540.060pt,2.843718pt" stroked="true" strokeweight=".48004pt" strokecolor="#000000">
            <v:stroke dashstyle="solid"/>
            <w10:wrap type="none"/>
          </v:line>
        </w:pict>
      </w:r>
      <w:r>
        <w:rPr>
          <w:rFonts w:ascii="Microsoft JhengHei" w:eastAsia="Microsoft JhengHei" w:hint="eastAsia"/>
          <w:b/>
          <w:sz w:val="21"/>
        </w:rPr>
        <w:t>3、 脑中风后遗症</w:t>
      </w:r>
    </w:p>
    <w:p>
      <w:pPr>
        <w:pStyle w:val="BodyText"/>
        <w:spacing w:line="273" w:lineRule="auto" w:before="13"/>
        <w:ind w:left="149" w:right="182" w:firstLine="420"/>
        <w:jc w:val="both"/>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4"/>
        </w:numPr>
        <w:tabs>
          <w:tab w:pos="990" w:val="left" w:leader="none"/>
        </w:tabs>
        <w:spacing w:line="240" w:lineRule="auto" w:before="7" w:after="0"/>
        <w:ind w:left="989" w:right="5424" w:hanging="562"/>
        <w:jc w:val="left"/>
        <w:rPr>
          <w:sz w:val="21"/>
        </w:rPr>
      </w:pPr>
      <w:r>
        <w:rPr>
          <w:sz w:val="21"/>
        </w:rPr>
        <w:t>一肢或一肢以上肢体机能完全丧失；</w:t>
      </w:r>
    </w:p>
    <w:p>
      <w:pPr>
        <w:pStyle w:val="ListParagraph"/>
        <w:numPr>
          <w:ilvl w:val="0"/>
          <w:numId w:val="4"/>
        </w:numPr>
        <w:tabs>
          <w:tab w:pos="990" w:val="left" w:leader="none"/>
        </w:tabs>
        <w:spacing w:line="240" w:lineRule="auto" w:before="36" w:after="0"/>
        <w:ind w:left="989" w:right="5424" w:hanging="562"/>
        <w:jc w:val="left"/>
        <w:rPr>
          <w:sz w:val="21"/>
        </w:rPr>
      </w:pPr>
      <w:r>
        <w:rPr>
          <w:sz w:val="21"/>
        </w:rPr>
        <w:t>语言能力或咀嚼吞咽能力完全丧失；</w:t>
      </w:r>
    </w:p>
    <w:p>
      <w:pPr>
        <w:pStyle w:val="ListParagraph"/>
        <w:numPr>
          <w:ilvl w:val="0"/>
          <w:numId w:val="4"/>
        </w:numPr>
        <w:tabs>
          <w:tab w:pos="990" w:val="left" w:leader="none"/>
        </w:tabs>
        <w:spacing w:line="260" w:lineRule="exact" w:before="36" w:after="0"/>
        <w:ind w:left="989" w:right="0" w:hanging="562"/>
        <w:jc w:val="left"/>
        <w:rPr>
          <w:sz w:val="21"/>
        </w:rPr>
      </w:pPr>
      <w:r>
        <w:rPr>
          <w:sz w:val="21"/>
        </w:rPr>
        <w:t>自主生活能力完全丧失，无法独立完成六项基本日常生活活动中的三项或三项以上。</w:t>
      </w:r>
    </w:p>
    <w:p>
      <w:pPr>
        <w:spacing w:line="351" w:lineRule="exact" w:before="0"/>
        <w:ind w:left="149" w:right="0" w:firstLine="0"/>
        <w:jc w:val="left"/>
        <w:rPr>
          <w:rFonts w:ascii="Microsoft JhengHei" w:eastAsia="Microsoft JhengHei" w:hint="eastAsia"/>
          <w:b/>
          <w:sz w:val="21"/>
        </w:rPr>
      </w:pPr>
      <w:r>
        <w:rPr>
          <w:rFonts w:ascii="Microsoft JhengHei" w:eastAsia="Microsoft JhengHei" w:hint="eastAsia"/>
          <w:b/>
          <w:sz w:val="21"/>
        </w:rPr>
        <w:t>4、 重大器官移植术或造血干细胞移植术</w:t>
      </w:r>
    </w:p>
    <w:p>
      <w:pPr>
        <w:pStyle w:val="BodyText"/>
        <w:spacing w:line="273" w:lineRule="auto" w:before="13"/>
        <w:ind w:left="149" w:right="182"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spacing w:line="306" w:lineRule="exact" w:before="0"/>
        <w:ind w:left="149" w:right="0" w:firstLine="0"/>
        <w:jc w:val="left"/>
        <w:rPr>
          <w:rFonts w:ascii="Microsoft JhengHei" w:eastAsia="Microsoft JhengHei" w:hint="eastAsia"/>
          <w:b/>
          <w:sz w:val="21"/>
        </w:rPr>
      </w:pPr>
      <w:r>
        <w:rPr>
          <w:rFonts w:ascii="Microsoft JhengHei" w:eastAsia="Microsoft JhengHei" w:hint="eastAsia"/>
          <w:b/>
          <w:sz w:val="21"/>
        </w:rPr>
        <w:t>5、 冠状动脉搭桥术（或称冠状动脉旁路移植术）</w:t>
      </w:r>
    </w:p>
    <w:p>
      <w:pPr>
        <w:pStyle w:val="BodyText"/>
        <w:spacing w:before="14"/>
        <w:ind w:left="569"/>
      </w:pPr>
      <w:r>
        <w:rPr/>
        <w:t>指为治疗严重的冠心病，实际实施了开胸进行的冠状动脉血管旁路移植的手术。</w:t>
      </w:r>
    </w:p>
    <w:p>
      <w:pPr>
        <w:pStyle w:val="BodyText"/>
        <w:spacing w:line="273" w:lineRule="auto" w:before="37"/>
        <w:ind w:left="149" w:right="182" w:firstLine="420"/>
        <w:jc w:val="both"/>
      </w:pPr>
      <w:r>
        <w:rPr/>
        <w:t>冠状动脉支架植入术、心导管球囊扩张术、激光射频技术及其它非开胸的介入手术、腔镜手术不在保障范围内。</w:t>
      </w:r>
    </w:p>
    <w:p>
      <w:pPr>
        <w:spacing w:line="306" w:lineRule="exact" w:before="0"/>
        <w:ind w:left="149" w:right="0" w:firstLine="0"/>
        <w:jc w:val="left"/>
        <w:rPr>
          <w:rFonts w:ascii="Microsoft JhengHei" w:eastAsia="Microsoft JhengHei" w:hint="eastAsia"/>
          <w:b/>
          <w:sz w:val="21"/>
        </w:rPr>
      </w:pPr>
      <w:r>
        <w:rPr>
          <w:rFonts w:ascii="Microsoft JhengHei" w:eastAsia="Microsoft JhengHei" w:hint="eastAsia"/>
          <w:b/>
          <w:sz w:val="21"/>
        </w:rPr>
        <w:t>6、 终末期肾病（或称慢性肾功能衰竭尿毒症期）</w:t>
      </w:r>
    </w:p>
    <w:p>
      <w:pPr>
        <w:pStyle w:val="BodyText"/>
        <w:spacing w:line="273" w:lineRule="auto" w:before="13"/>
        <w:ind w:left="149" w:right="181" w:firstLine="420"/>
        <w:jc w:val="both"/>
      </w:pPr>
      <w:r>
        <w:rPr>
          <w:spacing w:val="-9"/>
        </w:rPr>
        <w:t>指双肾功能慢性不可逆性衰竭，达到尿毒症期，经诊断后已经进行了至少 </w:t>
      </w:r>
      <w:r>
        <w:rPr/>
        <w:t>90</w:t>
      </w:r>
      <w:r>
        <w:rPr>
          <w:spacing w:val="-9"/>
        </w:rPr>
        <w:t> 天的规律性透析治疗或实施了肾脏移植手术。</w:t>
      </w:r>
    </w:p>
    <w:p>
      <w:pPr>
        <w:pStyle w:val="BodyText"/>
        <w:spacing w:before="3"/>
        <w:rPr>
          <w:sz w:val="19"/>
        </w:rPr>
      </w:pPr>
    </w:p>
    <w:p>
      <w:pPr>
        <w:spacing w:line="339" w:lineRule="exact" w:before="1"/>
        <w:ind w:left="149" w:right="0" w:firstLine="0"/>
        <w:jc w:val="left"/>
        <w:rPr>
          <w:rFonts w:ascii="Microsoft JhengHei" w:eastAsia="Microsoft JhengHei" w:hint="eastAsia"/>
          <w:b/>
          <w:sz w:val="21"/>
        </w:rPr>
      </w:pPr>
      <w:r>
        <w:rPr>
          <w:rFonts w:ascii="Microsoft JhengHei" w:eastAsia="Microsoft JhengHei" w:hint="eastAsia"/>
          <w:b/>
          <w:sz w:val="21"/>
        </w:rPr>
        <w:t>注：</w:t>
      </w:r>
    </w:p>
    <w:p>
      <w:pPr>
        <w:pStyle w:val="BodyText"/>
        <w:tabs>
          <w:tab w:pos="2649" w:val="left" w:leader="none"/>
        </w:tabs>
        <w:spacing w:line="312" w:lineRule="exact" w:before="35"/>
        <w:ind w:left="2649" w:right="126" w:hanging="2503"/>
      </w:pPr>
      <w:r>
        <w:rPr>
          <w:rFonts w:ascii="Microsoft JhengHei" w:eastAsia="Microsoft JhengHei" w:hint="eastAsia"/>
          <w:b/>
        </w:rPr>
        <w:t>肢体机能完全丧失：</w:t>
        <w:tab/>
      </w:r>
      <w:r>
        <w:rPr/>
        <w:t>指肢体的三大关节中的两大关节僵硬，或不能随意识活动。肢体是指包括肩关节 的整个上肢或包括髋关节的整个下肢。</w:t>
      </w:r>
    </w:p>
    <w:p>
      <w:pPr>
        <w:spacing w:after="0" w:line="312" w:lineRule="exact"/>
        <w:sectPr>
          <w:headerReference w:type="default" r:id="rId10"/>
          <w:pgSz w:w="11910" w:h="16840"/>
          <w:pgMar w:header="880" w:footer="1037" w:top="1080" w:bottom="1220" w:left="700" w:right="1000"/>
        </w:sectPr>
      </w:pPr>
    </w:p>
    <w:p>
      <w:pPr>
        <w:spacing w:line="204" w:lineRule="auto" w:before="0"/>
        <w:ind w:left="147" w:right="0" w:firstLine="0"/>
        <w:jc w:val="left"/>
        <w:rPr>
          <w:rFonts w:ascii="Microsoft JhengHei" w:eastAsia="Microsoft JhengHei" w:hint="eastAsia"/>
          <w:b/>
          <w:sz w:val="21"/>
        </w:rPr>
      </w:pPr>
      <w:r>
        <w:rPr>
          <w:rFonts w:ascii="Microsoft JhengHei" w:eastAsia="Microsoft JhengHei" w:hint="eastAsia"/>
          <w:b/>
          <w:sz w:val="21"/>
        </w:rPr>
        <w:t>六项基本日常生活活动  ：</w:t>
      </w:r>
    </w:p>
    <w:p>
      <w:pPr>
        <w:pStyle w:val="BodyText"/>
        <w:rPr>
          <w:rFonts w:ascii="Microsoft JhengHei"/>
          <w:b/>
          <w:sz w:val="20"/>
        </w:rPr>
      </w:pPr>
    </w:p>
    <w:p>
      <w:pPr>
        <w:pStyle w:val="BodyText"/>
        <w:spacing w:before="7"/>
        <w:rPr>
          <w:rFonts w:ascii="Microsoft JhengHei"/>
          <w:b/>
          <w:sz w:val="16"/>
        </w:rPr>
      </w:pPr>
    </w:p>
    <w:p>
      <w:pPr>
        <w:spacing w:line="204" w:lineRule="auto" w:before="0"/>
        <w:ind w:left="149" w:right="24" w:firstLine="0"/>
        <w:jc w:val="left"/>
        <w:rPr>
          <w:rFonts w:ascii="Microsoft JhengHei" w:eastAsia="Microsoft JhengHei" w:hint="eastAsia"/>
          <w:b/>
          <w:sz w:val="21"/>
        </w:rPr>
      </w:pPr>
      <w:r>
        <w:rPr>
          <w:rFonts w:ascii="Microsoft JhengHei" w:eastAsia="Microsoft JhengHei" w:hint="eastAsia"/>
          <w:b/>
          <w:sz w:val="21"/>
        </w:rPr>
        <w:t>语言能力或咀嚼吞咽能力完全丧失：</w:t>
      </w:r>
    </w:p>
    <w:p>
      <w:pPr>
        <w:pStyle w:val="BodyText"/>
        <w:spacing w:line="273" w:lineRule="auto" w:before="3"/>
        <w:ind w:left="126" w:right="128" w:hanging="1"/>
        <w:jc w:val="both"/>
      </w:pPr>
      <w:r>
        <w:rPr/>
        <w:br w:type="column"/>
      </w:r>
      <w:r>
        <w:rPr>
          <w:spacing w:val="-8"/>
        </w:rPr>
        <w:t>六项基本日常生活活动是指：</w:t>
      </w:r>
      <w:r>
        <w:rPr>
          <w:spacing w:val="1"/>
        </w:rPr>
        <w:t>（1</w:t>
      </w:r>
      <w:r>
        <w:rPr>
          <w:spacing w:val="0"/>
        </w:rPr>
        <w:t>）</w:t>
      </w:r>
      <w:r>
        <w:rPr>
          <w:spacing w:val="-8"/>
        </w:rPr>
        <w:t>穿衣：自己能够穿衣及脱衣；</w:t>
      </w:r>
      <w:r>
        <w:rPr>
          <w:spacing w:val="1"/>
        </w:rPr>
        <w:t>（2</w:t>
      </w:r>
      <w:r>
        <w:rPr>
          <w:spacing w:val="0"/>
        </w:rPr>
        <w:t>）</w:t>
      </w:r>
      <w:r>
        <w:rPr/>
        <w:t>移动：自己</w:t>
      </w:r>
      <w:r>
        <w:rPr>
          <w:spacing w:val="-9"/>
        </w:rPr>
        <w:t>从一个房间到另一个房间；</w:t>
      </w:r>
      <w:r>
        <w:rPr>
          <w:spacing w:val="1"/>
        </w:rPr>
        <w:t>（3）</w:t>
      </w:r>
      <w:r>
        <w:rPr>
          <w:spacing w:val="-8"/>
        </w:rPr>
        <w:t>行动：自己上下床或上下轮椅；</w:t>
      </w:r>
      <w:r>
        <w:rPr>
          <w:spacing w:val="1"/>
        </w:rPr>
        <w:t>（4</w:t>
      </w:r>
      <w:r>
        <w:rPr>
          <w:spacing w:val="0"/>
        </w:rPr>
        <w:t>）</w:t>
      </w:r>
      <w:r>
        <w:rPr/>
        <w:t>如厕：自己</w:t>
      </w:r>
      <w:r>
        <w:rPr>
          <w:spacing w:val="-13"/>
        </w:rPr>
        <w:t>控制进行大小便；</w:t>
      </w:r>
      <w:r>
        <w:rPr>
          <w:spacing w:val="1"/>
        </w:rPr>
        <w:t>（5</w:t>
      </w:r>
      <w:r>
        <w:rPr>
          <w:spacing w:val="0"/>
        </w:rPr>
        <w:t>）</w:t>
      </w:r>
      <w:r>
        <w:rPr>
          <w:spacing w:val="-5"/>
        </w:rPr>
        <w:t>进食：自己从已准备好的碗或碟中取食物放入口中；</w:t>
      </w:r>
      <w:r>
        <w:rPr>
          <w:spacing w:val="1"/>
        </w:rPr>
        <w:t>（6）</w:t>
      </w:r>
      <w:r>
        <w:rPr/>
        <w:t>洗澡：自己进行淋浴或盆浴。</w:t>
      </w:r>
    </w:p>
    <w:p>
      <w:pPr>
        <w:pStyle w:val="BodyText"/>
        <w:spacing w:line="273" w:lineRule="auto" w:before="7"/>
        <w:ind w:left="126" w:right="126"/>
      </w:pPr>
      <w:r>
        <w:rPr/>
        <w:t>语言能力完全丧失，指无法发出四种语音（包括口唇音、齿舌音、口盖音和喉头音）中的任何三种、或声带全部切除，或因大脑语言中枢受伤害而患失语症。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sectPr>
      <w:type w:val="continuous"/>
      <w:pgSz w:w="11910" w:h="16840"/>
      <w:pgMar w:top="1520" w:bottom="1180" w:left="700" w:right="1000"/>
      <w:cols w:num="2" w:equalWidth="0">
        <w:col w:w="2483" w:space="40"/>
        <w:col w:w="768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480011pt;margin-top:781.119873pt;width:6.55pt;height:12pt;mso-position-horizontal-relative:page;mso-position-vertical-relative:page;z-index:-9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740448pt;margin-top:779.15625pt;width:9.25pt;height:12.5pt;mso-position-horizontal-relative:page;mso-position-vertical-relative:page;z-index:-9136" type="#_x0000_t202" filled="false" stroked="false">
          <v:textbox inset="0,0,0,0">
            <w:txbxContent>
              <w:p>
                <w:pPr>
                  <w:pStyle w:val="BodyText"/>
                  <w:spacing w:line="230" w:lineRule="exact"/>
                  <w:ind w:left="40"/>
                </w:pPr>
                <w:r>
                  <w:rPr/>
                  <w:fldChar w:fldCharType="begin"/>
                </w:r>
                <w:r>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740448pt;margin-top:779.15625pt;width:9.25pt;height:12.5pt;mso-position-horizontal-relative:page;mso-position-vertical-relative:page;z-index:-9112" type="#_x0000_t202" filled="false" stroked="false">
          <v:textbox inset="0,0,0,0">
            <w:txbxContent>
              <w:p>
                <w:pPr>
                  <w:pStyle w:val="BodyText"/>
                  <w:spacing w:line="230" w:lineRule="exact"/>
                  <w:ind w:left="40"/>
                </w:pPr>
                <w:r>
                  <w:rPr/>
                  <w:fldChar w:fldCharType="begin"/>
                </w:r>
                <w:r>
                  <w:rPr/>
                  <w:instrText> PAGE </w:instrText>
                </w:r>
                <w:r>
                  <w:rPr/>
                  <w:fldChar w:fldCharType="separate"/>
                </w:r>
                <w:r>
                  <w:rPr/>
                  <w:t>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84" from="55.200001pt,57.359982pt" to="554.280001pt,57.359982pt" stroked="true" strokeweight=".48004pt" strokecolor="#000000">
          <v:stroke dashstyle="solid"/>
          <w10:wrap type="none"/>
        </v:line>
      </w:pict>
    </w:r>
    <w:r>
      <w:rPr/>
      <w:pict>
        <v:shape style="position:absolute;margin-left:425.720001pt;margin-top:43.016262pt;width:128pt;height:12.5pt;mso-position-horizontal-relative:page;mso-position-vertical-relative:page;z-index:-9160" type="#_x0000_t202" filled="false" stroked="false">
          <v:textbox inset="0,0,0,0">
            <w:txbxContent>
              <w:p>
                <w:pPr>
                  <w:pStyle w:val="BodyText"/>
                  <w:spacing w:line="230" w:lineRule="exact"/>
                  <w:ind w:left="20"/>
                </w:pPr>
                <w:r>
                  <w:rPr/>
                  <w:t>光大永明人寿保险有限公司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5pt;margin-top:43.016262pt;width:128pt;height:12.5pt;mso-position-horizontal-relative:page;mso-position-vertical-relative:page;z-index:-9088" type="#_x0000_t202" filled="false" stroked="false">
          <v:textbox inset="0,0,0,0">
            <w:txbxContent>
              <w:p>
                <w:pPr>
                  <w:pStyle w:val="BodyText"/>
                  <w:spacing w:line="230" w:lineRule="exact"/>
                  <w:ind w:left="20"/>
                </w:pPr>
                <w:r>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989" w:hanging="562"/>
        <w:jc w:val="left"/>
      </w:pPr>
      <w:rPr>
        <w:rFonts w:hint="default" w:ascii="宋体" w:hAnsi="宋体" w:eastAsia="宋体" w:cs="宋体"/>
        <w:spacing w:val="-1"/>
        <w:w w:val="100"/>
        <w:sz w:val="21"/>
        <w:szCs w:val="21"/>
      </w:rPr>
    </w:lvl>
    <w:lvl w:ilvl="1">
      <w:start w:val="0"/>
      <w:numFmt w:val="bullet"/>
      <w:lvlText w:val="•"/>
      <w:lvlJc w:val="left"/>
      <w:pPr>
        <w:ind w:left="1902" w:hanging="562"/>
      </w:pPr>
      <w:rPr>
        <w:rFonts w:hint="default"/>
      </w:rPr>
    </w:lvl>
    <w:lvl w:ilvl="2">
      <w:start w:val="0"/>
      <w:numFmt w:val="bullet"/>
      <w:lvlText w:val="•"/>
      <w:lvlJc w:val="left"/>
      <w:pPr>
        <w:ind w:left="2824" w:hanging="562"/>
      </w:pPr>
      <w:rPr>
        <w:rFonts w:hint="default"/>
      </w:rPr>
    </w:lvl>
    <w:lvl w:ilvl="3">
      <w:start w:val="0"/>
      <w:numFmt w:val="bullet"/>
      <w:lvlText w:val="•"/>
      <w:lvlJc w:val="left"/>
      <w:pPr>
        <w:ind w:left="3747" w:hanging="562"/>
      </w:pPr>
      <w:rPr>
        <w:rFonts w:hint="default"/>
      </w:rPr>
    </w:lvl>
    <w:lvl w:ilvl="4">
      <w:start w:val="0"/>
      <w:numFmt w:val="bullet"/>
      <w:lvlText w:val="•"/>
      <w:lvlJc w:val="left"/>
      <w:pPr>
        <w:ind w:left="4669" w:hanging="562"/>
      </w:pPr>
      <w:rPr>
        <w:rFonts w:hint="default"/>
      </w:rPr>
    </w:lvl>
    <w:lvl w:ilvl="5">
      <w:start w:val="0"/>
      <w:numFmt w:val="bullet"/>
      <w:lvlText w:val="•"/>
      <w:lvlJc w:val="left"/>
      <w:pPr>
        <w:ind w:left="5592" w:hanging="562"/>
      </w:pPr>
      <w:rPr>
        <w:rFonts w:hint="default"/>
      </w:rPr>
    </w:lvl>
    <w:lvl w:ilvl="6">
      <w:start w:val="0"/>
      <w:numFmt w:val="bullet"/>
      <w:lvlText w:val="•"/>
      <w:lvlJc w:val="left"/>
      <w:pPr>
        <w:ind w:left="6514" w:hanging="562"/>
      </w:pPr>
      <w:rPr>
        <w:rFonts w:hint="default"/>
      </w:rPr>
    </w:lvl>
    <w:lvl w:ilvl="7">
      <w:start w:val="0"/>
      <w:numFmt w:val="bullet"/>
      <w:lvlText w:val="•"/>
      <w:lvlJc w:val="left"/>
      <w:pPr>
        <w:ind w:left="7437" w:hanging="562"/>
      </w:pPr>
      <w:rPr>
        <w:rFonts w:hint="default"/>
      </w:rPr>
    </w:lvl>
    <w:lvl w:ilvl="8">
      <w:start w:val="0"/>
      <w:numFmt w:val="bullet"/>
      <w:lvlText w:val="•"/>
      <w:lvlJc w:val="left"/>
      <w:pPr>
        <w:ind w:left="8359" w:hanging="562"/>
      </w:pPr>
      <w:rPr>
        <w:rFonts w:hint="default"/>
      </w:rPr>
    </w:lvl>
  </w:abstractNum>
  <w:abstractNum w:abstractNumId="2">
    <w:multiLevelType w:val="hybridMultilevel"/>
    <w:lvl w:ilvl="0">
      <w:start w:val="1"/>
      <w:numFmt w:val="decimal"/>
      <w:lvlText w:val="（%1）"/>
      <w:lvlJc w:val="left"/>
      <w:pPr>
        <w:ind w:left="974" w:hanging="562"/>
        <w:jc w:val="left"/>
      </w:pPr>
      <w:rPr>
        <w:rFonts w:hint="default" w:ascii="宋体" w:hAnsi="宋体" w:eastAsia="宋体" w:cs="宋体"/>
        <w:spacing w:val="-1"/>
        <w:w w:val="100"/>
        <w:sz w:val="21"/>
        <w:szCs w:val="21"/>
      </w:rPr>
    </w:lvl>
    <w:lvl w:ilvl="1">
      <w:start w:val="0"/>
      <w:numFmt w:val="bullet"/>
      <w:lvlText w:val="•"/>
      <w:lvlJc w:val="left"/>
      <w:pPr>
        <w:ind w:left="1904" w:hanging="562"/>
      </w:pPr>
      <w:rPr>
        <w:rFonts w:hint="default"/>
      </w:rPr>
    </w:lvl>
    <w:lvl w:ilvl="2">
      <w:start w:val="0"/>
      <w:numFmt w:val="bullet"/>
      <w:lvlText w:val="•"/>
      <w:lvlJc w:val="left"/>
      <w:pPr>
        <w:ind w:left="2828" w:hanging="562"/>
      </w:pPr>
      <w:rPr>
        <w:rFonts w:hint="default"/>
      </w:rPr>
    </w:lvl>
    <w:lvl w:ilvl="3">
      <w:start w:val="0"/>
      <w:numFmt w:val="bullet"/>
      <w:lvlText w:val="•"/>
      <w:lvlJc w:val="left"/>
      <w:pPr>
        <w:ind w:left="3753" w:hanging="562"/>
      </w:pPr>
      <w:rPr>
        <w:rFonts w:hint="default"/>
      </w:rPr>
    </w:lvl>
    <w:lvl w:ilvl="4">
      <w:start w:val="0"/>
      <w:numFmt w:val="bullet"/>
      <w:lvlText w:val="•"/>
      <w:lvlJc w:val="left"/>
      <w:pPr>
        <w:ind w:left="4677" w:hanging="562"/>
      </w:pPr>
      <w:rPr>
        <w:rFonts w:hint="default"/>
      </w:rPr>
    </w:lvl>
    <w:lvl w:ilvl="5">
      <w:start w:val="0"/>
      <w:numFmt w:val="bullet"/>
      <w:lvlText w:val="•"/>
      <w:lvlJc w:val="left"/>
      <w:pPr>
        <w:ind w:left="5602" w:hanging="562"/>
      </w:pPr>
      <w:rPr>
        <w:rFonts w:hint="default"/>
      </w:rPr>
    </w:lvl>
    <w:lvl w:ilvl="6">
      <w:start w:val="0"/>
      <w:numFmt w:val="bullet"/>
      <w:lvlText w:val="•"/>
      <w:lvlJc w:val="left"/>
      <w:pPr>
        <w:ind w:left="6526" w:hanging="562"/>
      </w:pPr>
      <w:rPr>
        <w:rFonts w:hint="default"/>
      </w:rPr>
    </w:lvl>
    <w:lvl w:ilvl="7">
      <w:start w:val="0"/>
      <w:numFmt w:val="bullet"/>
      <w:lvlText w:val="•"/>
      <w:lvlJc w:val="left"/>
      <w:pPr>
        <w:ind w:left="7451" w:hanging="562"/>
      </w:pPr>
      <w:rPr>
        <w:rFonts w:hint="default"/>
      </w:rPr>
    </w:lvl>
    <w:lvl w:ilvl="8">
      <w:start w:val="0"/>
      <w:numFmt w:val="bullet"/>
      <w:lvlText w:val="•"/>
      <w:lvlJc w:val="left"/>
      <w:pPr>
        <w:ind w:left="8375" w:hanging="562"/>
      </w:pPr>
      <w:rPr>
        <w:rFonts w:hint="default"/>
      </w:rPr>
    </w:lvl>
  </w:abstractNum>
  <w:abstractNum w:abstractNumId="1">
    <w:multiLevelType w:val="hybridMultilevel"/>
    <w:lvl w:ilvl="0">
      <w:start w:val="1"/>
      <w:numFmt w:val="decimal"/>
      <w:lvlText w:val="%1"/>
      <w:lvlJc w:val="left"/>
      <w:pPr>
        <w:ind w:left="883" w:hanging="315"/>
        <w:jc w:val="left"/>
      </w:pPr>
      <w:rPr>
        <w:rFonts w:hint="default" w:ascii="Times New Roman" w:hAnsi="Times New Roman" w:eastAsia="Times New Roman" w:cs="Times New Roman"/>
        <w:w w:val="100"/>
        <w:sz w:val="21"/>
        <w:szCs w:val="21"/>
      </w:rPr>
    </w:lvl>
    <w:lvl w:ilvl="1">
      <w:start w:val="0"/>
      <w:numFmt w:val="bullet"/>
      <w:lvlText w:val="•"/>
      <w:lvlJc w:val="left"/>
      <w:pPr>
        <w:ind w:left="1816" w:hanging="315"/>
      </w:pPr>
      <w:rPr>
        <w:rFonts w:hint="default"/>
      </w:rPr>
    </w:lvl>
    <w:lvl w:ilvl="2">
      <w:start w:val="0"/>
      <w:numFmt w:val="bullet"/>
      <w:lvlText w:val="•"/>
      <w:lvlJc w:val="left"/>
      <w:pPr>
        <w:ind w:left="2752" w:hanging="315"/>
      </w:pPr>
      <w:rPr>
        <w:rFonts w:hint="default"/>
      </w:rPr>
    </w:lvl>
    <w:lvl w:ilvl="3">
      <w:start w:val="0"/>
      <w:numFmt w:val="bullet"/>
      <w:lvlText w:val="•"/>
      <w:lvlJc w:val="left"/>
      <w:pPr>
        <w:ind w:left="3689" w:hanging="315"/>
      </w:pPr>
      <w:rPr>
        <w:rFonts w:hint="default"/>
      </w:rPr>
    </w:lvl>
    <w:lvl w:ilvl="4">
      <w:start w:val="0"/>
      <w:numFmt w:val="bullet"/>
      <w:lvlText w:val="•"/>
      <w:lvlJc w:val="left"/>
      <w:pPr>
        <w:ind w:left="4625" w:hanging="315"/>
      </w:pPr>
      <w:rPr>
        <w:rFonts w:hint="default"/>
      </w:rPr>
    </w:lvl>
    <w:lvl w:ilvl="5">
      <w:start w:val="0"/>
      <w:numFmt w:val="bullet"/>
      <w:lvlText w:val="•"/>
      <w:lvlJc w:val="left"/>
      <w:pPr>
        <w:ind w:left="5562" w:hanging="315"/>
      </w:pPr>
      <w:rPr>
        <w:rFonts w:hint="default"/>
      </w:rPr>
    </w:lvl>
    <w:lvl w:ilvl="6">
      <w:start w:val="0"/>
      <w:numFmt w:val="bullet"/>
      <w:lvlText w:val="•"/>
      <w:lvlJc w:val="left"/>
      <w:pPr>
        <w:ind w:left="6498" w:hanging="315"/>
      </w:pPr>
      <w:rPr>
        <w:rFonts w:hint="default"/>
      </w:rPr>
    </w:lvl>
    <w:lvl w:ilvl="7">
      <w:start w:val="0"/>
      <w:numFmt w:val="bullet"/>
      <w:lvlText w:val="•"/>
      <w:lvlJc w:val="left"/>
      <w:pPr>
        <w:ind w:left="7435" w:hanging="315"/>
      </w:pPr>
      <w:rPr>
        <w:rFonts w:hint="default"/>
      </w:rPr>
    </w:lvl>
    <w:lvl w:ilvl="8">
      <w:start w:val="0"/>
      <w:numFmt w:val="bullet"/>
      <w:lvlText w:val="•"/>
      <w:lvlJc w:val="left"/>
      <w:pPr>
        <w:ind w:left="8371" w:hanging="315"/>
      </w:pPr>
      <w:rPr>
        <w:rFonts w:hint="default"/>
      </w:rPr>
    </w:lvl>
  </w:abstractNum>
  <w:abstractNum w:abstractNumId="0">
    <w:multiLevelType w:val="hybridMultilevel"/>
    <w:lvl w:ilvl="0">
      <w:start w:val="1"/>
      <w:numFmt w:val="decimal"/>
      <w:lvlText w:val="%1."/>
      <w:lvlJc w:val="left"/>
      <w:pPr>
        <w:ind w:left="981"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906" w:hanging="420"/>
      </w:pPr>
      <w:rPr>
        <w:rFonts w:hint="default"/>
      </w:rPr>
    </w:lvl>
    <w:lvl w:ilvl="2">
      <w:start w:val="0"/>
      <w:numFmt w:val="bullet"/>
      <w:lvlText w:val="•"/>
      <w:lvlJc w:val="left"/>
      <w:pPr>
        <w:ind w:left="2832" w:hanging="420"/>
      </w:pPr>
      <w:rPr>
        <w:rFonts w:hint="default"/>
      </w:rPr>
    </w:lvl>
    <w:lvl w:ilvl="3">
      <w:start w:val="0"/>
      <w:numFmt w:val="bullet"/>
      <w:lvlText w:val="•"/>
      <w:lvlJc w:val="left"/>
      <w:pPr>
        <w:ind w:left="3759" w:hanging="420"/>
      </w:pPr>
      <w:rPr>
        <w:rFonts w:hint="default"/>
      </w:rPr>
    </w:lvl>
    <w:lvl w:ilvl="4">
      <w:start w:val="0"/>
      <w:numFmt w:val="bullet"/>
      <w:lvlText w:val="•"/>
      <w:lvlJc w:val="left"/>
      <w:pPr>
        <w:ind w:left="4685" w:hanging="420"/>
      </w:pPr>
      <w:rPr>
        <w:rFonts w:hint="default"/>
      </w:rPr>
    </w:lvl>
    <w:lvl w:ilvl="5">
      <w:start w:val="0"/>
      <w:numFmt w:val="bullet"/>
      <w:lvlText w:val="•"/>
      <w:lvlJc w:val="left"/>
      <w:pPr>
        <w:ind w:left="5612" w:hanging="420"/>
      </w:pPr>
      <w:rPr>
        <w:rFonts w:hint="default"/>
      </w:rPr>
    </w:lvl>
    <w:lvl w:ilvl="6">
      <w:start w:val="0"/>
      <w:numFmt w:val="bullet"/>
      <w:lvlText w:val="•"/>
      <w:lvlJc w:val="left"/>
      <w:pPr>
        <w:ind w:left="6538" w:hanging="420"/>
      </w:pPr>
      <w:rPr>
        <w:rFonts w:hint="default"/>
      </w:rPr>
    </w:lvl>
    <w:lvl w:ilvl="7">
      <w:start w:val="0"/>
      <w:numFmt w:val="bullet"/>
      <w:lvlText w:val="•"/>
      <w:lvlJc w:val="left"/>
      <w:pPr>
        <w:ind w:left="7465" w:hanging="420"/>
      </w:pPr>
      <w:rPr>
        <w:rFonts w:hint="default"/>
      </w:rPr>
    </w:lvl>
    <w:lvl w:ilvl="8">
      <w:start w:val="0"/>
      <w:numFmt w:val="bullet"/>
      <w:lvlText w:val="•"/>
      <w:lvlJc w:val="left"/>
      <w:pPr>
        <w:ind w:left="8391"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43" w:lineRule="exact"/>
      <w:ind w:left="109"/>
    </w:pPr>
    <w:rPr>
      <w:rFonts w:ascii="Microsoft JhengHei" w:hAnsi="Microsoft JhengHei" w:eastAsia="Microsoft JhengHei" w:cs="Microsoft JhengHei"/>
      <w:b/>
      <w:bCs/>
      <w:sz w:val="21"/>
      <w:szCs w:val="21"/>
    </w:rPr>
  </w:style>
  <w:style w:styleId="TOC2" w:type="paragraph">
    <w:name w:val="TOC 2"/>
    <w:basedOn w:val="Normal"/>
    <w:uiPriority w:val="1"/>
    <w:qFormat/>
    <w:pPr>
      <w:spacing w:before="21"/>
      <w:ind w:left="739"/>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right="349"/>
      <w:jc w:val="center"/>
      <w:outlineLvl w:val="1"/>
    </w:pPr>
    <w:rPr>
      <w:rFonts w:ascii="宋体" w:hAnsi="宋体" w:eastAsia="宋体" w:cs="宋体"/>
      <w:b/>
      <w:bCs/>
      <w:sz w:val="28"/>
      <w:szCs w:val="28"/>
    </w:rPr>
  </w:style>
  <w:style w:styleId="Heading2" w:type="paragraph">
    <w:name w:val="Heading 2"/>
    <w:basedOn w:val="Normal"/>
    <w:uiPriority w:val="1"/>
    <w:qFormat/>
    <w:pPr>
      <w:ind w:left="149"/>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20"/>
      <w:ind w:left="981" w:hanging="42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1.png"/><Relationship Id="rId10" Type="http://schemas.openxmlformats.org/officeDocument/2006/relationships/header" Target="header2.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hq01037</dc:creator>
  <dc:title>&lt;4D6963726F736F667420576F7264202D20372D303220B9E2B4F3D3C0C3F7B8BDBCD3BDF0B1A3C8F0D6D8B4F3BCB2B2A1B1A3CFD5B2FAC6B7CCF5BFEE2E646F63&gt;</dc:title>
  <dcterms:created xsi:type="dcterms:W3CDTF">2018-10-19T23:55:13Z</dcterms:created>
  <dcterms:modified xsi:type="dcterms:W3CDTF">2018-10-19T23:55:13Z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2010-12-21T00:00:00Z</vt:filetime>
  </property>
  <property fmtid="{D5CDD505-2E9C-101B-9397-08002B2CF9AE}" pid="3" name="Creator">
    <vt:lpwstr>PScript5.dll Version 5.2.2</vt:lpwstr>
  </property>
  <property fmtid="{D5CDD505-2E9C-101B-9397-08002B2CF9AE}" pid="4" name="LastSaved">
    <vt:filetime>2018-10-19T00:00:00Z</vt:filetime>
  </property>
</Properties>
</file>