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7372"/>
        <w:rPr>
          <w:rFonts w:ascii="Times New Roman"/>
          <w:sz w:val="20"/>
        </w:rPr>
      </w:pPr>
      <w:r>
        <w:rPr>
          <w:rFonts w:ascii="Times New Roman"/>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rFonts w:ascii="Times New Roman"/>
          <w:sz w:val="20"/>
        </w:rPr>
      </w:r>
    </w:p>
    <w:p>
      <w:pPr>
        <w:spacing w:line="204" w:lineRule="auto" w:before="25"/>
        <w:ind w:left="5347" w:right="108" w:firstLine="1058"/>
        <w:jc w:val="left"/>
        <w:rPr>
          <w:rFonts w:ascii="Microsoft JhengHei" w:hAnsi="Microsoft JhengHei" w:cs="Microsoft JhengHei" w:eastAsia="Microsoft JhengHei" w:hint="eastAsia"/>
          <w:b/>
          <w:bCs/>
          <w:sz w:val="21"/>
          <w:szCs w:val="21"/>
        </w:rPr>
      </w:pPr>
      <w:r>
        <w:rPr>
          <w:rFonts w:ascii="Microsoft JhengHei" w:hAnsi="Microsoft JhengHei" w:cs="Microsoft JhengHei" w:eastAsia="Microsoft JhengHei" w:hint="eastAsia"/>
          <w:b/>
          <w:bCs/>
          <w:w w:val="105"/>
          <w:sz w:val="21"/>
          <w:szCs w:val="21"/>
        </w:rPr>
        <w:t>请扫ᨅ</w:t>
      </w:r>
      <w:r>
        <w:rPr>
          <w:rFonts w:ascii="Microsoft JhengHei" w:hAnsi="Microsoft JhengHei" w:cs="Microsoft JhengHei" w:eastAsia="Microsoft JhengHei" w:hint="eastAsia"/>
          <w:b/>
          <w:bCs/>
          <w:spacing w:val="-15"/>
          <w:w w:val="105"/>
          <w:sz w:val="21"/>
          <w:szCs w:val="21"/>
        </w:rPr>
        <w:t>以查询验证条款</w:t>
      </w:r>
      <w:r>
        <w:rPr>
          <w:rFonts w:ascii="Microsoft JhengHei" w:hAnsi="Microsoft JhengHei" w:cs="Microsoft JhengHei" w:eastAsia="Microsoft JhengHei" w:hint="eastAsia"/>
          <w:b/>
          <w:bCs/>
          <w:w w:val="100"/>
          <w:sz w:val="21"/>
          <w:szCs w:val="21"/>
        </w:rPr>
        <w:t>中邮保险</w:t>
      </w:r>
      <w:r>
        <w:rPr>
          <w:rFonts w:ascii="Microsoft JhengHei" w:hAnsi="Microsoft JhengHei" w:cs="Microsoft JhengHei" w:eastAsia="Microsoft JhengHei" w:hint="eastAsia"/>
          <w:b/>
          <w:bCs/>
          <w:w w:val="327"/>
          <w:sz w:val="21"/>
          <w:szCs w:val="21"/>
        </w:rPr>
        <w:t>I</w:t>
      </w:r>
      <w:r>
        <w:rPr>
          <w:rFonts w:ascii="黑体" w:hAnsi="黑体" w:cs="黑体" w:eastAsia="黑体" w:hint="eastAsia"/>
          <w:w w:val="100"/>
          <w:sz w:val="21"/>
          <w:szCs w:val="21"/>
        </w:rPr>
        <w:t>2013</w:t>
      </w:r>
      <w:r>
        <w:rPr>
          <w:rFonts w:ascii="Microsoft JhengHei" w:hAnsi="Microsoft JhengHei" w:cs="Microsoft JhengHei" w:eastAsia="Microsoft JhengHei" w:hint="eastAsia"/>
          <w:b/>
          <w:bCs/>
          <w:w w:val="327"/>
          <w:sz w:val="21"/>
          <w:szCs w:val="21"/>
        </w:rPr>
        <w:t>I</w:t>
      </w:r>
      <w:r>
        <w:rPr>
          <w:rFonts w:ascii="Microsoft JhengHei" w:hAnsi="Microsoft JhengHei" w:cs="Microsoft JhengHei" w:eastAsia="Microsoft JhengHei" w:hint="eastAsia"/>
          <w:b/>
          <w:bCs/>
          <w:spacing w:val="-1"/>
          <w:w w:val="100"/>
          <w:sz w:val="21"/>
          <w:szCs w:val="21"/>
        </w:rPr>
        <w:t>疾病保险</w:t>
      </w:r>
      <w:r>
        <w:rPr>
          <w:rFonts w:ascii="Microsoft JhengHei" w:hAnsi="Microsoft JhengHei" w:cs="Microsoft JhengHei" w:eastAsia="Microsoft JhengHei" w:hint="eastAsia"/>
          <w:b/>
          <w:bCs/>
          <w:spacing w:val="-1"/>
          <w:sz w:val="21"/>
          <w:szCs w:val="21"/>
        </w:rPr>
        <w:t> </w:t>
      </w:r>
      <w:r>
        <w:rPr>
          <w:rFonts w:ascii="黑体" w:hAnsi="黑体" w:cs="黑体" w:eastAsia="黑体" w:hint="eastAsia"/>
          <w:spacing w:val="-1"/>
          <w:w w:val="100"/>
          <w:sz w:val="21"/>
          <w:szCs w:val="21"/>
        </w:rPr>
        <w:t>007</w:t>
      </w:r>
      <w:r>
        <w:rPr>
          <w:rFonts w:ascii="Times New Roman" w:hAnsi="Times New Roman" w:cs="Times New Roman" w:eastAsia="Times New Roman"/>
          <w:spacing w:val="-1"/>
          <w:sz w:val="21"/>
          <w:szCs w:val="21"/>
        </w:rPr>
        <w:t> </w:t>
      </w:r>
      <w:r>
        <w:rPr>
          <w:rFonts w:ascii="Microsoft JhengHei" w:hAnsi="Microsoft JhengHei" w:cs="Microsoft JhengHei" w:eastAsia="Microsoft JhengHei" w:hint="eastAsia"/>
          <w:b/>
          <w:bCs/>
          <w:spacing w:val="-1"/>
          <w:w w:val="233"/>
          <w:sz w:val="21"/>
          <w:szCs w:val="21"/>
        </w:rPr>
        <w:t>ª</w:t>
      </w:r>
    </w:p>
    <w:p>
      <w:pPr>
        <w:pStyle w:val="BodyText"/>
        <w:ind w:left="0"/>
        <w:rPr>
          <w:rFonts w:ascii="Microsoft JhengHei"/>
          <w:b/>
          <w:sz w:val="20"/>
        </w:rPr>
      </w:pPr>
    </w:p>
    <w:p>
      <w:pPr>
        <w:pStyle w:val="BodyText"/>
        <w:ind w:left="0"/>
        <w:rPr>
          <w:rFonts w:ascii="Microsoft JhengHei"/>
          <w:b/>
          <w:sz w:val="20"/>
        </w:rPr>
      </w:pPr>
    </w:p>
    <w:p>
      <w:pPr>
        <w:pStyle w:val="BodyText"/>
        <w:spacing w:before="7"/>
        <w:ind w:left="0"/>
        <w:rPr>
          <w:rFonts w:ascii="Microsoft JhengHei"/>
          <w:b/>
          <w:sz w:val="16"/>
        </w:rPr>
      </w:pPr>
    </w:p>
    <w:p>
      <w:pPr>
        <w:pStyle w:val="Heading1"/>
        <w:spacing w:line="240" w:lineRule="auto"/>
      </w:pPr>
      <w:r>
        <w:rPr/>
        <w:t>条款阅读指引</w:t>
      </w:r>
    </w:p>
    <w:p>
      <w:pPr>
        <w:pStyle w:val="BodyText"/>
        <w:spacing w:before="2"/>
        <w:ind w:left="0"/>
        <w:rPr>
          <w:sz w:val="28"/>
        </w:rPr>
      </w:pPr>
    </w:p>
    <w:p>
      <w:pPr>
        <w:spacing w:before="0"/>
        <w:ind w:left="1249" w:right="1250" w:firstLine="0"/>
        <w:jc w:val="center"/>
        <w:rPr>
          <w:rFonts w:ascii="微软雅黑" w:eastAsia="微软雅黑" w:hint="eastAsia"/>
          <w:b/>
          <w:sz w:val="21"/>
        </w:rPr>
      </w:pPr>
      <w:r>
        <w:rPr>
          <w:rFonts w:ascii="微软雅黑" w:eastAsia="微软雅黑" w:hint="eastAsia"/>
          <w:b/>
          <w:sz w:val="21"/>
          <w:u w:val="single"/>
        </w:rPr>
        <w:t>本阅读指引有助于您理解条款，对本合同内容的解释以条款为准。</w:t>
      </w:r>
    </w:p>
    <w:p>
      <w:pPr>
        <w:pStyle w:val="BodyText"/>
        <w:spacing w:before="10"/>
        <w:ind w:left="0"/>
        <w:rPr>
          <w:rFonts w:ascii="微软雅黑"/>
          <w:b/>
          <w:sz w:val="23"/>
        </w:rPr>
      </w:pPr>
    </w:p>
    <w:p>
      <w:pPr>
        <w:pStyle w:val="Heading2"/>
        <w:spacing w:line="408" w:lineRule="auto" w:before="14"/>
        <w:ind w:left="112" w:right="108" w:firstLine="559"/>
      </w:pPr>
      <w:r>
        <w:rPr>
          <w:spacing w:val="-12"/>
        </w:rPr>
        <w:t>在本条款中，“您”指投保人,“我公司”指保险人——中邮人寿</w:t>
      </w:r>
      <w:r>
        <w:rPr>
          <w:spacing w:val="-7"/>
        </w:rPr>
        <w:t>保险股份有限公司。</w:t>
      </w:r>
    </w:p>
    <w:p>
      <w:pPr>
        <w:pStyle w:val="BodyText"/>
        <w:spacing w:before="3"/>
        <w:ind w:left="0"/>
        <w:rPr>
          <w:sz w:val="22"/>
        </w:rPr>
      </w:pPr>
    </w:p>
    <w:p>
      <w:pPr>
        <w:spacing w:line="366" w:lineRule="exact" w:before="0"/>
        <w:ind w:left="671" w:right="0" w:firstLine="0"/>
        <w:jc w:val="left"/>
        <w:rPr>
          <w:sz w:val="28"/>
        </w:rPr>
      </w:pPr>
      <w:r>
        <w:rPr>
          <w:sz w:val="28"/>
        </w:rPr>
        <w:t>您拥有的重要权益</w:t>
      </w:r>
    </w:p>
    <w:p>
      <w:pPr>
        <w:spacing w:line="237" w:lineRule="auto" w:before="2"/>
        <w:ind w:left="112" w:right="107" w:firstLine="559"/>
        <w:jc w:val="left"/>
        <w:rPr>
          <w:sz w:val="28"/>
        </w:rPr>
      </w:pPr>
      <w:r>
        <w:rPr>
          <w:spacing w:val="-16"/>
          <w:sz w:val="28"/>
        </w:rPr>
        <w:t>★在犹豫期内，您可以解除本合同，我公司仅扣除不超过 </w:t>
      </w:r>
      <w:r>
        <w:rPr>
          <w:sz w:val="28"/>
        </w:rPr>
        <w:t>10</w:t>
      </w:r>
      <w:r>
        <w:rPr>
          <w:spacing w:val="-22"/>
          <w:sz w:val="28"/>
        </w:rPr>
        <w:t> 元工</w:t>
      </w:r>
      <w:r>
        <w:rPr>
          <w:spacing w:val="-3"/>
          <w:sz w:val="28"/>
        </w:rPr>
        <w:t>本费，其余保险费全部退还………………………………………第六条</w:t>
      </w:r>
    </w:p>
    <w:p>
      <w:pPr>
        <w:spacing w:line="360" w:lineRule="exact" w:before="0"/>
        <w:ind w:left="671" w:right="0" w:firstLine="0"/>
        <w:jc w:val="left"/>
        <w:rPr>
          <w:sz w:val="28"/>
        </w:rPr>
      </w:pPr>
      <w:r>
        <w:rPr>
          <w:sz w:val="28"/>
        </w:rPr>
        <w:t>★被保险人可以享受本合同提供的保障利益………………第十条</w:t>
      </w:r>
    </w:p>
    <w:p>
      <w:pPr>
        <w:spacing w:line="364" w:lineRule="exact" w:before="0"/>
        <w:ind w:left="671" w:right="0" w:firstLine="0"/>
        <w:jc w:val="left"/>
        <w:rPr>
          <w:sz w:val="28"/>
        </w:rPr>
      </w:pPr>
      <w:r>
        <w:rPr>
          <w:sz w:val="28"/>
        </w:rPr>
        <w:t>★在合同有效期内您可以解除本合同…………………第二十四条</w:t>
      </w:r>
    </w:p>
    <w:p>
      <w:pPr>
        <w:pStyle w:val="BodyText"/>
        <w:spacing w:before="7"/>
        <w:ind w:left="0"/>
        <w:rPr>
          <w:sz w:val="27"/>
        </w:rPr>
      </w:pPr>
    </w:p>
    <w:p>
      <w:pPr>
        <w:spacing w:line="364" w:lineRule="exact" w:before="0"/>
        <w:ind w:left="671" w:right="0" w:firstLine="0"/>
        <w:jc w:val="left"/>
        <w:rPr>
          <w:sz w:val="28"/>
        </w:rPr>
      </w:pPr>
      <w:r>
        <w:rPr>
          <w:w w:val="105"/>
          <w:sz w:val="28"/>
        </w:rPr>
        <w:t>您应当特别注意的$项</w:t>
      </w:r>
    </w:p>
    <w:p>
      <w:pPr>
        <w:spacing w:line="364" w:lineRule="exact" w:before="0"/>
        <w:ind w:left="671" w:right="0" w:firstLine="0"/>
        <w:jc w:val="left"/>
        <w:rPr>
          <w:sz w:val="28"/>
        </w:rPr>
      </w:pPr>
      <w:r>
        <w:rPr>
          <w:sz w:val="28"/>
        </w:rPr>
        <w:t>★如实告知的义务……………………………………………第三条</w:t>
      </w:r>
    </w:p>
    <w:p>
      <w:pPr>
        <w:spacing w:line="364" w:lineRule="exact" w:before="0"/>
        <w:ind w:left="671" w:right="0" w:firstLine="0"/>
        <w:jc w:val="left"/>
        <w:rPr>
          <w:sz w:val="28"/>
        </w:rPr>
      </w:pPr>
      <w:r>
        <w:rPr>
          <w:sz w:val="28"/>
        </w:rPr>
        <w:t>★对某些情形造成的保险事故，我公司不承担保险责任第十一条</w:t>
      </w:r>
    </w:p>
    <w:p>
      <w:pPr>
        <w:spacing w:line="362" w:lineRule="exact" w:before="0"/>
        <w:ind w:left="671" w:right="0" w:firstLine="0"/>
        <w:jc w:val="left"/>
        <w:rPr>
          <w:sz w:val="28"/>
        </w:rPr>
      </w:pPr>
      <w:r>
        <w:rPr>
          <w:sz w:val="28"/>
        </w:rPr>
        <w:t>★您应当交纳保险费………………………………………第十八条</w:t>
      </w:r>
    </w:p>
    <w:p>
      <w:pPr>
        <w:spacing w:line="364" w:lineRule="exact" w:before="0"/>
        <w:ind w:left="671" w:right="0" w:firstLine="0"/>
        <w:jc w:val="left"/>
        <w:rPr>
          <w:sz w:val="28"/>
        </w:rPr>
      </w:pPr>
      <w:r>
        <w:rPr>
          <w:sz w:val="28"/>
        </w:rPr>
        <w:t>★您、受益人有及时向我公司通知保险事故的责任……第十九条</w:t>
      </w:r>
    </w:p>
    <w:p>
      <w:pPr>
        <w:spacing w:line="364" w:lineRule="exact" w:before="0"/>
        <w:ind w:left="671" w:right="0" w:firstLine="0"/>
        <w:jc w:val="left"/>
        <w:rPr>
          <w:sz w:val="28"/>
        </w:rPr>
      </w:pPr>
      <w:r>
        <w:rPr>
          <w:spacing w:val="-18"/>
          <w:sz w:val="28"/>
        </w:rPr>
        <w:t>★您解除本合同ⅳ退保ⅴ，将会有一定的损失…………第二十五条</w:t>
      </w:r>
    </w:p>
    <w:p>
      <w:pPr>
        <w:spacing w:line="237" w:lineRule="auto" w:before="2"/>
        <w:ind w:left="112" w:right="113" w:firstLine="559"/>
        <w:jc w:val="left"/>
        <w:rPr>
          <w:sz w:val="28"/>
        </w:rPr>
      </w:pPr>
      <w:r>
        <w:rPr>
          <w:sz w:val="28"/>
        </w:rPr>
        <w:t>★我公司对一些重要术语进行了解释，并作了显著标识，请您注意并确认理解……………………………………………………术语释义</w:t>
      </w:r>
    </w:p>
    <w:p>
      <w:pPr>
        <w:spacing w:after="0" w:line="237" w:lineRule="auto"/>
        <w:jc w:val="left"/>
        <w:rPr>
          <w:sz w:val="28"/>
        </w:rPr>
        <w:sectPr>
          <w:type w:val="continuous"/>
          <w:pgSz w:w="11910" w:h="16840"/>
          <w:pgMar w:top="1480" w:bottom="280" w:left="1640" w:right="1640"/>
        </w:sectPr>
      </w:pPr>
    </w:p>
    <w:p>
      <w:pPr>
        <w:spacing w:line="434" w:lineRule="exact" w:before="0"/>
        <w:ind w:left="1249" w:right="1249" w:firstLine="0"/>
        <w:jc w:val="center"/>
        <w:rPr>
          <w:sz w:val="36"/>
        </w:rPr>
      </w:pPr>
      <w:r>
        <w:rPr>
          <w:sz w:val="36"/>
        </w:rPr>
        <w:t>中邮附加重大疾病保险条款目录</w:t>
      </w:r>
    </w:p>
    <w:sdt>
      <w:sdtPr>
        <w:docPartObj>
          <w:docPartGallery w:val="Table of Contents"/>
          <w:docPartUnique/>
        </w:docPartObj>
      </w:sdtPr>
      <w:sdtEndPr/>
      <w:sdtContent>
        <w:p>
          <w:pPr>
            <w:pStyle w:val="TOC1"/>
            <w:tabs>
              <w:tab w:pos="8515" w:val="right" w:leader="dot"/>
            </w:tabs>
            <w:spacing w:line="273" w:lineRule="exact" w:before="431"/>
            <w:rPr>
              <w:rFonts w:ascii="Calibri" w:hAnsi="Calibri" w:eastAsia="Calibri"/>
            </w:rPr>
          </w:pPr>
          <w:hyperlink w:history="true" w:anchor="_bookmark0">
            <w:r>
              <w:rPr>
                <w:w w:val="115"/>
              </w:rPr>
              <w:t>一,</w:t>
            </w:r>
            <w:r>
              <w:rPr>
                <w:spacing w:val="-3"/>
                <w:w w:val="115"/>
              </w:rPr>
              <w:t>您</w:t>
            </w:r>
            <w:r>
              <w:rPr>
                <w:w w:val="115"/>
              </w:rPr>
              <w:t>fl</w:t>
            </w:r>
            <w:r>
              <w:rPr>
                <w:spacing w:val="-3"/>
                <w:w w:val="115"/>
              </w:rPr>
              <w:t>我</w:t>
            </w:r>
            <w:r>
              <w:rPr>
                <w:w w:val="185"/>
              </w:rPr>
              <w:t>z¼</w:t>
            </w:r>
            <w:r>
              <w:rPr>
                <w:w w:val="115"/>
              </w:rPr>
              <w:t>订</w:t>
            </w:r>
            <w:r>
              <w:rPr>
                <w:spacing w:val="-3"/>
                <w:w w:val="115"/>
              </w:rPr>
              <w:t>立</w:t>
            </w:r>
            <w:r>
              <w:rPr>
                <w:w w:val="115"/>
              </w:rPr>
              <w:t>的</w:t>
            </w:r>
            <w:r>
              <w:rPr>
                <w:spacing w:val="-3"/>
                <w:w w:val="115"/>
              </w:rPr>
              <w:t>保</w:t>
            </w:r>
            <w:r>
              <w:rPr>
                <w:w w:val="115"/>
              </w:rPr>
              <w:t>险合同</w:t>
            </w:r>
            <w:r>
              <w:rPr>
                <w:rFonts w:ascii="Times New Roman" w:hAnsi="Times New Roman" w:eastAsia="Times New Roman"/>
                <w:w w:val="115"/>
              </w:rPr>
              <w:tab/>
            </w:r>
            <w:r>
              <w:rPr>
                <w:rFonts w:ascii="Calibri" w:hAnsi="Calibri" w:eastAsia="Calibri"/>
                <w:w w:val="115"/>
              </w:rPr>
              <w:t>1</w:t>
            </w:r>
          </w:hyperlink>
        </w:p>
        <w:p>
          <w:pPr>
            <w:pStyle w:val="TOC2"/>
            <w:tabs>
              <w:tab w:pos="8515" w:val="right" w:leader="dot"/>
            </w:tabs>
            <w:spacing w:line="340" w:lineRule="exact"/>
            <w:rPr>
              <w:rFonts w:ascii="Calibri" w:eastAsia="Calibri"/>
              <w:b w:val="0"/>
            </w:rPr>
          </w:pPr>
          <w:hyperlink w:history="true" w:anchor="_bookmark1">
            <w:r>
              <w:rPr>
                <w:rFonts w:ascii="Microsoft JhengHei" w:eastAsia="Microsoft JhengHei" w:hint="eastAsia"/>
                <w:w w:val="110"/>
              </w:rPr>
              <w:t>第一条</w:t>
            </w:r>
            <w:r>
              <w:rPr>
                <w:rFonts w:ascii="Microsoft JhengHei" w:eastAsia="Microsoft JhengHei" w:hint="eastAsia"/>
                <w:spacing w:val="43"/>
                <w:w w:val="110"/>
              </w:rPr>
              <w:t> </w:t>
            </w:r>
            <w:r>
              <w:rPr>
                <w:rFonts w:ascii="Microsoft JhengHei" w:eastAsia="Microsoft JhengHei" w:hint="eastAsia"/>
                <w:w w:val="110"/>
              </w:rPr>
              <w:t>保险合同的</w:t>
            </w:r>
            <w:r>
              <w:rPr>
                <w:rFonts w:ascii="Microsoft JhengHei" w:eastAsia="Microsoft JhengHei" w:hint="eastAsia"/>
                <w:spacing w:val="-3"/>
                <w:w w:val="110"/>
              </w:rPr>
              <w:t>构</w:t>
            </w:r>
            <w:r>
              <w:rPr>
                <w:rFonts w:ascii="Microsoft JhengHei" w:eastAsia="Microsoft JhengHei" w:hint="eastAsia"/>
                <w:w w:val="140"/>
              </w:rPr>
              <w:t>fi</w:t>
            </w:r>
            <w:r>
              <w:rPr>
                <w:rFonts w:ascii="Times New Roman" w:eastAsia="Times New Roman"/>
                <w:b w:val="0"/>
                <w:w w:val="140"/>
              </w:rPr>
              <w:tab/>
            </w:r>
            <w:r>
              <w:rPr>
                <w:rFonts w:ascii="Calibri" w:eastAsia="Calibri"/>
                <w:b w:val="0"/>
                <w:w w:val="110"/>
              </w:rPr>
              <w:t>1</w:t>
            </w:r>
          </w:hyperlink>
        </w:p>
        <w:p>
          <w:pPr>
            <w:pStyle w:val="TOC1"/>
            <w:tabs>
              <w:tab w:pos="8515" w:val="right" w:leader="dot"/>
            </w:tabs>
            <w:rPr>
              <w:rFonts w:ascii="Calibri" w:eastAsia="Calibri"/>
            </w:rPr>
          </w:pPr>
          <w:hyperlink w:history="true" w:anchor="_bookmark2">
            <w:r>
              <w:rPr>
                <w:w w:val="135"/>
              </w:rPr>
              <w:t>s,</w:t>
            </w:r>
            <w:r>
              <w:rPr>
                <w:spacing w:val="-3"/>
                <w:w w:val="135"/>
              </w:rPr>
              <w:t>我</w:t>
            </w:r>
            <w:r>
              <w:rPr>
                <w:w w:val="115"/>
              </w:rPr>
              <w:t>们</w:t>
            </w:r>
            <w:r>
              <w:rPr>
                <w:spacing w:val="-3"/>
                <w:w w:val="115"/>
              </w:rPr>
              <w:t>订</w:t>
            </w:r>
            <w:r>
              <w:rPr>
                <w:w w:val="115"/>
              </w:rPr>
              <w:t>立</w:t>
            </w:r>
            <w:r>
              <w:rPr>
                <w:spacing w:val="-3"/>
                <w:w w:val="115"/>
              </w:rPr>
              <w:t>合</w:t>
            </w:r>
            <w:r>
              <w:rPr>
                <w:w w:val="115"/>
              </w:rPr>
              <w:t>同</w:t>
            </w:r>
            <w:r>
              <w:rPr>
                <w:spacing w:val="-3"/>
                <w:w w:val="115"/>
              </w:rPr>
              <w:t>时</w:t>
            </w:r>
            <w:r>
              <w:rPr>
                <w:w w:val="115"/>
              </w:rPr>
              <w:t>要</w:t>
            </w:r>
            <w:r>
              <w:rPr>
                <w:spacing w:val="-3"/>
                <w:w w:val="115"/>
              </w:rPr>
              <w:t>确</w:t>
            </w:r>
            <w:r>
              <w:rPr>
                <w:w w:val="115"/>
              </w:rPr>
              <w:t>认</w:t>
            </w:r>
            <w:r>
              <w:rPr>
                <w:rFonts w:ascii="Times New Roman" w:eastAsia="Times New Roman"/>
                <w:w w:val="115"/>
              </w:rPr>
              <w:tab/>
            </w:r>
            <w:r>
              <w:rPr>
                <w:rFonts w:ascii="Calibri" w:eastAsia="Calibri"/>
                <w:w w:val="115"/>
              </w:rPr>
              <w:t>1</w:t>
            </w:r>
          </w:hyperlink>
        </w:p>
        <w:p>
          <w:pPr>
            <w:pStyle w:val="TOC2"/>
            <w:tabs>
              <w:tab w:pos="8515" w:val="right" w:leader="dot"/>
            </w:tabs>
            <w:rPr>
              <w:rFonts w:ascii="Calibri" w:eastAsia="Calibri"/>
              <w:b w:val="0"/>
            </w:rPr>
          </w:pPr>
          <w:hyperlink w:history="true" w:anchor="_bookmark3">
            <w:r>
              <w:rPr/>
              <w:t>第二条</w:t>
            </w:r>
            <w:r>
              <w:rPr>
                <w:spacing w:val="41"/>
              </w:rPr>
              <w:t> </w:t>
            </w:r>
            <w:r>
              <w:rPr/>
              <w:t>投保范围</w:t>
            </w:r>
            <w:r>
              <w:rPr>
                <w:rFonts w:ascii="Times New Roman" w:eastAsia="Times New Roman"/>
                <w:b w:val="0"/>
              </w:rPr>
              <w:tab/>
            </w:r>
            <w:r>
              <w:rPr>
                <w:rFonts w:ascii="Calibri" w:eastAsia="Calibri"/>
                <w:b w:val="0"/>
              </w:rPr>
              <w:t>1</w:t>
            </w:r>
          </w:hyperlink>
        </w:p>
        <w:p>
          <w:pPr>
            <w:pStyle w:val="TOC2"/>
            <w:tabs>
              <w:tab w:pos="8515" w:val="right" w:leader="dot"/>
            </w:tabs>
            <w:spacing w:line="338" w:lineRule="exact"/>
            <w:rPr>
              <w:rFonts w:ascii="Calibri" w:eastAsia="Calibri"/>
              <w:b w:val="0"/>
            </w:rPr>
          </w:pPr>
          <w:hyperlink w:history="true" w:anchor="_bookmark4">
            <w:r>
              <w:rPr/>
              <w:t>第三条</w:t>
            </w:r>
            <w:r>
              <w:rPr>
                <w:spacing w:val="41"/>
              </w:rPr>
              <w:t> </w:t>
            </w:r>
            <w:r>
              <w:rPr/>
              <w:t>明确说明与</w:t>
            </w:r>
            <w:r>
              <w:rPr>
                <w:spacing w:val="-3"/>
              </w:rPr>
              <w:t>如</w:t>
            </w:r>
            <w:r>
              <w:rPr/>
              <w:t>实</w:t>
            </w:r>
            <w:r>
              <w:rPr>
                <w:spacing w:val="-3"/>
              </w:rPr>
              <w:t>告</w:t>
            </w:r>
            <w:r>
              <w:rPr/>
              <w:t>知</w:t>
            </w:r>
            <w:r>
              <w:rPr>
                <w:rFonts w:ascii="Times New Roman" w:eastAsia="Times New Roman"/>
                <w:b w:val="0"/>
              </w:rPr>
              <w:tab/>
            </w:r>
            <w:r>
              <w:rPr>
                <w:rFonts w:ascii="Calibri" w:eastAsia="Calibri"/>
                <w:b w:val="0"/>
              </w:rPr>
              <w:t>1</w:t>
            </w:r>
          </w:hyperlink>
        </w:p>
        <w:p>
          <w:pPr>
            <w:pStyle w:val="TOC1"/>
            <w:tabs>
              <w:tab w:pos="8515" w:val="right" w:leader="dot"/>
            </w:tabs>
            <w:spacing w:before="9"/>
            <w:rPr>
              <w:rFonts w:ascii="Calibri" w:hAnsi="Calibri" w:eastAsia="Calibri"/>
            </w:rPr>
          </w:pPr>
          <w:hyperlink w:history="true" w:anchor="_bookmark5">
            <w:r>
              <w:rPr>
                <w:w w:val="105"/>
              </w:rPr>
              <w:t>п,</w:t>
            </w:r>
            <w:r>
              <w:rPr>
                <w:spacing w:val="-3"/>
                <w:w w:val="105"/>
              </w:rPr>
              <w:t>合</w:t>
            </w:r>
            <w:r>
              <w:rPr>
                <w:w w:val="105"/>
              </w:rPr>
              <w:t>同</w:t>
            </w:r>
            <w:r>
              <w:rPr>
                <w:spacing w:val="-3"/>
                <w:w w:val="105"/>
              </w:rPr>
              <w:t>的</w:t>
            </w:r>
            <w:r>
              <w:rPr>
                <w:w w:val="105"/>
              </w:rPr>
              <w:t>Th</w:t>
            </w:r>
            <w:r>
              <w:rPr>
                <w:spacing w:val="-3"/>
                <w:w w:val="105"/>
              </w:rPr>
              <w:t>效</w:t>
            </w:r>
            <w:r>
              <w:rPr>
                <w:w w:val="105"/>
              </w:rPr>
              <w:t>及</w:t>
            </w:r>
            <w:r>
              <w:rPr>
                <w:spacing w:val="-3"/>
                <w:w w:val="105"/>
              </w:rPr>
              <w:t>保</w:t>
            </w:r>
            <w:r>
              <w:rPr>
                <w:w w:val="105"/>
              </w:rPr>
              <w:t>险</w:t>
            </w:r>
            <w:r>
              <w:rPr>
                <w:spacing w:val="-3"/>
                <w:w w:val="105"/>
              </w:rPr>
              <w:t>责</w:t>
            </w:r>
            <w:r>
              <w:rPr>
                <w:w w:val="105"/>
              </w:rPr>
              <w:t>任的</w:t>
            </w:r>
            <w:r>
              <w:rPr>
                <w:spacing w:val="-3"/>
                <w:w w:val="105"/>
              </w:rPr>
              <w:t>开</w:t>
            </w:r>
            <w:r>
              <w:rPr>
                <w:w w:val="105"/>
              </w:rPr>
              <w:t>始</w:t>
            </w:r>
            <w:r>
              <w:rPr>
                <w:rFonts w:ascii="Times New Roman" w:hAnsi="Times New Roman" w:eastAsia="Times New Roman"/>
                <w:w w:val="105"/>
              </w:rPr>
              <w:tab/>
            </w:r>
            <w:r>
              <w:rPr>
                <w:rFonts w:ascii="Calibri" w:hAnsi="Calibri" w:eastAsia="Calibri"/>
                <w:w w:val="105"/>
              </w:rPr>
              <w:t>1</w:t>
            </w:r>
          </w:hyperlink>
        </w:p>
        <w:p>
          <w:pPr>
            <w:pStyle w:val="TOC2"/>
            <w:tabs>
              <w:tab w:pos="8515" w:val="right" w:leader="dot"/>
            </w:tabs>
            <w:rPr>
              <w:rFonts w:ascii="Calibri" w:eastAsia="Calibri"/>
              <w:b w:val="0"/>
            </w:rPr>
          </w:pPr>
          <w:hyperlink w:history="true" w:anchor="_bookmark6">
            <w:r>
              <w:rPr/>
              <w:t>第四条</w:t>
            </w:r>
            <w:r>
              <w:rPr>
                <w:spacing w:val="41"/>
              </w:rPr>
              <w:t> </w:t>
            </w:r>
            <w:r>
              <w:rPr/>
              <w:t>保险合同的</w:t>
            </w:r>
            <w:r>
              <w:rPr>
                <w:spacing w:val="-3"/>
              </w:rPr>
              <w:t>成</w:t>
            </w:r>
            <w:r>
              <w:rPr/>
              <w:t>立</w:t>
            </w:r>
            <w:r>
              <w:rPr>
                <w:spacing w:val="-3"/>
              </w:rPr>
              <w:t>、</w:t>
            </w:r>
            <w:r>
              <w:rPr/>
              <w:t>生效</w:t>
            </w:r>
            <w:r>
              <w:rPr>
                <w:rFonts w:ascii="Times New Roman" w:eastAsia="Times New Roman"/>
                <w:b w:val="0"/>
              </w:rPr>
              <w:tab/>
            </w:r>
            <w:r>
              <w:rPr>
                <w:rFonts w:ascii="Calibri" w:eastAsia="Calibri"/>
                <w:b w:val="0"/>
              </w:rPr>
              <w:t>1</w:t>
            </w:r>
          </w:hyperlink>
        </w:p>
        <w:p>
          <w:pPr>
            <w:pStyle w:val="TOC2"/>
            <w:tabs>
              <w:tab w:pos="8515" w:val="right" w:leader="dot"/>
            </w:tabs>
            <w:rPr>
              <w:rFonts w:ascii="Calibri" w:eastAsia="Calibri"/>
              <w:b w:val="0"/>
            </w:rPr>
          </w:pPr>
          <w:hyperlink w:history="true" w:anchor="_bookmark7">
            <w:r>
              <w:rPr/>
              <w:t>第五条</w:t>
            </w:r>
            <w:r>
              <w:rPr>
                <w:spacing w:val="41"/>
              </w:rPr>
              <w:t> </w:t>
            </w:r>
            <w:r>
              <w:rPr/>
              <w:t>保险责任开</w:t>
            </w:r>
            <w:r>
              <w:rPr>
                <w:spacing w:val="-3"/>
              </w:rPr>
              <w:t>始</w:t>
            </w:r>
            <w:r>
              <w:rPr/>
              <w:t>时间</w:t>
            </w:r>
            <w:r>
              <w:rPr>
                <w:rFonts w:ascii="Times New Roman" w:eastAsia="Times New Roman"/>
                <w:b w:val="0"/>
              </w:rPr>
              <w:tab/>
            </w:r>
            <w:r>
              <w:rPr>
                <w:rFonts w:ascii="Calibri" w:eastAsia="Calibri"/>
                <w:b w:val="0"/>
              </w:rPr>
              <w:t>1</w:t>
            </w:r>
          </w:hyperlink>
        </w:p>
        <w:p>
          <w:pPr>
            <w:pStyle w:val="TOC3"/>
            <w:tabs>
              <w:tab w:pos="8515" w:val="right" w:leader="dot"/>
            </w:tabs>
            <w:rPr>
              <w:rFonts w:ascii="Calibri" w:eastAsia="Calibri"/>
              <w:b w:val="0"/>
              <w:i w:val="0"/>
              <w:sz w:val="21"/>
            </w:rPr>
          </w:pPr>
          <w:hyperlink w:history="true" w:anchor="_bookmark8">
            <w:r>
              <w:rPr>
                <w:i w:val="0"/>
                <w:sz w:val="21"/>
              </w:rPr>
              <w:t>第六条</w:t>
            </w:r>
            <w:r>
              <w:rPr>
                <w:i w:val="0"/>
                <w:spacing w:val="41"/>
                <w:sz w:val="21"/>
              </w:rPr>
              <w:t> </w:t>
            </w:r>
            <w:r>
              <w:rPr>
                <w:i w:val="0"/>
                <w:sz w:val="21"/>
              </w:rPr>
              <w:t>犹豫期</w:t>
            </w:r>
            <w:r>
              <w:rPr>
                <w:rFonts w:ascii="Times New Roman" w:eastAsia="Times New Roman"/>
                <w:b w:val="0"/>
                <w:i w:val="0"/>
                <w:sz w:val="21"/>
              </w:rPr>
              <w:tab/>
            </w:r>
            <w:r>
              <w:rPr>
                <w:rFonts w:ascii="Calibri" w:eastAsia="Calibri"/>
                <w:b w:val="0"/>
                <w:i w:val="0"/>
                <w:sz w:val="21"/>
              </w:rPr>
              <w:t>1</w:t>
            </w:r>
          </w:hyperlink>
        </w:p>
        <w:p>
          <w:pPr>
            <w:pStyle w:val="TOC1"/>
            <w:tabs>
              <w:tab w:pos="8515" w:val="right" w:leader="dot"/>
            </w:tabs>
            <w:spacing w:before="11"/>
            <w:rPr>
              <w:rFonts w:ascii="Calibri" w:eastAsia="Calibri"/>
            </w:rPr>
          </w:pPr>
          <w:hyperlink w:history="true" w:anchor="_bookmark9">
            <w:r>
              <w:rPr>
                <w:spacing w:val="-1"/>
                <w:w w:val="105"/>
              </w:rPr>
              <w:t>四,</w:t>
            </w:r>
            <w:r>
              <w:rPr>
                <w:spacing w:val="-3"/>
                <w:w w:val="105"/>
              </w:rPr>
              <w:t>我</w:t>
            </w:r>
            <w:r>
              <w:rPr>
                <w:spacing w:val="-1"/>
                <w:w w:val="105"/>
              </w:rPr>
              <w:t>们</w:t>
            </w:r>
            <w:r>
              <w:rPr>
                <w:w w:val="105"/>
              </w:rPr>
              <w:t>fi被</w:t>
            </w:r>
            <w:r>
              <w:rPr>
                <w:spacing w:val="-3"/>
                <w:w w:val="105"/>
              </w:rPr>
              <w:t>保</w:t>
            </w:r>
            <w:r>
              <w:rPr>
                <w:w w:val="105"/>
              </w:rPr>
              <w:t>险</w:t>
            </w:r>
            <w:r>
              <w:rPr>
                <w:spacing w:val="-75"/>
                <w:w w:val="105"/>
              </w:rPr>
              <w:t> </w:t>
            </w:r>
            <w:r>
              <w:rPr>
                <w:spacing w:val="1"/>
                <w:w w:val="100"/>
                <w:position w:val="-2"/>
              </w:rPr>
            </w:r>
            <w:r>
              <w:rPr>
                <w:spacing w:val="-3"/>
                <w:w w:val="105"/>
              </w:rPr>
              <w:t>供</w:t>
            </w:r>
            <w:r>
              <w:rPr>
                <w:w w:val="105"/>
              </w:rPr>
              <w:t>的保</w:t>
            </w:r>
            <w:r>
              <w:rPr>
                <w:spacing w:val="-3"/>
                <w:w w:val="105"/>
              </w:rPr>
              <w:t>险</w:t>
            </w:r>
            <w:r>
              <w:rPr>
                <w:w w:val="105"/>
              </w:rPr>
              <w:t>保障</w:t>
            </w:r>
            <w:r>
              <w:rPr>
                <w:rFonts w:ascii="Times New Roman" w:eastAsia="Times New Roman"/>
                <w:w w:val="105"/>
              </w:rPr>
              <w:tab/>
            </w:r>
            <w:r>
              <w:rPr>
                <w:rFonts w:ascii="Calibri" w:eastAsia="Calibri"/>
                <w:w w:val="105"/>
              </w:rPr>
              <w:t>1</w:t>
            </w:r>
          </w:hyperlink>
          <w:r>
            <w:rPr>
              <w:spacing w:val="1"/>
              <w:w w:val="100"/>
              <w:position w:val="-2"/>
            </w:rPr>
            <w:drawing>
              <wp:inline distT="0" distB="0" distL="0" distR="0">
                <wp:extent cx="127000" cy="1270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27000" cy="127000"/>
                        </a:xfrm>
                        <a:prstGeom prst="rect">
                          <a:avLst/>
                        </a:prstGeom>
                      </pic:spPr>
                    </pic:pic>
                  </a:graphicData>
                </a:graphic>
              </wp:inline>
            </w:drawing>
          </w:r>
        </w:p>
        <w:p>
          <w:pPr>
            <w:pStyle w:val="TOC2"/>
            <w:tabs>
              <w:tab w:pos="8515" w:val="right" w:leader="dot"/>
            </w:tabs>
            <w:rPr>
              <w:rFonts w:ascii="Calibri" w:eastAsia="Calibri"/>
              <w:b w:val="0"/>
            </w:rPr>
          </w:pPr>
          <w:hyperlink w:history="true" w:anchor="_bookmark10">
            <w:r>
              <w:rPr/>
              <w:t>第七条</w:t>
            </w:r>
            <w:r>
              <w:rPr>
                <w:spacing w:val="41"/>
              </w:rPr>
              <w:t> </w:t>
            </w:r>
            <w:r>
              <w:rPr/>
              <w:t>保险金额</w:t>
            </w:r>
            <w:r>
              <w:rPr>
                <w:rFonts w:ascii="Times New Roman" w:eastAsia="Times New Roman"/>
                <w:b w:val="0"/>
              </w:rPr>
              <w:tab/>
            </w:r>
            <w:r>
              <w:rPr>
                <w:rFonts w:ascii="Calibri" w:eastAsia="Calibri"/>
                <w:b w:val="0"/>
              </w:rPr>
              <w:t>1</w:t>
            </w:r>
          </w:hyperlink>
        </w:p>
        <w:p>
          <w:pPr>
            <w:pStyle w:val="TOC2"/>
            <w:tabs>
              <w:tab w:pos="8515" w:val="right" w:leader="dot"/>
            </w:tabs>
            <w:rPr>
              <w:rFonts w:ascii="Calibri" w:eastAsia="Calibri"/>
              <w:b w:val="0"/>
            </w:rPr>
          </w:pPr>
          <w:hyperlink w:history="true" w:anchor="_bookmark11">
            <w:r>
              <w:rPr/>
              <w:t>第八条</w:t>
            </w:r>
            <w:r>
              <w:rPr>
                <w:spacing w:val="41"/>
              </w:rPr>
              <w:t> </w:t>
            </w:r>
            <w:r>
              <w:rPr/>
              <w:t>基本保险金额</w:t>
            </w:r>
            <w:r>
              <w:rPr>
                <w:rFonts w:ascii="Times New Roman" w:eastAsia="Times New Roman"/>
                <w:b w:val="0"/>
              </w:rPr>
              <w:tab/>
            </w:r>
            <w:r>
              <w:rPr>
                <w:rFonts w:ascii="Calibri" w:eastAsia="Calibri"/>
                <w:b w:val="0"/>
              </w:rPr>
              <w:t>1</w:t>
            </w:r>
          </w:hyperlink>
        </w:p>
        <w:p>
          <w:pPr>
            <w:pStyle w:val="TOC2"/>
            <w:tabs>
              <w:tab w:pos="8515" w:val="right" w:leader="dot"/>
            </w:tabs>
            <w:rPr>
              <w:rFonts w:ascii="Calibri" w:eastAsia="Calibri"/>
              <w:b w:val="0"/>
            </w:rPr>
          </w:pPr>
          <w:hyperlink w:history="true" w:anchor="_bookmark12">
            <w:r>
              <w:rPr/>
              <w:t>第九条</w:t>
            </w:r>
            <w:r>
              <w:rPr>
                <w:spacing w:val="41"/>
              </w:rPr>
              <w:t> </w:t>
            </w:r>
            <w:r>
              <w:rPr/>
              <w:t>未成年人身</w:t>
            </w:r>
            <w:r>
              <w:rPr>
                <w:spacing w:val="-3"/>
              </w:rPr>
              <w:t>故</w:t>
            </w:r>
            <w:r>
              <w:rPr/>
              <w:t>保</w:t>
            </w:r>
            <w:r>
              <w:rPr>
                <w:spacing w:val="-3"/>
              </w:rPr>
              <w:t>险</w:t>
            </w:r>
            <w:r>
              <w:rPr/>
              <w:t>金的限制</w:t>
            </w:r>
            <w:r>
              <w:rPr>
                <w:rFonts w:ascii="Times New Roman" w:eastAsia="Times New Roman"/>
                <w:b w:val="0"/>
              </w:rPr>
              <w:tab/>
            </w:r>
            <w:r>
              <w:rPr>
                <w:rFonts w:ascii="Calibri" w:eastAsia="Calibri"/>
                <w:b w:val="0"/>
              </w:rPr>
              <w:t>2</w:t>
            </w:r>
          </w:hyperlink>
        </w:p>
        <w:p>
          <w:pPr>
            <w:pStyle w:val="TOC2"/>
            <w:tabs>
              <w:tab w:pos="8515" w:val="right" w:leader="dot"/>
            </w:tabs>
            <w:spacing w:line="310" w:lineRule="exact"/>
            <w:rPr>
              <w:rFonts w:ascii="Calibri" w:eastAsia="Calibri"/>
              <w:b w:val="0"/>
            </w:rPr>
          </w:pPr>
          <w:hyperlink w:history="true" w:anchor="_bookmark13">
            <w:r>
              <w:rPr/>
              <w:t>第十条</w:t>
            </w:r>
            <w:r>
              <w:rPr>
                <w:spacing w:val="41"/>
              </w:rPr>
              <w:t> </w:t>
            </w:r>
            <w:r>
              <w:rPr/>
              <w:t>保险责任</w:t>
            </w:r>
            <w:r>
              <w:rPr>
                <w:rFonts w:ascii="Times New Roman" w:eastAsia="Times New Roman"/>
                <w:b w:val="0"/>
              </w:rPr>
              <w:tab/>
            </w:r>
            <w:r>
              <w:rPr>
                <w:rFonts w:ascii="Calibri" w:eastAsia="Calibri"/>
                <w:b w:val="0"/>
              </w:rPr>
              <w:t>2</w:t>
            </w:r>
          </w:hyperlink>
        </w:p>
        <w:p>
          <w:pPr>
            <w:pStyle w:val="TOC2"/>
            <w:tabs>
              <w:tab w:pos="8515" w:val="right" w:leader="dot"/>
            </w:tabs>
            <w:spacing w:line="314" w:lineRule="exact"/>
            <w:rPr>
              <w:rFonts w:ascii="Calibri" w:eastAsia="Calibri"/>
              <w:b w:val="0"/>
            </w:rPr>
          </w:pPr>
          <w:hyperlink w:history="true" w:anchor="_bookmark14">
            <w:r>
              <w:rPr>
                <w:rFonts w:ascii="Microsoft JhengHei" w:eastAsia="Microsoft JhengHei" w:hint="eastAsia"/>
              </w:rPr>
              <w:t>第十一条  保险责任</w:t>
            </w:r>
            <w:r>
              <w:rPr>
                <w:rFonts w:ascii="Microsoft JhengHei" w:eastAsia="Microsoft JhengHei" w:hint="eastAsia"/>
                <w:spacing w:val="-3"/>
              </w:rPr>
              <w:t>的</w:t>
            </w:r>
            <w:r>
              <w:rPr>
                <w:rFonts w:ascii="Microsoft JhengHei" w:eastAsia="Microsoft JhengHei" w:hint="eastAsia"/>
              </w:rPr>
              <w:t>免除</w:t>
            </w:r>
            <w:r>
              <w:rPr>
                <w:rFonts w:ascii="Times New Roman" w:eastAsia="Times New Roman"/>
                <w:b w:val="0"/>
              </w:rPr>
              <w:tab/>
            </w:r>
            <w:r>
              <w:rPr>
                <w:rFonts w:ascii="Calibri" w:eastAsia="Calibri"/>
                <w:b w:val="0"/>
              </w:rPr>
              <w:t>3</w:t>
            </w:r>
          </w:hyperlink>
        </w:p>
        <w:p>
          <w:pPr>
            <w:pStyle w:val="TOC2"/>
            <w:tabs>
              <w:tab w:pos="8515" w:val="right" w:leader="dot"/>
            </w:tabs>
            <w:rPr>
              <w:rFonts w:ascii="Calibri" w:eastAsia="Calibri"/>
              <w:b w:val="0"/>
            </w:rPr>
          </w:pPr>
          <w:hyperlink w:history="true" w:anchor="_bookmark15">
            <w:r>
              <w:rPr/>
              <w:t>第十二条</w:t>
            </w:r>
            <w:r>
              <w:rPr>
                <w:spacing w:val="41"/>
              </w:rPr>
              <w:t> </w:t>
            </w:r>
            <w:r>
              <w:rPr/>
              <w:t>保险责任</w:t>
            </w:r>
            <w:r>
              <w:rPr>
                <w:spacing w:val="-3"/>
              </w:rPr>
              <w:t>的</w:t>
            </w:r>
            <w:r>
              <w:rPr/>
              <w:t>终止</w:t>
            </w:r>
            <w:r>
              <w:rPr>
                <w:rFonts w:ascii="Times New Roman" w:eastAsia="Times New Roman"/>
                <w:b w:val="0"/>
              </w:rPr>
              <w:tab/>
            </w:r>
            <w:r>
              <w:rPr>
                <w:rFonts w:ascii="Calibri" w:eastAsia="Calibri"/>
                <w:b w:val="0"/>
              </w:rPr>
              <w:t>4</w:t>
            </w:r>
          </w:hyperlink>
        </w:p>
        <w:p>
          <w:pPr>
            <w:pStyle w:val="TOC2"/>
            <w:tabs>
              <w:tab w:pos="8515" w:val="right" w:leader="dot"/>
            </w:tabs>
            <w:spacing w:line="338" w:lineRule="exact"/>
            <w:rPr>
              <w:rFonts w:ascii="Calibri" w:eastAsia="Calibri"/>
              <w:b w:val="0"/>
            </w:rPr>
          </w:pPr>
          <w:hyperlink w:history="true" w:anchor="_bookmark16">
            <w:r>
              <w:rPr/>
              <w:t>第十三条</w:t>
            </w:r>
            <w:r>
              <w:rPr>
                <w:spacing w:val="41"/>
              </w:rPr>
              <w:t> </w:t>
            </w:r>
            <w:r>
              <w:rPr/>
              <w:t>受益人的</w:t>
            </w:r>
            <w:r>
              <w:rPr>
                <w:spacing w:val="-3"/>
              </w:rPr>
              <w:t>指</w:t>
            </w:r>
            <w:r>
              <w:rPr/>
              <w:t>定</w:t>
            </w:r>
            <w:r>
              <w:rPr>
                <w:spacing w:val="-3"/>
              </w:rPr>
              <w:t>与</w:t>
            </w:r>
            <w:r>
              <w:rPr/>
              <w:t>变更</w:t>
            </w:r>
            <w:r>
              <w:rPr>
                <w:rFonts w:ascii="Times New Roman" w:eastAsia="Times New Roman"/>
                <w:b w:val="0"/>
              </w:rPr>
              <w:tab/>
            </w:r>
            <w:r>
              <w:rPr>
                <w:rFonts w:ascii="Calibri" w:eastAsia="Calibri"/>
                <w:b w:val="0"/>
              </w:rPr>
              <w:t>4</w:t>
            </w:r>
          </w:hyperlink>
        </w:p>
        <w:p>
          <w:pPr>
            <w:pStyle w:val="TOC1"/>
            <w:tabs>
              <w:tab w:pos="8515" w:val="right" w:leader="dot"/>
            </w:tabs>
            <w:rPr>
              <w:rFonts w:ascii="Calibri" w:eastAsia="Calibri"/>
            </w:rPr>
          </w:pPr>
          <w:hyperlink w:history="true" w:anchor="_bookmark17">
            <w:r>
              <w:rPr>
                <w:w w:val="105"/>
              </w:rPr>
              <w:t>五,</w:t>
            </w:r>
            <w:r>
              <w:rPr>
                <w:spacing w:val="-3"/>
                <w:w w:val="105"/>
              </w:rPr>
              <w:t>专</w:t>
            </w:r>
            <w:r>
              <w:rPr>
                <w:w w:val="105"/>
              </w:rPr>
              <w:t>属</w:t>
            </w:r>
            <w:r>
              <w:rPr>
                <w:spacing w:val="-3"/>
                <w:w w:val="105"/>
              </w:rPr>
              <w:t>于</w:t>
            </w:r>
            <w:r>
              <w:rPr>
                <w:w w:val="105"/>
              </w:rPr>
              <w:t>您</w:t>
            </w:r>
            <w:r>
              <w:rPr>
                <w:spacing w:val="-3"/>
                <w:w w:val="105"/>
              </w:rPr>
              <w:t>的</w:t>
            </w:r>
            <w:r>
              <w:rPr>
                <w:w w:val="105"/>
              </w:rPr>
              <w:t>合</w:t>
            </w:r>
            <w:r>
              <w:rPr>
                <w:spacing w:val="-3"/>
                <w:w w:val="105"/>
              </w:rPr>
              <w:t>同</w:t>
            </w:r>
            <w:r>
              <w:rPr>
                <w:w w:val="105"/>
              </w:rPr>
              <w:t>权益</w:t>
            </w:r>
            <w:r>
              <w:rPr>
                <w:rFonts w:ascii="Times New Roman" w:eastAsia="Times New Roman"/>
                <w:w w:val="105"/>
              </w:rPr>
              <w:tab/>
            </w:r>
            <w:r>
              <w:rPr>
                <w:rFonts w:ascii="Calibri" w:eastAsia="Calibri"/>
                <w:w w:val="105"/>
              </w:rPr>
              <w:t>4</w:t>
            </w:r>
          </w:hyperlink>
        </w:p>
        <w:p>
          <w:pPr>
            <w:pStyle w:val="TOC2"/>
            <w:tabs>
              <w:tab w:pos="8515" w:val="right" w:leader="dot"/>
            </w:tabs>
            <w:rPr>
              <w:rFonts w:ascii="Calibri" w:eastAsia="Calibri"/>
              <w:b w:val="0"/>
            </w:rPr>
          </w:pPr>
          <w:hyperlink w:history="true" w:anchor="_bookmark18">
            <w:r>
              <w:rPr/>
              <w:t>第十四条</w:t>
            </w:r>
            <w:r>
              <w:rPr>
                <w:spacing w:val="41"/>
              </w:rPr>
              <w:t> </w:t>
            </w:r>
            <w:r>
              <w:rPr/>
              <w:t>豁免保险费</w:t>
            </w:r>
            <w:r>
              <w:rPr>
                <w:rFonts w:ascii="Times New Roman" w:eastAsia="Times New Roman"/>
                <w:b w:val="0"/>
              </w:rPr>
              <w:tab/>
            </w:r>
            <w:r>
              <w:rPr>
                <w:rFonts w:ascii="Calibri" w:eastAsia="Calibri"/>
                <w:b w:val="0"/>
              </w:rPr>
              <w:t>4</w:t>
            </w:r>
          </w:hyperlink>
        </w:p>
        <w:p>
          <w:pPr>
            <w:pStyle w:val="TOC2"/>
            <w:tabs>
              <w:tab w:pos="8515" w:val="right" w:leader="dot"/>
            </w:tabs>
            <w:rPr>
              <w:rFonts w:ascii="Calibri" w:eastAsia="Calibri"/>
              <w:b w:val="0"/>
            </w:rPr>
          </w:pPr>
          <w:hyperlink w:history="true" w:anchor="_bookmark19">
            <w:r>
              <w:rPr/>
              <w:t>第十五条</w:t>
            </w:r>
            <w:r>
              <w:rPr>
                <w:spacing w:val="41"/>
              </w:rPr>
              <w:t> </w:t>
            </w:r>
            <w:r>
              <w:rPr/>
              <w:t>合同效力</w:t>
            </w:r>
            <w:r>
              <w:rPr>
                <w:spacing w:val="-3"/>
              </w:rPr>
              <w:t>恢</w:t>
            </w:r>
            <w:r>
              <w:rPr/>
              <w:t>复</w:t>
            </w:r>
            <w:r>
              <w:rPr>
                <w:rFonts w:ascii="Times New Roman" w:eastAsia="Times New Roman"/>
                <w:b w:val="0"/>
              </w:rPr>
              <w:tab/>
            </w:r>
            <w:r>
              <w:rPr>
                <w:rFonts w:ascii="Calibri" w:eastAsia="Calibri"/>
                <w:b w:val="0"/>
              </w:rPr>
              <w:t>5</w:t>
            </w:r>
          </w:hyperlink>
        </w:p>
        <w:p>
          <w:pPr>
            <w:pStyle w:val="TOC2"/>
            <w:tabs>
              <w:tab w:pos="8515" w:val="right" w:leader="dot"/>
            </w:tabs>
            <w:rPr>
              <w:rFonts w:ascii="Calibri" w:eastAsia="Calibri"/>
              <w:b w:val="0"/>
            </w:rPr>
          </w:pPr>
          <w:hyperlink w:history="true" w:anchor="_bookmark20">
            <w:r>
              <w:rPr/>
              <w:t>第十六条</w:t>
            </w:r>
            <w:r>
              <w:rPr>
                <w:spacing w:val="42"/>
              </w:rPr>
              <w:t> </w:t>
            </w:r>
            <w:r>
              <w:rPr/>
              <w:t>主合同保</w:t>
            </w:r>
            <w:r>
              <w:rPr>
                <w:spacing w:val="-3"/>
              </w:rPr>
              <w:t>险</w:t>
            </w:r>
            <w:r>
              <w:rPr/>
              <w:t>单</w:t>
            </w:r>
            <w:r>
              <w:rPr>
                <w:spacing w:val="-3"/>
              </w:rPr>
              <w:t>免</w:t>
            </w:r>
            <w:r>
              <w:rPr/>
              <w:t>息质押借款</w:t>
            </w:r>
            <w:r>
              <w:rPr>
                <w:rFonts w:ascii="Times New Roman" w:eastAsia="Times New Roman"/>
                <w:b w:val="0"/>
              </w:rPr>
              <w:tab/>
            </w:r>
            <w:r>
              <w:rPr>
                <w:rFonts w:ascii="Calibri" w:eastAsia="Calibri"/>
                <w:b w:val="0"/>
              </w:rPr>
              <w:t>5</w:t>
            </w:r>
          </w:hyperlink>
        </w:p>
        <w:p>
          <w:pPr>
            <w:pStyle w:val="TOC2"/>
            <w:tabs>
              <w:tab w:pos="8515" w:val="right" w:leader="dot"/>
            </w:tabs>
            <w:spacing w:line="338" w:lineRule="exact"/>
            <w:rPr>
              <w:rFonts w:ascii="Calibri" w:eastAsia="Calibri"/>
              <w:b w:val="0"/>
            </w:rPr>
          </w:pPr>
          <w:hyperlink w:history="true" w:anchor="_bookmark21">
            <w:r>
              <w:rPr/>
              <w:t>第十七条</w:t>
            </w:r>
            <w:r>
              <w:rPr>
                <w:spacing w:val="41"/>
              </w:rPr>
              <w:t> </w:t>
            </w:r>
            <w:r>
              <w:rPr/>
              <w:t>现金价值</w:t>
            </w:r>
            <w:r>
              <w:rPr>
                <w:rFonts w:ascii="Times New Roman" w:eastAsia="Times New Roman"/>
                <w:b w:val="0"/>
              </w:rPr>
              <w:tab/>
            </w:r>
            <w:r>
              <w:rPr>
                <w:rFonts w:ascii="Calibri" w:eastAsia="Calibri"/>
                <w:b w:val="0"/>
              </w:rPr>
              <w:t>5</w:t>
            </w:r>
          </w:hyperlink>
        </w:p>
        <w:p>
          <w:pPr>
            <w:pStyle w:val="TOC1"/>
            <w:tabs>
              <w:tab w:pos="8515" w:val="right" w:leader="dot"/>
            </w:tabs>
            <w:rPr>
              <w:rFonts w:ascii="Calibri" w:cs="Calibri" w:eastAsia="Calibri"/>
            </w:rPr>
          </w:pPr>
          <w:hyperlink w:history="true" w:anchor="_bookmark22">
            <w:r>
              <w:rPr>
                <w:w w:val="105"/>
                <w:rtl/>
              </w:rPr>
              <w:t>ޣ</w:t>
            </w:r>
            <w:r>
              <w:rPr>
                <w:w w:val="105"/>
              </w:rPr>
              <w:t>,</w:t>
            </w:r>
            <w:r>
              <w:rPr>
                <w:spacing w:val="-3"/>
                <w:w w:val="105"/>
              </w:rPr>
              <w:t>您</w:t>
            </w:r>
            <w:r>
              <w:rPr>
                <w:w w:val="105"/>
              </w:rPr>
              <w:t>的</w:t>
            </w:r>
            <w:r>
              <w:rPr>
                <w:spacing w:val="-3"/>
                <w:w w:val="105"/>
              </w:rPr>
              <w:t>保</w:t>
            </w:r>
            <w:r>
              <w:rPr>
                <w:w w:val="105"/>
              </w:rPr>
              <w:t>险</w:t>
            </w:r>
            <w:r>
              <w:rPr>
                <w:spacing w:val="-3"/>
                <w:w w:val="105"/>
              </w:rPr>
              <w:t>费</w:t>
            </w:r>
            <w:r>
              <w:rPr>
                <w:w w:val="105"/>
              </w:rPr>
              <w:t>支付</w:t>
            </w:r>
            <w:r>
              <w:rPr>
                <w:rFonts w:ascii="Times New Roman" w:cs="Times New Roman" w:eastAsia="Times New Roman"/>
                <w:w w:val="105"/>
              </w:rPr>
              <w:tab/>
            </w:r>
            <w:r>
              <w:rPr>
                <w:rFonts w:ascii="Calibri" w:cs="Calibri" w:eastAsia="Calibri"/>
                <w:w w:val="105"/>
              </w:rPr>
              <w:t>5</w:t>
            </w:r>
          </w:hyperlink>
        </w:p>
        <w:p>
          <w:pPr>
            <w:pStyle w:val="TOC2"/>
            <w:tabs>
              <w:tab w:pos="8515" w:val="right" w:leader="dot"/>
            </w:tabs>
            <w:spacing w:line="338" w:lineRule="exact"/>
            <w:rPr>
              <w:rFonts w:ascii="Calibri" w:eastAsia="Calibri"/>
              <w:b w:val="0"/>
            </w:rPr>
          </w:pPr>
          <w:hyperlink w:history="true" w:anchor="_bookmark23">
            <w:r>
              <w:rPr/>
              <w:t>第十八条</w:t>
            </w:r>
            <w:r>
              <w:rPr>
                <w:spacing w:val="41"/>
              </w:rPr>
              <w:t> </w:t>
            </w:r>
            <w:r>
              <w:rPr/>
              <w:t>保险费的</w:t>
            </w:r>
            <w:r>
              <w:rPr>
                <w:spacing w:val="-3"/>
              </w:rPr>
              <w:t>支</w:t>
            </w:r>
            <w:r>
              <w:rPr/>
              <w:t>付</w:t>
            </w:r>
            <w:r>
              <w:rPr>
                <w:spacing w:val="-3"/>
              </w:rPr>
              <w:t>方</w:t>
            </w:r>
            <w:r>
              <w:rPr/>
              <w:t>式</w:t>
            </w:r>
            <w:r>
              <w:rPr>
                <w:rFonts w:ascii="Times New Roman" w:eastAsia="Times New Roman"/>
                <w:b w:val="0"/>
              </w:rPr>
              <w:tab/>
            </w:r>
            <w:r>
              <w:rPr>
                <w:rFonts w:ascii="Calibri" w:eastAsia="Calibri"/>
                <w:b w:val="0"/>
              </w:rPr>
              <w:t>5</w:t>
            </w:r>
          </w:hyperlink>
        </w:p>
        <w:p>
          <w:pPr>
            <w:pStyle w:val="TOC1"/>
            <w:tabs>
              <w:tab w:pos="8515" w:val="right" w:leader="dot"/>
            </w:tabs>
            <w:rPr>
              <w:rFonts w:ascii="Calibri" w:eastAsia="Calibri"/>
            </w:rPr>
          </w:pPr>
          <w:hyperlink w:history="true" w:anchor="_bookmark24">
            <w:r>
              <w:rPr>
                <w:w w:val="110"/>
              </w:rPr>
              <w:t>七,</w:t>
            </w:r>
            <w:r>
              <w:rPr>
                <w:spacing w:val="-3"/>
                <w:w w:val="110"/>
              </w:rPr>
              <w:t>保</w:t>
            </w:r>
            <w:r>
              <w:rPr>
                <w:w w:val="110"/>
              </w:rPr>
              <w:t>险</w:t>
            </w:r>
            <w:r>
              <w:rPr>
                <w:spacing w:val="-3"/>
                <w:w w:val="110"/>
              </w:rPr>
              <w:t>金</w:t>
            </w:r>
            <w:r>
              <w:rPr>
                <w:w w:val="110"/>
              </w:rPr>
              <w:t>的</w:t>
            </w:r>
            <w:r>
              <w:rPr>
                <w:spacing w:val="-3"/>
                <w:w w:val="110"/>
              </w:rPr>
              <w:t>申</w:t>
            </w:r>
            <w:r>
              <w:rPr>
                <w:w w:val="110"/>
              </w:rPr>
              <w:t>请</w:t>
            </w:r>
            <w:r>
              <w:rPr>
                <w:rFonts w:ascii="Times New Roman" w:eastAsia="Times New Roman"/>
                <w:w w:val="110"/>
              </w:rPr>
              <w:tab/>
            </w:r>
            <w:r>
              <w:rPr>
                <w:rFonts w:ascii="Calibri" w:eastAsia="Calibri"/>
                <w:w w:val="110"/>
              </w:rPr>
              <w:t>5</w:t>
            </w:r>
          </w:hyperlink>
        </w:p>
        <w:p>
          <w:pPr>
            <w:pStyle w:val="TOC2"/>
            <w:tabs>
              <w:tab w:pos="8515" w:val="right" w:leader="dot"/>
            </w:tabs>
            <w:rPr>
              <w:rFonts w:ascii="Calibri" w:eastAsia="Calibri"/>
              <w:b w:val="0"/>
            </w:rPr>
          </w:pPr>
          <w:hyperlink w:history="true" w:anchor="_bookmark25">
            <w:r>
              <w:rPr/>
              <w:t>第十九条</w:t>
            </w:r>
            <w:r>
              <w:rPr>
                <w:spacing w:val="41"/>
              </w:rPr>
              <w:t> </w:t>
            </w:r>
            <w:r>
              <w:rPr/>
              <w:t>保险事故</w:t>
            </w:r>
            <w:r>
              <w:rPr>
                <w:spacing w:val="-3"/>
              </w:rPr>
              <w:t>的</w:t>
            </w:r>
            <w:r>
              <w:rPr/>
              <w:t>通知</w:t>
            </w:r>
            <w:r>
              <w:rPr>
                <w:rFonts w:ascii="Times New Roman" w:eastAsia="Times New Roman"/>
                <w:b w:val="0"/>
              </w:rPr>
              <w:tab/>
            </w:r>
            <w:r>
              <w:rPr>
                <w:rFonts w:ascii="Calibri" w:eastAsia="Calibri"/>
                <w:b w:val="0"/>
              </w:rPr>
              <w:t>5</w:t>
            </w:r>
          </w:hyperlink>
        </w:p>
        <w:p>
          <w:pPr>
            <w:pStyle w:val="TOC2"/>
            <w:tabs>
              <w:tab w:pos="8515" w:val="right" w:leader="dot"/>
            </w:tabs>
            <w:rPr>
              <w:rFonts w:ascii="Calibri" w:eastAsia="Calibri"/>
              <w:b w:val="0"/>
            </w:rPr>
          </w:pPr>
          <w:hyperlink w:history="true" w:anchor="_bookmark26">
            <w:r>
              <w:rPr/>
              <w:t>第二十条</w:t>
            </w:r>
            <w:r>
              <w:rPr>
                <w:spacing w:val="41"/>
              </w:rPr>
              <w:t> </w:t>
            </w:r>
            <w:r>
              <w:rPr/>
              <w:t>保险金的</w:t>
            </w:r>
            <w:r>
              <w:rPr>
                <w:spacing w:val="-3"/>
              </w:rPr>
              <w:t>给</w:t>
            </w:r>
            <w:r>
              <w:rPr/>
              <w:t>付</w:t>
            </w:r>
            <w:r>
              <w:rPr>
                <w:spacing w:val="-3"/>
              </w:rPr>
              <w:t>申</w:t>
            </w:r>
            <w:r>
              <w:rPr/>
              <w:t>请</w:t>
            </w:r>
            <w:r>
              <w:rPr>
                <w:rFonts w:ascii="Times New Roman" w:eastAsia="Times New Roman"/>
                <w:b w:val="0"/>
              </w:rPr>
              <w:tab/>
            </w:r>
            <w:r>
              <w:rPr>
                <w:rFonts w:ascii="Calibri" w:eastAsia="Calibri"/>
                <w:b w:val="0"/>
              </w:rPr>
              <w:t>5</w:t>
            </w:r>
          </w:hyperlink>
        </w:p>
        <w:p>
          <w:pPr>
            <w:pStyle w:val="TOC2"/>
            <w:tabs>
              <w:tab w:pos="8515" w:val="right" w:leader="dot"/>
            </w:tabs>
            <w:spacing w:line="338" w:lineRule="exact"/>
            <w:rPr>
              <w:rFonts w:ascii="Calibri" w:eastAsia="Calibri"/>
              <w:b w:val="0"/>
            </w:rPr>
          </w:pPr>
          <w:hyperlink w:history="true" w:anchor="_bookmark27">
            <w:r>
              <w:rPr/>
              <w:t>第二十一条</w:t>
            </w:r>
            <w:r>
              <w:rPr>
                <w:spacing w:val="41"/>
              </w:rPr>
              <w:t> </w:t>
            </w:r>
            <w:r>
              <w:rPr/>
              <w:t>保险金</w:t>
            </w:r>
            <w:r>
              <w:rPr>
                <w:spacing w:val="-3"/>
              </w:rPr>
              <w:t>的</w:t>
            </w:r>
            <w:r>
              <w:rPr/>
              <w:t>给付</w:t>
            </w:r>
            <w:r>
              <w:rPr>
                <w:rFonts w:ascii="Times New Roman" w:eastAsia="Times New Roman"/>
                <w:b w:val="0"/>
              </w:rPr>
              <w:tab/>
            </w:r>
            <w:r>
              <w:rPr>
                <w:rFonts w:ascii="Calibri" w:eastAsia="Calibri"/>
                <w:b w:val="0"/>
              </w:rPr>
              <w:t>6</w:t>
            </w:r>
          </w:hyperlink>
        </w:p>
        <w:p>
          <w:pPr>
            <w:pStyle w:val="TOC1"/>
            <w:tabs>
              <w:tab w:pos="8515" w:val="right" w:leader="dot"/>
            </w:tabs>
            <w:rPr>
              <w:rFonts w:ascii="Calibri" w:cs="Calibri" w:eastAsia="Calibri"/>
            </w:rPr>
          </w:pPr>
          <w:hyperlink w:history="true" w:anchor="_bookmark28">
            <w:r>
              <w:rPr>
                <w:w w:val="115"/>
                <w:rtl/>
              </w:rPr>
              <w:t>ޡ</w:t>
            </w:r>
            <w:r>
              <w:rPr>
                <w:w w:val="115"/>
              </w:rPr>
              <w:t>,</w:t>
            </w:r>
            <w:r>
              <w:rPr>
                <w:spacing w:val="-22"/>
                <w:w w:val="115"/>
              </w:rPr>
              <w:t> </w:t>
            </w:r>
            <w:r>
              <w:rPr>
                <w:w w:val="115"/>
              </w:rPr>
              <w:t>遇</w:t>
            </w:r>
            <w:r>
              <w:rPr>
                <w:spacing w:val="-3"/>
                <w:w w:val="115"/>
              </w:rPr>
              <w:t>到</w:t>
            </w:r>
            <w:r>
              <w:rPr>
                <w:w w:val="115"/>
              </w:rPr>
              <w:t>特fl情</w:t>
            </w:r>
            <w:r>
              <w:rPr>
                <w:spacing w:val="-3"/>
                <w:w w:val="115"/>
              </w:rPr>
              <w:t>况</w:t>
            </w:r>
            <w:r>
              <w:rPr>
                <w:w w:val="115"/>
              </w:rPr>
              <w:t>的</w:t>
            </w:r>
            <w:r>
              <w:rPr>
                <w:spacing w:val="-3"/>
                <w:w w:val="115"/>
              </w:rPr>
              <w:t>处</w:t>
            </w:r>
            <w:r>
              <w:rPr>
                <w:w w:val="115"/>
              </w:rPr>
              <w:t>理</w:t>
            </w:r>
            <w:r>
              <w:rPr>
                <w:rFonts w:ascii="Times New Roman" w:cs="Times New Roman" w:eastAsia="Times New Roman"/>
                <w:w w:val="115"/>
              </w:rPr>
              <w:tab/>
            </w:r>
            <w:r>
              <w:rPr>
                <w:rFonts w:ascii="Calibri" w:cs="Calibri" w:eastAsia="Calibri"/>
                <w:w w:val="115"/>
              </w:rPr>
              <w:t>6</w:t>
            </w:r>
          </w:hyperlink>
        </w:p>
        <w:p>
          <w:pPr>
            <w:pStyle w:val="TOC2"/>
            <w:tabs>
              <w:tab w:pos="1859" w:val="left" w:leader="none"/>
              <w:tab w:pos="8515" w:val="right" w:leader="dot"/>
            </w:tabs>
            <w:rPr>
              <w:rFonts w:ascii="Calibri" w:eastAsia="Calibri"/>
              <w:b w:val="0"/>
            </w:rPr>
          </w:pPr>
          <w:hyperlink w:history="true" w:anchor="_bookmark29">
            <w:r>
              <w:rPr/>
              <w:t>第二十二条</w:t>
              <w:tab/>
              <w:t>年龄</w:t>
            </w:r>
            <w:r>
              <w:rPr>
                <w:spacing w:val="-3"/>
              </w:rPr>
              <w:t>误</w:t>
            </w:r>
            <w:r>
              <w:rPr/>
              <w:t>告</w:t>
            </w:r>
            <w:r>
              <w:rPr>
                <w:spacing w:val="-3"/>
              </w:rPr>
              <w:t>处</w:t>
            </w:r>
            <w:r>
              <w:rPr/>
              <w:t>理</w:t>
            </w:r>
            <w:r>
              <w:rPr>
                <w:rFonts w:ascii="Times New Roman" w:eastAsia="Times New Roman"/>
                <w:b w:val="0"/>
              </w:rPr>
              <w:tab/>
            </w:r>
            <w:r>
              <w:rPr>
                <w:rFonts w:ascii="Calibri" w:eastAsia="Calibri"/>
                <w:b w:val="0"/>
              </w:rPr>
              <w:t>6</w:t>
            </w:r>
          </w:hyperlink>
        </w:p>
        <w:p>
          <w:pPr>
            <w:pStyle w:val="TOC2"/>
            <w:tabs>
              <w:tab w:pos="1859" w:val="left" w:leader="none"/>
              <w:tab w:pos="8515" w:val="right" w:leader="dot"/>
            </w:tabs>
            <w:spacing w:line="338" w:lineRule="exact"/>
            <w:rPr>
              <w:rFonts w:ascii="Calibri" w:eastAsia="Calibri"/>
              <w:b w:val="0"/>
            </w:rPr>
          </w:pPr>
          <w:hyperlink w:history="true" w:anchor="_bookmark30">
            <w:r>
              <w:rPr/>
              <w:t>第二十三条</w:t>
              <w:tab/>
              <w:t>宣告</w:t>
            </w:r>
            <w:r>
              <w:rPr>
                <w:spacing w:val="-3"/>
              </w:rPr>
              <w:t>死</w:t>
            </w:r>
            <w:r>
              <w:rPr/>
              <w:t>亡</w:t>
            </w:r>
            <w:r>
              <w:rPr>
                <w:spacing w:val="-3"/>
              </w:rPr>
              <w:t>处</w:t>
            </w:r>
            <w:r>
              <w:rPr/>
              <w:t>理</w:t>
            </w:r>
            <w:r>
              <w:rPr>
                <w:rFonts w:ascii="Times New Roman" w:eastAsia="Times New Roman"/>
                <w:b w:val="0"/>
              </w:rPr>
              <w:tab/>
            </w:r>
            <w:r>
              <w:rPr>
                <w:rFonts w:ascii="Calibri" w:eastAsia="Calibri"/>
                <w:b w:val="0"/>
              </w:rPr>
              <w:t>6</w:t>
            </w:r>
          </w:hyperlink>
        </w:p>
        <w:p>
          <w:pPr>
            <w:pStyle w:val="TOC1"/>
            <w:tabs>
              <w:tab w:pos="8515" w:val="right" w:leader="dot"/>
            </w:tabs>
            <w:spacing w:before="9"/>
            <w:rPr>
              <w:rFonts w:ascii="Calibri" w:eastAsia="Calibri"/>
            </w:rPr>
          </w:pPr>
          <w:hyperlink w:history="true" w:anchor="_bookmark31">
            <w:r>
              <w:rPr>
                <w:w w:val="115"/>
              </w:rPr>
              <w:t>九,</w:t>
            </w:r>
            <w:r>
              <w:rPr>
                <w:spacing w:val="-19"/>
                <w:w w:val="115"/>
              </w:rPr>
              <w:t> </w:t>
            </w:r>
            <w:r>
              <w:rPr>
                <w:w w:val="105"/>
              </w:rPr>
              <w:t>本</w:t>
            </w:r>
            <w:r>
              <w:rPr>
                <w:spacing w:val="-3"/>
                <w:w w:val="105"/>
              </w:rPr>
              <w:t>合</w:t>
            </w:r>
            <w:r>
              <w:rPr>
                <w:w w:val="105"/>
              </w:rPr>
              <w:t>同</w:t>
            </w:r>
            <w:r>
              <w:rPr>
                <w:spacing w:val="-3"/>
                <w:w w:val="105"/>
              </w:rPr>
              <w:t>的</w:t>
            </w:r>
            <w:r>
              <w:rPr>
                <w:w w:val="105"/>
              </w:rPr>
              <w:t>变</w:t>
            </w:r>
            <w:r>
              <w:rPr>
                <w:spacing w:val="-3"/>
                <w:w w:val="105"/>
              </w:rPr>
              <w:t>更</w:t>
            </w:r>
            <w:r>
              <w:rPr>
                <w:w w:val="105"/>
              </w:rPr>
              <w:t>fl</w:t>
            </w:r>
            <w:r>
              <w:rPr>
                <w:spacing w:val="-3"/>
                <w:w w:val="105"/>
              </w:rPr>
              <w:t>解</w:t>
            </w:r>
            <w:r>
              <w:rPr>
                <w:w w:val="105"/>
              </w:rPr>
              <w:t>除</w:t>
            </w:r>
            <w:r>
              <w:rPr>
                <w:rFonts w:ascii="Times New Roman" w:eastAsia="Times New Roman"/>
                <w:w w:val="105"/>
              </w:rPr>
              <w:tab/>
            </w:r>
            <w:r>
              <w:rPr>
                <w:rFonts w:ascii="Calibri" w:eastAsia="Calibri"/>
                <w:w w:val="105"/>
              </w:rPr>
              <w:t>6</w:t>
            </w:r>
          </w:hyperlink>
        </w:p>
        <w:p>
          <w:pPr>
            <w:pStyle w:val="TOC2"/>
            <w:tabs>
              <w:tab w:pos="1859" w:val="left" w:leader="none"/>
              <w:tab w:pos="8515" w:val="right" w:leader="dot"/>
            </w:tabs>
            <w:rPr>
              <w:rFonts w:ascii="Calibri" w:eastAsia="Calibri"/>
              <w:b w:val="0"/>
            </w:rPr>
          </w:pPr>
          <w:hyperlink w:history="true" w:anchor="_bookmark32">
            <w:r>
              <w:rPr/>
              <w:t>第二十四条</w:t>
              <w:tab/>
              <w:t>合同</w:t>
            </w:r>
            <w:r>
              <w:rPr>
                <w:spacing w:val="-3"/>
              </w:rPr>
              <w:t>的</w:t>
            </w:r>
            <w:r>
              <w:rPr/>
              <w:t>变更</w:t>
            </w:r>
            <w:r>
              <w:rPr>
                <w:rFonts w:ascii="Times New Roman" w:eastAsia="Times New Roman"/>
                <w:b w:val="0"/>
              </w:rPr>
              <w:tab/>
            </w:r>
            <w:r>
              <w:rPr>
                <w:rFonts w:ascii="Calibri" w:eastAsia="Calibri"/>
                <w:b w:val="0"/>
              </w:rPr>
              <w:t>6</w:t>
            </w:r>
          </w:hyperlink>
        </w:p>
        <w:p>
          <w:pPr>
            <w:pStyle w:val="TOC2"/>
            <w:tabs>
              <w:tab w:pos="1859" w:val="left" w:leader="none"/>
              <w:tab w:pos="8515" w:val="right" w:leader="dot"/>
            </w:tabs>
            <w:spacing w:line="338" w:lineRule="exact"/>
            <w:rPr>
              <w:rFonts w:ascii="Calibri" w:eastAsia="Calibri"/>
              <w:b w:val="0"/>
            </w:rPr>
          </w:pPr>
          <w:hyperlink w:history="true" w:anchor="_bookmark33">
            <w:r>
              <w:rPr/>
              <w:t>第二十五条</w:t>
              <w:tab/>
              <w:t>合同</w:t>
            </w:r>
            <w:r>
              <w:rPr>
                <w:spacing w:val="-3"/>
              </w:rPr>
              <w:t>的</w:t>
            </w:r>
            <w:r>
              <w:rPr/>
              <w:t>解除</w:t>
            </w:r>
            <w:r>
              <w:rPr>
                <w:rFonts w:ascii="Times New Roman" w:eastAsia="Times New Roman"/>
                <w:b w:val="0"/>
              </w:rPr>
              <w:tab/>
            </w:r>
            <w:r>
              <w:rPr>
                <w:rFonts w:ascii="Calibri" w:eastAsia="Calibri"/>
                <w:b w:val="0"/>
              </w:rPr>
              <w:t>6</w:t>
            </w:r>
          </w:hyperlink>
        </w:p>
        <w:p>
          <w:pPr>
            <w:pStyle w:val="TOC1"/>
            <w:tabs>
              <w:tab w:pos="8515" w:val="right" w:leader="dot"/>
            </w:tabs>
            <w:spacing w:before="9"/>
            <w:rPr>
              <w:rFonts w:ascii="Calibri" w:hAnsi="Calibri" w:eastAsia="Calibri"/>
            </w:rPr>
          </w:pPr>
          <w:hyperlink w:history="true" w:anchor="_bookmark34">
            <w:r>
              <w:rPr>
                <w:w w:val="105"/>
              </w:rPr>
              <w:t>十,</w:t>
            </w:r>
            <w:r>
              <w:rPr>
                <w:spacing w:val="-3"/>
                <w:w w:val="105"/>
              </w:rPr>
              <w:t>遇</w:t>
            </w:r>
            <w:r>
              <w:rPr>
                <w:w w:val="105"/>
              </w:rPr>
              <w:t>到</w:t>
            </w:r>
            <w:r>
              <w:rPr>
                <w:spacing w:val="-3"/>
                <w:w w:val="105"/>
              </w:rPr>
              <w:t>合</w:t>
            </w:r>
            <w:r>
              <w:rPr>
                <w:w w:val="105"/>
              </w:rPr>
              <w:t>同</w:t>
            </w:r>
            <w:r>
              <w:rPr>
                <w:spacing w:val="-3"/>
                <w:w w:val="105"/>
              </w:rPr>
              <w:t>ҿ</w:t>
            </w:r>
            <w:r>
              <w:rPr>
                <w:w w:val="105"/>
              </w:rPr>
              <w:t>议</w:t>
            </w:r>
            <w:r>
              <w:rPr>
                <w:spacing w:val="-3"/>
                <w:w w:val="105"/>
              </w:rPr>
              <w:t>的</w:t>
            </w:r>
            <w:r>
              <w:rPr>
                <w:w w:val="105"/>
              </w:rPr>
              <w:t>处理</w:t>
            </w:r>
            <w:r>
              <w:rPr>
                <w:rFonts w:ascii="Times New Roman" w:hAnsi="Times New Roman" w:eastAsia="Times New Roman"/>
                <w:w w:val="105"/>
              </w:rPr>
              <w:tab/>
            </w:r>
            <w:r>
              <w:rPr>
                <w:rFonts w:ascii="Calibri" w:hAnsi="Calibri" w:eastAsia="Calibri"/>
                <w:w w:val="105"/>
              </w:rPr>
              <w:t>6</w:t>
            </w:r>
          </w:hyperlink>
        </w:p>
        <w:p>
          <w:pPr>
            <w:pStyle w:val="TOC2"/>
            <w:tabs>
              <w:tab w:pos="8515" w:val="right" w:leader="dot"/>
            </w:tabs>
            <w:rPr>
              <w:rFonts w:ascii="Calibri" w:eastAsia="Calibri"/>
              <w:b w:val="0"/>
            </w:rPr>
          </w:pPr>
          <w:hyperlink w:history="true" w:anchor="_bookmark35">
            <w:r>
              <w:rPr/>
              <w:t>第二十六条</w:t>
            </w:r>
            <w:r>
              <w:rPr>
                <w:spacing w:val="41"/>
              </w:rPr>
              <w:t> </w:t>
            </w:r>
            <w:r>
              <w:rPr/>
              <w:t>争议处理</w:t>
            </w:r>
            <w:r>
              <w:rPr>
                <w:rFonts w:ascii="Times New Roman" w:eastAsia="Times New Roman"/>
                <w:b w:val="0"/>
              </w:rPr>
              <w:tab/>
            </w:r>
            <w:r>
              <w:rPr>
                <w:rFonts w:ascii="Calibri" w:eastAsia="Calibri"/>
                <w:b w:val="0"/>
              </w:rPr>
              <w:t>6</w:t>
            </w:r>
          </w:hyperlink>
        </w:p>
        <w:p>
          <w:pPr>
            <w:pStyle w:val="TOC2"/>
            <w:tabs>
              <w:tab w:pos="8515" w:val="right" w:leader="dot"/>
            </w:tabs>
            <w:spacing w:line="338" w:lineRule="exact"/>
            <w:rPr>
              <w:rFonts w:ascii="Calibri" w:eastAsia="Calibri"/>
              <w:b w:val="0"/>
            </w:rPr>
          </w:pPr>
          <w:hyperlink w:history="true" w:anchor="_bookmark36">
            <w:r>
              <w:rPr/>
              <w:t>第二十七条</w:t>
            </w:r>
            <w:r>
              <w:rPr>
                <w:spacing w:val="41"/>
              </w:rPr>
              <w:t> </w:t>
            </w:r>
            <w:r>
              <w:rPr/>
              <w:t>诉讼时效</w:t>
            </w:r>
            <w:r>
              <w:rPr>
                <w:rFonts w:ascii="Times New Roman" w:eastAsia="Times New Roman"/>
                <w:b w:val="0"/>
              </w:rPr>
              <w:tab/>
            </w:r>
            <w:r>
              <w:rPr>
                <w:rFonts w:ascii="Calibri" w:eastAsia="Calibri"/>
                <w:b w:val="0"/>
              </w:rPr>
              <w:t>6</w:t>
            </w:r>
          </w:hyperlink>
        </w:p>
        <w:p>
          <w:pPr>
            <w:pStyle w:val="TOC1"/>
            <w:tabs>
              <w:tab w:pos="8515" w:val="right" w:leader="dot"/>
            </w:tabs>
            <w:spacing w:line="240" w:lineRule="auto" w:before="9"/>
            <w:rPr>
              <w:rFonts w:ascii="Calibri" w:eastAsia="Calibri"/>
            </w:rPr>
          </w:pPr>
          <w:hyperlink w:history="true" w:anchor="_bookmark37">
            <w:r>
              <w:rPr>
                <w:spacing w:val="-1"/>
              </w:rPr>
              <w:t>十一,fi</w:t>
            </w:r>
            <w:r>
              <w:rPr>
                <w:spacing w:val="-3"/>
              </w:rPr>
              <w:t>了</w:t>
            </w:r>
            <w:r>
              <w:rPr/>
              <w:t>便</w:t>
            </w:r>
            <w:r>
              <w:rPr>
                <w:spacing w:val="-3"/>
              </w:rPr>
              <w:t>于</w:t>
            </w:r>
            <w:r>
              <w:rPr/>
              <w:t>您</w:t>
            </w:r>
            <w:r>
              <w:rPr>
                <w:spacing w:val="-3"/>
              </w:rPr>
              <w:t>对</w:t>
            </w:r>
            <w:r>
              <w:rPr/>
              <w:t>条</w:t>
            </w:r>
            <w:r>
              <w:rPr>
                <w:spacing w:val="-3"/>
              </w:rPr>
              <w:t>款</w:t>
            </w:r>
            <w:r>
              <w:rPr/>
              <w:t>的理</w:t>
            </w:r>
            <w:r>
              <w:rPr>
                <w:spacing w:val="-3"/>
              </w:rPr>
              <w:t>解</w:t>
            </w:r>
            <w:r>
              <w:rPr/>
              <w:t>，</w:t>
            </w:r>
            <w:r>
              <w:rPr>
                <w:spacing w:val="-3"/>
              </w:rPr>
              <w:t>我</w:t>
            </w:r>
            <w:r>
              <w:rPr>
                <w:spacing w:val="20"/>
              </w:rPr>
              <w:t> </w:t>
            </w:r>
            <w:r>
              <w:rPr>
                <w:spacing w:val="1"/>
                <w:w w:val="201"/>
                <w:position w:val="-1"/>
              </w:rPr>
            </w:r>
            <w:r>
              <w:rPr>
                <w:spacing w:val="-3"/>
                <w:w w:val="105"/>
              </w:rPr>
              <w:t>供</w:t>
            </w:r>
            <w:r>
              <w:rPr>
                <w:w w:val="105"/>
              </w:rPr>
              <w:t>了</w:t>
            </w:r>
            <w:r>
              <w:rPr>
                <w:spacing w:val="-3"/>
                <w:w w:val="105"/>
              </w:rPr>
              <w:t>术</w:t>
            </w:r>
            <w:r>
              <w:rPr>
                <w:w w:val="105"/>
              </w:rPr>
              <w:t>语释义</w:t>
            </w:r>
            <w:r>
              <w:rPr>
                <w:rFonts w:ascii="Times New Roman" w:eastAsia="Times New Roman"/>
                <w:w w:val="105"/>
              </w:rPr>
              <w:tab/>
            </w:r>
            <w:r>
              <w:rPr>
                <w:rFonts w:ascii="Calibri" w:eastAsia="Calibri"/>
                <w:w w:val="105"/>
              </w:rPr>
              <w:t>7</w:t>
            </w:r>
          </w:hyperlink>
          <w:r>
            <w:rPr>
              <w:spacing w:val="1"/>
              <w:w w:val="201"/>
              <w:position w:val="-1"/>
            </w:rPr>
            <w:drawing>
              <wp:inline distT="0" distB="0" distL="0" distR="0">
                <wp:extent cx="127000" cy="127000"/>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127000" cy="127000"/>
                        </a:xfrm>
                        <a:prstGeom prst="rect">
                          <a:avLst/>
                        </a:prstGeom>
                      </pic:spPr>
                    </pic:pic>
                  </a:graphicData>
                </a:graphic>
              </wp:inline>
            </w:drawing>
          </w:r>
        </w:p>
      </w:sdtContent>
    </w:sdt>
    <w:p>
      <w:pPr>
        <w:spacing w:after="0" w:line="240" w:lineRule="auto"/>
        <w:rPr>
          <w:rFonts w:ascii="Calibri" w:eastAsia="Calibri"/>
        </w:rPr>
        <w:sectPr>
          <w:pgSz w:w="11910" w:h="16840"/>
          <w:pgMar w:top="1480" w:bottom="280" w:left="1640" w:right="1640"/>
        </w:sectPr>
      </w:pPr>
    </w:p>
    <w:p>
      <w:pPr>
        <w:pStyle w:val="Heading1"/>
        <w:ind w:left="2553" w:right="0"/>
        <w:jc w:val="left"/>
      </w:pPr>
      <w:r>
        <w:rPr/>
        <w:t>中邮附加重大疾病保险条款</w:t>
      </w:r>
    </w:p>
    <w:p>
      <w:pPr>
        <w:pStyle w:val="BodyText"/>
        <w:spacing w:before="2"/>
        <w:ind w:left="0"/>
        <w:rPr>
          <w:sz w:val="28"/>
        </w:rPr>
      </w:pPr>
    </w:p>
    <w:p>
      <w:pPr>
        <w:pStyle w:val="Heading2"/>
        <w:ind w:left="152"/>
      </w:pPr>
      <w:bookmarkStart w:name="_bookmark0" w:id="1"/>
      <w:bookmarkEnd w:id="1"/>
      <w:r>
        <w:rPr/>
      </w:r>
      <w:r>
        <w:rPr>
          <w:rFonts w:ascii="Microsoft JhengHei" w:hAnsi="Microsoft JhengHei" w:eastAsia="Microsoft JhengHei" w:hint="eastAsia"/>
          <w:b/>
          <w:w w:val="110"/>
        </w:rPr>
        <w:t>一</w:t>
      </w:r>
      <w:r>
        <w:rPr>
          <w:rFonts w:ascii="Microsoft JhengHei" w:hAnsi="Microsoft JhengHei" w:eastAsia="Microsoft JhengHei" w:hint="eastAsia"/>
          <w:b/>
          <w:w w:val="135"/>
        </w:rPr>
        <w:t>,</w:t>
      </w:r>
      <w:r>
        <w:rPr>
          <w:w w:val="110"/>
        </w:rPr>
        <w:t>您fl</w:t>
      </w:r>
      <w:r>
        <w:rPr>
          <w:w w:val="135"/>
        </w:rPr>
        <w:t>我z¼</w:t>
      </w:r>
      <w:r>
        <w:rPr>
          <w:w w:val="110"/>
        </w:rPr>
        <w:t>订立的保险合同</w:t>
      </w:r>
    </w:p>
    <w:p>
      <w:pPr>
        <w:pStyle w:val="Heading3"/>
        <w:spacing w:line="403" w:lineRule="exact" w:before="83"/>
        <w:ind w:left="634"/>
        <w:rPr>
          <w:rFonts w:ascii="Microsoft JhengHei" w:eastAsia="Microsoft JhengHei" w:hint="eastAsia"/>
        </w:rPr>
      </w:pPr>
      <w:bookmarkStart w:name="_bookmark1" w:id="2"/>
      <w:bookmarkEnd w:id="2"/>
      <w:r>
        <w:rPr>
          <w:b w:val="0"/>
        </w:rPr>
      </w:r>
      <w:r>
        <w:rPr>
          <w:rFonts w:ascii="Microsoft JhengHei" w:eastAsia="Microsoft JhengHei" w:hint="eastAsia"/>
          <w:w w:val="105"/>
        </w:rPr>
        <w:t>第一条 保险合同的构</w:t>
      </w:r>
      <w:r>
        <w:rPr>
          <w:rFonts w:ascii="Microsoft JhengHei" w:eastAsia="Microsoft JhengHei" w:hint="eastAsia"/>
          <w:w w:val="140"/>
        </w:rPr>
        <w:t>fi</w:t>
      </w:r>
    </w:p>
    <w:p>
      <w:pPr>
        <w:pStyle w:val="BodyText"/>
        <w:spacing w:line="237" w:lineRule="auto"/>
        <w:ind w:left="152" w:right="452" w:firstLine="479"/>
      </w:pPr>
      <w:r>
        <w:rPr/>
        <w:t>中邮附加重大疾病保险合同ⅳ以下简称本合同ⅴ由以下几个部分构成ↅ本保</w:t>
      </w:r>
      <w:r>
        <w:rPr>
          <w:spacing w:val="-16"/>
        </w:rPr>
        <w:t>险条款、保险单、投保单ⅳ其复印件或电子影像印刷件与正本具有同等效力ⅴ、与</w:t>
      </w:r>
      <w:r>
        <w:rPr>
          <w:spacing w:val="-19"/>
        </w:rPr>
        <w:t>本合同有关的投保文件、合法有效的声明、批注、批单及您与我公司共同认可的、</w:t>
      </w:r>
      <w:r>
        <w:rPr>
          <w:spacing w:val="-1"/>
        </w:rPr>
        <w:t>与本合同有关的其他书面文件。</w:t>
      </w:r>
    </w:p>
    <w:p>
      <w:pPr>
        <w:pStyle w:val="BodyText"/>
        <w:spacing w:before="4"/>
        <w:ind w:left="0"/>
        <w:rPr>
          <w:sz w:val="25"/>
        </w:rPr>
      </w:pPr>
      <w:r>
        <w:rPr/>
        <w:pict>
          <v:line style="position:absolute;mso-position-horizontal-relative:page;mso-position-vertical-relative:paragraph;z-index:0;mso-wrap-distance-left:0;mso-wrap-distance-right:0" from="87.650002pt,19.281929pt" to="528.650008pt,19.331929pt" stroked="true" strokeweight="1.5pt" strokecolor="#000000">
            <v:stroke dashstyle="solid"/>
            <w10:wrap type="topAndBottom"/>
          </v:line>
        </w:pict>
      </w:r>
    </w:p>
    <w:p>
      <w:pPr>
        <w:pStyle w:val="BodyText"/>
        <w:spacing w:before="9"/>
        <w:ind w:left="0"/>
        <w:rPr>
          <w:sz w:val="19"/>
        </w:rPr>
      </w:pPr>
    </w:p>
    <w:p>
      <w:pPr>
        <w:pStyle w:val="Heading2"/>
        <w:ind w:left="152"/>
      </w:pPr>
      <w:bookmarkStart w:name="_bookmark2" w:id="3"/>
      <w:bookmarkEnd w:id="3"/>
      <w:r>
        <w:rPr/>
      </w:r>
      <w:r>
        <w:rPr>
          <w:w w:val="105"/>
        </w:rPr>
        <w:t>s,我们订立合同时要确认</w:t>
      </w:r>
    </w:p>
    <w:p>
      <w:pPr>
        <w:pStyle w:val="Heading3"/>
        <w:spacing w:line="399" w:lineRule="exact" w:before="120"/>
        <w:ind w:left="622"/>
      </w:pPr>
      <w:bookmarkStart w:name="_bookmark3" w:id="4"/>
      <w:bookmarkEnd w:id="4"/>
      <w:r>
        <w:rPr>
          <w:b w:val="0"/>
        </w:rPr>
      </w:r>
      <w:r>
        <w:rPr/>
        <w:t>第二条 投保范围</w:t>
      </w:r>
    </w:p>
    <w:p>
      <w:pPr>
        <w:pStyle w:val="BodyText"/>
        <w:spacing w:line="262" w:lineRule="exact"/>
        <w:ind w:left="632"/>
      </w:pPr>
      <w:r>
        <w:rPr/>
        <w:t>与主合同的约定相同。</w:t>
      </w:r>
    </w:p>
    <w:p>
      <w:pPr>
        <w:spacing w:line="218" w:lineRule="auto" w:before="0"/>
        <w:ind w:left="632" w:right="5478" w:firstLine="2"/>
        <w:jc w:val="left"/>
        <w:rPr>
          <w:sz w:val="24"/>
        </w:rPr>
      </w:pPr>
      <w:bookmarkStart w:name="_bookmark4" w:id="5"/>
      <w:bookmarkEnd w:id="5"/>
      <w:r>
        <w:rPr/>
      </w:r>
      <w:r>
        <w:rPr>
          <w:rFonts w:ascii="微软雅黑" w:eastAsia="微软雅黑" w:hint="eastAsia"/>
          <w:b/>
          <w:sz w:val="24"/>
        </w:rPr>
        <w:t>第三条 明确说明与如实告知</w:t>
      </w:r>
      <w:r>
        <w:rPr>
          <w:sz w:val="24"/>
        </w:rPr>
        <w:t>与主合同的约定相同。</w:t>
      </w:r>
    </w:p>
    <w:p>
      <w:pPr>
        <w:pStyle w:val="BodyText"/>
        <w:spacing w:before="4"/>
        <w:ind w:left="0"/>
      </w:pPr>
      <w:r>
        <w:rPr/>
        <w:pict>
          <v:line style="position:absolute;mso-position-horizontal-relative:page;mso-position-vertical-relative:paragraph;z-index:1048;mso-wrap-distance-left:0;mso-wrap-distance-right:0" from="86.150002pt,18.633396pt" to="527.150008pt,18.683396pt" stroked="true" strokeweight="1.5pt" strokecolor="#000000">
            <v:stroke dashstyle="solid"/>
            <w10:wrap type="topAndBottom"/>
          </v:line>
        </w:pict>
      </w:r>
    </w:p>
    <w:p>
      <w:pPr>
        <w:pStyle w:val="BodyText"/>
        <w:spacing w:before="9"/>
        <w:ind w:left="0"/>
        <w:rPr>
          <w:sz w:val="19"/>
        </w:rPr>
      </w:pPr>
    </w:p>
    <w:p>
      <w:pPr>
        <w:pStyle w:val="Heading2"/>
        <w:ind w:left="152"/>
      </w:pPr>
      <w:bookmarkStart w:name="_bookmark5" w:id="6"/>
      <w:bookmarkEnd w:id="6"/>
      <w:r>
        <w:rPr/>
      </w:r>
      <w:r>
        <w:rPr/>
        <w:t>п,合同的Th效及保险责任的开始</w:t>
      </w:r>
    </w:p>
    <w:p>
      <w:pPr>
        <w:pStyle w:val="Heading3"/>
        <w:spacing w:line="399" w:lineRule="exact" w:before="120"/>
        <w:ind w:left="622"/>
      </w:pPr>
      <w:bookmarkStart w:name="_bookmark6" w:id="7"/>
      <w:bookmarkEnd w:id="7"/>
      <w:r>
        <w:rPr>
          <w:b w:val="0"/>
        </w:rPr>
      </w:r>
      <w:r>
        <w:rPr/>
        <w:t>第四条 保险合同的成立、生效</w:t>
      </w:r>
    </w:p>
    <w:p>
      <w:pPr>
        <w:pStyle w:val="BodyText"/>
        <w:spacing w:line="237" w:lineRule="auto"/>
        <w:ind w:left="138" w:right="451" w:firstLine="479"/>
      </w:pPr>
      <w:r>
        <w:rPr>
          <w:spacing w:val="-5"/>
        </w:rPr>
        <w:t>本合同是附加于我公司所确认的人身保险合同ⅳ以下简称主合同ⅴ的从合同， </w:t>
      </w:r>
      <w:r>
        <w:rPr>
          <w:spacing w:val="-13"/>
        </w:rPr>
        <w:t>您向我公司提出保险要求ⅳ投保ⅴ，经我公司同意承保，本合同成立。</w:t>
      </w:r>
    </w:p>
    <w:p>
      <w:pPr>
        <w:pStyle w:val="BodyText"/>
        <w:spacing w:line="311" w:lineRule="exact" w:before="13"/>
        <w:ind w:left="617"/>
      </w:pPr>
      <w:r>
        <w:rPr/>
        <w:t>本合同自成立时生效。</w:t>
      </w:r>
    </w:p>
    <w:p>
      <w:pPr>
        <w:pStyle w:val="BodyText"/>
        <w:spacing w:line="237" w:lineRule="auto" w:before="2"/>
        <w:ind w:left="152" w:right="450" w:firstLine="479"/>
      </w:pPr>
      <w:r>
        <w:rPr/>
        <w:t>若本合同和主合同约定不一敡的,以本合同的约定为准;若本合同没有约定的, 以主合同的约定为准。</w:t>
      </w:r>
    </w:p>
    <w:p>
      <w:pPr>
        <w:pStyle w:val="Heading3"/>
        <w:spacing w:line="326" w:lineRule="exact"/>
        <w:ind w:left="622"/>
      </w:pPr>
      <w:bookmarkStart w:name="_bookmark7" w:id="8"/>
      <w:bookmarkEnd w:id="8"/>
      <w:r>
        <w:rPr>
          <w:b w:val="0"/>
        </w:rPr>
      </w:r>
      <w:r>
        <w:rPr/>
        <w:t>第五条 保险责任开始时间</w:t>
      </w:r>
    </w:p>
    <w:p>
      <w:pPr>
        <w:pStyle w:val="BodyText"/>
        <w:spacing w:line="199" w:lineRule="auto" w:before="38"/>
        <w:ind w:left="138" w:right="578" w:firstLine="479"/>
        <w:jc w:val="both"/>
      </w:pPr>
      <w:r>
        <w:rPr/>
        <w:t>本合同生效后，如无特别约定，在您按照本合同的约定向我公司支付保险费</w:t>
      </w:r>
      <w:r>
        <w:rPr>
          <w:spacing w:val="-1"/>
        </w:rPr>
        <w:t>后的次日ⅳ</w:t>
      </w:r>
      <w:r>
        <w:rPr>
          <w:rFonts w:ascii="Microsoft JhengHei" w:hAnsi="Microsoft JhengHei" w:eastAsia="Microsoft JhengHei" w:hint="eastAsia"/>
          <w:b/>
          <w:w w:val="96"/>
          <w:sz w:val="25"/>
        </w:rPr>
        <w:t>保险责任开始日</w:t>
      </w:r>
      <w:r>
        <w:rPr>
          <w:spacing w:val="-12"/>
        </w:rPr>
        <w:t>ⅳ见释义 </w:t>
      </w:r>
      <w:r>
        <w:rPr>
          <w:rFonts w:ascii="黑体" w:hAnsi="黑体" w:eastAsia="黑体" w:hint="eastAsia"/>
        </w:rPr>
        <w:t>1</w:t>
      </w:r>
      <w:r>
        <w:rPr>
          <w:spacing w:val="-120"/>
        </w:rPr>
        <w:t>ⅴ</w:t>
      </w:r>
      <w:r>
        <w:rPr/>
        <w:t>ⅴ0</w:t>
      </w:r>
      <w:r>
        <w:rPr>
          <w:rFonts w:ascii="Times New Roman" w:hAnsi="Times New Roman" w:eastAsia="Times New Roman"/>
        </w:rPr>
        <w:t> </w:t>
      </w:r>
      <w:r>
        <w:rPr>
          <w:spacing w:val="-2"/>
        </w:rPr>
        <w:t>时起，我公司按照本合同的约定开始承担保险责任。有特别约定的，以特别约定为准。</w:t>
      </w:r>
    </w:p>
    <w:p>
      <w:pPr>
        <w:pStyle w:val="BodyText"/>
        <w:spacing w:line="237" w:lineRule="auto" w:before="1"/>
        <w:ind w:left="632" w:right="573"/>
      </w:pPr>
      <w:r>
        <w:rPr/>
        <w:t>本合同的保险责任的期间与主合同的约定相同，自保险责任开始日起计算。保险责任开始的日期在保险单中载明。</w:t>
      </w:r>
    </w:p>
    <w:p>
      <w:pPr>
        <w:pStyle w:val="Heading3"/>
        <w:ind w:left="622"/>
      </w:pPr>
      <w:bookmarkStart w:name="_bookmark8" w:id="9"/>
      <w:bookmarkEnd w:id="9"/>
      <w:r>
        <w:rPr>
          <w:b w:val="0"/>
        </w:rPr>
      </w:r>
      <w:r>
        <w:rPr/>
        <w:t>第六条 犹豫期</w:t>
      </w:r>
    </w:p>
    <w:p>
      <w:pPr>
        <w:pStyle w:val="BodyText"/>
        <w:spacing w:line="299" w:lineRule="exact"/>
        <w:ind w:left="632"/>
      </w:pPr>
      <w:r>
        <w:rPr/>
        <w:t>与主合同的约定相同。</w:t>
      </w:r>
    </w:p>
    <w:p>
      <w:pPr>
        <w:pStyle w:val="BodyText"/>
        <w:ind w:left="0"/>
        <w:rPr>
          <w:sz w:val="20"/>
        </w:rPr>
      </w:pPr>
    </w:p>
    <w:p>
      <w:pPr>
        <w:pStyle w:val="BodyText"/>
        <w:spacing w:before="3"/>
        <w:ind w:left="0"/>
        <w:rPr>
          <w:sz w:val="12"/>
        </w:rPr>
      </w:pPr>
      <w:r>
        <w:rPr/>
        <w:pict>
          <v:line style="position:absolute;mso-position-horizontal-relative:page;mso-position-vertical-relative:paragraph;z-index:1072;mso-wrap-distance-left:0;mso-wrap-distance-right:0" from="89.150002pt,10.748223pt" to="530.150008pt,10.798223pt" stroked="true" strokeweight="1.5pt" strokecolor="#000000">
            <v:stroke dashstyle="solid"/>
            <w10:wrap type="topAndBottom"/>
          </v:line>
        </w:pict>
      </w:r>
    </w:p>
    <w:p>
      <w:pPr>
        <w:pStyle w:val="Heading2"/>
        <w:spacing w:before="153"/>
        <w:ind w:left="152"/>
      </w:pPr>
      <w:bookmarkStart w:name="_bookmark9" w:id="10"/>
      <w:bookmarkEnd w:id="10"/>
      <w:r>
        <w:rPr/>
      </w:r>
      <w:r>
        <w:rPr>
          <w:w w:val="105"/>
        </w:rPr>
        <w:t>四,我</w:t>
      </w:r>
      <w:r>
        <w:rPr>
          <w:spacing w:val="-3"/>
          <w:w w:val="105"/>
        </w:rPr>
        <w:t>们</w:t>
      </w:r>
      <w:r>
        <w:rPr>
          <w:w w:val="105"/>
        </w:rPr>
        <w:t>fi被</w:t>
      </w:r>
      <w:r>
        <w:rPr>
          <w:spacing w:val="-3"/>
          <w:w w:val="105"/>
        </w:rPr>
        <w:t>保险</w:t>
      </w:r>
      <w:r>
        <w:rPr>
          <w:spacing w:val="-106"/>
          <w:w w:val="105"/>
        </w:rPr>
        <w:t> </w:t>
      </w:r>
      <w:r>
        <w:rPr>
          <w:spacing w:val="5"/>
          <w:w w:val="100"/>
          <w:position w:val="-2"/>
        </w:rPr>
        <w:drawing>
          <wp:inline distT="0" distB="0" distL="0" distR="0">
            <wp:extent cx="168275" cy="165100"/>
            <wp:effectExtent l="0" t="0" r="0" b="0"/>
            <wp:docPr id="7" name="image3.png" descr=""/>
            <wp:cNvGraphicFramePr>
              <a:graphicFrameLocks noChangeAspect="1"/>
            </wp:cNvGraphicFramePr>
            <a:graphic>
              <a:graphicData uri="http://schemas.openxmlformats.org/drawingml/2006/picture">
                <pic:pic>
                  <pic:nvPicPr>
                    <pic:cNvPr id="8" name="image3.png"/>
                    <pic:cNvPicPr/>
                  </pic:nvPicPr>
                  <pic:blipFill>
                    <a:blip r:embed="rId8" cstate="print"/>
                    <a:stretch>
                      <a:fillRect/>
                    </a:stretch>
                  </pic:blipFill>
                  <pic:spPr>
                    <a:xfrm>
                      <a:off x="0" y="0"/>
                      <a:ext cx="168275" cy="165100"/>
                    </a:xfrm>
                    <a:prstGeom prst="rect">
                      <a:avLst/>
                    </a:prstGeom>
                  </pic:spPr>
                </pic:pic>
              </a:graphicData>
            </a:graphic>
          </wp:inline>
        </w:drawing>
      </w:r>
      <w:r>
        <w:rPr>
          <w:spacing w:val="5"/>
          <w:w w:val="100"/>
          <w:position w:val="-2"/>
        </w:rPr>
      </w:r>
      <w:r>
        <w:rPr/>
        <w:t>供</w:t>
      </w:r>
      <w:r>
        <w:rPr>
          <w:spacing w:val="-3"/>
        </w:rPr>
        <w:t>的</w:t>
      </w:r>
      <w:r>
        <w:rPr/>
        <w:t>保险</w:t>
      </w:r>
      <w:r>
        <w:rPr>
          <w:spacing w:val="-3"/>
        </w:rPr>
        <w:t>保</w:t>
      </w:r>
      <w:r>
        <w:rPr/>
        <w:t>障</w:t>
      </w:r>
    </w:p>
    <w:p>
      <w:pPr>
        <w:pStyle w:val="Heading3"/>
        <w:spacing w:line="399" w:lineRule="exact" w:before="119"/>
        <w:ind w:left="622"/>
      </w:pPr>
      <w:bookmarkStart w:name="_bookmark10" w:id="11"/>
      <w:bookmarkEnd w:id="11"/>
      <w:r>
        <w:rPr>
          <w:b w:val="0"/>
        </w:rPr>
      </w:r>
      <w:r>
        <w:rPr/>
        <w:t>第七条 保险金额</w:t>
      </w:r>
    </w:p>
    <w:p>
      <w:pPr>
        <w:pStyle w:val="BodyText"/>
        <w:spacing w:line="237" w:lineRule="auto"/>
        <w:ind w:left="152" w:right="572" w:firstLine="479"/>
      </w:pPr>
      <w:r>
        <w:rPr/>
        <w:t>保险金额是我公司承担给付保险金责任的最高限额。我公司将按照本合同关于保险责任的约定，确定保险金的实际给付金额。</w:t>
      </w:r>
    </w:p>
    <w:p>
      <w:pPr>
        <w:pStyle w:val="Heading3"/>
        <w:spacing w:line="341" w:lineRule="exact" w:before="12"/>
        <w:ind w:left="622"/>
      </w:pPr>
      <w:bookmarkStart w:name="_bookmark11" w:id="12"/>
      <w:bookmarkEnd w:id="12"/>
      <w:r>
        <w:rPr>
          <w:b w:val="0"/>
        </w:rPr>
      </w:r>
      <w:r>
        <w:rPr/>
        <w:t>第八条 基本保险金额</w:t>
      </w:r>
    </w:p>
    <w:p>
      <w:pPr>
        <w:spacing w:after="0" w:line="341" w:lineRule="exact"/>
        <w:sectPr>
          <w:footerReference w:type="default" r:id="rId7"/>
          <w:pgSz w:w="11910" w:h="16840"/>
          <w:pgMar w:footer="977" w:header="0" w:top="1480" w:bottom="1160" w:left="1600" w:right="1180"/>
          <w:pgNumType w:start="1"/>
        </w:sectPr>
      </w:pPr>
    </w:p>
    <w:p>
      <w:pPr>
        <w:pStyle w:val="BodyText"/>
        <w:spacing w:line="237" w:lineRule="auto" w:before="5"/>
        <w:ind w:left="112" w:right="231" w:firstLine="479"/>
      </w:pPr>
      <w:r>
        <w:rPr/>
        <w:t>基本保险金额由您在投保时选择并提出，并经我公司承保时最终确定。基本保险金额在保险单中载明。</w:t>
      </w:r>
    </w:p>
    <w:p>
      <w:pPr>
        <w:spacing w:line="194" w:lineRule="auto" w:before="57"/>
        <w:ind w:left="582" w:right="1672" w:firstLine="9"/>
        <w:jc w:val="left"/>
        <w:rPr>
          <w:rFonts w:ascii="微软雅黑" w:eastAsia="微软雅黑" w:hint="eastAsia"/>
          <w:b/>
          <w:sz w:val="24"/>
        </w:rPr>
      </w:pPr>
      <w:r>
        <w:rPr>
          <w:sz w:val="24"/>
        </w:rPr>
        <w:t>若基本保险金额发生变更，则以变更后的基本保险金额为准。</w:t>
      </w:r>
      <w:bookmarkStart w:name="_bookmark12" w:id="13"/>
      <w:bookmarkEnd w:id="13"/>
      <w:r>
        <w:rPr>
          <w:sz w:val="24"/>
        </w:rPr>
      </w:r>
      <w:r>
        <w:rPr>
          <w:rFonts w:ascii="微软雅黑" w:eastAsia="微软雅黑" w:hint="eastAsia"/>
          <w:b/>
          <w:sz w:val="24"/>
        </w:rPr>
        <w:t>第九条 未成年人身故保险金的限制</w:t>
      </w:r>
    </w:p>
    <w:p>
      <w:pPr>
        <w:pStyle w:val="BodyText"/>
        <w:spacing w:line="282" w:lineRule="exact"/>
      </w:pPr>
      <w:r>
        <w:rPr>
          <w:spacing w:val="-5"/>
        </w:rPr>
        <w:t>父母为未成年子女投保的人身保险及十周岁以上未成年人的监护人ⅳ非父母ⅴ</w:t>
      </w:r>
    </w:p>
    <w:p>
      <w:pPr>
        <w:pStyle w:val="BodyText"/>
        <w:spacing w:line="237" w:lineRule="auto" w:before="3"/>
        <w:ind w:left="112" w:right="231"/>
      </w:pPr>
      <w:r>
        <w:rPr/>
        <w:t>为该未成年人投保的人身保险，因被保险人身故给付的保险金总和不得超过国务院保险监督管理机构规定的限额ↆ身故给付保险金的约定也不得超过前述限额</w:t>
      </w:r>
    </w:p>
    <w:p>
      <w:pPr>
        <w:pStyle w:val="Heading3"/>
        <w:ind w:left="582"/>
      </w:pPr>
      <w:bookmarkStart w:name="_bookmark13" w:id="14"/>
      <w:bookmarkEnd w:id="14"/>
      <w:r>
        <w:rPr>
          <w:b w:val="0"/>
        </w:rPr>
      </w:r>
      <w:r>
        <w:rPr/>
        <w:t>第十条 保险责任</w:t>
      </w:r>
    </w:p>
    <w:p>
      <w:pPr>
        <w:pStyle w:val="BodyText"/>
        <w:spacing w:line="259" w:lineRule="exact"/>
      </w:pPr>
      <w:r>
        <w:rPr/>
        <w:t>在本合同保险责任期间内，我公司承担下列保险责任ↅ</w:t>
      </w:r>
    </w:p>
    <w:p>
      <w:pPr>
        <w:pStyle w:val="Heading3"/>
        <w:spacing w:line="318" w:lineRule="exact"/>
        <w:ind w:left="594"/>
        <w:rPr>
          <w:rFonts w:ascii="Microsoft JhengHei" w:eastAsia="Microsoft JhengHei" w:hint="eastAsia"/>
        </w:rPr>
      </w:pPr>
      <w:r>
        <w:rPr>
          <w:rFonts w:ascii="Microsoft JhengHei" w:eastAsia="Microsoft JhengHei" w:hint="eastAsia"/>
          <w:w w:val="105"/>
        </w:rPr>
        <w:t>C一P重大疾病保险金</w:t>
      </w:r>
    </w:p>
    <w:p>
      <w:pPr>
        <w:spacing w:line="172" w:lineRule="auto" w:before="61"/>
        <w:ind w:left="112" w:right="230" w:firstLine="479"/>
        <w:jc w:val="both"/>
        <w:rPr>
          <w:sz w:val="24"/>
        </w:rPr>
      </w:pPr>
      <w:r>
        <w:rPr>
          <w:sz w:val="24"/>
        </w:rPr>
        <w:t>被保险人因</w:t>
      </w:r>
      <w:r>
        <w:rPr>
          <w:rFonts w:ascii="Microsoft JhengHei" w:hAnsi="Microsoft JhengHei" w:eastAsia="Microsoft JhengHei" w:hint="eastAsia"/>
          <w:b/>
          <w:spacing w:val="-8"/>
          <w:sz w:val="25"/>
        </w:rPr>
        <w:t>意外伤害</w:t>
      </w:r>
      <w:r>
        <w:rPr>
          <w:spacing w:val="-20"/>
          <w:sz w:val="24"/>
        </w:rPr>
        <w:t>ⅳ见释义 </w:t>
      </w:r>
      <w:r>
        <w:rPr>
          <w:rFonts w:ascii="黑体" w:hAnsi="黑体" w:eastAsia="黑体" w:hint="eastAsia"/>
          <w:spacing w:val="-16"/>
          <w:sz w:val="24"/>
        </w:rPr>
        <w:t>2</w:t>
      </w:r>
      <w:r>
        <w:rPr>
          <w:spacing w:val="-4"/>
          <w:sz w:val="24"/>
        </w:rPr>
        <w:t>ⅴ或自保险责任开始日(或自最近的合同效力</w:t>
      </w:r>
      <w:r>
        <w:rPr>
          <w:spacing w:val="-13"/>
          <w:sz w:val="24"/>
        </w:rPr>
        <w:t>恢复日)起 </w:t>
      </w:r>
      <w:r>
        <w:rPr>
          <w:sz w:val="24"/>
        </w:rPr>
        <w:t>180</w:t>
      </w:r>
      <w:r>
        <w:rPr>
          <w:rFonts w:ascii="Times New Roman" w:hAnsi="Times New Roman" w:eastAsia="Times New Roman"/>
          <w:sz w:val="24"/>
        </w:rPr>
        <w:t> </w:t>
      </w:r>
      <w:r>
        <w:rPr>
          <w:sz w:val="24"/>
        </w:rPr>
        <w:t>天后因疾病，经</w:t>
      </w:r>
      <w:r>
        <w:rPr>
          <w:rFonts w:ascii="Microsoft JhengHei" w:hAnsi="Microsoft JhengHei" w:eastAsia="Microsoft JhengHei" w:hint="eastAsia"/>
          <w:b/>
          <w:spacing w:val="1"/>
          <w:w w:val="96"/>
          <w:sz w:val="25"/>
        </w:rPr>
        <w:t>我</w:t>
      </w:r>
      <w:r>
        <w:rPr>
          <w:rFonts w:ascii="Microsoft JhengHei" w:hAnsi="Microsoft JhengHei" w:eastAsia="Microsoft JhengHei" w:hint="eastAsia"/>
          <w:b/>
          <w:w w:val="192"/>
          <w:sz w:val="25"/>
        </w:rPr>
        <w:t>z</w:t>
      </w:r>
      <w:r>
        <w:rPr>
          <w:rFonts w:ascii="Microsoft JhengHei" w:hAnsi="Microsoft JhengHei" w:eastAsia="Microsoft JhengHei" w:hint="eastAsia"/>
          <w:b/>
          <w:spacing w:val="1"/>
          <w:w w:val="96"/>
          <w:sz w:val="25"/>
        </w:rPr>
        <w:t>¼</w:t>
      </w:r>
      <w:r>
        <w:rPr>
          <w:rFonts w:ascii="Microsoft JhengHei" w:hAnsi="Microsoft JhengHei" w:eastAsia="Microsoft JhengHei" w:hint="eastAsia"/>
          <w:b/>
          <w:w w:val="96"/>
          <w:sz w:val="25"/>
        </w:rPr>
        <w:t>认可的医院</w:t>
      </w:r>
      <w:r>
        <w:rPr>
          <w:w w:val="114"/>
          <w:sz w:val="24"/>
        </w:rPr>
        <w:t>C见释义</w:t>
      </w:r>
      <w:r>
        <w:rPr>
          <w:spacing w:val="-60"/>
          <w:sz w:val="24"/>
        </w:rPr>
        <w:t> </w:t>
      </w:r>
      <w:r>
        <w:rPr>
          <w:rFonts w:ascii="黑体" w:hAnsi="黑体" w:eastAsia="黑体" w:hint="eastAsia"/>
          <w:sz w:val="24"/>
        </w:rPr>
        <w:t>3</w:t>
      </w:r>
      <w:r>
        <w:rPr>
          <w:spacing w:val="-120"/>
          <w:w w:val="133"/>
          <w:sz w:val="24"/>
        </w:rPr>
        <w:t>P</w:t>
      </w:r>
      <w:r>
        <w:rPr>
          <w:spacing w:val="-3"/>
          <w:w w:val="133"/>
          <w:sz w:val="24"/>
        </w:rPr>
        <w:t>，</w:t>
      </w:r>
      <w:r>
        <w:rPr>
          <w:rFonts w:ascii="微软雅黑" w:hAnsi="微软雅黑" w:eastAsia="微软雅黑" w:hint="eastAsia"/>
          <w:b/>
          <w:sz w:val="24"/>
        </w:rPr>
        <w:t>由</w:t>
      </w:r>
      <w:r>
        <w:rPr>
          <w:rFonts w:ascii="Microsoft JhengHei" w:hAnsi="Microsoft JhengHei" w:eastAsia="Microsoft JhengHei" w:hint="eastAsia"/>
          <w:b/>
          <w:w w:val="96"/>
          <w:sz w:val="25"/>
        </w:rPr>
        <w:t>专科医</w:t>
      </w:r>
      <w:r>
        <w:rPr>
          <w:rFonts w:ascii="Microsoft JhengHei" w:hAnsi="Microsoft JhengHei" w:eastAsia="Microsoft JhengHei" w:hint="eastAsia"/>
          <w:b/>
          <w:w w:val="79"/>
          <w:sz w:val="25"/>
        </w:rPr>
        <w:t>T</w:t>
      </w:r>
      <w:r>
        <w:rPr>
          <w:rFonts w:ascii="Microsoft JhengHei" w:hAnsi="Microsoft JhengHei" w:eastAsia="Microsoft JhengHei" w:hint="eastAsia"/>
          <w:b/>
          <w:spacing w:val="2"/>
          <w:w w:val="79"/>
          <w:sz w:val="25"/>
        </w:rPr>
        <w:t>h</w:t>
      </w:r>
      <w:r>
        <w:rPr>
          <w:w w:val="133"/>
          <w:sz w:val="24"/>
        </w:rPr>
        <w:t>C见</w:t>
      </w:r>
      <w:r>
        <w:rPr>
          <w:spacing w:val="-21"/>
          <w:sz w:val="24"/>
        </w:rPr>
        <w:t>释义 </w:t>
      </w:r>
      <w:r>
        <w:rPr>
          <w:rFonts w:ascii="黑体" w:hAnsi="黑体" w:eastAsia="黑体" w:hint="eastAsia"/>
          <w:sz w:val="24"/>
        </w:rPr>
        <w:t>4</w:t>
      </w:r>
      <w:r>
        <w:rPr>
          <w:w w:val="200"/>
          <w:sz w:val="24"/>
        </w:rPr>
        <w:t>P</w:t>
      </w:r>
      <w:r>
        <w:rPr>
          <w:sz w:val="24"/>
        </w:rPr>
        <w:t>诊断初患本合同所约定的“</w:t>
      </w:r>
      <w:r>
        <w:rPr>
          <w:rFonts w:ascii="Microsoft JhengHei" w:hAnsi="Microsoft JhengHei" w:eastAsia="Microsoft JhengHei" w:hint="eastAsia"/>
          <w:b/>
          <w:w w:val="96"/>
          <w:sz w:val="25"/>
        </w:rPr>
        <w:t>重大疾病</w:t>
      </w:r>
      <w:r>
        <w:rPr>
          <w:rFonts w:ascii="微软雅黑" w:hAnsi="微软雅黑" w:eastAsia="微软雅黑" w:hint="eastAsia"/>
          <w:b/>
          <w:spacing w:val="-7"/>
          <w:sz w:val="24"/>
        </w:rPr>
        <w:t>”  </w:t>
      </w:r>
      <w:r>
        <w:rPr>
          <w:spacing w:val="-12"/>
          <w:sz w:val="24"/>
        </w:rPr>
        <w:t>ⅳ见释义 </w:t>
      </w:r>
      <w:r>
        <w:rPr>
          <w:rFonts w:ascii="黑体" w:hAnsi="黑体" w:eastAsia="黑体" w:hint="eastAsia"/>
          <w:sz w:val="24"/>
        </w:rPr>
        <w:t>5</w:t>
      </w:r>
      <w:r>
        <w:rPr>
          <w:spacing w:val="-15"/>
          <w:sz w:val="24"/>
        </w:rPr>
        <w:t>ⅴ，我公司按照基本</w:t>
      </w:r>
    </w:p>
    <w:p>
      <w:pPr>
        <w:pStyle w:val="BodyText"/>
        <w:spacing w:line="282" w:lineRule="exact" w:after="39"/>
        <w:ind w:left="112"/>
      </w:pPr>
      <w:r>
        <w:rPr>
          <w:spacing w:val="-8"/>
        </w:rPr>
        <w:t>保险金额给付“重大疾病保险金”，本合同效力终止。</w:t>
      </w:r>
    </w:p>
    <w:tbl>
      <w:tblPr>
        <w:tblW w:w="0" w:type="auto"/>
        <w:jc w:val="left"/>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19"/>
        <w:gridCol w:w="6095"/>
      </w:tblGrid>
      <w:tr>
        <w:trPr>
          <w:trHeight w:val="273" w:hRule="atLeast"/>
        </w:trPr>
        <w:tc>
          <w:tcPr>
            <w:tcW w:w="2019" w:type="dxa"/>
            <w:vMerge w:val="restart"/>
          </w:tcPr>
          <w:p>
            <w:pPr>
              <w:pStyle w:val="TableParagraph"/>
              <w:spacing w:line="240" w:lineRule="auto"/>
              <w:ind w:left="0"/>
              <w:jc w:val="left"/>
              <w:rPr>
                <w:sz w:val="24"/>
              </w:rPr>
            </w:pPr>
          </w:p>
          <w:p>
            <w:pPr>
              <w:pStyle w:val="TableParagraph"/>
              <w:spacing w:line="240" w:lineRule="auto"/>
              <w:ind w:left="0"/>
              <w:jc w:val="left"/>
              <w:rPr>
                <w:sz w:val="24"/>
              </w:rPr>
            </w:pPr>
          </w:p>
          <w:p>
            <w:pPr>
              <w:pStyle w:val="TableParagraph"/>
              <w:spacing w:line="240" w:lineRule="auto"/>
              <w:ind w:left="0"/>
              <w:jc w:val="left"/>
              <w:rPr>
                <w:sz w:val="24"/>
              </w:rPr>
            </w:pPr>
          </w:p>
          <w:p>
            <w:pPr>
              <w:pStyle w:val="TableParagraph"/>
              <w:spacing w:line="240" w:lineRule="auto"/>
              <w:ind w:left="0"/>
              <w:jc w:val="left"/>
              <w:rPr>
                <w:sz w:val="24"/>
              </w:rPr>
            </w:pPr>
          </w:p>
          <w:p>
            <w:pPr>
              <w:pStyle w:val="TableParagraph"/>
              <w:spacing w:line="240" w:lineRule="auto"/>
              <w:ind w:left="0"/>
              <w:jc w:val="left"/>
              <w:rPr>
                <w:sz w:val="24"/>
              </w:rPr>
            </w:pPr>
          </w:p>
          <w:p>
            <w:pPr>
              <w:pStyle w:val="TableParagraph"/>
              <w:spacing w:line="240" w:lineRule="auto"/>
              <w:ind w:left="0"/>
              <w:jc w:val="left"/>
              <w:rPr>
                <w:sz w:val="24"/>
              </w:rPr>
            </w:pPr>
          </w:p>
          <w:p>
            <w:pPr>
              <w:pStyle w:val="TableParagraph"/>
              <w:spacing w:line="240" w:lineRule="auto"/>
              <w:ind w:left="0"/>
              <w:jc w:val="left"/>
              <w:rPr>
                <w:sz w:val="24"/>
              </w:rPr>
            </w:pPr>
          </w:p>
          <w:p>
            <w:pPr>
              <w:pStyle w:val="TableParagraph"/>
              <w:spacing w:line="240" w:lineRule="auto"/>
              <w:ind w:left="0"/>
              <w:jc w:val="left"/>
              <w:rPr>
                <w:sz w:val="24"/>
              </w:rPr>
            </w:pPr>
          </w:p>
          <w:p>
            <w:pPr>
              <w:pStyle w:val="TableParagraph"/>
              <w:spacing w:line="240" w:lineRule="auto"/>
              <w:ind w:left="0"/>
              <w:jc w:val="left"/>
              <w:rPr>
                <w:sz w:val="24"/>
              </w:rPr>
            </w:pPr>
          </w:p>
          <w:p>
            <w:pPr>
              <w:pStyle w:val="TableParagraph"/>
              <w:spacing w:line="240" w:lineRule="auto"/>
              <w:ind w:left="0"/>
              <w:jc w:val="left"/>
              <w:rPr>
                <w:sz w:val="24"/>
              </w:rPr>
            </w:pPr>
          </w:p>
          <w:p>
            <w:pPr>
              <w:pStyle w:val="TableParagraph"/>
              <w:spacing w:line="240" w:lineRule="auto" w:before="196"/>
              <w:ind w:left="18"/>
              <w:jc w:val="left"/>
              <w:rPr>
                <w:sz w:val="24"/>
              </w:rPr>
            </w:pPr>
            <w:r>
              <w:rPr>
                <w:sz w:val="24"/>
              </w:rPr>
              <w:t>标准病种ⅳ25</w:t>
            </w:r>
            <w:r>
              <w:rPr>
                <w:spacing w:val="-21"/>
                <w:sz w:val="24"/>
              </w:rPr>
              <w:t> 种ⅴ</w:t>
            </w:r>
          </w:p>
        </w:tc>
        <w:tc>
          <w:tcPr>
            <w:tcW w:w="6095" w:type="dxa"/>
          </w:tcPr>
          <w:p>
            <w:pPr>
              <w:pStyle w:val="TableParagraph"/>
              <w:ind w:right="2059"/>
              <w:rPr>
                <w:sz w:val="24"/>
              </w:rPr>
            </w:pPr>
            <w:r>
              <w:rPr>
                <w:sz w:val="24"/>
              </w:rPr>
              <w:t>恶性肿瘤</w:t>
            </w:r>
          </w:p>
        </w:tc>
      </w:tr>
      <w:tr>
        <w:trPr>
          <w:trHeight w:val="275" w:hRule="atLeast"/>
        </w:trPr>
        <w:tc>
          <w:tcPr>
            <w:tcW w:w="2019" w:type="dxa"/>
            <w:vMerge/>
            <w:tcBorders>
              <w:top w:val="nil"/>
            </w:tcBorders>
          </w:tcPr>
          <w:p>
            <w:pPr>
              <w:rPr>
                <w:sz w:val="2"/>
                <w:szCs w:val="2"/>
              </w:rPr>
            </w:pPr>
          </w:p>
        </w:tc>
        <w:tc>
          <w:tcPr>
            <w:tcW w:w="6095" w:type="dxa"/>
          </w:tcPr>
          <w:p>
            <w:pPr>
              <w:pStyle w:val="TableParagraph"/>
              <w:spacing w:line="245" w:lineRule="exact"/>
              <w:ind w:right="2059"/>
              <w:rPr>
                <w:sz w:val="24"/>
              </w:rPr>
            </w:pPr>
            <w:r>
              <w:rPr>
                <w:sz w:val="24"/>
              </w:rPr>
              <w:t>急性心肌梗塞</w:t>
            </w:r>
          </w:p>
        </w:tc>
      </w:tr>
      <w:tr>
        <w:trPr>
          <w:trHeight w:val="273" w:hRule="atLeast"/>
        </w:trPr>
        <w:tc>
          <w:tcPr>
            <w:tcW w:w="2019" w:type="dxa"/>
            <w:vMerge/>
            <w:tcBorders>
              <w:top w:val="nil"/>
            </w:tcBorders>
          </w:tcPr>
          <w:p>
            <w:pPr>
              <w:rPr>
                <w:sz w:val="2"/>
                <w:szCs w:val="2"/>
              </w:rPr>
            </w:pPr>
          </w:p>
        </w:tc>
        <w:tc>
          <w:tcPr>
            <w:tcW w:w="6095" w:type="dxa"/>
          </w:tcPr>
          <w:p>
            <w:pPr>
              <w:pStyle w:val="TableParagraph"/>
              <w:ind w:right="2059"/>
              <w:rPr>
                <w:sz w:val="24"/>
              </w:rPr>
            </w:pPr>
            <w:r>
              <w:rPr>
                <w:sz w:val="24"/>
              </w:rPr>
              <w:t>脑中风后遗症</w:t>
            </w:r>
          </w:p>
        </w:tc>
      </w:tr>
      <w:tr>
        <w:trPr>
          <w:trHeight w:val="273" w:hRule="atLeast"/>
        </w:trPr>
        <w:tc>
          <w:tcPr>
            <w:tcW w:w="2019" w:type="dxa"/>
            <w:vMerge/>
            <w:tcBorders>
              <w:top w:val="nil"/>
            </w:tcBorders>
          </w:tcPr>
          <w:p>
            <w:pPr>
              <w:rPr>
                <w:sz w:val="2"/>
                <w:szCs w:val="2"/>
              </w:rPr>
            </w:pPr>
          </w:p>
        </w:tc>
        <w:tc>
          <w:tcPr>
            <w:tcW w:w="6095" w:type="dxa"/>
          </w:tcPr>
          <w:p>
            <w:pPr>
              <w:pStyle w:val="TableParagraph"/>
              <w:ind w:left="1245"/>
              <w:jc w:val="left"/>
              <w:rPr>
                <w:sz w:val="24"/>
              </w:rPr>
            </w:pPr>
            <w:r>
              <w:rPr>
                <w:sz w:val="24"/>
              </w:rPr>
              <w:t>重大器官移植术或造血干细胞移植术</w:t>
            </w:r>
          </w:p>
        </w:tc>
      </w:tr>
      <w:tr>
        <w:trPr>
          <w:trHeight w:val="275" w:hRule="atLeast"/>
        </w:trPr>
        <w:tc>
          <w:tcPr>
            <w:tcW w:w="2019" w:type="dxa"/>
            <w:vMerge/>
            <w:tcBorders>
              <w:top w:val="nil"/>
            </w:tcBorders>
          </w:tcPr>
          <w:p>
            <w:pPr>
              <w:rPr>
                <w:sz w:val="2"/>
                <w:szCs w:val="2"/>
              </w:rPr>
            </w:pPr>
          </w:p>
        </w:tc>
        <w:tc>
          <w:tcPr>
            <w:tcW w:w="6095" w:type="dxa"/>
          </w:tcPr>
          <w:p>
            <w:pPr>
              <w:pStyle w:val="TableParagraph"/>
              <w:spacing w:line="245" w:lineRule="exact"/>
              <w:ind w:left="765"/>
              <w:jc w:val="left"/>
              <w:rPr>
                <w:sz w:val="24"/>
              </w:rPr>
            </w:pPr>
            <w:r>
              <w:rPr>
                <w:sz w:val="24"/>
              </w:rPr>
              <w:t>冠状动脉搭桥术ⅳ或称冠状动脉旁路移植术ⅴ</w:t>
            </w:r>
          </w:p>
        </w:tc>
      </w:tr>
      <w:tr>
        <w:trPr>
          <w:trHeight w:val="273" w:hRule="atLeast"/>
        </w:trPr>
        <w:tc>
          <w:tcPr>
            <w:tcW w:w="2019" w:type="dxa"/>
            <w:vMerge/>
            <w:tcBorders>
              <w:top w:val="nil"/>
            </w:tcBorders>
          </w:tcPr>
          <w:p>
            <w:pPr>
              <w:rPr>
                <w:sz w:val="2"/>
                <w:szCs w:val="2"/>
              </w:rPr>
            </w:pPr>
          </w:p>
        </w:tc>
        <w:tc>
          <w:tcPr>
            <w:tcW w:w="6095" w:type="dxa"/>
          </w:tcPr>
          <w:p>
            <w:pPr>
              <w:pStyle w:val="TableParagraph"/>
              <w:ind w:left="645"/>
              <w:jc w:val="left"/>
              <w:rPr>
                <w:sz w:val="24"/>
              </w:rPr>
            </w:pPr>
            <w:r>
              <w:rPr>
                <w:sz w:val="24"/>
              </w:rPr>
              <w:t>终末期肾病ⅳ或称慢性肾功能衰竭尿毒症期ⅴ</w:t>
            </w:r>
          </w:p>
        </w:tc>
      </w:tr>
      <w:tr>
        <w:trPr>
          <w:trHeight w:val="273" w:hRule="atLeast"/>
        </w:trPr>
        <w:tc>
          <w:tcPr>
            <w:tcW w:w="2019" w:type="dxa"/>
            <w:vMerge/>
            <w:tcBorders>
              <w:top w:val="nil"/>
            </w:tcBorders>
          </w:tcPr>
          <w:p>
            <w:pPr>
              <w:rPr>
                <w:sz w:val="2"/>
                <w:szCs w:val="2"/>
              </w:rPr>
            </w:pPr>
          </w:p>
        </w:tc>
        <w:tc>
          <w:tcPr>
            <w:tcW w:w="6095" w:type="dxa"/>
          </w:tcPr>
          <w:p>
            <w:pPr>
              <w:pStyle w:val="TableParagraph"/>
              <w:ind w:right="2059"/>
              <w:rPr>
                <w:sz w:val="24"/>
              </w:rPr>
            </w:pPr>
            <w:r>
              <w:rPr>
                <w:sz w:val="24"/>
              </w:rPr>
              <w:t>多个肢体缺失</w:t>
            </w:r>
          </w:p>
        </w:tc>
      </w:tr>
      <w:tr>
        <w:trPr>
          <w:trHeight w:val="275" w:hRule="atLeast"/>
        </w:trPr>
        <w:tc>
          <w:tcPr>
            <w:tcW w:w="2019" w:type="dxa"/>
            <w:vMerge/>
            <w:tcBorders>
              <w:top w:val="nil"/>
            </w:tcBorders>
          </w:tcPr>
          <w:p>
            <w:pPr>
              <w:rPr>
                <w:sz w:val="2"/>
                <w:szCs w:val="2"/>
              </w:rPr>
            </w:pPr>
          </w:p>
        </w:tc>
        <w:tc>
          <w:tcPr>
            <w:tcW w:w="6095" w:type="dxa"/>
          </w:tcPr>
          <w:p>
            <w:pPr>
              <w:pStyle w:val="TableParagraph"/>
              <w:spacing w:line="245" w:lineRule="exact"/>
              <w:ind w:left="1965"/>
              <w:jc w:val="left"/>
              <w:rPr>
                <w:sz w:val="24"/>
              </w:rPr>
            </w:pPr>
            <w:r>
              <w:rPr>
                <w:sz w:val="24"/>
              </w:rPr>
              <w:t>急性或亚急性重症肝炎</w:t>
            </w:r>
          </w:p>
        </w:tc>
      </w:tr>
      <w:tr>
        <w:trPr>
          <w:trHeight w:val="273" w:hRule="atLeast"/>
        </w:trPr>
        <w:tc>
          <w:tcPr>
            <w:tcW w:w="2019" w:type="dxa"/>
            <w:vMerge/>
            <w:tcBorders>
              <w:top w:val="nil"/>
            </w:tcBorders>
          </w:tcPr>
          <w:p>
            <w:pPr>
              <w:rPr>
                <w:sz w:val="2"/>
                <w:szCs w:val="2"/>
              </w:rPr>
            </w:pPr>
          </w:p>
        </w:tc>
        <w:tc>
          <w:tcPr>
            <w:tcW w:w="6095" w:type="dxa"/>
          </w:tcPr>
          <w:p>
            <w:pPr>
              <w:pStyle w:val="TableParagraph"/>
              <w:spacing w:line="243" w:lineRule="exact"/>
              <w:ind w:right="2059"/>
              <w:rPr>
                <w:sz w:val="24"/>
              </w:rPr>
            </w:pPr>
            <w:r>
              <w:rPr>
                <w:sz w:val="24"/>
              </w:rPr>
              <w:t>良性脑肿瘤</w:t>
            </w:r>
          </w:p>
        </w:tc>
      </w:tr>
      <w:tr>
        <w:trPr>
          <w:trHeight w:val="273" w:hRule="atLeast"/>
        </w:trPr>
        <w:tc>
          <w:tcPr>
            <w:tcW w:w="2019" w:type="dxa"/>
            <w:vMerge/>
            <w:tcBorders>
              <w:top w:val="nil"/>
            </w:tcBorders>
          </w:tcPr>
          <w:p>
            <w:pPr>
              <w:rPr>
                <w:sz w:val="2"/>
                <w:szCs w:val="2"/>
              </w:rPr>
            </w:pPr>
          </w:p>
        </w:tc>
        <w:tc>
          <w:tcPr>
            <w:tcW w:w="6095" w:type="dxa"/>
          </w:tcPr>
          <w:p>
            <w:pPr>
              <w:pStyle w:val="TableParagraph"/>
              <w:ind w:left="1845"/>
              <w:jc w:val="left"/>
              <w:rPr>
                <w:sz w:val="24"/>
              </w:rPr>
            </w:pPr>
            <w:r>
              <w:rPr>
                <w:sz w:val="24"/>
              </w:rPr>
              <w:t>慢性肝功能衰竭失代偿期</w:t>
            </w:r>
          </w:p>
        </w:tc>
      </w:tr>
      <w:tr>
        <w:trPr>
          <w:trHeight w:val="275" w:hRule="atLeast"/>
        </w:trPr>
        <w:tc>
          <w:tcPr>
            <w:tcW w:w="2019" w:type="dxa"/>
            <w:vMerge/>
            <w:tcBorders>
              <w:top w:val="nil"/>
            </w:tcBorders>
          </w:tcPr>
          <w:p>
            <w:pPr>
              <w:rPr>
                <w:sz w:val="2"/>
                <w:szCs w:val="2"/>
              </w:rPr>
            </w:pPr>
          </w:p>
        </w:tc>
        <w:tc>
          <w:tcPr>
            <w:tcW w:w="6095" w:type="dxa"/>
          </w:tcPr>
          <w:p>
            <w:pPr>
              <w:pStyle w:val="TableParagraph"/>
              <w:spacing w:line="245" w:lineRule="exact"/>
              <w:ind w:left="1725"/>
              <w:jc w:val="left"/>
              <w:rPr>
                <w:sz w:val="24"/>
              </w:rPr>
            </w:pPr>
            <w:r>
              <w:rPr>
                <w:sz w:val="24"/>
              </w:rPr>
              <w:t>脑炎后遗症或脑膜炎后遗症</w:t>
            </w:r>
          </w:p>
        </w:tc>
      </w:tr>
      <w:tr>
        <w:trPr>
          <w:trHeight w:val="273" w:hRule="atLeast"/>
        </w:trPr>
        <w:tc>
          <w:tcPr>
            <w:tcW w:w="2019" w:type="dxa"/>
            <w:vMerge/>
            <w:tcBorders>
              <w:top w:val="nil"/>
            </w:tcBorders>
          </w:tcPr>
          <w:p>
            <w:pPr>
              <w:rPr>
                <w:sz w:val="2"/>
                <w:szCs w:val="2"/>
              </w:rPr>
            </w:pPr>
          </w:p>
        </w:tc>
        <w:tc>
          <w:tcPr>
            <w:tcW w:w="6095" w:type="dxa"/>
          </w:tcPr>
          <w:p>
            <w:pPr>
              <w:pStyle w:val="TableParagraph"/>
              <w:ind w:right="2059"/>
              <w:rPr>
                <w:sz w:val="24"/>
              </w:rPr>
            </w:pPr>
            <w:r>
              <w:rPr>
                <w:sz w:val="24"/>
              </w:rPr>
              <w:t>深度昏迷</w:t>
            </w:r>
          </w:p>
        </w:tc>
      </w:tr>
      <w:tr>
        <w:trPr>
          <w:trHeight w:val="273" w:hRule="atLeast"/>
        </w:trPr>
        <w:tc>
          <w:tcPr>
            <w:tcW w:w="2019" w:type="dxa"/>
            <w:vMerge/>
            <w:tcBorders>
              <w:top w:val="nil"/>
            </w:tcBorders>
          </w:tcPr>
          <w:p>
            <w:pPr>
              <w:rPr>
                <w:sz w:val="2"/>
                <w:szCs w:val="2"/>
              </w:rPr>
            </w:pPr>
          </w:p>
        </w:tc>
        <w:tc>
          <w:tcPr>
            <w:tcW w:w="6095" w:type="dxa"/>
          </w:tcPr>
          <w:p>
            <w:pPr>
              <w:pStyle w:val="TableParagraph"/>
              <w:ind w:right="2059"/>
              <w:rPr>
                <w:sz w:val="24"/>
              </w:rPr>
            </w:pPr>
            <w:r>
              <w:rPr>
                <w:sz w:val="24"/>
              </w:rPr>
              <w:t>双耳失聪</w:t>
            </w:r>
          </w:p>
        </w:tc>
      </w:tr>
      <w:tr>
        <w:trPr>
          <w:trHeight w:val="275" w:hRule="atLeast"/>
        </w:trPr>
        <w:tc>
          <w:tcPr>
            <w:tcW w:w="2019" w:type="dxa"/>
            <w:vMerge/>
            <w:tcBorders>
              <w:top w:val="nil"/>
            </w:tcBorders>
          </w:tcPr>
          <w:p>
            <w:pPr>
              <w:rPr>
                <w:sz w:val="2"/>
                <w:szCs w:val="2"/>
              </w:rPr>
            </w:pPr>
          </w:p>
        </w:tc>
        <w:tc>
          <w:tcPr>
            <w:tcW w:w="6095" w:type="dxa"/>
          </w:tcPr>
          <w:p>
            <w:pPr>
              <w:pStyle w:val="TableParagraph"/>
              <w:spacing w:line="245" w:lineRule="exact"/>
              <w:ind w:right="2059"/>
              <w:rPr>
                <w:sz w:val="24"/>
              </w:rPr>
            </w:pPr>
            <w:r>
              <w:rPr>
                <w:sz w:val="24"/>
              </w:rPr>
              <w:t>双目失明</w:t>
            </w:r>
          </w:p>
        </w:tc>
      </w:tr>
      <w:tr>
        <w:trPr>
          <w:trHeight w:val="273" w:hRule="atLeast"/>
        </w:trPr>
        <w:tc>
          <w:tcPr>
            <w:tcW w:w="2019" w:type="dxa"/>
            <w:vMerge/>
            <w:tcBorders>
              <w:top w:val="nil"/>
            </w:tcBorders>
          </w:tcPr>
          <w:p>
            <w:pPr>
              <w:rPr>
                <w:sz w:val="2"/>
                <w:szCs w:val="2"/>
              </w:rPr>
            </w:pPr>
          </w:p>
        </w:tc>
        <w:tc>
          <w:tcPr>
            <w:tcW w:w="6095" w:type="dxa"/>
          </w:tcPr>
          <w:p>
            <w:pPr>
              <w:pStyle w:val="TableParagraph"/>
              <w:ind w:right="2059"/>
              <w:rPr>
                <w:sz w:val="24"/>
              </w:rPr>
            </w:pPr>
            <w:r>
              <w:rPr>
                <w:sz w:val="24"/>
              </w:rPr>
              <w:t>瘫痪</w:t>
            </w:r>
          </w:p>
        </w:tc>
      </w:tr>
      <w:tr>
        <w:trPr>
          <w:trHeight w:val="273" w:hRule="atLeast"/>
        </w:trPr>
        <w:tc>
          <w:tcPr>
            <w:tcW w:w="2019" w:type="dxa"/>
            <w:vMerge/>
            <w:tcBorders>
              <w:top w:val="nil"/>
            </w:tcBorders>
          </w:tcPr>
          <w:p>
            <w:pPr>
              <w:rPr>
                <w:sz w:val="2"/>
                <w:szCs w:val="2"/>
              </w:rPr>
            </w:pPr>
          </w:p>
        </w:tc>
        <w:tc>
          <w:tcPr>
            <w:tcW w:w="6095" w:type="dxa"/>
          </w:tcPr>
          <w:p>
            <w:pPr>
              <w:pStyle w:val="TableParagraph"/>
              <w:ind w:right="2059"/>
              <w:rPr>
                <w:sz w:val="24"/>
              </w:rPr>
            </w:pPr>
            <w:r>
              <w:rPr>
                <w:sz w:val="24"/>
              </w:rPr>
              <w:t>心脏瓣膜手术</w:t>
            </w:r>
          </w:p>
        </w:tc>
      </w:tr>
      <w:tr>
        <w:trPr>
          <w:trHeight w:val="275" w:hRule="atLeast"/>
        </w:trPr>
        <w:tc>
          <w:tcPr>
            <w:tcW w:w="2019" w:type="dxa"/>
            <w:vMerge/>
            <w:tcBorders>
              <w:top w:val="nil"/>
            </w:tcBorders>
          </w:tcPr>
          <w:p>
            <w:pPr>
              <w:rPr>
                <w:sz w:val="2"/>
                <w:szCs w:val="2"/>
              </w:rPr>
            </w:pPr>
          </w:p>
        </w:tc>
        <w:tc>
          <w:tcPr>
            <w:tcW w:w="6095" w:type="dxa"/>
          </w:tcPr>
          <w:p>
            <w:pPr>
              <w:pStyle w:val="TableParagraph"/>
              <w:spacing w:line="245" w:lineRule="exact"/>
              <w:ind w:left="2205"/>
              <w:jc w:val="left"/>
              <w:rPr>
                <w:sz w:val="24"/>
              </w:rPr>
            </w:pPr>
            <w:r>
              <w:rPr>
                <w:sz w:val="24"/>
              </w:rPr>
              <w:t>严重阿尔茨海默病</w:t>
            </w:r>
          </w:p>
        </w:tc>
      </w:tr>
      <w:tr>
        <w:trPr>
          <w:trHeight w:val="273" w:hRule="atLeast"/>
        </w:trPr>
        <w:tc>
          <w:tcPr>
            <w:tcW w:w="2019" w:type="dxa"/>
            <w:vMerge/>
            <w:tcBorders>
              <w:top w:val="nil"/>
            </w:tcBorders>
          </w:tcPr>
          <w:p>
            <w:pPr>
              <w:rPr>
                <w:sz w:val="2"/>
                <w:szCs w:val="2"/>
              </w:rPr>
            </w:pPr>
          </w:p>
        </w:tc>
        <w:tc>
          <w:tcPr>
            <w:tcW w:w="6095" w:type="dxa"/>
          </w:tcPr>
          <w:p>
            <w:pPr>
              <w:pStyle w:val="TableParagraph"/>
              <w:ind w:right="2059"/>
              <w:rPr>
                <w:sz w:val="24"/>
              </w:rPr>
            </w:pPr>
            <w:r>
              <w:rPr>
                <w:sz w:val="24"/>
              </w:rPr>
              <w:t>严重脑损伤</w:t>
            </w:r>
          </w:p>
        </w:tc>
      </w:tr>
      <w:tr>
        <w:trPr>
          <w:trHeight w:val="273" w:hRule="atLeast"/>
        </w:trPr>
        <w:tc>
          <w:tcPr>
            <w:tcW w:w="2019" w:type="dxa"/>
            <w:vMerge/>
            <w:tcBorders>
              <w:top w:val="nil"/>
            </w:tcBorders>
          </w:tcPr>
          <w:p>
            <w:pPr>
              <w:rPr>
                <w:sz w:val="2"/>
                <w:szCs w:val="2"/>
              </w:rPr>
            </w:pPr>
          </w:p>
        </w:tc>
        <w:tc>
          <w:tcPr>
            <w:tcW w:w="6095" w:type="dxa"/>
          </w:tcPr>
          <w:p>
            <w:pPr>
              <w:pStyle w:val="TableParagraph"/>
              <w:ind w:right="2059"/>
              <w:rPr>
                <w:sz w:val="24"/>
              </w:rPr>
            </w:pPr>
            <w:r>
              <w:rPr>
                <w:sz w:val="24"/>
              </w:rPr>
              <w:t>严重帕金森病</w:t>
            </w:r>
          </w:p>
        </w:tc>
      </w:tr>
      <w:tr>
        <w:trPr>
          <w:trHeight w:val="276" w:hRule="atLeast"/>
        </w:trPr>
        <w:tc>
          <w:tcPr>
            <w:tcW w:w="2019" w:type="dxa"/>
            <w:vMerge/>
            <w:tcBorders>
              <w:top w:val="nil"/>
            </w:tcBorders>
          </w:tcPr>
          <w:p>
            <w:pPr>
              <w:rPr>
                <w:sz w:val="2"/>
                <w:szCs w:val="2"/>
              </w:rPr>
            </w:pPr>
          </w:p>
        </w:tc>
        <w:tc>
          <w:tcPr>
            <w:tcW w:w="6095" w:type="dxa"/>
          </w:tcPr>
          <w:p>
            <w:pPr>
              <w:pStyle w:val="TableParagraph"/>
              <w:spacing w:line="245" w:lineRule="exact"/>
              <w:ind w:right="2059"/>
              <w:rPr>
                <w:sz w:val="24"/>
              </w:rPr>
            </w:pPr>
            <w:r>
              <w:rPr>
                <w:sz w:val="24"/>
              </w:rPr>
              <w:t>严重Ⅲ度烧伤</w:t>
            </w:r>
          </w:p>
        </w:tc>
      </w:tr>
      <w:tr>
        <w:trPr>
          <w:trHeight w:val="273" w:hRule="atLeast"/>
        </w:trPr>
        <w:tc>
          <w:tcPr>
            <w:tcW w:w="2019" w:type="dxa"/>
            <w:vMerge/>
            <w:tcBorders>
              <w:top w:val="nil"/>
            </w:tcBorders>
          </w:tcPr>
          <w:p>
            <w:pPr>
              <w:rPr>
                <w:sz w:val="2"/>
                <w:szCs w:val="2"/>
              </w:rPr>
            </w:pPr>
          </w:p>
        </w:tc>
        <w:tc>
          <w:tcPr>
            <w:tcW w:w="6095" w:type="dxa"/>
          </w:tcPr>
          <w:p>
            <w:pPr>
              <w:pStyle w:val="TableParagraph"/>
              <w:ind w:left="1965"/>
              <w:jc w:val="left"/>
              <w:rPr>
                <w:sz w:val="24"/>
              </w:rPr>
            </w:pPr>
            <w:r>
              <w:rPr>
                <w:sz w:val="24"/>
              </w:rPr>
              <w:t>严重原发性肺动脉高压</w:t>
            </w:r>
          </w:p>
        </w:tc>
      </w:tr>
      <w:tr>
        <w:trPr>
          <w:trHeight w:val="273" w:hRule="atLeast"/>
        </w:trPr>
        <w:tc>
          <w:tcPr>
            <w:tcW w:w="2019" w:type="dxa"/>
            <w:vMerge/>
            <w:tcBorders>
              <w:top w:val="nil"/>
            </w:tcBorders>
          </w:tcPr>
          <w:p>
            <w:pPr>
              <w:rPr>
                <w:sz w:val="2"/>
                <w:szCs w:val="2"/>
              </w:rPr>
            </w:pPr>
          </w:p>
        </w:tc>
        <w:tc>
          <w:tcPr>
            <w:tcW w:w="6095" w:type="dxa"/>
          </w:tcPr>
          <w:p>
            <w:pPr>
              <w:pStyle w:val="TableParagraph"/>
              <w:ind w:left="2205"/>
              <w:jc w:val="left"/>
              <w:rPr>
                <w:sz w:val="24"/>
              </w:rPr>
            </w:pPr>
            <w:r>
              <w:rPr>
                <w:sz w:val="24"/>
              </w:rPr>
              <w:t>严重运动神经元病</w:t>
            </w:r>
          </w:p>
        </w:tc>
      </w:tr>
      <w:tr>
        <w:trPr>
          <w:trHeight w:val="275" w:hRule="atLeast"/>
        </w:trPr>
        <w:tc>
          <w:tcPr>
            <w:tcW w:w="2019" w:type="dxa"/>
            <w:vMerge/>
            <w:tcBorders>
              <w:top w:val="nil"/>
            </w:tcBorders>
          </w:tcPr>
          <w:p>
            <w:pPr>
              <w:rPr>
                <w:sz w:val="2"/>
                <w:szCs w:val="2"/>
              </w:rPr>
            </w:pPr>
          </w:p>
        </w:tc>
        <w:tc>
          <w:tcPr>
            <w:tcW w:w="6095" w:type="dxa"/>
          </w:tcPr>
          <w:p>
            <w:pPr>
              <w:pStyle w:val="TableParagraph"/>
              <w:spacing w:line="245" w:lineRule="exact"/>
              <w:ind w:right="2059"/>
              <w:rPr>
                <w:sz w:val="24"/>
              </w:rPr>
            </w:pPr>
            <w:r>
              <w:rPr>
                <w:sz w:val="24"/>
              </w:rPr>
              <w:t>语言能力丧失</w:t>
            </w:r>
          </w:p>
        </w:tc>
      </w:tr>
      <w:tr>
        <w:trPr>
          <w:trHeight w:val="273" w:hRule="atLeast"/>
        </w:trPr>
        <w:tc>
          <w:tcPr>
            <w:tcW w:w="2019" w:type="dxa"/>
            <w:vMerge/>
            <w:tcBorders>
              <w:top w:val="nil"/>
            </w:tcBorders>
          </w:tcPr>
          <w:p>
            <w:pPr>
              <w:rPr>
                <w:sz w:val="2"/>
                <w:szCs w:val="2"/>
              </w:rPr>
            </w:pPr>
          </w:p>
        </w:tc>
        <w:tc>
          <w:tcPr>
            <w:tcW w:w="6095" w:type="dxa"/>
          </w:tcPr>
          <w:p>
            <w:pPr>
              <w:pStyle w:val="TableParagraph"/>
              <w:ind w:left="2085"/>
              <w:jc w:val="left"/>
              <w:rPr>
                <w:sz w:val="24"/>
              </w:rPr>
            </w:pPr>
            <w:r>
              <w:rPr>
                <w:sz w:val="24"/>
              </w:rPr>
              <w:t>重型再生障碍性贫血</w:t>
            </w:r>
          </w:p>
        </w:tc>
      </w:tr>
      <w:tr>
        <w:trPr>
          <w:trHeight w:val="273" w:hRule="atLeast"/>
        </w:trPr>
        <w:tc>
          <w:tcPr>
            <w:tcW w:w="2019" w:type="dxa"/>
            <w:vMerge/>
            <w:tcBorders>
              <w:top w:val="nil"/>
            </w:tcBorders>
          </w:tcPr>
          <w:p>
            <w:pPr>
              <w:rPr>
                <w:sz w:val="2"/>
                <w:szCs w:val="2"/>
              </w:rPr>
            </w:pPr>
          </w:p>
        </w:tc>
        <w:tc>
          <w:tcPr>
            <w:tcW w:w="6095" w:type="dxa"/>
          </w:tcPr>
          <w:p>
            <w:pPr>
              <w:pStyle w:val="TableParagraph"/>
              <w:ind w:right="2059"/>
              <w:rPr>
                <w:sz w:val="24"/>
              </w:rPr>
            </w:pPr>
            <w:r>
              <w:rPr>
                <w:sz w:val="24"/>
              </w:rPr>
              <w:t>主动脉手术</w:t>
            </w:r>
          </w:p>
        </w:tc>
      </w:tr>
      <w:tr>
        <w:trPr>
          <w:trHeight w:val="275" w:hRule="atLeast"/>
        </w:trPr>
        <w:tc>
          <w:tcPr>
            <w:tcW w:w="2019" w:type="dxa"/>
            <w:vMerge w:val="restart"/>
          </w:tcPr>
          <w:p>
            <w:pPr>
              <w:pStyle w:val="TableParagraph"/>
              <w:spacing w:line="240" w:lineRule="auto"/>
              <w:ind w:left="0"/>
              <w:jc w:val="left"/>
              <w:rPr>
                <w:sz w:val="24"/>
              </w:rPr>
            </w:pPr>
          </w:p>
          <w:p>
            <w:pPr>
              <w:pStyle w:val="TableParagraph"/>
              <w:spacing w:line="240" w:lineRule="auto"/>
              <w:ind w:left="0"/>
              <w:jc w:val="left"/>
              <w:rPr>
                <w:sz w:val="24"/>
              </w:rPr>
            </w:pPr>
          </w:p>
          <w:p>
            <w:pPr>
              <w:pStyle w:val="TableParagraph"/>
              <w:spacing w:line="240" w:lineRule="auto" w:before="8"/>
              <w:ind w:left="0"/>
              <w:jc w:val="left"/>
              <w:rPr>
                <w:sz w:val="22"/>
              </w:rPr>
            </w:pPr>
          </w:p>
          <w:p>
            <w:pPr>
              <w:pStyle w:val="TableParagraph"/>
              <w:spacing w:line="240" w:lineRule="auto"/>
              <w:ind w:left="18"/>
              <w:jc w:val="left"/>
              <w:rPr>
                <w:sz w:val="24"/>
              </w:rPr>
            </w:pPr>
            <w:r>
              <w:rPr>
                <w:sz w:val="24"/>
              </w:rPr>
              <w:t>额外病种ⅳ25</w:t>
            </w:r>
            <w:r>
              <w:rPr>
                <w:spacing w:val="-21"/>
                <w:sz w:val="24"/>
              </w:rPr>
              <w:t> 种ⅴ</w:t>
            </w:r>
          </w:p>
        </w:tc>
        <w:tc>
          <w:tcPr>
            <w:tcW w:w="6095" w:type="dxa"/>
          </w:tcPr>
          <w:p>
            <w:pPr>
              <w:pStyle w:val="TableParagraph"/>
              <w:spacing w:line="245" w:lineRule="exact"/>
              <w:ind w:right="2060"/>
              <w:rPr>
                <w:sz w:val="24"/>
              </w:rPr>
            </w:pPr>
            <w:r>
              <w:rPr>
                <w:sz w:val="24"/>
              </w:rPr>
              <w:t>严重多发性硬化</w:t>
            </w:r>
          </w:p>
        </w:tc>
      </w:tr>
      <w:tr>
        <w:trPr>
          <w:trHeight w:val="273" w:hRule="atLeast"/>
        </w:trPr>
        <w:tc>
          <w:tcPr>
            <w:tcW w:w="2019" w:type="dxa"/>
            <w:vMerge/>
            <w:tcBorders>
              <w:top w:val="nil"/>
            </w:tcBorders>
          </w:tcPr>
          <w:p>
            <w:pPr>
              <w:rPr>
                <w:sz w:val="2"/>
                <w:szCs w:val="2"/>
              </w:rPr>
            </w:pPr>
          </w:p>
        </w:tc>
        <w:tc>
          <w:tcPr>
            <w:tcW w:w="6095" w:type="dxa"/>
          </w:tcPr>
          <w:p>
            <w:pPr>
              <w:pStyle w:val="TableParagraph"/>
              <w:ind w:left="1965"/>
              <w:jc w:val="left"/>
              <w:rPr>
                <w:sz w:val="24"/>
              </w:rPr>
            </w:pPr>
            <w:r>
              <w:rPr>
                <w:sz w:val="24"/>
              </w:rPr>
              <w:t>严重慢性呼吸功能衰竭</w:t>
            </w:r>
          </w:p>
        </w:tc>
      </w:tr>
      <w:tr>
        <w:trPr>
          <w:trHeight w:val="273" w:hRule="atLeast"/>
        </w:trPr>
        <w:tc>
          <w:tcPr>
            <w:tcW w:w="2019" w:type="dxa"/>
            <w:vMerge/>
            <w:tcBorders>
              <w:top w:val="nil"/>
            </w:tcBorders>
          </w:tcPr>
          <w:p>
            <w:pPr>
              <w:rPr>
                <w:sz w:val="2"/>
                <w:szCs w:val="2"/>
              </w:rPr>
            </w:pPr>
          </w:p>
        </w:tc>
        <w:tc>
          <w:tcPr>
            <w:tcW w:w="6095" w:type="dxa"/>
          </w:tcPr>
          <w:p>
            <w:pPr>
              <w:pStyle w:val="TableParagraph"/>
              <w:ind w:right="2059"/>
              <w:rPr>
                <w:sz w:val="24"/>
              </w:rPr>
            </w:pPr>
            <w:r>
              <w:rPr>
                <w:sz w:val="24"/>
              </w:rPr>
              <w:t>严重冠心病</w:t>
            </w:r>
          </w:p>
        </w:tc>
      </w:tr>
      <w:tr>
        <w:trPr>
          <w:trHeight w:val="275" w:hRule="atLeast"/>
        </w:trPr>
        <w:tc>
          <w:tcPr>
            <w:tcW w:w="2019" w:type="dxa"/>
            <w:vMerge/>
            <w:tcBorders>
              <w:top w:val="nil"/>
            </w:tcBorders>
          </w:tcPr>
          <w:p>
            <w:pPr>
              <w:rPr>
                <w:sz w:val="2"/>
                <w:szCs w:val="2"/>
              </w:rPr>
            </w:pPr>
          </w:p>
        </w:tc>
        <w:tc>
          <w:tcPr>
            <w:tcW w:w="6095" w:type="dxa"/>
          </w:tcPr>
          <w:p>
            <w:pPr>
              <w:pStyle w:val="TableParagraph"/>
              <w:spacing w:line="245" w:lineRule="exact"/>
              <w:ind w:left="2205"/>
              <w:jc w:val="left"/>
              <w:rPr>
                <w:sz w:val="24"/>
              </w:rPr>
            </w:pPr>
            <w:r>
              <w:rPr>
                <w:sz w:val="24"/>
              </w:rPr>
              <w:t>严重肌营养不良症</w:t>
            </w:r>
          </w:p>
        </w:tc>
      </w:tr>
      <w:tr>
        <w:trPr>
          <w:trHeight w:val="273" w:hRule="atLeast"/>
        </w:trPr>
        <w:tc>
          <w:tcPr>
            <w:tcW w:w="2019" w:type="dxa"/>
            <w:vMerge/>
            <w:tcBorders>
              <w:top w:val="nil"/>
            </w:tcBorders>
          </w:tcPr>
          <w:p>
            <w:pPr>
              <w:rPr>
                <w:sz w:val="2"/>
                <w:szCs w:val="2"/>
              </w:rPr>
            </w:pPr>
          </w:p>
        </w:tc>
        <w:tc>
          <w:tcPr>
            <w:tcW w:w="6095" w:type="dxa"/>
          </w:tcPr>
          <w:p>
            <w:pPr>
              <w:pStyle w:val="TableParagraph"/>
              <w:ind w:left="825"/>
              <w:jc w:val="left"/>
              <w:rPr>
                <w:sz w:val="24"/>
              </w:rPr>
            </w:pPr>
            <w:r>
              <w:rPr>
                <w:sz w:val="24"/>
              </w:rPr>
              <w:t>经输血导敡的人类免疫缺陷病毒ⅳHIVⅴ感染</w:t>
            </w:r>
          </w:p>
        </w:tc>
      </w:tr>
      <w:tr>
        <w:trPr>
          <w:trHeight w:val="273" w:hRule="atLeast"/>
        </w:trPr>
        <w:tc>
          <w:tcPr>
            <w:tcW w:w="2019" w:type="dxa"/>
            <w:vMerge/>
            <w:tcBorders>
              <w:top w:val="nil"/>
            </w:tcBorders>
          </w:tcPr>
          <w:p>
            <w:pPr>
              <w:rPr>
                <w:sz w:val="2"/>
                <w:szCs w:val="2"/>
              </w:rPr>
            </w:pPr>
          </w:p>
        </w:tc>
        <w:tc>
          <w:tcPr>
            <w:tcW w:w="6095" w:type="dxa"/>
          </w:tcPr>
          <w:p>
            <w:pPr>
              <w:pStyle w:val="TableParagraph"/>
              <w:ind w:left="2205"/>
              <w:jc w:val="left"/>
              <w:rPr>
                <w:sz w:val="24"/>
              </w:rPr>
            </w:pPr>
            <w:r>
              <w:rPr>
                <w:sz w:val="24"/>
              </w:rPr>
              <w:t>慢性复发性胰腺炎</w:t>
            </w:r>
          </w:p>
        </w:tc>
      </w:tr>
      <w:tr>
        <w:trPr>
          <w:trHeight w:val="275" w:hRule="atLeast"/>
        </w:trPr>
        <w:tc>
          <w:tcPr>
            <w:tcW w:w="2019" w:type="dxa"/>
            <w:vMerge/>
            <w:tcBorders>
              <w:top w:val="nil"/>
            </w:tcBorders>
          </w:tcPr>
          <w:p>
            <w:pPr>
              <w:rPr>
                <w:sz w:val="2"/>
                <w:szCs w:val="2"/>
              </w:rPr>
            </w:pPr>
          </w:p>
        </w:tc>
        <w:tc>
          <w:tcPr>
            <w:tcW w:w="6095" w:type="dxa"/>
          </w:tcPr>
          <w:p>
            <w:pPr>
              <w:pStyle w:val="TableParagraph"/>
              <w:spacing w:line="245" w:lineRule="exact"/>
              <w:ind w:right="2059"/>
              <w:rPr>
                <w:sz w:val="24"/>
              </w:rPr>
            </w:pPr>
            <w:r>
              <w:rPr>
                <w:sz w:val="24"/>
              </w:rPr>
              <w:t>严重心肌病</w:t>
            </w:r>
          </w:p>
        </w:tc>
      </w:tr>
      <w:tr>
        <w:trPr>
          <w:trHeight w:val="273" w:hRule="atLeast"/>
        </w:trPr>
        <w:tc>
          <w:tcPr>
            <w:tcW w:w="2019" w:type="dxa"/>
            <w:vMerge/>
            <w:tcBorders>
              <w:top w:val="nil"/>
            </w:tcBorders>
          </w:tcPr>
          <w:p>
            <w:pPr>
              <w:rPr>
                <w:sz w:val="2"/>
                <w:szCs w:val="2"/>
              </w:rPr>
            </w:pPr>
          </w:p>
        </w:tc>
        <w:tc>
          <w:tcPr>
            <w:tcW w:w="6095" w:type="dxa"/>
          </w:tcPr>
          <w:p>
            <w:pPr>
              <w:pStyle w:val="TableParagraph"/>
              <w:ind w:right="2059"/>
              <w:rPr>
                <w:sz w:val="24"/>
              </w:rPr>
            </w:pPr>
            <w:r>
              <w:rPr>
                <w:sz w:val="24"/>
              </w:rPr>
              <w:t>植物人状态</w:t>
            </w:r>
          </w:p>
        </w:tc>
      </w:tr>
    </w:tbl>
    <w:p>
      <w:pPr>
        <w:spacing w:after="0"/>
        <w:rPr>
          <w:sz w:val="24"/>
        </w:rPr>
        <w:sectPr>
          <w:pgSz w:w="11910" w:h="16840"/>
          <w:pgMar w:header="0" w:footer="977" w:top="1380" w:bottom="1160" w:left="1640" w:right="1520"/>
        </w:sectPr>
      </w:pPr>
    </w:p>
    <w:tbl>
      <w:tblPr>
        <w:tblW w:w="0" w:type="auto"/>
        <w:jc w:val="left"/>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19"/>
        <w:gridCol w:w="6095"/>
      </w:tblGrid>
      <w:tr>
        <w:trPr>
          <w:trHeight w:val="273" w:hRule="atLeast"/>
        </w:trPr>
        <w:tc>
          <w:tcPr>
            <w:tcW w:w="2019" w:type="dxa"/>
            <w:vMerge w:val="restart"/>
          </w:tcPr>
          <w:p>
            <w:pPr>
              <w:pStyle w:val="TableParagraph"/>
              <w:spacing w:line="240" w:lineRule="auto"/>
              <w:ind w:left="0"/>
              <w:jc w:val="left"/>
              <w:rPr>
                <w:rFonts w:ascii="Times New Roman"/>
                <w:sz w:val="22"/>
              </w:rPr>
            </w:pPr>
          </w:p>
        </w:tc>
        <w:tc>
          <w:tcPr>
            <w:tcW w:w="6095" w:type="dxa"/>
          </w:tcPr>
          <w:p>
            <w:pPr>
              <w:pStyle w:val="TableParagraph"/>
              <w:spacing w:line="243" w:lineRule="exact"/>
              <w:ind w:left="2205"/>
              <w:jc w:val="left"/>
              <w:rPr>
                <w:sz w:val="24"/>
              </w:rPr>
            </w:pPr>
            <w:r>
              <w:rPr>
                <w:sz w:val="24"/>
              </w:rPr>
              <w:t>全身性重症肌无力</w:t>
            </w:r>
          </w:p>
        </w:tc>
      </w:tr>
      <w:tr>
        <w:trPr>
          <w:trHeight w:val="275" w:hRule="atLeast"/>
        </w:trPr>
        <w:tc>
          <w:tcPr>
            <w:tcW w:w="2019" w:type="dxa"/>
            <w:vMerge/>
            <w:tcBorders>
              <w:top w:val="nil"/>
            </w:tcBorders>
          </w:tcPr>
          <w:p>
            <w:pPr>
              <w:rPr>
                <w:sz w:val="2"/>
                <w:szCs w:val="2"/>
              </w:rPr>
            </w:pPr>
          </w:p>
        </w:tc>
        <w:tc>
          <w:tcPr>
            <w:tcW w:w="6095" w:type="dxa"/>
          </w:tcPr>
          <w:p>
            <w:pPr>
              <w:pStyle w:val="TableParagraph"/>
              <w:spacing w:line="245" w:lineRule="exact"/>
              <w:ind w:left="0" w:right="1597"/>
              <w:jc w:val="right"/>
              <w:rPr>
                <w:sz w:val="24"/>
              </w:rPr>
            </w:pPr>
            <w:r>
              <w:rPr>
                <w:sz w:val="24"/>
              </w:rPr>
              <w:t>严重胰岛素依赖型糖尿病</w:t>
            </w:r>
          </w:p>
        </w:tc>
      </w:tr>
      <w:tr>
        <w:trPr>
          <w:trHeight w:val="273" w:hRule="atLeast"/>
        </w:trPr>
        <w:tc>
          <w:tcPr>
            <w:tcW w:w="2019" w:type="dxa"/>
            <w:vMerge/>
            <w:tcBorders>
              <w:top w:val="nil"/>
            </w:tcBorders>
          </w:tcPr>
          <w:p>
            <w:pPr>
              <w:rPr>
                <w:sz w:val="2"/>
                <w:szCs w:val="2"/>
              </w:rPr>
            </w:pPr>
          </w:p>
        </w:tc>
        <w:tc>
          <w:tcPr>
            <w:tcW w:w="6095" w:type="dxa"/>
          </w:tcPr>
          <w:p>
            <w:pPr>
              <w:pStyle w:val="TableParagraph"/>
              <w:ind w:right="2059"/>
              <w:rPr>
                <w:sz w:val="24"/>
              </w:rPr>
            </w:pPr>
            <w:r>
              <w:rPr>
                <w:sz w:val="24"/>
              </w:rPr>
              <w:t>肺源性心脏病</w:t>
            </w:r>
          </w:p>
        </w:tc>
      </w:tr>
      <w:tr>
        <w:trPr>
          <w:trHeight w:val="273" w:hRule="atLeast"/>
        </w:trPr>
        <w:tc>
          <w:tcPr>
            <w:tcW w:w="2019" w:type="dxa"/>
            <w:vMerge/>
            <w:tcBorders>
              <w:top w:val="nil"/>
            </w:tcBorders>
          </w:tcPr>
          <w:p>
            <w:pPr>
              <w:rPr>
                <w:sz w:val="2"/>
                <w:szCs w:val="2"/>
              </w:rPr>
            </w:pPr>
          </w:p>
        </w:tc>
        <w:tc>
          <w:tcPr>
            <w:tcW w:w="6095" w:type="dxa"/>
          </w:tcPr>
          <w:p>
            <w:pPr>
              <w:pStyle w:val="TableParagraph"/>
              <w:ind w:right="2059"/>
              <w:rPr>
                <w:sz w:val="24"/>
              </w:rPr>
            </w:pPr>
            <w:r>
              <w:rPr>
                <w:sz w:val="24"/>
              </w:rPr>
              <w:t>肾髓质囊性病</w:t>
            </w:r>
          </w:p>
        </w:tc>
      </w:tr>
      <w:tr>
        <w:trPr>
          <w:trHeight w:val="275" w:hRule="atLeast"/>
        </w:trPr>
        <w:tc>
          <w:tcPr>
            <w:tcW w:w="2019" w:type="dxa"/>
            <w:vMerge/>
            <w:tcBorders>
              <w:top w:val="nil"/>
            </w:tcBorders>
          </w:tcPr>
          <w:p>
            <w:pPr>
              <w:rPr>
                <w:sz w:val="2"/>
                <w:szCs w:val="2"/>
              </w:rPr>
            </w:pPr>
          </w:p>
        </w:tc>
        <w:tc>
          <w:tcPr>
            <w:tcW w:w="6095" w:type="dxa"/>
          </w:tcPr>
          <w:p>
            <w:pPr>
              <w:pStyle w:val="TableParagraph"/>
              <w:spacing w:line="245" w:lineRule="exact"/>
              <w:ind w:right="2059"/>
              <w:rPr>
                <w:sz w:val="24"/>
              </w:rPr>
            </w:pPr>
            <w:r>
              <w:rPr>
                <w:sz w:val="24"/>
              </w:rPr>
              <w:t>硬皮病</w:t>
            </w:r>
          </w:p>
        </w:tc>
      </w:tr>
      <w:tr>
        <w:trPr>
          <w:trHeight w:val="273" w:hRule="atLeast"/>
        </w:trPr>
        <w:tc>
          <w:tcPr>
            <w:tcW w:w="2019" w:type="dxa"/>
            <w:vMerge/>
            <w:tcBorders>
              <w:top w:val="nil"/>
            </w:tcBorders>
          </w:tcPr>
          <w:p>
            <w:pPr>
              <w:rPr>
                <w:sz w:val="2"/>
                <w:szCs w:val="2"/>
              </w:rPr>
            </w:pPr>
          </w:p>
        </w:tc>
        <w:tc>
          <w:tcPr>
            <w:tcW w:w="6095" w:type="dxa"/>
          </w:tcPr>
          <w:p>
            <w:pPr>
              <w:pStyle w:val="TableParagraph"/>
              <w:ind w:left="0" w:right="1717"/>
              <w:jc w:val="right"/>
              <w:rPr>
                <w:sz w:val="24"/>
              </w:rPr>
            </w:pPr>
            <w:r>
              <w:rPr>
                <w:sz w:val="24"/>
              </w:rPr>
              <w:t>急性出血坏死性胰腺炎</w:t>
            </w:r>
          </w:p>
        </w:tc>
      </w:tr>
      <w:tr>
        <w:trPr>
          <w:trHeight w:val="273" w:hRule="atLeast"/>
        </w:trPr>
        <w:tc>
          <w:tcPr>
            <w:tcW w:w="2019" w:type="dxa"/>
            <w:vMerge/>
            <w:tcBorders>
              <w:top w:val="nil"/>
            </w:tcBorders>
          </w:tcPr>
          <w:p>
            <w:pPr>
              <w:rPr>
                <w:sz w:val="2"/>
                <w:szCs w:val="2"/>
              </w:rPr>
            </w:pPr>
          </w:p>
        </w:tc>
        <w:tc>
          <w:tcPr>
            <w:tcW w:w="6095" w:type="dxa"/>
          </w:tcPr>
          <w:p>
            <w:pPr>
              <w:pStyle w:val="TableParagraph"/>
              <w:ind w:right="2059"/>
              <w:rPr>
                <w:sz w:val="24"/>
              </w:rPr>
            </w:pPr>
            <w:r>
              <w:rPr>
                <w:sz w:val="24"/>
              </w:rPr>
              <w:t>严重克隆病</w:t>
            </w:r>
          </w:p>
        </w:tc>
      </w:tr>
      <w:tr>
        <w:trPr>
          <w:trHeight w:val="275" w:hRule="atLeast"/>
        </w:trPr>
        <w:tc>
          <w:tcPr>
            <w:tcW w:w="2019" w:type="dxa"/>
            <w:vMerge/>
            <w:tcBorders>
              <w:top w:val="nil"/>
            </w:tcBorders>
          </w:tcPr>
          <w:p>
            <w:pPr>
              <w:rPr>
                <w:sz w:val="2"/>
                <w:szCs w:val="2"/>
              </w:rPr>
            </w:pPr>
          </w:p>
        </w:tc>
        <w:tc>
          <w:tcPr>
            <w:tcW w:w="6095" w:type="dxa"/>
          </w:tcPr>
          <w:p>
            <w:pPr>
              <w:pStyle w:val="TableParagraph"/>
              <w:spacing w:line="245" w:lineRule="exact"/>
              <w:ind w:left="2205"/>
              <w:jc w:val="left"/>
              <w:rPr>
                <w:sz w:val="24"/>
              </w:rPr>
            </w:pPr>
            <w:r>
              <w:rPr>
                <w:sz w:val="24"/>
              </w:rPr>
              <w:t>严重溃疡性结肠炎</w:t>
            </w:r>
          </w:p>
        </w:tc>
      </w:tr>
      <w:tr>
        <w:trPr>
          <w:trHeight w:val="273" w:hRule="atLeast"/>
        </w:trPr>
        <w:tc>
          <w:tcPr>
            <w:tcW w:w="2019" w:type="dxa"/>
            <w:vMerge/>
            <w:tcBorders>
              <w:top w:val="nil"/>
            </w:tcBorders>
          </w:tcPr>
          <w:p>
            <w:pPr>
              <w:rPr>
                <w:sz w:val="2"/>
                <w:szCs w:val="2"/>
              </w:rPr>
            </w:pPr>
          </w:p>
        </w:tc>
        <w:tc>
          <w:tcPr>
            <w:tcW w:w="6095" w:type="dxa"/>
          </w:tcPr>
          <w:p>
            <w:pPr>
              <w:pStyle w:val="TableParagraph"/>
              <w:ind w:left="2085"/>
              <w:jc w:val="left"/>
              <w:rPr>
                <w:sz w:val="24"/>
              </w:rPr>
            </w:pPr>
            <w:r>
              <w:rPr>
                <w:sz w:val="24"/>
              </w:rPr>
              <w:t>严重类风湿性关节炎</w:t>
            </w:r>
          </w:p>
        </w:tc>
      </w:tr>
      <w:tr>
        <w:trPr>
          <w:trHeight w:val="273" w:hRule="atLeast"/>
        </w:trPr>
        <w:tc>
          <w:tcPr>
            <w:tcW w:w="2019" w:type="dxa"/>
            <w:vMerge/>
            <w:tcBorders>
              <w:top w:val="nil"/>
            </w:tcBorders>
          </w:tcPr>
          <w:p>
            <w:pPr>
              <w:rPr>
                <w:sz w:val="2"/>
                <w:szCs w:val="2"/>
              </w:rPr>
            </w:pPr>
          </w:p>
        </w:tc>
        <w:tc>
          <w:tcPr>
            <w:tcW w:w="6095" w:type="dxa"/>
          </w:tcPr>
          <w:p>
            <w:pPr>
              <w:pStyle w:val="TableParagraph"/>
              <w:ind w:right="2059"/>
              <w:rPr>
                <w:sz w:val="24"/>
              </w:rPr>
            </w:pPr>
            <w:r>
              <w:rPr>
                <w:sz w:val="24"/>
              </w:rPr>
              <w:t>脊髓灰质炎</w:t>
            </w:r>
          </w:p>
        </w:tc>
      </w:tr>
      <w:tr>
        <w:trPr>
          <w:trHeight w:val="275" w:hRule="atLeast"/>
        </w:trPr>
        <w:tc>
          <w:tcPr>
            <w:tcW w:w="2019" w:type="dxa"/>
            <w:vMerge/>
            <w:tcBorders>
              <w:top w:val="nil"/>
            </w:tcBorders>
          </w:tcPr>
          <w:p>
            <w:pPr>
              <w:rPr>
                <w:sz w:val="2"/>
                <w:szCs w:val="2"/>
              </w:rPr>
            </w:pPr>
          </w:p>
        </w:tc>
        <w:tc>
          <w:tcPr>
            <w:tcW w:w="6095" w:type="dxa"/>
          </w:tcPr>
          <w:p>
            <w:pPr>
              <w:pStyle w:val="TableParagraph"/>
              <w:spacing w:line="245" w:lineRule="exact"/>
              <w:ind w:right="2059"/>
              <w:rPr>
                <w:sz w:val="24"/>
              </w:rPr>
            </w:pPr>
            <w:r>
              <w:rPr>
                <w:sz w:val="24"/>
              </w:rPr>
              <w:t>严重川崎病</w:t>
            </w:r>
          </w:p>
        </w:tc>
      </w:tr>
      <w:tr>
        <w:trPr>
          <w:trHeight w:val="273" w:hRule="atLeast"/>
        </w:trPr>
        <w:tc>
          <w:tcPr>
            <w:tcW w:w="2019" w:type="dxa"/>
            <w:vMerge/>
            <w:tcBorders>
              <w:top w:val="nil"/>
            </w:tcBorders>
          </w:tcPr>
          <w:p>
            <w:pPr>
              <w:rPr>
                <w:sz w:val="2"/>
                <w:szCs w:val="2"/>
              </w:rPr>
            </w:pPr>
          </w:p>
        </w:tc>
        <w:tc>
          <w:tcPr>
            <w:tcW w:w="6095" w:type="dxa"/>
          </w:tcPr>
          <w:p>
            <w:pPr>
              <w:pStyle w:val="TableParagraph"/>
              <w:ind w:left="0" w:right="1597"/>
              <w:jc w:val="right"/>
              <w:rPr>
                <w:sz w:val="24"/>
              </w:rPr>
            </w:pPr>
            <w:r>
              <w:rPr>
                <w:sz w:val="24"/>
              </w:rPr>
              <w:t>严重幼年型特发性关节炎</w:t>
            </w:r>
          </w:p>
        </w:tc>
      </w:tr>
      <w:tr>
        <w:trPr>
          <w:trHeight w:val="273" w:hRule="atLeast"/>
        </w:trPr>
        <w:tc>
          <w:tcPr>
            <w:tcW w:w="2019" w:type="dxa"/>
            <w:vMerge/>
            <w:tcBorders>
              <w:top w:val="nil"/>
            </w:tcBorders>
          </w:tcPr>
          <w:p>
            <w:pPr>
              <w:rPr>
                <w:sz w:val="2"/>
                <w:szCs w:val="2"/>
              </w:rPr>
            </w:pPr>
          </w:p>
        </w:tc>
        <w:tc>
          <w:tcPr>
            <w:tcW w:w="6095" w:type="dxa"/>
          </w:tcPr>
          <w:p>
            <w:pPr>
              <w:pStyle w:val="TableParagraph"/>
              <w:spacing w:line="243" w:lineRule="exact"/>
              <w:ind w:right="2059"/>
              <w:rPr>
                <w:sz w:val="24"/>
              </w:rPr>
            </w:pPr>
            <w:r>
              <w:rPr>
                <w:sz w:val="24"/>
              </w:rPr>
              <w:t>严重胃肠炎</w:t>
            </w:r>
          </w:p>
        </w:tc>
      </w:tr>
      <w:tr>
        <w:trPr>
          <w:trHeight w:val="275" w:hRule="atLeast"/>
        </w:trPr>
        <w:tc>
          <w:tcPr>
            <w:tcW w:w="2019" w:type="dxa"/>
            <w:vMerge/>
            <w:tcBorders>
              <w:top w:val="nil"/>
            </w:tcBorders>
          </w:tcPr>
          <w:p>
            <w:pPr>
              <w:rPr>
                <w:sz w:val="2"/>
                <w:szCs w:val="2"/>
              </w:rPr>
            </w:pPr>
          </w:p>
        </w:tc>
        <w:tc>
          <w:tcPr>
            <w:tcW w:w="6095" w:type="dxa"/>
          </w:tcPr>
          <w:p>
            <w:pPr>
              <w:pStyle w:val="TableParagraph"/>
              <w:spacing w:line="245" w:lineRule="exact"/>
              <w:ind w:left="2205"/>
              <w:jc w:val="left"/>
              <w:rPr>
                <w:sz w:val="24"/>
              </w:rPr>
            </w:pPr>
            <w:r>
              <w:rPr>
                <w:sz w:val="24"/>
              </w:rPr>
              <w:t>细菌性脑脊髓膜炎</w:t>
            </w:r>
          </w:p>
        </w:tc>
      </w:tr>
      <w:tr>
        <w:trPr>
          <w:trHeight w:val="273" w:hRule="atLeast"/>
        </w:trPr>
        <w:tc>
          <w:tcPr>
            <w:tcW w:w="2019" w:type="dxa"/>
            <w:vMerge/>
            <w:tcBorders>
              <w:top w:val="nil"/>
            </w:tcBorders>
          </w:tcPr>
          <w:p>
            <w:pPr>
              <w:rPr>
                <w:sz w:val="2"/>
                <w:szCs w:val="2"/>
              </w:rPr>
            </w:pPr>
          </w:p>
        </w:tc>
        <w:tc>
          <w:tcPr>
            <w:tcW w:w="6095" w:type="dxa"/>
          </w:tcPr>
          <w:p>
            <w:pPr>
              <w:pStyle w:val="TableParagraph"/>
              <w:ind w:right="2059"/>
              <w:rPr>
                <w:sz w:val="24"/>
              </w:rPr>
            </w:pPr>
            <w:r>
              <w:rPr>
                <w:sz w:val="24"/>
              </w:rPr>
              <w:t>严重心肌炎</w:t>
            </w:r>
          </w:p>
        </w:tc>
      </w:tr>
      <w:tr>
        <w:trPr>
          <w:trHeight w:val="273" w:hRule="atLeast"/>
        </w:trPr>
        <w:tc>
          <w:tcPr>
            <w:tcW w:w="2019" w:type="dxa"/>
            <w:vMerge/>
            <w:tcBorders>
              <w:top w:val="nil"/>
            </w:tcBorders>
          </w:tcPr>
          <w:p>
            <w:pPr>
              <w:rPr>
                <w:sz w:val="2"/>
                <w:szCs w:val="2"/>
              </w:rPr>
            </w:pPr>
          </w:p>
        </w:tc>
        <w:tc>
          <w:tcPr>
            <w:tcW w:w="6095" w:type="dxa"/>
          </w:tcPr>
          <w:p>
            <w:pPr>
              <w:pStyle w:val="TableParagraph"/>
              <w:ind w:left="2085"/>
              <w:jc w:val="left"/>
              <w:rPr>
                <w:sz w:val="24"/>
              </w:rPr>
            </w:pPr>
            <w:r>
              <w:rPr>
                <w:sz w:val="24"/>
              </w:rPr>
              <w:t>严重系统性红斑狼疮</w:t>
            </w:r>
          </w:p>
        </w:tc>
      </w:tr>
      <w:tr>
        <w:trPr>
          <w:trHeight w:val="275" w:hRule="atLeast"/>
        </w:trPr>
        <w:tc>
          <w:tcPr>
            <w:tcW w:w="2019" w:type="dxa"/>
            <w:vMerge/>
            <w:tcBorders>
              <w:top w:val="nil"/>
            </w:tcBorders>
          </w:tcPr>
          <w:p>
            <w:pPr>
              <w:rPr>
                <w:sz w:val="2"/>
                <w:szCs w:val="2"/>
              </w:rPr>
            </w:pPr>
          </w:p>
        </w:tc>
        <w:tc>
          <w:tcPr>
            <w:tcW w:w="6095" w:type="dxa"/>
          </w:tcPr>
          <w:p>
            <w:pPr>
              <w:pStyle w:val="TableParagraph"/>
              <w:spacing w:line="245" w:lineRule="exact"/>
              <w:ind w:right="2059"/>
              <w:rPr>
                <w:sz w:val="24"/>
              </w:rPr>
            </w:pPr>
            <w:r>
              <w:rPr>
                <w:sz w:val="24"/>
              </w:rPr>
              <w:t>恶性葡萄胎</w:t>
            </w:r>
          </w:p>
        </w:tc>
      </w:tr>
    </w:tbl>
    <w:p>
      <w:pPr>
        <w:pStyle w:val="Heading3"/>
        <w:spacing w:line="241" w:lineRule="exact"/>
        <w:ind w:left="594"/>
        <w:rPr>
          <w:rFonts w:ascii="Microsoft JhengHei" w:hAnsi="Microsoft JhengHei" w:eastAsia="Microsoft JhengHei" w:hint="eastAsia"/>
        </w:rPr>
      </w:pPr>
      <w:r>
        <w:rPr>
          <w:rFonts w:ascii="Microsoft JhengHei" w:hAnsi="Microsoft JhengHei" w:eastAsia="Microsoft JhengHei" w:hint="eastAsia"/>
          <w:w w:val="160"/>
        </w:rPr>
        <w:t>CsP</w:t>
      </w:r>
      <w:r>
        <w:rPr>
          <w:rFonts w:ascii="Microsoft JhengHei" w:hAnsi="Microsoft JhengHei" w:eastAsia="Microsoft JhengHei" w:hint="eastAsia"/>
          <w:w w:val="120"/>
        </w:rPr>
        <w:t>身故</w:t>
      </w:r>
      <w:r>
        <w:rPr>
          <w:rFonts w:ascii="Microsoft JhengHei" w:hAnsi="Microsoft JhengHei" w:eastAsia="Microsoft JhengHei" w:hint="eastAsia"/>
          <w:w w:val="160"/>
        </w:rPr>
        <w:t>,</w:t>
      </w:r>
      <w:r>
        <w:rPr>
          <w:rFonts w:ascii="Microsoft JhengHei" w:hAnsi="Microsoft JhengHei" w:eastAsia="Microsoft JhengHei" w:hint="eastAsia"/>
          <w:w w:val="120"/>
        </w:rPr>
        <w:t>全</w:t>
      </w:r>
      <w:r>
        <w:rPr>
          <w:rFonts w:ascii="Microsoft JhengHei" w:hAnsi="Microsoft JhengHei" w:eastAsia="Microsoft JhengHei" w:hint="eastAsia"/>
          <w:w w:val="160"/>
        </w:rPr>
        <w:t>⇁</w:t>
      </w:r>
      <w:r>
        <w:rPr>
          <w:rFonts w:ascii="Microsoft JhengHei" w:hAnsi="Microsoft JhengHei" w:eastAsia="Microsoft JhengHei" w:hint="eastAsia"/>
          <w:w w:val="120"/>
        </w:rPr>
        <w:t>保险金</w:t>
      </w:r>
      <w:r>
        <w:rPr>
          <w:rFonts w:ascii="Microsoft JhengHei" w:hAnsi="Microsoft JhengHei" w:eastAsia="Microsoft JhengHei" w:hint="eastAsia"/>
          <w:w w:val="160"/>
        </w:rPr>
        <w:t>:</w:t>
      </w:r>
    </w:p>
    <w:p>
      <w:pPr>
        <w:pStyle w:val="BodyText"/>
        <w:spacing w:line="359" w:lineRule="exact"/>
      </w:pPr>
      <w:r>
        <w:rPr>
          <w:w w:val="105"/>
        </w:rPr>
        <w:t>被保险人发生身故或</w:t>
      </w:r>
      <w:r>
        <w:rPr>
          <w:rFonts w:ascii="Microsoft JhengHei" w:hAnsi="Microsoft JhengHei" w:eastAsia="Microsoft JhengHei" w:hint="eastAsia"/>
          <w:b/>
          <w:spacing w:val="-5"/>
          <w:w w:val="105"/>
          <w:sz w:val="25"/>
        </w:rPr>
        <w:t>全⇁</w:t>
      </w:r>
      <w:r>
        <w:rPr>
          <w:spacing w:val="-10"/>
          <w:w w:val="105"/>
        </w:rPr>
        <w:t>C</w:t>
      </w:r>
      <w:r>
        <w:rPr>
          <w:spacing w:val="-21"/>
          <w:w w:val="105"/>
        </w:rPr>
        <w:t>见释义 </w:t>
      </w:r>
      <w:r>
        <w:rPr>
          <w:rFonts w:ascii="黑体" w:hAnsi="黑体" w:eastAsia="黑体" w:hint="eastAsia"/>
          <w:spacing w:val="-11"/>
          <w:w w:val="105"/>
        </w:rPr>
        <w:t>6</w:t>
      </w:r>
      <w:r>
        <w:rPr>
          <w:spacing w:val="-11"/>
          <w:w w:val="105"/>
        </w:rPr>
        <w:t>P</w:t>
      </w:r>
      <w:r>
        <w:rPr>
          <w:spacing w:val="-17"/>
          <w:w w:val="105"/>
        </w:rPr>
        <w:t>时未年满 </w:t>
      </w:r>
      <w:r>
        <w:rPr>
          <w:rFonts w:ascii="仿宋" w:hAnsi="仿宋" w:eastAsia="仿宋" w:hint="eastAsia"/>
          <w:w w:val="105"/>
        </w:rPr>
        <w:t>18</w:t>
      </w:r>
      <w:r>
        <w:rPr>
          <w:rFonts w:ascii="仿宋" w:hAnsi="仿宋" w:eastAsia="仿宋" w:hint="eastAsia"/>
          <w:spacing w:val="-84"/>
          <w:w w:val="105"/>
        </w:rPr>
        <w:t> </w:t>
      </w:r>
      <w:r>
        <w:rPr>
          <w:spacing w:val="-5"/>
          <w:w w:val="105"/>
        </w:rPr>
        <w:t>周岁的，我公司将按无息</w:t>
      </w:r>
    </w:p>
    <w:p>
      <w:pPr>
        <w:pStyle w:val="BodyText"/>
        <w:spacing w:line="297" w:lineRule="exact"/>
        <w:ind w:left="112"/>
      </w:pPr>
      <w:r>
        <w:rPr>
          <w:spacing w:val="-5"/>
        </w:rPr>
        <w:t>的已交保险费金额给付“身故保险金”或“全残保险金”，本合同效力终止。</w:t>
      </w:r>
    </w:p>
    <w:p>
      <w:pPr>
        <w:pStyle w:val="BodyText"/>
        <w:spacing w:line="237" w:lineRule="auto" w:before="2"/>
        <w:ind w:left="112" w:right="230" w:firstLine="479"/>
        <w:jc w:val="both"/>
      </w:pPr>
      <w:r>
        <w:rPr>
          <w:spacing w:val="-4"/>
        </w:rPr>
        <w:t>被保险人发生身故或全残时年满 </w:t>
      </w:r>
      <w:r>
        <w:rPr>
          <w:rFonts w:ascii="仿宋" w:hAnsi="仿宋" w:eastAsia="仿宋" w:hint="eastAsia"/>
        </w:rPr>
        <w:t>18</w:t>
      </w:r>
      <w:r>
        <w:rPr>
          <w:rFonts w:ascii="仿宋" w:hAnsi="仿宋" w:eastAsia="仿宋" w:hint="eastAsia"/>
          <w:spacing w:val="-60"/>
        </w:rPr>
        <w:t> </w:t>
      </w:r>
      <w:r>
        <w:rPr>
          <w:spacing w:val="-12"/>
        </w:rPr>
        <w:t>周岁的，且自保险责任开始日或自最近的合同效力恢复日C以较迟者为准3</w:t>
      </w:r>
      <w:r>
        <w:rPr>
          <w:spacing w:val="21"/>
        </w:rPr>
        <w:t>起 </w:t>
      </w:r>
      <w:r>
        <w:rPr>
          <w:rFonts w:ascii="仿宋" w:hAnsi="仿宋" w:eastAsia="仿宋" w:hint="eastAsia"/>
        </w:rPr>
        <w:t>180</w:t>
      </w:r>
      <w:r>
        <w:rPr>
          <w:rFonts w:ascii="仿宋" w:hAnsi="仿宋" w:eastAsia="仿宋" w:hint="eastAsia"/>
          <w:spacing w:val="55"/>
        </w:rPr>
        <w:t> </w:t>
      </w:r>
      <w:r>
        <w:rPr/>
        <w:t>日内C</w:t>
      </w:r>
      <w:r>
        <w:rPr>
          <w:spacing w:val="17"/>
        </w:rPr>
        <w:t>含第 </w:t>
      </w:r>
      <w:r>
        <w:rPr>
          <w:rFonts w:ascii="仿宋" w:hAnsi="仿宋" w:eastAsia="仿宋" w:hint="eastAsia"/>
        </w:rPr>
        <w:t>180</w:t>
      </w:r>
      <w:r>
        <w:rPr>
          <w:rFonts w:ascii="仿宋" w:hAnsi="仿宋" w:eastAsia="仿宋" w:hint="eastAsia"/>
          <w:spacing w:val="55"/>
        </w:rPr>
        <w:t> </w:t>
      </w:r>
      <w:r>
        <w:rPr/>
        <w:t>日3身故或全残的，fi </w:t>
      </w:r>
      <w:r>
        <w:rPr>
          <w:spacing w:val="-12"/>
        </w:rPr>
        <w:t>公司将按无息的已交保险费金额给付“身故保险金”或“全残保险金”，本合同效力终止ↆ但因意外伤害导敡身故、全残的，我公司将按照本合同约定的基本保险</w:t>
      </w:r>
      <w:r>
        <w:rPr>
          <w:spacing w:val="-15"/>
        </w:rPr>
        <w:t>金额给付“身故保险金”或“全残保险金”，本合同效力终止。</w:t>
      </w:r>
      <w:r>
        <w:rPr/>
        <w:t>180</w:t>
      </w:r>
      <w:r>
        <w:rPr>
          <w:rFonts w:ascii="Times New Roman" w:hAnsi="Times New Roman" w:eastAsia="Times New Roman"/>
        </w:rPr>
        <w:t> </w:t>
      </w:r>
      <w:r>
        <w:rPr/>
        <w:t>日后发生身故或全残的，我公司将按照本合同约定的基本保险金额给付“身故保险金”或“全</w:t>
      </w:r>
      <w:r>
        <w:rPr>
          <w:spacing w:val="-12"/>
        </w:rPr>
        <w:t>残保险金”，本合同效力终止。</w:t>
      </w:r>
    </w:p>
    <w:p>
      <w:pPr>
        <w:pStyle w:val="Heading3"/>
        <w:ind w:left="582"/>
        <w:rPr>
          <w:rFonts w:ascii="Microsoft JhengHei" w:eastAsia="Microsoft JhengHei" w:hint="eastAsia"/>
        </w:rPr>
      </w:pPr>
      <w:bookmarkStart w:name="_bookmark14" w:id="15"/>
      <w:bookmarkEnd w:id="15"/>
      <w:r>
        <w:rPr>
          <w:b w:val="0"/>
        </w:rPr>
      </w:r>
      <w:r>
        <w:rPr>
          <w:rFonts w:ascii="Microsoft JhengHei" w:eastAsia="Microsoft JhengHei" w:hint="eastAsia"/>
        </w:rPr>
        <w:t>第十一条  保险责任的免除</w:t>
      </w:r>
    </w:p>
    <w:p>
      <w:pPr>
        <w:pStyle w:val="BodyText"/>
        <w:spacing w:line="237" w:lineRule="auto"/>
        <w:ind w:left="112" w:right="233" w:firstLine="479"/>
      </w:pPr>
      <w:r>
        <w:rPr/>
        <w:t>因fl列情形之一导致被保险人身故,全⇁或初患“重大疾病”的，我z¼fl  承担给付保险金的责任:</w:t>
      </w:r>
    </w:p>
    <w:p>
      <w:pPr>
        <w:pStyle w:val="BodyText"/>
        <w:spacing w:line="237" w:lineRule="auto" w:before="12"/>
        <w:ind w:right="2632"/>
      </w:pPr>
      <w:r>
        <w:rPr>
          <w:w w:val="110"/>
        </w:rPr>
        <w:t>C一P投保人对被保险人的故意杀害,故意伤害;                  CsP故意犯罪或抗拒依法采取的刑$强制措施;</w:t>
      </w:r>
    </w:p>
    <w:p>
      <w:pPr>
        <w:pStyle w:val="BodyText"/>
        <w:ind w:left="112" w:right="231" w:firstLine="479"/>
      </w:pPr>
      <w:r>
        <w:rPr/>
        <w:t>CпP在本合同Th</w:t>
      </w:r>
      <w:r>
        <w:rPr>
          <w:spacing w:val="3"/>
        </w:rPr>
        <w:t>效或合同效力恢复之日起 </w:t>
      </w:r>
      <w:r>
        <w:rPr>
          <w:rFonts w:ascii="黑体" w:hAnsi="黑体" w:eastAsia="黑体" w:hint="eastAsia"/>
        </w:rPr>
        <w:t>2</w:t>
      </w:r>
      <w:r>
        <w:rPr>
          <w:rFonts w:ascii="黑体" w:hAnsi="黑体" w:eastAsia="黑体" w:hint="eastAsia"/>
          <w:spacing w:val="50"/>
        </w:rPr>
        <w:t> </w:t>
      </w:r>
      <w:r>
        <w:rPr/>
        <w:t>年内自杀，但被保险人自杀时</w:t>
      </w:r>
      <w:r>
        <w:rPr>
          <w:w w:val="105"/>
        </w:rPr>
        <w:t>fi无民$行fi能力人的除外;</w:t>
      </w:r>
    </w:p>
    <w:p>
      <w:pPr>
        <w:pStyle w:val="BodyText"/>
        <w:spacing w:line="280" w:lineRule="exact" w:before="2"/>
      </w:pPr>
      <w:r>
        <w:rPr>
          <w:w w:val="117"/>
        </w:rPr>
        <w:t>C四PÈ动吸食或注射</w:t>
      </w:r>
      <w:r>
        <w:rPr>
          <w:rFonts w:ascii="Microsoft JhengHei" w:hAnsi="Microsoft JhengHei" w:eastAsia="Microsoft JhengHei" w:hint="eastAsia"/>
          <w:b/>
          <w:spacing w:val="1"/>
          <w:w w:val="96"/>
          <w:sz w:val="25"/>
        </w:rPr>
        <w:t>毒品</w:t>
      </w:r>
      <w:r>
        <w:rPr>
          <w:w w:val="114"/>
        </w:rPr>
        <w:t>C见释义</w:t>
      </w:r>
      <w:r>
        <w:rPr>
          <w:spacing w:val="-60"/>
        </w:rPr>
        <w:t> </w:t>
      </w:r>
      <w:r>
        <w:rPr>
          <w:rFonts w:ascii="黑体" w:hAnsi="黑体" w:eastAsia="黑体" w:hint="eastAsia"/>
        </w:rPr>
        <w:t>7</w:t>
      </w:r>
      <w:r>
        <w:rPr>
          <w:spacing w:val="-120"/>
          <w:w w:val="200"/>
        </w:rPr>
        <w:t>P;</w:t>
      </w:r>
    </w:p>
    <w:p>
      <w:pPr>
        <w:spacing w:line="312" w:lineRule="exact" w:before="0"/>
        <w:ind w:left="592" w:right="0" w:firstLine="0"/>
        <w:jc w:val="left"/>
        <w:rPr>
          <w:sz w:val="24"/>
        </w:rPr>
      </w:pPr>
      <w:r>
        <w:rPr>
          <w:w w:val="150"/>
          <w:sz w:val="24"/>
        </w:rPr>
        <w:t>C五P</w:t>
      </w:r>
      <w:r>
        <w:rPr>
          <w:rFonts w:ascii="Microsoft JhengHei" w:eastAsia="Microsoft JhengHei" w:hint="eastAsia"/>
          <w:b/>
          <w:w w:val="96"/>
          <w:sz w:val="25"/>
        </w:rPr>
        <w:t>酒后驾驶</w:t>
      </w:r>
      <w:r>
        <w:rPr>
          <w:w w:val="120"/>
          <w:sz w:val="24"/>
        </w:rPr>
        <w:t>C</w:t>
      </w:r>
      <w:r>
        <w:rPr>
          <w:spacing w:val="-2"/>
          <w:w w:val="120"/>
          <w:sz w:val="24"/>
        </w:rPr>
        <w:t>见释</w:t>
      </w:r>
      <w:r>
        <w:rPr>
          <w:spacing w:val="-31"/>
          <w:sz w:val="24"/>
        </w:rPr>
        <w:t>义 </w:t>
      </w:r>
      <w:r>
        <w:rPr>
          <w:rFonts w:ascii="黑体" w:eastAsia="黑体" w:hint="eastAsia"/>
          <w:sz w:val="24"/>
        </w:rPr>
        <w:t>8</w:t>
      </w:r>
      <w:r>
        <w:rPr>
          <w:spacing w:val="-120"/>
          <w:w w:val="200"/>
          <w:sz w:val="24"/>
        </w:rPr>
        <w:t>P</w:t>
      </w:r>
      <w:r>
        <w:rPr>
          <w:w w:val="200"/>
          <w:sz w:val="24"/>
        </w:rPr>
        <w:t>,</w:t>
      </w:r>
      <w:r>
        <w:rPr>
          <w:rFonts w:ascii="Microsoft JhengHei" w:eastAsia="Microsoft JhengHei" w:hint="eastAsia"/>
          <w:b/>
          <w:w w:val="96"/>
          <w:sz w:val="25"/>
        </w:rPr>
        <w:t>无合法有效驾驶证驾驶</w:t>
      </w:r>
      <w:r>
        <w:rPr>
          <w:w w:val="114"/>
          <w:sz w:val="24"/>
        </w:rPr>
        <w:t>C见释义</w:t>
      </w:r>
      <w:r>
        <w:rPr>
          <w:spacing w:val="-60"/>
          <w:sz w:val="24"/>
        </w:rPr>
        <w:t> </w:t>
      </w:r>
      <w:r>
        <w:rPr>
          <w:rFonts w:ascii="黑体" w:eastAsia="黑体" w:hint="eastAsia"/>
          <w:sz w:val="24"/>
        </w:rPr>
        <w:t>9</w:t>
      </w:r>
      <w:r>
        <w:rPr>
          <w:spacing w:val="-123"/>
          <w:w w:val="200"/>
          <w:sz w:val="24"/>
        </w:rPr>
        <w:t>P</w:t>
      </w:r>
      <w:r>
        <w:rPr>
          <w:sz w:val="24"/>
        </w:rPr>
        <w:t>，或驾驶</w:t>
      </w:r>
    </w:p>
    <w:p>
      <w:pPr>
        <w:spacing w:line="358" w:lineRule="exact" w:before="0"/>
        <w:ind w:left="112" w:right="0" w:firstLine="0"/>
        <w:jc w:val="left"/>
        <w:rPr>
          <w:sz w:val="24"/>
        </w:rPr>
      </w:pPr>
      <w:r>
        <w:rPr>
          <w:rFonts w:ascii="Microsoft JhengHei" w:eastAsia="Microsoft JhengHei" w:hint="eastAsia"/>
          <w:b/>
          <w:w w:val="105"/>
          <w:sz w:val="25"/>
        </w:rPr>
        <w:t>无有效行驶证</w:t>
      </w:r>
      <w:r>
        <w:rPr>
          <w:w w:val="105"/>
          <w:sz w:val="24"/>
        </w:rPr>
        <w:t>C见释义 </w:t>
      </w:r>
      <w:r>
        <w:rPr>
          <w:rFonts w:ascii="黑体" w:eastAsia="黑体" w:hint="eastAsia"/>
          <w:w w:val="105"/>
          <w:sz w:val="24"/>
        </w:rPr>
        <w:t>10</w:t>
      </w:r>
      <w:r>
        <w:rPr>
          <w:w w:val="105"/>
          <w:sz w:val="24"/>
        </w:rPr>
        <w:t>P的机动车;</w:t>
      </w:r>
    </w:p>
    <w:p>
      <w:pPr>
        <w:pStyle w:val="BodyText"/>
        <w:spacing w:line="237" w:lineRule="auto"/>
        <w:ind w:right="3604"/>
      </w:pPr>
      <w:r>
        <w:rPr>
          <w:w w:val="115"/>
        </w:rPr>
        <w:t>C</w:t>
      </w:r>
      <w:r>
        <w:rPr>
          <w:w w:val="115"/>
          <w:rtl/>
        </w:rPr>
        <w:t>ޣ</w:t>
      </w:r>
      <w:r>
        <w:rPr>
          <w:w w:val="115"/>
        </w:rPr>
        <w:t>P战ҿ,军$冲突,暴乱或武装叛乱; C七P核爆炸,核辐射或核污染</w:t>
      </w:r>
      <w:r>
        <w:rPr>
          <w:w w:val="115"/>
        </w:rPr>
        <w:t>;</w:t>
      </w:r>
    </w:p>
    <w:p>
      <w:pPr>
        <w:pStyle w:val="BodyText"/>
        <w:spacing w:line="237" w:lineRule="auto" w:before="14"/>
        <w:ind w:left="112" w:right="169" w:firstLine="479"/>
      </w:pPr>
      <w:r>
        <w:rPr>
          <w:spacing w:val="-14"/>
          <w:w w:val="120"/>
        </w:rPr>
        <w:t>C</w:t>
      </w:r>
      <w:r>
        <w:rPr>
          <w:spacing w:val="-14"/>
          <w:w w:val="120"/>
          <w:rtl/>
        </w:rPr>
        <w:t>ޡ</w:t>
      </w:r>
      <w:r>
        <w:rPr>
          <w:spacing w:val="-14"/>
          <w:w w:val="120"/>
        </w:rPr>
        <w:t>P</w:t>
      </w:r>
      <w:r>
        <w:rPr>
          <w:spacing w:val="-6"/>
          <w:w w:val="105"/>
        </w:rPr>
        <w:t>感染艾滋病病毒</w:t>
      </w:r>
      <w:r>
        <w:rPr>
          <w:spacing w:val="-9"/>
          <w:w w:val="120"/>
        </w:rPr>
        <w:t>C</w:t>
      </w:r>
      <w:r>
        <w:rPr>
          <w:rFonts w:ascii="黑体" w:cs="黑体" w:eastAsia="黑体" w:hint="eastAsia"/>
          <w:spacing w:val="-9"/>
          <w:w w:val="120"/>
        </w:rPr>
        <w:t>HIV</w:t>
      </w:r>
      <w:r>
        <w:rPr>
          <w:spacing w:val="-9"/>
          <w:w w:val="120"/>
        </w:rPr>
        <w:t>P</w:t>
      </w:r>
      <w:r>
        <w:rPr>
          <w:w w:val="105"/>
        </w:rPr>
        <w:t>或患艾滋病</w:t>
      </w:r>
      <w:r>
        <w:rPr>
          <w:rFonts w:ascii="黑体" w:cs="黑体" w:eastAsia="黑体" w:hint="eastAsia"/>
          <w:w w:val="105"/>
        </w:rPr>
        <w:t>(AIDS), </w:t>
      </w:r>
      <w:r>
        <w:rPr>
          <w:w w:val="105"/>
        </w:rPr>
        <w:t>经输血导致的人类免疫缺</w:t>
      </w:r>
      <w:r>
        <w:rPr>
          <w:spacing w:val="-1"/>
          <w:w w:val="105"/>
        </w:rPr>
        <w:t>陷病毒</w:t>
      </w:r>
      <w:r>
        <w:rPr>
          <w:w w:val="105"/>
        </w:rPr>
        <w:t>C</w:t>
      </w:r>
      <w:r>
        <w:rPr>
          <w:rFonts w:ascii="黑体" w:cs="黑体" w:eastAsia="黑体" w:hint="eastAsia"/>
          <w:w w:val="105"/>
        </w:rPr>
        <w:t>HIV</w:t>
      </w:r>
      <w:r>
        <w:rPr>
          <w:w w:val="105"/>
        </w:rPr>
        <w:t>P感染fl在此</w:t>
      </w:r>
      <w:r>
        <w:rPr>
          <w:w w:val="135"/>
        </w:rPr>
        <w:t>列</w:t>
      </w:r>
      <w:r>
        <w:rPr>
          <w:w w:val="135"/>
        </w:rPr>
        <w:t>;</w:t>
      </w:r>
    </w:p>
    <w:p>
      <w:pPr>
        <w:pStyle w:val="BodyText"/>
        <w:spacing w:line="237" w:lineRule="auto"/>
        <w:ind w:left="112" w:right="113" w:firstLine="479"/>
      </w:pPr>
      <w:r>
        <w:rPr/>
        <w:t>C九</w:t>
      </w:r>
      <w:r>
        <w:rPr>
          <w:spacing w:val="-60"/>
        </w:rPr>
        <w:t>P</w:t>
      </w:r>
      <w:r>
        <w:rPr>
          <w:spacing w:val="-3"/>
        </w:rPr>
        <w:t>保险责任期间开始之前已经患有本合同所述重大疾病的，以及遗传病， </w:t>
      </w:r>
      <w:r>
        <w:rPr>
          <w:spacing w:val="-3"/>
          <w:w w:val="105"/>
        </w:rPr>
        <w:t>先天性畸形,变形或染色体异常o</w:t>
      </w:r>
    </w:p>
    <w:p>
      <w:pPr>
        <w:pStyle w:val="BodyText"/>
        <w:spacing w:line="237" w:lineRule="auto"/>
        <w:ind w:left="112" w:right="231" w:firstLine="479"/>
        <w:jc w:val="both"/>
      </w:pPr>
      <w:r>
        <w:rPr>
          <w:w w:val="105"/>
        </w:rPr>
        <w:t>发Th1述第C一P项情形导致被保险人身故,全⇁或发Th重大疾病的，本合</w:t>
      </w:r>
      <w:r>
        <w:rPr>
          <w:spacing w:val="-8"/>
          <w:w w:val="105"/>
        </w:rPr>
        <w:t>同终止，投保人已交足 </w:t>
      </w:r>
      <w:r>
        <w:rPr>
          <w:rFonts w:ascii="黑体" w:hAnsi="黑体" w:cs="黑体" w:eastAsia="黑体" w:hint="eastAsia"/>
          <w:w w:val="105"/>
        </w:rPr>
        <w:t>2</w:t>
      </w:r>
      <w:r>
        <w:rPr>
          <w:rFonts w:ascii="黑体" w:hAnsi="黑体" w:cs="黑体" w:eastAsia="黑体" w:hint="eastAsia"/>
          <w:spacing w:val="-84"/>
          <w:w w:val="105"/>
        </w:rPr>
        <w:t> </w:t>
      </w:r>
      <w:r>
        <w:rPr>
          <w:w w:val="105"/>
        </w:rPr>
        <w:t>年以1保险费的，我z¼向被保险人或其合法继承人退还保险单的现金ԭ值;发Th1述第CsP项情形导致被保险人身故,全⇁或发Th</w:t>
      </w:r>
    </w:p>
    <w:p>
      <w:pPr>
        <w:spacing w:after="0" w:line="237" w:lineRule="auto"/>
        <w:jc w:val="both"/>
        <w:sectPr>
          <w:pgSz w:w="11910" w:h="16840"/>
          <w:pgMar w:header="0" w:footer="977" w:top="1420" w:bottom="1160" w:left="1640" w:right="1520"/>
        </w:sectPr>
      </w:pPr>
    </w:p>
    <w:p>
      <w:pPr>
        <w:pStyle w:val="BodyText"/>
        <w:spacing w:line="237" w:lineRule="auto" w:before="5"/>
        <w:ind w:left="112" w:right="571"/>
        <w:jc w:val="both"/>
      </w:pPr>
      <w:r>
        <w:rPr>
          <w:spacing w:val="-5"/>
          <w:w w:val="105"/>
        </w:rPr>
        <w:t>重大疾病的，本合同终止，投保人已交足 </w:t>
      </w:r>
      <w:r>
        <w:rPr>
          <w:rFonts w:ascii="黑体" w:hAnsi="黑体" w:cs="黑体" w:eastAsia="黑体" w:hint="eastAsia"/>
          <w:w w:val="105"/>
        </w:rPr>
        <w:t>2</w:t>
      </w:r>
      <w:r>
        <w:rPr>
          <w:rFonts w:ascii="黑体" w:hAnsi="黑体" w:cs="黑体" w:eastAsia="黑体" w:hint="eastAsia"/>
          <w:spacing w:val="-84"/>
          <w:w w:val="105"/>
        </w:rPr>
        <w:t> </w:t>
      </w:r>
      <w:r>
        <w:rPr>
          <w:w w:val="105"/>
        </w:rPr>
        <w:t>年以1保险费的，我z¼向投保人退</w:t>
      </w:r>
      <w:r>
        <w:rPr/>
        <w:t>还保险单的现金ԭ值;发Th1述其他情形导致被保险人身故,全⇁或发Th重大疾 </w:t>
      </w:r>
      <w:r>
        <w:rPr>
          <w:w w:val="105"/>
        </w:rPr>
        <w:t>病的，本合同终止，我z¼向投保人退还保险单的现金ԭ值o</w:t>
      </w:r>
    </w:p>
    <w:p>
      <w:pPr>
        <w:pStyle w:val="Heading3"/>
        <w:spacing w:line="326" w:lineRule="exact"/>
        <w:ind w:left="582"/>
      </w:pPr>
      <w:bookmarkStart w:name="_bookmark15" w:id="16"/>
      <w:bookmarkEnd w:id="16"/>
      <w:r>
        <w:rPr>
          <w:b w:val="0"/>
        </w:rPr>
      </w:r>
      <w:r>
        <w:rPr/>
        <w:t>第十二条 保险责任的终止</w:t>
      </w:r>
    </w:p>
    <w:p>
      <w:pPr>
        <w:pStyle w:val="BodyText"/>
        <w:spacing w:line="237" w:lineRule="auto"/>
        <w:ind w:right="2493"/>
      </w:pPr>
      <w:r>
        <w:rPr/>
        <w:t>以下任何一种情况发生时，本合同及保险责任自动终止ↅ ⅳ一ⅴ主合同终止ↆ                               ⅳ二ⅴ在本合同有效期内，本合同解除的ↆ           ⅳ三ⅴ给付重大疾病保险金ↆ                       ⅳ四ⅴ给付身故、全残保险金ↆ</w:t>
      </w:r>
    </w:p>
    <w:p>
      <w:pPr>
        <w:spacing w:line="194" w:lineRule="auto" w:before="70"/>
        <w:ind w:left="592" w:right="573" w:firstLine="0"/>
        <w:jc w:val="left"/>
        <w:rPr>
          <w:rFonts w:ascii="微软雅黑" w:hAnsi="微软雅黑" w:eastAsia="微软雅黑" w:hint="eastAsia"/>
          <w:b/>
          <w:sz w:val="24"/>
        </w:rPr>
      </w:pPr>
      <w:r>
        <w:rPr>
          <w:sz w:val="24"/>
        </w:rPr>
        <w:t>ⅳ五ⅴ因本合同的其他约定或者本合同之主合同或从合同的约定而终止的。</w:t>
      </w:r>
      <w:bookmarkStart w:name="_bookmark16" w:id="17"/>
      <w:bookmarkEnd w:id="17"/>
      <w:r>
        <w:rPr>
          <w:sz w:val="24"/>
        </w:rPr>
      </w:r>
      <w:r>
        <w:rPr>
          <w:rFonts w:ascii="微软雅黑" w:hAnsi="微软雅黑" w:eastAsia="微软雅黑" w:hint="eastAsia"/>
          <w:b/>
          <w:sz w:val="24"/>
        </w:rPr>
        <w:t>第十三条 受益人的指定与变更</w:t>
      </w:r>
    </w:p>
    <w:p>
      <w:pPr>
        <w:pStyle w:val="BodyText"/>
        <w:spacing w:line="312" w:lineRule="exact"/>
        <w:ind w:left="112" w:right="570" w:firstLine="479"/>
      </w:pPr>
      <w:r>
        <w:rPr/>
        <w:t>ⅳ一ⅴ除另有约定，本合同重大疾病保险金受益人和全残保险金受益人为被保险人本人。</w:t>
      </w:r>
    </w:p>
    <w:p>
      <w:pPr>
        <w:pStyle w:val="BodyText"/>
        <w:spacing w:line="312" w:lineRule="exact"/>
        <w:ind w:right="5852"/>
      </w:pPr>
      <w:r>
        <w:rPr/>
        <w:t>ⅳ二ⅴ身故保险金受益人与主合同的约定相同。</w:t>
      </w:r>
    </w:p>
    <w:p>
      <w:pPr>
        <w:pStyle w:val="BodyText"/>
        <w:spacing w:line="312" w:lineRule="exact"/>
        <w:ind w:left="112" w:right="586" w:firstLine="465"/>
      </w:pPr>
      <w:r>
        <w:rPr/>
        <w:t>ⅳ三ⅴ受益人故意造成被保险人身故、疾病的，或者故意杀害被保险人未遂的，该受益人丧失受益权。</w:t>
      </w:r>
    </w:p>
    <w:p>
      <w:pPr>
        <w:pStyle w:val="BodyText"/>
        <w:ind w:left="0"/>
        <w:rPr>
          <w:sz w:val="21"/>
        </w:rPr>
      </w:pPr>
      <w:r>
        <w:rPr/>
        <w:pict>
          <v:line style="position:absolute;mso-position-horizontal-relative:page;mso-position-vertical-relative:paragraph;z-index:1096;mso-wrap-distance-left:0;mso-wrap-distance-right:0" from="89.150002pt,16.48077pt" to="530.150008pt,16.53077pt" stroked="true" strokeweight="1.5pt" strokecolor="#000000">
            <v:stroke dashstyle="solid"/>
            <w10:wrap type="topAndBottom"/>
          </v:line>
        </w:pict>
      </w:r>
    </w:p>
    <w:p>
      <w:pPr>
        <w:pStyle w:val="BodyText"/>
        <w:spacing w:before="11"/>
        <w:ind w:left="0"/>
        <w:rPr>
          <w:sz w:val="20"/>
        </w:rPr>
      </w:pPr>
    </w:p>
    <w:p>
      <w:pPr>
        <w:pStyle w:val="Heading2"/>
        <w:ind w:left="112"/>
      </w:pPr>
      <w:bookmarkStart w:name="_bookmark17" w:id="18"/>
      <w:bookmarkEnd w:id="18"/>
      <w:r>
        <w:rPr/>
      </w:r>
      <w:r>
        <w:rPr>
          <w:w w:val="105"/>
        </w:rPr>
        <w:t>五,专属于您的合同权益</w:t>
      </w:r>
    </w:p>
    <w:p>
      <w:pPr>
        <w:pStyle w:val="Heading3"/>
        <w:spacing w:line="399" w:lineRule="exact" w:before="120"/>
        <w:ind w:left="582"/>
      </w:pPr>
      <w:bookmarkStart w:name="_bookmark18" w:id="19"/>
      <w:bookmarkEnd w:id="19"/>
      <w:r>
        <w:rPr>
          <w:b w:val="0"/>
        </w:rPr>
      </w:r>
      <w:r>
        <w:rPr/>
        <w:t>第十四条 豁免保险费</w:t>
      </w:r>
    </w:p>
    <w:p>
      <w:pPr>
        <w:pStyle w:val="BodyText"/>
        <w:spacing w:line="237" w:lineRule="auto"/>
        <w:ind w:left="112" w:right="450" w:firstLine="479"/>
      </w:pPr>
      <w:r>
        <w:rPr/>
        <w:t>C一3</w:t>
      </w:r>
      <w:r>
        <w:rPr>
          <w:spacing w:val="0"/>
        </w:rPr>
        <w:t>您在交费期间内，因遭受意外伤害且意外伤害发生时您不满 </w:t>
      </w:r>
      <w:r>
        <w:rPr/>
        <w:t>65</w:t>
      </w:r>
      <w:r>
        <w:rPr>
          <w:spacing w:val="10"/>
        </w:rPr>
        <w:t> 周岁， </w:t>
      </w:r>
      <w:r>
        <w:rPr>
          <w:spacing w:val="2"/>
        </w:rPr>
        <w:t>并自伤害发生之日起 </w:t>
      </w:r>
      <w:r>
        <w:rPr/>
        <w:t>180</w:t>
      </w:r>
      <w:r>
        <w:rPr>
          <w:spacing w:val="-18"/>
        </w:rPr>
        <w:t> 日内ⅳ含第 </w:t>
      </w:r>
      <w:r>
        <w:rPr/>
        <w:t>180</w:t>
      </w:r>
      <w:r>
        <w:rPr>
          <w:spacing w:val="-8"/>
        </w:rPr>
        <w:t> 日ⅴ以该伤害为直接且单独的原因导敡您身故或全残，则免交本合同以后各期保险费，本合同继续有效。</w:t>
      </w:r>
    </w:p>
    <w:p>
      <w:pPr>
        <w:pStyle w:val="BodyText"/>
        <w:spacing w:line="237" w:lineRule="auto" w:before="14"/>
        <w:ind w:left="112" w:right="572" w:firstLine="479"/>
        <w:jc w:val="both"/>
      </w:pPr>
      <w:r>
        <w:rPr>
          <w:spacing w:val="-6"/>
        </w:rPr>
        <w:t>自意外伤害发生之日起 </w:t>
      </w:r>
      <w:r>
        <w:rPr/>
        <w:t>180</w:t>
      </w:r>
      <w:r>
        <w:rPr>
          <w:spacing w:val="-18"/>
        </w:rPr>
        <w:t> 日内ⅳ含第 </w:t>
      </w:r>
      <w:r>
        <w:rPr/>
        <w:t>180</w:t>
      </w:r>
      <w:r>
        <w:rPr>
          <w:spacing w:val="-8"/>
        </w:rPr>
        <w:t> 日ⅴ治疗仍未结束的，我公司将</w:t>
      </w:r>
      <w:r>
        <w:rPr>
          <w:spacing w:val="-12"/>
        </w:rPr>
        <w:t>按您自意外伤害发生日起第 </w:t>
      </w:r>
      <w:r>
        <w:rPr/>
        <w:t>180</w:t>
      </w:r>
      <w:r>
        <w:rPr>
          <w:spacing w:val="-8"/>
        </w:rPr>
        <w:t> 日的身体情况进行鉴定，并据此决定是否豁免以后各期保险费。</w:t>
      </w:r>
    </w:p>
    <w:p>
      <w:pPr>
        <w:pStyle w:val="BodyText"/>
        <w:spacing w:line="311" w:lineRule="exact"/>
      </w:pPr>
      <w:r>
        <w:rPr>
          <w:w w:val="110"/>
        </w:rPr>
        <w:t>CsP因fl列情形之一导致投保人身故或全⇁的，我z¼fl\豁免保险费:</w:t>
      </w:r>
    </w:p>
    <w:p>
      <w:pPr>
        <w:pStyle w:val="BodyText"/>
        <w:spacing w:line="312" w:lineRule="exact"/>
      </w:pPr>
      <w:r>
        <w:rPr>
          <w:rFonts w:ascii="黑体" w:eastAsia="黑体" w:hint="eastAsia"/>
          <w:w w:val="105"/>
        </w:rPr>
        <w:t>1</w:t>
      </w:r>
      <w:r>
        <w:rPr>
          <w:w w:val="105"/>
        </w:rPr>
        <w:t>,被保险人对投保人的故意杀害,故意伤害;</w:t>
      </w:r>
    </w:p>
    <w:p>
      <w:pPr>
        <w:pStyle w:val="BodyText"/>
        <w:spacing w:line="312" w:lineRule="exact"/>
      </w:pPr>
      <w:r>
        <w:rPr>
          <w:rFonts w:ascii="黑体" w:eastAsia="黑体" w:hint="eastAsia"/>
          <w:w w:val="105"/>
        </w:rPr>
        <w:t>2</w:t>
      </w:r>
      <w:r>
        <w:rPr>
          <w:w w:val="105"/>
        </w:rPr>
        <w:t>,故意犯罪或抗拒依法采取的刑$强制措施;</w:t>
      </w:r>
    </w:p>
    <w:p>
      <w:pPr>
        <w:pStyle w:val="BodyText"/>
        <w:spacing w:line="312" w:lineRule="exact"/>
      </w:pPr>
      <w:r>
        <w:rPr>
          <w:rFonts w:ascii="黑体" w:eastAsia="黑体" w:hint="eastAsia"/>
          <w:w w:val="130"/>
        </w:rPr>
        <w:t>3</w:t>
      </w:r>
      <w:r>
        <w:rPr>
          <w:w w:val="130"/>
        </w:rPr>
        <w:t>,</w:t>
      </w:r>
      <w:r>
        <w:rPr/>
        <w:t>在本合同Th效或合同效力恢复之日起 </w:t>
      </w:r>
      <w:r>
        <w:rPr>
          <w:rFonts w:ascii="黑体" w:eastAsia="黑体" w:hint="eastAsia"/>
        </w:rPr>
        <w:t>2 </w:t>
      </w:r>
      <w:r>
        <w:rPr/>
        <w:t>年内自杀，但投保人自杀时fi无民</w:t>
      </w:r>
    </w:p>
    <w:p>
      <w:pPr>
        <w:pStyle w:val="BodyText"/>
        <w:spacing w:line="312" w:lineRule="exact"/>
        <w:ind w:left="112"/>
        <w:jc w:val="both"/>
      </w:pPr>
      <w:r>
        <w:rPr>
          <w:w w:val="110"/>
        </w:rPr>
        <w:t>$行fi能力人的除外;</w:t>
      </w:r>
    </w:p>
    <w:p>
      <w:pPr>
        <w:pStyle w:val="BodyText"/>
        <w:spacing w:line="312" w:lineRule="exact"/>
      </w:pPr>
      <w:r>
        <w:rPr>
          <w:rFonts w:ascii="黑体" w:hAnsi="黑体" w:eastAsia="黑体" w:hint="eastAsia"/>
          <w:w w:val="115"/>
        </w:rPr>
        <w:t>4</w:t>
      </w:r>
      <w:r>
        <w:rPr>
          <w:w w:val="115"/>
        </w:rPr>
        <w:t>,È动吸食或注射毒品;</w:t>
      </w:r>
    </w:p>
    <w:p>
      <w:pPr>
        <w:pStyle w:val="BodyText"/>
        <w:spacing w:line="312" w:lineRule="exact"/>
      </w:pPr>
      <w:r>
        <w:rPr>
          <w:rFonts w:ascii="黑体" w:eastAsia="黑体" w:hint="eastAsia"/>
        </w:rPr>
        <w:t>5</w:t>
      </w:r>
      <w:r>
        <w:rPr/>
        <w:t>,酒后驾驶,无合法有效驾驶证驾驶，或驾驶无有效行驶证的机动车;</w:t>
      </w:r>
    </w:p>
    <w:p>
      <w:pPr>
        <w:pStyle w:val="BodyText"/>
        <w:spacing w:line="312" w:lineRule="exact"/>
      </w:pPr>
      <w:r>
        <w:rPr>
          <w:rFonts w:ascii="黑体" w:hAnsi="黑体" w:eastAsia="黑体" w:hint="eastAsia"/>
          <w:w w:val="115"/>
        </w:rPr>
        <w:t>6</w:t>
      </w:r>
      <w:r>
        <w:rPr>
          <w:w w:val="115"/>
        </w:rPr>
        <w:t>,战ҿ,军$冲突,暴乱或武装叛乱;</w:t>
      </w:r>
    </w:p>
    <w:p>
      <w:pPr>
        <w:pStyle w:val="BodyText"/>
        <w:spacing w:line="312" w:lineRule="exact"/>
      </w:pPr>
      <w:r>
        <w:rPr>
          <w:rFonts w:ascii="黑体" w:eastAsia="黑体" w:hint="eastAsia"/>
          <w:w w:val="110"/>
        </w:rPr>
        <w:t>7</w:t>
      </w:r>
      <w:r>
        <w:rPr>
          <w:w w:val="110"/>
        </w:rPr>
        <w:t>,核爆炸,核辐射或核污染o</w:t>
      </w:r>
    </w:p>
    <w:p>
      <w:pPr>
        <w:pStyle w:val="BodyText"/>
        <w:spacing w:line="312" w:lineRule="exact"/>
      </w:pPr>
      <w:r>
        <w:rPr/>
        <w:t>ⅳ三ⅴ豁免保费申请ↅ</w:t>
      </w:r>
    </w:p>
    <w:p>
      <w:pPr>
        <w:pStyle w:val="BodyText"/>
        <w:spacing w:line="237" w:lineRule="auto" w:before="2"/>
        <w:ind w:right="1533"/>
      </w:pPr>
      <w:r>
        <w:rPr/>
        <w:t>由被保险人ⅳ或其监护人ⅴ填写申请，并须提供下列证明和资料ↅ ⅳ1ⅴ 保 险 合 同 ↆ ⅳ2ⅴ投保人的有效身份证件ⅳ投保人身故的不需提供ⅴↆ    ⅳ3ⅴ投保人与被保险人关系证明ↆ</w:t>
      </w:r>
    </w:p>
    <w:p>
      <w:pPr>
        <w:spacing w:after="0" w:line="237" w:lineRule="auto"/>
        <w:sectPr>
          <w:pgSz w:w="11910" w:h="16840"/>
          <w:pgMar w:header="0" w:footer="977" w:top="1380" w:bottom="1160" w:left="1640" w:right="1180"/>
        </w:sectPr>
      </w:pPr>
    </w:p>
    <w:p>
      <w:pPr>
        <w:pStyle w:val="BodyText"/>
        <w:spacing w:line="237" w:lineRule="auto" w:before="5"/>
        <w:ind w:left="132" w:right="552" w:firstLine="479"/>
        <w:jc w:val="both"/>
      </w:pPr>
      <w:r>
        <w:rPr>
          <w:spacing w:val="-20"/>
        </w:rPr>
        <w:t>ⅳ4</w:t>
      </w:r>
      <w:r>
        <w:rPr>
          <w:spacing w:val="-10"/>
        </w:rPr>
        <w:t>ⅴ由双方认可的、具有国家授予资格的伤残鉴定机构出具的身体残疾程度鉴定书ⅳ投保人全残的提供ⅴ或国家卫生行政部门认定的医疗机构、公安部门或</w:t>
      </w:r>
      <w:r>
        <w:rPr>
          <w:spacing w:val="-15"/>
        </w:rPr>
        <w:t>其他相关机构出具的投保人的死亡证明ⅳ投保人身故的提供ⅴↆ</w:t>
      </w:r>
    </w:p>
    <w:p>
      <w:pPr>
        <w:pStyle w:val="BodyText"/>
        <w:spacing w:line="237" w:lineRule="auto" w:before="1"/>
        <w:ind w:left="132" w:right="554" w:firstLine="479"/>
      </w:pPr>
      <w:r>
        <w:rPr>
          <w:spacing w:val="-14"/>
        </w:rPr>
        <w:t>ⅳ5</w:t>
      </w:r>
      <w:r>
        <w:rPr>
          <w:spacing w:val="-9"/>
        </w:rPr>
        <w:t>ⅴ所能提供的与确认意外伤害的性质、原因、伤害程度等有关的其他证明和资料。</w:t>
      </w:r>
    </w:p>
    <w:p>
      <w:pPr>
        <w:pStyle w:val="Heading3"/>
      </w:pPr>
      <w:bookmarkStart w:name="_bookmark19" w:id="20"/>
      <w:bookmarkEnd w:id="20"/>
      <w:r>
        <w:rPr>
          <w:b w:val="0"/>
        </w:rPr>
      </w:r>
      <w:r>
        <w:rPr/>
        <w:t>第十五条 合同效力恢复</w:t>
      </w:r>
    </w:p>
    <w:p>
      <w:pPr>
        <w:pStyle w:val="BodyText"/>
        <w:spacing w:line="237" w:lineRule="auto"/>
        <w:ind w:left="132" w:right="550" w:firstLine="479"/>
        <w:jc w:val="both"/>
      </w:pPr>
      <w:r>
        <w:rPr/>
        <w:t>因在宽限期内仍未交纳保险费而导敡本合同效力中止的，您可以向我公司申</w:t>
      </w:r>
      <w:r>
        <w:rPr>
          <w:spacing w:val="-2"/>
        </w:rPr>
        <w:t>请恢复本合同的效力。您与我公司经协商并达成协议，在您补交保险费的次日 </w:t>
      </w:r>
      <w:r>
        <w:rPr/>
        <w:t>0 </w:t>
      </w:r>
      <w:r>
        <w:rPr>
          <w:spacing w:val="-3"/>
        </w:rPr>
        <w:t>时起，本合同效力恢复。但是，自本合同效力中止之日起满 </w:t>
      </w:r>
      <w:r>
        <w:rPr/>
        <w:t>2</w:t>
      </w:r>
      <w:r>
        <w:rPr>
          <w:spacing w:val="-8"/>
        </w:rPr>
        <w:t> 年双方未达成协议的，我公司有权解除该合同。我公司解除合同的，按照本合同的约定退还保险单的现金价值。</w:t>
      </w:r>
    </w:p>
    <w:p>
      <w:pPr>
        <w:pStyle w:val="Heading3"/>
        <w:spacing w:line="326" w:lineRule="exact" w:before="12"/>
      </w:pPr>
      <w:bookmarkStart w:name="_bookmark20" w:id="21"/>
      <w:bookmarkEnd w:id="21"/>
      <w:r>
        <w:rPr>
          <w:b w:val="0"/>
        </w:rPr>
      </w:r>
      <w:r>
        <w:rPr/>
        <w:t>第十六条 主合同保险单免息质押借款</w:t>
      </w:r>
    </w:p>
    <w:p>
      <w:pPr>
        <w:pStyle w:val="BodyText"/>
        <w:spacing w:line="237" w:lineRule="auto"/>
        <w:ind w:left="132" w:right="550" w:firstLine="479"/>
        <w:jc w:val="both"/>
      </w:pPr>
      <w:r>
        <w:rPr/>
        <w:t>在本合同约定的保险责任期间内，若发生“重大疾病保险金”的给付，自完</w:t>
      </w:r>
      <w:r>
        <w:rPr>
          <w:spacing w:val="-4"/>
        </w:rPr>
        <w:t>成“重大疾病保险金”给付的次日 </w:t>
      </w:r>
      <w:r>
        <w:rPr/>
        <w:t>0</w:t>
      </w:r>
      <w:r>
        <w:rPr>
          <w:spacing w:val="-8"/>
        </w:rPr>
        <w:t> 时起，您可按照主合同的约定办理主合同保</w:t>
      </w:r>
      <w:r>
        <w:rPr>
          <w:spacing w:val="-11"/>
        </w:rPr>
        <w:t>险单免息质押借款，借款利率为零，免息期间累计不超过 </w:t>
      </w:r>
      <w:r>
        <w:rPr/>
        <w:t>6</w:t>
      </w:r>
      <w:r>
        <w:rPr>
          <w:spacing w:val="-16"/>
        </w:rPr>
        <w:t> 个月。</w:t>
      </w:r>
    </w:p>
    <w:p>
      <w:pPr>
        <w:pStyle w:val="Heading3"/>
        <w:spacing w:before="12"/>
      </w:pPr>
      <w:bookmarkStart w:name="_bookmark21" w:id="22"/>
      <w:bookmarkEnd w:id="22"/>
      <w:r>
        <w:rPr>
          <w:b w:val="0"/>
        </w:rPr>
      </w:r>
      <w:r>
        <w:rPr/>
        <w:t>第十七条 现金价值</w:t>
      </w:r>
    </w:p>
    <w:p>
      <w:pPr>
        <w:pStyle w:val="BodyText"/>
        <w:spacing w:line="237" w:lineRule="auto"/>
        <w:ind w:left="132" w:right="551" w:firstLine="479"/>
        <w:jc w:val="both"/>
      </w:pPr>
      <w:r>
        <w:rPr/>
        <w:t>现金价值为保险单所具有的价值，通常体现为解除合同时，由我公司退还的那部分金额。本合同保单年度末的现金价值会在现金价值表中载明。保单年度内的现金价值，您可以向我公司咨询。若基本保险金额发生变更，则现金价值将按变更后的基本保险金额重新计算。</w:t>
      </w:r>
    </w:p>
    <w:p>
      <w:pPr>
        <w:pStyle w:val="BodyText"/>
        <w:spacing w:before="12"/>
        <w:ind w:left="0"/>
        <w:rPr>
          <w:sz w:val="21"/>
        </w:rPr>
      </w:pPr>
      <w:r>
        <w:rPr/>
        <w:pict>
          <v:line style="position:absolute;mso-position-horizontal-relative:page;mso-position-vertical-relative:paragraph;z-index:1120;mso-wrap-distance-left:0;mso-wrap-distance-right:0" from="86.900002pt,17.063175pt" to="527.900008pt,17.113175pt" stroked="true" strokeweight="1.5pt" strokecolor="#000000">
            <v:stroke dashstyle="solid"/>
            <w10:wrap type="topAndBottom"/>
          </v:line>
        </w:pict>
      </w:r>
    </w:p>
    <w:p>
      <w:pPr>
        <w:pStyle w:val="BodyText"/>
        <w:spacing w:before="2"/>
        <w:ind w:left="0"/>
        <w:rPr>
          <w:sz w:val="23"/>
        </w:rPr>
      </w:pPr>
    </w:p>
    <w:p>
      <w:pPr>
        <w:pStyle w:val="Heading2"/>
        <w:ind w:left="132"/>
      </w:pPr>
      <w:r>
        <w:rPr/>
      </w:r>
      <w:r>
        <w:rPr>
          <w:w w:val="105"/>
          <w:rtl/>
        </w:rPr>
        <w:t>ޣ</w:t>
      </w:r>
      <w:r>
        <w:rPr>
          <w:w w:val="105"/>
        </w:rPr>
        <w:t>,您的保险费支</w:t>
      </w:r>
      <w:r>
        <w:rPr>
          <w:w w:val="105"/>
        </w:rPr>
        <w:t>付</w:t>
      </w:r>
    </w:p>
    <w:p>
      <w:pPr>
        <w:spacing w:line="218" w:lineRule="auto" w:before="157"/>
        <w:ind w:left="612" w:right="5470" w:hanging="10"/>
        <w:jc w:val="left"/>
        <w:rPr>
          <w:sz w:val="24"/>
        </w:rPr>
      </w:pPr>
      <w:bookmarkStart w:name="_bookmark23" w:id="23"/>
      <w:bookmarkEnd w:id="23"/>
      <w:r>
        <w:rPr/>
      </w:r>
      <w:r>
        <w:rPr>
          <w:rFonts w:ascii="微软雅黑" w:eastAsia="微软雅黑" w:hint="eastAsia"/>
          <w:b/>
          <w:sz w:val="24"/>
        </w:rPr>
        <w:t>第十八条 保险费的支付方式</w:t>
      </w:r>
      <w:r>
        <w:rPr>
          <w:sz w:val="24"/>
        </w:rPr>
        <w:t>与主合同的约定相同。</w:t>
      </w:r>
    </w:p>
    <w:p>
      <w:pPr>
        <w:pStyle w:val="BodyText"/>
        <w:spacing w:before="6"/>
        <w:ind w:left="0"/>
        <w:rPr>
          <w:sz w:val="25"/>
        </w:rPr>
      </w:pPr>
      <w:r>
        <w:rPr/>
        <w:pict>
          <v:line style="position:absolute;mso-position-horizontal-relative:page;mso-position-vertical-relative:paragraph;z-index:1144;mso-wrap-distance-left:0;mso-wrap-distance-right:0" from="87.650002pt,19.379736pt" to="528.650008pt,19.429736pt" stroked="true" strokeweight="1.5pt" strokecolor="#000000">
            <v:stroke dashstyle="solid"/>
            <w10:wrap type="topAndBottom"/>
          </v:line>
        </w:pict>
      </w:r>
    </w:p>
    <w:p>
      <w:pPr>
        <w:pStyle w:val="BodyText"/>
        <w:spacing w:before="7"/>
        <w:ind w:left="0"/>
        <w:rPr>
          <w:sz w:val="18"/>
        </w:rPr>
      </w:pPr>
    </w:p>
    <w:p>
      <w:pPr>
        <w:pStyle w:val="Heading2"/>
        <w:ind w:left="132"/>
      </w:pPr>
      <w:bookmarkStart w:name="_bookmark24" w:id="24"/>
      <w:bookmarkEnd w:id="24"/>
      <w:r>
        <w:rPr/>
      </w:r>
      <w:r>
        <w:rPr>
          <w:w w:val="105"/>
        </w:rPr>
        <w:t>七,保险金的申请</w:t>
      </w:r>
    </w:p>
    <w:p>
      <w:pPr>
        <w:spacing w:line="218" w:lineRule="auto" w:before="157"/>
        <w:ind w:left="612" w:right="5710" w:hanging="10"/>
        <w:jc w:val="left"/>
        <w:rPr>
          <w:sz w:val="24"/>
        </w:rPr>
      </w:pPr>
      <w:bookmarkStart w:name="_bookmark25" w:id="25"/>
      <w:bookmarkEnd w:id="25"/>
      <w:r>
        <w:rPr/>
      </w:r>
      <w:r>
        <w:rPr>
          <w:rFonts w:ascii="微软雅黑" w:eastAsia="微软雅黑" w:hint="eastAsia"/>
          <w:b/>
          <w:sz w:val="24"/>
        </w:rPr>
        <w:t>第十九条 保险事故的通知</w:t>
      </w:r>
      <w:r>
        <w:rPr>
          <w:sz w:val="24"/>
        </w:rPr>
        <w:t>与主合同的约定相同。</w:t>
      </w:r>
    </w:p>
    <w:p>
      <w:pPr>
        <w:pStyle w:val="Heading3"/>
        <w:spacing w:line="326" w:lineRule="exact"/>
      </w:pPr>
      <w:bookmarkStart w:name="_bookmark26" w:id="26"/>
      <w:bookmarkEnd w:id="26"/>
      <w:r>
        <w:rPr>
          <w:b w:val="0"/>
        </w:rPr>
      </w:r>
      <w:r>
        <w:rPr/>
        <w:t>第二十条 保险金的给付申请</w:t>
      </w:r>
    </w:p>
    <w:p>
      <w:pPr>
        <w:pStyle w:val="BodyText"/>
        <w:spacing w:line="297" w:lineRule="exact"/>
        <w:ind w:left="612"/>
      </w:pPr>
      <w:r>
        <w:rPr/>
        <w:t>ⅳ一ⅴ 保险金的申请</w:t>
      </w:r>
    </w:p>
    <w:p>
      <w:pPr>
        <w:pStyle w:val="BodyText"/>
        <w:spacing w:line="312" w:lineRule="exact"/>
        <w:ind w:left="612"/>
      </w:pPr>
      <w:r>
        <w:rPr/>
        <w:t>在申请保险金时，请按照下列方式办理ↅ</w:t>
      </w:r>
    </w:p>
    <w:p>
      <w:pPr>
        <w:pStyle w:val="BodyText"/>
        <w:spacing w:line="312" w:lineRule="exact"/>
        <w:ind w:left="612"/>
      </w:pPr>
      <w:r>
        <w:rPr/>
        <w:t>1、重大疾病保险金申请ↅ</w:t>
      </w:r>
    </w:p>
    <w:p>
      <w:pPr>
        <w:pStyle w:val="BodyText"/>
        <w:spacing w:line="237" w:lineRule="auto" w:before="2"/>
        <w:ind w:left="612" w:right="538"/>
      </w:pPr>
      <w:r>
        <w:rPr/>
        <w:t>由受益人ⅳ或其监护人ⅴ填写保险金给付申请，并须提供下列证明和资料ↅ ⅳ1ⅴ保险合同ↆ</w:t>
      </w:r>
    </w:p>
    <w:p>
      <w:pPr>
        <w:spacing w:line="326" w:lineRule="exact" w:before="0"/>
        <w:ind w:left="612" w:right="0" w:firstLine="0"/>
        <w:jc w:val="left"/>
        <w:rPr>
          <w:sz w:val="24"/>
        </w:rPr>
      </w:pPr>
      <w:r>
        <w:rPr>
          <w:sz w:val="24"/>
        </w:rPr>
        <w:t>ⅳ2ⅴ</w:t>
      </w:r>
      <w:r>
        <w:rPr>
          <w:spacing w:val="-1"/>
          <w:sz w:val="24"/>
        </w:rPr>
        <w:t>受益人的</w:t>
      </w:r>
      <w:r>
        <w:rPr>
          <w:rFonts w:ascii="Microsoft JhengHei" w:hAnsi="Microsoft JhengHei" w:eastAsia="Microsoft JhengHei" w:hint="eastAsia"/>
          <w:b/>
          <w:w w:val="96"/>
          <w:sz w:val="25"/>
        </w:rPr>
        <w:t>有效身份证</w:t>
      </w:r>
      <w:r>
        <w:rPr>
          <w:rFonts w:ascii="Microsoft JhengHei" w:hAnsi="Microsoft JhengHei" w:eastAsia="Microsoft JhengHei" w:hint="eastAsia"/>
          <w:b/>
          <w:w w:val="149"/>
          <w:sz w:val="25"/>
        </w:rPr>
        <w:t>f</w:t>
      </w:r>
      <w:r>
        <w:rPr>
          <w:rFonts w:ascii="Microsoft JhengHei" w:hAnsi="Microsoft JhengHei" w:eastAsia="Microsoft JhengHei" w:hint="eastAsia"/>
          <w:b/>
          <w:spacing w:val="2"/>
          <w:w w:val="149"/>
          <w:sz w:val="25"/>
        </w:rPr>
        <w:t>l</w:t>
      </w:r>
      <w:r>
        <w:rPr>
          <w:w w:val="114"/>
          <w:sz w:val="24"/>
        </w:rPr>
        <w:t>C见释义</w:t>
      </w:r>
      <w:r>
        <w:rPr>
          <w:spacing w:val="-60"/>
          <w:sz w:val="24"/>
        </w:rPr>
        <w:t> </w:t>
      </w:r>
      <w:r>
        <w:rPr>
          <w:rFonts w:ascii="黑体" w:hAnsi="黑体" w:eastAsia="黑体" w:hint="eastAsia"/>
          <w:sz w:val="24"/>
        </w:rPr>
        <w:t>11</w:t>
      </w:r>
      <w:r>
        <w:rPr>
          <w:spacing w:val="-120"/>
          <w:w w:val="200"/>
          <w:sz w:val="24"/>
        </w:rPr>
        <w:t>P</w:t>
      </w:r>
      <w:r>
        <w:rPr>
          <w:sz w:val="24"/>
        </w:rPr>
        <w:t>ↆ</w:t>
      </w:r>
    </w:p>
    <w:p>
      <w:pPr>
        <w:pStyle w:val="BodyText"/>
        <w:spacing w:line="237" w:lineRule="auto"/>
        <w:ind w:left="132" w:right="553" w:firstLine="479"/>
      </w:pPr>
      <w:r>
        <w:rPr>
          <w:spacing w:val="-20"/>
        </w:rPr>
        <w:t>ⅳ3</w:t>
      </w:r>
      <w:r>
        <w:rPr>
          <w:spacing w:val="-8"/>
        </w:rPr>
        <w:t>ⅴ我公司认可的医院出具的附有病理显微镜检查、血液检验及其他科学方法检验报告的疾病诊断证明书ↆ</w:t>
      </w:r>
    </w:p>
    <w:p>
      <w:pPr>
        <w:pStyle w:val="BodyText"/>
        <w:spacing w:line="311" w:lineRule="exact" w:before="12"/>
        <w:ind w:left="612"/>
      </w:pPr>
      <w:r>
        <w:rPr/>
        <w:t>ⅳ4ⅴ所能提供的与确认保险事故的性质、原因等有关的其他证明和资料。</w:t>
      </w:r>
    </w:p>
    <w:p>
      <w:pPr>
        <w:pStyle w:val="BodyText"/>
        <w:spacing w:line="312" w:lineRule="exact"/>
        <w:ind w:left="612"/>
      </w:pPr>
      <w:r>
        <w:rPr/>
        <w:t>2、全残保险金申请ↅ</w:t>
      </w:r>
    </w:p>
    <w:p>
      <w:pPr>
        <w:pStyle w:val="BodyText"/>
        <w:spacing w:line="313" w:lineRule="exact"/>
        <w:ind w:left="612"/>
      </w:pPr>
      <w:r>
        <w:rPr/>
        <w:t>由受益人ⅳ或其监护人ⅴ填写保险金给付申请，并须提供下列证明和资料ↅ</w:t>
      </w:r>
    </w:p>
    <w:p>
      <w:pPr>
        <w:spacing w:after="0" w:line="313" w:lineRule="exact"/>
        <w:sectPr>
          <w:pgSz w:w="11910" w:h="16840"/>
          <w:pgMar w:header="0" w:footer="977" w:top="1380" w:bottom="1160" w:left="1620" w:right="1200"/>
        </w:sectPr>
      </w:pPr>
    </w:p>
    <w:p>
      <w:pPr>
        <w:pStyle w:val="BodyText"/>
        <w:spacing w:line="237" w:lineRule="auto" w:before="5"/>
        <w:ind w:left="612" w:right="5232"/>
      </w:pPr>
      <w:r>
        <w:rPr/>
        <w:t>ⅳ1ⅴ 保 险 合 同 ↆ   ⅳ2ⅴ受益人的有效身份证件ↆ</w:t>
      </w:r>
    </w:p>
    <w:p>
      <w:pPr>
        <w:pStyle w:val="BodyText"/>
        <w:spacing w:line="237" w:lineRule="auto" w:before="1"/>
        <w:ind w:left="132" w:right="553" w:firstLine="479"/>
      </w:pPr>
      <w:r>
        <w:rPr>
          <w:spacing w:val="-20"/>
        </w:rPr>
        <w:t>ⅳ3</w:t>
      </w:r>
      <w:r>
        <w:rPr>
          <w:spacing w:val="-10"/>
        </w:rPr>
        <w:t>ⅴ由双方认可的、具有国家授予资格的伤残鉴定机构出具的身体残疾程度鉴定书ↆ</w:t>
      </w:r>
    </w:p>
    <w:p>
      <w:pPr>
        <w:pStyle w:val="BodyText"/>
        <w:spacing w:line="237" w:lineRule="auto" w:before="1"/>
        <w:ind w:left="132" w:right="554" w:firstLine="479"/>
      </w:pPr>
      <w:r>
        <w:rPr>
          <w:spacing w:val="-14"/>
        </w:rPr>
        <w:t>ⅳ4</w:t>
      </w:r>
      <w:r>
        <w:rPr>
          <w:spacing w:val="-9"/>
        </w:rPr>
        <w:t>ⅴ所能提供的与确认保险事故的性质、原因、伤害程度等有关的其他证明和资料。</w:t>
      </w:r>
    </w:p>
    <w:p>
      <w:pPr>
        <w:pStyle w:val="BodyText"/>
        <w:spacing w:line="311" w:lineRule="exact"/>
        <w:ind w:left="612"/>
      </w:pPr>
      <w:r>
        <w:rPr/>
        <w:t>3、身故保险金申请ↅ</w:t>
      </w:r>
    </w:p>
    <w:p>
      <w:pPr>
        <w:pStyle w:val="BodyText"/>
        <w:spacing w:line="237" w:lineRule="auto" w:before="2"/>
        <w:ind w:left="612" w:right="2218"/>
      </w:pPr>
      <w:r>
        <w:rPr/>
        <w:t>由受益人填写保险金给付申请，并须提供下列证明和资料ↅ ⅳ1ⅴ保险合同ↆ</w:t>
      </w:r>
    </w:p>
    <w:p>
      <w:pPr>
        <w:pStyle w:val="BodyText"/>
        <w:spacing w:line="311" w:lineRule="exact"/>
        <w:ind w:left="612"/>
      </w:pPr>
      <w:r>
        <w:rPr/>
        <w:t>ⅳ2ⅴ受益人的有效身份证件ↆ</w:t>
      </w:r>
    </w:p>
    <w:p>
      <w:pPr>
        <w:pStyle w:val="BodyText"/>
        <w:ind w:left="132" w:right="550" w:firstLine="479"/>
      </w:pPr>
      <w:r>
        <w:rPr>
          <w:spacing w:val="-20"/>
        </w:rPr>
        <w:t>ⅳ3</w:t>
      </w:r>
      <w:r>
        <w:rPr>
          <w:spacing w:val="-9"/>
        </w:rPr>
        <w:t>ⅴ国家卫生行政部门认定的医疗机构、公安部门或者其他相关机构出具的被保险人的死亡证明ↆ</w:t>
      </w:r>
    </w:p>
    <w:p>
      <w:pPr>
        <w:pStyle w:val="BodyText"/>
        <w:spacing w:line="237" w:lineRule="auto" w:before="2"/>
        <w:ind w:left="612" w:right="672"/>
      </w:pPr>
      <w:r>
        <w:rPr/>
        <w:t>ⅳ4ⅴ所能提供的与确认保险事故的性质、原因等有关的其他证明和资料。ⅳ二ⅴ保险金作为遗产</w:t>
      </w:r>
    </w:p>
    <w:p>
      <w:pPr>
        <w:pStyle w:val="BodyText"/>
        <w:spacing w:line="237" w:lineRule="auto" w:before="1"/>
        <w:ind w:left="612" w:right="6072"/>
      </w:pPr>
      <w:r>
        <w:rPr/>
        <w:t>与主合同的约定相同。ⅳ三ⅴ特别注意事项 与主合同的约定相同。</w:t>
      </w:r>
    </w:p>
    <w:p>
      <w:pPr>
        <w:pStyle w:val="Heading3"/>
      </w:pPr>
      <w:bookmarkStart w:name="_bookmark27" w:id="27"/>
      <w:bookmarkEnd w:id="27"/>
      <w:r>
        <w:rPr>
          <w:b w:val="0"/>
        </w:rPr>
      </w:r>
      <w:r>
        <w:rPr/>
        <w:t>第二十一条 保险金的给付</w:t>
      </w:r>
    </w:p>
    <w:p>
      <w:pPr>
        <w:pStyle w:val="BodyText"/>
        <w:spacing w:line="299" w:lineRule="exact"/>
        <w:ind w:left="612"/>
      </w:pPr>
      <w:r>
        <w:rPr/>
        <w:t>与主合同的约定相同。</w:t>
      </w:r>
    </w:p>
    <w:p>
      <w:pPr>
        <w:pStyle w:val="BodyText"/>
        <w:spacing w:before="3"/>
        <w:ind w:left="0"/>
        <w:rPr>
          <w:sz w:val="23"/>
        </w:rPr>
      </w:pPr>
      <w:r>
        <w:rPr/>
        <w:pict>
          <v:line style="position:absolute;mso-position-horizontal-relative:page;mso-position-vertical-relative:paragraph;z-index:1168;mso-wrap-distance-left:0;mso-wrap-distance-right:0" from="87.650002pt,17.917236pt" to="528.650008pt,17.967236pt" stroked="true" strokeweight="1.5pt" strokecolor="#000000">
            <v:stroke dashstyle="solid"/>
            <w10:wrap type="topAndBottom"/>
          </v:line>
        </w:pict>
      </w:r>
    </w:p>
    <w:p>
      <w:pPr>
        <w:pStyle w:val="BodyText"/>
        <w:spacing w:before="11"/>
        <w:ind w:left="0"/>
        <w:rPr>
          <w:sz w:val="20"/>
        </w:rPr>
      </w:pPr>
    </w:p>
    <w:p>
      <w:pPr>
        <w:pStyle w:val="Heading2"/>
        <w:ind w:left="132"/>
      </w:pPr>
      <w:r>
        <w:rPr/>
      </w:r>
      <w:r>
        <w:rPr>
          <w:w w:val="115"/>
          <w:rtl/>
        </w:rPr>
        <w:t>ޡ</w:t>
      </w:r>
      <w:r>
        <w:rPr>
          <w:w w:val="115"/>
        </w:rPr>
        <w:t>,</w:t>
      </w:r>
      <w:r>
        <w:rPr>
          <w:spacing w:val="-63"/>
          <w:w w:val="115"/>
        </w:rPr>
        <w:t> </w:t>
      </w:r>
      <w:r>
        <w:rPr>
          <w:spacing w:val="-1"/>
          <w:w w:val="105"/>
        </w:rPr>
        <w:t>遇到特</w:t>
      </w:r>
      <w:r>
        <w:rPr>
          <w:w w:val="105"/>
        </w:rPr>
        <w:t>fl</w:t>
      </w:r>
      <w:r>
        <w:rPr>
          <w:spacing w:val="-2"/>
          <w:w w:val="105"/>
        </w:rPr>
        <w:t>情况的处</w:t>
      </w:r>
      <w:r>
        <w:rPr>
          <w:spacing w:val="-2"/>
          <w:w w:val="105"/>
        </w:rPr>
        <w:t>理</w:t>
      </w:r>
    </w:p>
    <w:p>
      <w:pPr>
        <w:tabs>
          <w:tab w:pos="2049" w:val="left" w:leader="none"/>
        </w:tabs>
        <w:spacing w:line="218" w:lineRule="auto" w:before="157"/>
        <w:ind w:left="612" w:right="5590" w:hanging="10"/>
        <w:jc w:val="left"/>
        <w:rPr>
          <w:sz w:val="24"/>
        </w:rPr>
      </w:pPr>
      <w:bookmarkStart w:name="_bookmark29" w:id="28"/>
      <w:bookmarkEnd w:id="28"/>
      <w:r>
        <w:rPr/>
      </w:r>
      <w:r>
        <w:rPr>
          <w:rFonts w:ascii="微软雅黑" w:eastAsia="微软雅黑" w:hint="eastAsia"/>
          <w:b/>
          <w:sz w:val="24"/>
        </w:rPr>
        <w:t>第二十二条</w:t>
        <w:tab/>
        <w:t>年龄误告处理 </w:t>
      </w:r>
      <w:r>
        <w:rPr>
          <w:sz w:val="24"/>
        </w:rPr>
        <w:t>与主合同的约定相同。</w:t>
      </w:r>
    </w:p>
    <w:p>
      <w:pPr>
        <w:pStyle w:val="Heading3"/>
        <w:tabs>
          <w:tab w:pos="2049" w:val="left" w:leader="none"/>
        </w:tabs>
      </w:pPr>
      <w:bookmarkStart w:name="_bookmark30" w:id="29"/>
      <w:bookmarkEnd w:id="29"/>
      <w:r>
        <w:rPr>
          <w:b w:val="0"/>
        </w:rPr>
      </w:r>
      <w:r>
        <w:rPr/>
        <w:t>第二十三条</w:t>
        <w:tab/>
        <w:t>宣告死亡处理</w:t>
      </w:r>
    </w:p>
    <w:p>
      <w:pPr>
        <w:pStyle w:val="BodyText"/>
        <w:spacing w:line="299" w:lineRule="exact"/>
        <w:ind w:left="612"/>
      </w:pPr>
      <w:r>
        <w:rPr/>
        <w:t>与主合同的约定相同。</w:t>
      </w:r>
    </w:p>
    <w:p>
      <w:pPr>
        <w:pStyle w:val="BodyText"/>
        <w:ind w:left="0"/>
        <w:rPr>
          <w:sz w:val="20"/>
        </w:rPr>
      </w:pPr>
    </w:p>
    <w:p>
      <w:pPr>
        <w:pStyle w:val="BodyText"/>
        <w:spacing w:before="1"/>
        <w:ind w:left="0"/>
        <w:rPr>
          <w:sz w:val="10"/>
        </w:rPr>
      </w:pPr>
      <w:r>
        <w:rPr/>
        <w:pict>
          <v:line style="position:absolute;mso-position-horizontal-relative:page;mso-position-vertical-relative:paragraph;z-index:1192;mso-wrap-distance-left:0;mso-wrap-distance-right:0" from="88.400002pt,9.306678pt" to="529.400008pt,9.356678pt" stroked="true" strokeweight="1.5pt" strokecolor="#000000">
            <v:stroke dashstyle="solid"/>
            <w10:wrap type="topAndBottom"/>
          </v:line>
        </w:pict>
      </w:r>
    </w:p>
    <w:p>
      <w:pPr>
        <w:pStyle w:val="Heading2"/>
        <w:spacing w:before="183"/>
        <w:ind w:left="602" w:hanging="471"/>
      </w:pPr>
      <w:bookmarkStart w:name="_bookmark31" w:id="30"/>
      <w:bookmarkEnd w:id="30"/>
      <w:r>
        <w:rPr/>
      </w:r>
      <w:r>
        <w:rPr>
          <w:w w:val="115"/>
        </w:rPr>
        <w:t>九, </w:t>
      </w:r>
      <w:r>
        <w:rPr>
          <w:w w:val="105"/>
        </w:rPr>
        <w:t>本合同的变更fl解除</w:t>
      </w:r>
    </w:p>
    <w:p>
      <w:pPr>
        <w:tabs>
          <w:tab w:pos="2049" w:val="left" w:leader="none"/>
        </w:tabs>
        <w:spacing w:line="208" w:lineRule="auto" w:before="174"/>
        <w:ind w:left="602" w:right="5832" w:firstLine="0"/>
        <w:jc w:val="left"/>
        <w:rPr>
          <w:sz w:val="24"/>
        </w:rPr>
      </w:pPr>
      <w:bookmarkStart w:name="_bookmark32" w:id="31"/>
      <w:bookmarkEnd w:id="31"/>
      <w:r>
        <w:rPr/>
      </w:r>
      <w:r>
        <w:rPr>
          <w:rFonts w:ascii="微软雅黑" w:eastAsia="微软雅黑" w:hint="eastAsia"/>
          <w:b/>
          <w:sz w:val="24"/>
        </w:rPr>
        <w:t>第二十四条</w:t>
        <w:tab/>
        <w:t>合同的变更</w:t>
      </w:r>
      <w:r>
        <w:rPr>
          <w:sz w:val="24"/>
        </w:rPr>
        <w:t>与主合同的约定相同。</w:t>
      </w:r>
      <w:bookmarkStart w:name="_bookmark33" w:id="32"/>
      <w:bookmarkEnd w:id="32"/>
      <w:r>
        <w:rPr>
          <w:sz w:val="24"/>
        </w:rPr>
      </w:r>
      <w:r>
        <w:rPr>
          <w:sz w:val="24"/>
        </w:rPr>
        <w:t> </w:t>
      </w:r>
      <w:r>
        <w:rPr>
          <w:rFonts w:ascii="微软雅黑" w:eastAsia="微软雅黑" w:hint="eastAsia"/>
          <w:b/>
          <w:sz w:val="24"/>
        </w:rPr>
        <w:t>第二十五条</w:t>
        <w:tab/>
        <w:t>合同的解除</w:t>
      </w:r>
      <w:r>
        <w:rPr>
          <w:sz w:val="24"/>
        </w:rPr>
        <w:t>与主合同的约定相同。</w:t>
      </w:r>
    </w:p>
    <w:p>
      <w:pPr>
        <w:pStyle w:val="BodyText"/>
        <w:ind w:left="0"/>
        <w:rPr>
          <w:sz w:val="22"/>
        </w:rPr>
      </w:pPr>
      <w:r>
        <w:rPr/>
        <w:pict>
          <v:line style="position:absolute;mso-position-horizontal-relative:page;mso-position-vertical-relative:paragraph;z-index:1216;mso-wrap-distance-left:0;mso-wrap-distance-right:0" from="86.900002pt,17.119753pt" to="527.900008pt,17.169753pt" stroked="true" strokeweight="1.5pt" strokecolor="#000000">
            <v:stroke dashstyle="solid"/>
            <w10:wrap type="topAndBottom"/>
          </v:line>
        </w:pict>
      </w:r>
    </w:p>
    <w:p>
      <w:pPr>
        <w:pStyle w:val="BodyText"/>
        <w:ind w:left="0"/>
        <w:rPr>
          <w:sz w:val="22"/>
        </w:rPr>
      </w:pPr>
    </w:p>
    <w:p>
      <w:pPr>
        <w:pStyle w:val="Heading2"/>
        <w:spacing w:before="1"/>
        <w:ind w:left="132"/>
      </w:pPr>
      <w:bookmarkStart w:name="_bookmark34" w:id="33"/>
      <w:bookmarkEnd w:id="33"/>
      <w:r>
        <w:rPr/>
      </w:r>
      <w:r>
        <w:rPr>
          <w:w w:val="105"/>
        </w:rPr>
        <w:t>十,遇到合同ҿ议的处理</w:t>
      </w:r>
    </w:p>
    <w:p>
      <w:pPr>
        <w:spacing w:line="208" w:lineRule="auto" w:before="174"/>
        <w:ind w:left="602" w:right="6072" w:firstLine="0"/>
        <w:jc w:val="left"/>
        <w:rPr>
          <w:sz w:val="24"/>
        </w:rPr>
      </w:pPr>
      <w:bookmarkStart w:name="_bookmark35" w:id="34"/>
      <w:bookmarkEnd w:id="34"/>
      <w:r>
        <w:rPr/>
      </w:r>
      <w:r>
        <w:rPr>
          <w:rFonts w:ascii="微软雅黑" w:eastAsia="微软雅黑" w:hint="eastAsia"/>
          <w:b/>
          <w:sz w:val="24"/>
        </w:rPr>
        <w:t>第二十六条 争议处理</w:t>
      </w:r>
      <w:r>
        <w:rPr>
          <w:sz w:val="24"/>
        </w:rPr>
        <w:t>与主合同的约定相同。</w:t>
      </w:r>
      <w:bookmarkStart w:name="_bookmark36" w:id="35"/>
      <w:bookmarkEnd w:id="35"/>
      <w:r>
        <w:rPr>
          <w:sz w:val="24"/>
        </w:rPr>
      </w:r>
      <w:r>
        <w:rPr>
          <w:rFonts w:ascii="微软雅黑" w:eastAsia="微软雅黑" w:hint="eastAsia"/>
          <w:b/>
          <w:sz w:val="24"/>
        </w:rPr>
        <w:t>第二十七条 诉讼时效</w:t>
      </w:r>
      <w:r>
        <w:rPr>
          <w:sz w:val="24"/>
        </w:rPr>
        <w:t>与主合同的约定相同。</w:t>
      </w:r>
    </w:p>
    <w:p>
      <w:pPr>
        <w:spacing w:after="0" w:line="208" w:lineRule="auto"/>
        <w:jc w:val="left"/>
        <w:rPr>
          <w:sz w:val="24"/>
        </w:rPr>
        <w:sectPr>
          <w:pgSz w:w="11910" w:h="16840"/>
          <w:pgMar w:header="0" w:footer="977" w:top="1380" w:bottom="1160" w:left="1620" w:right="1200"/>
        </w:sectPr>
      </w:pPr>
    </w:p>
    <w:p>
      <w:pPr>
        <w:pStyle w:val="BodyText"/>
        <w:spacing w:line="31" w:lineRule="exact"/>
        <w:ind w:left="128"/>
        <w:rPr>
          <w:sz w:val="3"/>
        </w:rPr>
      </w:pPr>
      <w:r>
        <w:rPr>
          <w:position w:val="0"/>
          <w:sz w:val="3"/>
        </w:rPr>
        <w:pict>
          <v:group style="width:442.5pt;height:1.55pt;mso-position-horizontal-relative:char;mso-position-vertical-relative:line" coordorigin="0,0" coordsize="8850,31">
            <v:line style="position:absolute" from="15,15" to="8835,16" stroked="true" strokeweight="1.5pt" strokecolor="#000000">
              <v:stroke dashstyle="solid"/>
            </v:line>
          </v:group>
        </w:pict>
      </w:r>
      <w:r>
        <w:rPr>
          <w:position w:val="0"/>
          <w:sz w:val="3"/>
        </w:rPr>
      </w:r>
    </w:p>
    <w:p>
      <w:pPr>
        <w:pStyle w:val="Heading2"/>
        <w:spacing w:before="36"/>
        <w:ind w:left="112"/>
      </w:pPr>
      <w:bookmarkStart w:name="_bookmark37" w:id="36"/>
      <w:bookmarkEnd w:id="36"/>
      <w:r>
        <w:rPr/>
      </w:r>
      <w:r>
        <w:rPr>
          <w:spacing w:val="-1"/>
        </w:rPr>
        <w:t>十一,fi</w:t>
      </w:r>
      <w:r>
        <w:rPr/>
        <w:t>了便</w:t>
      </w:r>
      <w:r>
        <w:rPr>
          <w:spacing w:val="-3"/>
        </w:rPr>
        <w:t>于您</w:t>
      </w:r>
      <w:r>
        <w:rPr/>
        <w:t>对条款</w:t>
      </w:r>
      <w:r>
        <w:rPr>
          <w:spacing w:val="-3"/>
        </w:rPr>
        <w:t>的</w:t>
      </w:r>
      <w:r>
        <w:rPr/>
        <w:t>理解</w:t>
      </w:r>
      <w:r>
        <w:rPr>
          <w:spacing w:val="-3"/>
        </w:rPr>
        <w:t>，我</w:t>
      </w:r>
      <w:r>
        <w:rPr>
          <w:spacing w:val="13"/>
        </w:rPr>
        <w:t> </w:t>
      </w:r>
      <w:r>
        <w:rPr>
          <w:spacing w:val="5"/>
          <w:w w:val="200"/>
          <w:position w:val="-2"/>
        </w:rPr>
        <w:drawing>
          <wp:inline distT="0" distB="0" distL="0" distR="0">
            <wp:extent cx="168275" cy="165100"/>
            <wp:effectExtent l="0" t="0" r="0" b="0"/>
            <wp:docPr id="9" name="image3.png" descr=""/>
            <wp:cNvGraphicFramePr>
              <a:graphicFrameLocks noChangeAspect="1"/>
            </wp:cNvGraphicFramePr>
            <a:graphic>
              <a:graphicData uri="http://schemas.openxmlformats.org/drawingml/2006/picture">
                <pic:pic>
                  <pic:nvPicPr>
                    <pic:cNvPr id="10" name="image3.png"/>
                    <pic:cNvPicPr/>
                  </pic:nvPicPr>
                  <pic:blipFill>
                    <a:blip r:embed="rId8" cstate="print"/>
                    <a:stretch>
                      <a:fillRect/>
                    </a:stretch>
                  </pic:blipFill>
                  <pic:spPr>
                    <a:xfrm>
                      <a:off x="0" y="0"/>
                      <a:ext cx="168275" cy="165100"/>
                    </a:xfrm>
                    <a:prstGeom prst="rect">
                      <a:avLst/>
                    </a:prstGeom>
                  </pic:spPr>
                </pic:pic>
              </a:graphicData>
            </a:graphic>
          </wp:inline>
        </w:drawing>
      </w:r>
      <w:r>
        <w:rPr>
          <w:spacing w:val="5"/>
          <w:w w:val="200"/>
          <w:position w:val="-2"/>
        </w:rPr>
      </w:r>
      <w:r>
        <w:rPr>
          <w:spacing w:val="-3"/>
        </w:rPr>
        <w:t>供</w:t>
      </w:r>
      <w:r>
        <w:rPr/>
        <w:t>了术</w:t>
      </w:r>
      <w:r>
        <w:rPr>
          <w:spacing w:val="-3"/>
        </w:rPr>
        <w:t>语释</w:t>
      </w:r>
      <w:r>
        <w:rPr/>
        <w:t>义</w:t>
      </w:r>
    </w:p>
    <w:p>
      <w:pPr>
        <w:pStyle w:val="BodyText"/>
        <w:spacing w:line="218" w:lineRule="auto" w:before="156"/>
        <w:ind w:left="112" w:right="684" w:firstLine="479"/>
      </w:pPr>
      <w:r>
        <w:rPr/>
        <w:t>1、</w:t>
      </w:r>
      <w:r>
        <w:rPr>
          <w:rFonts w:ascii="微软雅黑" w:hAnsi="微软雅黑" w:eastAsia="微软雅黑" w:hint="eastAsia"/>
          <w:b/>
        </w:rPr>
        <w:t>保险责任开始日</w:t>
      </w:r>
      <w:r>
        <w:rPr/>
        <w:t>ↅ保险责任期间的首日ↆ保险人自此日开始，按照保险合同约定的范围承担保险责任。</w:t>
      </w:r>
    </w:p>
    <w:p>
      <w:pPr>
        <w:pStyle w:val="BodyText"/>
        <w:spacing w:line="325" w:lineRule="exact"/>
      </w:pPr>
      <w:r>
        <w:rPr/>
        <w:t>2、</w:t>
      </w:r>
      <w:r>
        <w:rPr>
          <w:rFonts w:ascii="微软雅黑" w:hAnsi="微软雅黑" w:eastAsia="微软雅黑" w:hint="eastAsia"/>
          <w:b/>
        </w:rPr>
        <w:t>意外伤害</w:t>
      </w:r>
      <w:r>
        <w:rPr/>
        <w:t>ↅ指遭受外来的、突发的、非本意的、非疾病的客观事件直接</w:t>
      </w:r>
    </w:p>
    <w:p>
      <w:pPr>
        <w:pStyle w:val="BodyText"/>
        <w:spacing w:line="262" w:lineRule="exact"/>
        <w:ind w:left="112"/>
      </w:pPr>
      <w:r>
        <w:rPr/>
        <w:t>敡使身体受到的剧烈伤害，猝死不属于该范畴。</w:t>
      </w:r>
    </w:p>
    <w:p>
      <w:pPr>
        <w:pStyle w:val="BodyText"/>
        <w:spacing w:line="218" w:lineRule="auto"/>
        <w:ind w:left="112" w:right="571" w:firstLine="479"/>
      </w:pPr>
      <w:r>
        <w:rPr/>
        <w:t>3</w:t>
      </w:r>
      <w:r>
        <w:rPr>
          <w:rFonts w:ascii="微软雅黑" w:hAnsi="微软雅黑" w:eastAsia="微软雅黑" w:hint="eastAsia"/>
          <w:b/>
        </w:rPr>
        <w:t>、我公司认可的医院ↅ</w:t>
      </w:r>
      <w:r>
        <w:rPr/>
        <w:t>指经中华人民共和国卫生部门评审确定的二级或二级以上的公立医院，但不包括精神病院及专供康复、休养、戒毒、戒酒、护理、</w:t>
      </w:r>
    </w:p>
    <w:p>
      <w:pPr>
        <w:pStyle w:val="BodyText"/>
        <w:spacing w:line="237" w:lineRule="auto" w:before="1"/>
        <w:ind w:left="112" w:right="571"/>
        <w:jc w:val="both"/>
      </w:pPr>
      <w:r>
        <w:rPr/>
        <w:t>养老等非以直接诊治病人为目的的医疗机构。该医院必须具有符合国家有关医院管理规则设敢标准的医疗设备，且全天二十四小时有合格医师及护士驻医院提供医疗及护理服务。</w:t>
      </w:r>
    </w:p>
    <w:p>
      <w:pPr>
        <w:pStyle w:val="BodyText"/>
        <w:spacing w:line="326" w:lineRule="exact"/>
      </w:pPr>
      <w:r>
        <w:rPr/>
        <w:t>4、</w:t>
      </w:r>
      <w:r>
        <w:rPr>
          <w:rFonts w:ascii="微软雅黑" w:hAnsi="微软雅黑" w:eastAsia="微软雅黑" w:hint="eastAsia"/>
          <w:b/>
        </w:rPr>
        <w:t>专科医生ↅ</w:t>
      </w:r>
      <w:r>
        <w:rPr>
          <w:spacing w:val="-8"/>
        </w:rPr>
        <w:t>专科医生应当同时满足以下四项资格条件ↅⅳ</w:t>
      </w:r>
      <w:r>
        <w:rPr/>
        <w:t>1ⅴ具有有效的</w:t>
      </w:r>
    </w:p>
    <w:p>
      <w:pPr>
        <w:pStyle w:val="BodyText"/>
        <w:spacing w:line="237" w:lineRule="auto"/>
        <w:ind w:left="112" w:right="571"/>
        <w:jc w:val="both"/>
      </w:pPr>
      <w:r>
        <w:rPr>
          <w:spacing w:val="-13"/>
        </w:rPr>
        <w:t>中华人民共和国《医师资格证书》</w:t>
      </w:r>
      <w:r>
        <w:rPr>
          <w:spacing w:val="-152"/>
        </w:rPr>
        <w:t>ↆ</w:t>
      </w:r>
      <w:r>
        <w:rPr/>
        <w:t>ⅳ2</w:t>
      </w:r>
      <w:r>
        <w:rPr>
          <w:spacing w:val="-8"/>
        </w:rPr>
        <w:t>ⅴ具有有效的中华人民共和国《医师执业证</w:t>
      </w:r>
      <w:r>
        <w:rPr>
          <w:spacing w:val="-14"/>
        </w:rPr>
        <w:t>书》，并按期到相关部门登记注册</w:t>
      </w:r>
      <w:r>
        <w:rPr>
          <w:spacing w:val="-161"/>
        </w:rPr>
        <w:t>ↆ</w:t>
      </w:r>
      <w:r>
        <w:rPr/>
        <w:t>ⅳ3</w:t>
      </w:r>
      <w:r>
        <w:rPr>
          <w:spacing w:val="-7"/>
        </w:rPr>
        <w:t>ⅴ具有有效的中华人民共和国主治医师或主</w:t>
      </w:r>
      <w:r>
        <w:rPr>
          <w:spacing w:val="-17"/>
        </w:rPr>
        <w:t>治医师以上职称的《医师职称证书》</w:t>
      </w:r>
      <w:r>
        <w:rPr>
          <w:spacing w:val="-161"/>
        </w:rPr>
        <w:t>ↆ</w:t>
      </w:r>
      <w:r>
        <w:rPr/>
        <w:t>ⅳ4</w:t>
      </w:r>
      <w:r>
        <w:rPr>
          <w:spacing w:val="-7"/>
        </w:rPr>
        <w:t>ⅴ在二级或二级以上医院的相应科室从事临床工作三年以上。</w:t>
      </w:r>
    </w:p>
    <w:p>
      <w:pPr>
        <w:spacing w:line="180" w:lineRule="auto" w:before="42"/>
        <w:ind w:left="594" w:right="3807" w:hanging="3"/>
        <w:jc w:val="left"/>
        <w:rPr>
          <w:rFonts w:ascii="微软雅黑" w:hAnsi="微软雅黑" w:eastAsia="微软雅黑" w:hint="eastAsia"/>
          <w:b/>
          <w:sz w:val="24"/>
        </w:rPr>
      </w:pPr>
      <w:r>
        <w:rPr>
          <w:sz w:val="24"/>
        </w:rPr>
        <w:t>5、</w:t>
      </w:r>
      <w:r>
        <w:rPr>
          <w:rFonts w:ascii="微软雅黑" w:hAnsi="微软雅黑" w:eastAsia="微软雅黑" w:hint="eastAsia"/>
          <w:b/>
          <w:sz w:val="24"/>
        </w:rPr>
        <w:t>重大疾病</w:t>
      </w:r>
      <w:r>
        <w:rPr>
          <w:sz w:val="24"/>
        </w:rPr>
        <w:t>ↅ指被保险人初患的下列疾病ↅ </w:t>
      </w:r>
      <w:r>
        <w:rPr>
          <w:rFonts w:ascii="微软雅黑" w:hAnsi="微软雅黑" w:eastAsia="微软雅黑" w:hint="eastAsia"/>
          <w:b/>
          <w:sz w:val="24"/>
        </w:rPr>
        <w:t>标准病种ↅ</w:t>
      </w:r>
    </w:p>
    <w:p>
      <w:pPr>
        <w:pStyle w:val="BodyText"/>
        <w:spacing w:line="282" w:lineRule="exact"/>
      </w:pPr>
      <w:r>
        <w:rPr/>
        <w:t>ⅳ1ⅴ 恶性肿瘤ↅ</w:t>
      </w:r>
    </w:p>
    <w:p>
      <w:pPr>
        <w:pStyle w:val="BodyText"/>
        <w:spacing w:line="237" w:lineRule="auto" w:before="2"/>
        <w:ind w:left="112" w:right="571" w:firstLine="479"/>
      </w:pPr>
      <w:r>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ⅳICD-10ⅴ的恶性肿瘤范畴。</w:t>
      </w:r>
    </w:p>
    <w:p>
      <w:pPr>
        <w:pStyle w:val="BodyText"/>
        <w:spacing w:line="311" w:lineRule="exact"/>
      </w:pPr>
      <w:r>
        <w:rPr/>
        <w:t>下列疾病不在保障范围内ↅ</w:t>
      </w:r>
    </w:p>
    <w:p>
      <w:pPr>
        <w:pStyle w:val="BodyText"/>
        <w:spacing w:line="312" w:lineRule="exact"/>
      </w:pPr>
      <w:r>
        <w:rPr/>
        <w:t>①原位癌ↆ</w:t>
      </w:r>
    </w:p>
    <w:p>
      <w:pPr>
        <w:pStyle w:val="BodyText"/>
        <w:spacing w:line="312" w:lineRule="exact"/>
      </w:pPr>
      <w:r>
        <w:rPr/>
        <w:t>②相当于 Binet 分期方案 A 期程度的慢性淋巴细胞白血病ↆ</w:t>
      </w:r>
    </w:p>
    <w:p>
      <w:pPr>
        <w:pStyle w:val="BodyText"/>
        <w:spacing w:line="312" w:lineRule="exact"/>
      </w:pPr>
      <w:r>
        <w:rPr/>
        <w:t>③相当于 Ann Arbor 分期方案 I 期程度的何杰金氏病ↆ</w:t>
      </w:r>
    </w:p>
    <w:p>
      <w:pPr>
        <w:pStyle w:val="BodyText"/>
        <w:spacing w:line="312" w:lineRule="exact"/>
      </w:pPr>
      <w:r>
        <w:rPr>
          <w:spacing w:val="-5"/>
        </w:rPr>
        <w:t>④皮肤癌ⅳ不包括恶性黑色素瘤及已发生转移的皮肤癌ⅴↆ</w:t>
      </w:r>
    </w:p>
    <w:p>
      <w:pPr>
        <w:pStyle w:val="BodyText"/>
        <w:spacing w:line="312" w:lineRule="exact"/>
      </w:pPr>
      <w:r>
        <w:rPr/>
        <w:t>⑤TNM 分期为 T1N0M0 期或更轻分期的前列腺癌ↆ</w:t>
      </w:r>
    </w:p>
    <w:p>
      <w:pPr>
        <w:pStyle w:val="BodyText"/>
        <w:spacing w:line="237" w:lineRule="auto" w:before="1"/>
        <w:ind w:right="3211"/>
      </w:pPr>
      <w:r>
        <w:rPr/>
        <w:t>⑥感染艾滋病病毒或患艾滋病期间所患恶性肿瘤。ⅳ2ⅴ急性心肌梗塞ↅ</w:t>
      </w:r>
    </w:p>
    <w:p>
      <w:pPr>
        <w:pStyle w:val="BodyText"/>
        <w:spacing w:line="237" w:lineRule="auto" w:before="1"/>
        <w:ind w:left="112" w:right="571" w:firstLine="479"/>
      </w:pPr>
      <w:r>
        <w:rPr/>
        <w:t>指因冠状动脉阻塞导敡的相应区域供血不足造成部分心肌坏死。须满足下列敠少三项条件ↅ</w:t>
      </w:r>
    </w:p>
    <w:p>
      <w:pPr>
        <w:pStyle w:val="BodyText"/>
        <w:spacing w:line="311" w:lineRule="exact"/>
      </w:pPr>
      <w:r>
        <w:rPr/>
        <w:t>①典型临床表现，例如急性胸痛等ↆ</w:t>
      </w:r>
    </w:p>
    <w:p>
      <w:pPr>
        <w:pStyle w:val="BodyText"/>
        <w:spacing w:line="312" w:lineRule="exact"/>
      </w:pPr>
      <w:r>
        <w:rPr/>
        <w:t>②新近的心电图改变提示急性心肌梗塞ↆ</w:t>
      </w:r>
    </w:p>
    <w:p>
      <w:pPr>
        <w:pStyle w:val="BodyText"/>
        <w:spacing w:line="237" w:lineRule="auto" w:before="2"/>
        <w:ind w:left="112" w:right="571" w:firstLine="479"/>
      </w:pPr>
      <w:r>
        <w:rPr/>
        <w:t>③心肌酶或肌钙蛋白有诊断意义的升高，或呈符合急性心肌梗塞的动态性变化ↆ</w:t>
      </w:r>
    </w:p>
    <w:p>
      <w:pPr>
        <w:pStyle w:val="BodyText"/>
        <w:spacing w:line="237" w:lineRule="auto" w:before="1"/>
        <w:ind w:right="450"/>
      </w:pPr>
      <w:r>
        <w:rPr/>
        <w:drawing>
          <wp:anchor distT="0" distB="0" distL="0" distR="0" allowOverlap="1" layoutInCell="1" locked="0" behindDoc="1" simplePos="0" relativeHeight="268412975">
            <wp:simplePos x="0" y="0"/>
            <wp:positionH relativeFrom="page">
              <wp:posOffset>6298567</wp:posOffset>
            </wp:positionH>
            <wp:positionV relativeFrom="paragraph">
              <wp:posOffset>62339</wp:posOffset>
            </wp:positionV>
            <wp:extent cx="66675" cy="117475"/>
            <wp:effectExtent l="0" t="0" r="0" b="0"/>
            <wp:wrapNone/>
            <wp:docPr id="11" name="image4.png" descr=""/>
            <wp:cNvGraphicFramePr>
              <a:graphicFrameLocks noChangeAspect="1"/>
            </wp:cNvGraphicFramePr>
            <a:graphic>
              <a:graphicData uri="http://schemas.openxmlformats.org/drawingml/2006/picture">
                <pic:pic>
                  <pic:nvPicPr>
                    <pic:cNvPr id="12" name="image4.png"/>
                    <pic:cNvPicPr/>
                  </pic:nvPicPr>
                  <pic:blipFill>
                    <a:blip r:embed="rId9" cstate="print"/>
                    <a:stretch>
                      <a:fillRect/>
                    </a:stretch>
                  </pic:blipFill>
                  <pic:spPr>
                    <a:xfrm>
                      <a:off x="0" y="0"/>
                      <a:ext cx="66675" cy="117475"/>
                    </a:xfrm>
                    <a:prstGeom prst="rect">
                      <a:avLst/>
                    </a:prstGeom>
                  </pic:spPr>
                </pic:pic>
              </a:graphicData>
            </a:graphic>
          </wp:anchor>
        </w:drawing>
      </w:r>
      <w:r>
        <w:rPr>
          <w:spacing w:val="-15"/>
        </w:rPr>
        <w:t>④发病 </w:t>
      </w:r>
      <w:r>
        <w:rPr/>
        <w:t>90</w:t>
      </w:r>
      <w:r>
        <w:rPr>
          <w:spacing w:val="-3"/>
        </w:rPr>
        <w:t> 天后，经检查证实左心室功能降低，如左心室射血分数低于 </w:t>
      </w:r>
      <w:r>
        <w:rPr/>
        <w:t>50</w:t>
      </w:r>
      <w:r>
        <w:rPr>
          <w:spacing w:val="-127"/>
        </w:rPr>
        <w:t>。</w:t>
      </w:r>
      <w:r>
        <w:rPr/>
        <w:t>ⅳ3ⅴ脑中风后遗症ↅ</w:t>
      </w:r>
    </w:p>
    <w:p>
      <w:pPr>
        <w:pStyle w:val="BodyText"/>
        <w:spacing w:line="237" w:lineRule="auto" w:before="1"/>
        <w:ind w:left="112" w:right="568" w:firstLine="479"/>
        <w:jc w:val="both"/>
      </w:pPr>
      <w:r>
        <w:rPr/>
        <w:t>指因脑血管的突发病变引起脑血管出血、栓塞或梗塞，并导敡神经系统永久</w:t>
      </w:r>
      <w:r>
        <w:rPr>
          <w:spacing w:val="-7"/>
        </w:rPr>
        <w:t>性的功能障碍。神经系统永久性的功能障碍，指疾病确诊 </w:t>
      </w:r>
      <w:r>
        <w:rPr/>
        <w:t>180</w:t>
      </w:r>
      <w:r>
        <w:rPr>
          <w:spacing w:val="-4"/>
        </w:rPr>
        <w:t> 天后，仍遗留下列一种或一种以上障碍ↅ</w:t>
      </w:r>
    </w:p>
    <w:p>
      <w:pPr>
        <w:spacing w:after="0" w:line="237" w:lineRule="auto"/>
        <w:jc w:val="both"/>
        <w:sectPr>
          <w:pgSz w:w="11910" w:h="16840"/>
          <w:pgMar w:header="0" w:footer="977" w:top="1440" w:bottom="1160" w:left="1640" w:right="1180"/>
        </w:sectPr>
      </w:pPr>
    </w:p>
    <w:p>
      <w:pPr>
        <w:pStyle w:val="BodyText"/>
        <w:spacing w:line="313" w:lineRule="exact" w:before="21"/>
      </w:pPr>
      <w:r>
        <w:rPr/>
        <w:t>①一肢或一肢以上肢体机能完全丧失</w:t>
      </w:r>
      <w:r>
        <w:rPr>
          <w:position w:val="12"/>
          <w:sz w:val="12"/>
        </w:rPr>
        <w:t>①</w:t>
      </w:r>
      <w:r>
        <w:rPr/>
        <w:t>ↆ</w:t>
      </w:r>
    </w:p>
    <w:p>
      <w:pPr>
        <w:pStyle w:val="BodyText"/>
        <w:spacing w:line="312" w:lineRule="exact"/>
      </w:pPr>
      <w:r>
        <w:rPr/>
        <w:t>②语言能力或咀嚼吞咽能力完全丧失</w:t>
      </w:r>
      <w:r>
        <w:rPr>
          <w:position w:val="12"/>
          <w:sz w:val="12"/>
        </w:rPr>
        <w:t>②</w:t>
      </w:r>
      <w:r>
        <w:rPr/>
        <w:t>ↆ</w:t>
      </w:r>
    </w:p>
    <w:p>
      <w:pPr>
        <w:pStyle w:val="BodyText"/>
        <w:spacing w:line="237" w:lineRule="auto" w:before="2"/>
        <w:ind w:left="112" w:right="210" w:firstLine="479"/>
      </w:pPr>
      <w:r>
        <w:rPr>
          <w:spacing w:val="-10"/>
        </w:rPr>
        <w:t>③自主生活能力完全丧失，无法独立完成六项基本日常生活活动</w:t>
      </w:r>
      <w:r>
        <w:rPr>
          <w:position w:val="12"/>
          <w:sz w:val="12"/>
        </w:rPr>
        <w:t>③</w:t>
      </w:r>
      <w:r>
        <w:rPr/>
        <w:t>中的三项或三项以上。</w:t>
      </w:r>
    </w:p>
    <w:p>
      <w:pPr>
        <w:pStyle w:val="BodyText"/>
        <w:spacing w:line="311" w:lineRule="exact"/>
        <w:ind w:left="712"/>
      </w:pPr>
      <w:r>
        <w:rPr/>
        <w:t>ⅳ4ⅴ重大器官移植术或造血干细胞移植术ↅ</w:t>
      </w:r>
    </w:p>
    <w:p>
      <w:pPr>
        <w:pStyle w:val="BodyText"/>
        <w:spacing w:line="237" w:lineRule="auto" w:before="3"/>
        <w:ind w:left="112" w:right="212" w:firstLine="479"/>
      </w:pPr>
      <w:r>
        <w:rPr/>
        <w:t>重大器官移植术，指因相应器官功能衰竭，已经实施了肾脏、肝脏、心脏或肺脏的异体移植手术。</w:t>
      </w:r>
    </w:p>
    <w:p>
      <w:pPr>
        <w:pStyle w:val="BodyText"/>
        <w:spacing w:line="237" w:lineRule="auto" w:before="1"/>
        <w:ind w:left="112" w:right="211" w:firstLine="479"/>
        <w:jc w:val="both"/>
      </w:pPr>
      <w:r>
        <w:rPr/>
        <w:t>造血干细胞移植术，指因造血功能损害或造血系统恶性肿瘤，已经实施了造血干细胞ⅳ包括骨髓造血干细胞、外周血造血干细胞和脐血造血干细胞ⅴ的异体移植手术。</w:t>
      </w:r>
    </w:p>
    <w:p>
      <w:pPr>
        <w:pStyle w:val="BodyText"/>
        <w:spacing w:line="311" w:lineRule="exact"/>
      </w:pPr>
      <w:r>
        <w:rPr/>
        <w:t>ⅳ5ⅴ</w:t>
      </w:r>
      <w:r>
        <w:rPr>
          <w:spacing w:val="-6"/>
        </w:rPr>
        <w:t>冠状动脉搭桥术ⅳ或称冠状动脉旁路移植术ⅴↅ</w:t>
      </w:r>
    </w:p>
    <w:p>
      <w:pPr>
        <w:pStyle w:val="BodyText"/>
        <w:spacing w:line="237" w:lineRule="auto" w:before="2"/>
        <w:ind w:left="112" w:right="212" w:firstLine="479"/>
      </w:pPr>
      <w:r>
        <w:rPr/>
        <w:t>指为治疗严重的冠心病，实际实施了开胸进行的冠状动脉血管旁路移植的手术。</w:t>
      </w:r>
    </w:p>
    <w:p>
      <w:pPr>
        <w:pStyle w:val="BodyText"/>
        <w:spacing w:line="237" w:lineRule="auto"/>
        <w:ind w:left="112" w:right="211" w:firstLine="479"/>
      </w:pPr>
      <w:r>
        <w:rPr/>
        <w:t>冠状动脉支架植入术、心导管球囊扩张术、激光射频技术及其他非开胸的介入手术、腔镜手术不在保障范围内。</w:t>
      </w:r>
    </w:p>
    <w:p>
      <w:pPr>
        <w:pStyle w:val="BodyText"/>
        <w:spacing w:line="311" w:lineRule="exact"/>
      </w:pPr>
      <w:r>
        <w:rPr/>
        <w:t>ⅳ6ⅴ</w:t>
      </w:r>
      <w:r>
        <w:rPr>
          <w:spacing w:val="-6"/>
        </w:rPr>
        <w:t>终末期肾病ⅳ或称慢性肾功能衰竭尿毒症期ⅴↅ</w:t>
      </w:r>
    </w:p>
    <w:p>
      <w:pPr>
        <w:pStyle w:val="BodyText"/>
        <w:spacing w:line="312" w:lineRule="exact"/>
      </w:pPr>
      <w:r>
        <w:rPr/>
        <w:t>指双肾功能慢性不可逆性衰竭，达到尿毒症期，经诊断后已经进行了敠少 90</w:t>
      </w:r>
    </w:p>
    <w:p>
      <w:pPr>
        <w:pStyle w:val="BodyText"/>
        <w:spacing w:line="237" w:lineRule="auto" w:before="1"/>
        <w:ind w:right="3811" w:hanging="480"/>
      </w:pPr>
      <w:r>
        <w:rPr/>
        <w:t>天的规律性透析治疗或实施了肾脏移植手术。ⅳ7ⅴ多个肢体缺失ↅ</w:t>
      </w:r>
    </w:p>
    <w:p>
      <w:pPr>
        <w:pStyle w:val="BodyText"/>
        <w:spacing w:line="237" w:lineRule="auto"/>
        <w:ind w:left="112" w:right="212" w:firstLine="479"/>
      </w:pPr>
      <w:r>
        <w:rPr/>
        <w:t>指因疾病或意外伤害导敡两个或两个以上肢体自腕关节或踝关节近端ⅳ靠近躯干端ⅴ以上完全性断离。</w:t>
      </w:r>
    </w:p>
    <w:p>
      <w:pPr>
        <w:pStyle w:val="BodyText"/>
        <w:spacing w:line="311" w:lineRule="exact"/>
      </w:pPr>
      <w:r>
        <w:rPr/>
        <w:t>ⅳ8ⅴ急性或亚急性重症肝炎ↅ</w:t>
      </w:r>
    </w:p>
    <w:p>
      <w:pPr>
        <w:pStyle w:val="BodyText"/>
        <w:spacing w:line="237" w:lineRule="auto" w:before="2"/>
        <w:ind w:left="112" w:right="212" w:firstLine="479"/>
      </w:pPr>
      <w:r>
        <w:rPr/>
        <w:t>指因肝炎病毒感染引起肝脏组织弥漫性坏死，导敡急性肝功能衰竭，且经血清学或病毒学检查证实，并须满足下列全部条件ↅ</w:t>
      </w:r>
    </w:p>
    <w:p>
      <w:pPr>
        <w:pStyle w:val="BodyText"/>
        <w:spacing w:line="311" w:lineRule="exact"/>
      </w:pPr>
      <w:r>
        <w:rPr/>
        <w:t>①重度黄疸或黄疸迅速加重ↆ</w:t>
      </w:r>
    </w:p>
    <w:p>
      <w:pPr>
        <w:pStyle w:val="BodyText"/>
        <w:spacing w:line="312" w:lineRule="exact"/>
      </w:pPr>
      <w:r>
        <w:rPr/>
        <w:t>②肝性脑病ↆ</w:t>
      </w:r>
    </w:p>
    <w:p>
      <w:pPr>
        <w:pStyle w:val="BodyText"/>
        <w:spacing w:line="312" w:lineRule="exact"/>
      </w:pPr>
      <w:r>
        <w:rPr/>
        <w:t>③B 超或其他影像学检查显示肝脏体积急速萎缩ↆ</w:t>
      </w:r>
    </w:p>
    <w:p>
      <w:pPr>
        <w:pStyle w:val="BodyText"/>
        <w:spacing w:line="237" w:lineRule="auto" w:before="2"/>
        <w:ind w:right="5252"/>
      </w:pPr>
      <w:r>
        <w:rPr/>
        <w:t>④肝功能指标进行性恶化。ⅳ9ⅴ良性脑肿瘤ↅ</w:t>
      </w:r>
    </w:p>
    <w:p>
      <w:pPr>
        <w:pStyle w:val="BodyText"/>
        <w:spacing w:line="237" w:lineRule="auto"/>
        <w:ind w:left="112" w:right="211" w:firstLine="479"/>
        <w:jc w:val="both"/>
      </w:pPr>
      <w:r>
        <w:rPr/>
        <w:t>指脑的良性肿瘤，已经引起颅内压增高，临床表现为视神经乳头水肿、精神</w:t>
      </w:r>
      <w:r>
        <w:rPr>
          <w:spacing w:val="-9"/>
        </w:rPr>
        <w:t>症状、癫痫及运动感觉障碍等，并危及生命。须由头颅断层扫描</w:t>
      </w:r>
      <w:r>
        <w:rPr/>
        <w:t>ⅳCT</w:t>
      </w:r>
      <w:r>
        <w:rPr>
          <w:spacing w:val="-25"/>
        </w:rPr>
        <w:t>ⅴ、核磁共振检查ⅳMRIⅴ或正电子发射断层扫描ⅳPETⅴ等影像学检查证实，并须满足下列敠少一项条件ↅ</w:t>
      </w:r>
    </w:p>
    <w:p>
      <w:pPr>
        <w:pStyle w:val="BodyText"/>
        <w:spacing w:line="311" w:lineRule="exact"/>
      </w:pPr>
      <w:r>
        <w:rPr/>
        <w:t>①实际实施了开颅进行的脑肿瘤完全切除或部分切除的手术ↆ</w:t>
      </w:r>
    </w:p>
    <w:p>
      <w:pPr>
        <w:pStyle w:val="BodyText"/>
        <w:spacing w:line="312" w:lineRule="exact"/>
      </w:pPr>
      <w:r>
        <w:rPr/>
        <w:t>②实际实施了对脑肿瘤进行的放射治疗。</w:t>
      </w:r>
    </w:p>
    <w:p>
      <w:pPr>
        <w:pStyle w:val="BodyText"/>
        <w:spacing w:line="237" w:lineRule="auto" w:before="1"/>
        <w:ind w:right="2612"/>
      </w:pPr>
      <w:r>
        <w:rPr/>
        <w:t>脑垂体瘤、脑囊肿、脑血管性疾病不在保障范围内。ⅳ10ⅴ慢性肝功能衰竭失代偿期ↅ</w:t>
      </w:r>
    </w:p>
    <w:p>
      <w:pPr>
        <w:pStyle w:val="BodyText"/>
        <w:spacing w:before="1"/>
        <w:ind w:left="0"/>
        <w:rPr>
          <w:sz w:val="14"/>
        </w:rPr>
      </w:pPr>
      <w:r>
        <w:rPr/>
        <w:pict>
          <v:line style="position:absolute;mso-position-horizontal-relative:page;mso-position-vertical-relative:paragraph;z-index:1288;mso-wrap-distance-left:0;mso-wrap-distance-right:0" from="87.623802pt,11.656539pt" to="231.643804pt,11.656539pt" stroked="true" strokeweight=".840234pt" strokecolor="#000000">
            <v:stroke dashstyle="solid"/>
            <w10:wrap type="topAndBottom"/>
          </v:line>
        </w:pict>
      </w:r>
    </w:p>
    <w:p>
      <w:pPr>
        <w:spacing w:line="294" w:lineRule="exact" w:before="0"/>
        <w:ind w:left="112" w:right="0" w:firstLine="0"/>
        <w:jc w:val="left"/>
        <w:rPr>
          <w:sz w:val="18"/>
        </w:rPr>
      </w:pPr>
      <w:r>
        <w:rPr>
          <w:rFonts w:ascii="Segoe UI Emoji" w:hAnsi="Segoe UI Emoji" w:eastAsia="Segoe UI Emoji"/>
          <w:position w:val="9"/>
          <w:sz w:val="9"/>
        </w:rPr>
        <w:t>ķ</w:t>
      </w:r>
      <w:r>
        <w:rPr>
          <w:rFonts w:ascii="Microsoft JhengHei" w:hAnsi="Microsoft JhengHei" w:eastAsia="Microsoft JhengHei" w:hint="eastAsia"/>
          <w:b/>
          <w:sz w:val="18"/>
        </w:rPr>
        <w:t>肢体机能完全丧失„</w:t>
      </w:r>
      <w:r>
        <w:rPr>
          <w:sz w:val="18"/>
        </w:rPr>
        <w:t>指肢体的u大关节中的两大关节僵硬，或不能随意识活动o肢体是指包括肩关节的整</w:t>
      </w:r>
    </w:p>
    <w:p>
      <w:pPr>
        <w:spacing w:line="195" w:lineRule="exact" w:before="0"/>
        <w:ind w:left="112" w:right="0" w:firstLine="0"/>
        <w:jc w:val="left"/>
        <w:rPr>
          <w:sz w:val="18"/>
        </w:rPr>
      </w:pPr>
      <w:r>
        <w:rPr>
          <w:w w:val="110"/>
          <w:sz w:val="18"/>
        </w:rPr>
        <w:t>个1肢或包括髋关节的整个$肢o</w:t>
      </w:r>
    </w:p>
    <w:p>
      <w:pPr>
        <w:spacing w:line="272" w:lineRule="exact" w:before="0"/>
        <w:ind w:left="112" w:right="0" w:firstLine="0"/>
        <w:jc w:val="left"/>
        <w:rPr>
          <w:sz w:val="18"/>
        </w:rPr>
      </w:pPr>
      <w:r>
        <w:rPr>
          <w:rFonts w:ascii="Segoe UI Emoji" w:hAnsi="Segoe UI Emoji" w:eastAsia="Segoe UI Emoji"/>
          <w:w w:val="115"/>
          <w:position w:val="9"/>
          <w:sz w:val="9"/>
        </w:rPr>
        <w:t>ĸ</w:t>
      </w:r>
      <w:r>
        <w:rPr>
          <w:rFonts w:ascii="Microsoft JhengHei" w:hAnsi="Microsoft JhengHei" w:eastAsia="Microsoft JhengHei" w:hint="eastAsia"/>
          <w:b/>
          <w:w w:val="105"/>
          <w:sz w:val="18"/>
        </w:rPr>
        <w:t>语言能力或咀嚼吞咽能力完全丧失</w:t>
      </w:r>
      <w:r>
        <w:rPr>
          <w:rFonts w:ascii="Microsoft JhengHei" w:hAnsi="Microsoft JhengHei" w:eastAsia="Microsoft JhengHei" w:hint="eastAsia"/>
          <w:b/>
          <w:w w:val="115"/>
          <w:sz w:val="18"/>
        </w:rPr>
        <w:t>„</w:t>
      </w:r>
      <w:r>
        <w:rPr>
          <w:w w:val="105"/>
          <w:sz w:val="18"/>
        </w:rPr>
        <w:t>语言能力完全丧失，指无法发出四种语音C包括口唇音.齿舌音.口</w:t>
      </w:r>
    </w:p>
    <w:p>
      <w:pPr>
        <w:spacing w:line="237" w:lineRule="auto" w:before="0"/>
        <w:ind w:left="112" w:right="209" w:firstLine="0"/>
        <w:jc w:val="both"/>
        <w:rPr>
          <w:sz w:val="18"/>
        </w:rPr>
      </w:pPr>
      <w:r>
        <w:rPr>
          <w:w w:val="105"/>
          <w:sz w:val="18"/>
        </w:rPr>
        <w:t>盖音和喉头音</w:t>
      </w:r>
      <w:r>
        <w:rPr>
          <w:spacing w:val="-15"/>
          <w:w w:val="105"/>
          <w:sz w:val="18"/>
        </w:rPr>
        <w:t>P</w:t>
      </w:r>
      <w:r>
        <w:rPr>
          <w:w w:val="105"/>
          <w:sz w:val="18"/>
        </w:rPr>
        <w:t>中的任何u</w:t>
      </w:r>
      <w:r>
        <w:rPr>
          <w:spacing w:val="-6"/>
          <w:w w:val="105"/>
          <w:sz w:val="18"/>
        </w:rPr>
        <w:t>种.或声带全部切除，或因大脑语言中枢¿伤害而患失语症</w:t>
      </w:r>
      <w:r>
        <w:rPr>
          <w:spacing w:val="-15"/>
          <w:w w:val="105"/>
          <w:sz w:val="18"/>
        </w:rPr>
        <w:t>o</w:t>
      </w:r>
      <w:r>
        <w:rPr>
          <w:w w:val="105"/>
          <w:sz w:val="18"/>
        </w:rPr>
        <w:t>咀嚼吞咽能力完全</w:t>
      </w:r>
      <w:r>
        <w:rPr>
          <w:spacing w:val="-7"/>
          <w:sz w:val="18"/>
        </w:rPr>
        <w:t>丧失，指因牙齿以外的原因导致器质障碍或机能障碍，以致不能作咀嚼吞咽运动，除流质食物外不能摄</w:t>
      </w:r>
      <w:r>
        <w:rPr>
          <w:sz w:val="18"/>
        </w:rPr>
        <w:t>ª或</w:t>
      </w:r>
      <w:r>
        <w:rPr>
          <w:w w:val="105"/>
          <w:sz w:val="18"/>
        </w:rPr>
        <w:t>吞咽的状态o</w:t>
      </w:r>
    </w:p>
    <w:p>
      <w:pPr>
        <w:spacing w:line="243" w:lineRule="exact" w:before="9"/>
        <w:ind w:left="112" w:right="0" w:firstLine="0"/>
        <w:jc w:val="left"/>
        <w:rPr>
          <w:sz w:val="18"/>
        </w:rPr>
      </w:pPr>
      <w:r>
        <w:rPr>
          <w:rFonts w:ascii="Segoe UI Emoji" w:hAnsi="Segoe UI Emoji" w:eastAsia="Segoe UI Emoji"/>
          <w:w w:val="110"/>
          <w:position w:val="9"/>
          <w:sz w:val="9"/>
        </w:rPr>
        <w:t>Ⓢ</w:t>
      </w:r>
      <w:r>
        <w:rPr>
          <w:rFonts w:ascii="Microsoft JhengHei" w:hAnsi="Microsoft JhengHei" w:eastAsia="Microsoft JhengHei" w:hint="eastAsia"/>
          <w:b/>
          <w:w w:val="110"/>
          <w:sz w:val="18"/>
        </w:rPr>
        <w:t>六项基本日常生活活动„</w:t>
      </w:r>
      <w:r>
        <w:rPr>
          <w:w w:val="110"/>
          <w:sz w:val="18"/>
        </w:rPr>
        <w:t>指C</w:t>
      </w:r>
      <w:r>
        <w:rPr>
          <w:rFonts w:ascii="Calibri" w:hAnsi="Calibri" w:eastAsia="Calibri"/>
          <w:w w:val="110"/>
          <w:sz w:val="18"/>
        </w:rPr>
        <w:t>1</w:t>
      </w:r>
      <w:r>
        <w:rPr>
          <w:w w:val="110"/>
          <w:sz w:val="18"/>
        </w:rPr>
        <w:t>P穿衣„自C能够穿衣及脱衣;C</w:t>
      </w:r>
      <w:r>
        <w:rPr>
          <w:rFonts w:ascii="Calibri" w:hAnsi="Calibri" w:eastAsia="Calibri"/>
          <w:w w:val="110"/>
          <w:sz w:val="18"/>
        </w:rPr>
        <w:t>2</w:t>
      </w:r>
      <w:r>
        <w:rPr>
          <w:w w:val="110"/>
          <w:sz w:val="18"/>
        </w:rPr>
        <w:t>P移动„自CK一个房间到另一个房间;</w:t>
      </w:r>
    </w:p>
    <w:p>
      <w:pPr>
        <w:spacing w:line="218" w:lineRule="auto" w:before="10"/>
        <w:ind w:left="112" w:right="237" w:firstLine="0"/>
        <w:jc w:val="left"/>
        <w:rPr>
          <w:sz w:val="18"/>
        </w:rPr>
      </w:pPr>
      <w:r>
        <w:rPr>
          <w:w w:val="125"/>
          <w:sz w:val="18"/>
        </w:rPr>
        <w:t>C</w:t>
      </w:r>
      <w:r>
        <w:rPr>
          <w:rFonts w:ascii="Calibri" w:hAnsi="Calibri" w:eastAsia="Calibri"/>
          <w:w w:val="125"/>
          <w:sz w:val="18"/>
        </w:rPr>
        <w:t>3</w:t>
      </w:r>
      <w:r>
        <w:rPr>
          <w:w w:val="125"/>
          <w:sz w:val="18"/>
        </w:rPr>
        <w:t>P行动„自C1$床或1$轮椅;C</w:t>
      </w:r>
      <w:r>
        <w:rPr>
          <w:rFonts w:ascii="Calibri" w:hAnsi="Calibri" w:eastAsia="Calibri"/>
          <w:w w:val="125"/>
          <w:sz w:val="18"/>
        </w:rPr>
        <w:t>4</w:t>
      </w:r>
      <w:r>
        <w:rPr>
          <w:w w:val="125"/>
          <w:sz w:val="18"/>
        </w:rPr>
        <w:t>P如厕„自C控制进行大小便;C</w:t>
      </w:r>
      <w:r>
        <w:rPr>
          <w:rFonts w:ascii="Calibri" w:hAnsi="Calibri" w:eastAsia="Calibri"/>
          <w:w w:val="125"/>
          <w:sz w:val="18"/>
        </w:rPr>
        <w:t>5</w:t>
      </w:r>
      <w:r>
        <w:rPr>
          <w:w w:val="125"/>
          <w:sz w:val="18"/>
        </w:rPr>
        <w:t>P进食„自CKC准备好的碗</w:t>
      </w:r>
      <w:r>
        <w:rPr>
          <w:w w:val="115"/>
          <w:sz w:val="18"/>
        </w:rPr>
        <w:t>或碟中ª食物放入口中;C</w:t>
      </w:r>
      <w:r>
        <w:rPr>
          <w:rFonts w:ascii="Calibri" w:hAnsi="Calibri" w:eastAsia="Calibri"/>
          <w:w w:val="115"/>
          <w:sz w:val="18"/>
        </w:rPr>
        <w:t>6</w:t>
      </w:r>
      <w:r>
        <w:rPr>
          <w:w w:val="115"/>
          <w:sz w:val="18"/>
        </w:rPr>
        <w:t>P洗澡„自C进行淋浴或盆浴o</w:t>
      </w:r>
    </w:p>
    <w:p>
      <w:pPr>
        <w:spacing w:after="0" w:line="218" w:lineRule="auto"/>
        <w:jc w:val="left"/>
        <w:rPr>
          <w:sz w:val="18"/>
        </w:rPr>
        <w:sectPr>
          <w:pgSz w:w="11910" w:h="16840"/>
          <w:pgMar w:header="0" w:footer="977" w:top="1360" w:bottom="1160" w:left="1640" w:right="1540"/>
        </w:sectPr>
      </w:pPr>
    </w:p>
    <w:p>
      <w:pPr>
        <w:pStyle w:val="BodyText"/>
        <w:spacing w:line="313" w:lineRule="exact" w:before="1"/>
      </w:pPr>
      <w:r>
        <w:rPr/>
        <w:t>指因慢性肝脏疾病导敡肝功能衰竭。须满足下列全部条件ↅ</w:t>
      </w:r>
    </w:p>
    <w:p>
      <w:pPr>
        <w:pStyle w:val="BodyText"/>
        <w:spacing w:line="312" w:lineRule="exact"/>
      </w:pPr>
      <w:r>
        <w:rPr/>
        <w:t>①持续性黄疸ↆ</w:t>
      </w:r>
    </w:p>
    <w:p>
      <w:pPr>
        <w:pStyle w:val="BodyText"/>
        <w:spacing w:line="312" w:lineRule="exact"/>
      </w:pPr>
      <w:r>
        <w:rPr/>
        <w:t>②腹水ↆ</w:t>
      </w:r>
    </w:p>
    <w:p>
      <w:pPr>
        <w:pStyle w:val="BodyText"/>
        <w:spacing w:line="312" w:lineRule="exact"/>
      </w:pPr>
      <w:r>
        <w:rPr/>
        <w:t>③肝性脑病ↆ</w:t>
      </w:r>
    </w:p>
    <w:p>
      <w:pPr>
        <w:pStyle w:val="BodyText"/>
        <w:spacing w:line="237" w:lineRule="auto" w:before="2"/>
        <w:ind w:right="2393"/>
      </w:pPr>
      <w:r>
        <w:rPr/>
        <w:t>④充血性脾肿大伴脾功能亢进或食管胃底静脉曲张。 因酗酒或药物滥用导敡的肝功能衰竭不在保障范围内。</w:t>
      </w:r>
    </w:p>
    <w:p>
      <w:pPr>
        <w:pStyle w:val="BodyText"/>
        <w:spacing w:line="311" w:lineRule="exact"/>
      </w:pPr>
      <w:r>
        <w:rPr/>
        <w:t>ⅳ11ⅴ脑炎后遗症或脑膜炎后遗症ↅ</w:t>
      </w:r>
    </w:p>
    <w:p>
      <w:pPr>
        <w:pStyle w:val="BodyText"/>
        <w:spacing w:line="237" w:lineRule="auto" w:before="3"/>
        <w:ind w:left="112" w:right="233" w:firstLine="479"/>
      </w:pPr>
      <w:r>
        <w:rPr/>
        <w:t>指因患脑炎或脑膜炎导敡的神经系统永久性的功能障碍。神经系统永久性的功能障碍，指疾病确诊 180 天后，仍遗留下列一种或一种以上障碍ↅ</w:t>
      </w:r>
    </w:p>
    <w:p>
      <w:pPr>
        <w:pStyle w:val="BodyText"/>
        <w:spacing w:line="311" w:lineRule="exact"/>
      </w:pPr>
      <w:r>
        <w:rPr/>
        <w:t>①一肢或一肢以上肢体机能完全丧失ↆ</w:t>
      </w:r>
    </w:p>
    <w:p>
      <w:pPr>
        <w:pStyle w:val="BodyText"/>
        <w:spacing w:line="312" w:lineRule="exact"/>
      </w:pPr>
      <w:r>
        <w:rPr/>
        <w:t>②语言能力或咀嚼吞咽能力完全丧失ↆ</w:t>
      </w:r>
    </w:p>
    <w:p>
      <w:pPr>
        <w:pStyle w:val="BodyText"/>
        <w:spacing w:line="237" w:lineRule="auto" w:before="2"/>
        <w:ind w:left="112" w:right="232" w:firstLine="479"/>
      </w:pPr>
      <w:r>
        <w:rPr/>
        <w:t>③自主生活能力完全丧失，无法独立完成六项基本日常生活活动中的三项或三项以上。</w:t>
      </w:r>
    </w:p>
    <w:p>
      <w:pPr>
        <w:pStyle w:val="BodyText"/>
        <w:spacing w:line="311" w:lineRule="exact"/>
      </w:pPr>
      <w:r>
        <w:rPr/>
        <w:t>ⅳ12ⅴ深度昏迷ↅ</w:t>
      </w:r>
    </w:p>
    <w:p>
      <w:pPr>
        <w:pStyle w:val="BodyText"/>
        <w:spacing w:line="237" w:lineRule="auto" w:before="2"/>
        <w:ind w:left="112" w:right="230" w:firstLine="479"/>
        <w:jc w:val="both"/>
      </w:pPr>
      <w:r>
        <w:rPr/>
        <w:t>指因疾病或意外伤害导敡意识丧失,对外界刺激和体内需求均无反应,昏迷程度按照格拉斯哥昏迷分级ⅳGlasgow</w:t>
      </w:r>
      <w:r>
        <w:rPr>
          <w:spacing w:val="-60"/>
        </w:rPr>
        <w:t> </w:t>
      </w:r>
      <w:r>
        <w:rPr/>
        <w:t>coma</w:t>
      </w:r>
      <w:r>
        <w:rPr>
          <w:spacing w:val="-60"/>
        </w:rPr>
        <w:t> </w:t>
      </w:r>
      <w:r>
        <w:rPr/>
        <w:t>scaleⅴ</w:t>
      </w:r>
      <w:r>
        <w:rPr>
          <w:spacing w:val="-15"/>
        </w:rPr>
        <w:t>结果为 </w:t>
      </w:r>
      <w:r>
        <w:rPr/>
        <w:t>5</w:t>
      </w:r>
      <w:r>
        <w:rPr>
          <w:spacing w:val="-15"/>
        </w:rPr>
        <w:t> 分或 </w:t>
      </w:r>
      <w:r>
        <w:rPr/>
        <w:t>5 分以下，且已</w:t>
      </w:r>
      <w:r>
        <w:rPr>
          <w:spacing w:val="-4"/>
        </w:rPr>
        <w:t>经持续使用呼吸机及其他生命维持系统 </w:t>
      </w:r>
      <w:r>
        <w:rPr/>
        <w:t>96</w:t>
      </w:r>
      <w:r>
        <w:rPr>
          <w:spacing w:val="-10"/>
        </w:rPr>
        <w:t> 小时以上。</w:t>
      </w:r>
    </w:p>
    <w:p>
      <w:pPr>
        <w:pStyle w:val="BodyText"/>
        <w:spacing w:line="237" w:lineRule="auto"/>
        <w:ind w:right="2632"/>
      </w:pPr>
      <w:r>
        <w:rPr/>
        <w:t>因酗酒或药物滥用导敡的深度昏迷不在保障范围内。ⅳ13ⅴ双耳失聪ↅ</w:t>
      </w:r>
    </w:p>
    <w:p>
      <w:pPr>
        <w:pStyle w:val="BodyText"/>
        <w:spacing w:line="311" w:lineRule="exact"/>
      </w:pPr>
      <w:r>
        <w:rPr/>
        <w:t>指因疾病或意外伤害导敡双耳听力永久不可逆</w:t>
      </w:r>
      <w:r>
        <w:rPr>
          <w:position w:val="12"/>
          <w:sz w:val="12"/>
        </w:rPr>
        <w:t>④</w:t>
      </w:r>
      <w:r>
        <w:rPr/>
        <w:t>性丧失，在 500 赫兹、1000</w:t>
      </w:r>
    </w:p>
    <w:p>
      <w:pPr>
        <w:pStyle w:val="BodyText"/>
        <w:ind w:left="112" w:right="233" w:hanging="1"/>
      </w:pPr>
      <w:r>
        <w:rPr>
          <w:spacing w:val="-16"/>
        </w:rPr>
        <w:t>赫兹和 </w:t>
      </w:r>
      <w:r>
        <w:rPr/>
        <w:t>2000</w:t>
      </w:r>
      <w:r>
        <w:rPr>
          <w:spacing w:val="-9"/>
        </w:rPr>
        <w:t> 赫兹语音频率下，平均听阈大于 </w:t>
      </w:r>
      <w:r>
        <w:rPr/>
        <w:t>90</w:t>
      </w:r>
      <w:r>
        <w:rPr>
          <w:spacing w:val="-10"/>
        </w:rPr>
        <w:t> 分贝，且经纯音听力测试、声导抗检测或听觉诱发电位检测等证实。</w:t>
      </w:r>
    </w:p>
    <w:p>
      <w:pPr>
        <w:pStyle w:val="BodyText"/>
        <w:spacing w:line="237" w:lineRule="auto" w:before="1"/>
        <w:ind w:left="112" w:right="231" w:firstLine="479"/>
      </w:pPr>
      <w:r>
        <w:rPr>
          <w:spacing w:val="-9"/>
        </w:rPr>
        <w:t>被保险人在满 </w:t>
      </w:r>
      <w:r>
        <w:rPr/>
        <w:t>3</w:t>
      </w:r>
      <w:r>
        <w:rPr>
          <w:spacing w:val="-8"/>
        </w:rPr>
        <w:t> 周岁的首个保险单周年日之前双耳失聪不在本主险合同的保障范围之内。</w:t>
      </w:r>
    </w:p>
    <w:p>
      <w:pPr>
        <w:pStyle w:val="BodyText"/>
        <w:spacing w:line="311" w:lineRule="exact"/>
      </w:pPr>
      <w:r>
        <w:rPr/>
        <w:t>ⅳ14ⅴ双目失明ↅ</w:t>
      </w:r>
    </w:p>
    <w:p>
      <w:pPr>
        <w:pStyle w:val="BodyText"/>
        <w:spacing w:line="237" w:lineRule="auto" w:before="2"/>
        <w:ind w:left="112" w:right="230" w:firstLine="479"/>
      </w:pPr>
      <w:r>
        <w:rPr/>
        <w:t>指因疾病或意外伤害导敡双眼视力永久不可逆性丧失，双眼中较好眼须满足下列敠少一项条件ↅ</w:t>
      </w:r>
    </w:p>
    <w:p>
      <w:pPr>
        <w:pStyle w:val="BodyText"/>
        <w:spacing w:line="311" w:lineRule="exact"/>
      </w:pPr>
      <w:r>
        <w:rPr/>
        <w:t>①眼球缺失或摘除ↆ</w:t>
      </w:r>
    </w:p>
    <w:p>
      <w:pPr>
        <w:pStyle w:val="BodyText"/>
        <w:spacing w:line="237" w:lineRule="auto" w:before="3"/>
        <w:ind w:left="112" w:right="229" w:firstLine="479"/>
      </w:pPr>
      <w:r>
        <w:rPr>
          <w:spacing w:val="-7"/>
        </w:rPr>
        <w:t>②矫正视力低于 0.02</w:t>
      </w:r>
      <w:r>
        <w:rPr>
          <w:spacing w:val="-6"/>
        </w:rPr>
        <w:t>ⅳ采用国际标准视力表，如果使用其他视力表应进行换</w:t>
      </w:r>
      <w:r>
        <w:rPr>
          <w:spacing w:val="-42"/>
        </w:rPr>
        <w:t>算ⅴↆ</w:t>
      </w:r>
    </w:p>
    <w:p>
      <w:pPr>
        <w:pStyle w:val="BodyText"/>
        <w:spacing w:line="311" w:lineRule="exact"/>
      </w:pPr>
      <w:r>
        <w:rPr/>
        <w:t>③视野半径小于 5 度。</w:t>
      </w:r>
    </w:p>
    <w:p>
      <w:pPr>
        <w:pStyle w:val="BodyText"/>
        <w:ind w:left="112" w:right="231" w:firstLine="479"/>
      </w:pPr>
      <w:r>
        <w:rPr>
          <w:spacing w:val="-9"/>
        </w:rPr>
        <w:t>被保险人在满 </w:t>
      </w:r>
      <w:r>
        <w:rPr/>
        <w:t>3</w:t>
      </w:r>
      <w:r>
        <w:rPr>
          <w:spacing w:val="-8"/>
        </w:rPr>
        <w:t> 周岁的首个保险单周年日之前双目失明不在本主险合同的保障范围之内。</w:t>
      </w:r>
    </w:p>
    <w:p>
      <w:pPr>
        <w:pStyle w:val="BodyText"/>
        <w:spacing w:line="311" w:lineRule="exact" w:before="1"/>
      </w:pPr>
      <w:r>
        <w:rPr/>
        <w:t>ⅳ15ⅴ瘫痪ↅ</w:t>
      </w:r>
    </w:p>
    <w:p>
      <w:pPr>
        <w:pStyle w:val="BodyText"/>
        <w:spacing w:line="237" w:lineRule="auto" w:before="2"/>
        <w:ind w:left="112" w:right="230" w:firstLine="479"/>
        <w:jc w:val="both"/>
      </w:pPr>
      <w:r>
        <w:rPr/>
        <w:t>指因疾病或意外伤害导敡两肢或两肢以上肢体机能永久完全丧失。肢体机能</w:t>
      </w:r>
      <w:r>
        <w:rPr>
          <w:spacing w:val="-12"/>
        </w:rPr>
        <w:t>永久完全丧失，指疾病确诊 </w:t>
      </w:r>
      <w:r>
        <w:rPr/>
        <w:t>180</w:t>
      </w:r>
      <w:r>
        <w:rPr>
          <w:spacing w:val="-6"/>
        </w:rPr>
        <w:t> 天后或意外伤害发生 </w:t>
      </w:r>
      <w:r>
        <w:rPr/>
        <w:t>180</w:t>
      </w:r>
      <w:r>
        <w:rPr>
          <w:spacing w:val="-8"/>
        </w:rPr>
        <w:t> 天后，每肢三大关节中的两大关节仍然完全僵硬，或不能随意识活动。</w:t>
      </w:r>
    </w:p>
    <w:p>
      <w:pPr>
        <w:pStyle w:val="BodyText"/>
        <w:spacing w:line="311" w:lineRule="exact"/>
      </w:pPr>
      <w:r>
        <w:rPr/>
        <w:t>ⅳ16ⅴ心脏瓣膜手术ↅ</w:t>
      </w:r>
    </w:p>
    <w:p>
      <w:pPr>
        <w:pStyle w:val="BodyText"/>
        <w:spacing w:line="237" w:lineRule="auto" w:before="2"/>
        <w:ind w:right="111"/>
      </w:pPr>
      <w:r>
        <w:rPr>
          <w:spacing w:val="-11"/>
        </w:rPr>
        <w:t>指为治疗心脏瓣膜疾病，实际实施了开胸进行的心脏瓣膜敢换或修复的手术。ⅳ17ⅴ严重阿尔茨海默病ↅ</w:t>
      </w:r>
    </w:p>
    <w:p>
      <w:pPr>
        <w:pStyle w:val="BodyText"/>
        <w:spacing w:line="237" w:lineRule="auto" w:before="1"/>
        <w:ind w:left="112" w:right="111" w:firstLine="479"/>
      </w:pPr>
      <w:r>
        <w:rPr/>
        <w:t>指因大脑进行性、不可逆性改变导敡智能严重衰退或丧失，临床表现为明显</w:t>
      </w:r>
      <w:r>
        <w:rPr>
          <w:spacing w:val="-11"/>
        </w:rPr>
        <w:t>的认知能力障碍、行为异常和社交能力减退，其日常生活必须持续受到他人监护。</w:t>
      </w:r>
    </w:p>
    <w:p>
      <w:pPr>
        <w:pStyle w:val="BodyText"/>
        <w:spacing w:before="11"/>
        <w:ind w:left="0"/>
        <w:rPr>
          <w:sz w:val="19"/>
        </w:rPr>
      </w:pPr>
      <w:r>
        <w:rPr/>
        <w:pict>
          <v:line style="position:absolute;mso-position-horizontal-relative:page;mso-position-vertical-relative:paragraph;z-index:1312;mso-wrap-distance-left:0;mso-wrap-distance-right:0" from="87.623802pt,15.43117pt" to="231.643804pt,15.43117pt" stroked="true" strokeweight=".839844pt" strokecolor="#000000">
            <v:stroke dashstyle="solid"/>
            <w10:wrap type="topAndBottom"/>
          </v:line>
        </w:pict>
      </w:r>
    </w:p>
    <w:p>
      <w:pPr>
        <w:spacing w:line="218" w:lineRule="auto" w:before="19"/>
        <w:ind w:left="112" w:right="176" w:hanging="1"/>
        <w:jc w:val="left"/>
        <w:rPr>
          <w:sz w:val="18"/>
        </w:rPr>
      </w:pPr>
      <w:r>
        <w:rPr>
          <w:rFonts w:ascii="Segoe UI Emoji" w:hAnsi="Segoe UI Emoji" w:eastAsia="Segoe UI Emoji"/>
          <w:position w:val="9"/>
          <w:sz w:val="9"/>
        </w:rPr>
        <w:t>¼</w:t>
      </w:r>
      <w:r>
        <w:rPr>
          <w:rFonts w:ascii="Microsoft JhengHei" w:hAnsi="Microsoft JhengHei" w:eastAsia="Microsoft JhengHei" w:hint="eastAsia"/>
          <w:b/>
          <w:sz w:val="18"/>
        </w:rPr>
        <w:t>永久不可逆„</w:t>
      </w:r>
      <w:r>
        <w:rPr>
          <w:sz w:val="18"/>
        </w:rPr>
        <w:t>指自疾病确诊或意外伤害发生之日起，经过积极治疗 </w:t>
      </w:r>
      <w:r>
        <w:rPr>
          <w:rFonts w:ascii="Calibri" w:hAnsi="Calibri" w:eastAsia="Calibri"/>
          <w:sz w:val="18"/>
        </w:rPr>
        <w:t>180 </w:t>
      </w:r>
      <w:r>
        <w:rPr>
          <w:sz w:val="18"/>
        </w:rPr>
        <w:t>天后，K无法通过现有医疗手段恢</w:t>
      </w:r>
      <w:r>
        <w:rPr>
          <w:w w:val="115"/>
          <w:sz w:val="18"/>
        </w:rPr>
        <w:t>复o</w:t>
      </w:r>
    </w:p>
    <w:p>
      <w:pPr>
        <w:spacing w:after="0" w:line="218" w:lineRule="auto"/>
        <w:jc w:val="left"/>
        <w:rPr>
          <w:sz w:val="18"/>
        </w:rPr>
        <w:sectPr>
          <w:footerReference w:type="default" r:id="rId10"/>
          <w:pgSz w:w="11910" w:h="16840"/>
          <w:pgMar w:footer="977" w:header="0" w:top="1380" w:bottom="1160" w:left="1640" w:right="1520"/>
          <w:pgNumType w:start="9"/>
        </w:sectPr>
      </w:pPr>
    </w:p>
    <w:p>
      <w:pPr>
        <w:pStyle w:val="BodyText"/>
        <w:spacing w:line="237" w:lineRule="auto" w:before="5"/>
        <w:ind w:left="112" w:right="231"/>
        <w:jc w:val="both"/>
      </w:pPr>
      <w:r>
        <w:rPr>
          <w:spacing w:val="-3"/>
        </w:rPr>
        <w:t>须由头颅断层扫描</w:t>
      </w:r>
      <w:r>
        <w:rPr/>
        <w:t>ⅳCT</w:t>
      </w:r>
      <w:r>
        <w:rPr>
          <w:spacing w:val="-22"/>
        </w:rPr>
        <w:t>ⅴ、核磁共振检查</w:t>
      </w:r>
      <w:r>
        <w:rPr/>
        <w:t>ⅳMR</w:t>
      </w:r>
      <w:r>
        <w:rPr>
          <w:spacing w:val="-2"/>
        </w:rPr>
        <w:t>I</w:t>
      </w:r>
      <w:r>
        <w:rPr>
          <w:spacing w:val="-7"/>
        </w:rPr>
        <w:t>ⅴ或正电子发射断层扫描</w:t>
      </w:r>
      <w:r>
        <w:rPr/>
        <w:t>ⅳPET</w:t>
      </w:r>
      <w:r>
        <w:rPr>
          <w:spacing w:val="-20"/>
        </w:rPr>
        <w:t>ⅴ等</w:t>
      </w:r>
      <w:r>
        <w:rPr/>
        <w:t>影像学检查证实，且自主生活能力完全丧失，无法独立完成六项基本日常生活活动中的三项或三项以上。</w:t>
      </w:r>
    </w:p>
    <w:p>
      <w:pPr>
        <w:pStyle w:val="BodyText"/>
        <w:spacing w:line="311" w:lineRule="exact"/>
      </w:pPr>
      <w:r>
        <w:rPr/>
        <w:t>神经官能症和精神疾病不在保障范围内。</w:t>
      </w:r>
    </w:p>
    <w:p>
      <w:pPr>
        <w:pStyle w:val="BodyText"/>
        <w:spacing w:line="312" w:lineRule="exact"/>
      </w:pPr>
      <w:r>
        <w:rPr/>
        <w:t>ⅳ18ⅴ严重脑损伤ↅ</w:t>
      </w:r>
    </w:p>
    <w:p>
      <w:pPr>
        <w:pStyle w:val="BodyText"/>
        <w:spacing w:line="237" w:lineRule="auto" w:before="2"/>
        <w:ind w:left="112" w:right="231" w:firstLine="479"/>
        <w:jc w:val="both"/>
      </w:pPr>
      <w:r>
        <w:rPr/>
        <w:t>指因头部遭受机械性外力，引起脑重要部位损伤，导敡神经系统永久性的功能障碍。须由头颅断层扫描ⅳCT</w:t>
      </w:r>
      <w:r>
        <w:rPr>
          <w:spacing w:val="-16"/>
        </w:rPr>
        <w:t>ⅴ、核磁共振检查</w:t>
      </w:r>
      <w:r>
        <w:rPr/>
        <w:t>ⅳMRIⅴ或正电子发射断层扫描 ⅳPET</w:t>
      </w:r>
      <w:r>
        <w:rPr>
          <w:spacing w:val="-3"/>
        </w:rPr>
        <w:t>ⅴ等影像学检查证实。神经系统永久性的功能障碍，指脑损伤 </w:t>
      </w:r>
      <w:r>
        <w:rPr/>
        <w:t>180</w:t>
      </w:r>
      <w:r>
        <w:rPr>
          <w:spacing w:val="-1"/>
        </w:rPr>
        <w:t> 天后， 仍遗留下列一种或一种以上障碍ↅ</w:t>
      </w:r>
    </w:p>
    <w:p>
      <w:pPr>
        <w:pStyle w:val="BodyText"/>
        <w:spacing w:line="311" w:lineRule="exact"/>
      </w:pPr>
      <w:r>
        <w:rPr/>
        <w:t>①一肢或一肢以上肢体机能完全丧失ↆ</w:t>
      </w:r>
    </w:p>
    <w:p>
      <w:pPr>
        <w:pStyle w:val="BodyText"/>
        <w:spacing w:line="312" w:lineRule="exact"/>
      </w:pPr>
      <w:r>
        <w:rPr/>
        <w:t>②语言能力或咀嚼吞咽能力完全丧失ↆ</w:t>
      </w:r>
    </w:p>
    <w:p>
      <w:pPr>
        <w:pStyle w:val="BodyText"/>
        <w:spacing w:line="237" w:lineRule="auto" w:before="2"/>
        <w:ind w:left="112" w:right="232" w:firstLine="479"/>
      </w:pPr>
      <w:r>
        <w:rPr/>
        <w:t>③自主生活能力完全丧失，无法独立完成六项基本日常生活活动中的三项或三项以上。</w:t>
      </w:r>
    </w:p>
    <w:p>
      <w:pPr>
        <w:pStyle w:val="BodyText"/>
        <w:spacing w:line="311" w:lineRule="exact"/>
      </w:pPr>
      <w:r>
        <w:rPr/>
        <w:t>ⅳ19ⅴ严重帕金森病ↅ</w:t>
      </w:r>
    </w:p>
    <w:p>
      <w:pPr>
        <w:pStyle w:val="BodyText"/>
        <w:spacing w:line="237" w:lineRule="auto" w:before="2"/>
        <w:ind w:left="112" w:right="233" w:firstLine="479"/>
      </w:pPr>
      <w:r>
        <w:rPr/>
        <w:t>是一种中枢神经系统的退行性疾病，临床表现为震颤麻痹、共济失调等。须满足下列全部条件ↅ</w:t>
      </w:r>
    </w:p>
    <w:p>
      <w:pPr>
        <w:pStyle w:val="BodyText"/>
        <w:spacing w:line="311" w:lineRule="exact"/>
      </w:pPr>
      <w:r>
        <w:rPr/>
        <w:t>①药物治疗无法控制病情ↆ</w:t>
      </w:r>
    </w:p>
    <w:p>
      <w:pPr>
        <w:pStyle w:val="BodyText"/>
        <w:spacing w:line="237" w:lineRule="auto" w:before="2"/>
        <w:ind w:left="112" w:right="232" w:firstLine="479"/>
      </w:pPr>
      <w:r>
        <w:rPr/>
        <w:t>②自主生活能力完全丧失，无法独立完成六项基本日常生活活动中的三项或三项以上。</w:t>
      </w:r>
    </w:p>
    <w:p>
      <w:pPr>
        <w:pStyle w:val="BodyText"/>
        <w:spacing w:line="237" w:lineRule="auto"/>
        <w:ind w:right="4072"/>
      </w:pPr>
      <w:r>
        <w:rPr/>
        <w:t>继发性帕金森综合征不在保障范围内。ⅳ20ⅴ严重Ⅲ度烧伤ↅ</w:t>
      </w:r>
    </w:p>
    <w:p>
      <w:pPr>
        <w:pStyle w:val="BodyText"/>
        <w:spacing w:line="237" w:lineRule="auto"/>
        <w:ind w:left="112" w:right="350" w:firstLine="479"/>
      </w:pPr>
      <w:r>
        <w:rPr>
          <w:spacing w:val="-3"/>
        </w:rPr>
        <w:t>指烧伤程度为Ⅲ度，且Ⅲ度烧伤的面积达到全身体表面积的 </w:t>
      </w:r>
      <w:r>
        <w:rPr/>
        <w:t>20％</w:t>
      </w:r>
      <w:r>
        <w:rPr>
          <w:spacing w:val="-30"/>
        </w:rPr>
        <w:t>或 </w:t>
      </w:r>
      <w:r>
        <w:rPr/>
        <w:t>20％以上。体表面积根据《中国新九分法》计算。</w:t>
      </w:r>
    </w:p>
    <w:p>
      <w:pPr>
        <w:pStyle w:val="BodyText"/>
        <w:spacing w:line="311" w:lineRule="exact"/>
      </w:pPr>
      <w:r>
        <w:rPr/>
        <w:t>ⅳ21ⅴ严重原发性肺动脉高压ↅ</w:t>
      </w:r>
    </w:p>
    <w:p>
      <w:pPr>
        <w:pStyle w:val="BodyText"/>
        <w:spacing w:line="237" w:lineRule="auto" w:before="3"/>
        <w:ind w:left="112" w:right="232" w:firstLine="479"/>
        <w:jc w:val="both"/>
      </w:pPr>
      <w:r>
        <w:rPr/>
        <w:t>指不明原因的肺动脉压力持续性增高，进行性发展而导敡的慢性疾病，已经造成永久不可逆性的体力活动能力受限，达到美国纽约心脏病学会心功能状态分级 IV 级，且静息状态下肺动脉平均压超过 30mmHg。</w:t>
      </w:r>
    </w:p>
    <w:p>
      <w:pPr>
        <w:pStyle w:val="BodyText"/>
        <w:spacing w:line="311" w:lineRule="exact"/>
      </w:pPr>
      <w:r>
        <w:rPr/>
        <w:t>ⅳ22ⅴ严重运动神经元病ↅ</w:t>
      </w:r>
    </w:p>
    <w:p>
      <w:pPr>
        <w:pStyle w:val="BodyText"/>
        <w:spacing w:line="237" w:lineRule="auto" w:before="2"/>
        <w:ind w:left="112" w:right="111" w:firstLine="479"/>
      </w:pPr>
      <w:r>
        <w:rPr>
          <w:spacing w:val="-6"/>
        </w:rPr>
        <w:t>是一组中枢神经系统运动神经元的进行性变性疾病，包括进行性脊肌萎缩症、进行性延髓麻痹症、原发性侧索硬化症、肌萎缩性侧索硬化症。须满足自主生活</w:t>
      </w:r>
      <w:r>
        <w:rPr>
          <w:spacing w:val="-14"/>
        </w:rPr>
        <w:t>能力完全丧失，无法独立完成六项基本日常生活活动中的三项或三项以上的条件。</w:t>
      </w:r>
    </w:p>
    <w:p>
      <w:pPr>
        <w:pStyle w:val="BodyText"/>
        <w:spacing w:line="311" w:lineRule="exact"/>
      </w:pPr>
      <w:r>
        <w:rPr/>
        <w:t>ⅳ23ⅴ语言能力丧失ↅ</w:t>
      </w:r>
    </w:p>
    <w:p>
      <w:pPr>
        <w:pStyle w:val="BodyText"/>
        <w:spacing w:line="237" w:lineRule="auto" w:before="2"/>
        <w:ind w:left="112" w:right="230" w:firstLine="479"/>
      </w:pPr>
      <w:r>
        <w:rPr>
          <w:spacing w:val="-5"/>
        </w:rPr>
        <w:t>指因疾病或意外伤害导敡完全丧失语言能力，经过积极治疗敠少 </w:t>
      </w:r>
      <w:r>
        <w:rPr/>
        <w:t>12</w:t>
      </w:r>
      <w:r>
        <w:rPr>
          <w:spacing w:val="-24"/>
        </w:rPr>
        <w:t> 个月ⅳ声</w:t>
      </w:r>
      <w:r>
        <w:rPr>
          <w:spacing w:val="-21"/>
        </w:rPr>
        <w:t>带完全切除不受此时间限制ⅴ，仍无法通过现有医疗手段恢复。</w:t>
      </w:r>
    </w:p>
    <w:p>
      <w:pPr>
        <w:pStyle w:val="BodyText"/>
        <w:spacing w:line="311" w:lineRule="exact"/>
      </w:pPr>
      <w:r>
        <w:rPr/>
        <w:t>精神心理因素所敡的语言能力丧失不在保障范围内。</w:t>
      </w:r>
    </w:p>
    <w:p>
      <w:pPr>
        <w:pStyle w:val="BodyText"/>
        <w:spacing w:line="237" w:lineRule="auto" w:before="2"/>
        <w:ind w:left="112" w:right="231" w:firstLine="479"/>
      </w:pPr>
      <w:r>
        <w:rPr>
          <w:spacing w:val="-9"/>
        </w:rPr>
        <w:t>被保险人在满 </w:t>
      </w:r>
      <w:r>
        <w:rPr/>
        <w:t>3</w:t>
      </w:r>
      <w:r>
        <w:rPr>
          <w:spacing w:val="-8"/>
        </w:rPr>
        <w:t> 周岁的首个保险单周年日之前语言能力丧失不在本主险合同的保障范围之内。</w:t>
      </w:r>
    </w:p>
    <w:p>
      <w:pPr>
        <w:pStyle w:val="BodyText"/>
        <w:spacing w:line="311" w:lineRule="exact"/>
      </w:pPr>
      <w:r>
        <w:rPr/>
        <w:t>ⅳ24ⅴ重型再生障碍性贫血ↅ</w:t>
      </w:r>
    </w:p>
    <w:p>
      <w:pPr>
        <w:pStyle w:val="BodyText"/>
        <w:spacing w:line="237" w:lineRule="auto" w:before="2"/>
        <w:ind w:left="112" w:right="233" w:firstLine="479"/>
      </w:pPr>
      <w:r>
        <w:rPr/>
        <w:t>指因骨髓造血功能慢性持续性衰竭导敡的贫血、中性粒细胞减少及血小板减少。须满足下列全部条件ↅ</w:t>
      </w:r>
    </w:p>
    <w:p>
      <w:pPr>
        <w:pStyle w:val="BodyText"/>
        <w:spacing w:line="311" w:lineRule="exact"/>
      </w:pPr>
      <w:r>
        <w:rPr/>
        <w:t>①骨髓穿刺检查或骨髓活检结果支持诊断ↆ</w:t>
      </w:r>
    </w:p>
    <w:p>
      <w:pPr>
        <w:pStyle w:val="BodyText"/>
        <w:spacing w:line="277" w:lineRule="exact"/>
      </w:pPr>
      <w:r>
        <w:rPr/>
        <w:t>②外周血象须具备以下三项条件ↅ</w:t>
      </w:r>
    </w:p>
    <w:p>
      <w:pPr>
        <w:spacing w:line="362" w:lineRule="exact" w:before="0"/>
        <w:ind w:left="592" w:right="0" w:firstLine="0"/>
        <w:jc w:val="left"/>
        <w:rPr>
          <w:sz w:val="24"/>
        </w:rPr>
      </w:pPr>
      <w:r>
        <w:rPr>
          <w:sz w:val="24"/>
        </w:rPr>
        <w:t>a 中性粒细胞绝对值≤0.5×</w:t>
      </w:r>
      <w:r>
        <w:rPr>
          <w:rFonts w:ascii="微软雅黑" w:hAnsi="微软雅黑" w:eastAsia="微软雅黑" w:hint="eastAsia"/>
          <w:b/>
          <w:sz w:val="24"/>
        </w:rPr>
        <w:t>错误</w:t>
      </w:r>
      <w:r>
        <w:rPr>
          <w:sz w:val="24"/>
        </w:rPr>
        <w:t>!</w:t>
      </w:r>
      <w:r>
        <w:rPr>
          <w:rFonts w:ascii="微软雅黑" w:hAnsi="微软雅黑" w:eastAsia="微软雅黑" w:hint="eastAsia"/>
          <w:b/>
          <w:sz w:val="24"/>
        </w:rPr>
        <w:t>未找到引用源。</w:t>
      </w:r>
      <w:r>
        <w:rPr>
          <w:sz w:val="24"/>
        </w:rPr>
        <w:t>/L ↆ</w:t>
      </w:r>
    </w:p>
    <w:p>
      <w:pPr>
        <w:pStyle w:val="BodyText"/>
        <w:spacing w:line="298" w:lineRule="exact"/>
      </w:pPr>
      <w:r>
        <w:rPr/>
        <w:drawing>
          <wp:anchor distT="0" distB="0" distL="0" distR="0" allowOverlap="1" layoutInCell="1" locked="0" behindDoc="1" simplePos="0" relativeHeight="268413047">
            <wp:simplePos x="0" y="0"/>
            <wp:positionH relativeFrom="page">
              <wp:posOffset>2526026</wp:posOffset>
            </wp:positionH>
            <wp:positionV relativeFrom="paragraph">
              <wp:posOffset>53816</wp:posOffset>
            </wp:positionV>
            <wp:extent cx="66675" cy="117475"/>
            <wp:effectExtent l="0" t="0" r="0" b="0"/>
            <wp:wrapNone/>
            <wp:docPr id="13" name="image4.png" descr=""/>
            <wp:cNvGraphicFramePr>
              <a:graphicFrameLocks noChangeAspect="1"/>
            </wp:cNvGraphicFramePr>
            <a:graphic>
              <a:graphicData uri="http://schemas.openxmlformats.org/drawingml/2006/picture">
                <pic:pic>
                  <pic:nvPicPr>
                    <pic:cNvPr id="14" name="image4.png"/>
                    <pic:cNvPicPr/>
                  </pic:nvPicPr>
                  <pic:blipFill>
                    <a:blip r:embed="rId9" cstate="print"/>
                    <a:stretch>
                      <a:fillRect/>
                    </a:stretch>
                  </pic:blipFill>
                  <pic:spPr>
                    <a:xfrm>
                      <a:off x="0" y="0"/>
                      <a:ext cx="66675" cy="117475"/>
                    </a:xfrm>
                    <a:prstGeom prst="rect">
                      <a:avLst/>
                    </a:prstGeom>
                  </pic:spPr>
                </pic:pic>
              </a:graphicData>
            </a:graphic>
          </wp:anchor>
        </w:drawing>
      </w:r>
      <w:r>
        <w:rPr/>
        <w:t>b 网织红细胞ↇ1ↆ</w:t>
      </w:r>
    </w:p>
    <w:p>
      <w:pPr>
        <w:spacing w:after="0" w:line="298" w:lineRule="exact"/>
        <w:sectPr>
          <w:pgSz w:w="11910" w:h="16840"/>
          <w:pgMar w:header="0" w:footer="977" w:top="1380" w:bottom="1160" w:left="1640" w:right="1520"/>
        </w:sectPr>
      </w:pPr>
    </w:p>
    <w:p>
      <w:pPr>
        <w:spacing w:line="329" w:lineRule="exact" w:before="0"/>
        <w:ind w:left="592" w:right="0" w:firstLine="0"/>
        <w:jc w:val="left"/>
        <w:rPr>
          <w:sz w:val="24"/>
        </w:rPr>
      </w:pPr>
      <w:r>
        <w:rPr>
          <w:sz w:val="24"/>
        </w:rPr>
        <w:t>c 血小板绝对值≤20×</w:t>
      </w:r>
      <w:r>
        <w:rPr>
          <w:rFonts w:ascii="微软雅黑" w:hAnsi="微软雅黑" w:eastAsia="微软雅黑" w:hint="eastAsia"/>
          <w:b/>
          <w:sz w:val="24"/>
        </w:rPr>
        <w:t>错误</w:t>
      </w:r>
      <w:r>
        <w:rPr>
          <w:sz w:val="24"/>
        </w:rPr>
        <w:t>!</w:t>
      </w:r>
      <w:r>
        <w:rPr>
          <w:rFonts w:ascii="微软雅黑" w:hAnsi="微软雅黑" w:eastAsia="微软雅黑" w:hint="eastAsia"/>
          <w:b/>
          <w:sz w:val="24"/>
        </w:rPr>
        <w:t>未找到引用源。</w:t>
      </w:r>
      <w:r>
        <w:rPr>
          <w:sz w:val="24"/>
        </w:rPr>
        <w:t>/L。</w:t>
      </w:r>
    </w:p>
    <w:p>
      <w:pPr>
        <w:pStyle w:val="BodyText"/>
        <w:spacing w:line="297" w:lineRule="exact"/>
      </w:pPr>
      <w:r>
        <w:rPr/>
        <w:t>ⅳ25ⅴ主动脉手术:</w:t>
      </w:r>
    </w:p>
    <w:p>
      <w:pPr>
        <w:pStyle w:val="BodyText"/>
        <w:spacing w:line="237" w:lineRule="auto" w:before="2"/>
        <w:ind w:left="112" w:right="111" w:firstLine="479"/>
        <w:jc w:val="both"/>
      </w:pPr>
      <w:r>
        <w:rPr/>
        <w:t>指为治疗主动脉疾病，实际实施了开胸或开腹进行的切除、敢换、修补病损主动脉血管的手术。主动脉指胸主动脉和腹主动脉，不包括胸主动脉和腹主动脉的分支血管。</w:t>
      </w:r>
    </w:p>
    <w:p>
      <w:pPr>
        <w:spacing w:line="194" w:lineRule="auto" w:before="57"/>
        <w:ind w:left="594" w:right="4192" w:hanging="3"/>
        <w:jc w:val="left"/>
        <w:rPr>
          <w:rFonts w:ascii="微软雅黑" w:hAnsi="微软雅黑" w:eastAsia="微软雅黑" w:hint="eastAsia"/>
          <w:b/>
          <w:sz w:val="24"/>
        </w:rPr>
      </w:pPr>
      <w:r>
        <w:rPr>
          <w:sz w:val="24"/>
        </w:rPr>
        <w:t>动脉内血管成形术不在保障范围内。</w:t>
      </w:r>
      <w:r>
        <w:rPr>
          <w:rFonts w:ascii="微软雅黑" w:hAnsi="微软雅黑" w:eastAsia="微软雅黑" w:hint="eastAsia"/>
          <w:b/>
          <w:sz w:val="24"/>
        </w:rPr>
        <w:t>额外病种ↅ</w:t>
      </w:r>
    </w:p>
    <w:p>
      <w:pPr>
        <w:pStyle w:val="BodyText"/>
        <w:spacing w:line="282" w:lineRule="exact"/>
      </w:pPr>
      <w:r>
        <w:rPr/>
        <w:t>ⅳ1ⅴ严重多发性硬化:</w:t>
      </w:r>
    </w:p>
    <w:p>
      <w:pPr>
        <w:pStyle w:val="BodyText"/>
        <w:spacing w:line="237" w:lineRule="auto" w:before="2"/>
        <w:ind w:left="112" w:right="111" w:firstLine="479"/>
        <w:jc w:val="both"/>
      </w:pPr>
      <w:r>
        <w:rPr/>
        <w:t>多发性硬化症为中枢神经系统白质多灶性脱髓鞘病变，病变有时累及灰质。多发性硬化症必须由我们认可的医院的神经专科医生确诊。必须伴有典型的脱髓鞘症状和运动及感觉功能障碍的证据并有 MRI 的典型改变。</w:t>
      </w:r>
    </w:p>
    <w:p>
      <w:pPr>
        <w:pStyle w:val="BodyText"/>
        <w:spacing w:line="237" w:lineRule="auto" w:before="1"/>
        <w:ind w:left="112" w:right="110" w:firstLine="479"/>
        <w:jc w:val="both"/>
      </w:pPr>
      <w:r>
        <w:rPr>
          <w:spacing w:val="-3"/>
        </w:rPr>
        <w:t>要确认多发性硬化症的诊断，被保险人必须提供敠少 </w:t>
      </w:r>
      <w:r>
        <w:rPr/>
        <w:t>6</w:t>
      </w:r>
      <w:r>
        <w:rPr>
          <w:spacing w:val="-8"/>
        </w:rPr>
        <w:t> 个月的持续神经系统</w:t>
      </w:r>
      <w:r>
        <w:rPr>
          <w:spacing w:val="-13"/>
        </w:rPr>
        <w:t>损害的记录，或者间隔 </w:t>
      </w:r>
      <w:r>
        <w:rPr/>
        <w:t>1</w:t>
      </w:r>
      <w:r>
        <w:rPr>
          <w:spacing w:val="-16"/>
        </w:rPr>
        <w:t> 个月以上敠少 </w:t>
      </w:r>
      <w:r>
        <w:rPr/>
        <w:t>2</w:t>
      </w:r>
      <w:r>
        <w:rPr>
          <w:spacing w:val="-12"/>
        </w:rPr>
        <w:t> 次临床发作就诊记录，或者敠少 </w:t>
      </w:r>
      <w:r>
        <w:rPr/>
        <w:t>1</w:t>
      </w:r>
      <w:r>
        <w:rPr>
          <w:spacing w:val="-20"/>
        </w:rPr>
        <w:t> 次临</w:t>
      </w:r>
      <w:r>
        <w:rPr>
          <w:spacing w:val="-22"/>
        </w:rPr>
        <w:t>床发作就诊记录并同时提供脑脊液检查及脑部 </w:t>
      </w:r>
      <w:r>
        <w:rPr/>
        <w:t>MRI</w:t>
      </w:r>
      <w:r>
        <w:rPr>
          <w:spacing w:val="-10"/>
        </w:rPr>
        <w:t> 典型改变。</w:t>
      </w:r>
    </w:p>
    <w:p>
      <w:pPr>
        <w:pStyle w:val="BodyText"/>
        <w:spacing w:line="311" w:lineRule="exact"/>
      </w:pPr>
      <w:r>
        <w:rPr/>
        <w:t>ⅳ2ⅴ严重慢性呼吸功能衰竭:</w:t>
      </w:r>
    </w:p>
    <w:p>
      <w:pPr>
        <w:pStyle w:val="BodyText"/>
        <w:spacing w:line="237" w:lineRule="auto" w:before="2"/>
        <w:ind w:left="112" w:right="111" w:firstLine="479"/>
      </w:pPr>
      <w:r>
        <w:rPr/>
        <w:t>慢性肺部疾病导敡永久不可逆性的慢性呼吸功能衰竭，必须由呼吸专科医师确认并符合下列所有条件ↅ</w:t>
      </w:r>
    </w:p>
    <w:p>
      <w:pPr>
        <w:pStyle w:val="BodyText"/>
        <w:spacing w:line="311" w:lineRule="exact"/>
      </w:pPr>
      <w:r>
        <w:rPr/>
        <w:t>①休息时出现呼吸困难ↆ</w:t>
      </w:r>
    </w:p>
    <w:p>
      <w:pPr>
        <w:pStyle w:val="BodyText"/>
        <w:spacing w:line="312" w:lineRule="exact"/>
      </w:pPr>
      <w:r>
        <w:rPr/>
        <w:t>②动脉血氧分压 ⅳPaO 2 ⅴ&lt; 50mmHgↆ</w:t>
      </w:r>
    </w:p>
    <w:p>
      <w:pPr>
        <w:pStyle w:val="BodyText"/>
        <w:spacing w:line="312" w:lineRule="exact"/>
      </w:pPr>
      <w:r>
        <w:rPr/>
        <w:t>③动脉血氧饱和度 ⅳSaO 2 ⅴ&lt; 80％ↆ</w:t>
      </w:r>
    </w:p>
    <w:p>
      <w:pPr>
        <w:pStyle w:val="BodyText"/>
        <w:spacing w:line="312" w:lineRule="exact"/>
      </w:pPr>
      <w:r>
        <w:rPr/>
        <w:t>④因缺氧必须接受持续的输氧治疗。</w:t>
      </w:r>
    </w:p>
    <w:p>
      <w:pPr>
        <w:pStyle w:val="ListParagraph"/>
        <w:numPr>
          <w:ilvl w:val="0"/>
          <w:numId w:val="1"/>
        </w:numPr>
        <w:tabs>
          <w:tab w:pos="1073" w:val="left" w:leader="none"/>
        </w:tabs>
        <w:spacing w:line="312" w:lineRule="exact" w:before="0" w:after="0"/>
        <w:ind w:left="1072" w:right="0" w:hanging="480"/>
        <w:jc w:val="left"/>
        <w:rPr>
          <w:sz w:val="24"/>
        </w:rPr>
      </w:pPr>
      <w:r>
        <w:rPr>
          <w:sz w:val="24"/>
        </w:rPr>
        <w:t>严重冠心病:</w:t>
      </w:r>
    </w:p>
    <w:p>
      <w:pPr>
        <w:pStyle w:val="BodyText"/>
        <w:spacing w:line="237" w:lineRule="auto" w:before="2"/>
        <w:ind w:left="112" w:right="111" w:firstLine="479"/>
        <w:jc w:val="both"/>
      </w:pPr>
      <w:r>
        <w:rPr/>
        <w:t>指根据冠状动脉造影检查结果确诊的三支主要血管ⅳ左冠状动脉主干和右冠状动脉，或前降支、左旋支和右冠状动脉ⅴ严重狭窄性病变ⅳ敠少一支血管管腔</w:t>
      </w:r>
      <w:r>
        <w:rPr>
          <w:spacing w:val="-13"/>
        </w:rPr>
        <w:t>直径减少 </w:t>
      </w:r>
      <w:r>
        <w:rPr/>
        <w:t>75％</w:t>
      </w:r>
      <w:r>
        <w:rPr>
          <w:spacing w:val="-4"/>
        </w:rPr>
        <w:t>以上和其他两支血管管腔直径减少 </w:t>
      </w:r>
      <w:r>
        <w:rPr/>
        <w:t>60％</w:t>
      </w:r>
      <w:r>
        <w:rPr>
          <w:spacing w:val="-12"/>
        </w:rPr>
        <w:t>以上ⅴ。前降支、左旋支及右冠状动脉的分支血管的狭窄不作为本保障的衡量指标。</w:t>
      </w:r>
    </w:p>
    <w:p>
      <w:pPr>
        <w:pStyle w:val="ListParagraph"/>
        <w:numPr>
          <w:ilvl w:val="0"/>
          <w:numId w:val="1"/>
        </w:numPr>
        <w:tabs>
          <w:tab w:pos="1193" w:val="left" w:leader="none"/>
        </w:tabs>
        <w:spacing w:line="311" w:lineRule="exact" w:before="0" w:after="0"/>
        <w:ind w:left="1192" w:right="0" w:hanging="480"/>
        <w:jc w:val="left"/>
        <w:rPr>
          <w:sz w:val="24"/>
        </w:rPr>
      </w:pPr>
      <w:r>
        <w:rPr>
          <w:sz w:val="24"/>
        </w:rPr>
        <w:t>严重肌营养不良症:</w:t>
      </w:r>
    </w:p>
    <w:p>
      <w:pPr>
        <w:pStyle w:val="BodyText"/>
        <w:spacing w:line="237" w:lineRule="auto" w:before="2"/>
        <w:ind w:left="112" w:right="111" w:firstLine="479"/>
      </w:pPr>
      <w:r>
        <w:rPr/>
        <w:t>肌营养不良症是一组遗传性肌肉变性性病变，临床特征为与神经系统无关的骨骼肌对称地进行性无力和萎缩，其诊断需同时符合以下条件ↅ</w:t>
      </w:r>
    </w:p>
    <w:p>
      <w:pPr>
        <w:pStyle w:val="BodyText"/>
        <w:spacing w:line="311" w:lineRule="exact"/>
      </w:pPr>
      <w:r>
        <w:rPr/>
        <w:t>①肌电图显示典型肌营养不良症的阳性改变ↆ</w:t>
      </w:r>
    </w:p>
    <w:p>
      <w:pPr>
        <w:pStyle w:val="BodyText"/>
        <w:spacing w:line="237" w:lineRule="auto" w:before="2"/>
        <w:ind w:left="112" w:right="112" w:firstLine="479"/>
      </w:pPr>
      <w:r>
        <w:rPr/>
        <w:t>②肌肉活检的病理学诊断符合肌营养不良症的肌肉细胞变性、坏死等阳性改变ↆ</w:t>
      </w:r>
    </w:p>
    <w:p>
      <w:pPr>
        <w:pStyle w:val="BodyText"/>
        <w:spacing w:line="237" w:lineRule="auto" w:before="1"/>
        <w:ind w:left="112" w:right="112" w:firstLine="479"/>
      </w:pPr>
      <w:r>
        <w:rPr/>
        <w:t>③已导敡被保险人永久性的能力丧失无法独立进行六项基本日常生活活动中的其中三项或三项以上ↆ</w:t>
      </w:r>
    </w:p>
    <w:p>
      <w:pPr>
        <w:pStyle w:val="BodyText"/>
        <w:spacing w:line="311" w:lineRule="exact"/>
      </w:pPr>
      <w:r>
        <w:rPr/>
        <w:t>④日常生活能力的丧失需持续有 6 个月以上的医疗记录。</w:t>
      </w:r>
    </w:p>
    <w:p>
      <w:pPr>
        <w:pStyle w:val="ListParagraph"/>
        <w:numPr>
          <w:ilvl w:val="0"/>
          <w:numId w:val="1"/>
        </w:numPr>
        <w:tabs>
          <w:tab w:pos="1073" w:val="left" w:leader="none"/>
        </w:tabs>
        <w:spacing w:line="312" w:lineRule="exact" w:before="0" w:after="0"/>
        <w:ind w:left="1072" w:right="0" w:hanging="480"/>
        <w:jc w:val="left"/>
        <w:rPr>
          <w:sz w:val="24"/>
        </w:rPr>
      </w:pPr>
      <w:r>
        <w:rPr>
          <w:sz w:val="24"/>
        </w:rPr>
        <w:t>经输血导敡的人类免疫缺陷病毒ⅳHIVⅴ感染:</w:t>
      </w:r>
    </w:p>
    <w:p>
      <w:pPr>
        <w:pStyle w:val="BodyText"/>
        <w:spacing w:line="237" w:lineRule="auto" w:before="2"/>
        <w:ind w:left="112" w:right="111" w:firstLine="479"/>
      </w:pPr>
      <w:r>
        <w:rPr>
          <w:spacing w:val="-3"/>
        </w:rPr>
        <w:t>被保险人因输血而感染上人类免疫缺陷病毒( </w:t>
      </w:r>
      <w:r>
        <w:rPr/>
        <w:t>HIV</w:t>
      </w:r>
      <w:r>
        <w:rPr>
          <w:spacing w:val="-8"/>
        </w:rPr>
        <w:t> )或罹患获得性免疫缺陷综合征(AIDS</w:t>
      </w:r>
      <w:r>
        <w:rPr>
          <w:spacing w:val="-1"/>
        </w:rPr>
        <w:t> )，并且满足下列全部条件ↅ</w:t>
      </w:r>
    </w:p>
    <w:p>
      <w:pPr>
        <w:pStyle w:val="BodyText"/>
        <w:spacing w:line="237" w:lineRule="auto" w:before="1"/>
        <w:ind w:left="112" w:right="110" w:firstLine="479"/>
      </w:pPr>
      <w:r>
        <w:rPr>
          <w:spacing w:val="-5"/>
        </w:rPr>
        <w:t>①造成感染的输血事件发生在本合同生效日之后或复效日之后，血清出现</w:t>
      </w:r>
      <w:r>
        <w:rPr/>
        <w:t>HIV 感染必须发生在接受输血后180天内ↆ</w:t>
      </w:r>
    </w:p>
    <w:p>
      <w:pPr>
        <w:pStyle w:val="BodyText"/>
        <w:spacing w:line="237" w:lineRule="auto" w:before="1"/>
        <w:ind w:left="112" w:right="112" w:firstLine="479"/>
      </w:pPr>
      <w:r>
        <w:rPr/>
        <w:t>②我们认可的提供输血治疗的正规输血中心或医院出具该项输血感染属医疗责任事故的报告，或者法院终审裁定为医疗责任并且不准上诉ↆ</w:t>
      </w:r>
    </w:p>
    <w:p>
      <w:pPr>
        <w:pStyle w:val="BodyText"/>
        <w:spacing w:line="312" w:lineRule="exact"/>
      </w:pPr>
      <w:r>
        <w:rPr/>
        <w:t>③受感染的被保险人不是血友病患者。</w:t>
      </w:r>
    </w:p>
    <w:p>
      <w:pPr>
        <w:spacing w:after="0" w:line="312" w:lineRule="exact"/>
        <w:sectPr>
          <w:pgSz w:w="11910" w:h="16840"/>
          <w:pgMar w:header="0" w:footer="977" w:top="1380" w:bottom="1160" w:left="1640" w:right="1640"/>
        </w:sectPr>
      </w:pPr>
    </w:p>
    <w:p>
      <w:pPr>
        <w:pStyle w:val="BodyText"/>
        <w:spacing w:line="313" w:lineRule="exact" w:before="1"/>
      </w:pPr>
      <w:r>
        <w:rPr/>
        <w:t>在任何治愈艾滋病ⅳAIDSⅴ或阻止HIV病毒作用的疗法被发现以后，或能防止</w:t>
      </w:r>
    </w:p>
    <w:p>
      <w:pPr>
        <w:pStyle w:val="BodyText"/>
        <w:spacing w:line="312" w:lineRule="exact"/>
        <w:ind w:left="112"/>
      </w:pPr>
      <w:r>
        <w:rPr/>
        <w:t>AIDS发生的医疗方法被研究出来以后，本保障将不再予以赔付。</w:t>
      </w:r>
    </w:p>
    <w:p>
      <w:pPr>
        <w:pStyle w:val="BodyText"/>
        <w:spacing w:line="237" w:lineRule="auto" w:before="2"/>
        <w:ind w:left="112" w:right="231" w:firstLine="479"/>
        <w:jc w:val="both"/>
      </w:pPr>
      <w:r>
        <w:rPr>
          <w:spacing w:val="-10"/>
        </w:rPr>
        <w:t>任何因其他传播方式ⅳ包括ↅ性传播或静脉注射毒品ⅴ导敡的</w:t>
      </w:r>
      <w:r>
        <w:rPr/>
        <w:t>HIV感染不在本保单保障范围内。保险公司必须拥有获得使用被保险人的所有血液样本的权利和能够对这些样本进行独立检验的权利。</w:t>
      </w:r>
    </w:p>
    <w:p>
      <w:pPr>
        <w:pStyle w:val="BodyText"/>
        <w:spacing w:line="311" w:lineRule="exact"/>
      </w:pPr>
      <w:r>
        <w:rPr/>
        <w:t>本合同条款责任免除中的HIV规定，不适用于本重大疾病。</w:t>
      </w:r>
    </w:p>
    <w:p>
      <w:pPr>
        <w:pStyle w:val="ListParagraph"/>
        <w:numPr>
          <w:ilvl w:val="0"/>
          <w:numId w:val="1"/>
        </w:numPr>
        <w:tabs>
          <w:tab w:pos="1073" w:val="left" w:leader="none"/>
        </w:tabs>
        <w:spacing w:line="312" w:lineRule="exact" w:before="0" w:after="0"/>
        <w:ind w:left="1072" w:right="0" w:hanging="480"/>
        <w:jc w:val="left"/>
        <w:rPr>
          <w:sz w:val="24"/>
        </w:rPr>
      </w:pPr>
      <w:r>
        <w:rPr>
          <w:sz w:val="24"/>
        </w:rPr>
        <w:t>慢性复发性胰腺炎:</w:t>
      </w:r>
    </w:p>
    <w:p>
      <w:pPr>
        <w:pStyle w:val="BodyText"/>
        <w:spacing w:line="237" w:lineRule="auto" w:before="1"/>
        <w:ind w:left="112" w:right="110" w:firstLine="479"/>
      </w:pPr>
      <w:r>
        <w:rPr/>
        <w:t>有腹痛等典型症状的胰腺炎反复发作，导敡胰腺进行性破坏，并导敡胰腺功</w:t>
      </w:r>
      <w:r>
        <w:rPr>
          <w:spacing w:val="-7"/>
        </w:rPr>
        <w:t>能紊乱而导敡严重糖尿病以及营养不良、恶液质。</w:t>
      </w:r>
      <w:r>
        <w:rPr/>
        <w:t>CT检查证实胰腺存在广泛钙化， 且必须接受酶替代以及胰岛素替代治疗6</w:t>
      </w:r>
      <w:r>
        <w:rPr>
          <w:spacing w:val="-12"/>
        </w:rPr>
        <w:t>个月以上。诊断必须由消化科专科医生确诊。</w:t>
      </w:r>
    </w:p>
    <w:p>
      <w:pPr>
        <w:pStyle w:val="BodyText"/>
        <w:spacing w:line="312" w:lineRule="exact"/>
      </w:pPr>
      <w:r>
        <w:rPr/>
        <w:t>酒精导敡的慢性复发性胰腺炎除外。</w:t>
      </w:r>
    </w:p>
    <w:p>
      <w:pPr>
        <w:pStyle w:val="ListParagraph"/>
        <w:numPr>
          <w:ilvl w:val="0"/>
          <w:numId w:val="1"/>
        </w:numPr>
        <w:tabs>
          <w:tab w:pos="1073" w:val="left" w:leader="none"/>
        </w:tabs>
        <w:spacing w:line="312" w:lineRule="exact" w:before="0" w:after="0"/>
        <w:ind w:left="1072" w:right="0" w:hanging="480"/>
        <w:jc w:val="left"/>
        <w:rPr>
          <w:sz w:val="24"/>
        </w:rPr>
      </w:pPr>
      <w:r>
        <w:rPr>
          <w:sz w:val="24"/>
        </w:rPr>
        <w:t>严重心肌病:</w:t>
      </w:r>
    </w:p>
    <w:p>
      <w:pPr>
        <w:pStyle w:val="BodyText"/>
        <w:spacing w:line="312" w:lineRule="exact"/>
      </w:pPr>
      <w:r>
        <w:rPr/>
        <w:t>严重心肌病指被保人因原发性心肌病导敡慢性心功能损害造成心功能衰竭</w:t>
      </w:r>
    </w:p>
    <w:p>
      <w:pPr>
        <w:pStyle w:val="BodyText"/>
        <w:spacing w:line="237" w:lineRule="auto" w:before="2"/>
        <w:ind w:left="112" w:right="231"/>
      </w:pPr>
      <w:r>
        <w:rPr>
          <w:spacing w:val="-9"/>
        </w:rPr>
        <w:t>ⅳ指按照美国纽约心脏协会心功能分类标准心功能达Ⅳ级ⅴ，且有相关住院医疗记</w:t>
      </w:r>
      <w:r>
        <w:rPr>
          <w:spacing w:val="-12"/>
        </w:rPr>
        <w:t>录显示Ⅳ级心功能衰竭状态持续敠少 </w:t>
      </w:r>
      <w:r>
        <w:rPr/>
        <w:t>180</w:t>
      </w:r>
      <w:r>
        <w:rPr>
          <w:spacing w:val="-20"/>
        </w:rPr>
        <w:t> 天。</w:t>
      </w:r>
    </w:p>
    <w:p>
      <w:pPr>
        <w:pStyle w:val="ListParagraph"/>
        <w:numPr>
          <w:ilvl w:val="0"/>
          <w:numId w:val="1"/>
        </w:numPr>
        <w:tabs>
          <w:tab w:pos="1073" w:val="left" w:leader="none"/>
        </w:tabs>
        <w:spacing w:line="311" w:lineRule="exact" w:before="0" w:after="0"/>
        <w:ind w:left="1072" w:right="0" w:hanging="480"/>
        <w:jc w:val="left"/>
        <w:rPr>
          <w:sz w:val="24"/>
        </w:rPr>
      </w:pPr>
      <w:r>
        <w:rPr>
          <w:sz w:val="24"/>
        </w:rPr>
        <w:t>植物人状态:</w:t>
      </w:r>
    </w:p>
    <w:p>
      <w:pPr>
        <w:pStyle w:val="BodyText"/>
        <w:spacing w:line="237" w:lineRule="auto" w:before="2"/>
        <w:ind w:left="112" w:right="111" w:firstLine="479"/>
      </w:pPr>
      <w:r>
        <w:rPr/>
        <w:t>一种丧失生理、意识和交流功能后的临床依赖状态。可以是由脑外伤、缺氧持续状态、严重的脑炎或者某种神经毒素造成。患者无法从事主动或者有目的的</w:t>
      </w:r>
      <w:r>
        <w:rPr>
          <w:spacing w:val="-12"/>
        </w:rPr>
        <w:t>活动，而只能对疼痛刺激产生反应。被保险人需要在医院使用辅助机器维持生命。</w:t>
      </w:r>
      <w:r>
        <w:rPr>
          <w:spacing w:val="-16"/>
        </w:rPr>
        <w:t>只有在因植物人状态住院 </w:t>
      </w:r>
      <w:r>
        <w:rPr/>
        <w:t>180</w:t>
      </w:r>
      <w:r>
        <w:rPr>
          <w:spacing w:val="-8"/>
        </w:rPr>
        <w:t> 天以后并且必须有神经科专科医生的医学诊断证明的情况下才能得到理赔。</w:t>
      </w:r>
    </w:p>
    <w:p>
      <w:pPr>
        <w:pStyle w:val="ListParagraph"/>
        <w:numPr>
          <w:ilvl w:val="0"/>
          <w:numId w:val="1"/>
        </w:numPr>
        <w:tabs>
          <w:tab w:pos="1073" w:val="left" w:leader="none"/>
        </w:tabs>
        <w:spacing w:line="311" w:lineRule="exact" w:before="0" w:after="0"/>
        <w:ind w:left="1072" w:right="0" w:hanging="480"/>
        <w:jc w:val="left"/>
        <w:rPr>
          <w:sz w:val="24"/>
        </w:rPr>
      </w:pPr>
      <w:r>
        <w:rPr>
          <w:sz w:val="24"/>
        </w:rPr>
        <w:t>全身性重症肌无力:</w:t>
      </w:r>
    </w:p>
    <w:p>
      <w:pPr>
        <w:pStyle w:val="BodyText"/>
        <w:spacing w:line="237" w:lineRule="auto" w:before="2"/>
        <w:ind w:left="112" w:right="231" w:firstLine="479"/>
        <w:jc w:val="both"/>
      </w:pPr>
      <w:r>
        <w:rPr/>
        <w:t>重症肌无力是一种神经肌肉接头传递障碍所敡的疾病，表现为局部或全身骨骼肌ⅳ特别是眼外肌ⅴ极易疲劳。疾病可以累及呼吸肌、上肢或下肢的近端肌群或全身肌肉，必须满足下列全部条件ↅ</w:t>
      </w:r>
    </w:p>
    <w:p>
      <w:pPr>
        <w:pStyle w:val="BodyText"/>
        <w:spacing w:line="311" w:lineRule="exact"/>
      </w:pPr>
      <w:r>
        <w:rPr/>
        <w:t>①经药物治疗和胸腺切除治疗一年以上仍无法控制病情ↆ</w:t>
      </w:r>
    </w:p>
    <w:p>
      <w:pPr>
        <w:pStyle w:val="BodyText"/>
        <w:spacing w:line="237" w:lineRule="auto" w:before="2"/>
        <w:ind w:left="112" w:right="230" w:firstLine="479"/>
      </w:pPr>
      <w:r>
        <w:rPr/>
        <w:t>②自主生活能力完全丧失，无法独立完成六项基本日常生活活动中的三项或三项以上。</w:t>
      </w:r>
    </w:p>
    <w:p>
      <w:pPr>
        <w:pStyle w:val="ListParagraph"/>
        <w:numPr>
          <w:ilvl w:val="0"/>
          <w:numId w:val="1"/>
        </w:numPr>
        <w:tabs>
          <w:tab w:pos="1193" w:val="left" w:leader="none"/>
        </w:tabs>
        <w:spacing w:line="311" w:lineRule="exact" w:before="0" w:after="0"/>
        <w:ind w:left="1192" w:right="0" w:hanging="600"/>
        <w:jc w:val="left"/>
        <w:rPr>
          <w:sz w:val="24"/>
        </w:rPr>
      </w:pPr>
      <w:r>
        <w:rPr>
          <w:sz w:val="24"/>
        </w:rPr>
        <w:t>严重胰岛素依赖型糖尿病ↅ</w:t>
      </w:r>
    </w:p>
    <w:p>
      <w:pPr>
        <w:pStyle w:val="BodyText"/>
        <w:spacing w:line="237" w:lineRule="auto" w:before="3"/>
        <w:ind w:left="112" w:right="231" w:firstLine="479"/>
        <w:jc w:val="both"/>
      </w:pPr>
      <w:r>
        <w:rPr/>
        <w:t>胰岛素依赖型糖尿病是由于胰岛素分泌绝对不足而引起以血浆葡萄糖水平增高为特征的代谢内分泌疾病，需持续利用外源性胰岛素治疗。必须明确诊断为胰岛素依赖型糖尿病ⅳ1 型糖尿病ⅴ并满足下列敠少一个条件ↅ</w:t>
      </w:r>
    </w:p>
    <w:p>
      <w:pPr>
        <w:pStyle w:val="BodyText"/>
        <w:spacing w:line="311" w:lineRule="exact"/>
      </w:pPr>
      <w:r>
        <w:rPr/>
        <w:t>①出现增殖性糖尿病视网膜病变ↆ</w:t>
      </w:r>
    </w:p>
    <w:p>
      <w:pPr>
        <w:pStyle w:val="BodyText"/>
        <w:spacing w:line="312" w:lineRule="exact"/>
      </w:pPr>
      <w:r>
        <w:rPr/>
        <w:t>②糖尿病肾病，且尿蛋白&gt;0.5g/24hↆ</w:t>
      </w:r>
    </w:p>
    <w:p>
      <w:pPr>
        <w:pStyle w:val="BodyText"/>
        <w:spacing w:line="312" w:lineRule="exact"/>
      </w:pPr>
      <w:r>
        <w:rPr/>
        <w:t>③因糖尿病足趾坏疽进行足趾或下肢截断术。</w:t>
      </w:r>
    </w:p>
    <w:p>
      <w:pPr>
        <w:pStyle w:val="ListParagraph"/>
        <w:numPr>
          <w:ilvl w:val="0"/>
          <w:numId w:val="1"/>
        </w:numPr>
        <w:tabs>
          <w:tab w:pos="1313" w:val="left" w:leader="none"/>
        </w:tabs>
        <w:spacing w:line="312" w:lineRule="exact" w:before="0" w:after="0"/>
        <w:ind w:left="1312" w:right="0" w:hanging="600"/>
        <w:jc w:val="left"/>
        <w:rPr>
          <w:sz w:val="24"/>
        </w:rPr>
      </w:pPr>
      <w:r>
        <w:rPr>
          <w:sz w:val="24"/>
        </w:rPr>
        <w:t>肺源性心脏病ↅ</w:t>
      </w:r>
    </w:p>
    <w:p>
      <w:pPr>
        <w:pStyle w:val="BodyText"/>
        <w:spacing w:line="237" w:lineRule="auto" w:before="2"/>
        <w:ind w:left="112" w:right="230" w:firstLine="479"/>
        <w:jc w:val="both"/>
      </w:pPr>
      <w:r>
        <w:rPr/>
        <w:t>指被保险人因慢性肺部疾病导敡慢性心功能损害造成永久不可逆性的心功能</w:t>
      </w:r>
      <w:r>
        <w:rPr>
          <w:spacing w:val="-10"/>
        </w:rPr>
        <w:t>衰竭。心功能衰竭程度达到纽约心脏病学会的心功能分级标准之心功能 </w:t>
      </w:r>
      <w:r>
        <w:rPr/>
        <w:t>IV</w:t>
      </w:r>
      <w:r>
        <w:rPr>
          <w:spacing w:val="-30"/>
        </w:rPr>
        <w:t> 级。被保险人永久不可逆性的体力活动能力受限，不能从事任何体力活动。</w:t>
      </w:r>
    </w:p>
    <w:p>
      <w:pPr>
        <w:pStyle w:val="ListParagraph"/>
        <w:numPr>
          <w:ilvl w:val="0"/>
          <w:numId w:val="1"/>
        </w:numPr>
        <w:tabs>
          <w:tab w:pos="1313" w:val="left" w:leader="none"/>
        </w:tabs>
        <w:spacing w:line="311" w:lineRule="exact" w:before="0" w:after="0"/>
        <w:ind w:left="1312" w:right="0" w:hanging="600"/>
        <w:jc w:val="left"/>
        <w:rPr>
          <w:sz w:val="24"/>
        </w:rPr>
      </w:pPr>
      <w:r>
        <w:rPr>
          <w:sz w:val="24"/>
        </w:rPr>
        <w:t>肾髓质囊性病:</w:t>
      </w:r>
    </w:p>
    <w:p>
      <w:pPr>
        <w:pStyle w:val="BodyText"/>
        <w:spacing w:line="312" w:lineRule="exact"/>
      </w:pPr>
      <w:r>
        <w:rPr/>
        <w:t>肾髓质囊性病的诊断必须同时符合下列要求ↅ</w:t>
      </w:r>
    </w:p>
    <w:p>
      <w:pPr>
        <w:pStyle w:val="BodyText"/>
        <w:spacing w:line="312" w:lineRule="exact"/>
      </w:pPr>
      <w:r>
        <w:rPr/>
        <w:t>①肾髓质有囊肿、肾小管萎缩及间质纤维化等病理改变ↆ</w:t>
      </w:r>
    </w:p>
    <w:p>
      <w:pPr>
        <w:pStyle w:val="BodyText"/>
        <w:spacing w:line="313" w:lineRule="exact"/>
      </w:pPr>
      <w:r>
        <w:rPr/>
        <w:t>②贫血、多尿及肾功能衰竭等临床表现ↆ</w:t>
      </w:r>
    </w:p>
    <w:p>
      <w:pPr>
        <w:spacing w:after="0" w:line="313" w:lineRule="exact"/>
        <w:sectPr>
          <w:pgSz w:w="11910" w:h="16840"/>
          <w:pgMar w:header="0" w:footer="977" w:top="1380" w:bottom="1160" w:left="1640" w:right="1520"/>
        </w:sectPr>
      </w:pPr>
    </w:p>
    <w:p>
      <w:pPr>
        <w:pStyle w:val="BodyText"/>
        <w:spacing w:line="313" w:lineRule="exact" w:before="1"/>
      </w:pPr>
      <w:r>
        <w:rPr/>
        <w:t>③诊断须由肾组织活检确定。</w:t>
      </w:r>
    </w:p>
    <w:p>
      <w:pPr>
        <w:pStyle w:val="ListParagraph"/>
        <w:numPr>
          <w:ilvl w:val="0"/>
          <w:numId w:val="1"/>
        </w:numPr>
        <w:tabs>
          <w:tab w:pos="1193" w:val="left" w:leader="none"/>
        </w:tabs>
        <w:spacing w:line="312" w:lineRule="exact" w:before="0" w:after="0"/>
        <w:ind w:left="1192" w:right="0" w:hanging="600"/>
        <w:jc w:val="left"/>
        <w:rPr>
          <w:sz w:val="24"/>
        </w:rPr>
      </w:pPr>
      <w:r>
        <w:rPr>
          <w:sz w:val="24"/>
        </w:rPr>
        <w:t>硬皮病:</w:t>
      </w:r>
    </w:p>
    <w:p>
      <w:pPr>
        <w:pStyle w:val="BodyText"/>
        <w:spacing w:line="237" w:lineRule="auto" w:before="2"/>
        <w:ind w:left="112" w:right="232" w:firstLine="479"/>
        <w:jc w:val="both"/>
      </w:pPr>
      <w:r>
        <w:rPr/>
        <w:t>是一种以皮肤、血管和内脏器官的进行性、弥漫性纤维化为特点的系统性结缔组织病。须经专科医生根据组织活检和血清学检查结果作出明确诊断并提供下列一项或一项以上内脏器官受累的检查报告及诊疗记录ↅ</w:t>
      </w:r>
    </w:p>
    <w:p>
      <w:pPr>
        <w:pStyle w:val="BodyText"/>
        <w:spacing w:line="311" w:lineRule="exact"/>
      </w:pPr>
      <w:r>
        <w:rPr/>
        <w:t>肺脏ↅ肺纤维化，已经发展为肺动脉高压、肺心病ↆ</w:t>
      </w:r>
    </w:p>
    <w:p>
      <w:pPr>
        <w:pStyle w:val="BodyText"/>
        <w:spacing w:line="237" w:lineRule="auto" w:before="3"/>
        <w:ind w:right="232"/>
      </w:pPr>
      <w:r>
        <w:rPr/>
        <w:t>心脏ↅ心室功能受损，敠少达到美国纽约心脏病学会心功能状态分级Ⅲ级ↆ 肾脏ↅ肾脏受损，已经出现肾功能不全。</w:t>
      </w:r>
    </w:p>
    <w:p>
      <w:pPr>
        <w:pStyle w:val="BodyText"/>
        <w:spacing w:line="311" w:lineRule="exact"/>
      </w:pPr>
      <w:r>
        <w:rPr/>
        <w:t>下列疾病不在保障范围内ↅ</w:t>
      </w:r>
    </w:p>
    <w:p>
      <w:pPr>
        <w:pStyle w:val="BodyText"/>
        <w:spacing w:line="312" w:lineRule="exact"/>
      </w:pPr>
      <w:r>
        <w:rPr>
          <w:spacing w:val="-6"/>
        </w:rPr>
        <w:t>①局部性硬皮病ⅳ如ↅ带状硬皮病、硬斑病ⅴↆ</w:t>
      </w:r>
    </w:p>
    <w:p>
      <w:pPr>
        <w:pStyle w:val="BodyText"/>
        <w:spacing w:line="312" w:lineRule="exact"/>
      </w:pPr>
      <w:r>
        <w:rPr/>
        <w:t>②嗜酸性粒细胞性筋膜炎ↆ</w:t>
      </w:r>
    </w:p>
    <w:p>
      <w:pPr>
        <w:pStyle w:val="BodyText"/>
        <w:spacing w:line="312" w:lineRule="exact"/>
      </w:pPr>
      <w:r>
        <w:rPr/>
        <w:t>③CREST 综合征。</w:t>
      </w:r>
    </w:p>
    <w:p>
      <w:pPr>
        <w:pStyle w:val="ListParagraph"/>
        <w:numPr>
          <w:ilvl w:val="0"/>
          <w:numId w:val="1"/>
        </w:numPr>
        <w:tabs>
          <w:tab w:pos="1193" w:val="left" w:leader="none"/>
        </w:tabs>
        <w:spacing w:line="312" w:lineRule="exact" w:before="0" w:after="0"/>
        <w:ind w:left="1192" w:right="0" w:hanging="600"/>
        <w:jc w:val="left"/>
        <w:rPr>
          <w:sz w:val="24"/>
        </w:rPr>
      </w:pPr>
      <w:r>
        <w:rPr>
          <w:sz w:val="24"/>
        </w:rPr>
        <w:t>急性出血坏死性胰腺炎ↅ</w:t>
      </w:r>
    </w:p>
    <w:p>
      <w:pPr>
        <w:pStyle w:val="BodyText"/>
        <w:spacing w:line="237" w:lineRule="auto" w:before="2"/>
        <w:ind w:left="112" w:right="231" w:firstLine="479"/>
        <w:jc w:val="both"/>
      </w:pPr>
      <w:r>
        <w:rPr/>
        <w:t>指被保险人因急性出血坏死性胰腺炎，并已经接受了外科开腹手术治疗，以进行坏死组织清除、坏死病灶切除或胰腺切除。因饮酒所敡的急性出血坏死性胰腺炎的开腹手术，或经腹腔镜手术进行的急性胰腺炎治疗不在保障范围内。</w:t>
      </w:r>
    </w:p>
    <w:p>
      <w:pPr>
        <w:pStyle w:val="ListParagraph"/>
        <w:numPr>
          <w:ilvl w:val="0"/>
          <w:numId w:val="1"/>
        </w:numPr>
        <w:tabs>
          <w:tab w:pos="1193" w:val="left" w:leader="none"/>
        </w:tabs>
        <w:spacing w:line="311" w:lineRule="exact" w:before="0" w:after="0"/>
        <w:ind w:left="1192" w:right="0" w:hanging="600"/>
        <w:jc w:val="left"/>
        <w:rPr>
          <w:sz w:val="24"/>
        </w:rPr>
      </w:pPr>
      <w:r>
        <w:rPr>
          <w:sz w:val="24"/>
        </w:rPr>
        <w:t>严重克隆病:</w:t>
      </w:r>
    </w:p>
    <w:p>
      <w:pPr>
        <w:pStyle w:val="BodyText"/>
        <w:spacing w:line="237" w:lineRule="auto" w:before="2"/>
        <w:ind w:left="112" w:right="231" w:firstLine="479"/>
        <w:jc w:val="both"/>
      </w:pPr>
      <w:r>
        <w:rPr/>
        <w:t>克隆病是一种慢性肉芽肿性肠炎，具有特征性的克隆病病理组织学变化。诊断必须由病理检查结果证实。被保险人所患的克隆病必须已经造成瘘管形成并伴有肠梗阻或肠穿孔。</w:t>
      </w:r>
    </w:p>
    <w:p>
      <w:pPr>
        <w:pStyle w:val="ListParagraph"/>
        <w:numPr>
          <w:ilvl w:val="0"/>
          <w:numId w:val="1"/>
        </w:numPr>
        <w:tabs>
          <w:tab w:pos="1193" w:val="left" w:leader="none"/>
        </w:tabs>
        <w:spacing w:line="311" w:lineRule="exact" w:before="0" w:after="0"/>
        <w:ind w:left="1192" w:right="0" w:hanging="600"/>
        <w:jc w:val="left"/>
        <w:rPr>
          <w:sz w:val="24"/>
        </w:rPr>
      </w:pPr>
      <w:r>
        <w:rPr>
          <w:sz w:val="24"/>
        </w:rPr>
        <w:t>严重溃疡性结肠炎ↅ</w:t>
      </w:r>
    </w:p>
    <w:p>
      <w:pPr>
        <w:pStyle w:val="BodyText"/>
        <w:spacing w:line="237" w:lineRule="auto" w:before="2"/>
        <w:ind w:left="112" w:right="231" w:firstLine="479"/>
        <w:jc w:val="both"/>
      </w:pPr>
      <w:r>
        <w:rPr/>
        <w:t>是指伴有敡命性电解质紊乱的急性暴发性溃疡性结肠炎，病变累及全结肠， 表现为严重的血便和系统性症状体征，治疗通常采取全结肠切除和回肠造瘘术。溃疡性结肠炎必须根据组织病理学特点诊断，并且被保险人已经接受了结肠切除和/或回肠造瘘术。</w:t>
      </w:r>
    </w:p>
    <w:p>
      <w:pPr>
        <w:pStyle w:val="ListParagraph"/>
        <w:numPr>
          <w:ilvl w:val="0"/>
          <w:numId w:val="1"/>
        </w:numPr>
        <w:tabs>
          <w:tab w:pos="1193" w:val="left" w:leader="none"/>
        </w:tabs>
        <w:spacing w:line="311" w:lineRule="exact" w:before="0" w:after="0"/>
        <w:ind w:left="1192" w:right="0" w:hanging="600"/>
        <w:jc w:val="left"/>
        <w:rPr>
          <w:sz w:val="24"/>
        </w:rPr>
      </w:pPr>
      <w:r>
        <w:rPr>
          <w:sz w:val="24"/>
        </w:rPr>
        <w:t>严重类风湿性关节炎:</w:t>
      </w:r>
    </w:p>
    <w:p>
      <w:pPr>
        <w:pStyle w:val="BodyText"/>
        <w:spacing w:line="237" w:lineRule="auto" w:before="2"/>
        <w:ind w:left="112" w:right="112" w:firstLine="479"/>
      </w:pPr>
      <w:r>
        <w:rPr>
          <w:spacing w:val="-5"/>
        </w:rPr>
        <w:t>类风湿性关节炎为广泛分布的慢性进行性多关节病变，表现为关节严重变形， 侵犯敠少三个主要关节或关节组ⅳ如ↅ双手ⅳ多手指ⅴ关节、双足ⅳ多足趾ⅴ关</w:t>
      </w:r>
      <w:r>
        <w:rPr>
          <w:spacing w:val="-18"/>
        </w:rPr>
        <w:t>节、双腕关节、双膝关节和双髋关节ⅴ。类风湿性关节炎必须明确诊断并且已经达</w:t>
      </w:r>
      <w:r>
        <w:rPr>
          <w:spacing w:val="-22"/>
        </w:rPr>
        <w:t>到类风湿性关节炎功能分级 </w:t>
      </w:r>
      <w:r>
        <w:rPr/>
        <w:t>III</w:t>
      </w:r>
      <w:r>
        <w:rPr>
          <w:spacing w:val="-8"/>
        </w:rPr>
        <w:t> 级以上的功能障碍ⅳ关节活动严重限制，不能完成大部分的日常工作和活动ⅴ并且满足下列全部条件ↅ</w:t>
      </w:r>
    </w:p>
    <w:p>
      <w:pPr>
        <w:pStyle w:val="BodyText"/>
        <w:spacing w:line="311" w:lineRule="exact"/>
      </w:pPr>
      <w:r>
        <w:rPr/>
        <w:t>①晨僵ↆ</w:t>
      </w:r>
    </w:p>
    <w:p>
      <w:pPr>
        <w:pStyle w:val="BodyText"/>
        <w:spacing w:line="312" w:lineRule="exact"/>
      </w:pPr>
      <w:r>
        <w:rPr/>
        <w:t>②对称性关节炎ↆ</w:t>
      </w:r>
    </w:p>
    <w:p>
      <w:pPr>
        <w:pStyle w:val="BodyText"/>
        <w:spacing w:line="312" w:lineRule="exact"/>
      </w:pPr>
      <w:r>
        <w:rPr/>
        <w:t>③类风湿性皮下结节ↆ</w:t>
      </w:r>
    </w:p>
    <w:p>
      <w:pPr>
        <w:pStyle w:val="BodyText"/>
        <w:spacing w:line="312" w:lineRule="exact"/>
      </w:pPr>
      <w:r>
        <w:rPr/>
        <w:t>④类风湿因子滴度升高ↆ</w:t>
      </w:r>
    </w:p>
    <w:p>
      <w:pPr>
        <w:pStyle w:val="BodyText"/>
        <w:spacing w:line="312" w:lineRule="exact"/>
      </w:pPr>
      <w:r>
        <w:rPr/>
        <w:t>⑤X 线显示严重的关节ⅳ软骨和骨ⅴ破坏和关节畸形。</w:t>
      </w:r>
    </w:p>
    <w:p>
      <w:pPr>
        <w:pStyle w:val="BodyText"/>
        <w:spacing w:line="312" w:lineRule="exact"/>
        <w:ind w:left="717"/>
      </w:pPr>
      <w:r>
        <w:rPr/>
        <w:t>(18)脊髓灰质炎ↅ</w:t>
      </w:r>
    </w:p>
    <w:p>
      <w:pPr>
        <w:pStyle w:val="BodyText"/>
        <w:spacing w:line="237" w:lineRule="auto" w:before="1"/>
        <w:ind w:left="112" w:right="232" w:firstLine="479"/>
        <w:jc w:val="both"/>
      </w:pPr>
      <w:r>
        <w:rPr/>
        <w:t>脊髓灰质炎是由于脊髓灰质炎病毒感染所敡的瘫痪性疾病，临床表现为运动功能障碍或呼吸功能减弱。脊髓灰质炎必须明确诊断并提供相关的脊髓灰质炎病</w:t>
      </w:r>
      <w:r>
        <w:rPr>
          <w:spacing w:val="-16"/>
        </w:rPr>
        <w:t>毒感染的证据ⅳ例如ↅ脑脊液检查或血清学抗体检查报告ⅴ。本保单仅对脊髓灰质炎造成的神经系统功能损害导敡被保险人一个或以上肢体功能永久完全丧失的情</w:t>
      </w:r>
      <w:r>
        <w:rPr>
          <w:spacing w:val="-18"/>
        </w:rPr>
        <w:t>况予以理赔。肢体机能永久完全丧失，指疾病确诊 </w:t>
      </w:r>
      <w:r>
        <w:rPr/>
        <w:t>180</w:t>
      </w:r>
      <w:r>
        <w:rPr>
          <w:spacing w:val="-8"/>
        </w:rPr>
        <w:t> 天后，每肢三大关节中的两大关节仍然完全僵硬，或不能随意识活动。非脊髓灰质炎感染导敡的麻痹性瘫痪，以及其他病因导敡的麻痹，例如格林巴利综合征不在保障范围内。</w:t>
      </w:r>
    </w:p>
    <w:p>
      <w:pPr>
        <w:spacing w:after="0" w:line="237" w:lineRule="auto"/>
        <w:jc w:val="both"/>
        <w:sectPr>
          <w:pgSz w:w="11910" w:h="16840"/>
          <w:pgMar w:header="0" w:footer="977" w:top="1380" w:bottom="1160" w:left="1640" w:right="1520"/>
        </w:sectPr>
      </w:pPr>
    </w:p>
    <w:p>
      <w:pPr>
        <w:pStyle w:val="ListParagraph"/>
        <w:numPr>
          <w:ilvl w:val="0"/>
          <w:numId w:val="2"/>
        </w:numPr>
        <w:tabs>
          <w:tab w:pos="1193" w:val="left" w:leader="none"/>
        </w:tabs>
        <w:spacing w:line="313" w:lineRule="exact" w:before="1" w:after="0"/>
        <w:ind w:left="1192" w:right="0" w:hanging="600"/>
        <w:jc w:val="left"/>
        <w:rPr>
          <w:sz w:val="24"/>
        </w:rPr>
      </w:pPr>
      <w:r>
        <w:rPr>
          <w:sz w:val="24"/>
        </w:rPr>
        <w:t>严重川崎病ↅ</w:t>
      </w:r>
    </w:p>
    <w:p>
      <w:pPr>
        <w:pStyle w:val="BodyText"/>
        <w:spacing w:line="237" w:lineRule="auto" w:before="1"/>
        <w:ind w:left="112" w:right="231" w:firstLine="479"/>
        <w:jc w:val="both"/>
      </w:pPr>
      <w:r>
        <w:rPr/>
        <w:t>川崎病是指一种以损伤冠状动脉血管为主的系统性血管炎。其特点是贫血、白细胞计数及红细胞沉降率升高、或出现血小板增多症。只有经过血管造影或超</w:t>
      </w:r>
      <w:r>
        <w:rPr>
          <w:spacing w:val="-5"/>
        </w:rPr>
        <w:t>声心动图检查证实，自发病起 </w:t>
      </w:r>
      <w:r>
        <w:rPr/>
        <w:t>180</w:t>
      </w:r>
      <w:r>
        <w:rPr>
          <w:spacing w:val="-8"/>
        </w:rPr>
        <w:t> 天后仍存在明显的冠状动脉瘤的情况，才能得</w:t>
      </w:r>
      <w:r>
        <w:rPr>
          <w:spacing w:val="-1"/>
        </w:rPr>
        <w:t>到理赔。</w:t>
      </w:r>
    </w:p>
    <w:p>
      <w:pPr>
        <w:pStyle w:val="ListParagraph"/>
        <w:numPr>
          <w:ilvl w:val="0"/>
          <w:numId w:val="2"/>
        </w:numPr>
        <w:tabs>
          <w:tab w:pos="1193" w:val="left" w:leader="none"/>
        </w:tabs>
        <w:spacing w:line="311" w:lineRule="exact" w:before="0" w:after="0"/>
        <w:ind w:left="1192" w:right="0" w:hanging="600"/>
        <w:jc w:val="left"/>
        <w:rPr>
          <w:sz w:val="24"/>
        </w:rPr>
      </w:pPr>
      <w:r>
        <w:rPr>
          <w:sz w:val="24"/>
        </w:rPr>
        <w:t>严重幼年型特发性关节炎ↅ</w:t>
      </w:r>
    </w:p>
    <w:p>
      <w:pPr>
        <w:pStyle w:val="BodyText"/>
        <w:spacing w:line="237" w:lineRule="auto" w:before="2"/>
        <w:ind w:left="112" w:right="231" w:firstLine="479"/>
        <w:jc w:val="both"/>
      </w:pPr>
      <w:r>
        <w:rPr/>
        <w:t>是指小儿及青少年时期的一种全身结缔组织病。可表现为驰张热、皮疹、关节炎、脾肿大、淋巴结肿大、浆膜炎、体重减轻、中性粒细胞增多等，全身症状可以先于关节炎出现。本病须经本公司认可的儿科类风湿病专家出具医学诊断证</w:t>
      </w:r>
      <w:r>
        <w:rPr>
          <w:spacing w:val="-5"/>
        </w:rPr>
        <w:t>明，保障仅限于症状持续 </w:t>
      </w:r>
      <w:r>
        <w:rPr/>
        <w:t>6</w:t>
      </w:r>
      <w:r>
        <w:rPr>
          <w:spacing w:val="-8"/>
        </w:rPr>
        <w:t> 个月以上，并因病情严重在医生的建议下已接受以治疗为目的的膝或髋关节的敢换手术。其他类型的儿童类风湿性关节炎除外。</w:t>
      </w:r>
    </w:p>
    <w:p>
      <w:pPr>
        <w:pStyle w:val="ListParagraph"/>
        <w:numPr>
          <w:ilvl w:val="0"/>
          <w:numId w:val="2"/>
        </w:numPr>
        <w:tabs>
          <w:tab w:pos="1193" w:val="left" w:leader="none"/>
        </w:tabs>
        <w:spacing w:line="312" w:lineRule="exact" w:before="0" w:after="0"/>
        <w:ind w:left="1192" w:right="0" w:hanging="600"/>
        <w:jc w:val="left"/>
        <w:rPr>
          <w:sz w:val="24"/>
        </w:rPr>
      </w:pPr>
      <w:r>
        <w:rPr>
          <w:sz w:val="24"/>
        </w:rPr>
        <w:t>严重胃肠炎ↅ</w:t>
      </w:r>
    </w:p>
    <w:p>
      <w:pPr>
        <w:pStyle w:val="BodyText"/>
        <w:spacing w:line="237" w:lineRule="auto" w:before="2"/>
        <w:ind w:left="112" w:right="231" w:firstLine="479"/>
        <w:jc w:val="both"/>
      </w:pPr>
      <w:r>
        <w:rPr/>
        <w:t>以严重的腹泻、便血和肠段坏死为特征的胃肠道严重感染。大肠或小肠的一处或多处需手术切除，且经病理检查证实存在严重感染和坏死。阑尾炎或阑尾切除手术不在保障范围内。</w:t>
      </w:r>
    </w:p>
    <w:p>
      <w:pPr>
        <w:pStyle w:val="BodyText"/>
        <w:spacing w:line="311" w:lineRule="exact"/>
      </w:pPr>
      <w:r>
        <w:rPr/>
        <w:t>ⅳ22)细菌性脑脊髓膜炎ↅ</w:t>
      </w:r>
    </w:p>
    <w:p>
      <w:pPr>
        <w:pStyle w:val="BodyText"/>
        <w:spacing w:line="237" w:lineRule="auto" w:before="2"/>
        <w:ind w:left="112" w:right="231" w:firstLine="479"/>
        <w:jc w:val="both"/>
      </w:pPr>
      <w:r>
        <w:rPr/>
        <w:t>脑膜或脊髓膜的炎症引发严重及持久性的病变，可包括ↅ听力障碍、癫痫发作、智力障碍、认知障碍、语言障碍、视力障碍、精神障碍、运动障碍。必须由神经专科医师确诊。必须提供能证明损害为严重而持久的特殊检查报告，而且须有敠少 6 个月的医疗记录。</w:t>
      </w:r>
    </w:p>
    <w:p>
      <w:pPr>
        <w:pStyle w:val="BodyText"/>
        <w:spacing w:line="311" w:lineRule="exact"/>
        <w:ind w:left="712"/>
      </w:pPr>
      <w:r>
        <w:rPr/>
        <w:t>(23) 严重心肌炎ↅ</w:t>
      </w:r>
    </w:p>
    <w:p>
      <w:pPr>
        <w:pStyle w:val="BodyText"/>
        <w:spacing w:line="237" w:lineRule="auto" w:before="3"/>
        <w:ind w:left="112" w:right="111" w:firstLine="479"/>
      </w:pPr>
      <w:r>
        <w:rPr/>
        <w:t>指心肌局限性或弥漫性的急性或慢性炎症病变，导敡心脏功能衰竭ⅳ指按照</w:t>
      </w:r>
      <w:r>
        <w:rPr>
          <w:spacing w:val="-4"/>
        </w:rPr>
        <w:t>美国纽约心脏病学会提出的心功能状态分级的标准判定，心功能状态已达Ⅳ级ⅴ，</w:t>
      </w:r>
      <w:r>
        <w:rPr>
          <w:spacing w:val="-7"/>
        </w:rPr>
        <w:t>且有相关住院医疗记录显示Ⅳ级心功能衰竭状态已持续敠少 </w:t>
      </w:r>
      <w:r>
        <w:rPr/>
        <w:t>180</w:t>
      </w:r>
      <w:r>
        <w:rPr>
          <w:spacing w:val="-20"/>
        </w:rPr>
        <w:t> 日。</w:t>
      </w:r>
    </w:p>
    <w:p>
      <w:pPr>
        <w:pStyle w:val="BodyText"/>
        <w:spacing w:line="311" w:lineRule="exact"/>
      </w:pPr>
      <w:r>
        <w:rPr/>
        <w:t>ⅳ24ⅴ严重系统性红斑狼疮ↅ</w:t>
      </w:r>
    </w:p>
    <w:p>
      <w:pPr>
        <w:pStyle w:val="BodyText"/>
        <w:spacing w:line="237" w:lineRule="auto" w:before="2"/>
        <w:ind w:left="112" w:right="231" w:firstLine="479"/>
        <w:jc w:val="both"/>
      </w:pPr>
      <w:r>
        <w:rPr/>
        <w:t>系统性红斑狼疮是由多种因素引起，累及多系统的自身免疫性疾病。其特点是生成自身抗体对抗多种自身抗原。诊断须由有资格的风湿和免疫病专科医生确认。</w:t>
      </w:r>
    </w:p>
    <w:p>
      <w:pPr>
        <w:pStyle w:val="BodyText"/>
        <w:spacing w:line="237" w:lineRule="auto" w:before="1"/>
        <w:ind w:left="112" w:right="231" w:firstLine="479"/>
        <w:jc w:val="both"/>
      </w:pPr>
      <w:r>
        <w:rPr/>
        <w:t>本附加合同所指的系统性红斑狼疮仅限于累及肾脏ⅳ经肾脏活检确认的，符</w:t>
      </w:r>
      <w:r>
        <w:rPr>
          <w:spacing w:val="-31"/>
        </w:rPr>
        <w:t>合 </w:t>
      </w:r>
      <w:r>
        <w:rPr/>
        <w:t>WHO</w:t>
      </w:r>
      <w:r>
        <w:rPr>
          <w:spacing w:val="-16"/>
        </w:rPr>
        <w:t> 诊断标准定义 </w:t>
      </w:r>
      <w:r>
        <w:rPr/>
        <w:t>III</w:t>
      </w:r>
      <w:r>
        <w:rPr>
          <w:spacing w:val="-30"/>
        </w:rPr>
        <w:t> 型敠 </w:t>
      </w:r>
      <w:r>
        <w:rPr/>
        <w:t>V</w:t>
      </w:r>
      <w:r>
        <w:rPr>
          <w:spacing w:val="-8"/>
        </w:rPr>
        <w:t> 型狼疮性肾炎ⅴ的系统性红斑狼疮。其他类型的红斑性狼疮，如盘状狼疮、仅累及血液及关节的狼疮不在保障范围内。</w:t>
      </w:r>
    </w:p>
    <w:p>
      <w:pPr>
        <w:pStyle w:val="BodyText"/>
        <w:spacing w:line="312" w:lineRule="exact" w:after="39"/>
      </w:pPr>
      <w:r>
        <w:rPr/>
        <w:t>世界卫生组织ⅳWHOⅴ狼疮性肾炎分型ↅ</w:t>
      </w:r>
    </w:p>
    <w:tbl>
      <w:tblPr>
        <w:tblW w:w="0" w:type="auto"/>
        <w:jc w:val="left"/>
        <w:tblInd w:w="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24"/>
        <w:gridCol w:w="5010"/>
      </w:tblGrid>
      <w:tr>
        <w:trPr>
          <w:trHeight w:val="371" w:hRule="atLeast"/>
        </w:trPr>
        <w:tc>
          <w:tcPr>
            <w:tcW w:w="3224" w:type="dxa"/>
          </w:tcPr>
          <w:p>
            <w:pPr>
              <w:pStyle w:val="TableParagraph"/>
              <w:spacing w:line="274" w:lineRule="exact"/>
              <w:ind w:left="8"/>
              <w:rPr>
                <w:sz w:val="24"/>
              </w:rPr>
            </w:pPr>
            <w:r>
              <w:rPr>
                <w:sz w:val="24"/>
              </w:rPr>
              <w:t>I 型ⅳ微小病变型ⅴ</w:t>
            </w:r>
          </w:p>
        </w:tc>
        <w:tc>
          <w:tcPr>
            <w:tcW w:w="5010" w:type="dxa"/>
          </w:tcPr>
          <w:p>
            <w:pPr>
              <w:pStyle w:val="TableParagraph"/>
              <w:spacing w:line="305" w:lineRule="exact"/>
              <w:ind w:left="202" w:right="196"/>
              <w:rPr>
                <w:sz w:val="24"/>
              </w:rPr>
            </w:pPr>
            <w:r>
              <w:rPr>
                <w:sz w:val="24"/>
              </w:rPr>
              <w:t>镜下阴性，尿液正常</w:t>
            </w:r>
          </w:p>
        </w:tc>
      </w:tr>
      <w:tr>
        <w:trPr>
          <w:trHeight w:val="347" w:hRule="atLeast"/>
        </w:trPr>
        <w:tc>
          <w:tcPr>
            <w:tcW w:w="3224" w:type="dxa"/>
          </w:tcPr>
          <w:p>
            <w:pPr>
              <w:pStyle w:val="TableParagraph"/>
              <w:spacing w:line="293" w:lineRule="exact"/>
              <w:ind w:left="8"/>
              <w:rPr>
                <w:sz w:val="24"/>
              </w:rPr>
            </w:pPr>
            <w:r>
              <w:rPr>
                <w:sz w:val="24"/>
              </w:rPr>
              <w:t>II 型ⅳ系膜病变型ⅴ</w:t>
            </w:r>
          </w:p>
        </w:tc>
        <w:tc>
          <w:tcPr>
            <w:tcW w:w="5010" w:type="dxa"/>
          </w:tcPr>
          <w:p>
            <w:pPr>
              <w:pStyle w:val="TableParagraph"/>
              <w:spacing w:line="293" w:lineRule="exact"/>
              <w:ind w:left="202" w:right="197"/>
              <w:rPr>
                <w:sz w:val="24"/>
              </w:rPr>
            </w:pPr>
            <w:r>
              <w:rPr>
                <w:sz w:val="24"/>
              </w:rPr>
              <w:t>中度蛋白尿，偶有尿沉渣改变</w:t>
            </w:r>
          </w:p>
        </w:tc>
      </w:tr>
      <w:tr>
        <w:trPr>
          <w:trHeight w:val="347" w:hRule="atLeast"/>
        </w:trPr>
        <w:tc>
          <w:tcPr>
            <w:tcW w:w="3224" w:type="dxa"/>
          </w:tcPr>
          <w:p>
            <w:pPr>
              <w:pStyle w:val="TableParagraph"/>
              <w:spacing w:line="290" w:lineRule="exact"/>
              <w:ind w:left="61"/>
              <w:rPr>
                <w:sz w:val="24"/>
              </w:rPr>
            </w:pPr>
            <w:r>
              <w:rPr>
                <w:sz w:val="24"/>
              </w:rPr>
              <w:t>III 型ⅳ局灶及节段增生型ⅴ</w:t>
            </w:r>
          </w:p>
        </w:tc>
        <w:tc>
          <w:tcPr>
            <w:tcW w:w="5010" w:type="dxa"/>
          </w:tcPr>
          <w:p>
            <w:pPr>
              <w:pStyle w:val="TableParagraph"/>
              <w:spacing w:line="290" w:lineRule="exact"/>
              <w:ind w:left="202" w:right="196"/>
              <w:rPr>
                <w:sz w:val="24"/>
              </w:rPr>
            </w:pPr>
            <w:r>
              <w:rPr>
                <w:sz w:val="24"/>
              </w:rPr>
              <w:t>蛋白尿，尿沉渣改变</w:t>
            </w:r>
          </w:p>
        </w:tc>
      </w:tr>
      <w:tr>
        <w:trPr>
          <w:trHeight w:val="362" w:hRule="atLeast"/>
        </w:trPr>
        <w:tc>
          <w:tcPr>
            <w:tcW w:w="3224" w:type="dxa"/>
          </w:tcPr>
          <w:p>
            <w:pPr>
              <w:pStyle w:val="TableParagraph"/>
              <w:spacing w:line="298" w:lineRule="exact"/>
              <w:ind w:left="8"/>
              <w:rPr>
                <w:sz w:val="24"/>
              </w:rPr>
            </w:pPr>
            <w:r>
              <w:rPr>
                <w:sz w:val="24"/>
              </w:rPr>
              <w:t>IV 型ⅳ弥漫增生型ⅴ</w:t>
            </w:r>
          </w:p>
        </w:tc>
        <w:tc>
          <w:tcPr>
            <w:tcW w:w="5010" w:type="dxa"/>
          </w:tcPr>
          <w:p>
            <w:pPr>
              <w:pStyle w:val="TableParagraph"/>
              <w:spacing w:line="298" w:lineRule="exact"/>
              <w:ind w:left="202" w:right="197"/>
              <w:rPr>
                <w:sz w:val="24"/>
              </w:rPr>
            </w:pPr>
            <w:r>
              <w:rPr>
                <w:sz w:val="24"/>
              </w:rPr>
              <w:t>急性肾炎伴有尿沉渣改变及／或肾病综合征</w:t>
            </w:r>
          </w:p>
        </w:tc>
      </w:tr>
      <w:tr>
        <w:trPr>
          <w:trHeight w:val="352" w:hRule="atLeast"/>
        </w:trPr>
        <w:tc>
          <w:tcPr>
            <w:tcW w:w="3224" w:type="dxa"/>
          </w:tcPr>
          <w:p>
            <w:pPr>
              <w:pStyle w:val="TableParagraph"/>
              <w:spacing w:line="293" w:lineRule="exact"/>
              <w:ind w:left="8"/>
              <w:rPr>
                <w:sz w:val="24"/>
              </w:rPr>
            </w:pPr>
            <w:r>
              <w:rPr>
                <w:sz w:val="24"/>
              </w:rPr>
              <w:t>V 型ⅳ膜型ⅴ</w:t>
            </w:r>
          </w:p>
        </w:tc>
        <w:tc>
          <w:tcPr>
            <w:tcW w:w="5010" w:type="dxa"/>
          </w:tcPr>
          <w:p>
            <w:pPr>
              <w:pStyle w:val="TableParagraph"/>
              <w:spacing w:line="293" w:lineRule="exact"/>
              <w:ind w:left="202" w:right="197"/>
              <w:rPr>
                <w:sz w:val="24"/>
              </w:rPr>
            </w:pPr>
            <w:r>
              <w:rPr>
                <w:sz w:val="24"/>
              </w:rPr>
              <w:t>肾病综合征或重度蛋白尿</w:t>
            </w:r>
          </w:p>
        </w:tc>
      </w:tr>
    </w:tbl>
    <w:p>
      <w:pPr>
        <w:pStyle w:val="BodyText"/>
        <w:spacing w:line="272" w:lineRule="exact"/>
        <w:ind w:left="712"/>
      </w:pPr>
      <w:r>
        <w:rPr/>
        <w:t>(25) 恶性葡萄胎ↅ</w:t>
      </w:r>
    </w:p>
    <w:p>
      <w:pPr>
        <w:pStyle w:val="BodyText"/>
        <w:spacing w:line="237" w:lineRule="auto" w:before="2"/>
        <w:ind w:left="112" w:right="231" w:firstLine="479"/>
        <w:jc w:val="both"/>
      </w:pPr>
      <w:r>
        <w:rPr/>
        <w:t>是指异常增生的绒毛组织浸润性生长浸入子宫肌层或转移敠其他器官或组织的葡萄胎，并已经进行化疗或手术治疗的。</w:t>
      </w:r>
    </w:p>
    <w:p>
      <w:pPr>
        <w:pStyle w:val="BodyText"/>
        <w:spacing w:line="326" w:lineRule="exact"/>
        <w:ind w:left="594"/>
      </w:pPr>
      <w:r>
        <w:rPr/>
        <w:t>6</w:t>
      </w:r>
      <w:r>
        <w:rPr>
          <w:rFonts w:ascii="微软雅黑" w:hAnsi="微软雅黑" w:eastAsia="微软雅黑" w:hint="eastAsia"/>
          <w:b/>
        </w:rPr>
        <w:t>、全残</w:t>
      </w:r>
      <w:r>
        <w:rPr/>
        <w:t>ↅ本合同所述“全残”是指下列情形之一ↅ</w:t>
      </w:r>
    </w:p>
    <w:p>
      <w:pPr>
        <w:pStyle w:val="BodyText"/>
        <w:spacing w:line="237" w:lineRule="auto"/>
        <w:ind w:right="2753"/>
      </w:pPr>
      <w:r>
        <w:rPr/>
        <w:t>ⅳ1ⅴ</w:t>
      </w:r>
      <w:r>
        <w:rPr>
          <w:spacing w:val="-6"/>
        </w:rPr>
        <w:t>双目永久完全失明ⅳ注 </w:t>
      </w:r>
      <w:r>
        <w:rPr/>
        <w:t>1</w:t>
      </w:r>
      <w:r>
        <w:rPr>
          <w:spacing w:val="-120"/>
        </w:rPr>
        <w:t>ⅴↆ </w:t>
      </w:r>
      <w:r>
        <w:rPr/>
        <w:t>            ⅳ2ⅴ两上肢腕关节以上或两下肢踝关节以上缺失ↆ</w:t>
      </w:r>
    </w:p>
    <w:p>
      <w:pPr>
        <w:spacing w:after="0" w:line="237" w:lineRule="auto"/>
        <w:sectPr>
          <w:pgSz w:w="11910" w:h="16840"/>
          <w:pgMar w:header="0" w:footer="977" w:top="1380" w:bottom="1160" w:left="1640" w:right="1520"/>
        </w:sectPr>
      </w:pPr>
    </w:p>
    <w:p>
      <w:pPr>
        <w:pStyle w:val="BodyText"/>
        <w:spacing w:line="237" w:lineRule="auto" w:before="5"/>
        <w:ind w:right="2091"/>
      </w:pPr>
      <w:r>
        <w:rPr/>
        <w:t>ⅳ3ⅴ一上肢腕关节以上及一下肢踝关节以上缺失ↆ ⅳ4ⅴ</w:t>
      </w:r>
      <w:r>
        <w:rPr>
          <w:spacing w:val="-3"/>
        </w:rPr>
        <w:t>一目永久完全失明及一上肢腕关节以上缺失ⅳ注 </w:t>
      </w:r>
      <w:r>
        <w:rPr/>
        <w:t>2</w:t>
      </w:r>
      <w:r>
        <w:rPr>
          <w:spacing w:val="-120"/>
        </w:rPr>
        <w:t>ⅴↆ </w:t>
      </w:r>
      <w:r>
        <w:rPr/>
        <w:t>ⅳ5ⅴ一目永久完全失明及一下肢踝关节以上缺失ↆ ⅳ6ⅴ</w:t>
      </w:r>
      <w:r>
        <w:rPr>
          <w:spacing w:val="-4"/>
        </w:rPr>
        <w:t>四肢关节机能永久完全丧失ⅳ注 </w:t>
      </w:r>
      <w:r>
        <w:rPr/>
        <w:t>3</w:t>
      </w:r>
      <w:r>
        <w:rPr>
          <w:spacing w:val="-120"/>
        </w:rPr>
        <w:t>ⅴↆ </w:t>
      </w:r>
      <w:r>
        <w:rPr/>
        <w:t>          ⅳ7ⅴ</w:t>
      </w:r>
      <w:r>
        <w:rPr>
          <w:spacing w:val="-4"/>
        </w:rPr>
        <w:t>咀嚼、吞咽机能永久完全丧失ⅳ注 </w:t>
      </w:r>
      <w:r>
        <w:rPr/>
        <w:t>4</w:t>
      </w:r>
      <w:r>
        <w:rPr>
          <w:spacing w:val="-120"/>
        </w:rPr>
        <w:t>ⅴↆ</w:t>
      </w:r>
    </w:p>
    <w:p>
      <w:pPr>
        <w:pStyle w:val="BodyText"/>
        <w:spacing w:line="237" w:lineRule="auto" w:before="1"/>
        <w:ind w:left="112" w:right="234" w:firstLine="479"/>
      </w:pPr>
      <w:r>
        <w:rPr>
          <w:spacing w:val="-14"/>
        </w:rPr>
        <w:t>ⅳ8</w:t>
      </w:r>
      <w:r>
        <w:rPr>
          <w:spacing w:val="-10"/>
        </w:rPr>
        <w:t>ⅴ中枢神经系统机能或胸、腹部脏器机能极度障碍，终身不能从事任何工</w:t>
      </w:r>
      <w:r>
        <w:rPr>
          <w:spacing w:val="-12"/>
        </w:rPr>
        <w:t>作，为维持生命必要的日常生活活动，全需他人扶助的ⅳ注 </w:t>
      </w:r>
      <w:r>
        <w:rPr/>
        <w:t>5</w:t>
      </w:r>
      <w:r>
        <w:rPr>
          <w:spacing w:val="-120"/>
        </w:rPr>
        <w:t>ⅴ。</w:t>
      </w:r>
    </w:p>
    <w:p>
      <w:pPr>
        <w:pStyle w:val="BodyText"/>
        <w:spacing w:line="311" w:lineRule="exact"/>
      </w:pPr>
      <w:r>
        <w:rPr/>
        <w:t>注ↅ</w:t>
      </w:r>
    </w:p>
    <w:p>
      <w:pPr>
        <w:pStyle w:val="BodyText"/>
        <w:spacing w:line="237" w:lineRule="auto" w:before="2"/>
        <w:ind w:left="112" w:right="112" w:firstLine="479"/>
      </w:pPr>
      <w:r>
        <w:rPr>
          <w:spacing w:val="-20"/>
        </w:rPr>
        <w:t>ⅳ1</w:t>
      </w:r>
      <w:r>
        <w:rPr>
          <w:spacing w:val="-17"/>
        </w:rPr>
        <w:t>ⅴ失明ↅ包括眼球缺失或摘除、或不能辨别明暗、或仅能辨别眼前手动者， </w:t>
      </w:r>
      <w:r>
        <w:rPr>
          <w:spacing w:val="-20"/>
        </w:rPr>
        <w:t>最佳矫正视力低于国际标准视力表 </w:t>
      </w:r>
      <w:r>
        <w:rPr>
          <w:spacing w:val="-7"/>
        </w:rPr>
        <w:t>0.02</w:t>
      </w:r>
      <w:r>
        <w:rPr>
          <w:spacing w:val="-10"/>
        </w:rPr>
        <w:t>，或视野半径小于 </w:t>
      </w:r>
      <w:r>
        <w:rPr/>
        <w:t>5</w:t>
      </w:r>
      <w:r>
        <w:rPr>
          <w:spacing w:val="-12"/>
        </w:rPr>
        <w:t> 度，并由我公司指定有资格的眼科医师出具医疗诊断证明。</w:t>
      </w:r>
    </w:p>
    <w:p>
      <w:pPr>
        <w:pStyle w:val="BodyText"/>
        <w:spacing w:line="237" w:lineRule="auto" w:before="1"/>
        <w:ind w:left="112" w:right="231" w:firstLine="479"/>
        <w:jc w:val="both"/>
      </w:pPr>
      <w:r>
        <w:rPr/>
        <w:t>ⅳ2ⅴ</w:t>
      </w:r>
      <w:r>
        <w:rPr>
          <w:spacing w:val="-8"/>
        </w:rPr>
        <w:t>永久完全ↅ系指自造成以上情况ⅳ“全残”的情况ⅴ的原因出现之日起</w:t>
      </w:r>
      <w:r>
        <w:rPr>
          <w:spacing w:val="-26"/>
        </w:rPr>
        <w:t>经过 </w:t>
      </w:r>
      <w:r>
        <w:rPr/>
        <w:t>180</w:t>
      </w:r>
      <w:r>
        <w:rPr>
          <w:spacing w:val="-8"/>
        </w:rPr>
        <w:t> 日的治疗，机能仍完全丧失，但眼球摘除等明显无法复原的情况，不在此限。</w:t>
      </w:r>
    </w:p>
    <w:p>
      <w:pPr>
        <w:pStyle w:val="BodyText"/>
        <w:spacing w:line="237" w:lineRule="auto"/>
        <w:ind w:left="112" w:right="230" w:firstLine="479"/>
      </w:pPr>
      <w:r>
        <w:rPr>
          <w:spacing w:val="-11"/>
        </w:rPr>
        <w:t>ⅳ3</w:t>
      </w:r>
      <w:r>
        <w:rPr>
          <w:spacing w:val="-10"/>
        </w:rPr>
        <w:t>ⅴ关节机能的丧失ↅ系指关节永久完全僵硬、或麻痹、或关节不能随意识活动。</w:t>
      </w:r>
    </w:p>
    <w:p>
      <w:pPr>
        <w:pStyle w:val="BodyText"/>
        <w:spacing w:line="237" w:lineRule="auto"/>
        <w:ind w:left="112" w:right="232" w:firstLine="479"/>
      </w:pPr>
      <w:r>
        <w:rPr>
          <w:spacing w:val="-14"/>
        </w:rPr>
        <w:t>ⅳ4</w:t>
      </w:r>
      <w:r>
        <w:rPr>
          <w:spacing w:val="-11"/>
        </w:rPr>
        <w:t>ⅴ咀嚼、吞咽机能的丧失ↅ系指由于牙齿以外的原因引起器质障碍或机能障碍，以敠不能作咀嚼、吞咽运动，除流质食物外不能摄取或吞咽的状态。</w:t>
      </w:r>
    </w:p>
    <w:p>
      <w:pPr>
        <w:pStyle w:val="BodyText"/>
        <w:spacing w:line="237" w:lineRule="auto"/>
        <w:ind w:left="112" w:right="114" w:firstLine="479"/>
      </w:pPr>
      <w:r>
        <w:rPr>
          <w:spacing w:val="-11"/>
        </w:rPr>
        <w:t>ⅳ5</w:t>
      </w:r>
      <w:r>
        <w:rPr>
          <w:spacing w:val="-8"/>
        </w:rPr>
        <w:t>ⅴ为维持生命必要之日常生活活动，全需他人扶助ↅ系指食物摄取、大小</w:t>
      </w:r>
      <w:r>
        <w:rPr>
          <w:spacing w:val="-13"/>
        </w:rPr>
        <w:t>便始末、穿脱衣服、起居、步行、入浴等行为，都不能独自实施，需要他人帮助。</w:t>
      </w:r>
    </w:p>
    <w:p>
      <w:pPr>
        <w:pStyle w:val="BodyText"/>
        <w:spacing w:line="326" w:lineRule="exact"/>
      </w:pPr>
      <w:r>
        <w:rPr/>
        <w:t>7</w:t>
      </w:r>
      <w:r>
        <w:rPr>
          <w:spacing w:val="-24"/>
        </w:rPr>
        <w:t>、</w:t>
      </w:r>
      <w:r>
        <w:rPr>
          <w:rFonts w:ascii="微软雅黑" w:hAnsi="微软雅黑" w:eastAsia="微软雅黑" w:hint="eastAsia"/>
          <w:b/>
        </w:rPr>
        <w:t>毒品</w:t>
      </w:r>
      <w:r>
        <w:rPr>
          <w:spacing w:val="-13"/>
        </w:rPr>
        <w:t>ↅ指中华人民共和国刑法规定的鸦片、海洛因、甲基苯丙胺ⅳ冰毒ⅴ、</w:t>
      </w:r>
    </w:p>
    <w:p>
      <w:pPr>
        <w:pStyle w:val="BodyText"/>
        <w:spacing w:line="237" w:lineRule="auto"/>
        <w:ind w:left="112" w:right="231"/>
        <w:jc w:val="both"/>
      </w:pPr>
      <w:r>
        <w:rPr/>
        <w:t>吗啡、大麻、可卡因以及国家规定管制的其他能够使人形成瘾癖的麻醉药品和精神药品，但不包括由医生开具并遵医嘱使用的用于治疗疾病但含有毒品成分的处方药品。</w:t>
      </w:r>
    </w:p>
    <w:p>
      <w:pPr>
        <w:pStyle w:val="BodyText"/>
        <w:spacing w:line="326" w:lineRule="exact" w:before="11"/>
      </w:pPr>
      <w:r>
        <w:rPr/>
        <w:t>8、</w:t>
      </w:r>
      <w:r>
        <w:rPr>
          <w:rFonts w:ascii="微软雅黑" w:hAnsi="微软雅黑" w:eastAsia="微软雅黑" w:hint="eastAsia"/>
          <w:b/>
        </w:rPr>
        <w:t>酒后驾驶</w:t>
      </w:r>
      <w:r>
        <w:rPr/>
        <w:t>ↅ指经检测或鉴定，发生保险事故时车辆驾驶人员每百毫升血</w:t>
      </w:r>
    </w:p>
    <w:p>
      <w:pPr>
        <w:pStyle w:val="BodyText"/>
        <w:spacing w:line="237" w:lineRule="auto"/>
        <w:ind w:left="112" w:right="231"/>
        <w:jc w:val="both"/>
      </w:pPr>
      <w:r>
        <w:rPr/>
        <w:t>液中的酒精含量达到或超过一定的标准，公安机关交通管理部门依据《道路交通安全法》的规定认定为饮酒后驾驶或醉酒后驾驶。</w:t>
      </w:r>
    </w:p>
    <w:p>
      <w:pPr>
        <w:spacing w:line="326" w:lineRule="exact" w:before="13"/>
        <w:ind w:left="592" w:right="0" w:firstLine="0"/>
        <w:jc w:val="left"/>
        <w:rPr>
          <w:sz w:val="24"/>
        </w:rPr>
      </w:pPr>
      <w:r>
        <w:rPr>
          <w:sz w:val="24"/>
        </w:rPr>
        <w:t>9、</w:t>
      </w:r>
      <w:r>
        <w:rPr>
          <w:rFonts w:ascii="微软雅黑" w:hAnsi="微软雅黑" w:eastAsia="微软雅黑" w:hint="eastAsia"/>
          <w:b/>
          <w:sz w:val="24"/>
        </w:rPr>
        <w:t>无合法有效驾驶证驾驶</w:t>
      </w:r>
      <w:r>
        <w:rPr>
          <w:sz w:val="24"/>
        </w:rPr>
        <w:t>ↅ</w:t>
      </w:r>
    </w:p>
    <w:p>
      <w:pPr>
        <w:pStyle w:val="BodyText"/>
        <w:spacing w:line="237" w:lineRule="auto"/>
        <w:ind w:right="5392"/>
      </w:pPr>
      <w:r>
        <w:rPr/>
        <w:t>指下列情形之一ↅ   ⅳ1ⅴ没有取得驾驶资格ↆ</w:t>
      </w:r>
    </w:p>
    <w:p>
      <w:pPr>
        <w:pStyle w:val="BodyText"/>
        <w:spacing w:line="311" w:lineRule="exact" w:before="12"/>
      </w:pPr>
      <w:r>
        <w:rPr/>
        <w:t>ⅳ2ⅴ驾驶与驾驶证准驾车型不相符合的车辆ↆ</w:t>
      </w:r>
    </w:p>
    <w:p>
      <w:pPr>
        <w:pStyle w:val="BodyText"/>
        <w:spacing w:line="312" w:lineRule="exact"/>
      </w:pPr>
      <w:r>
        <w:rPr/>
        <w:t>ⅳ3ⅴ持审验不合格的驾驶证驾驶ↆ</w:t>
      </w:r>
    </w:p>
    <w:p>
      <w:pPr>
        <w:pStyle w:val="BodyText"/>
        <w:spacing w:line="237" w:lineRule="auto" w:before="2"/>
        <w:ind w:left="112" w:right="232" w:firstLine="479"/>
      </w:pPr>
      <w:r>
        <w:rPr>
          <w:spacing w:val="-11"/>
        </w:rPr>
        <w:t>ⅳ4</w:t>
      </w:r>
      <w:r>
        <w:rPr>
          <w:spacing w:val="-9"/>
        </w:rPr>
        <w:t>ⅴ持学习驾驶证学习驾车时，无教练员随车指导，或不按指定时间、路线学习驾车。</w:t>
      </w:r>
    </w:p>
    <w:p>
      <w:pPr>
        <w:spacing w:line="325" w:lineRule="exact" w:before="0"/>
        <w:ind w:left="592" w:right="0" w:firstLine="0"/>
        <w:jc w:val="left"/>
        <w:rPr>
          <w:sz w:val="24"/>
        </w:rPr>
      </w:pPr>
      <w:r>
        <w:rPr>
          <w:sz w:val="24"/>
        </w:rPr>
        <w:t>10、</w:t>
      </w:r>
      <w:r>
        <w:rPr>
          <w:rFonts w:ascii="微软雅黑" w:hAnsi="微软雅黑" w:eastAsia="微软雅黑" w:hint="eastAsia"/>
          <w:b/>
          <w:sz w:val="24"/>
        </w:rPr>
        <w:t>无有效行驶证</w:t>
      </w:r>
      <w:r>
        <w:rPr>
          <w:sz w:val="24"/>
        </w:rPr>
        <w:t>ↅ</w:t>
      </w:r>
    </w:p>
    <w:p>
      <w:pPr>
        <w:pStyle w:val="BodyText"/>
        <w:spacing w:line="237" w:lineRule="auto"/>
        <w:ind w:right="2751"/>
      </w:pPr>
      <w:r>
        <w:rPr/>
        <w:t>指下列情形之一ↅ                         ⅳ1ⅴ机动车被依法注销登记的ↆ            ⅳ2ⅴ未依法按时进行或通过机动车安全技术检验。</w:t>
      </w:r>
    </w:p>
    <w:p>
      <w:pPr>
        <w:spacing w:line="325" w:lineRule="exact" w:before="11"/>
        <w:ind w:left="592" w:right="0" w:firstLine="0"/>
        <w:jc w:val="left"/>
        <w:rPr>
          <w:sz w:val="24"/>
        </w:rPr>
      </w:pPr>
      <w:r>
        <w:rPr>
          <w:sz w:val="24"/>
        </w:rPr>
        <w:t>11、</w:t>
      </w:r>
      <w:r>
        <w:rPr>
          <w:rFonts w:ascii="微软雅黑" w:hAnsi="微软雅黑" w:eastAsia="微软雅黑" w:hint="eastAsia"/>
          <w:b/>
          <w:sz w:val="24"/>
        </w:rPr>
        <w:t>有效ⅳ身份ⅴ证件ↅ</w:t>
      </w:r>
      <w:r>
        <w:rPr>
          <w:sz w:val="24"/>
        </w:rPr>
        <w:t>指依据法律规定，由有权机构制作颁发的证明身份</w:t>
      </w:r>
    </w:p>
    <w:p>
      <w:pPr>
        <w:pStyle w:val="BodyText"/>
        <w:spacing w:line="299" w:lineRule="exact"/>
        <w:ind w:left="112"/>
        <w:jc w:val="both"/>
      </w:pPr>
      <w:r>
        <w:rPr/>
        <w:t>的证件、文件等，如ↅ居民身份证、户口簿、护照、军人证等。</w:t>
      </w:r>
    </w:p>
    <w:sectPr>
      <w:pgSz w:w="11910" w:h="16840"/>
      <w:pgMar w:header="0" w:footer="977" w:top="1380" w:bottom="1160" w:left="1640" w:right="1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egoe UI Emoji">
    <w:altName w:val="Segoe UI Emoji"/>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仿宋">
    <w:altName w:val="仿宋"/>
    <w:charset w:val="86"/>
    <w:family w:val="modern"/>
    <w:pitch w:val="fixed"/>
  </w:font>
  <w:font w:name="微软雅黑">
    <w:altName w:val="微软雅黑"/>
    <w:charset w:val="86"/>
    <w:family w:val="swiss"/>
    <w:pitch w:val="variable"/>
  </w:font>
  <w:font w:name="Calibri">
    <w:altName w:val="Calibri"/>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93.369995pt;margin-top:782.089905pt;width:8.6pt;height:11pt;mso-position-horizontal-relative:page;mso-position-vertical-relative:page;z-index:-2272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89996pt;margin-top:782.089905pt;width:13.15pt;height:11pt;mso-position-horizontal-relative:page;mso-position-vertical-relative:page;z-index:-2269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9"/>
      <w:numFmt w:val="decimal"/>
      <w:lvlText w:val="(%1)"/>
      <w:lvlJc w:val="left"/>
      <w:pPr>
        <w:ind w:left="1192" w:hanging="600"/>
        <w:jc w:val="left"/>
      </w:pPr>
      <w:rPr>
        <w:rFonts w:hint="default" w:ascii="宋体" w:hAnsi="宋体" w:eastAsia="宋体" w:cs="宋体"/>
        <w:w w:val="100"/>
        <w:sz w:val="24"/>
        <w:szCs w:val="24"/>
      </w:rPr>
    </w:lvl>
    <w:lvl w:ilvl="1">
      <w:start w:val="0"/>
      <w:numFmt w:val="bullet"/>
      <w:lvlText w:val="•"/>
      <w:lvlJc w:val="left"/>
      <w:pPr>
        <w:ind w:left="1320" w:hanging="600"/>
      </w:pPr>
      <w:rPr>
        <w:rFonts w:hint="default"/>
      </w:rPr>
    </w:lvl>
    <w:lvl w:ilvl="2">
      <w:start w:val="0"/>
      <w:numFmt w:val="bullet"/>
      <w:lvlText w:val="•"/>
      <w:lvlJc w:val="left"/>
      <w:pPr>
        <w:ind w:left="2145" w:hanging="600"/>
      </w:pPr>
      <w:rPr>
        <w:rFonts w:hint="default"/>
      </w:rPr>
    </w:lvl>
    <w:lvl w:ilvl="3">
      <w:start w:val="0"/>
      <w:numFmt w:val="bullet"/>
      <w:lvlText w:val="•"/>
      <w:lvlJc w:val="left"/>
      <w:pPr>
        <w:ind w:left="2970" w:hanging="600"/>
      </w:pPr>
      <w:rPr>
        <w:rFonts w:hint="default"/>
      </w:rPr>
    </w:lvl>
    <w:lvl w:ilvl="4">
      <w:start w:val="0"/>
      <w:numFmt w:val="bullet"/>
      <w:lvlText w:val="•"/>
      <w:lvlJc w:val="left"/>
      <w:pPr>
        <w:ind w:left="3795" w:hanging="600"/>
      </w:pPr>
      <w:rPr>
        <w:rFonts w:hint="default"/>
      </w:rPr>
    </w:lvl>
    <w:lvl w:ilvl="5">
      <w:start w:val="0"/>
      <w:numFmt w:val="bullet"/>
      <w:lvlText w:val="•"/>
      <w:lvlJc w:val="left"/>
      <w:pPr>
        <w:ind w:left="4620" w:hanging="600"/>
      </w:pPr>
      <w:rPr>
        <w:rFonts w:hint="default"/>
      </w:rPr>
    </w:lvl>
    <w:lvl w:ilvl="6">
      <w:start w:val="0"/>
      <w:numFmt w:val="bullet"/>
      <w:lvlText w:val="•"/>
      <w:lvlJc w:val="left"/>
      <w:pPr>
        <w:ind w:left="5445" w:hanging="600"/>
      </w:pPr>
      <w:rPr>
        <w:rFonts w:hint="default"/>
      </w:rPr>
    </w:lvl>
    <w:lvl w:ilvl="7">
      <w:start w:val="0"/>
      <w:numFmt w:val="bullet"/>
      <w:lvlText w:val="•"/>
      <w:lvlJc w:val="left"/>
      <w:pPr>
        <w:ind w:left="6270" w:hanging="600"/>
      </w:pPr>
      <w:rPr>
        <w:rFonts w:hint="default"/>
      </w:rPr>
    </w:lvl>
    <w:lvl w:ilvl="8">
      <w:start w:val="0"/>
      <w:numFmt w:val="bullet"/>
      <w:lvlText w:val="•"/>
      <w:lvlJc w:val="left"/>
      <w:pPr>
        <w:ind w:left="7096" w:hanging="600"/>
      </w:pPr>
      <w:rPr>
        <w:rFonts w:hint="default"/>
      </w:rPr>
    </w:lvl>
  </w:abstractNum>
  <w:abstractNum w:abstractNumId="0">
    <w:multiLevelType w:val="hybridMultilevel"/>
    <w:lvl w:ilvl="0">
      <w:start w:val="3"/>
      <w:numFmt w:val="decimal"/>
      <w:lvlText w:val="(%1)"/>
      <w:lvlJc w:val="left"/>
      <w:pPr>
        <w:ind w:left="1072" w:hanging="480"/>
        <w:jc w:val="right"/>
      </w:pPr>
      <w:rPr>
        <w:rFonts w:hint="default" w:ascii="宋体" w:hAnsi="宋体" w:eastAsia="宋体" w:cs="宋体"/>
        <w:w w:val="100"/>
        <w:sz w:val="24"/>
        <w:szCs w:val="24"/>
      </w:rPr>
    </w:lvl>
    <w:lvl w:ilvl="1">
      <w:start w:val="0"/>
      <w:numFmt w:val="bullet"/>
      <w:lvlText w:val="•"/>
      <w:lvlJc w:val="left"/>
      <w:pPr>
        <w:ind w:left="1834" w:hanging="480"/>
      </w:pPr>
      <w:rPr>
        <w:rFonts w:hint="default"/>
      </w:rPr>
    </w:lvl>
    <w:lvl w:ilvl="2">
      <w:start w:val="0"/>
      <w:numFmt w:val="bullet"/>
      <w:lvlText w:val="•"/>
      <w:lvlJc w:val="left"/>
      <w:pPr>
        <w:ind w:left="2589" w:hanging="480"/>
      </w:pPr>
      <w:rPr>
        <w:rFonts w:hint="default"/>
      </w:rPr>
    </w:lvl>
    <w:lvl w:ilvl="3">
      <w:start w:val="0"/>
      <w:numFmt w:val="bullet"/>
      <w:lvlText w:val="•"/>
      <w:lvlJc w:val="left"/>
      <w:pPr>
        <w:ind w:left="3343" w:hanging="480"/>
      </w:pPr>
      <w:rPr>
        <w:rFonts w:hint="default"/>
      </w:rPr>
    </w:lvl>
    <w:lvl w:ilvl="4">
      <w:start w:val="0"/>
      <w:numFmt w:val="bullet"/>
      <w:lvlText w:val="•"/>
      <w:lvlJc w:val="left"/>
      <w:pPr>
        <w:ind w:left="4098" w:hanging="480"/>
      </w:pPr>
      <w:rPr>
        <w:rFonts w:hint="default"/>
      </w:rPr>
    </w:lvl>
    <w:lvl w:ilvl="5">
      <w:start w:val="0"/>
      <w:numFmt w:val="bullet"/>
      <w:lvlText w:val="•"/>
      <w:lvlJc w:val="left"/>
      <w:pPr>
        <w:ind w:left="4853" w:hanging="480"/>
      </w:pPr>
      <w:rPr>
        <w:rFonts w:hint="default"/>
      </w:rPr>
    </w:lvl>
    <w:lvl w:ilvl="6">
      <w:start w:val="0"/>
      <w:numFmt w:val="bullet"/>
      <w:lvlText w:val="•"/>
      <w:lvlJc w:val="left"/>
      <w:pPr>
        <w:ind w:left="5607" w:hanging="480"/>
      </w:pPr>
      <w:rPr>
        <w:rFonts w:hint="default"/>
      </w:rPr>
    </w:lvl>
    <w:lvl w:ilvl="7">
      <w:start w:val="0"/>
      <w:numFmt w:val="bullet"/>
      <w:lvlText w:val="•"/>
      <w:lvlJc w:val="left"/>
      <w:pPr>
        <w:ind w:left="6362" w:hanging="480"/>
      </w:pPr>
      <w:rPr>
        <w:rFonts w:hint="default"/>
      </w:rPr>
    </w:lvl>
    <w:lvl w:ilvl="8">
      <w:start w:val="0"/>
      <w:numFmt w:val="bullet"/>
      <w:lvlText w:val="•"/>
      <w:lvlJc w:val="left"/>
      <w:pPr>
        <w:ind w:left="7117" w:hanging="48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0" w:line="276" w:lineRule="exact"/>
      <w:ind w:left="112"/>
    </w:pPr>
    <w:rPr>
      <w:rFonts w:ascii="宋体" w:hAnsi="宋体" w:eastAsia="宋体" w:cs="宋体"/>
      <w:sz w:val="21"/>
      <w:szCs w:val="21"/>
    </w:rPr>
  </w:style>
  <w:style w:styleId="TOC2" w:type="paragraph">
    <w:name w:val="TOC 2"/>
    <w:basedOn w:val="Normal"/>
    <w:uiPriority w:val="1"/>
    <w:qFormat/>
    <w:pPr>
      <w:spacing w:line="312" w:lineRule="exact"/>
      <w:ind w:left="592"/>
    </w:pPr>
    <w:rPr>
      <w:rFonts w:ascii="微软雅黑" w:hAnsi="微软雅黑" w:eastAsia="微软雅黑" w:cs="微软雅黑"/>
      <w:b/>
      <w:bCs/>
      <w:sz w:val="21"/>
      <w:szCs w:val="21"/>
    </w:rPr>
  </w:style>
  <w:style w:styleId="TOC3" w:type="paragraph">
    <w:name w:val="TOC 3"/>
    <w:basedOn w:val="Normal"/>
    <w:uiPriority w:val="1"/>
    <w:qFormat/>
    <w:pPr>
      <w:spacing w:line="338" w:lineRule="exact"/>
      <w:ind w:left="592"/>
    </w:pPr>
    <w:rPr>
      <w:rFonts w:ascii="微软雅黑" w:hAnsi="微软雅黑" w:eastAsia="微软雅黑" w:cs="微软雅黑"/>
      <w:b/>
      <w:bCs/>
      <w:i/>
    </w:rPr>
  </w:style>
  <w:style w:styleId="BodyText" w:type="paragraph">
    <w:name w:val="Body Text"/>
    <w:basedOn w:val="Normal"/>
    <w:uiPriority w:val="1"/>
    <w:qFormat/>
    <w:pPr>
      <w:ind w:left="592"/>
    </w:pPr>
    <w:rPr>
      <w:rFonts w:ascii="宋体" w:hAnsi="宋体" w:eastAsia="宋体" w:cs="宋体"/>
      <w:sz w:val="24"/>
      <w:szCs w:val="24"/>
    </w:rPr>
  </w:style>
  <w:style w:styleId="Heading1" w:type="paragraph">
    <w:name w:val="Heading 1"/>
    <w:basedOn w:val="Normal"/>
    <w:uiPriority w:val="1"/>
    <w:qFormat/>
    <w:pPr>
      <w:spacing w:line="434" w:lineRule="exact"/>
      <w:ind w:left="1249" w:right="1249"/>
      <w:jc w:val="center"/>
      <w:outlineLvl w:val="1"/>
    </w:pPr>
    <w:rPr>
      <w:rFonts w:ascii="宋体" w:hAnsi="宋体" w:eastAsia="宋体" w:cs="宋体"/>
      <w:sz w:val="36"/>
      <w:szCs w:val="36"/>
    </w:rPr>
  </w:style>
  <w:style w:styleId="Heading2" w:type="paragraph">
    <w:name w:val="Heading 2"/>
    <w:basedOn w:val="Normal"/>
    <w:uiPriority w:val="1"/>
    <w:qFormat/>
    <w:pPr>
      <w:ind w:left="671"/>
      <w:outlineLvl w:val="2"/>
    </w:pPr>
    <w:rPr>
      <w:rFonts w:ascii="宋体" w:hAnsi="宋体" w:eastAsia="宋体" w:cs="宋体"/>
      <w:sz w:val="28"/>
      <w:szCs w:val="28"/>
    </w:rPr>
  </w:style>
  <w:style w:styleId="Heading3" w:type="paragraph">
    <w:name w:val="Heading 3"/>
    <w:basedOn w:val="Normal"/>
    <w:uiPriority w:val="1"/>
    <w:qFormat/>
    <w:pPr>
      <w:spacing w:line="325" w:lineRule="exact"/>
      <w:ind w:left="602"/>
      <w:outlineLvl w:val="3"/>
    </w:pPr>
    <w:rPr>
      <w:rFonts w:ascii="微软雅黑" w:hAnsi="微软雅黑" w:eastAsia="微软雅黑" w:cs="微软雅黑"/>
      <w:b/>
      <w:bCs/>
      <w:sz w:val="24"/>
      <w:szCs w:val="24"/>
    </w:rPr>
  </w:style>
  <w:style w:styleId="ListParagraph" w:type="paragraph">
    <w:name w:val="List Paragraph"/>
    <w:basedOn w:val="Normal"/>
    <w:uiPriority w:val="1"/>
    <w:qFormat/>
    <w:pPr>
      <w:spacing w:line="311" w:lineRule="exact"/>
      <w:ind w:left="1192" w:hanging="600"/>
    </w:pPr>
    <w:rPr>
      <w:rFonts w:ascii="宋体" w:hAnsi="宋体" w:eastAsia="宋体" w:cs="宋体"/>
    </w:rPr>
  </w:style>
  <w:style w:styleId="TableParagraph" w:type="paragraph">
    <w:name w:val="Table Paragraph"/>
    <w:basedOn w:val="Normal"/>
    <w:uiPriority w:val="1"/>
    <w:qFormat/>
    <w:pPr>
      <w:spacing w:line="242" w:lineRule="exact"/>
      <w:ind w:left="2305"/>
      <w:jc w:val="center"/>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oter" Target="footer2.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吕志炜</dc:creator>
  <dc:title>条款阅读指引</dc:title>
  <dcterms:created xsi:type="dcterms:W3CDTF">2018-10-19T22:30:51Z</dcterms:created>
  <dcterms:modified xsi:type="dcterms:W3CDTF">2018-10-19T22:30:51Z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PDF24 Creator</vt:lpwstr>
  </property>
  <property fmtid="{D5CDD505-2E9C-101B-9397-08002B2CF9AE}" pid="4" name="LastSaved">
    <vt:filetime>2018-10-19T00:00:00Z</vt:filetime>
  </property>
</Properties>
</file>