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7428" w:right="0" w:firstLine="0"/>
        <w:jc w:val="left"/>
        <w:rPr>
          <w:sz w:val="18"/>
        </w:rPr>
      </w:pPr>
      <w:r>
        <w:rPr>
          <w:sz w:val="18"/>
        </w:rPr>
        <w:t>国华人寿[2009]疾病保险 022 号</w:t>
      </w:r>
    </w:p>
    <w:p>
      <w:pPr>
        <w:pStyle w:val="Heading1"/>
        <w:spacing w:line="620" w:lineRule="atLeast" w:before="161"/>
        <w:ind w:left="4332" w:right="1987"/>
      </w:pPr>
      <w:r>
        <w:rPr/>
        <w:drawing>
          <wp:anchor distT="0" distB="0" distL="0" distR="0" allowOverlap="1" layoutInCell="1" locked="0" behindDoc="0" simplePos="0" relativeHeight="0">
            <wp:simplePos x="0" y="0"/>
            <wp:positionH relativeFrom="page">
              <wp:posOffset>5987034</wp:posOffset>
            </wp:positionH>
            <wp:positionV relativeFrom="paragraph">
              <wp:posOffset>75473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国华附加教育金提前给付重大疾病保险条款阅  读  指 引</w:t>
      </w:r>
    </w:p>
    <w:p>
      <w:pPr>
        <w:spacing w:line="133" w:lineRule="exact" w:before="0"/>
        <w:ind w:left="0" w:right="293" w:firstLine="0"/>
        <w:jc w:val="right"/>
        <w:rPr>
          <w:sz w:val="18"/>
        </w:rPr>
      </w:pPr>
      <w:r>
        <w:rPr>
          <w:sz w:val="18"/>
        </w:rPr>
        <w:t>请扫描以查询验证条款</w:t>
      </w:r>
    </w:p>
    <w:p>
      <w:pPr>
        <w:spacing w:line="321" w:lineRule="exact" w:before="0"/>
        <w:ind w:left="0" w:right="220" w:firstLine="0"/>
        <w:jc w:val="righ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教</w:t>
      </w:r>
      <w:r>
        <w:rPr>
          <w:spacing w:val="-59"/>
          <w:w w:val="100"/>
          <w:position w:val="-7"/>
          <w:sz w:val="20"/>
        </w:rPr>
        <w:t>．</w:t>
      </w:r>
      <w:r>
        <w:rPr>
          <w:b/>
          <w:spacing w:val="-141"/>
          <w:w w:val="99"/>
          <w:sz w:val="20"/>
        </w:rPr>
        <w:t>育</w:t>
      </w:r>
      <w:r>
        <w:rPr>
          <w:spacing w:val="-60"/>
          <w:w w:val="100"/>
          <w:position w:val="-7"/>
          <w:sz w:val="20"/>
        </w:rPr>
        <w:t>．</w:t>
      </w:r>
      <w:r>
        <w:rPr>
          <w:b/>
          <w:spacing w:val="-141"/>
          <w:w w:val="99"/>
          <w:sz w:val="20"/>
        </w:rPr>
        <w:t>金</w:t>
      </w:r>
      <w:r>
        <w:rPr>
          <w:spacing w:val="-60"/>
          <w:w w:val="100"/>
          <w:position w:val="-7"/>
          <w:sz w:val="20"/>
        </w:rPr>
        <w:t>．</w:t>
      </w:r>
      <w:r>
        <w:rPr>
          <w:b/>
          <w:spacing w:val="-141"/>
          <w:w w:val="99"/>
          <w:sz w:val="20"/>
        </w:rPr>
        <w:t>提</w:t>
      </w:r>
      <w:r>
        <w:rPr>
          <w:spacing w:val="-59"/>
          <w:w w:val="100"/>
          <w:position w:val="-7"/>
          <w:sz w:val="20"/>
        </w:rPr>
        <w:t>．</w:t>
      </w:r>
      <w:r>
        <w:rPr>
          <w:b/>
          <w:spacing w:val="-141"/>
          <w:w w:val="99"/>
          <w:sz w:val="20"/>
        </w:rPr>
        <w:t>前</w:t>
      </w:r>
      <w:r>
        <w:rPr>
          <w:spacing w:val="-60"/>
          <w:w w:val="100"/>
          <w:position w:val="-7"/>
          <w:sz w:val="20"/>
        </w:rPr>
        <w:t>．</w:t>
      </w:r>
      <w:r>
        <w:rPr>
          <w:b/>
          <w:spacing w:val="-141"/>
          <w:w w:val="99"/>
          <w:sz w:val="20"/>
        </w:rPr>
        <w:t>给</w:t>
      </w:r>
      <w:r>
        <w:rPr>
          <w:spacing w:val="-60"/>
          <w:w w:val="100"/>
          <w:position w:val="-7"/>
          <w:sz w:val="20"/>
        </w:rPr>
        <w:t>．</w:t>
      </w:r>
      <w:r>
        <w:rPr>
          <w:b/>
          <w:spacing w:val="-141"/>
          <w:w w:val="99"/>
          <w:sz w:val="20"/>
        </w:rPr>
        <w:t>付</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59"/>
          <w:w w:val="100"/>
          <w:position w:val="-7"/>
          <w:sz w:val="20"/>
        </w:rPr>
        <w:t>．</w:t>
      </w:r>
      <w:r>
        <w:rPr>
          <w:b/>
          <w:spacing w:val="-141"/>
          <w:w w:val="99"/>
          <w:sz w:val="20"/>
        </w:rPr>
        <w:t>合</w:t>
      </w:r>
      <w:r>
        <w:rPr>
          <w:spacing w:val="-60"/>
          <w:w w:val="100"/>
          <w:position w:val="-7"/>
          <w:sz w:val="20"/>
        </w:rPr>
        <w:t>．</w:t>
      </w:r>
      <w:r>
        <w:rPr>
          <w:b/>
          <w:spacing w:val="-141"/>
          <w:w w:val="99"/>
          <w:sz w:val="20"/>
        </w:rPr>
        <w:t>同</w:t>
      </w:r>
      <w:r>
        <w:rPr>
          <w:spacing w:val="-60"/>
          <w:w w:val="100"/>
          <w:position w:val="-7"/>
          <w:sz w:val="20"/>
        </w:rPr>
        <w:t>．</w:t>
      </w:r>
      <w:r>
        <w:rPr>
          <w:spacing w:val="-141"/>
          <w:w w:val="100"/>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2"/>
          <w:w w:val="100"/>
          <w:sz w:val="20"/>
        </w:rPr>
        <w:t>的</w:t>
      </w:r>
      <w:r>
        <w:rPr>
          <w:spacing w:val="-60"/>
          <w:w w:val="100"/>
          <w:position w:val="-7"/>
          <w:sz w:val="20"/>
        </w:rPr>
        <w:t>．</w:t>
      </w:r>
      <w:r>
        <w:rPr>
          <w:spacing w:val="-141"/>
          <w:w w:val="100"/>
          <w:sz w:val="20"/>
        </w:rPr>
        <w:t>解</w:t>
      </w:r>
      <w:r>
        <w:rPr>
          <w:spacing w:val="-60"/>
          <w:w w:val="100"/>
          <w:position w:val="-7"/>
          <w:sz w:val="20"/>
        </w:rPr>
        <w:t>．</w:t>
      </w:r>
      <w:r>
        <w:rPr>
          <w:spacing w:val="-142"/>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2"/>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Heading5"/>
        <w:tabs>
          <w:tab w:pos="1291" w:val="left" w:leader="none"/>
        </w:tabs>
        <w:spacing w:before="179"/>
        <w:ind w:left="281"/>
      </w:pPr>
      <w:r>
        <w:rPr/>
        <w:pict>
          <v:group style="position:absolute;margin-left:42.874001pt;margin-top:5.231993pt;width:500.95pt;height:640.1pt;mso-position-horizontal-relative:page;mso-position-vertical-relative:paragraph;z-index:-21232" coordorigin="857,105" coordsize="10019,12802">
            <v:shape style="position:absolute;left:857;top:104;width:10019;height:12802" type="#_x0000_t75" stroked="false">
              <v:imagedata r:id="rId6" o:title=""/>
            </v:shape>
            <v:rect style="position:absolute;left:1693;top:4983;width:8403;height:6526"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投保后10日内您可以要求全额退还保险费</w:t>
        <w:tab/>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被保险人可以享受本附加合同提供的保障</w:t>
        <w:tab/>
        <w:t>2.2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您有退保的权利</w:t>
        <w:tab/>
        <w:t>5.1</w:t>
      </w:r>
    </w:p>
    <w:p>
      <w:pPr>
        <w:pStyle w:val="Heading5"/>
        <w:tabs>
          <w:tab w:pos="1291" w:val="left" w:leader="none"/>
        </w:tabs>
        <w:spacing w:before="25"/>
        <w:ind w:left="281"/>
      </w:pPr>
      <w:r>
        <w:rPr>
          <w:rFonts w:ascii="Arial" w:hAnsi="Arial" w:eastAsia="Arial"/>
          <w:w w:val="105"/>
          <w:position w:val="-11"/>
          <w:sz w:val="52"/>
        </w:rPr>
        <w:t></w:t>
        <w:tab/>
      </w: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1" w:after="0"/>
        <w:ind w:left="1673" w:right="0" w:hanging="420"/>
        <w:jc w:val="left"/>
        <w:rPr>
          <w:sz w:val="21"/>
        </w:rPr>
      </w:pPr>
      <w:r>
        <w:rPr>
          <w:sz w:val="21"/>
        </w:rPr>
        <w:t>在某些情况下，我们不承担保险责任</w:t>
        <w:tab/>
        <w:t>2.3</w:t>
      </w:r>
    </w:p>
    <w:p>
      <w:pPr>
        <w:pStyle w:val="ListParagraph"/>
        <w:numPr>
          <w:ilvl w:val="0"/>
          <w:numId w:val="1"/>
        </w:numPr>
        <w:tabs>
          <w:tab w:pos="1673" w:val="left" w:leader="none"/>
          <w:tab w:pos="1674" w:val="left" w:leader="none"/>
        </w:tabs>
        <w:spacing w:line="240" w:lineRule="auto" w:before="21" w:after="0"/>
        <w:ind w:left="1673" w:right="0" w:hanging="420"/>
        <w:jc w:val="left"/>
        <w:rPr>
          <w:sz w:val="21"/>
        </w:rPr>
      </w:pPr>
      <w:r>
        <w:rPr>
          <w:spacing w:val="-1"/>
          <w:sz w:val="21"/>
        </w:rPr>
        <w:t>国华附加教育金两全保险</w:t>
      </w:r>
      <w:r>
        <w:rPr>
          <w:sz w:val="21"/>
        </w:rPr>
        <w:t>（分红型）合同的某些变动会导致本附加合同效力终止…6.1</w:t>
      </w:r>
    </w:p>
    <w:p>
      <w:pPr>
        <w:pStyle w:val="ListParagraph"/>
        <w:numPr>
          <w:ilvl w:val="0"/>
          <w:numId w:val="1"/>
        </w:numPr>
        <w:tabs>
          <w:tab w:pos="1673" w:val="left" w:leader="none"/>
          <w:tab w:pos="1674" w:val="left" w:leader="none"/>
          <w:tab w:pos="9338" w:val="right" w:leader="dot"/>
        </w:tabs>
        <w:spacing w:line="240" w:lineRule="auto" w:before="21" w:after="0"/>
        <w:ind w:left="1673" w:right="0" w:hanging="420"/>
        <w:jc w:val="left"/>
        <w:rPr>
          <w:sz w:val="21"/>
        </w:rPr>
      </w:pPr>
      <w:r>
        <w:rPr>
          <w:sz w:val="21"/>
        </w:rPr>
        <w:t>我们对一些重要术语进行了解释，并作了显著标识，请您注意</w:t>
        <w:tab/>
        <w:t>7</w:t>
      </w:r>
    </w:p>
    <w:p>
      <w:pPr>
        <w:pStyle w:val="ListParagraph"/>
        <w:numPr>
          <w:ilvl w:val="0"/>
          <w:numId w:val="1"/>
        </w:numPr>
        <w:tabs>
          <w:tab w:pos="1673" w:val="left" w:leader="none"/>
          <w:tab w:pos="1674" w:val="left" w:leader="none"/>
        </w:tabs>
        <w:spacing w:line="240" w:lineRule="auto" w:before="21" w:after="0"/>
        <w:ind w:left="1673" w:right="0" w:hanging="420"/>
        <w:jc w:val="left"/>
        <w:rPr>
          <w:sz w:val="21"/>
        </w:rPr>
      </w:pPr>
      <w:r>
        <w:rPr>
          <w:spacing w:val="-1"/>
          <w:sz w:val="21"/>
        </w:rPr>
        <w:t>保险条款有关于疾病的释义，请您留意……………………………………………7.4</w:t>
      </w:r>
      <w:r>
        <w:rPr>
          <w:sz w:val="21"/>
        </w:rPr>
        <w:t>、7.5</w:t>
      </w:r>
    </w:p>
    <w:p>
      <w:pPr>
        <w:pStyle w:val="Heading5"/>
        <w:tabs>
          <w:tab w:pos="1291" w:val="left" w:leader="none"/>
        </w:tabs>
        <w:spacing w:before="25"/>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before="25"/>
        <w:ind w:left="281"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6"/>
        <w:rPr>
          <w:b/>
          <w:sz w:val="27"/>
        </w:rPr>
      </w:pPr>
    </w:p>
    <w:p>
      <w:pPr>
        <w:spacing w:after="0"/>
        <w:rPr>
          <w:sz w:val="27"/>
        </w:rPr>
        <w:sectPr>
          <w:type w:val="continuous"/>
          <w:pgSz w:w="11910" w:h="16840"/>
          <w:pgMar w:top="600" w:bottom="280" w:left="740" w:right="920"/>
        </w:sectPr>
      </w:pPr>
    </w:p>
    <w:p>
      <w:pPr>
        <w:pStyle w:val="Heading5"/>
        <w:spacing w:line="334" w:lineRule="exact"/>
        <w:ind w:left="1153"/>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731" w:val="left" w:leader="none"/>
        </w:tabs>
        <w:spacing w:line="240" w:lineRule="auto" w:before="116" w:after="0"/>
        <w:ind w:left="1730" w:right="0" w:hanging="367"/>
        <w:jc w:val="left"/>
        <w:rPr>
          <w:sz w:val="21"/>
        </w:rPr>
      </w:pPr>
      <w:r>
        <w:rPr>
          <w:sz w:val="21"/>
        </w:rPr>
        <w:t>保险合同构成</w:t>
      </w:r>
    </w:p>
    <w:p>
      <w:pPr>
        <w:pStyle w:val="ListParagraph"/>
        <w:numPr>
          <w:ilvl w:val="1"/>
          <w:numId w:val="2"/>
        </w:numPr>
        <w:tabs>
          <w:tab w:pos="1731" w:val="left" w:leader="none"/>
        </w:tabs>
        <w:spacing w:line="240" w:lineRule="auto" w:before="44" w:after="0"/>
        <w:ind w:left="1730" w:right="0" w:hanging="367"/>
        <w:jc w:val="left"/>
        <w:rPr>
          <w:sz w:val="21"/>
        </w:rPr>
      </w:pPr>
      <w:r>
        <w:rPr>
          <w:sz w:val="21"/>
        </w:rPr>
        <w:t>保险合同成立与生效</w:t>
      </w:r>
    </w:p>
    <w:p>
      <w:pPr>
        <w:pStyle w:val="ListParagraph"/>
        <w:numPr>
          <w:ilvl w:val="1"/>
          <w:numId w:val="2"/>
        </w:numPr>
        <w:tabs>
          <w:tab w:pos="1731" w:val="left" w:leader="none"/>
        </w:tabs>
        <w:spacing w:line="240" w:lineRule="auto" w:before="45" w:after="0"/>
        <w:ind w:left="1730" w:right="0" w:hanging="367"/>
        <w:jc w:val="left"/>
        <w:rPr>
          <w:sz w:val="21"/>
        </w:rPr>
      </w:pPr>
      <w:r>
        <w:rPr>
          <w:sz w:val="21"/>
        </w:rPr>
        <w:t>犹豫期</w:t>
      </w:r>
    </w:p>
    <w:p>
      <w:pPr>
        <w:pStyle w:val="Heading5"/>
        <w:spacing w:before="31"/>
        <w:ind w:left="1153"/>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731" w:val="left" w:leader="none"/>
        </w:tabs>
        <w:spacing w:line="240" w:lineRule="auto" w:before="116" w:after="0"/>
        <w:ind w:left="1730" w:right="0" w:hanging="367"/>
        <w:jc w:val="left"/>
        <w:rPr>
          <w:sz w:val="21"/>
        </w:rPr>
      </w:pPr>
      <w:r>
        <w:rPr>
          <w:sz w:val="21"/>
        </w:rPr>
        <w:t>投保条件</w:t>
      </w:r>
    </w:p>
    <w:p>
      <w:pPr>
        <w:pStyle w:val="ListParagraph"/>
        <w:numPr>
          <w:ilvl w:val="1"/>
          <w:numId w:val="3"/>
        </w:numPr>
        <w:tabs>
          <w:tab w:pos="1731" w:val="left" w:leader="none"/>
        </w:tabs>
        <w:spacing w:line="240" w:lineRule="auto" w:before="43" w:after="0"/>
        <w:ind w:left="1730" w:right="0" w:hanging="367"/>
        <w:jc w:val="left"/>
        <w:rPr>
          <w:sz w:val="21"/>
        </w:rPr>
      </w:pPr>
      <w:r>
        <w:rPr>
          <w:sz w:val="21"/>
        </w:rPr>
        <w:t>保险责任</w:t>
      </w:r>
    </w:p>
    <w:p>
      <w:pPr>
        <w:pStyle w:val="ListParagraph"/>
        <w:numPr>
          <w:ilvl w:val="1"/>
          <w:numId w:val="3"/>
        </w:numPr>
        <w:tabs>
          <w:tab w:pos="1731" w:val="left" w:leader="none"/>
        </w:tabs>
        <w:spacing w:line="240" w:lineRule="auto" w:before="45" w:after="0"/>
        <w:ind w:left="1730" w:right="0" w:hanging="367"/>
        <w:jc w:val="left"/>
        <w:rPr>
          <w:sz w:val="21"/>
        </w:rPr>
      </w:pPr>
      <w:r>
        <w:rPr>
          <w:sz w:val="21"/>
        </w:rPr>
        <w:t>责任免除</w:t>
      </w:r>
    </w:p>
    <w:p>
      <w:pPr>
        <w:pStyle w:val="Heading5"/>
        <w:spacing w:before="31"/>
        <w:ind w:left="1153"/>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1731" w:val="left" w:leader="none"/>
        </w:tabs>
        <w:spacing w:line="240" w:lineRule="auto" w:before="115" w:after="0"/>
        <w:ind w:left="1730" w:right="0" w:hanging="367"/>
        <w:jc w:val="left"/>
        <w:rPr>
          <w:sz w:val="21"/>
        </w:rPr>
      </w:pPr>
      <w:r>
        <w:rPr>
          <w:sz w:val="21"/>
        </w:rPr>
        <w:t>受益人</w:t>
      </w:r>
    </w:p>
    <w:p>
      <w:pPr>
        <w:pStyle w:val="ListParagraph"/>
        <w:numPr>
          <w:ilvl w:val="1"/>
          <w:numId w:val="4"/>
        </w:numPr>
        <w:tabs>
          <w:tab w:pos="1731" w:val="left" w:leader="none"/>
        </w:tabs>
        <w:spacing w:line="240" w:lineRule="auto" w:before="43" w:after="0"/>
        <w:ind w:left="1730" w:right="0" w:hanging="367"/>
        <w:jc w:val="left"/>
        <w:rPr>
          <w:sz w:val="21"/>
        </w:rPr>
      </w:pPr>
      <w:r>
        <w:rPr>
          <w:sz w:val="21"/>
        </w:rPr>
        <w:t>保险金申请</w:t>
      </w:r>
    </w:p>
    <w:p>
      <w:pPr>
        <w:pStyle w:val="ListParagraph"/>
        <w:numPr>
          <w:ilvl w:val="1"/>
          <w:numId w:val="4"/>
        </w:numPr>
        <w:tabs>
          <w:tab w:pos="1731" w:val="left" w:leader="none"/>
        </w:tabs>
        <w:spacing w:line="240" w:lineRule="auto" w:before="45" w:after="0"/>
        <w:ind w:left="1730" w:right="0" w:hanging="367"/>
        <w:jc w:val="left"/>
        <w:rPr>
          <w:sz w:val="21"/>
        </w:rPr>
      </w:pPr>
      <w:r>
        <w:rPr>
          <w:sz w:val="21"/>
        </w:rPr>
        <w:t>保险金给付</w:t>
      </w:r>
    </w:p>
    <w:p>
      <w:pPr>
        <w:pStyle w:val="ListParagraph"/>
        <w:numPr>
          <w:ilvl w:val="1"/>
          <w:numId w:val="4"/>
        </w:numPr>
        <w:tabs>
          <w:tab w:pos="1731" w:val="left" w:leader="none"/>
        </w:tabs>
        <w:spacing w:line="240" w:lineRule="auto" w:before="45" w:after="0"/>
        <w:ind w:left="1730" w:right="0" w:hanging="367"/>
        <w:jc w:val="left"/>
        <w:rPr>
          <w:sz w:val="21"/>
        </w:rPr>
      </w:pPr>
      <w:r>
        <w:rPr>
          <w:sz w:val="21"/>
        </w:rPr>
        <w:t>诉讼时效</w:t>
      </w:r>
    </w:p>
    <w:p>
      <w:pPr>
        <w:pStyle w:val="Heading5"/>
        <w:spacing w:before="29"/>
        <w:ind w:left="1153"/>
        <w:rPr>
          <w:rFonts w:ascii="Microsoft JhengHei" w:eastAsia="Microsoft JhengHei" w:hint="eastAsia"/>
        </w:rPr>
      </w:pPr>
      <w:r>
        <w:rPr/>
        <w:t>4.</w:t>
      </w:r>
      <w:r>
        <w:rPr>
          <w:rFonts w:ascii="Microsoft JhengHei" w:eastAsia="Microsoft JhengHei" w:hint="eastAsia"/>
        </w:rPr>
        <w:t>如何恢复合同效力</w:t>
      </w:r>
    </w:p>
    <w:p>
      <w:pPr>
        <w:pStyle w:val="ListParagraph"/>
        <w:numPr>
          <w:ilvl w:val="1"/>
          <w:numId w:val="5"/>
        </w:numPr>
        <w:tabs>
          <w:tab w:pos="1784" w:val="left" w:leader="none"/>
        </w:tabs>
        <w:spacing w:line="240" w:lineRule="auto" w:before="115" w:after="0"/>
        <w:ind w:left="1783" w:right="0" w:hanging="420"/>
        <w:jc w:val="left"/>
        <w:rPr>
          <w:sz w:val="21"/>
        </w:rPr>
      </w:pPr>
      <w:r>
        <w:rPr>
          <w:sz w:val="21"/>
        </w:rPr>
        <w:t>效力中止</w:t>
      </w:r>
    </w:p>
    <w:p>
      <w:pPr>
        <w:pStyle w:val="ListParagraph"/>
        <w:numPr>
          <w:ilvl w:val="1"/>
          <w:numId w:val="5"/>
        </w:numPr>
        <w:tabs>
          <w:tab w:pos="1784" w:val="left" w:leader="none"/>
        </w:tabs>
        <w:spacing w:line="240" w:lineRule="auto" w:before="45" w:after="0"/>
        <w:ind w:left="1783" w:right="0" w:hanging="420"/>
        <w:jc w:val="left"/>
        <w:rPr>
          <w:sz w:val="21"/>
        </w:rPr>
      </w:pPr>
      <w:r>
        <w:rPr>
          <w:sz w:val="21"/>
        </w:rPr>
        <w:t>效力恢复</w:t>
      </w:r>
    </w:p>
    <w:p>
      <w:pPr>
        <w:pStyle w:val="Heading5"/>
        <w:spacing w:before="56"/>
        <w:ind w:left="436"/>
        <w:rPr>
          <w:rFonts w:ascii="Microsoft JhengHei" w:eastAsia="Microsoft JhengHei" w:hint="eastAsia"/>
        </w:rPr>
      </w:pPr>
      <w:r>
        <w:rPr>
          <w:b w:val="0"/>
        </w:rPr>
        <w:br w:type="column"/>
      </w:r>
      <w:r>
        <w:rPr/>
        <w:t>5.</w:t>
      </w:r>
      <w:r>
        <w:rPr>
          <w:rFonts w:ascii="Microsoft JhengHei" w:eastAsia="Microsoft JhengHei" w:hint="eastAsia"/>
        </w:rPr>
        <w:t>如何解除保险合同</w:t>
      </w:r>
    </w:p>
    <w:p>
      <w:pPr>
        <w:pStyle w:val="BodyText"/>
        <w:spacing w:line="280" w:lineRule="auto" w:before="116"/>
        <w:ind w:left="1066" w:right="24" w:hanging="420"/>
      </w:pPr>
      <w:r>
        <w:rPr/>
        <w:t>5.1</w:t>
      </w:r>
      <w:r>
        <w:rPr>
          <w:spacing w:val="-6"/>
        </w:rPr>
        <w:t> 您解除合同的手续及风险</w:t>
      </w:r>
    </w:p>
    <w:p>
      <w:pPr>
        <w:pStyle w:val="Heading5"/>
        <w:spacing w:line="360" w:lineRule="exact"/>
        <w:ind w:left="436"/>
        <w:rPr>
          <w:rFonts w:ascii="Microsoft JhengHei" w:eastAsia="Microsoft JhengHei" w:hint="eastAsia"/>
        </w:rPr>
      </w:pPr>
      <w:r>
        <w:rPr/>
        <w:t>6.</w:t>
      </w:r>
      <w:r>
        <w:rPr>
          <w:rFonts w:ascii="Microsoft JhengHei" w:eastAsia="Microsoft JhengHei" w:hint="eastAsia"/>
        </w:rPr>
        <w:t>其他需要关注的事项</w:t>
      </w:r>
    </w:p>
    <w:p>
      <w:pPr>
        <w:pStyle w:val="ListParagraph"/>
        <w:numPr>
          <w:ilvl w:val="1"/>
          <w:numId w:val="6"/>
        </w:numPr>
        <w:tabs>
          <w:tab w:pos="1067" w:val="left" w:leader="none"/>
        </w:tabs>
        <w:spacing w:line="240" w:lineRule="auto" w:before="116" w:after="0"/>
        <w:ind w:left="1066" w:right="0" w:hanging="420"/>
        <w:jc w:val="left"/>
        <w:rPr>
          <w:sz w:val="21"/>
        </w:rPr>
      </w:pPr>
      <w:r>
        <w:rPr>
          <w:sz w:val="21"/>
        </w:rPr>
        <w:t>效力终止</w:t>
      </w:r>
    </w:p>
    <w:p>
      <w:pPr>
        <w:pStyle w:val="ListParagraph"/>
        <w:numPr>
          <w:ilvl w:val="1"/>
          <w:numId w:val="6"/>
        </w:numPr>
        <w:tabs>
          <w:tab w:pos="1092" w:val="left" w:leader="none"/>
        </w:tabs>
        <w:spacing w:line="280" w:lineRule="auto" w:before="45" w:after="0"/>
        <w:ind w:left="1066" w:right="0" w:hanging="420"/>
        <w:jc w:val="left"/>
        <w:rPr>
          <w:sz w:val="21"/>
        </w:rPr>
      </w:pPr>
      <w:r>
        <w:rPr>
          <w:spacing w:val="23"/>
          <w:sz w:val="21"/>
        </w:rPr>
        <w:t>适用所附于合同</w:t>
      </w:r>
      <w:r>
        <w:rPr>
          <w:sz w:val="21"/>
        </w:rPr>
        <w:t>条款</w:t>
      </w:r>
    </w:p>
    <w:p>
      <w:pPr>
        <w:pStyle w:val="Heading5"/>
        <w:spacing w:line="360" w:lineRule="exact"/>
        <w:ind w:left="436"/>
        <w:rPr>
          <w:rFonts w:ascii="Microsoft JhengHei" w:eastAsia="Microsoft JhengHei" w:hint="eastAsia"/>
        </w:rPr>
      </w:pPr>
      <w:r>
        <w:rPr/>
        <w:t>7.</w:t>
      </w:r>
      <w:r>
        <w:rPr>
          <w:rFonts w:ascii="Microsoft JhengHei" w:eastAsia="Microsoft JhengHei" w:hint="eastAsia"/>
        </w:rPr>
        <w:t>释义</w:t>
      </w:r>
    </w:p>
    <w:p>
      <w:pPr>
        <w:pStyle w:val="ListParagraph"/>
        <w:numPr>
          <w:ilvl w:val="1"/>
          <w:numId w:val="7"/>
        </w:numPr>
        <w:tabs>
          <w:tab w:pos="1067" w:val="left" w:leader="none"/>
        </w:tabs>
        <w:spacing w:line="240" w:lineRule="auto" w:before="116" w:after="0"/>
        <w:ind w:left="915" w:right="0" w:hanging="269"/>
        <w:jc w:val="left"/>
        <w:rPr>
          <w:sz w:val="21"/>
        </w:rPr>
      </w:pPr>
      <w:r>
        <w:rPr>
          <w:sz w:val="21"/>
        </w:rPr>
        <w:t>保单年度</w:t>
      </w:r>
    </w:p>
    <w:p>
      <w:pPr>
        <w:pStyle w:val="ListParagraph"/>
        <w:numPr>
          <w:ilvl w:val="1"/>
          <w:numId w:val="7"/>
        </w:numPr>
        <w:tabs>
          <w:tab w:pos="1067" w:val="left" w:leader="none"/>
        </w:tabs>
        <w:spacing w:line="240" w:lineRule="auto" w:before="45" w:after="0"/>
        <w:ind w:left="915" w:right="0" w:hanging="269"/>
        <w:jc w:val="left"/>
        <w:rPr>
          <w:sz w:val="21"/>
        </w:rPr>
      </w:pPr>
      <w:r>
        <w:rPr>
          <w:sz w:val="21"/>
        </w:rPr>
        <w:t>有效身份证件</w:t>
      </w:r>
    </w:p>
    <w:p>
      <w:pPr>
        <w:pStyle w:val="ListParagraph"/>
        <w:numPr>
          <w:ilvl w:val="1"/>
          <w:numId w:val="7"/>
        </w:numPr>
        <w:tabs>
          <w:tab w:pos="1067" w:val="left" w:leader="none"/>
        </w:tabs>
        <w:spacing w:line="240" w:lineRule="auto" w:before="45" w:after="0"/>
        <w:ind w:left="915" w:right="0" w:hanging="269"/>
        <w:jc w:val="left"/>
        <w:rPr>
          <w:sz w:val="21"/>
        </w:rPr>
      </w:pPr>
      <w:r>
        <w:rPr>
          <w:sz w:val="21"/>
        </w:rPr>
        <w:t>意外伤害事故</w:t>
      </w:r>
    </w:p>
    <w:p>
      <w:pPr>
        <w:pStyle w:val="ListParagraph"/>
        <w:numPr>
          <w:ilvl w:val="1"/>
          <w:numId w:val="7"/>
        </w:numPr>
        <w:tabs>
          <w:tab w:pos="1067" w:val="left" w:leader="none"/>
        </w:tabs>
        <w:spacing w:line="240" w:lineRule="auto" w:before="44" w:after="0"/>
        <w:ind w:left="915" w:right="0" w:hanging="269"/>
        <w:jc w:val="left"/>
        <w:rPr>
          <w:sz w:val="21"/>
        </w:rPr>
      </w:pPr>
      <w:r>
        <w:rPr>
          <w:sz w:val="21"/>
        </w:rPr>
        <w:t>少儿重大疾病</w:t>
      </w:r>
    </w:p>
    <w:p>
      <w:pPr>
        <w:pStyle w:val="ListParagraph"/>
        <w:numPr>
          <w:ilvl w:val="1"/>
          <w:numId w:val="7"/>
        </w:numPr>
        <w:tabs>
          <w:tab w:pos="1067" w:val="left" w:leader="none"/>
        </w:tabs>
        <w:spacing w:line="240" w:lineRule="auto" w:before="45" w:after="0"/>
        <w:ind w:left="915" w:right="0" w:hanging="269"/>
        <w:jc w:val="left"/>
        <w:rPr>
          <w:sz w:val="21"/>
        </w:rPr>
      </w:pPr>
      <w:r>
        <w:rPr>
          <w:sz w:val="21"/>
        </w:rPr>
        <w:t>成人重大疾病</w:t>
      </w:r>
    </w:p>
    <w:p>
      <w:pPr>
        <w:pStyle w:val="ListParagraph"/>
        <w:numPr>
          <w:ilvl w:val="1"/>
          <w:numId w:val="7"/>
        </w:numPr>
        <w:tabs>
          <w:tab w:pos="1067" w:val="left" w:leader="none"/>
        </w:tabs>
        <w:spacing w:line="240" w:lineRule="auto" w:before="45" w:after="0"/>
        <w:ind w:left="915" w:right="0" w:hanging="269"/>
        <w:jc w:val="left"/>
        <w:rPr>
          <w:sz w:val="21"/>
        </w:rPr>
      </w:pPr>
      <w:r>
        <w:rPr>
          <w:sz w:val="21"/>
        </w:rPr>
        <w:t>周岁</w:t>
      </w:r>
    </w:p>
    <w:p>
      <w:pPr>
        <w:pStyle w:val="ListParagraph"/>
        <w:numPr>
          <w:ilvl w:val="1"/>
          <w:numId w:val="7"/>
        </w:numPr>
        <w:tabs>
          <w:tab w:pos="1067" w:val="left" w:leader="none"/>
        </w:tabs>
        <w:spacing w:line="240" w:lineRule="auto" w:before="44" w:after="0"/>
        <w:ind w:left="915" w:right="0" w:hanging="269"/>
        <w:jc w:val="left"/>
        <w:rPr>
          <w:sz w:val="21"/>
        </w:rPr>
      </w:pPr>
      <w:r>
        <w:rPr>
          <w:sz w:val="21"/>
        </w:rPr>
        <w:t>初次发生</w:t>
      </w:r>
    </w:p>
    <w:p>
      <w:pPr>
        <w:pStyle w:val="ListParagraph"/>
        <w:numPr>
          <w:ilvl w:val="1"/>
          <w:numId w:val="7"/>
        </w:numPr>
        <w:tabs>
          <w:tab w:pos="1067" w:val="left" w:leader="none"/>
        </w:tabs>
        <w:spacing w:line="240" w:lineRule="auto" w:before="45" w:after="0"/>
        <w:ind w:left="915" w:right="0" w:hanging="269"/>
        <w:jc w:val="left"/>
        <w:rPr>
          <w:sz w:val="21"/>
        </w:rPr>
      </w:pPr>
      <w:r>
        <w:rPr>
          <w:sz w:val="21"/>
        </w:rPr>
        <w:t>医院</w:t>
      </w:r>
    </w:p>
    <w:p>
      <w:pPr>
        <w:pStyle w:val="ListParagraph"/>
        <w:numPr>
          <w:ilvl w:val="1"/>
          <w:numId w:val="7"/>
        </w:numPr>
        <w:tabs>
          <w:tab w:pos="913" w:val="left" w:leader="none"/>
          <w:tab w:pos="914" w:val="left" w:leader="none"/>
        </w:tabs>
        <w:spacing w:line="240" w:lineRule="auto" w:before="70" w:after="0"/>
        <w:ind w:left="913" w:right="0" w:hanging="524"/>
        <w:jc w:val="left"/>
        <w:rPr>
          <w:sz w:val="21"/>
        </w:rPr>
      </w:pPr>
      <w:r>
        <w:rPr>
          <w:sz w:val="21"/>
        </w:rPr>
        <w:br w:type="column"/>
        <w:t>专科医生</w:t>
      </w:r>
    </w:p>
    <w:p>
      <w:pPr>
        <w:pStyle w:val="ListParagraph"/>
        <w:numPr>
          <w:ilvl w:val="1"/>
          <w:numId w:val="7"/>
        </w:numPr>
        <w:tabs>
          <w:tab w:pos="914" w:val="left" w:leader="none"/>
        </w:tabs>
        <w:spacing w:line="240" w:lineRule="auto" w:before="45" w:after="0"/>
        <w:ind w:left="913" w:right="0" w:hanging="524"/>
        <w:jc w:val="left"/>
        <w:rPr>
          <w:sz w:val="21"/>
        </w:rPr>
      </w:pPr>
      <w:r>
        <w:rPr>
          <w:sz w:val="21"/>
        </w:rPr>
        <w:t>现金价值</w:t>
      </w:r>
    </w:p>
    <w:p>
      <w:pPr>
        <w:pStyle w:val="ListParagraph"/>
        <w:numPr>
          <w:ilvl w:val="1"/>
          <w:numId w:val="7"/>
        </w:numPr>
        <w:tabs>
          <w:tab w:pos="914" w:val="left" w:leader="none"/>
        </w:tabs>
        <w:spacing w:line="240" w:lineRule="auto" w:before="44" w:after="0"/>
        <w:ind w:left="913" w:right="0" w:hanging="524"/>
        <w:jc w:val="left"/>
        <w:rPr>
          <w:sz w:val="21"/>
        </w:rPr>
      </w:pPr>
      <w:r>
        <w:rPr>
          <w:sz w:val="21"/>
        </w:rPr>
        <w:t>毒品</w:t>
      </w:r>
    </w:p>
    <w:p>
      <w:pPr>
        <w:pStyle w:val="ListParagraph"/>
        <w:numPr>
          <w:ilvl w:val="1"/>
          <w:numId w:val="7"/>
        </w:numPr>
        <w:tabs>
          <w:tab w:pos="914" w:val="left" w:leader="none"/>
        </w:tabs>
        <w:spacing w:line="240" w:lineRule="auto" w:before="45" w:after="0"/>
        <w:ind w:left="913" w:right="0" w:hanging="524"/>
        <w:jc w:val="left"/>
        <w:rPr>
          <w:sz w:val="21"/>
        </w:rPr>
      </w:pPr>
      <w:r>
        <w:rPr>
          <w:sz w:val="21"/>
        </w:rPr>
        <w:t>酒后驾驶</w:t>
      </w:r>
    </w:p>
    <w:p>
      <w:pPr>
        <w:pStyle w:val="ListParagraph"/>
        <w:numPr>
          <w:ilvl w:val="1"/>
          <w:numId w:val="7"/>
        </w:numPr>
        <w:tabs>
          <w:tab w:pos="918" w:val="left" w:leader="none"/>
        </w:tabs>
        <w:spacing w:line="278" w:lineRule="auto" w:before="45" w:after="0"/>
        <w:ind w:left="915" w:right="1392" w:hanging="526"/>
        <w:jc w:val="left"/>
        <w:rPr>
          <w:sz w:val="21"/>
        </w:rPr>
      </w:pPr>
      <w:r>
        <w:rPr>
          <w:sz w:val="21"/>
        </w:rPr>
        <w:t>无合法有效驾驶证驾驶</w:t>
      </w:r>
    </w:p>
    <w:p>
      <w:pPr>
        <w:pStyle w:val="ListParagraph"/>
        <w:numPr>
          <w:ilvl w:val="1"/>
          <w:numId w:val="7"/>
        </w:numPr>
        <w:tabs>
          <w:tab w:pos="914" w:val="left" w:leader="none"/>
        </w:tabs>
        <w:spacing w:line="240" w:lineRule="auto" w:before="11" w:after="0"/>
        <w:ind w:left="913" w:right="0" w:hanging="524"/>
        <w:jc w:val="left"/>
        <w:rPr>
          <w:sz w:val="21"/>
        </w:rPr>
      </w:pPr>
      <w:r>
        <w:rPr>
          <w:sz w:val="21"/>
        </w:rPr>
        <w:t>无有效行驶证</w:t>
      </w:r>
    </w:p>
    <w:p>
      <w:pPr>
        <w:pStyle w:val="ListParagraph"/>
        <w:numPr>
          <w:ilvl w:val="1"/>
          <w:numId w:val="7"/>
        </w:numPr>
        <w:tabs>
          <w:tab w:pos="918" w:val="left" w:leader="none"/>
        </w:tabs>
        <w:spacing w:line="278" w:lineRule="auto" w:before="45" w:after="0"/>
        <w:ind w:left="915" w:right="1392" w:hanging="526"/>
        <w:jc w:val="left"/>
        <w:rPr>
          <w:sz w:val="21"/>
        </w:rPr>
      </w:pPr>
      <w:r>
        <w:rPr>
          <w:sz w:val="21"/>
        </w:rPr>
        <w:t>感染艾滋病病毒或患艾滋病</w:t>
      </w:r>
    </w:p>
    <w:p>
      <w:pPr>
        <w:pStyle w:val="ListParagraph"/>
        <w:numPr>
          <w:ilvl w:val="1"/>
          <w:numId w:val="7"/>
        </w:numPr>
        <w:tabs>
          <w:tab w:pos="914" w:val="left" w:leader="none"/>
        </w:tabs>
        <w:spacing w:line="240" w:lineRule="auto" w:before="12" w:after="0"/>
        <w:ind w:left="913" w:right="0" w:hanging="524"/>
        <w:jc w:val="left"/>
        <w:rPr>
          <w:sz w:val="21"/>
        </w:rPr>
      </w:pPr>
      <w:r>
        <w:rPr>
          <w:sz w:val="21"/>
        </w:rPr>
        <w:t>遗传性疾病</w:t>
      </w:r>
    </w:p>
    <w:p>
      <w:pPr>
        <w:pStyle w:val="ListParagraph"/>
        <w:numPr>
          <w:ilvl w:val="1"/>
          <w:numId w:val="7"/>
        </w:numPr>
        <w:tabs>
          <w:tab w:pos="918" w:val="left" w:leader="none"/>
        </w:tabs>
        <w:spacing w:line="278" w:lineRule="auto" w:before="45" w:after="0"/>
        <w:ind w:left="915" w:right="1392" w:hanging="526"/>
        <w:jc w:val="left"/>
        <w:rPr>
          <w:sz w:val="21"/>
        </w:rPr>
      </w:pPr>
      <w:r>
        <w:rPr>
          <w:sz w:val="21"/>
        </w:rPr>
        <w:t>先天性畸形、变形或染色体异常</w:t>
      </w:r>
    </w:p>
    <w:p>
      <w:pPr>
        <w:spacing w:after="0" w:line="278" w:lineRule="auto"/>
        <w:jc w:val="left"/>
        <w:rPr>
          <w:sz w:val="21"/>
        </w:rPr>
        <w:sectPr>
          <w:type w:val="continuous"/>
          <w:pgSz w:w="11910" w:h="16840"/>
          <w:pgMar w:top="600" w:bottom="280" w:left="740" w:right="920"/>
          <w:cols w:num="3" w:equalWidth="0">
            <w:col w:w="3621" w:space="40"/>
            <w:col w:w="2737" w:space="39"/>
            <w:col w:w="3813"/>
          </w:cols>
        </w:sectPr>
      </w:pPr>
    </w:p>
    <w:p>
      <w:pPr>
        <w:pStyle w:val="BodyText"/>
        <w:spacing w:before="0"/>
        <w:ind w:left="221"/>
        <w:rPr>
          <w:sz w:val="20"/>
        </w:rPr>
      </w:pPr>
      <w:r>
        <w:rPr>
          <w:sz w:val="20"/>
        </w:rPr>
        <w:drawing>
          <wp:inline distT="0" distB="0" distL="0" distR="0">
            <wp:extent cx="6268435"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68435" cy="859535"/>
                    </a:xfrm>
                    <a:prstGeom prst="rect">
                      <a:avLst/>
                    </a:prstGeom>
                  </pic:spPr>
                </pic:pic>
              </a:graphicData>
            </a:graphic>
          </wp:inline>
        </w:drawing>
      </w:r>
      <w:r>
        <w:rPr>
          <w:sz w:val="20"/>
        </w:rPr>
      </w:r>
    </w:p>
    <w:p>
      <w:pPr>
        <w:pStyle w:val="BodyText"/>
        <w:spacing w:before="0"/>
        <w:rPr>
          <w:sz w:val="20"/>
        </w:rPr>
      </w:pPr>
    </w:p>
    <w:p>
      <w:pPr>
        <w:pStyle w:val="Heading1"/>
        <w:ind w:firstLine="0"/>
      </w:pPr>
      <w:r>
        <w:rPr/>
        <w:t>国华附加教育金提前给付重大疾病保险条款</w:t>
      </w:r>
    </w:p>
    <w:p>
      <w:pPr>
        <w:pStyle w:val="BodyText"/>
        <w:spacing w:before="0"/>
        <w:rPr>
          <w:rFonts w:ascii="微软雅黑"/>
          <w:b/>
          <w:sz w:val="42"/>
        </w:rPr>
      </w:pPr>
    </w:p>
    <w:p>
      <w:pPr>
        <w:pStyle w:val="BodyText"/>
        <w:spacing w:before="1"/>
        <w:ind w:left="221"/>
      </w:pPr>
      <w:r>
        <w:rPr/>
        <w:t>在本条款中，“您”指投保人，“我们”、“本公司”均指国华人寿保险股份有限公司。</w:t>
      </w:r>
    </w:p>
    <w:p>
      <w:pPr>
        <w:pStyle w:val="BodyText"/>
        <w:spacing w:before="0"/>
        <w:rPr>
          <w:sz w:val="20"/>
        </w:rPr>
      </w:pPr>
    </w:p>
    <w:p>
      <w:pPr>
        <w:tabs>
          <w:tab w:pos="876" w:val="left" w:leader="none"/>
        </w:tabs>
        <w:spacing w:before="164"/>
        <w:ind w:left="221" w:right="0" w:firstLine="0"/>
        <w:jc w:val="left"/>
        <w:rPr>
          <w:b/>
          <w:sz w:val="24"/>
        </w:rPr>
      </w:pPr>
      <w:r>
        <w:rPr/>
        <w:pict>
          <v:group style="position:absolute;margin-left:45.66pt;margin-top:36.300163pt;width:504pt;height:1pt;mso-position-horizontal-relative:page;mso-position-vertical-relative:paragraph;z-index:1072;mso-wrap-distance-left:0;mso-wrap-distance-right:0" coordorigin="913,726" coordsize="10080,20">
            <v:line style="position:absolute" from="913,736" to="3568,736" stroked="true" strokeweight=".96002pt" strokecolor="#000000">
              <v:stroke dashstyle="solid"/>
            </v:line>
            <v:line style="position:absolute" from="3568,736" to="10993,736"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8"/>
        </w:numPr>
        <w:tabs>
          <w:tab w:pos="876" w:val="left" w:leader="none"/>
          <w:tab w:pos="877" w:val="left" w:leader="none"/>
          <w:tab w:pos="2856" w:val="left" w:leader="none"/>
        </w:tabs>
        <w:spacing w:line="240" w:lineRule="auto" w:before="35" w:after="0"/>
        <w:ind w:left="876" w:right="0" w:hanging="655"/>
        <w:jc w:val="left"/>
        <w:rPr>
          <w:sz w:val="21"/>
        </w:rPr>
      </w:pPr>
      <w:r>
        <w:rPr>
          <w:b/>
          <w:w w:val="99"/>
          <w:sz w:val="21"/>
        </w:rPr>
        <w:t>保险合同构成</w:t>
      </w:r>
      <w:r>
        <w:rPr>
          <w:b/>
          <w:sz w:val="21"/>
        </w:rPr>
        <w:tab/>
      </w:r>
      <w:r>
        <w:rPr>
          <w:sz w:val="21"/>
        </w:rPr>
        <w:t>本附加保险合</w:t>
      </w:r>
      <w:r>
        <w:rPr>
          <w:spacing w:val="-5"/>
          <w:sz w:val="21"/>
        </w:rPr>
        <w:t>同</w:t>
      </w:r>
      <w:r>
        <w:rPr>
          <w:sz w:val="21"/>
        </w:rPr>
        <w:t>（以下简</w:t>
      </w:r>
      <w:r>
        <w:rPr>
          <w:spacing w:val="-5"/>
          <w:sz w:val="21"/>
        </w:rPr>
        <w:t>称</w:t>
      </w:r>
      <w:r>
        <w:rPr>
          <w:sz w:val="21"/>
        </w:rPr>
        <w:t>“本附加合同</w:t>
      </w:r>
      <w:r>
        <w:rPr>
          <w:spacing w:val="-105"/>
          <w:sz w:val="21"/>
        </w:rPr>
        <w:t>”</w:t>
      </w:r>
      <w:r>
        <w:rPr>
          <w:spacing w:val="-5"/>
          <w:sz w:val="21"/>
        </w:rPr>
        <w:t>）</w:t>
      </w:r>
      <w:r>
        <w:rPr>
          <w:spacing w:val="-2"/>
          <w:sz w:val="21"/>
        </w:rPr>
        <w:t>须</w:t>
      </w:r>
      <w:r>
        <w:rPr>
          <w:sz w:val="21"/>
        </w:rPr>
        <w:t>附加于国华附加教育金两全保险</w:t>
      </w:r>
    </w:p>
    <w:p>
      <w:pPr>
        <w:pStyle w:val="BodyText"/>
        <w:spacing w:line="273" w:lineRule="auto" w:before="36"/>
        <w:ind w:left="2856" w:right="110"/>
      </w:pPr>
      <w:r>
        <w:rPr/>
        <w:t>（分红型</w:t>
      </w:r>
      <w:r>
        <w:rPr>
          <w:spacing w:val="-4"/>
        </w:rPr>
        <w:t>）</w:t>
      </w:r>
      <w:r>
        <w:rPr>
          <w:spacing w:val="-3"/>
        </w:rPr>
        <w:t>上。国华附加教育金两全保险</w:t>
      </w:r>
      <w:r>
        <w:rPr/>
        <w:t>（分红型</w:t>
      </w:r>
      <w:r>
        <w:rPr>
          <w:spacing w:val="-4"/>
        </w:rPr>
        <w:t>）</w:t>
      </w:r>
      <w:r>
        <w:rPr/>
        <w:t>合同及其主合同所附条款、投保单及与本附加合同有关的其他投保文件、合法有效的声明、批注、批单和其他书面协议，凡与本附加合同相关者，均为本附加合同的构成部分。</w:t>
      </w:r>
    </w:p>
    <w:p>
      <w:pPr>
        <w:pStyle w:val="BodyText"/>
        <w:spacing w:before="9"/>
      </w:pPr>
    </w:p>
    <w:p>
      <w:pPr>
        <w:spacing w:after="0"/>
        <w:sectPr>
          <w:pgSz w:w="11910" w:h="16840"/>
          <w:pgMar w:top="1240" w:bottom="280" w:left="800" w:right="800"/>
        </w:sectPr>
      </w:pPr>
    </w:p>
    <w:p>
      <w:pPr>
        <w:pStyle w:val="Heading5"/>
        <w:numPr>
          <w:ilvl w:val="1"/>
          <w:numId w:val="8"/>
        </w:numPr>
        <w:tabs>
          <w:tab w:pos="876" w:val="left" w:leader="none"/>
          <w:tab w:pos="877" w:val="left" w:leader="none"/>
        </w:tabs>
        <w:spacing w:line="273" w:lineRule="auto" w:before="35" w:after="0"/>
        <w:ind w:left="876" w:right="0" w:hanging="655"/>
        <w:jc w:val="left"/>
      </w:pPr>
      <w:r>
        <w:rPr/>
        <w:t>保险合同成立与生效</w:t>
      </w:r>
    </w:p>
    <w:p>
      <w:pPr>
        <w:pStyle w:val="BodyText"/>
        <w:spacing w:before="35"/>
        <w:ind w:left="221"/>
      </w:pPr>
      <w:r>
        <w:rPr/>
        <w:br w:type="column"/>
      </w:r>
      <w:r>
        <w:rPr/>
        <w:t>本附加合同的生效日与国华附加教育金两全保险（分红型）合同相同。</w:t>
      </w:r>
    </w:p>
    <w:p>
      <w:pPr>
        <w:pStyle w:val="BodyText"/>
        <w:spacing w:before="8"/>
        <w:rPr>
          <w:sz w:val="26"/>
        </w:rPr>
      </w:pPr>
    </w:p>
    <w:p>
      <w:pPr>
        <w:pStyle w:val="BodyText"/>
        <w:spacing w:line="273" w:lineRule="auto" w:before="0"/>
        <w:ind w:left="221" w:right="112"/>
      </w:pPr>
      <w:r>
        <w:rPr>
          <w:spacing w:val="-5"/>
        </w:rPr>
        <w:t>本附加合同生效日以后每年对应的保单周年日、</w:t>
      </w:r>
      <w:r>
        <w:rPr>
          <w:b/>
        </w:rPr>
        <w:t>保单年度</w:t>
      </w:r>
      <w:r>
        <w:rPr>
          <w:spacing w:val="-19"/>
        </w:rPr>
        <w:t>(见 </w:t>
      </w:r>
      <w:r>
        <w:rPr/>
        <w:t>7.1)</w:t>
      </w:r>
      <w:r>
        <w:rPr>
          <w:spacing w:val="-14"/>
        </w:rPr>
        <w:t>、保单周月日、保险费约定支付日和保单满期日均以该日期计算。如当月无对应同一日，则以该月最后一日作为对应日。</w:t>
      </w:r>
    </w:p>
    <w:p>
      <w:pPr>
        <w:spacing w:after="0" w:line="273" w:lineRule="auto"/>
        <w:sectPr>
          <w:type w:val="continuous"/>
          <w:pgSz w:w="11910" w:h="16840"/>
          <w:pgMar w:top="600" w:bottom="280" w:left="800" w:right="800"/>
          <w:cols w:num="2" w:equalWidth="0">
            <w:col w:w="2564" w:space="71"/>
            <w:col w:w="7675"/>
          </w:cols>
        </w:sectPr>
      </w:pPr>
    </w:p>
    <w:p>
      <w:pPr>
        <w:pStyle w:val="BodyText"/>
        <w:spacing w:before="9"/>
      </w:pPr>
    </w:p>
    <w:p>
      <w:pPr>
        <w:pStyle w:val="ListParagraph"/>
        <w:numPr>
          <w:ilvl w:val="1"/>
          <w:numId w:val="8"/>
        </w:numPr>
        <w:tabs>
          <w:tab w:pos="877" w:val="left" w:leader="none"/>
          <w:tab w:pos="2856" w:val="left" w:leader="none"/>
        </w:tabs>
        <w:spacing w:line="273" w:lineRule="auto" w:before="35" w:after="0"/>
        <w:ind w:left="2856" w:right="217" w:hanging="2635"/>
        <w:jc w:val="both"/>
        <w:rPr>
          <w:sz w:val="21"/>
        </w:rPr>
      </w:pPr>
      <w:r>
        <w:rPr>
          <w:b/>
          <w:sz w:val="21"/>
        </w:rPr>
        <w:t>犹豫期</w:t>
        <w:tab/>
      </w:r>
      <w:r>
        <w:rPr>
          <w:sz w:val="21"/>
        </w:rPr>
        <w:t>自您签收本附加合同之日起</w:t>
      </w:r>
      <w:r>
        <w:rPr>
          <w:spacing w:val="-9"/>
          <w:sz w:val="21"/>
        </w:rPr>
        <w:t>，</w:t>
      </w:r>
      <w:r>
        <w:rPr>
          <w:sz w:val="21"/>
        </w:rPr>
        <w:t>有</w:t>
      </w:r>
      <w:r>
        <w:rPr>
          <w:spacing w:val="-53"/>
          <w:sz w:val="21"/>
        </w:rPr>
        <w:t> </w:t>
      </w:r>
      <w:r>
        <w:rPr>
          <w:sz w:val="21"/>
        </w:rPr>
        <w:t>10</w:t>
      </w:r>
      <w:r>
        <w:rPr>
          <w:spacing w:val="-53"/>
          <w:sz w:val="21"/>
        </w:rPr>
        <w:t> </w:t>
      </w:r>
      <w:r>
        <w:rPr>
          <w:sz w:val="21"/>
        </w:rPr>
        <w:t>日的犹豫期</w:t>
      </w:r>
      <w:r>
        <w:rPr>
          <w:spacing w:val="-9"/>
          <w:sz w:val="21"/>
        </w:rPr>
        <w:t>。</w:t>
      </w:r>
      <w:r>
        <w:rPr>
          <w:sz w:val="21"/>
        </w:rPr>
        <w:t>在此期间请您认真审视本附加合同，如果您认为本附加合同与您的需求不相符，您可以在此期间提出解除本附加合同，我们将无息退还您所支付的全部保险费。</w:t>
      </w:r>
    </w:p>
    <w:p>
      <w:pPr>
        <w:pStyle w:val="BodyText"/>
        <w:spacing w:before="5"/>
        <w:rPr>
          <w:sz w:val="24"/>
        </w:rPr>
      </w:pPr>
    </w:p>
    <w:p>
      <w:pPr>
        <w:pStyle w:val="BodyText"/>
        <w:spacing w:line="273" w:lineRule="auto" w:before="0"/>
        <w:ind w:left="2856" w:right="216"/>
        <w:jc w:val="both"/>
      </w:pPr>
      <w:r>
        <w:rPr/>
        <w:t>解除本附加合同时，您需要填写申请书，并提供您的保险合同及</w:t>
      </w:r>
      <w:r>
        <w:rPr>
          <w:b/>
        </w:rPr>
        <w:t>有效身份证件</w:t>
      </w:r>
      <w:r>
        <w:rPr>
          <w:spacing w:val="-19"/>
        </w:rPr>
        <w:t>(见 </w:t>
      </w:r>
      <w:r>
        <w:rPr/>
        <w:t>7.2)</w:t>
      </w:r>
      <w:r>
        <w:rPr>
          <w:spacing w:val="-7"/>
        </w:rPr>
        <w:t>。自我们收到您解除合同的书面申请时起，本附加合同即被解除，合同解除前发生的保险事故我们不承担保险责任。</w:t>
      </w:r>
    </w:p>
    <w:p>
      <w:pPr>
        <w:pStyle w:val="BodyText"/>
        <w:spacing w:before="0"/>
        <w:rPr>
          <w:sz w:val="20"/>
        </w:rPr>
      </w:pPr>
    </w:p>
    <w:p>
      <w:pPr>
        <w:tabs>
          <w:tab w:pos="876" w:val="left" w:leader="none"/>
        </w:tabs>
        <w:spacing w:before="134"/>
        <w:ind w:left="221" w:right="0" w:firstLine="0"/>
        <w:jc w:val="left"/>
        <w:rPr>
          <w:b/>
          <w:sz w:val="24"/>
        </w:rPr>
      </w:pPr>
      <w:r>
        <w:rPr/>
        <w:pict>
          <v:group style="position:absolute;margin-left:45.66pt;margin-top:34.800049pt;width:504pt;height:1pt;mso-position-horizontal-relative:page;mso-position-vertical-relative:paragraph;z-index:1096;mso-wrap-distance-left:0;mso-wrap-distance-right:0" coordorigin="913,696" coordsize="10080,20">
            <v:line style="position:absolute" from="913,706" to="3568,706" stroked="true" strokeweight=".96001pt" strokecolor="#000000">
              <v:stroke dashstyle="solid"/>
            </v:line>
            <v:line style="position:absolute" from="3568,706" to="10993,706"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9"/>
        </w:numPr>
        <w:tabs>
          <w:tab w:pos="876" w:val="left" w:leader="none"/>
          <w:tab w:pos="877" w:val="left" w:leader="none"/>
          <w:tab w:pos="2856" w:val="left" w:leader="none"/>
        </w:tabs>
        <w:spacing w:line="273" w:lineRule="auto" w:before="35" w:after="0"/>
        <w:ind w:left="2856" w:right="305" w:hanging="2635"/>
        <w:jc w:val="left"/>
        <w:rPr>
          <w:sz w:val="21"/>
        </w:rPr>
      </w:pPr>
      <w:r>
        <w:rPr>
          <w:b/>
          <w:sz w:val="21"/>
        </w:rPr>
        <w:t>投保条件</w:t>
        <w:tab/>
      </w:r>
      <w:r>
        <w:rPr>
          <w:sz w:val="21"/>
        </w:rPr>
        <w:t>国华附加教育金两全保险（分红型）合同的被保险人可作为本附加保险的被保险人。</w:t>
      </w:r>
    </w:p>
    <w:p>
      <w:pPr>
        <w:pStyle w:val="BodyText"/>
        <w:spacing w:before="5"/>
        <w:rPr>
          <w:sz w:val="24"/>
        </w:rPr>
      </w:pPr>
    </w:p>
    <w:p>
      <w:pPr>
        <w:pStyle w:val="ListParagraph"/>
        <w:numPr>
          <w:ilvl w:val="1"/>
          <w:numId w:val="9"/>
        </w:numPr>
        <w:tabs>
          <w:tab w:pos="875" w:val="left" w:leader="none"/>
          <w:tab w:pos="876" w:val="left" w:leader="none"/>
          <w:tab w:pos="2856" w:val="left" w:leader="none"/>
        </w:tabs>
        <w:spacing w:line="240" w:lineRule="auto" w:before="0" w:after="0"/>
        <w:ind w:left="875" w:right="0" w:hanging="654"/>
        <w:jc w:val="left"/>
        <w:rPr>
          <w:sz w:val="21"/>
        </w:rPr>
      </w:pPr>
      <w:r>
        <w:rPr>
          <w:b/>
          <w:sz w:val="21"/>
        </w:rPr>
        <w:t>保险责任</w:t>
        <w:tab/>
      </w:r>
      <w:r>
        <w:rPr>
          <w:sz w:val="21"/>
        </w:rPr>
        <w:t>在本附加合同有效期内，我们承担如下保险责任：</w:t>
      </w:r>
    </w:p>
    <w:p>
      <w:pPr>
        <w:pStyle w:val="BodyText"/>
        <w:spacing w:before="6"/>
        <w:rPr>
          <w:sz w:val="22"/>
        </w:rPr>
      </w:pPr>
    </w:p>
    <w:p>
      <w:pPr>
        <w:tabs>
          <w:tab w:pos="2856" w:val="left" w:leader="none"/>
        </w:tabs>
        <w:spacing w:line="223" w:lineRule="auto" w:before="0"/>
        <w:ind w:left="2856" w:right="217" w:hanging="1980"/>
        <w:jc w:val="left"/>
        <w:rPr>
          <w:b/>
          <w:sz w:val="21"/>
        </w:rPr>
      </w:pPr>
      <w:r>
        <w:rPr>
          <w:rFonts w:ascii="Microsoft JhengHei" w:eastAsia="Microsoft JhengHei" w:hint="eastAsia"/>
          <w:b/>
          <w:position w:val="-2"/>
          <w:sz w:val="24"/>
        </w:rPr>
        <w:t>等待期</w:t>
        <w:tab/>
      </w:r>
      <w:r>
        <w:rPr>
          <w:sz w:val="21"/>
        </w:rPr>
        <w:t>在本附加合同生效或最后复效日(以较迟者为准)起</w:t>
      </w:r>
      <w:r>
        <w:rPr>
          <w:spacing w:val="-55"/>
          <w:sz w:val="21"/>
        </w:rPr>
        <w:t> </w:t>
      </w:r>
      <w:r>
        <w:rPr>
          <w:sz w:val="21"/>
        </w:rPr>
        <w:t>90</w:t>
      </w:r>
      <w:r>
        <w:rPr>
          <w:spacing w:val="-54"/>
          <w:sz w:val="21"/>
        </w:rPr>
        <w:t> </w:t>
      </w:r>
      <w:r>
        <w:rPr>
          <w:sz w:val="21"/>
        </w:rPr>
        <w:t>日内</w:t>
      </w:r>
      <w:r>
        <w:rPr>
          <w:spacing w:val="-20"/>
          <w:sz w:val="21"/>
        </w:rPr>
        <w:t>，</w:t>
      </w:r>
      <w:r>
        <w:rPr>
          <w:sz w:val="21"/>
        </w:rPr>
        <w:t>被保险人因</w:t>
      </w:r>
      <w:r>
        <w:rPr>
          <w:b/>
          <w:sz w:val="21"/>
        </w:rPr>
        <w:t>意外伤害事</w:t>
      </w:r>
      <w:r>
        <w:rPr>
          <w:b/>
          <w:spacing w:val="-5"/>
          <w:sz w:val="21"/>
        </w:rPr>
        <w:t>故</w:t>
      </w:r>
      <w:r>
        <w:rPr>
          <w:sz w:val="21"/>
        </w:rPr>
        <w:t>（见</w:t>
      </w:r>
      <w:r>
        <w:rPr>
          <w:spacing w:val="-60"/>
          <w:sz w:val="21"/>
        </w:rPr>
        <w:t> </w:t>
      </w:r>
      <w:r>
        <w:rPr>
          <w:sz w:val="21"/>
        </w:rPr>
        <w:t>7.3）以外的原因患本附加合同约定的</w:t>
      </w:r>
      <w:r>
        <w:rPr>
          <w:b/>
          <w:sz w:val="21"/>
        </w:rPr>
        <w:t>少儿重大疾</w:t>
      </w:r>
      <w:r>
        <w:rPr>
          <w:b/>
          <w:spacing w:val="-5"/>
          <w:sz w:val="21"/>
        </w:rPr>
        <w:t>病</w:t>
      </w:r>
      <w:r>
        <w:rPr>
          <w:sz w:val="21"/>
        </w:rPr>
        <w:t>（见</w:t>
      </w:r>
      <w:r>
        <w:rPr>
          <w:spacing w:val="-59"/>
          <w:sz w:val="21"/>
        </w:rPr>
        <w:t> </w:t>
      </w:r>
      <w:r>
        <w:rPr>
          <w:spacing w:val="-3"/>
          <w:sz w:val="21"/>
        </w:rPr>
        <w:t>7.4）</w:t>
      </w:r>
      <w:r>
        <w:rPr>
          <w:sz w:val="21"/>
        </w:rPr>
        <w:t>或</w:t>
      </w:r>
      <w:r>
        <w:rPr>
          <w:b/>
          <w:sz w:val="21"/>
        </w:rPr>
        <w:t>成</w:t>
      </w:r>
    </w:p>
    <w:p>
      <w:pPr>
        <w:pStyle w:val="BodyText"/>
        <w:spacing w:line="273" w:lineRule="auto" w:before="36"/>
        <w:ind w:left="2856" w:right="250"/>
      </w:pPr>
      <w:r>
        <w:rPr>
          <w:b/>
          <w:w w:val="99"/>
        </w:rPr>
        <w:t>人重大疾病</w:t>
      </w:r>
      <w:r>
        <w:rPr/>
        <w:t>（</w:t>
      </w:r>
      <w:r>
        <w:rPr>
          <w:spacing w:val="-27"/>
        </w:rPr>
        <w:t>见 </w:t>
      </w:r>
      <w:r>
        <w:rPr/>
        <w:t>7.5）</w:t>
      </w:r>
      <w:r>
        <w:rPr>
          <w:spacing w:val="-2"/>
        </w:rPr>
        <w:t>的</w:t>
      </w:r>
      <w:r>
        <w:rPr/>
        <w:t>（无论一种或多种</w:t>
      </w:r>
      <w:r>
        <w:rPr>
          <w:spacing w:val="-105"/>
        </w:rPr>
        <w:t>）</w:t>
      </w:r>
      <w:r>
        <w:rPr>
          <w:spacing w:val="-1"/>
        </w:rPr>
        <w:t>，我们不承担保险责任，本附加合</w:t>
      </w:r>
      <w:r>
        <w:rPr>
          <w:spacing w:val="-11"/>
        </w:rPr>
        <w:t>同终止。这 </w:t>
      </w:r>
      <w:r>
        <w:rPr/>
        <w:t>90</w:t>
      </w:r>
      <w:r>
        <w:rPr>
          <w:spacing w:val="-8"/>
        </w:rPr>
        <w:t> 日的时间称为等待期。</w:t>
      </w:r>
    </w:p>
    <w:p>
      <w:pPr>
        <w:spacing w:after="0" w:line="273" w:lineRule="auto"/>
        <w:sectPr>
          <w:type w:val="continuous"/>
          <w:pgSz w:w="11910" w:h="16840"/>
          <w:pgMar w:top="600" w:bottom="280" w:left="800" w:right="800"/>
        </w:sectPr>
      </w:pPr>
    </w:p>
    <w:p>
      <w:pPr>
        <w:pStyle w:val="BodyText"/>
        <w:spacing w:before="19"/>
        <w:ind w:left="2856"/>
      </w:pPr>
      <w:r>
        <w:rPr/>
        <w:t>因意外伤害事故患上述疾病的无等待期。</w:t>
      </w:r>
    </w:p>
    <w:p>
      <w:pPr>
        <w:pStyle w:val="BodyText"/>
        <w:spacing w:before="8"/>
        <w:rPr>
          <w:sz w:val="26"/>
        </w:rPr>
      </w:pPr>
    </w:p>
    <w:p>
      <w:pPr>
        <w:pStyle w:val="BodyText"/>
        <w:spacing w:line="273" w:lineRule="auto" w:before="1"/>
        <w:ind w:left="2856" w:right="307"/>
        <w:jc w:val="both"/>
      </w:pPr>
      <w:r>
        <w:rPr/>
        <w:t>如被保险人在等待期后发生本附加合同所约定的保险事故，我们按照下列方式给付保险金：</w:t>
      </w:r>
    </w:p>
    <w:p>
      <w:pPr>
        <w:pStyle w:val="BodyText"/>
        <w:spacing w:before="8"/>
        <w:rPr>
          <w:sz w:val="16"/>
        </w:rPr>
      </w:pPr>
    </w:p>
    <w:p>
      <w:pPr>
        <w:pStyle w:val="BodyText"/>
        <w:tabs>
          <w:tab w:pos="2856" w:val="left" w:leader="none"/>
        </w:tabs>
        <w:spacing w:line="261" w:lineRule="auto" w:before="0"/>
        <w:ind w:left="2856" w:right="216" w:hanging="1980"/>
      </w:pPr>
      <w:r>
        <w:rPr>
          <w:rFonts w:ascii="Microsoft JhengHei" w:eastAsia="Microsoft JhengHei" w:hint="eastAsia"/>
          <w:b/>
          <w:sz w:val="24"/>
        </w:rPr>
        <w:t>重大疾病保险金</w:t>
        <w:tab/>
      </w:r>
      <w:r>
        <w:rPr>
          <w:position w:val="1"/>
        </w:rPr>
        <w:t>被保险人在</w:t>
      </w:r>
      <w:r>
        <w:rPr>
          <w:spacing w:val="-56"/>
          <w:position w:val="1"/>
        </w:rPr>
        <w:t> </w:t>
      </w:r>
      <w:r>
        <w:rPr>
          <w:position w:val="1"/>
        </w:rPr>
        <w:t>18</w:t>
      </w:r>
      <w:r>
        <w:rPr>
          <w:spacing w:val="-55"/>
          <w:position w:val="1"/>
        </w:rPr>
        <w:t> </w:t>
      </w:r>
      <w:r>
        <w:rPr>
          <w:b/>
          <w:position w:val="1"/>
        </w:rPr>
        <w:t>周</w:t>
      </w:r>
      <w:r>
        <w:rPr>
          <w:b/>
          <w:spacing w:val="-10"/>
          <w:position w:val="1"/>
        </w:rPr>
        <w:t>岁</w:t>
      </w:r>
      <w:r>
        <w:rPr>
          <w:position w:val="1"/>
        </w:rPr>
        <w:t>（见</w:t>
      </w:r>
      <w:r>
        <w:rPr>
          <w:spacing w:val="-56"/>
          <w:position w:val="1"/>
        </w:rPr>
        <w:t> </w:t>
      </w:r>
      <w:r>
        <w:rPr>
          <w:spacing w:val="-3"/>
          <w:position w:val="1"/>
        </w:rPr>
        <w:t>7.6）</w:t>
      </w:r>
      <w:r>
        <w:rPr>
          <w:position w:val="1"/>
        </w:rPr>
        <w:t>之前</w:t>
      </w:r>
      <w:r>
        <w:rPr>
          <w:spacing w:val="-13"/>
          <w:position w:val="1"/>
        </w:rPr>
        <w:t>，</w:t>
      </w:r>
      <w:r>
        <w:rPr>
          <w:b/>
          <w:position w:val="1"/>
        </w:rPr>
        <w:t>初次发</w:t>
      </w:r>
      <w:r>
        <w:rPr>
          <w:b/>
          <w:spacing w:val="-10"/>
          <w:position w:val="1"/>
        </w:rPr>
        <w:t>生</w:t>
      </w:r>
      <w:r>
        <w:rPr>
          <w:position w:val="1"/>
        </w:rPr>
        <w:t>（见</w:t>
      </w:r>
      <w:r>
        <w:rPr>
          <w:spacing w:val="-56"/>
          <w:position w:val="1"/>
        </w:rPr>
        <w:t> </w:t>
      </w:r>
      <w:r>
        <w:rPr>
          <w:spacing w:val="-3"/>
          <w:position w:val="1"/>
        </w:rPr>
        <w:t>7.7）</w:t>
      </w:r>
      <w:r>
        <w:rPr>
          <w:position w:val="1"/>
        </w:rPr>
        <w:t>并被</w:t>
      </w:r>
      <w:r>
        <w:rPr>
          <w:b/>
          <w:position w:val="1"/>
        </w:rPr>
        <w:t>医</w:t>
      </w:r>
      <w:r>
        <w:rPr>
          <w:b/>
          <w:spacing w:val="-10"/>
          <w:position w:val="1"/>
        </w:rPr>
        <w:t>院</w:t>
      </w:r>
      <w:r>
        <w:rPr>
          <w:position w:val="1"/>
        </w:rPr>
        <w:t>（见</w:t>
      </w:r>
      <w:r>
        <w:rPr>
          <w:spacing w:val="-56"/>
          <w:position w:val="1"/>
        </w:rPr>
        <w:t> </w:t>
      </w:r>
      <w:r>
        <w:rPr>
          <w:spacing w:val="-4"/>
          <w:position w:val="1"/>
        </w:rPr>
        <w:t>7.8）</w:t>
      </w:r>
      <w:r>
        <w:rPr>
          <w:position w:val="1"/>
        </w:rPr>
        <w:t>的</w:t>
      </w:r>
      <w:r>
        <w:rPr>
          <w:b/>
        </w:rPr>
        <w:t>专科医</w:t>
      </w:r>
      <w:r>
        <w:rPr>
          <w:b/>
          <w:spacing w:val="-23"/>
        </w:rPr>
        <w:t>生</w:t>
      </w:r>
      <w:r>
        <w:rPr/>
        <w:t>（见</w:t>
      </w:r>
      <w:r>
        <w:rPr>
          <w:spacing w:val="-54"/>
        </w:rPr>
        <w:t> </w:t>
      </w:r>
      <w:r>
        <w:rPr>
          <w:spacing w:val="-7"/>
        </w:rPr>
        <w:t>7.9）</w:t>
      </w:r>
      <w:r>
        <w:rPr/>
        <w:t>确诊为本附加合同约定的少儿重大疾病</w:t>
      </w:r>
      <w:r>
        <w:rPr>
          <w:spacing w:val="-25"/>
        </w:rPr>
        <w:t>，</w:t>
      </w:r>
      <w:r>
        <w:rPr/>
        <w:t>我们按本附加合同所附于的国华附加教育金两全保险（分红型）合同已交保险费、国华附加教育金两全保</w:t>
      </w:r>
      <w:r>
        <w:rPr>
          <w:spacing w:val="-18"/>
        </w:rPr>
        <w:t>险</w:t>
      </w:r>
      <w:r>
        <w:rPr/>
        <w:t>（分红型</w:t>
      </w:r>
      <w:r>
        <w:rPr>
          <w:spacing w:val="-18"/>
        </w:rPr>
        <w:t>）</w:t>
      </w:r>
      <w:r>
        <w:rPr/>
        <w:t>合同当时</w:t>
      </w:r>
      <w:r>
        <w:rPr>
          <w:b/>
          <w:spacing w:val="0"/>
          <w:w w:val="99"/>
        </w:rPr>
        <w:t>现</w:t>
      </w:r>
      <w:r>
        <w:rPr>
          <w:b/>
          <w:w w:val="99"/>
        </w:rPr>
        <w:t>金</w:t>
      </w:r>
      <w:r>
        <w:rPr>
          <w:b/>
          <w:spacing w:val="0"/>
          <w:w w:val="99"/>
        </w:rPr>
        <w:t>价</w:t>
      </w:r>
      <w:r>
        <w:rPr>
          <w:b/>
          <w:spacing w:val="-17"/>
          <w:w w:val="99"/>
        </w:rPr>
        <w:t>值</w:t>
      </w:r>
      <w:r>
        <w:rPr>
          <w:spacing w:val="-1"/>
        </w:rPr>
        <w:t>（</w:t>
      </w:r>
      <w:r>
        <w:rPr/>
        <w:t>见</w:t>
      </w:r>
      <w:r>
        <w:rPr>
          <w:spacing w:val="-53"/>
        </w:rPr>
        <w:t> </w:t>
      </w:r>
      <w:r>
        <w:rPr>
          <w:spacing w:val="-1"/>
        </w:rPr>
        <w:t>7</w:t>
      </w:r>
      <w:r>
        <w:rPr/>
        <w:t>.</w:t>
      </w:r>
      <w:r>
        <w:rPr>
          <w:spacing w:val="-1"/>
        </w:rPr>
        <w:t>1</w:t>
      </w:r>
      <w:r>
        <w:rPr/>
        <w:t>0</w:t>
      </w:r>
      <w:r>
        <w:rPr>
          <w:spacing w:val="-105"/>
        </w:rPr>
        <w:t>）</w:t>
      </w:r>
      <w:r>
        <w:rPr>
          <w:spacing w:val="-18"/>
        </w:rPr>
        <w:t>，</w:t>
      </w:r>
      <w:r>
        <w:rPr/>
        <w:t>此两</w:t>
      </w:r>
      <w:r>
        <w:rPr>
          <w:spacing w:val="-2"/>
        </w:rPr>
        <w:t>项</w:t>
      </w:r>
      <w:r>
        <w:rPr/>
        <w:t>较大者给付重大疾病保险金，本附加合同和国华附加教育金两全保险（分红型）合同终止。</w:t>
      </w:r>
    </w:p>
    <w:p>
      <w:pPr>
        <w:pStyle w:val="BodyText"/>
        <w:spacing w:before="2"/>
        <w:rPr>
          <w:sz w:val="25"/>
        </w:rPr>
      </w:pPr>
    </w:p>
    <w:p>
      <w:pPr>
        <w:pStyle w:val="BodyText"/>
        <w:spacing w:line="273" w:lineRule="auto" w:before="0"/>
        <w:ind w:left="2856" w:right="307"/>
        <w:jc w:val="both"/>
      </w:pPr>
      <w:r>
        <w:rPr>
          <w:spacing w:val="-10"/>
        </w:rPr>
        <w:t>被保险人在 </w:t>
      </w:r>
      <w:r>
        <w:rPr/>
        <w:t>18</w:t>
      </w:r>
      <w:r>
        <w:rPr>
          <w:spacing w:val="-20"/>
        </w:rPr>
        <w:t> 周岁</w:t>
      </w:r>
      <w:r>
        <w:rPr/>
        <w:t>（</w:t>
      </w:r>
      <w:r>
        <w:rPr>
          <w:spacing w:val="-31"/>
        </w:rPr>
        <w:t>含 </w:t>
      </w:r>
      <w:r>
        <w:rPr/>
        <w:t>18</w:t>
      </w:r>
      <w:r>
        <w:rPr>
          <w:spacing w:val="-20"/>
        </w:rPr>
        <w:t> 周岁</w:t>
      </w:r>
      <w:r>
        <w:rPr/>
        <w:t>）之后，初次发生并被医院的专科医生确诊为本附加合同约定的成人重大疾病，我们按国华附加教育金两全保险（分红型） 合同已交保险费、国华附加教育金两全保险（分红型）合同当时现金价值，此两项较大者给付重大疾病保险金，本附加合同和国华附加教育金两全保险（分红型）合同终止。</w:t>
      </w:r>
    </w:p>
    <w:p>
      <w:pPr>
        <w:pStyle w:val="BodyText"/>
        <w:spacing w:before="7"/>
      </w:pPr>
    </w:p>
    <w:p>
      <w:pPr>
        <w:spacing w:after="0"/>
        <w:sectPr>
          <w:pgSz w:w="11910" w:h="16840"/>
          <w:pgMar w:top="1100" w:bottom="280" w:left="800" w:right="800"/>
        </w:sectPr>
      </w:pPr>
    </w:p>
    <w:p>
      <w:pPr>
        <w:spacing w:line="172" w:lineRule="auto" w:before="53"/>
        <w:ind w:left="876" w:right="0" w:firstLine="0"/>
        <w:jc w:val="left"/>
        <w:rPr>
          <w:rFonts w:ascii="Microsoft JhengHei" w:eastAsia="Microsoft JhengHei" w:hint="eastAsia"/>
          <w:b/>
          <w:sz w:val="24"/>
        </w:rPr>
      </w:pPr>
      <w:r>
        <w:rPr>
          <w:rFonts w:ascii="Microsoft JhengHei" w:eastAsia="Microsoft JhengHei" w:hint="eastAsia"/>
          <w:b/>
          <w:sz w:val="24"/>
        </w:rPr>
        <w:t>对所附于合同的影响</w:t>
      </w:r>
    </w:p>
    <w:p>
      <w:pPr>
        <w:pStyle w:val="BodyText"/>
        <w:spacing w:line="273" w:lineRule="auto"/>
        <w:ind w:left="258" w:right="305"/>
        <w:jc w:val="both"/>
      </w:pPr>
      <w:r>
        <w:rPr/>
        <w:br w:type="column"/>
      </w:r>
      <w:r>
        <w:rPr/>
        <w:t>本附加合同的重大疾病保险金给付后，本附加合同所附于的国华附加教育金两全保险（分红型）合同的基本保险金额减至为零，各项保险金和现金价值也相应减至为零，国华附加教育金两全保险（分红型）合同终止。</w:t>
      </w:r>
    </w:p>
    <w:p>
      <w:pPr>
        <w:spacing w:after="0" w:line="273" w:lineRule="auto"/>
        <w:jc w:val="both"/>
        <w:sectPr>
          <w:type w:val="continuous"/>
          <w:pgSz w:w="11910" w:h="16840"/>
          <w:pgMar w:top="600" w:bottom="280" w:left="800" w:right="800"/>
          <w:cols w:num="2" w:equalWidth="0">
            <w:col w:w="2558" w:space="40"/>
            <w:col w:w="7712"/>
          </w:cols>
        </w:sectPr>
      </w:pPr>
    </w:p>
    <w:p>
      <w:pPr>
        <w:pStyle w:val="BodyText"/>
        <w:spacing w:before="9"/>
      </w:pPr>
    </w:p>
    <w:p>
      <w:pPr>
        <w:pStyle w:val="ListParagraph"/>
        <w:numPr>
          <w:ilvl w:val="1"/>
          <w:numId w:val="9"/>
        </w:numPr>
        <w:tabs>
          <w:tab w:pos="875" w:val="left" w:leader="none"/>
          <w:tab w:pos="876" w:val="left" w:leader="none"/>
          <w:tab w:pos="2856" w:val="left" w:leader="none"/>
        </w:tabs>
        <w:spacing w:line="273" w:lineRule="auto" w:before="35" w:after="0"/>
        <w:ind w:left="2856" w:right="112" w:hanging="2635"/>
        <w:jc w:val="left"/>
        <w:rPr>
          <w:rFonts w:ascii="黑体" w:hAnsi="黑体" w:eastAsia="黑体" w:hint="eastAsia"/>
          <w:sz w:val="21"/>
        </w:rPr>
      </w:pPr>
      <w:r>
        <w:rPr>
          <w:b/>
          <w:sz w:val="21"/>
        </w:rPr>
        <w:t>责任免除</w:t>
        <w:tab/>
      </w:r>
      <w:r>
        <w:rPr>
          <w:rFonts w:ascii="黑体" w:hAnsi="黑体" w:eastAsia="黑体" w:hint="eastAsia"/>
          <w:spacing w:val="-1"/>
          <w:sz w:val="21"/>
        </w:rPr>
        <w:t>因下列</w:t>
      </w:r>
      <w:r>
        <w:rPr>
          <w:rFonts w:ascii="黑体" w:hAnsi="黑体" w:eastAsia="黑体" w:hint="eastAsia"/>
          <w:sz w:val="21"/>
        </w:rPr>
        <w:t>情形之一</w:t>
      </w:r>
      <w:r>
        <w:rPr>
          <w:rFonts w:ascii="黑体" w:hAnsi="黑体" w:eastAsia="黑体" w:hint="eastAsia"/>
          <w:spacing w:val="-4"/>
          <w:sz w:val="21"/>
        </w:rPr>
        <w:t>，</w:t>
      </w:r>
      <w:r>
        <w:rPr>
          <w:rFonts w:ascii="黑体" w:hAnsi="黑体" w:eastAsia="黑体" w:hint="eastAsia"/>
          <w:sz w:val="21"/>
        </w:rPr>
        <w:t>导致被保险人初次发Th“少儿重大疾病</w:t>
      </w:r>
      <w:r>
        <w:rPr>
          <w:rFonts w:ascii="黑体" w:hAnsi="黑体" w:eastAsia="黑体" w:hint="eastAsia"/>
          <w:spacing w:val="-4"/>
          <w:sz w:val="21"/>
        </w:rPr>
        <w:t>”</w:t>
      </w:r>
      <w:r>
        <w:rPr>
          <w:rFonts w:ascii="黑体" w:hAnsi="黑体" w:eastAsia="黑体" w:hint="eastAsia"/>
          <w:spacing w:val="-8"/>
          <w:sz w:val="21"/>
        </w:rPr>
        <w:t>、</w:t>
      </w:r>
      <w:r>
        <w:rPr>
          <w:rFonts w:ascii="黑体" w:hAnsi="黑体" w:eastAsia="黑体" w:hint="eastAsia"/>
          <w:sz w:val="21"/>
        </w:rPr>
        <w:t>“成人重大疾病”的，我们不承担给付保险金的责任：</w:t>
      </w:r>
    </w:p>
    <w:p>
      <w:pPr>
        <w:pStyle w:val="ListParagraph"/>
        <w:numPr>
          <w:ilvl w:val="2"/>
          <w:numId w:val="9"/>
        </w:numPr>
        <w:tabs>
          <w:tab w:pos="3277" w:val="left" w:leader="none"/>
        </w:tabs>
        <w:spacing w:line="240" w:lineRule="auto" w:before="7" w:after="0"/>
        <w:ind w:left="3382" w:right="0" w:hanging="526"/>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2"/>
          <w:numId w:val="9"/>
        </w:numPr>
        <w:tabs>
          <w:tab w:pos="3277" w:val="left" w:leader="none"/>
        </w:tabs>
        <w:spacing w:line="240" w:lineRule="auto" w:before="36" w:after="0"/>
        <w:ind w:left="3382" w:right="0" w:hanging="526"/>
        <w:jc w:val="left"/>
        <w:rPr>
          <w:rFonts w:ascii="黑体" w:eastAsia="黑体" w:hint="eastAsia"/>
          <w:sz w:val="21"/>
        </w:rPr>
      </w:pPr>
      <w:r>
        <w:rPr>
          <w:rFonts w:ascii="黑体" w:eastAsia="黑体" w:hint="eastAsia"/>
          <w:spacing w:val="-1"/>
          <w:sz w:val="21"/>
        </w:rPr>
        <w:t>被保险人故意自伤，故意犯罪或者抗拒依法采取的刑事强制措施；</w:t>
      </w:r>
    </w:p>
    <w:p>
      <w:pPr>
        <w:pStyle w:val="ListParagraph"/>
        <w:numPr>
          <w:ilvl w:val="2"/>
          <w:numId w:val="9"/>
        </w:numPr>
        <w:tabs>
          <w:tab w:pos="3277" w:val="left" w:leader="none"/>
        </w:tabs>
        <w:spacing w:line="273" w:lineRule="auto" w:before="36" w:after="0"/>
        <w:ind w:left="3382" w:right="305" w:hanging="526"/>
        <w:jc w:val="left"/>
        <w:rPr>
          <w:rFonts w:ascii="黑体" w:eastAsia="黑体" w:hint="eastAsia"/>
          <w:sz w:val="21"/>
        </w:rPr>
      </w:pPr>
      <w:r>
        <w:rPr>
          <w:rFonts w:ascii="黑体" w:eastAsia="黑体" w:hint="eastAsia"/>
          <w:spacing w:val="-3"/>
          <w:sz w:val="21"/>
        </w:rPr>
        <w:t>被保险人自本附加合同成立或者合同效力恢复之日起 </w:t>
      </w:r>
      <w:r>
        <w:rPr>
          <w:rFonts w:ascii="黑体" w:eastAsia="黑体" w:hint="eastAsia"/>
          <w:sz w:val="21"/>
        </w:rPr>
        <w:t>2</w:t>
      </w:r>
      <w:r>
        <w:rPr>
          <w:rFonts w:ascii="黑体" w:eastAsia="黑体" w:hint="eastAsia"/>
          <w:spacing w:val="-8"/>
          <w:sz w:val="21"/>
        </w:rPr>
        <w:t> 年内自杀，但被保险人自杀时为无民事行为能力人的除外；</w:t>
      </w:r>
    </w:p>
    <w:p>
      <w:pPr>
        <w:pStyle w:val="ListParagraph"/>
        <w:numPr>
          <w:ilvl w:val="2"/>
          <w:numId w:val="9"/>
        </w:numPr>
        <w:tabs>
          <w:tab w:pos="3277" w:val="left" w:leader="none"/>
        </w:tabs>
        <w:spacing w:line="240" w:lineRule="auto" w:before="7" w:after="0"/>
        <w:ind w:left="3276" w:right="0" w:hanging="420"/>
        <w:jc w:val="left"/>
        <w:rPr>
          <w:rFonts w:ascii="黑体" w:eastAsia="黑体" w:hint="eastAsia"/>
          <w:sz w:val="21"/>
        </w:rPr>
      </w:pP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w:t>
      </w:r>
      <w:r>
        <w:rPr>
          <w:rFonts w:ascii="黑体" w:eastAsia="黑体" w:hint="eastAsia"/>
          <w:spacing w:val="-30"/>
          <w:sz w:val="21"/>
        </w:rPr>
        <w:t>见 </w:t>
      </w:r>
      <w:r>
        <w:rPr>
          <w:rFonts w:ascii="黑体" w:eastAsia="黑体" w:hint="eastAsia"/>
          <w:sz w:val="21"/>
        </w:rPr>
        <w:t>7.11）；</w:t>
      </w:r>
    </w:p>
    <w:p>
      <w:pPr>
        <w:pStyle w:val="ListParagraph"/>
        <w:numPr>
          <w:ilvl w:val="2"/>
          <w:numId w:val="9"/>
        </w:numPr>
        <w:tabs>
          <w:tab w:pos="3277" w:val="left" w:leader="none"/>
        </w:tabs>
        <w:spacing w:line="273" w:lineRule="auto" w:before="37" w:after="0"/>
        <w:ind w:left="3276" w:right="217" w:hanging="420"/>
        <w:jc w:val="left"/>
        <w:rPr>
          <w:rFonts w:ascii="黑体" w:eastAsia="黑体" w:hint="eastAsia"/>
          <w:sz w:val="21"/>
        </w:rPr>
      </w:pPr>
      <w:r>
        <w:rPr>
          <w:rFonts w:ascii="黑体" w:eastAsia="黑体" w:hint="eastAsia"/>
          <w:sz w:val="21"/>
        </w:rPr>
        <w:t>被保险人</w:t>
      </w:r>
      <w:r>
        <w:rPr>
          <w:rFonts w:ascii="黑体" w:eastAsia="黑体" w:hint="eastAsia"/>
          <w:b/>
          <w:spacing w:val="-2"/>
          <w:sz w:val="21"/>
        </w:rPr>
        <w:t>酒后驾驶</w:t>
      </w:r>
      <w:r>
        <w:rPr>
          <w:rFonts w:ascii="黑体" w:eastAsia="黑体" w:hint="eastAsia"/>
          <w:sz w:val="21"/>
        </w:rPr>
        <w:t>（</w:t>
      </w:r>
      <w:r>
        <w:rPr>
          <w:rFonts w:ascii="黑体" w:eastAsia="黑体" w:hint="eastAsia"/>
          <w:spacing w:val="-32"/>
          <w:sz w:val="21"/>
        </w:rPr>
        <w:t>见 </w:t>
      </w:r>
      <w:r>
        <w:rPr>
          <w:rFonts w:ascii="黑体" w:eastAsia="黑体" w:hint="eastAsia"/>
          <w:sz w:val="21"/>
        </w:rPr>
        <w:t>7.12）</w:t>
      </w:r>
      <w:r>
        <w:rPr>
          <w:rFonts w:ascii="黑体" w:eastAsia="黑体" w:hint="eastAsia"/>
          <w:spacing w:val="-5"/>
          <w:sz w:val="21"/>
        </w:rPr>
        <w:t>、</w:t>
      </w:r>
      <w:r>
        <w:rPr>
          <w:rFonts w:ascii="黑体" w:eastAsia="黑体" w:hint="eastAsia"/>
          <w:b/>
          <w:spacing w:val="-1"/>
          <w:sz w:val="21"/>
        </w:rPr>
        <w:t>无合法有效驾驶证驾驶</w:t>
      </w:r>
      <w:r>
        <w:rPr>
          <w:rFonts w:ascii="黑体" w:eastAsia="黑体" w:hint="eastAsia"/>
          <w:sz w:val="21"/>
        </w:rPr>
        <w:t>（</w:t>
      </w:r>
      <w:r>
        <w:rPr>
          <w:rFonts w:ascii="黑体" w:eastAsia="黑体" w:hint="eastAsia"/>
          <w:spacing w:val="-32"/>
          <w:sz w:val="21"/>
        </w:rPr>
        <w:t>见 </w:t>
      </w:r>
      <w:r>
        <w:rPr>
          <w:rFonts w:ascii="黑体" w:eastAsia="黑体" w:hint="eastAsia"/>
          <w:sz w:val="21"/>
        </w:rPr>
        <w:t>7.13），或驾驶</w:t>
      </w:r>
      <w:r>
        <w:rPr>
          <w:rFonts w:ascii="黑体" w:eastAsia="黑体" w:hint="eastAsia"/>
          <w:b/>
          <w:sz w:val="21"/>
        </w:rPr>
        <w:t>无有效行驶证</w:t>
      </w:r>
      <w:r>
        <w:rPr>
          <w:rFonts w:ascii="黑体" w:eastAsia="黑体" w:hint="eastAsia"/>
          <w:sz w:val="21"/>
        </w:rPr>
        <w:t>（</w:t>
      </w:r>
      <w:r>
        <w:rPr>
          <w:rFonts w:ascii="黑体" w:eastAsia="黑体" w:hint="eastAsia"/>
          <w:spacing w:val="-28"/>
          <w:sz w:val="21"/>
        </w:rPr>
        <w:t>见 </w:t>
      </w:r>
      <w:r>
        <w:rPr>
          <w:rFonts w:ascii="黑体" w:eastAsia="黑体" w:hint="eastAsia"/>
          <w:sz w:val="21"/>
        </w:rPr>
        <w:t>7.14）的机动车；</w:t>
      </w:r>
    </w:p>
    <w:p>
      <w:pPr>
        <w:pStyle w:val="ListParagraph"/>
        <w:numPr>
          <w:ilvl w:val="2"/>
          <w:numId w:val="9"/>
        </w:numPr>
        <w:tabs>
          <w:tab w:pos="3277" w:val="left" w:leader="none"/>
        </w:tabs>
        <w:spacing w:line="240" w:lineRule="auto" w:before="8" w:after="0"/>
        <w:ind w:left="3276" w:right="0" w:hanging="42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7.15）期间因疾病导致的；</w:t>
      </w:r>
    </w:p>
    <w:p>
      <w:pPr>
        <w:pStyle w:val="ListParagraph"/>
        <w:numPr>
          <w:ilvl w:val="2"/>
          <w:numId w:val="9"/>
        </w:numPr>
        <w:tabs>
          <w:tab w:pos="3277" w:val="left" w:leader="none"/>
        </w:tabs>
        <w:spacing w:line="240" w:lineRule="auto" w:before="37" w:after="0"/>
        <w:ind w:left="3276" w:right="0" w:hanging="420"/>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9"/>
        </w:numPr>
        <w:tabs>
          <w:tab w:pos="3277" w:val="left" w:leader="none"/>
        </w:tabs>
        <w:spacing w:line="240" w:lineRule="auto" w:before="37" w:after="0"/>
        <w:ind w:left="3276" w:right="0" w:hanging="420"/>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9"/>
        </w:numPr>
        <w:tabs>
          <w:tab w:pos="3289" w:val="left" w:leader="none"/>
        </w:tabs>
        <w:spacing w:line="544" w:lineRule="auto" w:before="37" w:after="0"/>
        <w:ind w:left="2856" w:right="383" w:firstLine="12"/>
        <w:jc w:val="left"/>
        <w:rPr>
          <w:rFonts w:ascii="黑体" w:eastAsia="黑体" w:hint="eastAsia"/>
          <w:sz w:val="21"/>
        </w:rPr>
      </w:pPr>
      <w:r>
        <w:rPr>
          <w:rFonts w:ascii="黑体" w:eastAsia="黑体" w:hint="eastAsia"/>
          <w:b/>
          <w:sz w:val="21"/>
        </w:rPr>
        <w:t>遗传性疾病</w:t>
      </w:r>
      <w:r>
        <w:rPr>
          <w:rFonts w:ascii="黑体" w:eastAsia="黑体" w:hint="eastAsia"/>
          <w:sz w:val="21"/>
        </w:rPr>
        <w:t>（</w:t>
      </w:r>
      <w:r>
        <w:rPr>
          <w:rFonts w:ascii="黑体" w:eastAsia="黑体" w:hint="eastAsia"/>
          <w:spacing w:val="-30"/>
          <w:sz w:val="21"/>
        </w:rPr>
        <w:t>见 </w:t>
      </w:r>
      <w:r>
        <w:rPr>
          <w:rFonts w:ascii="黑体" w:eastAsia="黑体" w:hint="eastAsia"/>
          <w:sz w:val="21"/>
        </w:rPr>
        <w:t>7.16），</w:t>
      </w:r>
      <w:r>
        <w:rPr>
          <w:rFonts w:ascii="黑体" w:eastAsia="黑体" w:hint="eastAsia"/>
          <w:b/>
          <w:sz w:val="21"/>
        </w:rPr>
        <w:t>先天性畸形、变形或染色体异常</w:t>
      </w:r>
      <w:r>
        <w:rPr>
          <w:rFonts w:ascii="黑体" w:eastAsia="黑体" w:hint="eastAsia"/>
          <w:sz w:val="21"/>
        </w:rPr>
        <w:t>（</w:t>
      </w:r>
      <w:r>
        <w:rPr>
          <w:rFonts w:ascii="黑体" w:eastAsia="黑体" w:hint="eastAsia"/>
          <w:spacing w:val="-30"/>
          <w:sz w:val="21"/>
        </w:rPr>
        <w:t>见 </w:t>
      </w:r>
      <w:r>
        <w:rPr>
          <w:rFonts w:ascii="黑体" w:eastAsia="黑体" w:hint="eastAsia"/>
          <w:sz w:val="21"/>
        </w:rPr>
        <w:t>7.17）。发Th上述情形，本附加合同终止。</w:t>
      </w:r>
    </w:p>
    <w:p>
      <w:pPr>
        <w:pStyle w:val="Heading2"/>
        <w:tabs>
          <w:tab w:pos="876" w:val="left" w:leader="none"/>
        </w:tabs>
        <w:spacing w:before="159"/>
      </w:pPr>
      <w:r>
        <w:rPr/>
        <w:pict>
          <v:group style="position:absolute;margin-left:45.66pt;margin-top:36.050053pt;width:504pt;height:1pt;mso-position-horizontal-relative:page;mso-position-vertical-relative:paragraph;z-index:1120;mso-wrap-distance-left:0;mso-wrap-distance-right:0" coordorigin="913,721" coordsize="10080,20">
            <v:line style="position:absolute" from="913,731" to="3568,731" stroked="true" strokeweight=".96001pt" strokecolor="#000000">
              <v:stroke dashstyle="solid"/>
            </v:line>
            <v:line style="position:absolute" from="3568,731" to="10993,731"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1"/>
        <w:rPr>
          <w:b/>
          <w:sz w:val="17"/>
        </w:rPr>
      </w:pPr>
    </w:p>
    <w:p>
      <w:pPr>
        <w:pStyle w:val="ListParagraph"/>
        <w:numPr>
          <w:ilvl w:val="1"/>
          <w:numId w:val="10"/>
        </w:numPr>
        <w:tabs>
          <w:tab w:pos="876" w:val="left" w:leader="none"/>
          <w:tab w:pos="877" w:val="left" w:leader="none"/>
          <w:tab w:pos="2856" w:val="left" w:leader="none"/>
        </w:tabs>
        <w:spacing w:line="240" w:lineRule="auto" w:before="35" w:after="0"/>
        <w:ind w:left="2856" w:right="0" w:hanging="2635"/>
        <w:jc w:val="left"/>
        <w:rPr>
          <w:sz w:val="21"/>
        </w:rPr>
      </w:pPr>
      <w:r>
        <w:rPr>
          <w:b/>
          <w:sz w:val="21"/>
        </w:rPr>
        <w:t>受益人</w:t>
        <w:tab/>
      </w:r>
      <w:r>
        <w:rPr>
          <w:sz w:val="21"/>
        </w:rPr>
        <w:t>除另有约定外，本附加合同保险金的受益人均为被保险人本人。</w:t>
      </w:r>
    </w:p>
    <w:p>
      <w:pPr>
        <w:pStyle w:val="BodyText"/>
        <w:spacing w:before="0"/>
        <w:rPr>
          <w:sz w:val="20"/>
        </w:rPr>
      </w:pPr>
    </w:p>
    <w:p>
      <w:pPr>
        <w:pStyle w:val="ListParagraph"/>
        <w:numPr>
          <w:ilvl w:val="1"/>
          <w:numId w:val="10"/>
        </w:numPr>
        <w:tabs>
          <w:tab w:pos="876" w:val="left" w:leader="none"/>
          <w:tab w:pos="877" w:val="left" w:leader="none"/>
          <w:tab w:pos="2856" w:val="left" w:leader="none"/>
        </w:tabs>
        <w:spacing w:line="240" w:lineRule="auto" w:before="131" w:after="0"/>
        <w:ind w:left="876" w:right="0" w:hanging="655"/>
        <w:jc w:val="left"/>
        <w:rPr>
          <w:sz w:val="21"/>
        </w:rPr>
      </w:pPr>
      <w:r>
        <w:rPr>
          <w:b/>
          <w:sz w:val="21"/>
        </w:rPr>
        <w:t>保险金申请</w:t>
        <w:tab/>
      </w:r>
      <w:r>
        <w:rPr>
          <w:sz w:val="21"/>
        </w:rPr>
        <w:t>在申请保险金时，请按照下列方式办理：</w:t>
      </w:r>
    </w:p>
    <w:p>
      <w:pPr>
        <w:pStyle w:val="BodyText"/>
        <w:spacing w:before="12"/>
        <w:rPr>
          <w:sz w:val="23"/>
        </w:rPr>
      </w:pPr>
    </w:p>
    <w:p>
      <w:pPr>
        <w:spacing w:after="0"/>
        <w:rPr>
          <w:sz w:val="23"/>
        </w:rPr>
        <w:sectPr>
          <w:type w:val="continuous"/>
          <w:pgSz w:w="11910" w:h="16840"/>
          <w:pgMar w:top="600" w:bottom="280" w:left="800" w:right="800"/>
        </w:sectPr>
      </w:pPr>
    </w:p>
    <w:p>
      <w:pPr>
        <w:pStyle w:val="Heading2"/>
        <w:spacing w:line="184" w:lineRule="auto" w:before="45"/>
        <w:ind w:left="876"/>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6"/>
        <w:ind w:left="258" w:right="307"/>
      </w:pPr>
      <w:r>
        <w:rPr/>
        <w:br w:type="column"/>
      </w:r>
      <w:r>
        <w:rPr/>
        <w:t>在申请重大疾病保险金时，申请人须填写保险金给付申请书，并提供下列证明和资料：</w:t>
      </w:r>
    </w:p>
    <w:p>
      <w:pPr>
        <w:spacing w:after="0" w:line="273" w:lineRule="auto"/>
        <w:sectPr>
          <w:type w:val="continuous"/>
          <w:pgSz w:w="11910" w:h="16840"/>
          <w:pgMar w:top="600" w:bottom="280" w:left="800" w:right="800"/>
          <w:cols w:num="2" w:equalWidth="0">
            <w:col w:w="2558" w:space="40"/>
            <w:col w:w="7712"/>
          </w:cols>
        </w:sectPr>
      </w:pPr>
    </w:p>
    <w:p>
      <w:pPr>
        <w:pStyle w:val="BodyText"/>
        <w:spacing w:before="19"/>
        <w:ind w:left="2856"/>
      </w:pPr>
      <w:r>
        <w:rPr/>
        <w:t>（1）保险合同；</w:t>
      </w:r>
    </w:p>
    <w:p>
      <w:pPr>
        <w:pStyle w:val="BodyText"/>
        <w:ind w:left="2856"/>
      </w:pPr>
      <w:r>
        <w:rPr/>
        <w:t>（2）申请人的有效身份证件；</w:t>
      </w:r>
    </w:p>
    <w:p>
      <w:pPr>
        <w:pStyle w:val="BodyText"/>
        <w:spacing w:line="273" w:lineRule="auto"/>
        <w:ind w:left="3360" w:right="172" w:hanging="504"/>
      </w:pPr>
      <w:r>
        <w:rPr/>
        <w:t>（3）医院出具的附有病理显微镜检查、血液检验及其他科学方法检验报告的疾病诊断证明书；</w:t>
      </w:r>
    </w:p>
    <w:p>
      <w:pPr>
        <w:pStyle w:val="BodyText"/>
        <w:spacing w:before="7"/>
        <w:ind w:left="2856"/>
      </w:pPr>
      <w:r>
        <w:rPr/>
        <w:t>（4）所能提供的与确认保险事故的性质、原因等有关的其他证明和资料。</w:t>
      </w:r>
    </w:p>
    <w:p>
      <w:pPr>
        <w:pStyle w:val="BodyText"/>
        <w:spacing w:before="8"/>
        <w:rPr>
          <w:sz w:val="26"/>
        </w:rPr>
      </w:pPr>
    </w:p>
    <w:p>
      <w:pPr>
        <w:pStyle w:val="BodyText"/>
        <w:spacing w:line="273" w:lineRule="auto" w:before="0"/>
        <w:ind w:left="2856" w:right="307"/>
      </w:pPr>
      <w:r>
        <w:rPr/>
        <w:t>以上证明和资料不完整的，我们将及时一次性通知申请人补充提供有关证明和资料。</w:t>
      </w:r>
    </w:p>
    <w:p>
      <w:pPr>
        <w:pStyle w:val="BodyText"/>
        <w:spacing w:before="5"/>
        <w:rPr>
          <w:sz w:val="24"/>
        </w:rPr>
      </w:pPr>
    </w:p>
    <w:p>
      <w:pPr>
        <w:pStyle w:val="ListParagraph"/>
        <w:numPr>
          <w:ilvl w:val="1"/>
          <w:numId w:val="10"/>
        </w:numPr>
        <w:tabs>
          <w:tab w:pos="876" w:val="left" w:leader="none"/>
          <w:tab w:pos="877" w:val="left" w:leader="none"/>
          <w:tab w:pos="2856" w:val="left" w:leader="none"/>
        </w:tabs>
        <w:spacing w:line="273" w:lineRule="auto" w:before="0" w:after="0"/>
        <w:ind w:left="2856" w:right="216" w:hanging="2635"/>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5</w:t>
      </w:r>
      <w:r>
        <w:rPr>
          <w:spacing w:val="-53"/>
          <w:sz w:val="21"/>
        </w:rPr>
        <w:t> </w:t>
      </w:r>
      <w:r>
        <w:rPr>
          <w:sz w:val="21"/>
        </w:rPr>
        <w:t>日内作出核定</w:t>
      </w:r>
      <w:r>
        <w:rPr>
          <w:spacing w:val="-5"/>
          <w:sz w:val="21"/>
        </w:rPr>
        <w:t>；</w:t>
      </w:r>
      <w:r>
        <w:rPr>
          <w:sz w:val="21"/>
        </w:rPr>
        <w:t>情形复杂的</w:t>
      </w:r>
      <w:r>
        <w:rPr>
          <w:spacing w:val="-5"/>
          <w:sz w:val="21"/>
        </w:rPr>
        <w:t>，</w:t>
      </w:r>
      <w:r>
        <w:rPr>
          <w:sz w:val="21"/>
        </w:rPr>
        <w:t>在</w:t>
      </w:r>
      <w:r>
        <w:rPr>
          <w:spacing w:val="-54"/>
          <w:sz w:val="21"/>
        </w:rPr>
        <w:t> </w:t>
      </w:r>
      <w:r>
        <w:rPr>
          <w:sz w:val="21"/>
        </w:rPr>
        <w:t>30</w:t>
      </w:r>
      <w:r>
        <w:rPr>
          <w:spacing w:val="-54"/>
          <w:sz w:val="21"/>
        </w:rPr>
        <w:t> </w:t>
      </w:r>
      <w:r>
        <w:rPr>
          <w:sz w:val="21"/>
        </w:rPr>
        <w:t>日内作出核定</w:t>
      </w:r>
      <w:r>
        <w:rPr>
          <w:spacing w:val="-5"/>
          <w:sz w:val="21"/>
        </w:rPr>
        <w:t>。</w:t>
      </w:r>
      <w:r>
        <w:rPr>
          <w:sz w:val="21"/>
        </w:rPr>
        <w:t>但因第三方责任或其他非我们的责任导致保险事故的性质、金额无法确定的除外。</w:t>
      </w:r>
    </w:p>
    <w:p>
      <w:pPr>
        <w:pStyle w:val="BodyText"/>
        <w:spacing w:before="5"/>
        <w:rPr>
          <w:sz w:val="24"/>
        </w:rPr>
      </w:pPr>
    </w:p>
    <w:p>
      <w:pPr>
        <w:pStyle w:val="BodyText"/>
        <w:spacing w:line="273" w:lineRule="auto" w:before="0"/>
        <w:ind w:left="2856" w:right="111"/>
      </w:pPr>
      <w:r>
        <w:rPr>
          <w:spacing w:val="-12"/>
        </w:rPr>
        <w:t>对确定属于保险责任的，在与受益人达成有关给付保险金数额的协议后 </w:t>
      </w:r>
      <w:r>
        <w:rPr/>
        <w:t>10</w:t>
      </w:r>
      <w:r>
        <w:rPr>
          <w:spacing w:val="-15"/>
        </w:rPr>
        <w:t> 日内， 履行给付保险金义务。</w:t>
      </w:r>
    </w:p>
    <w:p>
      <w:pPr>
        <w:pStyle w:val="BodyText"/>
        <w:spacing w:before="5"/>
        <w:rPr>
          <w:sz w:val="24"/>
        </w:rPr>
      </w:pPr>
    </w:p>
    <w:p>
      <w:pPr>
        <w:pStyle w:val="BodyText"/>
        <w:spacing w:line="273" w:lineRule="auto" w:before="0"/>
        <w:ind w:left="2856" w:right="217"/>
      </w:pPr>
      <w:r>
        <w:rPr/>
        <w:t>我们未及时履行前款规定义务的，除支付保险金外，应当赔偿受益人因此受到的损失。</w:t>
      </w:r>
    </w:p>
    <w:p>
      <w:pPr>
        <w:pStyle w:val="BodyText"/>
        <w:spacing w:before="5"/>
        <w:rPr>
          <w:sz w:val="24"/>
        </w:rPr>
      </w:pPr>
    </w:p>
    <w:p>
      <w:pPr>
        <w:pStyle w:val="BodyText"/>
        <w:spacing w:line="273" w:lineRule="auto" w:before="0"/>
        <w:ind w:left="2856" w:right="172"/>
      </w:pPr>
      <w:r>
        <w:rPr/>
        <w:t>对不属于保险责任的，我们自作出核定之日起 3 日内向受益人发出拒绝给付保险金通知书并说明理由。</w:t>
      </w:r>
    </w:p>
    <w:p>
      <w:pPr>
        <w:pStyle w:val="BodyText"/>
        <w:spacing w:before="5"/>
        <w:rPr>
          <w:sz w:val="24"/>
        </w:rPr>
      </w:pPr>
    </w:p>
    <w:p>
      <w:pPr>
        <w:pStyle w:val="BodyText"/>
        <w:spacing w:line="273" w:lineRule="auto" w:before="0"/>
        <w:ind w:left="2837" w:right="218"/>
        <w:jc w:val="both"/>
      </w:pPr>
      <w:r>
        <w:rPr>
          <w:spacing w:val="-3"/>
        </w:rPr>
        <w:t>我们在收到保险金给付申请书及有关证明和资料之日起 </w:t>
      </w:r>
      <w:r>
        <w:rPr/>
        <w:t>60</w:t>
      </w:r>
      <w:r>
        <w:rPr>
          <w:spacing w:val="-9"/>
        </w:rPr>
        <w:t> 日内，对给付保险金</w:t>
      </w:r>
      <w:r>
        <w:rPr>
          <w:spacing w:val="-13"/>
        </w:rPr>
        <w:t>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10"/>
        </w:numPr>
        <w:tabs>
          <w:tab w:pos="875" w:val="left" w:leader="none"/>
          <w:tab w:pos="876" w:val="left" w:leader="none"/>
          <w:tab w:pos="2856" w:val="left" w:leader="none"/>
        </w:tabs>
        <w:spacing w:line="273" w:lineRule="auto" w:before="0" w:after="0"/>
        <w:ind w:left="2856" w:right="305" w:hanging="2635"/>
        <w:jc w:val="left"/>
        <w:rPr>
          <w:sz w:val="21"/>
        </w:rPr>
      </w:pPr>
      <w:r>
        <w:rPr>
          <w:b/>
          <w:sz w:val="21"/>
        </w:rPr>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0"/>
        <w:rPr>
          <w:sz w:val="20"/>
        </w:rPr>
      </w:pPr>
    </w:p>
    <w:p>
      <w:pPr>
        <w:pStyle w:val="Heading2"/>
        <w:tabs>
          <w:tab w:pos="876" w:val="left" w:leader="none"/>
        </w:tabs>
      </w:pPr>
      <w:r>
        <w:rPr/>
        <w:pict>
          <v:group style="position:absolute;margin-left:45.66pt;margin-top:34.800079pt;width:504pt;height:1pt;mso-position-horizontal-relative:page;mso-position-vertical-relative:paragraph;z-index:1144;mso-wrap-distance-left:0;mso-wrap-distance-right:0" coordorigin="913,696" coordsize="10080,20">
            <v:line style="position:absolute" from="913,706" to="3568,706" stroked="true" strokeweight=".95999pt" strokecolor="#000000">
              <v:stroke dashstyle="solid"/>
            </v:line>
            <v:line style="position:absolute" from="3568,706" to="10993,706"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ListParagraph"/>
        <w:numPr>
          <w:ilvl w:val="1"/>
          <w:numId w:val="11"/>
        </w:numPr>
        <w:tabs>
          <w:tab w:pos="875" w:val="left" w:leader="none"/>
          <w:tab w:pos="876" w:val="left" w:leader="none"/>
          <w:tab w:pos="2856" w:val="left" w:leader="none"/>
        </w:tabs>
        <w:spacing w:line="273" w:lineRule="auto" w:before="35" w:after="0"/>
        <w:ind w:left="2856" w:right="217" w:hanging="2635"/>
        <w:jc w:val="left"/>
        <w:rPr>
          <w:sz w:val="21"/>
        </w:rPr>
      </w:pPr>
      <w:r>
        <w:rPr>
          <w:b/>
          <w:sz w:val="21"/>
        </w:rPr>
        <w:t>效力中止</w:t>
        <w:tab/>
      </w:r>
      <w:r>
        <w:rPr>
          <w:sz w:val="21"/>
        </w:rPr>
        <w:t>本附加合同所附于的国华附加教育金两全保险（分红型）合同效力中止时，本 附加合同效力中止。</w:t>
      </w:r>
    </w:p>
    <w:p>
      <w:pPr>
        <w:pStyle w:val="BodyText"/>
        <w:spacing w:before="5"/>
        <w:rPr>
          <w:sz w:val="24"/>
        </w:rPr>
      </w:pPr>
    </w:p>
    <w:p>
      <w:pPr>
        <w:pStyle w:val="ListParagraph"/>
        <w:numPr>
          <w:ilvl w:val="1"/>
          <w:numId w:val="11"/>
        </w:numPr>
        <w:tabs>
          <w:tab w:pos="875" w:val="left" w:leader="none"/>
          <w:tab w:pos="876" w:val="left" w:leader="none"/>
          <w:tab w:pos="2856" w:val="left" w:leader="none"/>
        </w:tabs>
        <w:spacing w:line="273" w:lineRule="auto" w:before="0" w:after="0"/>
        <w:ind w:left="2856" w:right="217" w:hanging="2635"/>
        <w:jc w:val="left"/>
        <w:rPr>
          <w:sz w:val="21"/>
        </w:rPr>
      </w:pPr>
      <w:r>
        <w:rPr>
          <w:b/>
          <w:sz w:val="21"/>
        </w:rPr>
        <w:t>效力恢复</w:t>
        <w:tab/>
      </w:r>
      <w:r>
        <w:rPr>
          <w:sz w:val="21"/>
        </w:rPr>
        <w:t>本附加合同所附于的国华附加教育金两全保险（分红型）合同效力恢复后，本 附加合同效力恢复。</w:t>
      </w:r>
    </w:p>
    <w:p>
      <w:pPr>
        <w:pStyle w:val="BodyText"/>
        <w:spacing w:before="5"/>
        <w:rPr>
          <w:sz w:val="24"/>
        </w:rPr>
      </w:pPr>
    </w:p>
    <w:p>
      <w:pPr>
        <w:pStyle w:val="BodyText"/>
        <w:spacing w:line="273" w:lineRule="auto" w:before="0"/>
        <w:ind w:left="2856" w:right="305"/>
      </w:pPr>
      <w:r>
        <w:rPr/>
        <w:t>国华附加教育金两全保险（分红型）合同效力中止期间，本附加合同不得单独申请复效。</w:t>
      </w:r>
    </w:p>
    <w:p>
      <w:pPr>
        <w:pStyle w:val="BodyText"/>
        <w:spacing w:before="0"/>
        <w:rPr>
          <w:sz w:val="20"/>
        </w:rPr>
      </w:pPr>
    </w:p>
    <w:p>
      <w:pPr>
        <w:pStyle w:val="Heading2"/>
        <w:tabs>
          <w:tab w:pos="876" w:val="left" w:leader="none"/>
        </w:tabs>
      </w:pPr>
      <w:r>
        <w:rPr/>
        <w:pict>
          <v:group style="position:absolute;margin-left:45.66pt;margin-top:34.800041pt;width:504pt;height:1pt;mso-position-horizontal-relative:page;mso-position-vertical-relative:paragraph;z-index:1168;mso-wrap-distance-left:0;mso-wrap-distance-right:0" coordorigin="913,696" coordsize="10080,20">
            <v:line style="position:absolute" from="913,706" to="3568,706" stroked="true" strokeweight=".96002pt" strokecolor="#000000">
              <v:stroke dashstyle="solid"/>
            </v:line>
            <v:line style="position:absolute" from="3568,706" to="10993,70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100" w:bottom="280" w:left="800" w:right="800"/>
        </w:sectPr>
      </w:pPr>
    </w:p>
    <w:p>
      <w:pPr>
        <w:pStyle w:val="Heading5"/>
        <w:tabs>
          <w:tab w:pos="876" w:val="left" w:leader="none"/>
        </w:tabs>
        <w:spacing w:line="273" w:lineRule="auto" w:before="35"/>
        <w:ind w:left="876" w:hanging="656"/>
      </w:pPr>
      <w:r>
        <w:rPr/>
        <w:t>5.1</w:t>
        <w:tab/>
      </w:r>
      <w:r>
        <w:rPr>
          <w:w w:val="95"/>
        </w:rPr>
        <w:t>您解除合同的手续 及风险</w:t>
      </w:r>
    </w:p>
    <w:p>
      <w:pPr>
        <w:pStyle w:val="BodyText"/>
        <w:spacing w:line="273" w:lineRule="auto" w:before="35"/>
        <w:ind w:left="221" w:right="305"/>
      </w:pPr>
      <w:r>
        <w:rPr/>
        <w:br w:type="column"/>
      </w:r>
      <w:r>
        <w:rPr/>
        <w:t>如您在犹豫期后申请解除本附加合同，请填写解除合同申请书并向我们提供下列资料：</w:t>
      </w:r>
    </w:p>
    <w:p>
      <w:pPr>
        <w:spacing w:after="0" w:line="273" w:lineRule="auto"/>
        <w:sectPr>
          <w:type w:val="continuous"/>
          <w:pgSz w:w="11910" w:h="16840"/>
          <w:pgMar w:top="600" w:bottom="280" w:left="800" w:right="800"/>
          <w:cols w:num="2" w:equalWidth="0">
            <w:col w:w="2564" w:space="71"/>
            <w:col w:w="7675"/>
          </w:cols>
        </w:sectPr>
      </w:pPr>
    </w:p>
    <w:p>
      <w:pPr>
        <w:pStyle w:val="BodyText"/>
        <w:spacing w:before="19"/>
        <w:ind w:left="2856"/>
      </w:pPr>
      <w:r>
        <w:rPr/>
        <w:t>（1）保险合同；</w:t>
      </w:r>
    </w:p>
    <w:p>
      <w:pPr>
        <w:pStyle w:val="BodyText"/>
        <w:ind w:left="2856"/>
      </w:pPr>
      <w:r>
        <w:rPr/>
        <w:t>（2）您的有效身份证件。</w:t>
      </w:r>
    </w:p>
    <w:p>
      <w:pPr>
        <w:pStyle w:val="BodyText"/>
        <w:spacing w:before="8"/>
        <w:rPr>
          <w:sz w:val="26"/>
        </w:rPr>
      </w:pPr>
    </w:p>
    <w:p>
      <w:pPr>
        <w:pStyle w:val="BodyText"/>
        <w:spacing w:line="544" w:lineRule="auto" w:before="1"/>
        <w:ind w:left="2856" w:right="2617"/>
      </w:pPr>
      <w:r>
        <w:rPr/>
        <w:t>自我们收到解除合同申请书时起，本附加合同终止。您犹豫期后解除合同会遭受一定损失。</w:t>
      </w:r>
    </w:p>
    <w:p>
      <w:pPr>
        <w:pStyle w:val="BodyText"/>
        <w:spacing w:before="4"/>
        <w:rPr>
          <w:sz w:val="15"/>
        </w:rPr>
      </w:pPr>
    </w:p>
    <w:p>
      <w:pPr>
        <w:pStyle w:val="Heading2"/>
        <w:tabs>
          <w:tab w:pos="876" w:val="left" w:leader="none"/>
        </w:tabs>
        <w:spacing w:before="0"/>
      </w:pPr>
      <w:r>
        <w:rPr>
          <w:rFonts w:ascii="Arial" w:hAnsi="Arial" w:eastAsia="Arial"/>
          <w:position w:val="-3"/>
          <w:sz w:val="40"/>
        </w:rPr>
        <w:t></w:t>
        <w:tab/>
      </w:r>
      <w:r>
        <w:rPr>
          <w:w w:val="95"/>
        </w:rPr>
        <w:t>其他需要关注的事项</w:t>
      </w:r>
    </w:p>
    <w:p>
      <w:pPr>
        <w:pStyle w:val="BodyText"/>
        <w:spacing w:before="11"/>
        <w:rPr>
          <w:b/>
          <w:sz w:val="7"/>
        </w:rPr>
      </w:pPr>
      <w:r>
        <w:rPr/>
        <w:pict>
          <v:group style="position:absolute;margin-left:45.66pt;margin-top:7.141196pt;width:504pt;height:1pt;mso-position-horizontal-relative:page;mso-position-vertical-relative:paragraph;z-index:1192;mso-wrap-distance-left:0;mso-wrap-distance-right:0" coordorigin="913,143" coordsize="10080,20">
            <v:line style="position:absolute" from="913,152" to="3568,152" stroked="true" strokeweight=".95996pt" strokecolor="#000000">
              <v:stroke dashstyle="solid"/>
            </v:line>
            <v:line style="position:absolute" from="3568,152" to="10993,152" stroked="true" strokeweight=".96pt" strokecolor="#000000">
              <v:stroke dashstyle="solid"/>
            </v:line>
            <w10:wrap type="topAndBottom"/>
          </v:group>
        </w:pict>
      </w:r>
    </w:p>
    <w:p>
      <w:pPr>
        <w:pStyle w:val="BodyText"/>
        <w:spacing w:before="11"/>
        <w:rPr>
          <w:b/>
          <w:sz w:val="17"/>
        </w:rPr>
      </w:pPr>
    </w:p>
    <w:p>
      <w:pPr>
        <w:tabs>
          <w:tab w:pos="875" w:val="left" w:leader="none"/>
          <w:tab w:pos="2856" w:val="left" w:leader="none"/>
        </w:tabs>
        <w:spacing w:before="35"/>
        <w:ind w:left="221" w:right="0" w:firstLine="0"/>
        <w:jc w:val="left"/>
        <w:rPr>
          <w:sz w:val="21"/>
        </w:rPr>
      </w:pPr>
      <w:r>
        <w:rPr>
          <w:b/>
          <w:sz w:val="21"/>
        </w:rPr>
        <w:t>6.1</w:t>
        <w:tab/>
        <w:t>效力终止</w:t>
        <w:tab/>
      </w:r>
      <w:r>
        <w:rPr>
          <w:sz w:val="21"/>
        </w:rPr>
        <w:t>当发生下列情形之一时，本附加合同效力终止：</w:t>
      </w:r>
    </w:p>
    <w:p>
      <w:pPr>
        <w:pStyle w:val="BodyText"/>
        <w:spacing w:before="36"/>
        <w:ind w:left="2856"/>
      </w:pPr>
      <w:r>
        <w:rPr/>
        <w:t>（1）本附加合同所附于的国华附加教育金两全保险（分红型）合同效力终止；</w:t>
      </w:r>
    </w:p>
    <w:p>
      <w:pPr>
        <w:pStyle w:val="BodyText"/>
        <w:spacing w:line="273" w:lineRule="auto" w:before="36"/>
        <w:ind w:left="3382" w:right="171" w:hanging="526"/>
      </w:pPr>
      <w:r>
        <w:rPr/>
        <w:t>（2）本附加合同所附于的国华附加教育金两全保险（分红型）合同办理减额交清；</w:t>
      </w:r>
    </w:p>
    <w:p>
      <w:pPr>
        <w:pStyle w:val="BodyText"/>
        <w:spacing w:before="6"/>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1983"/>
        <w:gridCol w:w="7483"/>
      </w:tblGrid>
      <w:tr>
        <w:trPr>
          <w:trHeight w:val="416" w:hRule="atLeast"/>
        </w:trPr>
        <w:tc>
          <w:tcPr>
            <w:tcW w:w="2597" w:type="dxa"/>
            <w:gridSpan w:val="2"/>
          </w:tcPr>
          <w:p>
            <w:pPr>
              <w:pStyle w:val="TableParagraph"/>
              <w:rPr>
                <w:rFonts w:ascii="Times New Roman"/>
                <w:sz w:val="20"/>
              </w:rPr>
            </w:pPr>
          </w:p>
        </w:tc>
        <w:tc>
          <w:tcPr>
            <w:tcW w:w="7483" w:type="dxa"/>
          </w:tcPr>
          <w:p>
            <w:pPr>
              <w:pStyle w:val="TableParagraph"/>
              <w:spacing w:line="210" w:lineRule="exact"/>
              <w:ind w:left="146"/>
              <w:rPr>
                <w:sz w:val="21"/>
              </w:rPr>
            </w:pPr>
            <w:r>
              <w:rPr>
                <w:sz w:val="21"/>
              </w:rPr>
              <w:t>（3）您申请解除本附加合同。</w:t>
            </w:r>
          </w:p>
        </w:tc>
      </w:tr>
      <w:tr>
        <w:trPr>
          <w:trHeight w:val="3457" w:hRule="atLeast"/>
        </w:trPr>
        <w:tc>
          <w:tcPr>
            <w:tcW w:w="614" w:type="dxa"/>
          </w:tcPr>
          <w:p>
            <w:pPr>
              <w:pStyle w:val="TableParagraph"/>
              <w:spacing w:before="142"/>
              <w:ind w:left="88" w:right="165"/>
              <w:jc w:val="center"/>
              <w:rPr>
                <w:b/>
                <w:sz w:val="21"/>
              </w:rPr>
            </w:pPr>
            <w:r>
              <w:rPr>
                <w:b/>
                <w:sz w:val="21"/>
              </w:rPr>
              <w:t>6.2</w:t>
            </w:r>
          </w:p>
        </w:tc>
        <w:tc>
          <w:tcPr>
            <w:tcW w:w="1983" w:type="dxa"/>
          </w:tcPr>
          <w:p>
            <w:pPr>
              <w:pStyle w:val="TableParagraph"/>
              <w:spacing w:line="273" w:lineRule="auto" w:before="142"/>
              <w:ind w:left="149" w:right="144"/>
              <w:rPr>
                <w:b/>
                <w:sz w:val="21"/>
              </w:rPr>
            </w:pPr>
            <w:r>
              <w:rPr>
                <w:b/>
                <w:sz w:val="21"/>
              </w:rPr>
              <w:t>适用所附于合同条款</w:t>
            </w:r>
          </w:p>
        </w:tc>
        <w:tc>
          <w:tcPr>
            <w:tcW w:w="7483" w:type="dxa"/>
          </w:tcPr>
          <w:p>
            <w:pPr>
              <w:pStyle w:val="TableParagraph"/>
              <w:spacing w:line="273" w:lineRule="auto" w:before="142"/>
              <w:ind w:left="146" w:right="194"/>
              <w:rPr>
                <w:sz w:val="21"/>
              </w:rPr>
            </w:pPr>
            <w:r>
              <w:rPr>
                <w:sz w:val="21"/>
              </w:rPr>
              <w:t>下列各项条款，适用本附加合同所附于的国华附加教育金两全保险（分红型） 合同条款：</w:t>
            </w:r>
          </w:p>
          <w:p>
            <w:pPr>
              <w:pStyle w:val="TableParagraph"/>
              <w:spacing w:before="7"/>
              <w:ind w:left="146"/>
              <w:rPr>
                <w:sz w:val="21"/>
              </w:rPr>
            </w:pPr>
            <w:r>
              <w:rPr>
                <w:sz w:val="21"/>
              </w:rPr>
              <w:t>（1）保险期间；</w:t>
            </w:r>
          </w:p>
          <w:p>
            <w:pPr>
              <w:pStyle w:val="TableParagraph"/>
              <w:spacing w:before="36"/>
              <w:ind w:left="146"/>
              <w:rPr>
                <w:sz w:val="21"/>
              </w:rPr>
            </w:pPr>
            <w:r>
              <w:rPr>
                <w:sz w:val="21"/>
              </w:rPr>
              <w:t>（2）宽限期；</w:t>
            </w:r>
          </w:p>
          <w:p>
            <w:pPr>
              <w:pStyle w:val="TableParagraph"/>
              <w:spacing w:before="36"/>
              <w:ind w:left="146"/>
              <w:rPr>
                <w:sz w:val="21"/>
              </w:rPr>
            </w:pPr>
            <w:r>
              <w:rPr>
                <w:sz w:val="21"/>
              </w:rPr>
              <w:t>（3）保险事故通知；</w:t>
            </w:r>
          </w:p>
          <w:p>
            <w:pPr>
              <w:pStyle w:val="TableParagraph"/>
              <w:spacing w:before="36"/>
              <w:ind w:left="146"/>
              <w:rPr>
                <w:sz w:val="21"/>
              </w:rPr>
            </w:pPr>
            <w:r>
              <w:rPr>
                <w:sz w:val="21"/>
              </w:rPr>
              <w:t>（4）明确说明与如实告知；</w:t>
            </w:r>
          </w:p>
          <w:p>
            <w:pPr>
              <w:pStyle w:val="TableParagraph"/>
              <w:spacing w:before="36"/>
              <w:ind w:left="146"/>
              <w:rPr>
                <w:sz w:val="21"/>
              </w:rPr>
            </w:pPr>
            <w:r>
              <w:rPr>
                <w:sz w:val="21"/>
              </w:rPr>
              <w:t>（5）我们合同解除权的限制；</w:t>
            </w:r>
          </w:p>
          <w:p>
            <w:pPr>
              <w:pStyle w:val="TableParagraph"/>
              <w:spacing w:before="36"/>
              <w:ind w:left="146"/>
              <w:rPr>
                <w:sz w:val="21"/>
              </w:rPr>
            </w:pPr>
            <w:r>
              <w:rPr>
                <w:sz w:val="21"/>
              </w:rPr>
              <w:t>（6）合同内容变更；</w:t>
            </w:r>
          </w:p>
          <w:p>
            <w:pPr>
              <w:pStyle w:val="TableParagraph"/>
              <w:spacing w:before="36"/>
              <w:ind w:left="146"/>
              <w:rPr>
                <w:sz w:val="21"/>
              </w:rPr>
            </w:pPr>
            <w:r>
              <w:rPr>
                <w:sz w:val="21"/>
              </w:rPr>
              <w:t>（7）联系方式变更；</w:t>
            </w:r>
          </w:p>
          <w:p>
            <w:pPr>
              <w:pStyle w:val="TableParagraph"/>
              <w:spacing w:before="36"/>
              <w:ind w:left="146"/>
              <w:rPr>
                <w:sz w:val="21"/>
              </w:rPr>
            </w:pPr>
            <w:r>
              <w:rPr>
                <w:sz w:val="21"/>
              </w:rPr>
              <w:t>（8）争议处理。</w:t>
            </w:r>
          </w:p>
        </w:tc>
      </w:tr>
      <w:tr>
        <w:trPr>
          <w:trHeight w:val="755" w:hRule="atLeast"/>
        </w:trPr>
        <w:tc>
          <w:tcPr>
            <w:tcW w:w="614" w:type="dxa"/>
            <w:tcBorders>
              <w:bottom w:val="single" w:sz="8" w:space="0" w:color="000000"/>
            </w:tcBorders>
          </w:tcPr>
          <w:p>
            <w:pPr>
              <w:pStyle w:val="TableParagraph"/>
              <w:spacing w:before="194"/>
              <w:ind w:right="39"/>
              <w:jc w:val="center"/>
              <w:rPr>
                <w:rFonts w:ascii="Arial" w:hAnsi="Arial"/>
                <w:b/>
                <w:sz w:val="40"/>
              </w:rPr>
            </w:pPr>
            <w:r>
              <w:rPr>
                <w:rFonts w:ascii="Arial" w:hAnsi="Arial"/>
                <w:b/>
                <w:w w:val="118"/>
                <w:sz w:val="40"/>
              </w:rPr>
              <w:t></w:t>
            </w:r>
          </w:p>
        </w:tc>
        <w:tc>
          <w:tcPr>
            <w:tcW w:w="1983" w:type="dxa"/>
            <w:tcBorders>
              <w:bottom w:val="single" w:sz="8" w:space="0" w:color="000000"/>
            </w:tcBorders>
          </w:tcPr>
          <w:p>
            <w:pPr>
              <w:pStyle w:val="TableParagraph"/>
              <w:spacing w:before="12"/>
              <w:rPr>
                <w:sz w:val="18"/>
              </w:rPr>
            </w:pPr>
          </w:p>
          <w:p>
            <w:pPr>
              <w:pStyle w:val="TableParagraph"/>
              <w:spacing w:before="1"/>
              <w:ind w:left="149"/>
              <w:rPr>
                <w:b/>
                <w:sz w:val="24"/>
              </w:rPr>
            </w:pPr>
            <w:r>
              <w:rPr>
                <w:b/>
                <w:w w:val="95"/>
                <w:sz w:val="24"/>
              </w:rPr>
              <w:t>释义</w:t>
            </w:r>
          </w:p>
        </w:tc>
        <w:tc>
          <w:tcPr>
            <w:tcW w:w="7483" w:type="dxa"/>
            <w:tcBorders>
              <w:bottom w:val="single" w:sz="8" w:space="0" w:color="000000"/>
            </w:tcBorders>
          </w:tcPr>
          <w:p>
            <w:pPr>
              <w:pStyle w:val="TableParagraph"/>
              <w:rPr>
                <w:rFonts w:ascii="Times New Roman"/>
                <w:sz w:val="20"/>
              </w:rPr>
            </w:pPr>
          </w:p>
        </w:tc>
      </w:tr>
      <w:tr>
        <w:trPr>
          <w:trHeight w:val="1091" w:hRule="atLeast"/>
        </w:trPr>
        <w:tc>
          <w:tcPr>
            <w:tcW w:w="614" w:type="dxa"/>
            <w:tcBorders>
              <w:top w:val="single" w:sz="8" w:space="0" w:color="000000"/>
            </w:tcBorders>
          </w:tcPr>
          <w:p>
            <w:pPr>
              <w:pStyle w:val="TableParagraph"/>
              <w:spacing w:before="10"/>
              <w:rPr>
                <w:sz w:val="22"/>
              </w:rPr>
            </w:pPr>
          </w:p>
          <w:p>
            <w:pPr>
              <w:pStyle w:val="TableParagraph"/>
              <w:ind w:left="88" w:right="165"/>
              <w:jc w:val="center"/>
              <w:rPr>
                <w:b/>
                <w:sz w:val="21"/>
              </w:rPr>
            </w:pPr>
            <w:r>
              <w:rPr>
                <w:b/>
                <w:sz w:val="21"/>
              </w:rPr>
              <w:t>7.1</w:t>
            </w:r>
          </w:p>
        </w:tc>
        <w:tc>
          <w:tcPr>
            <w:tcW w:w="1983" w:type="dxa"/>
            <w:tcBorders>
              <w:top w:val="single" w:sz="8" w:space="0" w:color="000000"/>
            </w:tcBorders>
          </w:tcPr>
          <w:p>
            <w:pPr>
              <w:pStyle w:val="TableParagraph"/>
              <w:spacing w:before="10"/>
              <w:rPr>
                <w:sz w:val="22"/>
              </w:rPr>
            </w:pPr>
          </w:p>
          <w:p>
            <w:pPr>
              <w:pStyle w:val="TableParagraph"/>
              <w:ind w:left="149"/>
              <w:rPr>
                <w:b/>
                <w:sz w:val="21"/>
              </w:rPr>
            </w:pPr>
            <w:r>
              <w:rPr>
                <w:b/>
                <w:sz w:val="21"/>
              </w:rPr>
              <w:t>保单年度</w:t>
            </w:r>
          </w:p>
        </w:tc>
        <w:tc>
          <w:tcPr>
            <w:tcW w:w="7483" w:type="dxa"/>
            <w:tcBorders>
              <w:top w:val="single" w:sz="8" w:space="0" w:color="000000"/>
            </w:tcBorders>
          </w:tcPr>
          <w:p>
            <w:pPr>
              <w:pStyle w:val="TableParagraph"/>
              <w:spacing w:before="10"/>
              <w:rPr>
                <w:sz w:val="22"/>
              </w:rPr>
            </w:pPr>
          </w:p>
          <w:p>
            <w:pPr>
              <w:pStyle w:val="TableParagraph"/>
              <w:spacing w:line="273" w:lineRule="auto"/>
              <w:ind w:left="146" w:right="194"/>
              <w:rPr>
                <w:sz w:val="21"/>
              </w:rPr>
            </w:pPr>
            <w:r>
              <w:rPr>
                <w:sz w:val="21"/>
              </w:rPr>
              <w:t>指从保险合同生效日或生效对应日零时起至下一年度保险合同生效对应日零时止的期间为一个保单年度。</w:t>
            </w:r>
          </w:p>
        </w:tc>
      </w:tr>
      <w:tr>
        <w:trPr>
          <w:trHeight w:val="935" w:hRule="atLeast"/>
        </w:trPr>
        <w:tc>
          <w:tcPr>
            <w:tcW w:w="614" w:type="dxa"/>
          </w:tcPr>
          <w:p>
            <w:pPr>
              <w:pStyle w:val="TableParagraph"/>
              <w:spacing w:before="142"/>
              <w:ind w:left="88" w:right="166"/>
              <w:jc w:val="center"/>
              <w:rPr>
                <w:b/>
                <w:sz w:val="21"/>
              </w:rPr>
            </w:pPr>
            <w:r>
              <w:rPr>
                <w:b/>
                <w:sz w:val="21"/>
              </w:rPr>
              <w:t>7.2</w:t>
            </w:r>
          </w:p>
        </w:tc>
        <w:tc>
          <w:tcPr>
            <w:tcW w:w="1983" w:type="dxa"/>
          </w:tcPr>
          <w:p>
            <w:pPr>
              <w:pStyle w:val="TableParagraph"/>
              <w:spacing w:before="142"/>
              <w:ind w:left="149"/>
              <w:rPr>
                <w:b/>
                <w:sz w:val="21"/>
              </w:rPr>
            </w:pPr>
            <w:r>
              <w:rPr>
                <w:b/>
                <w:w w:val="95"/>
                <w:sz w:val="21"/>
              </w:rPr>
              <w:t>有效身份证件</w:t>
            </w:r>
          </w:p>
        </w:tc>
        <w:tc>
          <w:tcPr>
            <w:tcW w:w="7483" w:type="dxa"/>
          </w:tcPr>
          <w:p>
            <w:pPr>
              <w:pStyle w:val="TableParagraph"/>
              <w:spacing w:line="273" w:lineRule="auto" w:before="142"/>
              <w:ind w:left="146" w:right="194"/>
              <w:rPr>
                <w:sz w:val="21"/>
              </w:rPr>
            </w:pPr>
            <w:r>
              <w:rPr>
                <w:sz w:val="21"/>
              </w:rPr>
              <w:t>指由政府主管部门规定的证明其身份的证件，如：居民身份证、按规定可使用的有效护照、军官证、武警警官证、士兵证等证件。</w:t>
            </w:r>
          </w:p>
        </w:tc>
      </w:tr>
      <w:tr>
        <w:trPr>
          <w:trHeight w:val="623" w:hRule="atLeast"/>
        </w:trPr>
        <w:tc>
          <w:tcPr>
            <w:tcW w:w="614" w:type="dxa"/>
          </w:tcPr>
          <w:p>
            <w:pPr>
              <w:pStyle w:val="TableParagraph"/>
              <w:spacing w:before="142"/>
              <w:ind w:left="88" w:right="166"/>
              <w:jc w:val="center"/>
              <w:rPr>
                <w:b/>
                <w:sz w:val="21"/>
              </w:rPr>
            </w:pPr>
            <w:r>
              <w:rPr>
                <w:b/>
                <w:sz w:val="21"/>
              </w:rPr>
              <w:t>7.3</w:t>
            </w:r>
          </w:p>
        </w:tc>
        <w:tc>
          <w:tcPr>
            <w:tcW w:w="1983" w:type="dxa"/>
          </w:tcPr>
          <w:p>
            <w:pPr>
              <w:pStyle w:val="TableParagraph"/>
              <w:spacing w:before="142"/>
              <w:ind w:left="149"/>
              <w:rPr>
                <w:b/>
                <w:sz w:val="21"/>
              </w:rPr>
            </w:pPr>
            <w:r>
              <w:rPr>
                <w:b/>
                <w:w w:val="95"/>
                <w:sz w:val="21"/>
              </w:rPr>
              <w:t>意外伤害事故</w:t>
            </w:r>
          </w:p>
        </w:tc>
        <w:tc>
          <w:tcPr>
            <w:tcW w:w="7483" w:type="dxa"/>
          </w:tcPr>
          <w:p>
            <w:pPr>
              <w:pStyle w:val="TableParagraph"/>
              <w:spacing w:before="142"/>
              <w:ind w:left="146"/>
              <w:rPr>
                <w:sz w:val="21"/>
              </w:rPr>
            </w:pPr>
            <w:r>
              <w:rPr>
                <w:spacing w:val="-4"/>
                <w:sz w:val="21"/>
              </w:rPr>
              <w:t>指外来的、非本意的、突然的、非疾病的使被保险人身体受到伤害的客观事件。</w:t>
            </w:r>
          </w:p>
        </w:tc>
      </w:tr>
      <w:tr>
        <w:trPr>
          <w:trHeight w:val="416" w:hRule="atLeast"/>
        </w:trPr>
        <w:tc>
          <w:tcPr>
            <w:tcW w:w="614" w:type="dxa"/>
          </w:tcPr>
          <w:p>
            <w:pPr>
              <w:pStyle w:val="TableParagraph"/>
              <w:spacing w:line="255" w:lineRule="exact" w:before="142"/>
              <w:ind w:left="87" w:right="166"/>
              <w:jc w:val="center"/>
              <w:rPr>
                <w:b/>
                <w:sz w:val="21"/>
              </w:rPr>
            </w:pPr>
            <w:r>
              <w:rPr>
                <w:b/>
                <w:sz w:val="21"/>
              </w:rPr>
              <w:t>7.4</w:t>
            </w:r>
          </w:p>
        </w:tc>
        <w:tc>
          <w:tcPr>
            <w:tcW w:w="1983" w:type="dxa"/>
          </w:tcPr>
          <w:p>
            <w:pPr>
              <w:pStyle w:val="TableParagraph"/>
              <w:spacing w:line="255" w:lineRule="exact" w:before="142"/>
              <w:ind w:left="148"/>
              <w:rPr>
                <w:b/>
                <w:sz w:val="21"/>
              </w:rPr>
            </w:pPr>
            <w:r>
              <w:rPr>
                <w:b/>
                <w:w w:val="95"/>
                <w:sz w:val="21"/>
              </w:rPr>
              <w:t>少儿重大疾病</w:t>
            </w:r>
          </w:p>
        </w:tc>
        <w:tc>
          <w:tcPr>
            <w:tcW w:w="7483" w:type="dxa"/>
          </w:tcPr>
          <w:p>
            <w:pPr>
              <w:pStyle w:val="TableParagraph"/>
              <w:spacing w:line="255" w:lineRule="exact" w:before="142"/>
              <w:ind w:left="146"/>
              <w:rPr>
                <w:b/>
                <w:sz w:val="21"/>
              </w:rPr>
            </w:pPr>
            <w:r>
              <w:rPr>
                <w:b/>
                <w:w w:val="95"/>
                <w:sz w:val="21"/>
              </w:rPr>
              <w:t>（一）恶性肿瘤</w:t>
            </w:r>
          </w:p>
        </w:tc>
      </w:tr>
    </w:tbl>
    <w:p>
      <w:pPr>
        <w:pStyle w:val="BodyText"/>
        <w:spacing w:line="273" w:lineRule="auto" w:before="38"/>
        <w:ind w:left="2856" w:right="112" w:firstLine="420"/>
        <w:jc w:val="both"/>
      </w:pPr>
      <w:r>
        <w:rPr/>
        <w:t>指恶性细胞不受控制的进行性增长和扩散，浸润和破坏周围正常组织，可以经血管、淋巴管和体腔扩散转移到身体其它部位的疾病。经病理学检查结果</w:t>
      </w:r>
      <w:r>
        <w:rPr>
          <w:spacing w:val="-3"/>
        </w:rPr>
        <w:t>明确诊断，临床诊断属于世界卫生组织《疾病和有关健康问题的国际统计分类》</w:t>
      </w:r>
    </w:p>
    <w:p>
      <w:pPr>
        <w:pStyle w:val="BodyText"/>
        <w:spacing w:before="8"/>
        <w:ind w:left="2856"/>
      </w:pPr>
      <w:r>
        <w:rPr/>
        <w:t>（ICD-10）的恶性肿瘤范畴。</w:t>
      </w:r>
    </w:p>
    <w:p>
      <w:pPr>
        <w:pStyle w:val="BodyText"/>
        <w:ind w:left="3381"/>
      </w:pPr>
      <w:r>
        <w:rPr/>
        <w:t>下列疾病不在保障范围内：</w:t>
      </w:r>
    </w:p>
    <w:p>
      <w:pPr>
        <w:pStyle w:val="BodyText"/>
        <w:ind w:left="2856"/>
      </w:pPr>
      <w:r>
        <w:rPr/>
        <w:t>（1）原位癌；</w:t>
      </w:r>
    </w:p>
    <w:p>
      <w:pPr>
        <w:pStyle w:val="BodyText"/>
        <w:ind w:left="2856"/>
      </w:pPr>
      <w:r>
        <w:rPr/>
        <w:t>（2）相当于Binet 分期方案 A 期程度的慢性淋巴细胞白血病；</w:t>
      </w:r>
    </w:p>
    <w:p>
      <w:pPr>
        <w:spacing w:after="0"/>
        <w:sectPr>
          <w:pgSz w:w="11910" w:h="16840"/>
          <w:pgMar w:top="1100" w:bottom="280" w:left="800" w:right="800"/>
        </w:sectPr>
      </w:pPr>
    </w:p>
    <w:p>
      <w:pPr>
        <w:pStyle w:val="BodyText"/>
        <w:spacing w:before="19"/>
        <w:ind w:left="1976"/>
      </w:pPr>
      <w:r>
        <w:rPr/>
        <w:t>（3）相当于Ann Arbor 分期方案 I 期程度的何杰金氏病；</w:t>
      </w:r>
    </w:p>
    <w:p>
      <w:pPr>
        <w:pStyle w:val="BodyText"/>
        <w:ind w:left="1976"/>
      </w:pPr>
      <w:r>
        <w:rPr/>
        <w:t>（4）</w:t>
      </w:r>
      <w:r>
        <w:rPr>
          <w:spacing w:val="-1"/>
        </w:rPr>
        <w:t>皮肤癌</w:t>
      </w:r>
      <w:r>
        <w:rPr/>
        <w:t>（不包括恶性黑色素瘤及已发生转移的皮肤癌</w:t>
      </w:r>
      <w:r>
        <w:rPr>
          <w:spacing w:val="-106"/>
        </w:rPr>
        <w:t>）</w:t>
      </w:r>
      <w:r>
        <w:rPr/>
        <w:t>；</w:t>
      </w:r>
    </w:p>
    <w:p>
      <w:pPr>
        <w:pStyle w:val="BodyText"/>
        <w:ind w:left="1976"/>
      </w:pPr>
      <w:r>
        <w:rPr/>
        <w:t>（5）TNM 分期为 T1N0M0 期或更轻分期的前列腺癌；</w:t>
      </w:r>
    </w:p>
    <w:p>
      <w:pPr>
        <w:pStyle w:val="BodyText"/>
        <w:ind w:left="1976"/>
      </w:pPr>
      <w:r>
        <w:rPr/>
        <w:t>（6）感染艾滋病病毒或患艾滋病期间所患恶性肿瘤。</w:t>
      </w:r>
    </w:p>
    <w:p>
      <w:pPr>
        <w:pStyle w:val="BodyText"/>
        <w:spacing w:before="8"/>
        <w:rPr>
          <w:sz w:val="26"/>
        </w:rPr>
      </w:pPr>
    </w:p>
    <w:p>
      <w:pPr>
        <w:pStyle w:val="Heading5"/>
        <w:spacing w:before="1"/>
      </w:pPr>
      <w:r>
        <w:rPr>
          <w:w w:val="95"/>
        </w:rPr>
        <w:t>（二）脑炎后遗症或脑膜炎后遗症</w:t>
      </w:r>
    </w:p>
    <w:p>
      <w:pPr>
        <w:pStyle w:val="BodyText"/>
        <w:spacing w:line="273" w:lineRule="auto"/>
        <w:ind w:left="1976" w:right="218" w:firstLine="431"/>
      </w:pPr>
      <w:r>
        <w:rPr/>
        <w:t>指因患脑炎或脑膜炎导致的神经系统永久性的功能障碍。神经系统永久性的功能障碍，指疾病首次确诊 180 日后，仍残留下列一种或一种以上障碍：</w:t>
      </w:r>
    </w:p>
    <w:p>
      <w:pPr>
        <w:pStyle w:val="BodyText"/>
        <w:spacing w:before="7"/>
        <w:ind w:left="1976"/>
      </w:pPr>
      <w:r>
        <w:rPr/>
        <w:t>（1）一肢或一肢以上肢体机能完全丧失；</w:t>
      </w:r>
    </w:p>
    <w:p>
      <w:pPr>
        <w:pStyle w:val="BodyText"/>
        <w:spacing w:before="36"/>
        <w:ind w:left="1976"/>
      </w:pPr>
      <w:r>
        <w:rPr/>
        <w:t>（2）语言能力或咀嚼吞咽能力完全丧失；</w:t>
      </w:r>
    </w:p>
    <w:p>
      <w:pPr>
        <w:pStyle w:val="BodyText"/>
        <w:spacing w:line="273" w:lineRule="auto" w:before="36"/>
        <w:ind w:left="1976" w:right="172"/>
      </w:pPr>
      <w:r>
        <w:rPr/>
        <w:t>（3）自主生活能力完全丧失，无法独立完成六项基本日常生活活动中的三项或三项以上。</w:t>
      </w:r>
    </w:p>
    <w:p>
      <w:pPr>
        <w:pStyle w:val="BodyText"/>
        <w:spacing w:before="5"/>
        <w:rPr>
          <w:sz w:val="24"/>
        </w:rPr>
      </w:pPr>
    </w:p>
    <w:p>
      <w:pPr>
        <w:pStyle w:val="Heading5"/>
      </w:pPr>
      <w:r>
        <w:rPr/>
        <w:t>（三） 终末期肾病</w:t>
      </w:r>
    </w:p>
    <w:p>
      <w:pPr>
        <w:pStyle w:val="BodyText"/>
        <w:ind w:left="2408"/>
      </w:pPr>
      <w:r>
        <w:rPr/>
        <w:t>指双肾功能慢性不可逆性衰竭，达到尿毒症期，经诊断后已经进行了至少</w:t>
      </w:r>
    </w:p>
    <w:p>
      <w:pPr>
        <w:pStyle w:val="BodyText"/>
        <w:ind w:left="1976"/>
      </w:pPr>
      <w:r>
        <w:rPr/>
        <w:t>90 日的规律性透析治疗或实施了肾脏移植手术。</w:t>
      </w:r>
    </w:p>
    <w:p>
      <w:pPr>
        <w:pStyle w:val="BodyText"/>
        <w:spacing w:before="8"/>
        <w:rPr>
          <w:sz w:val="26"/>
        </w:rPr>
      </w:pPr>
    </w:p>
    <w:p>
      <w:pPr>
        <w:pStyle w:val="Heading5"/>
      </w:pPr>
      <w:r>
        <w:rPr>
          <w:w w:val="95"/>
        </w:rPr>
        <w:t>（四）重大器官移植术或造血干细胞移植术</w:t>
      </w:r>
    </w:p>
    <w:p>
      <w:pPr>
        <w:pStyle w:val="BodyText"/>
        <w:spacing w:line="273" w:lineRule="auto" w:before="36"/>
        <w:ind w:left="1976" w:right="218" w:firstLine="431"/>
      </w:pPr>
      <w:r>
        <w:rPr/>
        <w:t>重大器官移植术，指因相应器官功能衰竭，已经实施了肾脏、肝脏、心脏或肺脏的异体移植手术。</w:t>
      </w:r>
    </w:p>
    <w:p>
      <w:pPr>
        <w:pStyle w:val="BodyText"/>
        <w:spacing w:line="273" w:lineRule="auto" w:before="7"/>
        <w:ind w:left="1976" w:right="217" w:firstLine="431"/>
        <w:jc w:val="both"/>
      </w:pPr>
      <w:r>
        <w:rPr/>
        <w:t>造血干细胞移植术，指因造血功能损害或造血系统恶性肿瘤，已经实施了造血干细胞（包括骨髓造血干细胞、外周造血干细胞和脐血造血干细胞）的异体移植手术。</w:t>
      </w:r>
    </w:p>
    <w:p>
      <w:pPr>
        <w:pStyle w:val="BodyText"/>
        <w:spacing w:before="5"/>
        <w:rPr>
          <w:sz w:val="24"/>
        </w:rPr>
      </w:pPr>
    </w:p>
    <w:p>
      <w:pPr>
        <w:pStyle w:val="Heading5"/>
      </w:pPr>
      <w:r>
        <w:rPr/>
        <w:t>（五）严重 III 度烧伤</w:t>
      </w:r>
    </w:p>
    <w:p>
      <w:pPr>
        <w:pStyle w:val="BodyText"/>
        <w:spacing w:line="273" w:lineRule="auto" w:before="36"/>
        <w:ind w:left="1976" w:right="112" w:firstLine="431"/>
      </w:pPr>
      <w:r>
        <w:rPr>
          <w:spacing w:val="-13"/>
        </w:rPr>
        <w:t>指烧伤程度为Ⅲ度，且Ⅲ度烧伤面积达到全身体表面积的 </w:t>
      </w:r>
      <w:r>
        <w:rPr/>
        <w:t>20％</w:t>
      </w:r>
      <w:r>
        <w:rPr>
          <w:spacing w:val="-35"/>
        </w:rPr>
        <w:t>或 </w:t>
      </w:r>
      <w:r>
        <w:rPr/>
        <w:t>20％以上。</w:t>
      </w:r>
      <w:r>
        <w:rPr>
          <w:spacing w:val="-1"/>
        </w:rPr>
        <w:t>体表面积根据 《中国新九分法》计算。</w:t>
      </w:r>
    </w:p>
    <w:p>
      <w:pPr>
        <w:pStyle w:val="BodyText"/>
        <w:spacing w:before="4"/>
        <w:rPr>
          <w:sz w:val="24"/>
        </w:rPr>
      </w:pPr>
    </w:p>
    <w:p>
      <w:pPr>
        <w:pStyle w:val="Heading5"/>
        <w:spacing w:before="1"/>
      </w:pPr>
      <w:r>
        <w:rPr>
          <w:w w:val="95"/>
        </w:rPr>
        <w:t>（六）严重川崎病</w:t>
      </w:r>
    </w:p>
    <w:p>
      <w:pPr>
        <w:pStyle w:val="BodyText"/>
        <w:ind w:left="2396"/>
      </w:pPr>
      <w:r>
        <w:rPr/>
        <w:t>川崎病为一种病因不明的系统性血管炎。</w:t>
      </w:r>
    </w:p>
    <w:p>
      <w:pPr>
        <w:pStyle w:val="BodyText"/>
        <w:spacing w:line="273" w:lineRule="auto"/>
        <w:ind w:left="1976" w:right="215" w:firstLine="420"/>
      </w:pPr>
      <w:r>
        <w:rPr/>
        <w:t>本保单仅对诊断性检查证实川崎病并发动脉瘤或其他心血管异常，并且实际接受了手术治疗的情况予以理赔。</w:t>
      </w:r>
    </w:p>
    <w:p>
      <w:pPr>
        <w:pStyle w:val="BodyText"/>
        <w:spacing w:before="5"/>
        <w:rPr>
          <w:sz w:val="24"/>
        </w:rPr>
      </w:pPr>
    </w:p>
    <w:p>
      <w:pPr>
        <w:pStyle w:val="Heading5"/>
      </w:pPr>
      <w:r>
        <w:rPr/>
        <w:t>（七）1 型糖尿病</w:t>
      </w:r>
    </w:p>
    <w:p>
      <w:pPr>
        <w:pStyle w:val="BodyText"/>
        <w:spacing w:line="273" w:lineRule="auto" w:before="36"/>
        <w:ind w:left="1976" w:right="111" w:firstLine="420"/>
        <w:jc w:val="both"/>
      </w:pPr>
      <w:r>
        <w:rPr/>
        <w:t>1 型糖尿病的特征为由于胰岛素分泌绝对不足引起严重胰岛素缺乏导致慢性血糖升高，需要依赖外源性胰岛素进行机体的葡萄糖代谢和维持生命。被保</w:t>
      </w:r>
      <w:r>
        <w:rPr>
          <w:spacing w:val="-10"/>
        </w:rPr>
        <w:t>险人的 </w:t>
      </w:r>
      <w:r>
        <w:rPr/>
        <w:t>1</w:t>
      </w:r>
      <w:r>
        <w:rPr>
          <w:spacing w:val="-8"/>
        </w:rPr>
        <w:t> 型糖尿病必须诊断明确，而且有血胰岛素测定及血 </w:t>
      </w:r>
      <w:r>
        <w:rPr/>
        <w:t>C</w:t>
      </w:r>
      <w:r>
        <w:rPr>
          <w:spacing w:val="-16"/>
        </w:rPr>
        <w:t> 肽或尿 </w:t>
      </w:r>
      <w:r>
        <w:rPr/>
        <w:t>C</w:t>
      </w:r>
      <w:r>
        <w:rPr>
          <w:spacing w:val="-10"/>
        </w:rPr>
        <w:t> 肽测定</w:t>
      </w:r>
      <w:r>
        <w:rPr>
          <w:spacing w:val="-11"/>
        </w:rPr>
        <w:t>结果支持诊断，并且已经持续性地接受外源性胰岛素注射治疗连续 </w:t>
      </w:r>
      <w:r>
        <w:rPr/>
        <w:t>180</w:t>
      </w:r>
      <w:r>
        <w:rPr>
          <w:spacing w:val="-12"/>
        </w:rPr>
        <w:t> 日以上。</w:t>
      </w:r>
    </w:p>
    <w:p>
      <w:pPr>
        <w:pStyle w:val="BodyText"/>
        <w:spacing w:before="5"/>
        <w:rPr>
          <w:sz w:val="24"/>
        </w:rPr>
      </w:pPr>
    </w:p>
    <w:p>
      <w:pPr>
        <w:pStyle w:val="Heading5"/>
      </w:pPr>
      <w:r>
        <w:rPr>
          <w:w w:val="95"/>
        </w:rPr>
        <w:t>（八）多个肢体缺失</w:t>
      </w:r>
    </w:p>
    <w:p>
      <w:pPr>
        <w:pStyle w:val="BodyText"/>
        <w:spacing w:line="273" w:lineRule="auto"/>
        <w:ind w:left="1976" w:right="218" w:firstLine="431"/>
      </w:pPr>
      <w:r>
        <w:rPr/>
        <w:t>指因疾病或意外伤害导致两个或两个以上肢体自腕关节或踝关节近端（靠近躯干端）以上完全性断离。</w:t>
      </w:r>
    </w:p>
    <w:p>
      <w:pPr>
        <w:pStyle w:val="BodyText"/>
        <w:spacing w:before="5"/>
        <w:rPr>
          <w:sz w:val="24"/>
        </w:rPr>
      </w:pPr>
    </w:p>
    <w:p>
      <w:pPr>
        <w:pStyle w:val="Heading5"/>
        <w:spacing w:before="1"/>
      </w:pPr>
      <w:r>
        <w:rPr>
          <w:w w:val="95"/>
        </w:rPr>
        <w:t>（九）急性或亚急性重症肝炎</w:t>
      </w:r>
    </w:p>
    <w:p>
      <w:pPr>
        <w:pStyle w:val="BodyText"/>
        <w:spacing w:line="273" w:lineRule="auto"/>
        <w:ind w:left="1976" w:right="218" w:firstLine="431"/>
      </w:pPr>
      <w:r>
        <w:rPr/>
        <w:t>指因肝炎病毒感染引起肝组织弥漫性坏死，导致急性肝功能衰竭，且经血清学或病毒学检查证实，须满足下列全部条件：</w:t>
      </w:r>
    </w:p>
    <w:p>
      <w:pPr>
        <w:spacing w:after="0" w:line="273" w:lineRule="auto"/>
        <w:sectPr>
          <w:pgSz w:w="11910" w:h="16840"/>
          <w:pgMar w:top="1100" w:bottom="280" w:left="1680" w:right="800"/>
        </w:sectPr>
      </w:pPr>
    </w:p>
    <w:p>
      <w:pPr>
        <w:pStyle w:val="BodyText"/>
        <w:spacing w:before="19"/>
        <w:ind w:left="1976"/>
      </w:pPr>
      <w:r>
        <w:rPr/>
        <w:t>（1）重度黄疸或黄疸迅速加重；</w:t>
      </w:r>
    </w:p>
    <w:p>
      <w:pPr>
        <w:pStyle w:val="BodyText"/>
        <w:ind w:left="1976"/>
      </w:pPr>
      <w:r>
        <w:rPr/>
        <w:t>（2）肝性脑病；</w:t>
      </w:r>
    </w:p>
    <w:p>
      <w:pPr>
        <w:pStyle w:val="BodyText"/>
        <w:ind w:left="1976"/>
      </w:pPr>
      <w:r>
        <w:rPr/>
        <w:t>（3）B 超或其他影像学检查显示肝脏体积急速萎缩；</w:t>
      </w:r>
    </w:p>
    <w:p>
      <w:pPr>
        <w:pStyle w:val="BodyText"/>
        <w:ind w:left="1976"/>
      </w:pPr>
      <w:r>
        <w:rPr/>
        <w:t>（4）肝功能指标进行性恶化。</w:t>
      </w:r>
    </w:p>
    <w:p>
      <w:pPr>
        <w:pStyle w:val="BodyText"/>
        <w:spacing w:before="8"/>
        <w:rPr>
          <w:sz w:val="26"/>
        </w:rPr>
      </w:pPr>
    </w:p>
    <w:p>
      <w:pPr>
        <w:pStyle w:val="Heading5"/>
        <w:spacing w:before="1"/>
      </w:pPr>
      <w:r>
        <w:rPr>
          <w:w w:val="95"/>
        </w:rPr>
        <w:t>（十）良性脑肿瘤</w:t>
      </w:r>
    </w:p>
    <w:p>
      <w:pPr>
        <w:pStyle w:val="BodyText"/>
        <w:spacing w:line="273" w:lineRule="auto"/>
        <w:ind w:left="1976" w:right="117" w:firstLine="431"/>
        <w:jc w:val="both"/>
      </w:pPr>
      <w:r>
        <w:rPr/>
        <w:t>指脑的良性肿瘤，已经引起颅内压增高，临床表现为视神经乳头水肿、精</w:t>
      </w:r>
      <w:r>
        <w:rPr>
          <w:spacing w:val="-4"/>
        </w:rPr>
        <w:t>神症状、癫痫及运动感觉障碍等，并危及生命。须由头颅断层扫描</w:t>
      </w:r>
      <w:r>
        <w:rPr/>
        <w:t>（CT</w:t>
      </w:r>
      <w:r>
        <w:rPr>
          <w:spacing w:val="-105"/>
        </w:rPr>
        <w:t>）</w:t>
      </w:r>
      <w:r>
        <w:rPr>
          <w:spacing w:val="-2"/>
        </w:rPr>
        <w:t>、核磁共振检查（MRI）或正电子发射断层扫描（PET）等影像学检查证实，并须满足下列至少一项条件：</w:t>
      </w:r>
    </w:p>
    <w:p>
      <w:pPr>
        <w:pStyle w:val="BodyText"/>
        <w:spacing w:before="7"/>
        <w:ind w:left="1976"/>
      </w:pPr>
      <w:r>
        <w:rPr/>
        <w:t>（1）实际实施了开颅进行的脑肿瘤完全切除或部分切除的手术；</w:t>
      </w:r>
    </w:p>
    <w:p>
      <w:pPr>
        <w:pStyle w:val="BodyText"/>
        <w:spacing w:before="36"/>
        <w:ind w:left="1976"/>
      </w:pPr>
      <w:r>
        <w:rPr/>
        <w:t>（2）实际实施了对脑肿瘤进行的放射治疗。</w:t>
      </w:r>
    </w:p>
    <w:p>
      <w:pPr>
        <w:pStyle w:val="BodyText"/>
        <w:spacing w:before="36"/>
        <w:ind w:left="2408"/>
      </w:pPr>
      <w:r>
        <w:rPr/>
        <w:t>脑垂体瘤、脑囊肿、脑血管性疾病不在保障范围内。</w:t>
      </w:r>
    </w:p>
    <w:p>
      <w:pPr>
        <w:pStyle w:val="BodyText"/>
        <w:spacing w:before="8"/>
        <w:rPr>
          <w:sz w:val="26"/>
        </w:rPr>
      </w:pPr>
    </w:p>
    <w:p>
      <w:pPr>
        <w:pStyle w:val="Heading5"/>
      </w:pPr>
      <w:r>
        <w:rPr>
          <w:w w:val="95"/>
        </w:rPr>
        <w:t>（十一）深度昏迷</w:t>
      </w:r>
    </w:p>
    <w:p>
      <w:pPr>
        <w:pStyle w:val="BodyText"/>
        <w:spacing w:line="273" w:lineRule="auto" w:before="36"/>
        <w:ind w:left="1976" w:right="117" w:firstLine="431"/>
        <w:jc w:val="both"/>
      </w:pPr>
      <w:r>
        <w:rPr>
          <w:spacing w:val="-2"/>
        </w:rPr>
        <w:t>指因疾病或意外伤害导致意识丧失,对外界刺激和体内需求均无反应，昏迷程度按照格拉斯哥昏迷分级（Glasgow </w:t>
      </w:r>
      <w:r>
        <w:rPr/>
        <w:t>coma scale）</w:t>
      </w:r>
      <w:r>
        <w:rPr>
          <w:spacing w:val="-9"/>
        </w:rPr>
        <w:t>结果为 </w:t>
      </w:r>
      <w:r>
        <w:rPr/>
        <w:t>5</w:t>
      </w:r>
      <w:r>
        <w:rPr>
          <w:spacing w:val="-18"/>
        </w:rPr>
        <w:t> 分或 </w:t>
      </w:r>
      <w:r>
        <w:rPr/>
        <w:t>5</w:t>
      </w:r>
      <w:r>
        <w:rPr>
          <w:spacing w:val="-8"/>
        </w:rPr>
        <w:t> 分以下， </w:t>
      </w:r>
      <w:r>
        <w:rPr>
          <w:spacing w:val="-11"/>
        </w:rPr>
        <w:t>且已经持续使用呼吸机及其它生命维持系统 </w:t>
      </w:r>
      <w:r>
        <w:rPr/>
        <w:t>96</w:t>
      </w:r>
      <w:r>
        <w:rPr>
          <w:spacing w:val="-12"/>
        </w:rPr>
        <w:t> 小时以上。</w:t>
      </w:r>
    </w:p>
    <w:p>
      <w:pPr>
        <w:pStyle w:val="BodyText"/>
        <w:spacing w:before="7"/>
        <w:ind w:left="2408"/>
      </w:pPr>
      <w:r>
        <w:rPr/>
        <w:t>由于酗酒或药物滥用导致的深度昏迷不在保障范围内。</w:t>
      </w:r>
    </w:p>
    <w:p>
      <w:pPr>
        <w:pStyle w:val="BodyText"/>
        <w:spacing w:before="8"/>
        <w:rPr>
          <w:sz w:val="26"/>
        </w:rPr>
      </w:pPr>
    </w:p>
    <w:p>
      <w:pPr>
        <w:pStyle w:val="Heading5"/>
        <w:spacing w:before="1"/>
      </w:pPr>
      <w:r>
        <w:rPr>
          <w:w w:val="95"/>
        </w:rPr>
        <w:t>（十二）双耳失聪</w:t>
      </w:r>
    </w:p>
    <w:p>
      <w:pPr>
        <w:pStyle w:val="BodyText"/>
        <w:ind w:left="2408"/>
      </w:pPr>
      <w:r>
        <w:rPr/>
        <w:t>指因疾病或意外伤害导致双耳听力永久不可逆性丧失，在 500 赫兹、1000</w:t>
      </w:r>
    </w:p>
    <w:p>
      <w:pPr>
        <w:pStyle w:val="BodyText"/>
        <w:spacing w:line="273" w:lineRule="auto"/>
        <w:ind w:left="1976" w:right="115"/>
      </w:pPr>
      <w:r>
        <w:rPr>
          <w:spacing w:val="-8"/>
        </w:rPr>
        <w:t>赫兹和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line="273" w:lineRule="auto" w:before="8"/>
        <w:ind w:left="1976" w:right="118" w:firstLine="431"/>
        <w:jc w:val="both"/>
      </w:pPr>
      <w:r>
        <w:rPr/>
        <w:t>被保险人申请理赔时年龄必须在三周岁以上，并且提供理赔当时的听力丧失诊断及检查证据。</w:t>
      </w:r>
    </w:p>
    <w:p>
      <w:pPr>
        <w:pStyle w:val="BodyText"/>
        <w:spacing w:before="5"/>
        <w:rPr>
          <w:sz w:val="24"/>
        </w:rPr>
      </w:pPr>
    </w:p>
    <w:p>
      <w:pPr>
        <w:pStyle w:val="Heading5"/>
        <w:spacing w:before="1"/>
      </w:pPr>
      <w:r>
        <w:rPr>
          <w:w w:val="95"/>
        </w:rPr>
        <w:t>（十三）双目失明</w:t>
      </w:r>
    </w:p>
    <w:p>
      <w:pPr>
        <w:pStyle w:val="BodyText"/>
        <w:spacing w:line="273" w:lineRule="auto"/>
        <w:ind w:left="1976" w:right="115" w:firstLine="420"/>
        <w:jc w:val="both"/>
      </w:pPr>
      <w:r>
        <w:rPr/>
        <w:t>指因疾病或意外伤害导致双目视力永久不可逆性丧失，双眼中较好眼须满足下列至少一项条件：</w:t>
      </w:r>
    </w:p>
    <w:p>
      <w:pPr>
        <w:pStyle w:val="BodyText"/>
        <w:spacing w:before="7"/>
        <w:ind w:left="1976"/>
      </w:pPr>
      <w:r>
        <w:rPr/>
        <w:t>（1）眼球缺失或摘除；</w:t>
      </w:r>
    </w:p>
    <w:p>
      <w:pPr>
        <w:pStyle w:val="BodyText"/>
        <w:spacing w:line="273" w:lineRule="auto" w:before="36"/>
        <w:ind w:left="1976" w:right="117"/>
      </w:pPr>
      <w:r>
        <w:rPr>
          <w:spacing w:val="-8"/>
        </w:rPr>
        <w:t>（2）矫正视力低于 </w:t>
      </w:r>
      <w:r>
        <w:rPr>
          <w:spacing w:val="-5"/>
        </w:rPr>
        <w:t>0.02（</w:t>
      </w:r>
      <w:r>
        <w:rPr>
          <w:spacing w:val="-3"/>
        </w:rPr>
        <w:t>采用国际标准视力表，如果使用其他视力表应进行换算</w:t>
      </w:r>
      <w:r>
        <w:rPr>
          <w:spacing w:val="-105"/>
        </w:rPr>
        <w:t>）</w:t>
      </w:r>
      <w:r>
        <w:rPr/>
        <w:t>；</w:t>
      </w:r>
    </w:p>
    <w:p>
      <w:pPr>
        <w:pStyle w:val="BodyText"/>
        <w:spacing w:before="7"/>
        <w:ind w:left="1976"/>
      </w:pPr>
      <w:r>
        <w:rPr/>
        <w:t>（3）视野半径小于 5 度。</w:t>
      </w:r>
    </w:p>
    <w:p>
      <w:pPr>
        <w:pStyle w:val="BodyText"/>
        <w:spacing w:line="273" w:lineRule="auto"/>
        <w:ind w:left="1976" w:right="118" w:firstLine="431"/>
        <w:jc w:val="both"/>
      </w:pPr>
      <w:r>
        <w:rPr/>
        <w:t>被保险人申请理赔时年龄必须在三周岁以上，并且提供理赔当时的视力丧失诊断及检查证据。</w:t>
      </w:r>
    </w:p>
    <w:p>
      <w:pPr>
        <w:pStyle w:val="BodyText"/>
        <w:spacing w:before="5"/>
        <w:rPr>
          <w:sz w:val="24"/>
        </w:rPr>
      </w:pPr>
    </w:p>
    <w:p>
      <w:pPr>
        <w:pStyle w:val="Heading5"/>
      </w:pPr>
      <w:r>
        <w:rPr>
          <w:w w:val="95"/>
        </w:rPr>
        <w:t>（十四）瘫痪</w:t>
      </w:r>
    </w:p>
    <w:p>
      <w:pPr>
        <w:pStyle w:val="BodyText"/>
        <w:spacing w:line="273" w:lineRule="auto" w:before="36"/>
        <w:ind w:left="1976" w:right="117" w:firstLine="431"/>
        <w:jc w:val="both"/>
      </w:pPr>
      <w:r>
        <w:rPr/>
        <w:t>指因疾病或意外伤害导致两肢或两肢以上肢体机能永久完全丧失。肢体机</w:t>
      </w:r>
      <w:r>
        <w:rPr>
          <w:spacing w:val="-6"/>
        </w:rPr>
        <w:t>能永久完全丧失，指疾病确诊 </w:t>
      </w:r>
      <w:r>
        <w:rPr/>
        <w:t>180</w:t>
      </w:r>
      <w:r>
        <w:rPr>
          <w:spacing w:val="-13"/>
        </w:rPr>
        <w:t> 日后或意外伤害发生 </w:t>
      </w:r>
      <w:r>
        <w:rPr/>
        <w:t>180</w:t>
      </w:r>
      <w:r>
        <w:rPr>
          <w:spacing w:val="-18"/>
        </w:rPr>
        <w:t> 日后，、每肢三大关节中的两大关节仍然完全僵硬，或不能随意识活动。</w:t>
      </w:r>
    </w:p>
    <w:p>
      <w:pPr>
        <w:pStyle w:val="BodyText"/>
        <w:spacing w:before="5"/>
        <w:rPr>
          <w:sz w:val="24"/>
        </w:rPr>
      </w:pPr>
    </w:p>
    <w:p>
      <w:pPr>
        <w:pStyle w:val="Heading5"/>
      </w:pPr>
      <w:r>
        <w:rPr>
          <w:w w:val="95"/>
        </w:rPr>
        <w:t>（十五）严重脑损伤</w:t>
      </w:r>
    </w:p>
    <w:p>
      <w:pPr>
        <w:pStyle w:val="BodyText"/>
        <w:spacing w:line="273" w:lineRule="auto"/>
        <w:ind w:left="1976" w:right="114" w:firstLine="431"/>
        <w:jc w:val="both"/>
      </w:pPr>
      <w:r>
        <w:rPr/>
        <w:t>指因头部遭受机械性外力，引起脑重要部位损伤，导致神经系统永久性的功能障碍。须由头颅断层扫描</w:t>
      </w:r>
      <w:r>
        <w:rPr>
          <w:spacing w:val="1"/>
        </w:rPr>
        <w:t>（</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或正电子发射断层</w:t>
      </w:r>
      <w:r>
        <w:rPr>
          <w:spacing w:val="-2"/>
        </w:rPr>
        <w:t>扫描</w:t>
      </w:r>
      <w:r>
        <w:rPr/>
        <w:t>（PET）</w:t>
      </w:r>
      <w:r>
        <w:rPr>
          <w:spacing w:val="-4"/>
        </w:rPr>
        <w:t>等影像学检查证实。神经系统永久性的功能障碍，指脑损伤 </w:t>
      </w:r>
      <w:r>
        <w:rPr/>
        <w:t>180</w:t>
      </w:r>
      <w:r>
        <w:rPr>
          <w:spacing w:val="-28"/>
        </w:rPr>
        <w:t> 日</w:t>
      </w:r>
    </w:p>
    <w:p>
      <w:pPr>
        <w:spacing w:after="0" w:line="273" w:lineRule="auto"/>
        <w:jc w:val="both"/>
        <w:sectPr>
          <w:pgSz w:w="11910" w:h="16840"/>
          <w:pgMar w:top="1100" w:bottom="280" w:left="1680" w:right="900"/>
        </w:sectPr>
      </w:pPr>
    </w:p>
    <w:p>
      <w:pPr>
        <w:pStyle w:val="BodyText"/>
        <w:spacing w:before="19"/>
        <w:ind w:left="1976"/>
      </w:pPr>
      <w:r>
        <w:rPr/>
        <w:t>后，仍遗留下列一种或一种以上障碍：</w:t>
      </w:r>
    </w:p>
    <w:p>
      <w:pPr>
        <w:pStyle w:val="BodyText"/>
        <w:ind w:left="1976"/>
      </w:pPr>
      <w:r>
        <w:rPr/>
        <w:t>（1）一肢或一肢以上肢体机能完全丧失；</w:t>
      </w:r>
    </w:p>
    <w:p>
      <w:pPr>
        <w:pStyle w:val="BodyText"/>
        <w:ind w:left="1976"/>
      </w:pPr>
      <w:r>
        <w:rPr/>
        <w:t>（2）语言能力或咀嚼吞咽能力完全丧失；</w:t>
      </w:r>
    </w:p>
    <w:p>
      <w:pPr>
        <w:pStyle w:val="BodyText"/>
        <w:spacing w:line="273" w:lineRule="auto"/>
        <w:ind w:left="1976" w:right="72"/>
      </w:pPr>
      <w:r>
        <w:rPr/>
        <w:t>（3）自主生活能力完全丧失，无法独立完成六项基本日常生活活动中的三项或三项以上。</w:t>
      </w:r>
    </w:p>
    <w:p>
      <w:pPr>
        <w:pStyle w:val="BodyText"/>
        <w:spacing w:before="5"/>
        <w:rPr>
          <w:sz w:val="24"/>
        </w:rPr>
      </w:pPr>
    </w:p>
    <w:p>
      <w:pPr>
        <w:pStyle w:val="Heading5"/>
      </w:pPr>
      <w:r>
        <w:rPr>
          <w:w w:val="95"/>
        </w:rPr>
        <w:t>（十六）严重原发性肺动脉高压</w:t>
      </w:r>
    </w:p>
    <w:p>
      <w:pPr>
        <w:pStyle w:val="BodyText"/>
        <w:spacing w:line="273" w:lineRule="auto" w:before="36"/>
        <w:ind w:left="1976" w:right="117" w:firstLine="431"/>
        <w:jc w:val="both"/>
      </w:pP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pStyle w:val="BodyText"/>
        <w:spacing w:before="5"/>
        <w:rPr>
          <w:sz w:val="24"/>
        </w:rPr>
      </w:pPr>
    </w:p>
    <w:p>
      <w:pPr>
        <w:pStyle w:val="Heading5"/>
      </w:pPr>
      <w:r>
        <w:rPr>
          <w:w w:val="95"/>
        </w:rPr>
        <w:t>（十七）严重运动神经元病</w:t>
      </w:r>
    </w:p>
    <w:p>
      <w:pPr>
        <w:pStyle w:val="BodyText"/>
        <w:spacing w:line="273" w:lineRule="auto"/>
        <w:ind w:left="1976" w:right="117"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5"/>
      </w:pPr>
      <w:r>
        <w:rPr>
          <w:w w:val="95"/>
        </w:rPr>
        <w:t>（十八）语言能力丧失</w:t>
      </w:r>
    </w:p>
    <w:p>
      <w:pPr>
        <w:pStyle w:val="BodyText"/>
        <w:spacing w:line="273" w:lineRule="auto" w:before="36"/>
        <w:ind w:left="1976" w:right="117" w:firstLine="431"/>
        <w:jc w:val="both"/>
      </w:pPr>
      <w:r>
        <w:rPr>
          <w:spacing w:val="-9"/>
        </w:rPr>
        <w:t>指因疾病或意外伤害导致完全丧失语言能力，经过积极治疗至少 </w:t>
      </w:r>
      <w:r>
        <w:rPr/>
        <w:t>12</w:t>
      </w:r>
      <w:r>
        <w:rPr>
          <w:spacing w:val="-58"/>
        </w:rPr>
        <w:t> 个月</w:t>
      </w:r>
      <w:r>
        <w:rPr/>
        <w:t>（声带完全切除不受此时间限制</w:t>
      </w:r>
      <w:r>
        <w:rPr>
          <w:spacing w:val="-105"/>
        </w:rPr>
        <w:t>）</w:t>
      </w:r>
      <w:r>
        <w:rPr>
          <w:spacing w:val="-1"/>
        </w:rPr>
        <w:t>，仍无法通过现有医疗手段恢复。</w:t>
      </w:r>
    </w:p>
    <w:p>
      <w:pPr>
        <w:pStyle w:val="BodyText"/>
        <w:spacing w:before="7"/>
        <w:ind w:left="2408"/>
      </w:pPr>
      <w:r>
        <w:rPr/>
        <w:t>精神心理因素所致的语言能力丧失不在保障范围内。</w:t>
      </w:r>
    </w:p>
    <w:p>
      <w:pPr>
        <w:pStyle w:val="BodyText"/>
        <w:spacing w:line="297" w:lineRule="auto" w:before="16"/>
        <w:ind w:left="1976" w:right="118" w:firstLine="431"/>
        <w:jc w:val="both"/>
      </w:pPr>
      <w:r>
        <w:rPr/>
        <w:t>被保险人申请理赔时年龄必须在三周岁以上，并且提供理赔当时的语言能力丧失诊断及检查证据。</w:t>
      </w:r>
    </w:p>
    <w:p>
      <w:pPr>
        <w:pStyle w:val="BodyText"/>
        <w:spacing w:before="8"/>
        <w:rPr>
          <w:sz w:val="28"/>
        </w:rPr>
      </w:pPr>
    </w:p>
    <w:p>
      <w:pPr>
        <w:pStyle w:val="Heading5"/>
      </w:pPr>
      <w:r>
        <w:rPr>
          <w:w w:val="95"/>
        </w:rPr>
        <w:t>（十九）重型再生障碍性贫血</w:t>
      </w:r>
    </w:p>
    <w:p>
      <w:pPr>
        <w:pStyle w:val="BodyText"/>
        <w:spacing w:line="273" w:lineRule="auto" w:before="36"/>
        <w:ind w:left="1976" w:right="118" w:firstLine="431"/>
        <w:jc w:val="both"/>
      </w:pPr>
      <w:r>
        <w:rPr/>
        <w:t>指因骨髓造血功能慢性持续性衰竭导致的贫血、中性粒细胞减少及血小板减少，须满足下列全部条件：</w:t>
      </w:r>
    </w:p>
    <w:p>
      <w:pPr>
        <w:pStyle w:val="BodyText"/>
        <w:spacing w:before="7"/>
        <w:ind w:left="1976"/>
      </w:pPr>
      <w:r>
        <w:rPr/>
        <w:t>（1）骨髓穿刺检查或骨髓活检结果支持诊断；</w:t>
      </w:r>
    </w:p>
    <w:p>
      <w:pPr>
        <w:pStyle w:val="BodyText"/>
        <w:ind w:left="1976"/>
      </w:pPr>
      <w:r>
        <w:rPr/>
        <w:t>（2）外周血象必须具备以下三项条件：</w:t>
      </w:r>
    </w:p>
    <w:p>
      <w:pPr>
        <w:pStyle w:val="BodyText"/>
        <w:ind w:left="2636"/>
      </w:pPr>
      <w:r>
        <w:rPr/>
        <w:t>① 中性粒细胞绝对值≤0.5×10</w:t>
      </w:r>
      <w:r>
        <w:rPr>
          <w:position w:val="11"/>
          <w:sz w:val="11"/>
        </w:rPr>
        <w:t>9</w:t>
      </w:r>
      <w:r>
        <w:rPr/>
        <w:t>/L；</w:t>
      </w:r>
    </w:p>
    <w:p>
      <w:pPr>
        <w:pStyle w:val="BodyText"/>
        <w:ind w:left="2636"/>
      </w:pPr>
      <w:r>
        <w:rPr/>
        <w:t>② 网织红细胞＜1%；</w:t>
      </w:r>
    </w:p>
    <w:p>
      <w:pPr>
        <w:pStyle w:val="BodyText"/>
        <w:ind w:left="2636"/>
      </w:pPr>
      <w:r>
        <w:rPr/>
        <w:t>③ 血小板绝对值≤20×10</w:t>
      </w:r>
      <w:r>
        <w:rPr>
          <w:position w:val="11"/>
          <w:sz w:val="11"/>
        </w:rPr>
        <w:t>9</w:t>
      </w:r>
      <w:r>
        <w:rPr/>
        <w:t>/L。</w:t>
      </w:r>
    </w:p>
    <w:p>
      <w:pPr>
        <w:pStyle w:val="BodyText"/>
        <w:spacing w:before="0"/>
        <w:rPr>
          <w:sz w:val="26"/>
        </w:rPr>
      </w:pPr>
    </w:p>
    <w:p>
      <w:pPr>
        <w:spacing w:before="0"/>
        <w:ind w:left="1976" w:right="0" w:firstLine="0"/>
        <w:jc w:val="left"/>
        <w:rPr>
          <w:b/>
          <w:sz w:val="22"/>
        </w:rPr>
      </w:pPr>
      <w:r>
        <w:rPr>
          <w:b/>
          <w:w w:val="95"/>
          <w:sz w:val="21"/>
        </w:rPr>
        <w:t>（二十）</w:t>
      </w:r>
      <w:r>
        <w:rPr>
          <w:b/>
          <w:w w:val="95"/>
          <w:sz w:val="22"/>
        </w:rPr>
        <w:t>经输血导致的人类免疫缺陷病毒感染</w:t>
      </w:r>
    </w:p>
    <w:p>
      <w:pPr>
        <w:pStyle w:val="BodyText"/>
        <w:spacing w:before="31"/>
        <w:ind w:left="2408"/>
      </w:pPr>
      <w:r>
        <w:rPr/>
        <w:t>被保险人感染上人类免疫缺陷病毒（HIV）并且满足下列全部条件：</w:t>
      </w:r>
    </w:p>
    <w:p>
      <w:pPr>
        <w:pStyle w:val="BodyText"/>
        <w:spacing w:before="36"/>
        <w:ind w:left="2402"/>
      </w:pPr>
      <w:r>
        <w:rPr/>
        <w:t>（1）在保障起始日或复效日之后，被保险人因输血而感染 HIV；</w:t>
      </w:r>
    </w:p>
    <w:p>
      <w:pPr>
        <w:pStyle w:val="BodyText"/>
        <w:spacing w:line="273" w:lineRule="auto" w:before="36"/>
        <w:ind w:left="1976" w:right="117" w:firstLine="426"/>
        <w:jc w:val="both"/>
      </w:pPr>
      <w:r>
        <w:rPr>
          <w:spacing w:val="-8"/>
        </w:rPr>
        <w:t>（2）</w:t>
      </w:r>
      <w:r>
        <w:rPr/>
        <w:t>提供输血治疗的输血中心或医院出具该项输血感染属医疗责任事故的报告，或者法院终审裁定为医疗责任并且不准上诉；</w:t>
      </w:r>
    </w:p>
    <w:p>
      <w:pPr>
        <w:pStyle w:val="BodyText"/>
        <w:spacing w:before="7"/>
        <w:ind w:left="2402"/>
      </w:pPr>
      <w:r>
        <w:rPr/>
        <w:t>（3）受感染的被保险人不是血友病患者。</w:t>
      </w:r>
    </w:p>
    <w:p>
      <w:pPr>
        <w:pStyle w:val="BodyText"/>
        <w:spacing w:line="273" w:lineRule="auto"/>
        <w:ind w:left="1976" w:right="118" w:firstLine="426"/>
        <w:jc w:val="both"/>
      </w:pPr>
      <w:r>
        <w:rPr/>
        <w:t>在任何治愈艾滋病（AIDS）</w:t>
      </w:r>
      <w:r>
        <w:rPr>
          <w:spacing w:val="-4"/>
        </w:rPr>
        <w:t>或阻止 </w:t>
      </w:r>
      <w:r>
        <w:rPr/>
        <w:t>HIV</w:t>
      </w:r>
      <w:r>
        <w:rPr>
          <w:spacing w:val="-3"/>
        </w:rPr>
        <w:t> 病毒作用的疗法被发现以后，或能</w:t>
      </w:r>
      <w:r>
        <w:rPr>
          <w:spacing w:val="-25"/>
        </w:rPr>
        <w:t>防止 </w:t>
      </w:r>
      <w:r>
        <w:rPr/>
        <w:t>AIDS</w:t>
      </w:r>
      <w:r>
        <w:rPr>
          <w:spacing w:val="-9"/>
        </w:rPr>
        <w:t> 发生的医疗方法被研究出来以后，本保障将不再予以赔付。</w:t>
      </w:r>
    </w:p>
    <w:p>
      <w:pPr>
        <w:pStyle w:val="BodyText"/>
        <w:spacing w:line="273" w:lineRule="auto" w:before="8"/>
        <w:ind w:left="1976" w:right="116" w:firstLine="426"/>
        <w:jc w:val="both"/>
      </w:pPr>
      <w:r>
        <w:rPr/>
        <w:t>任何因其他传播方式（包括：性传播或静脉注射毒品）</w:t>
      </w:r>
      <w:r>
        <w:rPr>
          <w:spacing w:val="-4"/>
        </w:rPr>
        <w:t>导致的 </w:t>
      </w:r>
      <w:r>
        <w:rPr/>
        <w:t>HIV</w:t>
      </w:r>
      <w:r>
        <w:rPr>
          <w:spacing w:val="-3"/>
        </w:rPr>
        <w:t> 感染不在本保单保障范围内。保险公司必须拥有获得使用被保险人的所有血液样本的权利和能够对这些样本进行独立检验的权利。</w:t>
      </w:r>
    </w:p>
    <w:p>
      <w:pPr>
        <w:pStyle w:val="BodyText"/>
        <w:spacing w:before="5"/>
        <w:rPr>
          <w:sz w:val="24"/>
        </w:rPr>
      </w:pPr>
    </w:p>
    <w:p>
      <w:pPr>
        <w:pStyle w:val="Heading5"/>
        <w:spacing w:before="1"/>
      </w:pPr>
      <w:r>
        <w:rPr>
          <w:w w:val="95"/>
        </w:rPr>
        <w:t>（二十一）严重心肌病</w:t>
      </w:r>
    </w:p>
    <w:p>
      <w:pPr>
        <w:spacing w:after="0"/>
        <w:sectPr>
          <w:pgSz w:w="11910" w:h="16840"/>
          <w:pgMar w:top="1100" w:bottom="280" w:left="1680" w:right="900"/>
        </w:sectPr>
      </w:pPr>
    </w:p>
    <w:p>
      <w:pPr>
        <w:pStyle w:val="BodyText"/>
        <w:spacing w:line="266" w:lineRule="auto" w:before="19"/>
        <w:ind w:left="2736" w:right="217" w:firstLine="431"/>
        <w:jc w:val="both"/>
      </w:pPr>
      <w:r>
        <w:rPr/>
        <w:t>指被保人因心肌病导致慢性心功能损害造成永久不可逆性的心功能衰竭。</w:t>
      </w:r>
      <w:r>
        <w:rPr>
          <w:spacing w:val="-2"/>
        </w:rPr>
        <w:t>心功能衰竭程度达到纽约心脏病学会的心功能分级标准之心功能 </w:t>
      </w:r>
      <w:r>
        <w:rPr>
          <w:rFonts w:ascii="Arial" w:eastAsia="Arial"/>
        </w:rPr>
        <w:t>IV </w:t>
      </w:r>
      <w:r>
        <w:rPr/>
        <w:t>级。被保险人永久不可逆性的体力活动能力受限，不能从事任何体力活动。</w:t>
      </w:r>
    </w:p>
    <w:p>
      <w:pPr>
        <w:pStyle w:val="BodyText"/>
        <w:spacing w:before="11"/>
        <w:rPr>
          <w:sz w:val="24"/>
        </w:rPr>
      </w:pPr>
    </w:p>
    <w:p>
      <w:pPr>
        <w:pStyle w:val="Heading5"/>
        <w:spacing w:before="1"/>
        <w:ind w:left="2736"/>
      </w:pPr>
      <w:r>
        <w:rPr>
          <w:w w:val="95"/>
        </w:rPr>
        <w:t>（二十二）脊髓灰质炎</w:t>
      </w:r>
    </w:p>
    <w:p>
      <w:pPr>
        <w:spacing w:line="259" w:lineRule="auto" w:before="29"/>
        <w:ind w:left="2736" w:right="215" w:firstLine="440"/>
        <w:jc w:val="left"/>
        <w:rPr>
          <w:sz w:val="22"/>
        </w:rPr>
      </w:pPr>
      <w:r>
        <w:rPr>
          <w:spacing w:val="-2"/>
          <w:sz w:val="22"/>
        </w:rPr>
        <w:t>脊髓灰质炎是由于脊髓灰质炎病毒感染所致的瘫痪性疾病，临床表现为</w:t>
      </w:r>
      <w:r>
        <w:rPr>
          <w:spacing w:val="-5"/>
          <w:sz w:val="22"/>
        </w:rPr>
        <w:t>运动功能损害或呼吸无力。脊髓灰质炎必须明确诊断。本保单仅对脊髓灰质炎造成的神经系统功能损害导致被保险人一肢或一肢以上肢体机能永久完</w:t>
      </w:r>
      <w:r>
        <w:rPr>
          <w:spacing w:val="-9"/>
          <w:sz w:val="22"/>
        </w:rPr>
        <w:t>全丧失的情况予以理赔。肢体机能永久完全丧失，指疾病确诊 </w:t>
      </w:r>
      <w:r>
        <w:rPr>
          <w:sz w:val="22"/>
        </w:rPr>
        <w:t>180</w:t>
      </w:r>
      <w:r>
        <w:rPr>
          <w:spacing w:val="-15"/>
          <w:sz w:val="22"/>
        </w:rPr>
        <w:t> 日后，每</w:t>
      </w:r>
      <w:r>
        <w:rPr>
          <w:spacing w:val="-15"/>
          <w:w w:val="95"/>
          <w:sz w:val="22"/>
        </w:rPr>
        <w:t>肢三大关节中的两大关节仍然完全僵硬，或不能随意识活动。</w:t>
      </w:r>
    </w:p>
    <w:p>
      <w:pPr>
        <w:pStyle w:val="BodyText"/>
        <w:spacing w:before="12"/>
        <w:rPr>
          <w:sz w:val="24"/>
        </w:rPr>
      </w:pPr>
    </w:p>
    <w:p>
      <w:pPr>
        <w:pStyle w:val="ListParagraph"/>
        <w:numPr>
          <w:ilvl w:val="1"/>
          <w:numId w:val="12"/>
        </w:numPr>
        <w:tabs>
          <w:tab w:pos="756" w:val="left" w:leader="none"/>
          <w:tab w:pos="757" w:val="left" w:leader="none"/>
          <w:tab w:pos="2736" w:val="left" w:leader="none"/>
        </w:tabs>
        <w:spacing w:line="247" w:lineRule="auto" w:before="0" w:after="0"/>
        <w:ind w:left="2736" w:right="305" w:hanging="2635"/>
        <w:jc w:val="left"/>
        <w:rPr>
          <w:sz w:val="21"/>
        </w:rPr>
      </w:pPr>
      <w:r>
        <w:rPr>
          <w:b/>
          <w:position w:val="-2"/>
          <w:sz w:val="21"/>
        </w:rPr>
        <w:t>成人重大疾病</w:t>
        <w:tab/>
      </w:r>
      <w:r>
        <w:rPr>
          <w:sz w:val="21"/>
        </w:rPr>
        <w:t>以下重大疾病定义是由中国保险行业协会与中国医师协会共同制定的重大疾病保险的疾病定义。</w:t>
      </w:r>
    </w:p>
    <w:p>
      <w:pPr>
        <w:pStyle w:val="BodyText"/>
        <w:spacing w:before="2"/>
        <w:rPr>
          <w:sz w:val="26"/>
        </w:rPr>
      </w:pPr>
    </w:p>
    <w:p>
      <w:pPr>
        <w:pStyle w:val="Heading5"/>
        <w:ind w:left="2736"/>
      </w:pPr>
      <w:r>
        <w:rPr>
          <w:w w:val="95"/>
        </w:rPr>
        <w:t>（一）恶性肿瘤</w:t>
      </w:r>
    </w:p>
    <w:p>
      <w:pPr>
        <w:pStyle w:val="BodyText"/>
        <w:spacing w:line="273" w:lineRule="auto"/>
        <w:ind w:left="2736" w:right="112" w:firstLine="420"/>
        <w:jc w:val="both"/>
      </w:pPr>
      <w:r>
        <w:rPr/>
        <w:t>指恶性细胞不受控制的进行性增长和扩散，浸润和破坏周围正常组织，可以经血管、淋巴管和体腔扩散转移到身体其它部位的疾病。经病理学检查结果</w:t>
      </w:r>
      <w:r>
        <w:rPr>
          <w:spacing w:val="-3"/>
        </w:rPr>
        <w:t>明确诊断，临床诊断属于世界卫生组织《疾病和有关健康问题的国际统计分类》</w:t>
      </w:r>
    </w:p>
    <w:p>
      <w:pPr>
        <w:pStyle w:val="BodyText"/>
        <w:spacing w:before="8"/>
        <w:ind w:left="2736"/>
      </w:pPr>
      <w:r>
        <w:rPr/>
        <w:t>（ICD-10）的恶性肿瘤范畴。</w:t>
      </w:r>
    </w:p>
    <w:p>
      <w:pPr>
        <w:pStyle w:val="BodyText"/>
        <w:ind w:left="3261"/>
      </w:pPr>
      <w:r>
        <w:rPr/>
        <w:t>下列疾病不在保障范围内：</w:t>
      </w:r>
    </w:p>
    <w:p>
      <w:pPr>
        <w:pStyle w:val="BodyText"/>
        <w:ind w:left="2736"/>
      </w:pPr>
      <w:r>
        <w:rPr/>
        <w:t>（1）原位癌；</w:t>
      </w:r>
    </w:p>
    <w:p>
      <w:pPr>
        <w:pStyle w:val="BodyText"/>
        <w:ind w:left="2736"/>
      </w:pPr>
      <w:r>
        <w:rPr/>
        <w:t>（2）相当于Binet 分期方案 A 期程度的慢性淋巴细胞白血病；</w:t>
      </w:r>
    </w:p>
    <w:p>
      <w:pPr>
        <w:pStyle w:val="BodyText"/>
        <w:ind w:left="2736"/>
      </w:pPr>
      <w:r>
        <w:rPr/>
        <w:t>（3）相当于Ann Arbor 分期方案 I 期程度的何杰金氏病；</w:t>
      </w:r>
    </w:p>
    <w:p>
      <w:pPr>
        <w:pStyle w:val="BodyText"/>
        <w:ind w:left="2736"/>
      </w:pPr>
      <w:r>
        <w:rPr/>
        <w:t>（4）</w:t>
      </w:r>
      <w:r>
        <w:rPr>
          <w:spacing w:val="-1"/>
        </w:rPr>
        <w:t>皮肤癌</w:t>
      </w:r>
      <w:r>
        <w:rPr/>
        <w:t>（不包括恶性黑色素瘤及已发生转移的皮肤癌</w:t>
      </w:r>
      <w:r>
        <w:rPr>
          <w:spacing w:val="-106"/>
        </w:rPr>
        <w:t>）</w:t>
      </w:r>
      <w:r>
        <w:rPr/>
        <w:t>；</w:t>
      </w:r>
    </w:p>
    <w:p>
      <w:pPr>
        <w:pStyle w:val="BodyText"/>
        <w:ind w:left="2736"/>
      </w:pPr>
      <w:r>
        <w:rPr/>
        <w:t>（5）TNM 分期为 T1N0M0 期或更轻分期的前列腺癌；</w:t>
      </w:r>
    </w:p>
    <w:p>
      <w:pPr>
        <w:pStyle w:val="BodyText"/>
        <w:ind w:left="2736"/>
      </w:pPr>
      <w:r>
        <w:rPr/>
        <w:t>（6）感染艾滋病病毒或患艾滋病期间所患恶性肿瘤。</w:t>
      </w:r>
    </w:p>
    <w:p>
      <w:pPr>
        <w:pStyle w:val="BodyText"/>
        <w:spacing w:before="8"/>
        <w:rPr>
          <w:sz w:val="26"/>
        </w:rPr>
      </w:pPr>
    </w:p>
    <w:p>
      <w:pPr>
        <w:pStyle w:val="Heading5"/>
        <w:ind w:left="2736"/>
      </w:pPr>
      <w:r>
        <w:rPr>
          <w:w w:val="95"/>
        </w:rPr>
        <w:t>（二）急性心肌梗塞</w:t>
      </w:r>
    </w:p>
    <w:p>
      <w:pPr>
        <w:pStyle w:val="BodyText"/>
        <w:spacing w:line="273" w:lineRule="auto" w:before="36"/>
        <w:ind w:left="2736" w:right="218" w:firstLine="431"/>
        <w:jc w:val="both"/>
      </w:pPr>
      <w:r>
        <w:rPr/>
        <w:t>指因冠状动脉阻塞导致的相应区域供血不足造成部分心肌坏死。须满足下列至少三项条件：</w:t>
      </w:r>
    </w:p>
    <w:p>
      <w:pPr>
        <w:pStyle w:val="BodyText"/>
        <w:spacing w:before="7"/>
        <w:ind w:left="2736"/>
      </w:pPr>
      <w:r>
        <w:rPr/>
        <w:t>（1）典型临床表现，例如急性胸痛等；</w:t>
      </w:r>
    </w:p>
    <w:p>
      <w:pPr>
        <w:pStyle w:val="BodyText"/>
        <w:ind w:left="2736"/>
      </w:pPr>
      <w:r>
        <w:rPr/>
        <w:t>（2）新近的心电图改变提示急性心肌梗塞；</w:t>
      </w:r>
    </w:p>
    <w:p>
      <w:pPr>
        <w:pStyle w:val="BodyText"/>
        <w:spacing w:line="273" w:lineRule="auto"/>
        <w:ind w:left="2736" w:right="172"/>
      </w:pPr>
      <w:r>
        <w:rPr/>
        <w:t>（3）心肌酶或肌钙蛋白有诊断意义的升高，或呈符合急性心肌梗塞的动态性变化；</w:t>
      </w:r>
    </w:p>
    <w:p>
      <w:pPr>
        <w:pStyle w:val="BodyText"/>
        <w:spacing w:before="7"/>
        <w:ind w:left="2736"/>
      </w:pPr>
      <w:r>
        <w:rPr/>
        <w:t>（4）</w:t>
      </w:r>
      <w:r>
        <w:rPr>
          <w:spacing w:val="-18"/>
        </w:rPr>
        <w:t>发病 </w:t>
      </w:r>
      <w:r>
        <w:rPr/>
        <w:t>90</w:t>
      </w:r>
      <w:r>
        <w:rPr>
          <w:spacing w:val="-10"/>
        </w:rPr>
        <w:t> 日后，经检查证实左室功能降低的，如左心室射血分数低于 </w:t>
      </w:r>
      <w:r>
        <w:rPr/>
        <w:t>50%。</w:t>
      </w:r>
    </w:p>
    <w:p>
      <w:pPr>
        <w:pStyle w:val="BodyText"/>
        <w:spacing w:before="8"/>
        <w:rPr>
          <w:sz w:val="26"/>
        </w:rPr>
      </w:pPr>
    </w:p>
    <w:p>
      <w:pPr>
        <w:pStyle w:val="Heading5"/>
        <w:ind w:left="2736"/>
      </w:pPr>
      <w:r>
        <w:rPr>
          <w:w w:val="95"/>
        </w:rPr>
        <w:t>（三）脑中风后遗症</w:t>
      </w:r>
    </w:p>
    <w:p>
      <w:pPr>
        <w:pStyle w:val="BodyText"/>
        <w:spacing w:line="273" w:lineRule="auto" w:before="36"/>
        <w:ind w:left="2736" w:right="217" w:firstLine="431"/>
        <w:jc w:val="both"/>
      </w:pPr>
      <w:r>
        <w:rPr/>
        <w:t>指因脑血管的突发病变引起脑血管出血、栓塞或梗塞，并导致神经系统永</w:t>
      </w:r>
      <w:r>
        <w:rPr>
          <w:spacing w:val="-1"/>
        </w:rPr>
        <w:t>久性功能障碍。神经系统永久性的功能障碍，指疾病确诊 </w:t>
      </w:r>
      <w:r>
        <w:rPr/>
        <w:t>180</w:t>
      </w:r>
      <w:r>
        <w:rPr>
          <w:spacing w:val="-3"/>
        </w:rPr>
        <w:t> 日后，仍遗留下列一种或一种以上障碍：</w:t>
      </w:r>
    </w:p>
    <w:p>
      <w:pPr>
        <w:pStyle w:val="BodyText"/>
        <w:spacing w:before="7"/>
        <w:ind w:left="2736"/>
      </w:pPr>
      <w:r>
        <w:rPr/>
        <w:t>（1）一肢或一肢以上肢体机能完全丧失；</w:t>
      </w:r>
    </w:p>
    <w:p>
      <w:pPr>
        <w:pStyle w:val="BodyText"/>
        <w:ind w:left="2736"/>
      </w:pPr>
      <w:r>
        <w:rPr/>
        <w:t>（2）语言能力或咀嚼吞咽能力完全丧失；</w:t>
      </w:r>
    </w:p>
    <w:p>
      <w:pPr>
        <w:pStyle w:val="BodyText"/>
        <w:spacing w:line="273" w:lineRule="auto"/>
        <w:ind w:left="2736" w:right="172"/>
      </w:pPr>
      <w:r>
        <w:rPr/>
        <w:t>（3）自主生活能力完全丧失，无法独立完成六项基本日常生活活动中的三项或三项以上。</w:t>
      </w:r>
    </w:p>
    <w:p>
      <w:pPr>
        <w:pStyle w:val="BodyText"/>
        <w:spacing w:before="5"/>
        <w:rPr>
          <w:sz w:val="24"/>
        </w:rPr>
      </w:pPr>
    </w:p>
    <w:p>
      <w:pPr>
        <w:pStyle w:val="Heading5"/>
        <w:ind w:left="2736"/>
      </w:pPr>
      <w:r>
        <w:rPr>
          <w:w w:val="95"/>
        </w:rPr>
        <w:t>（四）重大器官移植术或造血干细胞移植术</w:t>
      </w:r>
    </w:p>
    <w:p>
      <w:pPr>
        <w:spacing w:after="0"/>
        <w:sectPr>
          <w:pgSz w:w="11910" w:h="16840"/>
          <w:pgMar w:top="1100" w:bottom="280" w:left="920" w:right="800"/>
        </w:sectPr>
      </w:pPr>
    </w:p>
    <w:p>
      <w:pPr>
        <w:pStyle w:val="BodyText"/>
        <w:spacing w:line="273" w:lineRule="auto" w:before="19"/>
        <w:ind w:left="1976" w:right="118" w:firstLine="431"/>
        <w:jc w:val="both"/>
      </w:pPr>
      <w:r>
        <w:rPr/>
        <w:t>重大器官移植术，指因相应器官功能衰竭，已经实施了肾脏、肝脏、心脏或肺脏的异体移植手术。</w:t>
      </w:r>
    </w:p>
    <w:p>
      <w:pPr>
        <w:pStyle w:val="BodyText"/>
        <w:spacing w:line="273" w:lineRule="auto" w:before="7"/>
        <w:ind w:left="1976" w:right="117" w:firstLine="431"/>
        <w:jc w:val="both"/>
      </w:pPr>
      <w:r>
        <w:rPr/>
        <w:t>造血干细胞移植术，指因造血功能损害或造血系统恶性肿瘤，已经实施了造血干细胞（包括骨髓造血干细胞、外周造血干细胞和脐血造血干细胞）的异体移植手术。</w:t>
      </w:r>
    </w:p>
    <w:p>
      <w:pPr>
        <w:pStyle w:val="BodyText"/>
        <w:spacing w:before="5"/>
        <w:rPr>
          <w:sz w:val="24"/>
        </w:rPr>
      </w:pPr>
    </w:p>
    <w:p>
      <w:pPr>
        <w:pStyle w:val="Heading5"/>
      </w:pPr>
      <w:r>
        <w:rPr>
          <w:w w:val="95"/>
        </w:rPr>
        <w:t>（五）冠状动脉搭桥术</w:t>
      </w:r>
    </w:p>
    <w:p>
      <w:pPr>
        <w:pStyle w:val="BodyText"/>
        <w:spacing w:line="273" w:lineRule="auto"/>
        <w:ind w:left="1976" w:right="118" w:firstLine="431"/>
        <w:jc w:val="both"/>
      </w:pPr>
      <w:r>
        <w:rPr/>
        <w:t>指为治疗严重的冠心病，实际实施了开胸进行的冠状动脉血管旁路移植的手术。</w:t>
      </w:r>
    </w:p>
    <w:p>
      <w:pPr>
        <w:pStyle w:val="BodyText"/>
        <w:spacing w:line="273" w:lineRule="auto" w:before="7"/>
        <w:ind w:left="1976" w:right="118" w:firstLine="431"/>
        <w:jc w:val="both"/>
      </w:pPr>
      <w:r>
        <w:rPr/>
        <w:t>冠状动脉支架植入手术、心导管球囊扩张术、激光射频技术及其他非开胸的介入手术、腔镜手术不在保障范围内。</w:t>
      </w:r>
    </w:p>
    <w:p>
      <w:pPr>
        <w:pStyle w:val="BodyText"/>
        <w:spacing w:before="5"/>
        <w:rPr>
          <w:sz w:val="24"/>
        </w:rPr>
      </w:pPr>
    </w:p>
    <w:p>
      <w:pPr>
        <w:pStyle w:val="Heading5"/>
      </w:pPr>
      <w:r>
        <w:rPr>
          <w:w w:val="95"/>
        </w:rPr>
        <w:t>（六）终末期肾病</w:t>
      </w:r>
    </w:p>
    <w:p>
      <w:pPr>
        <w:pStyle w:val="BodyText"/>
        <w:ind w:left="2408"/>
      </w:pPr>
      <w:r>
        <w:rPr/>
        <w:t>指双肾功能慢性不可逆性衰竭，达到尿毒症期，经诊断后已经进行了至少</w:t>
      </w:r>
    </w:p>
    <w:p>
      <w:pPr>
        <w:pStyle w:val="BodyText"/>
        <w:ind w:left="1976"/>
      </w:pPr>
      <w:r>
        <w:rPr/>
        <w:t>90 日的规律性透析治疗或实施了肾脏移植手术。</w:t>
      </w:r>
    </w:p>
    <w:p>
      <w:pPr>
        <w:pStyle w:val="BodyText"/>
        <w:spacing w:before="8"/>
        <w:rPr>
          <w:sz w:val="26"/>
        </w:rPr>
      </w:pPr>
    </w:p>
    <w:p>
      <w:pPr>
        <w:pStyle w:val="Heading5"/>
        <w:spacing w:before="1"/>
      </w:pPr>
      <w:r>
        <w:rPr>
          <w:w w:val="95"/>
        </w:rPr>
        <w:t>（七）多个肢体缺失</w:t>
      </w:r>
    </w:p>
    <w:p>
      <w:pPr>
        <w:pStyle w:val="BodyText"/>
        <w:spacing w:line="273" w:lineRule="auto"/>
        <w:ind w:left="1976" w:right="118" w:firstLine="431"/>
        <w:jc w:val="both"/>
      </w:pPr>
      <w:r>
        <w:rPr/>
        <w:t>指因疾病或意外伤害导致两个或两个以上肢体自腕关节或踝关节近端（靠近躯干端）以上完全性断离。</w:t>
      </w:r>
    </w:p>
    <w:p>
      <w:pPr>
        <w:pStyle w:val="BodyText"/>
        <w:spacing w:before="5"/>
        <w:rPr>
          <w:sz w:val="24"/>
        </w:rPr>
      </w:pPr>
    </w:p>
    <w:p>
      <w:pPr>
        <w:pStyle w:val="Heading5"/>
      </w:pPr>
      <w:r>
        <w:rPr>
          <w:w w:val="95"/>
        </w:rPr>
        <w:t>（八）急性或亚急性重症肝炎</w:t>
      </w:r>
    </w:p>
    <w:p>
      <w:pPr>
        <w:pStyle w:val="BodyText"/>
        <w:spacing w:line="273" w:lineRule="auto" w:before="36"/>
        <w:ind w:left="1976" w:right="118" w:firstLine="431"/>
        <w:jc w:val="both"/>
      </w:pPr>
      <w:r>
        <w:rPr/>
        <w:t>指因肝炎病毒感染引起肝组织弥漫性坏死，导致急性肝功能衰竭，且经血清学或病毒学检查证实，须满足下列全部条件：</w:t>
      </w:r>
    </w:p>
    <w:p>
      <w:pPr>
        <w:pStyle w:val="BodyText"/>
        <w:spacing w:before="7"/>
        <w:ind w:left="1976"/>
      </w:pPr>
      <w:r>
        <w:rPr/>
        <w:t>（1）重度黄疸或黄疸迅速加重；</w:t>
      </w:r>
    </w:p>
    <w:p>
      <w:pPr>
        <w:pStyle w:val="BodyText"/>
        <w:ind w:left="1976"/>
      </w:pPr>
      <w:r>
        <w:rPr/>
        <w:t>（2）肝性脑病；</w:t>
      </w:r>
    </w:p>
    <w:p>
      <w:pPr>
        <w:pStyle w:val="BodyText"/>
        <w:ind w:left="1976"/>
      </w:pPr>
      <w:r>
        <w:rPr/>
        <w:t>（3）B 超或其他影像学检查显示肝脏体积急速萎缩；</w:t>
      </w:r>
    </w:p>
    <w:p>
      <w:pPr>
        <w:pStyle w:val="BodyText"/>
        <w:ind w:left="1976"/>
      </w:pPr>
      <w:r>
        <w:rPr/>
        <w:t>（4）肝功能指标进行性恶化。</w:t>
      </w:r>
    </w:p>
    <w:p>
      <w:pPr>
        <w:pStyle w:val="BodyText"/>
        <w:spacing w:before="8"/>
        <w:rPr>
          <w:sz w:val="26"/>
        </w:rPr>
      </w:pPr>
    </w:p>
    <w:p>
      <w:pPr>
        <w:pStyle w:val="Heading5"/>
      </w:pPr>
      <w:r>
        <w:rPr>
          <w:w w:val="95"/>
        </w:rPr>
        <w:t>（九）良性脑肿瘤</w:t>
      </w:r>
    </w:p>
    <w:p>
      <w:pPr>
        <w:pStyle w:val="BodyText"/>
        <w:spacing w:line="273" w:lineRule="auto" w:before="36"/>
        <w:ind w:left="1976" w:right="117" w:firstLine="431"/>
        <w:jc w:val="both"/>
      </w:pPr>
      <w:r>
        <w:rPr/>
        <w:t>指脑的良性肿瘤，已经引起颅内压增高，临床表现为视神经乳头水肿、精</w:t>
      </w:r>
      <w:r>
        <w:rPr>
          <w:spacing w:val="-4"/>
        </w:rPr>
        <w:t>神症状、癫痫及运动感觉障碍等，并危及生命。须由头颅断层扫描</w:t>
      </w:r>
      <w:r>
        <w:rPr/>
        <w:t>（CT</w:t>
      </w:r>
      <w:r>
        <w:rPr>
          <w:spacing w:val="-105"/>
        </w:rPr>
        <w:t>）</w:t>
      </w:r>
      <w:r>
        <w:rPr>
          <w:spacing w:val="-2"/>
        </w:rPr>
        <w:t>、核磁共振检查（MRI）或正电子发射断层扫描（PET）等影像学检查证实，并须满足下列至少一项条件：</w:t>
      </w:r>
    </w:p>
    <w:p>
      <w:pPr>
        <w:pStyle w:val="BodyText"/>
        <w:spacing w:before="7"/>
        <w:ind w:left="1976"/>
      </w:pPr>
      <w:r>
        <w:rPr/>
        <w:t>（1）实际实施了开颅进行的脑肿瘤完全切除或部分切除的手术；</w:t>
      </w:r>
    </w:p>
    <w:p>
      <w:pPr>
        <w:pStyle w:val="BodyText"/>
        <w:ind w:left="1976"/>
      </w:pPr>
      <w:r>
        <w:rPr/>
        <w:t>（2）实际实施了对脑肿瘤进行的放射治疗。</w:t>
      </w:r>
    </w:p>
    <w:p>
      <w:pPr>
        <w:pStyle w:val="BodyText"/>
        <w:ind w:left="2408"/>
      </w:pPr>
      <w:r>
        <w:rPr/>
        <w:t>脑垂体瘤、脑囊肿、脑血管性疾病不在保障范围内。</w:t>
      </w:r>
    </w:p>
    <w:p>
      <w:pPr>
        <w:pStyle w:val="BodyText"/>
        <w:spacing w:before="8"/>
        <w:rPr>
          <w:sz w:val="26"/>
        </w:rPr>
      </w:pPr>
    </w:p>
    <w:p>
      <w:pPr>
        <w:pStyle w:val="Heading5"/>
      </w:pPr>
      <w:r>
        <w:rPr>
          <w:w w:val="95"/>
        </w:rPr>
        <w:t>（十）慢性肝功能衰竭失代偿期</w:t>
      </w:r>
    </w:p>
    <w:p>
      <w:pPr>
        <w:pStyle w:val="BodyText"/>
        <w:spacing w:before="36"/>
        <w:ind w:left="2408"/>
      </w:pPr>
      <w:r>
        <w:rPr/>
        <w:t>指因慢性肝脏疾病导致肝功能衰竭，须满足下列全部条件：</w:t>
      </w:r>
    </w:p>
    <w:p>
      <w:pPr>
        <w:pStyle w:val="BodyText"/>
        <w:spacing w:before="36"/>
        <w:ind w:left="1976"/>
      </w:pPr>
      <w:r>
        <w:rPr/>
        <w:t>（1）持续性黄疸；</w:t>
      </w:r>
    </w:p>
    <w:p>
      <w:pPr>
        <w:pStyle w:val="BodyText"/>
        <w:spacing w:before="36"/>
        <w:ind w:left="1976"/>
      </w:pPr>
      <w:r>
        <w:rPr/>
        <w:t>（2）腹水；</w:t>
      </w:r>
    </w:p>
    <w:p>
      <w:pPr>
        <w:pStyle w:val="BodyText"/>
        <w:spacing w:before="36"/>
        <w:ind w:left="1976"/>
      </w:pPr>
      <w:r>
        <w:rPr/>
        <w:t>（3）肝性脑病；</w:t>
      </w:r>
    </w:p>
    <w:p>
      <w:pPr>
        <w:pStyle w:val="BodyText"/>
        <w:spacing w:before="36"/>
        <w:ind w:left="1976"/>
      </w:pPr>
      <w:r>
        <w:rPr/>
        <w:t>（4）充血性脾肿大伴脾功能亢进或食管胃底静脉曲张。</w:t>
      </w:r>
    </w:p>
    <w:p>
      <w:pPr>
        <w:pStyle w:val="BodyText"/>
        <w:spacing w:before="36"/>
        <w:ind w:left="2408"/>
      </w:pPr>
      <w:r>
        <w:rPr/>
        <w:t>因酗酒或药物滥用导致的肝功能衰竭不在保障范围内。</w:t>
      </w:r>
    </w:p>
    <w:p>
      <w:pPr>
        <w:pStyle w:val="BodyText"/>
        <w:spacing w:before="8"/>
        <w:rPr>
          <w:sz w:val="26"/>
        </w:rPr>
      </w:pPr>
    </w:p>
    <w:p>
      <w:pPr>
        <w:pStyle w:val="Heading5"/>
      </w:pPr>
      <w:r>
        <w:rPr>
          <w:w w:val="95"/>
        </w:rPr>
        <w:t>（十一）脑炎后遗症或脑膜炎后遗症</w:t>
      </w:r>
    </w:p>
    <w:p>
      <w:pPr>
        <w:spacing w:after="0"/>
        <w:sectPr>
          <w:pgSz w:w="11910" w:h="16840"/>
          <w:pgMar w:top="1100" w:bottom="280" w:left="1680" w:right="900"/>
        </w:sectPr>
      </w:pPr>
    </w:p>
    <w:p>
      <w:pPr>
        <w:pStyle w:val="BodyText"/>
        <w:spacing w:line="273" w:lineRule="auto" w:before="19"/>
        <w:ind w:left="1976" w:right="118" w:firstLine="431"/>
        <w:jc w:val="both"/>
      </w:pPr>
      <w:r>
        <w:rPr/>
        <w:t>指因患脑炎或脑膜炎导致的神经系统永久性的功能障碍。神经系统永久性的功能障碍，指疾病首次确诊 180 日后，仍残留下列一种或一种以上障碍：</w:t>
      </w:r>
    </w:p>
    <w:p>
      <w:pPr>
        <w:pStyle w:val="BodyText"/>
        <w:spacing w:before="7"/>
        <w:ind w:left="1976"/>
      </w:pPr>
      <w:r>
        <w:rPr/>
        <w:t>（1）一肢或一肢以上肢体机能完全丧失；</w:t>
      </w:r>
    </w:p>
    <w:p>
      <w:pPr>
        <w:pStyle w:val="BodyText"/>
        <w:spacing w:before="36"/>
        <w:ind w:left="1976"/>
      </w:pPr>
      <w:r>
        <w:rPr/>
        <w:t>（2）语言能力或咀嚼吞咽能力完全丧失；</w:t>
      </w:r>
    </w:p>
    <w:p>
      <w:pPr>
        <w:pStyle w:val="BodyText"/>
        <w:spacing w:line="273" w:lineRule="auto" w:before="36"/>
        <w:ind w:left="1976" w:right="72"/>
      </w:pPr>
      <w:r>
        <w:rPr/>
        <w:t>（3）自主生活能力完全丧失，无法独立完成六项基本日常生活活动中的三项或三项以上。</w:t>
      </w:r>
    </w:p>
    <w:p>
      <w:pPr>
        <w:pStyle w:val="BodyText"/>
        <w:spacing w:before="5"/>
        <w:rPr>
          <w:sz w:val="24"/>
        </w:rPr>
      </w:pPr>
    </w:p>
    <w:p>
      <w:pPr>
        <w:pStyle w:val="Heading5"/>
      </w:pPr>
      <w:r>
        <w:rPr>
          <w:w w:val="95"/>
        </w:rPr>
        <w:t>（十二）深度昏迷</w:t>
      </w:r>
    </w:p>
    <w:p>
      <w:pPr>
        <w:pStyle w:val="BodyText"/>
        <w:spacing w:line="273" w:lineRule="auto"/>
        <w:ind w:left="1976" w:right="117" w:firstLine="431"/>
        <w:jc w:val="both"/>
      </w:pPr>
      <w:r>
        <w:rPr>
          <w:spacing w:val="-2"/>
        </w:rPr>
        <w:t>指因疾病或意外伤害导致意识丧失,对外界刺激和体内需求均无反应，昏迷程度按照格拉斯哥昏迷分级（Glasgow </w:t>
      </w:r>
      <w:r>
        <w:rPr/>
        <w:t>coma scale）</w:t>
      </w:r>
      <w:r>
        <w:rPr>
          <w:spacing w:val="-9"/>
        </w:rPr>
        <w:t>结果为 </w:t>
      </w:r>
      <w:r>
        <w:rPr/>
        <w:t>5</w:t>
      </w:r>
      <w:r>
        <w:rPr>
          <w:spacing w:val="-18"/>
        </w:rPr>
        <w:t> 分或 </w:t>
      </w:r>
      <w:r>
        <w:rPr/>
        <w:t>5</w:t>
      </w:r>
      <w:r>
        <w:rPr>
          <w:spacing w:val="-8"/>
        </w:rPr>
        <w:t> 分以下， </w:t>
      </w:r>
      <w:r>
        <w:rPr>
          <w:spacing w:val="-11"/>
        </w:rPr>
        <w:t>且已经持续使用呼吸机及其它生命维持系统 </w:t>
      </w:r>
      <w:r>
        <w:rPr/>
        <w:t>96</w:t>
      </w:r>
      <w:r>
        <w:rPr>
          <w:spacing w:val="-12"/>
        </w:rPr>
        <w:t> 小时以上。</w:t>
      </w:r>
    </w:p>
    <w:p>
      <w:pPr>
        <w:pStyle w:val="BodyText"/>
        <w:spacing w:before="7"/>
        <w:ind w:left="2408"/>
      </w:pPr>
      <w:r>
        <w:rPr/>
        <w:t>由于酗酒或药物滥用导致的深度昏迷不在保障范围内。</w:t>
      </w:r>
    </w:p>
    <w:p>
      <w:pPr>
        <w:pStyle w:val="BodyText"/>
        <w:spacing w:before="8"/>
        <w:rPr>
          <w:sz w:val="26"/>
        </w:rPr>
      </w:pPr>
    </w:p>
    <w:p>
      <w:pPr>
        <w:pStyle w:val="Heading5"/>
      </w:pPr>
      <w:r>
        <w:rPr>
          <w:w w:val="95"/>
        </w:rPr>
        <w:t>（十三）双耳失聪</w:t>
      </w:r>
    </w:p>
    <w:p>
      <w:pPr>
        <w:pStyle w:val="BodyText"/>
        <w:ind w:left="2408"/>
      </w:pPr>
      <w:r>
        <w:rPr/>
        <w:t>指因疾病或意外伤害导致双耳听力永久不可逆性丧失，在 500 赫兹、1000</w:t>
      </w:r>
    </w:p>
    <w:p>
      <w:pPr>
        <w:pStyle w:val="BodyText"/>
        <w:spacing w:line="273" w:lineRule="auto"/>
        <w:ind w:left="1976" w:right="115"/>
      </w:pPr>
      <w:r>
        <w:rPr>
          <w:spacing w:val="-8"/>
        </w:rPr>
        <w:t>赫兹和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before="5"/>
        <w:rPr>
          <w:sz w:val="24"/>
        </w:rPr>
      </w:pPr>
    </w:p>
    <w:p>
      <w:pPr>
        <w:pStyle w:val="Heading5"/>
      </w:pPr>
      <w:r>
        <w:rPr>
          <w:w w:val="95"/>
        </w:rPr>
        <w:t>（十四）双目失明</w:t>
      </w:r>
    </w:p>
    <w:p>
      <w:pPr>
        <w:pStyle w:val="BodyText"/>
        <w:spacing w:line="273" w:lineRule="auto" w:before="36"/>
        <w:ind w:left="1976" w:right="114" w:firstLine="420"/>
        <w:jc w:val="both"/>
      </w:pPr>
      <w:r>
        <w:rPr/>
        <w:t>指因疾病或意外伤害导致双目视力永久不可逆性丧失，双眼中较好眼须满足下列至少一项条件：</w:t>
      </w:r>
    </w:p>
    <w:p>
      <w:pPr>
        <w:pStyle w:val="BodyText"/>
        <w:spacing w:before="7"/>
        <w:ind w:left="1976"/>
      </w:pPr>
      <w:r>
        <w:rPr/>
        <w:t>（1）眼球缺失或摘除；</w:t>
      </w:r>
    </w:p>
    <w:p>
      <w:pPr>
        <w:pStyle w:val="BodyText"/>
        <w:spacing w:line="273" w:lineRule="auto"/>
        <w:ind w:left="1976" w:right="117"/>
      </w:pPr>
      <w:r>
        <w:rPr>
          <w:spacing w:val="-8"/>
        </w:rPr>
        <w:t>（2）矫正视力低于 </w:t>
      </w:r>
      <w:r>
        <w:rPr>
          <w:spacing w:val="-5"/>
        </w:rPr>
        <w:t>0.02（</w:t>
      </w:r>
      <w:r>
        <w:rPr>
          <w:spacing w:val="-3"/>
        </w:rPr>
        <w:t>采用国际标准视力表，如果使用其他视力表应进行换算</w:t>
      </w:r>
      <w:r>
        <w:rPr>
          <w:spacing w:val="-105"/>
        </w:rPr>
        <w:t>）</w:t>
      </w:r>
      <w:r>
        <w:rPr/>
        <w:t>；</w:t>
      </w:r>
    </w:p>
    <w:p>
      <w:pPr>
        <w:pStyle w:val="BodyText"/>
        <w:spacing w:before="7"/>
        <w:ind w:left="1976"/>
      </w:pPr>
      <w:r>
        <w:rPr/>
        <w:t>（3）视野半径小于 5 度。</w:t>
      </w:r>
    </w:p>
    <w:p>
      <w:pPr>
        <w:pStyle w:val="BodyText"/>
        <w:spacing w:before="8"/>
        <w:rPr>
          <w:sz w:val="26"/>
        </w:rPr>
      </w:pPr>
    </w:p>
    <w:p>
      <w:pPr>
        <w:pStyle w:val="Heading5"/>
      </w:pPr>
      <w:r>
        <w:rPr>
          <w:w w:val="95"/>
        </w:rPr>
        <w:t>（十五）瘫痪</w:t>
      </w:r>
    </w:p>
    <w:p>
      <w:pPr>
        <w:pStyle w:val="BodyText"/>
        <w:spacing w:line="273" w:lineRule="auto"/>
        <w:ind w:left="1976" w:right="117" w:firstLine="431"/>
        <w:jc w:val="both"/>
      </w:pPr>
      <w:r>
        <w:rPr/>
        <w:t>指因疾病或意外伤害导致两肢或两肢以上肢体机能永久完全丧失。肢体机</w:t>
      </w:r>
      <w:r>
        <w:rPr>
          <w:spacing w:val="-6"/>
        </w:rPr>
        <w:t>能永久完全丧失，指疾病确诊 </w:t>
      </w:r>
      <w:r>
        <w:rPr/>
        <w:t>180</w:t>
      </w:r>
      <w:r>
        <w:rPr>
          <w:spacing w:val="-13"/>
        </w:rPr>
        <w:t> 日后或意外伤害发生 </w:t>
      </w:r>
      <w:r>
        <w:rPr/>
        <w:t>180</w:t>
      </w:r>
      <w:r>
        <w:rPr>
          <w:spacing w:val="-18"/>
        </w:rPr>
        <w:t> 日后，、每肢三大关节中的两大关节仍然完全僵硬，或不能随意识活动。</w:t>
      </w:r>
    </w:p>
    <w:p>
      <w:pPr>
        <w:pStyle w:val="BodyText"/>
        <w:spacing w:before="5"/>
        <w:rPr>
          <w:sz w:val="24"/>
        </w:rPr>
      </w:pPr>
    </w:p>
    <w:p>
      <w:pPr>
        <w:pStyle w:val="Heading5"/>
        <w:spacing w:before="1"/>
      </w:pPr>
      <w:r>
        <w:rPr>
          <w:w w:val="95"/>
        </w:rPr>
        <w:t>（十六）心脏瓣膜手术</w:t>
      </w:r>
    </w:p>
    <w:p>
      <w:pPr>
        <w:pStyle w:val="BodyText"/>
        <w:ind w:left="2408"/>
      </w:pPr>
      <w:r>
        <w:rPr/>
        <w:t>指为治疗心脏瓣膜疾病，实际实施了开胸进行的心脏瓣膜置换或修复的手</w:t>
      </w:r>
    </w:p>
    <w:p>
      <w:pPr>
        <w:pStyle w:val="BodyText"/>
        <w:ind w:left="1976"/>
      </w:pPr>
      <w:r>
        <w:rPr/>
        <w:t>术。</w:t>
      </w:r>
    </w:p>
    <w:p>
      <w:pPr>
        <w:pStyle w:val="BodyText"/>
        <w:spacing w:before="9"/>
        <w:rPr>
          <w:sz w:val="26"/>
        </w:rPr>
      </w:pPr>
    </w:p>
    <w:p>
      <w:pPr>
        <w:pStyle w:val="Heading5"/>
      </w:pPr>
      <w:r>
        <w:rPr>
          <w:w w:val="95"/>
        </w:rPr>
        <w:t>（十七）严重阿尔茨海默病</w:t>
      </w:r>
    </w:p>
    <w:p>
      <w:pPr>
        <w:pStyle w:val="BodyText"/>
        <w:spacing w:line="273" w:lineRule="auto"/>
        <w:ind w:left="1976" w:right="116" w:firstLine="431"/>
        <w:jc w:val="both"/>
      </w:pPr>
      <w:r>
        <w:rPr/>
        <w:t>指因大脑进行性、不可逆性改变导致智能严重衰退或丧失，临床表现为明显的认知能力障碍、行为异常和社交能力减退，其日常生活必须持续受到他人监护。须由头颅断层扫描</w:t>
      </w:r>
      <w:r>
        <w:rPr>
          <w:spacing w:val="1"/>
        </w:rPr>
        <w:t>（</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或正电子发射断层扫描</w:t>
      </w:r>
    </w:p>
    <w:p>
      <w:pPr>
        <w:pStyle w:val="BodyText"/>
        <w:spacing w:line="273" w:lineRule="auto" w:before="7"/>
        <w:ind w:left="1976" w:right="71"/>
      </w:pPr>
      <w:r>
        <w:rPr/>
        <w:t>（PET）等影像学检查证实，自主生活能力完全丧失，无法独立完成六项基本日常生活活动中的三项或三项以上。</w:t>
      </w:r>
    </w:p>
    <w:p>
      <w:pPr>
        <w:pStyle w:val="BodyText"/>
        <w:spacing w:before="7"/>
        <w:ind w:left="2408"/>
      </w:pPr>
      <w:r>
        <w:rPr/>
        <w:t>神经官能症和精神疾病不在保障范围内。</w:t>
      </w:r>
    </w:p>
    <w:p>
      <w:pPr>
        <w:pStyle w:val="BodyText"/>
        <w:spacing w:before="8"/>
        <w:rPr>
          <w:sz w:val="26"/>
        </w:rPr>
      </w:pPr>
    </w:p>
    <w:p>
      <w:pPr>
        <w:pStyle w:val="Heading5"/>
        <w:spacing w:before="1"/>
      </w:pPr>
      <w:r>
        <w:rPr>
          <w:w w:val="95"/>
        </w:rPr>
        <w:t>（十八）严重脑损伤</w:t>
      </w:r>
    </w:p>
    <w:p>
      <w:pPr>
        <w:pStyle w:val="BodyText"/>
        <w:spacing w:line="273" w:lineRule="auto"/>
        <w:ind w:left="1976" w:right="116" w:firstLine="431"/>
        <w:jc w:val="both"/>
      </w:pPr>
      <w:r>
        <w:rPr/>
        <w:t>指因头部遭受机械性外力，引起脑重要部位损伤，导致神经系统永久性的功能障碍。须由头颅断层扫描</w:t>
      </w:r>
      <w:r>
        <w:rPr>
          <w:spacing w:val="1"/>
        </w:rPr>
        <w:t>（</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或正电子发射断层</w:t>
      </w:r>
    </w:p>
    <w:p>
      <w:pPr>
        <w:spacing w:after="0" w:line="273" w:lineRule="auto"/>
        <w:jc w:val="both"/>
        <w:sectPr>
          <w:pgSz w:w="11910" w:h="16840"/>
          <w:pgMar w:top="1100" w:bottom="280" w:left="1680" w:right="900"/>
        </w:sectPr>
      </w:pPr>
    </w:p>
    <w:p>
      <w:pPr>
        <w:pStyle w:val="BodyText"/>
        <w:spacing w:line="273" w:lineRule="auto" w:before="19"/>
        <w:ind w:left="1976" w:right="214"/>
      </w:pPr>
      <w:r>
        <w:rPr>
          <w:spacing w:val="-2"/>
        </w:rPr>
        <w:t>扫描</w:t>
      </w:r>
      <w:r>
        <w:rPr/>
        <w:t>（PET）</w:t>
      </w:r>
      <w:r>
        <w:rPr>
          <w:spacing w:val="-4"/>
        </w:rPr>
        <w:t>等影像学检查证实。神经系统永久性的功能障碍，指脑损伤 </w:t>
      </w:r>
      <w:r>
        <w:rPr/>
        <w:t>180</w:t>
      </w:r>
      <w:r>
        <w:rPr>
          <w:spacing w:val="-28"/>
        </w:rPr>
        <w:t> 日后，仍遗留下列一种或一种以上障碍：</w:t>
      </w:r>
    </w:p>
    <w:p>
      <w:pPr>
        <w:pStyle w:val="BodyText"/>
        <w:spacing w:before="7"/>
        <w:ind w:left="1976"/>
      </w:pPr>
      <w:r>
        <w:rPr/>
        <w:t>（1）一肢或一肢以上肢体机能完全丧失；</w:t>
      </w:r>
    </w:p>
    <w:p>
      <w:pPr>
        <w:pStyle w:val="BodyText"/>
        <w:spacing w:before="36"/>
        <w:ind w:left="1976"/>
      </w:pPr>
      <w:r>
        <w:rPr/>
        <w:t>（2）语言能力或咀嚼吞咽能力完全丧失；</w:t>
      </w:r>
    </w:p>
    <w:p>
      <w:pPr>
        <w:pStyle w:val="BodyText"/>
        <w:spacing w:line="273" w:lineRule="auto" w:before="36"/>
        <w:ind w:left="1976" w:right="172"/>
      </w:pPr>
      <w:r>
        <w:rPr/>
        <w:t>（3）自主生活能力完全丧失，无法独立完成六项基本日常生活活动中的三项或三项以上。</w:t>
      </w:r>
    </w:p>
    <w:p>
      <w:pPr>
        <w:pStyle w:val="BodyText"/>
        <w:spacing w:before="5"/>
        <w:rPr>
          <w:sz w:val="24"/>
        </w:rPr>
      </w:pPr>
    </w:p>
    <w:p>
      <w:pPr>
        <w:pStyle w:val="Heading5"/>
      </w:pPr>
      <w:r>
        <w:rPr>
          <w:w w:val="95"/>
        </w:rPr>
        <w:t>（十九）严重帕金森病</w:t>
      </w:r>
    </w:p>
    <w:p>
      <w:pPr>
        <w:pStyle w:val="BodyText"/>
        <w:spacing w:line="273" w:lineRule="auto"/>
        <w:ind w:left="1976" w:right="218" w:firstLine="431"/>
        <w:jc w:val="both"/>
      </w:pPr>
      <w:r>
        <w:rPr/>
        <w:t>指一种中枢神经系统的退行性疾病，临床表现为震颤麻痹、共济失调等。须满足下列全部条件：</w:t>
      </w:r>
    </w:p>
    <w:p>
      <w:pPr>
        <w:pStyle w:val="BodyText"/>
        <w:spacing w:before="7"/>
        <w:ind w:left="1976"/>
      </w:pPr>
      <w:r>
        <w:rPr/>
        <w:t>（1）药物治疗无法控制病情；</w:t>
      </w:r>
    </w:p>
    <w:p>
      <w:pPr>
        <w:pStyle w:val="BodyText"/>
        <w:spacing w:line="273" w:lineRule="auto" w:before="36"/>
        <w:ind w:left="1976" w:right="172"/>
      </w:pPr>
      <w:r>
        <w:rPr/>
        <w:t>（2）自主生活能力完全丧失，无法独立完成六项基本日常生活活动中的三项或三项以上。</w:t>
      </w:r>
    </w:p>
    <w:p>
      <w:pPr>
        <w:pStyle w:val="BodyText"/>
        <w:spacing w:before="7"/>
        <w:ind w:left="2696"/>
      </w:pPr>
      <w:r>
        <w:rPr/>
        <w:t>继发性帕金森综合症不在保障范围内。</w:t>
      </w:r>
    </w:p>
    <w:p>
      <w:pPr>
        <w:pStyle w:val="BodyText"/>
        <w:spacing w:before="8"/>
        <w:rPr>
          <w:sz w:val="26"/>
        </w:rPr>
      </w:pPr>
    </w:p>
    <w:p>
      <w:pPr>
        <w:pStyle w:val="Heading5"/>
      </w:pPr>
      <w:r>
        <w:rPr/>
        <w:t>（二十）严重 III 度烧伤</w:t>
      </w:r>
    </w:p>
    <w:p>
      <w:pPr>
        <w:pStyle w:val="BodyText"/>
        <w:spacing w:line="273" w:lineRule="auto" w:before="36"/>
        <w:ind w:left="1976" w:right="112" w:firstLine="431"/>
      </w:pPr>
      <w:r>
        <w:rPr>
          <w:spacing w:val="-13"/>
        </w:rPr>
        <w:t>指烧伤程度为Ⅲ度，且Ⅲ度烧伤面积达到全身体表面积的 </w:t>
      </w:r>
      <w:r>
        <w:rPr/>
        <w:t>20％</w:t>
      </w:r>
      <w:r>
        <w:rPr>
          <w:spacing w:val="-35"/>
        </w:rPr>
        <w:t>或 </w:t>
      </w:r>
      <w:r>
        <w:rPr/>
        <w:t>20％以上。</w:t>
      </w:r>
      <w:r>
        <w:rPr>
          <w:spacing w:val="-1"/>
        </w:rPr>
        <w:t>体表面积根据 《中国新九分法》计算。</w:t>
      </w:r>
    </w:p>
    <w:p>
      <w:pPr>
        <w:pStyle w:val="BodyText"/>
        <w:spacing w:before="5"/>
        <w:rPr>
          <w:sz w:val="24"/>
        </w:rPr>
      </w:pPr>
    </w:p>
    <w:p>
      <w:pPr>
        <w:pStyle w:val="Heading5"/>
      </w:pPr>
      <w:r>
        <w:rPr>
          <w:w w:val="95"/>
        </w:rPr>
        <w:t>（二十一）严重原发性肺动脉高压</w:t>
      </w:r>
    </w:p>
    <w:p>
      <w:pPr>
        <w:pStyle w:val="BodyText"/>
        <w:spacing w:line="273" w:lineRule="auto"/>
        <w:ind w:left="1976" w:right="217" w:firstLine="431"/>
        <w:jc w:val="both"/>
      </w:pP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pStyle w:val="BodyText"/>
        <w:spacing w:before="5"/>
        <w:rPr>
          <w:sz w:val="24"/>
        </w:rPr>
      </w:pPr>
    </w:p>
    <w:p>
      <w:pPr>
        <w:pStyle w:val="Heading5"/>
      </w:pPr>
      <w:r>
        <w:rPr>
          <w:w w:val="95"/>
        </w:rPr>
        <w:t>（二十二）严重运动神经元病</w:t>
      </w:r>
    </w:p>
    <w:p>
      <w:pPr>
        <w:pStyle w:val="BodyText"/>
        <w:spacing w:line="273" w:lineRule="auto" w:before="36"/>
        <w:ind w:left="1976" w:right="217"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5"/>
      </w:pPr>
      <w:r>
        <w:rPr>
          <w:w w:val="95"/>
        </w:rPr>
        <w:t>（二十三）语言能力丧失</w:t>
      </w:r>
    </w:p>
    <w:p>
      <w:pPr>
        <w:pStyle w:val="BodyText"/>
        <w:spacing w:line="273" w:lineRule="auto"/>
        <w:ind w:left="1976" w:right="217" w:firstLine="431"/>
        <w:jc w:val="both"/>
      </w:pPr>
      <w:r>
        <w:rPr>
          <w:spacing w:val="-9"/>
        </w:rPr>
        <w:t>指因疾病或意外伤害导致完全丧失语言能力，经过积极治疗至少 </w:t>
      </w:r>
      <w:r>
        <w:rPr/>
        <w:t>12</w:t>
      </w:r>
      <w:r>
        <w:rPr>
          <w:spacing w:val="-58"/>
        </w:rPr>
        <w:t> 个月</w:t>
      </w:r>
      <w:r>
        <w:rPr/>
        <w:t>（声带完全切除不受此时间限制</w:t>
      </w:r>
      <w:r>
        <w:rPr>
          <w:spacing w:val="-105"/>
        </w:rPr>
        <w:t>）</w:t>
      </w:r>
      <w:r>
        <w:rPr>
          <w:spacing w:val="-1"/>
        </w:rPr>
        <w:t>，仍无法通过现有医疗手段恢复。</w:t>
      </w:r>
    </w:p>
    <w:p>
      <w:pPr>
        <w:pStyle w:val="BodyText"/>
        <w:spacing w:before="8"/>
        <w:ind w:left="2408"/>
      </w:pPr>
      <w:r>
        <w:rPr/>
        <w:t>精神心理因素所致的语言能力丧失不在保障范围内。</w:t>
      </w:r>
    </w:p>
    <w:p>
      <w:pPr>
        <w:pStyle w:val="BodyText"/>
        <w:spacing w:before="11"/>
        <w:rPr>
          <w:sz w:val="28"/>
        </w:rPr>
      </w:pPr>
    </w:p>
    <w:p>
      <w:pPr>
        <w:pStyle w:val="Heading5"/>
      </w:pPr>
      <w:r>
        <w:rPr>
          <w:w w:val="95"/>
        </w:rPr>
        <w:t>（二十四）重型再生障碍性贫血</w:t>
      </w:r>
    </w:p>
    <w:p>
      <w:pPr>
        <w:pStyle w:val="BodyText"/>
        <w:spacing w:line="273" w:lineRule="auto" w:before="36"/>
        <w:ind w:left="1976" w:right="218" w:firstLine="431"/>
        <w:jc w:val="both"/>
      </w:pPr>
      <w:r>
        <w:rPr/>
        <w:t>指因骨髓造血功能慢性持续性衰竭导致的贫血、中性粒细胞减少及血小板减少，须满足下列全部条件：</w:t>
      </w:r>
    </w:p>
    <w:p>
      <w:pPr>
        <w:pStyle w:val="BodyText"/>
        <w:spacing w:before="7"/>
        <w:ind w:left="1976"/>
      </w:pPr>
      <w:r>
        <w:rPr/>
        <w:t>（1）骨髓穿刺检查或骨髓活检结果支持诊断；</w:t>
      </w:r>
    </w:p>
    <w:p>
      <w:pPr>
        <w:pStyle w:val="BodyText"/>
        <w:ind w:left="1976"/>
      </w:pPr>
      <w:r>
        <w:rPr/>
        <w:t>（2）外周血象必须具备以下三项条件：</w:t>
      </w:r>
    </w:p>
    <w:p>
      <w:pPr>
        <w:pStyle w:val="BodyText"/>
        <w:ind w:left="2636"/>
      </w:pPr>
      <w:r>
        <w:rPr/>
        <w:t>① 中性粒细胞绝对值≤0.5×10</w:t>
      </w:r>
      <w:r>
        <w:rPr>
          <w:position w:val="11"/>
          <w:sz w:val="11"/>
        </w:rPr>
        <w:t>9</w:t>
      </w:r>
      <w:r>
        <w:rPr/>
        <w:t>/L；</w:t>
      </w:r>
    </w:p>
    <w:p>
      <w:pPr>
        <w:pStyle w:val="BodyText"/>
        <w:ind w:left="2636"/>
      </w:pPr>
      <w:r>
        <w:rPr/>
        <w:t>② 网织红细胞＜1%；</w:t>
      </w:r>
    </w:p>
    <w:p>
      <w:pPr>
        <w:pStyle w:val="BodyText"/>
        <w:ind w:left="2636"/>
      </w:pPr>
      <w:r>
        <w:rPr/>
        <w:t>③ 血小板绝对值≤20×10</w:t>
      </w:r>
      <w:r>
        <w:rPr>
          <w:position w:val="11"/>
          <w:sz w:val="11"/>
        </w:rPr>
        <w:t>9</w:t>
      </w:r>
      <w:r>
        <w:rPr/>
        <w:t>/L。</w:t>
      </w:r>
    </w:p>
    <w:p>
      <w:pPr>
        <w:pStyle w:val="BodyText"/>
        <w:spacing w:before="8"/>
        <w:rPr>
          <w:sz w:val="26"/>
        </w:rPr>
      </w:pPr>
    </w:p>
    <w:p>
      <w:pPr>
        <w:pStyle w:val="Heading5"/>
      </w:pPr>
      <w:r>
        <w:rPr>
          <w:w w:val="95"/>
        </w:rPr>
        <w:t>（二十五）主动脉手术</w:t>
      </w:r>
    </w:p>
    <w:p>
      <w:pPr>
        <w:pStyle w:val="BodyText"/>
        <w:spacing w:before="36"/>
        <w:ind w:left="2408"/>
      </w:pPr>
      <w:r>
        <w:rPr/>
        <w:t>指为治疗主动脉疾病，实际实施了开胸或开腹进行的切除、置换、修补病</w:t>
      </w:r>
    </w:p>
    <w:p>
      <w:pPr>
        <w:spacing w:after="0"/>
        <w:sectPr>
          <w:pgSz w:w="11910" w:h="16840"/>
          <w:pgMar w:top="1100" w:bottom="280" w:left="1680" w:right="800"/>
        </w:sectPr>
      </w:pPr>
    </w:p>
    <w:p>
      <w:pPr>
        <w:pStyle w:val="BodyText"/>
        <w:spacing w:line="273" w:lineRule="auto" w:before="19"/>
        <w:ind w:left="1976" w:right="217"/>
      </w:pPr>
      <w:r>
        <w:rPr/>
        <w:t>损主动脉血管的手术。主动脉指胸主动脉和腹主动脉，不包括胸主动脉和腹主动脉的分支血管。</w:t>
      </w:r>
    </w:p>
    <w:p>
      <w:pPr>
        <w:pStyle w:val="BodyText"/>
        <w:spacing w:before="7"/>
        <w:ind w:left="2408"/>
      </w:pPr>
      <w:r>
        <w:rPr/>
        <w:t>动脉内血管成形术不在保障范围内。</w:t>
      </w:r>
    </w:p>
    <w:p>
      <w:pPr>
        <w:pStyle w:val="BodyText"/>
        <w:spacing w:before="8"/>
        <w:rPr>
          <w:sz w:val="26"/>
        </w:rPr>
      </w:pPr>
    </w:p>
    <w:p>
      <w:pPr>
        <w:pStyle w:val="BodyText"/>
        <w:spacing w:line="273" w:lineRule="auto" w:before="0"/>
        <w:ind w:left="1976" w:right="217"/>
      </w:pPr>
      <w:r>
        <w:rPr/>
        <w:t>以下重大疾病定义是本公司在中国保险行业协会与中国医师协会共同制定的重大疾病保险的疾病种类范围以外增加的疾病定义。</w:t>
      </w:r>
    </w:p>
    <w:p>
      <w:pPr>
        <w:pStyle w:val="BodyText"/>
        <w:spacing w:before="5"/>
        <w:rPr>
          <w:sz w:val="24"/>
        </w:rPr>
      </w:pPr>
    </w:p>
    <w:p>
      <w:pPr>
        <w:pStyle w:val="Heading5"/>
      </w:pPr>
      <w:r>
        <w:rPr>
          <w:w w:val="95"/>
        </w:rPr>
        <w:t>（二十六）慢性呼吸功能衰竭</w:t>
      </w:r>
    </w:p>
    <w:p>
      <w:pPr>
        <w:pStyle w:val="BodyText"/>
        <w:spacing w:line="273" w:lineRule="auto" w:before="36"/>
        <w:ind w:left="1976" w:right="218" w:firstLine="431"/>
      </w:pPr>
      <w:r>
        <w:rPr/>
        <w:t>慢性肺部疾病导致永久不可逆性的慢性呼吸功能衰竭，必须由呼吸专科医师确认并符合下列所有条件：</w:t>
      </w:r>
    </w:p>
    <w:p>
      <w:pPr>
        <w:pStyle w:val="BodyText"/>
        <w:spacing w:before="7"/>
        <w:ind w:left="2408"/>
      </w:pPr>
      <w:r>
        <w:rPr/>
        <w:t>（1）休息时出现呼吸困难；</w:t>
      </w:r>
    </w:p>
    <w:p>
      <w:pPr>
        <w:pStyle w:val="BodyText"/>
        <w:spacing w:before="36"/>
        <w:ind w:left="2408"/>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spacing w:before="36"/>
        <w:ind w:left="2408"/>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408"/>
      </w:pPr>
      <w:r>
        <w:rPr/>
        <w:t>（4）因缺氧必须接受持续的输氧治疗。</w:t>
      </w:r>
    </w:p>
    <w:p>
      <w:pPr>
        <w:pStyle w:val="BodyText"/>
        <w:spacing w:before="8"/>
        <w:rPr>
          <w:sz w:val="26"/>
        </w:rPr>
      </w:pPr>
    </w:p>
    <w:p>
      <w:pPr>
        <w:pStyle w:val="Heading5"/>
      </w:pPr>
      <w:r>
        <w:rPr>
          <w:w w:val="95"/>
        </w:rPr>
        <w:t>（二十七）严重多发性硬化</w:t>
      </w:r>
    </w:p>
    <w:p>
      <w:pPr>
        <w:pStyle w:val="BodyText"/>
        <w:spacing w:line="273" w:lineRule="auto" w:before="36"/>
        <w:ind w:left="1976" w:right="217"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408"/>
      </w:pPr>
      <w:r>
        <w:rPr/>
        <w:t>（1）移动：自己从一个房间移动到另一个房间；或者</w:t>
      </w:r>
    </w:p>
    <w:p>
      <w:pPr>
        <w:pStyle w:val="BodyText"/>
        <w:ind w:left="2408"/>
      </w:pPr>
      <w:r>
        <w:rPr/>
        <w:t>（2）进食：自己从已准备好的碗或碟中取食物放入口中。</w:t>
      </w:r>
    </w:p>
    <w:p>
      <w:pPr>
        <w:pStyle w:val="BodyText"/>
        <w:spacing w:before="9"/>
        <w:rPr>
          <w:sz w:val="26"/>
        </w:rPr>
      </w:pPr>
    </w:p>
    <w:p>
      <w:pPr>
        <w:pStyle w:val="Heading5"/>
      </w:pPr>
      <w:r>
        <w:rPr>
          <w:w w:val="95"/>
        </w:rPr>
        <w:t>（二十八）严重冠心病</w:t>
      </w:r>
    </w:p>
    <w:p>
      <w:pPr>
        <w:pStyle w:val="BodyText"/>
        <w:spacing w:line="273" w:lineRule="auto"/>
        <w:ind w:left="1976" w:right="111" w:firstLine="431"/>
        <w:jc w:val="both"/>
      </w:pPr>
      <w:r>
        <w:rPr/>
        <w:t>指经心脏科专科医师根据冠状动脉造影检查结果确诊的三支主要血管（左冠状动脉主干和右冠状动脉，或前降支、左旋支和右冠状动脉）严重狭窄性病 </w:t>
      </w:r>
      <w:r>
        <w:rPr>
          <w:spacing w:val="-16"/>
        </w:rPr>
        <w:t>变</w:t>
      </w:r>
      <w:r>
        <w:rPr/>
        <w:t>（</w:t>
      </w:r>
      <w:r>
        <w:rPr>
          <w:spacing w:val="-5"/>
        </w:rPr>
        <w:t>至少一支血管管腔直径减少 </w:t>
      </w:r>
      <w:r>
        <w:rPr/>
        <w:t>75％</w:t>
      </w:r>
      <w:r>
        <w:rPr>
          <w:spacing w:val="-4"/>
        </w:rPr>
        <w:t>以上和其他两支血管管腔直径减少 </w:t>
      </w:r>
      <w:r>
        <w:rPr/>
        <w:t>60％以</w:t>
      </w:r>
      <w:r>
        <w:rPr>
          <w:spacing w:val="-1"/>
        </w:rPr>
        <w:t>上</w:t>
      </w:r>
      <w:r>
        <w:rPr>
          <w:spacing w:val="-105"/>
        </w:rPr>
        <w:t>）</w:t>
      </w:r>
      <w:r>
        <w:rPr>
          <w:spacing w:val="-12"/>
        </w:rPr>
        <w:t>。前降支、左旋支及右冠状动脉的分支血管的狭窄不作为本保障的衡量指标。</w:t>
      </w:r>
    </w:p>
    <w:p>
      <w:pPr>
        <w:pStyle w:val="BodyText"/>
        <w:spacing w:before="5"/>
        <w:rPr>
          <w:sz w:val="24"/>
        </w:rPr>
      </w:pPr>
    </w:p>
    <w:p>
      <w:pPr>
        <w:pStyle w:val="Heading5"/>
      </w:pPr>
      <w:r>
        <w:rPr>
          <w:w w:val="95"/>
        </w:rPr>
        <w:t>（二十九）严重心肌病</w:t>
      </w:r>
    </w:p>
    <w:p>
      <w:pPr>
        <w:pStyle w:val="BodyText"/>
        <w:spacing w:line="273" w:lineRule="auto" w:before="36"/>
        <w:ind w:left="1976" w:right="217" w:firstLine="431"/>
        <w:jc w:val="both"/>
      </w:pPr>
      <w:r>
        <w:rPr/>
        <w:t>指被保人因心肌病导致慢性心功能损害造成永久不可逆性的心功能衰竭， </w:t>
      </w:r>
      <w:r>
        <w:rPr>
          <w:spacing w:val="-3"/>
        </w:rPr>
        <w:t>心功能衰竭程度达到纽约心脏病学会的心功能分级标准之心功能 </w:t>
      </w:r>
      <w:r>
        <w:rPr/>
        <w:t>IV</w:t>
      </w:r>
      <w:r>
        <w:rPr>
          <w:spacing w:val="-15"/>
        </w:rPr>
        <w:t> 级。被保险人永久不可逆性的体力活动能力受限，不能从事任何体力活动。</w:t>
      </w:r>
    </w:p>
    <w:p>
      <w:pPr>
        <w:pStyle w:val="BodyText"/>
        <w:spacing w:before="5"/>
        <w:rPr>
          <w:sz w:val="24"/>
        </w:rPr>
      </w:pPr>
    </w:p>
    <w:p>
      <w:pPr>
        <w:pStyle w:val="Heading5"/>
      </w:pPr>
      <w:r>
        <w:rPr/>
        <w:t>（三十）系统性红斑狼疮 － III 型或 III 型以上狼疮性肾炎</w:t>
      </w:r>
    </w:p>
    <w:p>
      <w:pPr>
        <w:spacing w:line="259" w:lineRule="auto" w:before="29"/>
        <w:ind w:left="1976" w:right="168" w:firstLine="431"/>
        <w:jc w:val="left"/>
        <w:rPr>
          <w:sz w:val="22"/>
        </w:rPr>
      </w:pPr>
      <w:r>
        <w:rPr>
          <w:sz w:val="22"/>
        </w:rPr>
        <w:t>系统性红斑狼疮是由多种因素引起，累及多系统的自身免疫性疾病。其</w:t>
      </w:r>
      <w:r>
        <w:rPr>
          <w:w w:val="95"/>
          <w:sz w:val="22"/>
        </w:rPr>
        <w:t>特点是生成自身抗体对抗多种自身抗原。多见于育龄妇女。</w:t>
      </w:r>
    </w:p>
    <w:p>
      <w:pPr>
        <w:spacing w:line="259" w:lineRule="auto" w:before="6"/>
        <w:ind w:left="1976" w:right="185" w:firstLine="431"/>
        <w:jc w:val="both"/>
        <w:rPr>
          <w:sz w:val="22"/>
        </w:rPr>
      </w:pPr>
      <w:r>
        <w:rPr>
          <w:spacing w:val="-1"/>
          <w:sz w:val="22"/>
        </w:rPr>
        <w:t>本保单所指的系统性红斑狼疮仅限于累及肾脏</w:t>
      </w:r>
      <w:r>
        <w:rPr>
          <w:sz w:val="22"/>
        </w:rPr>
        <w:t>（</w:t>
      </w:r>
      <w:r>
        <w:rPr>
          <w:spacing w:val="-2"/>
          <w:sz w:val="22"/>
        </w:rPr>
        <w:t>经肾脏活检确认的，符</w:t>
      </w:r>
      <w:r>
        <w:rPr>
          <w:spacing w:val="-30"/>
          <w:sz w:val="22"/>
        </w:rPr>
        <w:t>合 </w:t>
      </w:r>
      <w:r>
        <w:rPr>
          <w:sz w:val="22"/>
        </w:rPr>
        <w:t>WHO</w:t>
      </w:r>
      <w:r>
        <w:rPr>
          <w:spacing w:val="-15"/>
          <w:sz w:val="22"/>
        </w:rPr>
        <w:t> 诊断标准定义 </w:t>
      </w:r>
      <w:r>
        <w:rPr>
          <w:sz w:val="22"/>
        </w:rPr>
        <w:t>III</w:t>
      </w:r>
      <w:r>
        <w:rPr>
          <w:spacing w:val="-30"/>
          <w:sz w:val="22"/>
        </w:rPr>
        <w:t> 型或 </w:t>
      </w:r>
      <w:r>
        <w:rPr>
          <w:sz w:val="22"/>
        </w:rPr>
        <w:t>III</w:t>
      </w:r>
      <w:r>
        <w:rPr>
          <w:spacing w:val="-8"/>
          <w:sz w:val="22"/>
        </w:rPr>
        <w:t> 型以上狼疮性肾炎</w:t>
      </w:r>
      <w:r>
        <w:rPr>
          <w:sz w:val="22"/>
        </w:rPr>
        <w:t>）的系统性红斑狼疮。</w:t>
      </w:r>
      <w:r>
        <w:rPr>
          <w:spacing w:val="-3"/>
          <w:sz w:val="22"/>
        </w:rPr>
        <w:t>其他类型的红斑性狼疮，如盘状狼疮、仅累及血液及关节的狼疮不在本保单</w:t>
      </w:r>
      <w:r>
        <w:rPr>
          <w:spacing w:val="-3"/>
          <w:w w:val="95"/>
          <w:sz w:val="22"/>
        </w:rPr>
        <w:t>保障范围內。</w:t>
      </w:r>
    </w:p>
    <w:p>
      <w:pPr>
        <w:spacing w:before="6"/>
        <w:ind w:left="2408" w:right="0" w:firstLine="0"/>
        <w:jc w:val="left"/>
        <w:rPr>
          <w:sz w:val="22"/>
        </w:rPr>
      </w:pPr>
      <w:r>
        <w:rPr>
          <w:w w:val="95"/>
          <w:sz w:val="22"/>
        </w:rPr>
        <w:t>本病必须由免疫和风湿科专家医师确诊。</w:t>
      </w:r>
    </w:p>
    <w:p>
      <w:pPr>
        <w:pStyle w:val="BodyText"/>
        <w:spacing w:before="9"/>
        <w:rPr>
          <w:sz w:val="25"/>
        </w:rPr>
      </w:pPr>
    </w:p>
    <w:p>
      <w:pPr>
        <w:spacing w:before="0"/>
        <w:ind w:left="1976" w:right="0" w:firstLine="0"/>
        <w:jc w:val="left"/>
        <w:rPr>
          <w:sz w:val="22"/>
        </w:rPr>
      </w:pPr>
      <w:r>
        <w:rPr>
          <w:w w:val="95"/>
          <w:sz w:val="22"/>
          <w:u w:val="single"/>
        </w:rPr>
        <w:t>世界卫生组织（WHO）狼疮性肾炎分型：</w:t>
      </w:r>
    </w:p>
    <w:p>
      <w:pPr>
        <w:pStyle w:val="ListParagraph"/>
        <w:numPr>
          <w:ilvl w:val="0"/>
          <w:numId w:val="13"/>
        </w:numPr>
        <w:tabs>
          <w:tab w:pos="2269" w:val="left" w:leader="none"/>
          <w:tab w:pos="4035" w:val="left" w:leader="none"/>
        </w:tabs>
        <w:spacing w:line="240" w:lineRule="auto" w:before="24" w:after="0"/>
        <w:ind w:left="2268" w:right="0" w:hanging="166"/>
        <w:jc w:val="left"/>
        <w:rPr>
          <w:sz w:val="22"/>
        </w:rPr>
      </w:pPr>
      <w:r>
        <w:rPr>
          <w:sz w:val="22"/>
        </w:rPr>
        <w:t>型</w:t>
        <w:tab/>
      </w:r>
      <w:r>
        <w:rPr>
          <w:w w:val="95"/>
          <w:sz w:val="22"/>
        </w:rPr>
        <w:t>微小病变型</w:t>
      </w:r>
    </w:p>
    <w:p>
      <w:pPr>
        <w:pStyle w:val="ListParagraph"/>
        <w:numPr>
          <w:ilvl w:val="0"/>
          <w:numId w:val="13"/>
        </w:numPr>
        <w:tabs>
          <w:tab w:pos="2379" w:val="left" w:leader="none"/>
          <w:tab w:pos="4035" w:val="left" w:leader="none"/>
        </w:tabs>
        <w:spacing w:line="240" w:lineRule="auto" w:before="24" w:after="0"/>
        <w:ind w:left="2378" w:right="0" w:hanging="276"/>
        <w:jc w:val="left"/>
        <w:rPr>
          <w:sz w:val="22"/>
        </w:rPr>
      </w:pPr>
      <w:r>
        <w:rPr>
          <w:sz w:val="22"/>
        </w:rPr>
        <w:t>型</w:t>
        <w:tab/>
      </w:r>
      <w:r>
        <w:rPr>
          <w:w w:val="95"/>
          <w:sz w:val="22"/>
        </w:rPr>
        <w:t>系膜病变型</w:t>
      </w:r>
    </w:p>
    <w:p>
      <w:pPr>
        <w:pStyle w:val="ListParagraph"/>
        <w:numPr>
          <w:ilvl w:val="0"/>
          <w:numId w:val="13"/>
        </w:numPr>
        <w:tabs>
          <w:tab w:pos="2489" w:val="left" w:leader="none"/>
          <w:tab w:pos="4034" w:val="left" w:leader="none"/>
        </w:tabs>
        <w:spacing w:line="240" w:lineRule="auto" w:before="24" w:after="0"/>
        <w:ind w:left="2488" w:right="0" w:hanging="386"/>
        <w:jc w:val="left"/>
        <w:rPr>
          <w:sz w:val="22"/>
        </w:rPr>
      </w:pPr>
      <w:r>
        <w:rPr>
          <w:sz w:val="22"/>
        </w:rPr>
        <w:t>型</w:t>
        <w:tab/>
      </w:r>
      <w:r>
        <w:rPr>
          <w:w w:val="95"/>
          <w:sz w:val="22"/>
        </w:rPr>
        <w:t>局灶及节段增生型</w:t>
      </w:r>
    </w:p>
    <w:p>
      <w:pPr>
        <w:spacing w:after="0" w:line="240" w:lineRule="auto"/>
        <w:jc w:val="left"/>
        <w:rPr>
          <w:sz w:val="22"/>
        </w:rPr>
        <w:sectPr>
          <w:pgSz w:w="11910" w:h="16840"/>
          <w:pgMar w:top="1100" w:bottom="280" w:left="1680" w:right="800"/>
        </w:sectPr>
      </w:pPr>
    </w:p>
    <w:p>
      <w:pPr>
        <w:pStyle w:val="ListParagraph"/>
        <w:numPr>
          <w:ilvl w:val="0"/>
          <w:numId w:val="13"/>
        </w:numPr>
        <w:tabs>
          <w:tab w:pos="2379" w:val="left" w:leader="none"/>
          <w:tab w:pos="4035" w:val="left" w:leader="none"/>
        </w:tabs>
        <w:spacing w:line="240" w:lineRule="auto" w:before="11" w:after="0"/>
        <w:ind w:left="2378" w:right="0" w:hanging="276"/>
        <w:jc w:val="left"/>
        <w:rPr>
          <w:sz w:val="22"/>
        </w:rPr>
      </w:pPr>
      <w:r>
        <w:rPr>
          <w:sz w:val="22"/>
        </w:rPr>
        <w:t>型</w:t>
        <w:tab/>
      </w:r>
      <w:r>
        <w:rPr>
          <w:w w:val="95"/>
          <w:sz w:val="22"/>
        </w:rPr>
        <w:t>弥漫增生型</w:t>
      </w:r>
    </w:p>
    <w:p>
      <w:pPr>
        <w:tabs>
          <w:tab w:pos="4035" w:val="left" w:leader="none"/>
        </w:tabs>
        <w:spacing w:before="24"/>
        <w:ind w:left="2102" w:right="0" w:firstLine="0"/>
        <w:jc w:val="left"/>
        <w:rPr>
          <w:sz w:val="22"/>
        </w:rPr>
      </w:pPr>
      <w:r>
        <w:rPr>
          <w:spacing w:val="55"/>
          <w:sz w:val="22"/>
        </w:rPr>
        <w:t>V</w:t>
      </w:r>
      <w:r>
        <w:rPr>
          <w:sz w:val="22"/>
        </w:rPr>
        <w:t>型</w:t>
        <w:tab/>
      </w:r>
      <w:r>
        <w:rPr>
          <w:w w:val="95"/>
          <w:sz w:val="22"/>
        </w:rPr>
        <w:t>膜型</w:t>
      </w:r>
    </w:p>
    <w:p>
      <w:pPr>
        <w:tabs>
          <w:tab w:pos="4035" w:val="left" w:leader="none"/>
        </w:tabs>
        <w:spacing w:before="24"/>
        <w:ind w:left="2102" w:right="0" w:firstLine="0"/>
        <w:jc w:val="left"/>
        <w:rPr>
          <w:sz w:val="22"/>
        </w:rPr>
      </w:pPr>
      <w:r>
        <w:rPr>
          <w:sz w:val="22"/>
        </w:rPr>
        <w:t>VI</w:t>
      </w:r>
      <w:r>
        <w:rPr>
          <w:spacing w:val="-56"/>
          <w:sz w:val="22"/>
        </w:rPr>
        <w:t> </w:t>
      </w:r>
      <w:r>
        <w:rPr>
          <w:sz w:val="22"/>
        </w:rPr>
        <w:t>型</w:t>
        <w:tab/>
      </w:r>
      <w:r>
        <w:rPr>
          <w:w w:val="95"/>
          <w:sz w:val="22"/>
        </w:rPr>
        <w:t>肾小球硬化型</w:t>
      </w:r>
    </w:p>
    <w:p>
      <w:pPr>
        <w:pStyle w:val="BodyText"/>
        <w:spacing w:before="8"/>
        <w:rPr>
          <w:sz w:val="25"/>
        </w:rPr>
      </w:pPr>
    </w:p>
    <w:p>
      <w:pPr>
        <w:spacing w:before="1"/>
        <w:ind w:left="1976" w:right="0" w:firstLine="0"/>
        <w:jc w:val="left"/>
        <w:rPr>
          <w:b/>
          <w:sz w:val="22"/>
        </w:rPr>
      </w:pPr>
      <w:r>
        <w:rPr>
          <w:b/>
          <w:w w:val="95"/>
          <w:sz w:val="21"/>
        </w:rPr>
        <w:t>（三十一）</w:t>
      </w:r>
      <w:r>
        <w:rPr>
          <w:b/>
          <w:w w:val="95"/>
          <w:sz w:val="22"/>
        </w:rPr>
        <w:t>经输血导致的人类免疫缺陷病毒感染</w:t>
      </w:r>
    </w:p>
    <w:p>
      <w:pPr>
        <w:pStyle w:val="BodyText"/>
        <w:spacing w:before="32"/>
        <w:ind w:left="2408"/>
      </w:pPr>
      <w:r>
        <w:rPr/>
        <w:t>被保险人感染上人类免疫缺陷病毒（HIV）并且满足下列全部条件：</w:t>
      </w:r>
    </w:p>
    <w:p>
      <w:pPr>
        <w:pStyle w:val="BodyText"/>
        <w:ind w:left="2402"/>
      </w:pPr>
      <w:r>
        <w:rPr/>
        <w:t>（1）在保障起始日或复效日之后，被保险人因输血而感染 HIV；</w:t>
      </w:r>
    </w:p>
    <w:p>
      <w:pPr>
        <w:pStyle w:val="BodyText"/>
        <w:spacing w:line="273" w:lineRule="auto"/>
        <w:ind w:left="1976" w:right="169" w:firstLine="426"/>
      </w:pPr>
      <w:r>
        <w:rPr/>
        <w:t>（2）提供输血治疗的输血中心或医院出具该项输血感染属医疗责任事故的报告，或者法院终审裁定为医疗责任并且不准上诉；</w:t>
      </w:r>
    </w:p>
    <w:p>
      <w:pPr>
        <w:pStyle w:val="BodyText"/>
        <w:spacing w:before="7"/>
        <w:ind w:left="2402"/>
      </w:pPr>
      <w:r>
        <w:rPr/>
        <w:t>（3）受感染的被保险人不是血友病患者。</w:t>
      </w:r>
    </w:p>
    <w:p>
      <w:pPr>
        <w:pStyle w:val="BodyText"/>
        <w:spacing w:line="273" w:lineRule="auto" w:before="36"/>
        <w:ind w:left="1976" w:right="170" w:firstLine="426"/>
      </w:pPr>
      <w:r>
        <w:rPr/>
        <w:t>在任何治愈艾滋病（AIDS）或阻止 HIV 病毒作用的疗法被发现以后，或能防止 AIDS 发生的医疗方法被研究出来以后，本保障将不再予以赔付。</w:t>
      </w:r>
    </w:p>
    <w:p>
      <w:pPr>
        <w:pStyle w:val="BodyText"/>
        <w:spacing w:line="273" w:lineRule="auto" w:before="7"/>
        <w:ind w:left="1976" w:right="216" w:firstLine="426"/>
        <w:jc w:val="both"/>
      </w:pPr>
      <w:r>
        <w:rPr/>
        <w:t>任何因其他传播方式（包括：性传播或静脉注射毒品）</w:t>
      </w:r>
      <w:r>
        <w:rPr>
          <w:spacing w:val="-4"/>
        </w:rPr>
        <w:t>导致的 </w:t>
      </w:r>
      <w:r>
        <w:rPr/>
        <w:t>HIV</w:t>
      </w:r>
      <w:r>
        <w:rPr>
          <w:spacing w:val="-3"/>
        </w:rPr>
        <w:t> 感染不在本保单保障范围内。保险公司必须拥有获得使用被保险人的所有血液样本的权利和能够对这些样本进行独立检验的权利。</w:t>
      </w:r>
    </w:p>
    <w:p>
      <w:pPr>
        <w:pStyle w:val="BodyText"/>
        <w:spacing w:before="10"/>
        <w:rPr>
          <w:sz w:val="23"/>
        </w:rPr>
      </w:pPr>
    </w:p>
    <w:p>
      <w:pPr>
        <w:pStyle w:val="Heading3"/>
      </w:pPr>
      <w:r>
        <w:rPr>
          <w:w w:val="95"/>
          <w:sz w:val="21"/>
        </w:rPr>
        <w:t>（三十二）</w:t>
      </w:r>
      <w:r>
        <w:rPr>
          <w:w w:val="95"/>
        </w:rPr>
        <w:t>因职业关系导致的人类免疫缺陷病毒（</w:t>
      </w:r>
      <w:r>
        <w:rPr>
          <w:rFonts w:ascii="Arial" w:eastAsia="Arial"/>
          <w:w w:val="95"/>
        </w:rPr>
        <w:t>HIV</w:t>
      </w:r>
      <w:r>
        <w:rPr>
          <w:w w:val="95"/>
        </w:rPr>
        <w:t>）感染</w:t>
      </w:r>
    </w:p>
    <w:p>
      <w:pPr>
        <w:pStyle w:val="Heading4"/>
        <w:spacing w:line="259" w:lineRule="auto" w:before="8"/>
        <w:ind w:right="168" w:firstLine="431"/>
      </w:pPr>
      <w:r>
        <w:rPr/>
        <w:t>被保险人在其常规职业工作过程中遭遇外伤，或者职业需要处理血液或</w:t>
      </w:r>
      <w:r>
        <w:rPr>
          <w:w w:val="95"/>
        </w:rPr>
        <w:t>者其他体液时感染上人类免疫缺陷病毒（HIV）。</w:t>
      </w:r>
    </w:p>
    <w:p>
      <w:pPr>
        <w:spacing w:before="6"/>
        <w:ind w:left="2408" w:right="0" w:firstLine="0"/>
        <w:jc w:val="left"/>
        <w:rPr>
          <w:sz w:val="22"/>
        </w:rPr>
      </w:pPr>
      <w:r>
        <w:rPr>
          <w:w w:val="95"/>
          <w:sz w:val="22"/>
        </w:rPr>
        <w:t>必须满足下列全部条件：</w:t>
      </w:r>
    </w:p>
    <w:p>
      <w:pPr>
        <w:spacing w:line="259" w:lineRule="auto" w:before="23"/>
        <w:ind w:left="1976" w:right="303" w:firstLine="431"/>
        <w:jc w:val="left"/>
        <w:rPr>
          <w:sz w:val="22"/>
        </w:rPr>
      </w:pPr>
      <w:r>
        <w:rPr>
          <w:sz w:val="22"/>
        </w:rPr>
        <w:t>（1）感染必须是在被保险人正在从事其职业工作中发生，该职业必须</w:t>
      </w:r>
      <w:r>
        <w:rPr>
          <w:w w:val="95"/>
          <w:sz w:val="22"/>
        </w:rPr>
        <w:t>属于以下列表内的职业；</w:t>
      </w:r>
    </w:p>
    <w:p>
      <w:pPr>
        <w:spacing w:before="6"/>
        <w:ind w:left="2408" w:right="0" w:firstLine="0"/>
        <w:jc w:val="left"/>
        <w:rPr>
          <w:sz w:val="22"/>
        </w:rPr>
      </w:pPr>
      <w:r>
        <w:rPr>
          <w:sz w:val="22"/>
        </w:rPr>
        <w:t>（2）血清转化必须出现在事故发生后的 6 个月以内；</w:t>
      </w:r>
    </w:p>
    <w:p>
      <w:pPr>
        <w:spacing w:line="259" w:lineRule="auto" w:before="24"/>
        <w:ind w:left="1976" w:right="106" w:firstLine="431"/>
        <w:jc w:val="left"/>
        <w:rPr>
          <w:sz w:val="22"/>
        </w:rPr>
      </w:pPr>
      <w:r>
        <w:rPr>
          <w:spacing w:val="-8"/>
          <w:sz w:val="22"/>
        </w:rPr>
        <w:t>（3）</w:t>
      </w:r>
      <w:r>
        <w:rPr>
          <w:spacing w:val="-4"/>
          <w:sz w:val="22"/>
        </w:rPr>
        <w:t>必须提供被保险人在所报事故发生后的 </w:t>
      </w:r>
      <w:r>
        <w:rPr>
          <w:sz w:val="22"/>
        </w:rPr>
        <w:t>5</w:t>
      </w:r>
      <w:r>
        <w:rPr>
          <w:spacing w:val="-8"/>
          <w:sz w:val="22"/>
        </w:rPr>
        <w:t> 日以内进行的检查报告， </w:t>
      </w:r>
      <w:r>
        <w:rPr>
          <w:spacing w:val="-12"/>
          <w:sz w:val="22"/>
        </w:rPr>
        <w:t>该报告必须显示被保险人血液 </w:t>
      </w:r>
      <w:r>
        <w:rPr>
          <w:sz w:val="22"/>
        </w:rPr>
        <w:t>HIV</w:t>
      </w:r>
      <w:r>
        <w:rPr>
          <w:spacing w:val="-10"/>
          <w:sz w:val="22"/>
        </w:rPr>
        <w:t> 病毒阴性和</w:t>
      </w:r>
      <w:r>
        <w:rPr>
          <w:sz w:val="22"/>
        </w:rPr>
        <w:t>/</w:t>
      </w:r>
      <w:r>
        <w:rPr>
          <w:spacing w:val="-29"/>
          <w:sz w:val="22"/>
        </w:rPr>
        <w:t>或 </w:t>
      </w:r>
      <w:r>
        <w:rPr>
          <w:sz w:val="22"/>
        </w:rPr>
        <w:t>HIV</w:t>
      </w:r>
      <w:r>
        <w:rPr>
          <w:spacing w:val="-10"/>
          <w:sz w:val="22"/>
        </w:rPr>
        <w:t> 抗体阴性；</w:t>
      </w:r>
    </w:p>
    <w:p>
      <w:pPr>
        <w:spacing w:line="259" w:lineRule="auto" w:before="6"/>
        <w:ind w:left="1976" w:right="215" w:firstLine="431"/>
        <w:jc w:val="left"/>
        <w:rPr>
          <w:sz w:val="22"/>
        </w:rPr>
      </w:pPr>
      <w:r>
        <w:rPr>
          <w:spacing w:val="-8"/>
          <w:sz w:val="22"/>
        </w:rPr>
        <w:t>（4）</w:t>
      </w:r>
      <w:r>
        <w:rPr>
          <w:spacing w:val="-6"/>
          <w:sz w:val="22"/>
        </w:rPr>
        <w:t>必须在事故发生后的 </w:t>
      </w:r>
      <w:r>
        <w:rPr>
          <w:sz w:val="22"/>
        </w:rPr>
        <w:t>12</w:t>
      </w:r>
      <w:r>
        <w:rPr>
          <w:spacing w:val="-12"/>
          <w:sz w:val="22"/>
        </w:rPr>
        <w:t> 个月内证实被保险人体内存在 </w:t>
      </w:r>
      <w:r>
        <w:rPr>
          <w:sz w:val="22"/>
        </w:rPr>
        <w:t>HIV</w:t>
      </w:r>
      <w:r>
        <w:rPr>
          <w:spacing w:val="-15"/>
          <w:sz w:val="22"/>
        </w:rPr>
        <w:t> 病毒或</w:t>
      </w:r>
      <w:r>
        <w:rPr>
          <w:spacing w:val="-36"/>
          <w:sz w:val="22"/>
        </w:rPr>
        <w:t>者 </w:t>
      </w:r>
      <w:r>
        <w:rPr>
          <w:sz w:val="22"/>
        </w:rPr>
        <w:t>HIV</w:t>
      </w:r>
      <w:r>
        <w:rPr>
          <w:spacing w:val="-15"/>
          <w:sz w:val="22"/>
        </w:rPr>
        <w:t> 抗体。</w:t>
      </w:r>
    </w:p>
    <w:p>
      <w:pPr>
        <w:spacing w:before="6"/>
        <w:ind w:left="2408" w:right="0" w:firstLine="0"/>
        <w:jc w:val="left"/>
        <w:rPr>
          <w:sz w:val="22"/>
        </w:rPr>
      </w:pPr>
      <w:r>
        <w:rPr>
          <w:w w:val="95"/>
          <w:sz w:val="22"/>
        </w:rPr>
        <w:t>职业限制如下所示:</w:t>
      </w:r>
    </w:p>
    <w:p>
      <w:pPr>
        <w:tabs>
          <w:tab w:pos="6093" w:val="left" w:leader="none"/>
        </w:tabs>
        <w:spacing w:before="24"/>
        <w:ind w:left="2478" w:right="0" w:firstLine="0"/>
        <w:jc w:val="left"/>
        <w:rPr>
          <w:sz w:val="22"/>
        </w:rPr>
      </w:pPr>
      <w:r>
        <w:rPr>
          <w:sz w:val="22"/>
        </w:rPr>
        <w:t>医生和牙科医生</w:t>
        <w:tab/>
      </w:r>
      <w:r>
        <w:rPr>
          <w:w w:val="95"/>
          <w:sz w:val="22"/>
        </w:rPr>
        <w:t>护士</w:t>
      </w:r>
    </w:p>
    <w:p>
      <w:pPr>
        <w:tabs>
          <w:tab w:pos="6093" w:val="left" w:leader="none"/>
        </w:tabs>
        <w:spacing w:before="24"/>
        <w:ind w:left="2478" w:right="0" w:firstLine="0"/>
        <w:jc w:val="left"/>
        <w:rPr>
          <w:sz w:val="22"/>
        </w:rPr>
      </w:pPr>
      <w:r>
        <w:rPr>
          <w:sz w:val="22"/>
        </w:rPr>
        <w:t>实验室工作人员</w:t>
        <w:tab/>
      </w:r>
      <w:r>
        <w:rPr>
          <w:w w:val="95"/>
          <w:sz w:val="22"/>
        </w:rPr>
        <w:t>医院护工</w:t>
      </w:r>
    </w:p>
    <w:p>
      <w:pPr>
        <w:tabs>
          <w:tab w:pos="6093" w:val="left" w:leader="none"/>
        </w:tabs>
        <w:spacing w:before="24"/>
        <w:ind w:left="2478" w:right="0" w:firstLine="0"/>
        <w:jc w:val="left"/>
        <w:rPr>
          <w:sz w:val="22"/>
        </w:rPr>
      </w:pPr>
      <w:r>
        <w:rPr>
          <w:sz w:val="22"/>
        </w:rPr>
        <w:t>医生助理和牙医助理</w:t>
        <w:tab/>
      </w:r>
      <w:r>
        <w:rPr>
          <w:w w:val="95"/>
          <w:sz w:val="22"/>
        </w:rPr>
        <w:t>救护车工作人员</w:t>
      </w:r>
    </w:p>
    <w:p>
      <w:pPr>
        <w:tabs>
          <w:tab w:pos="6093" w:val="left" w:leader="none"/>
        </w:tabs>
        <w:spacing w:before="24"/>
        <w:ind w:left="2478" w:right="0" w:firstLine="0"/>
        <w:jc w:val="left"/>
        <w:rPr>
          <w:sz w:val="22"/>
        </w:rPr>
      </w:pPr>
      <w:r>
        <w:rPr>
          <w:sz w:val="22"/>
        </w:rPr>
        <w:t>助产士</w:t>
        <w:tab/>
      </w:r>
      <w:r>
        <w:rPr>
          <w:w w:val="95"/>
          <w:sz w:val="22"/>
        </w:rPr>
        <w:t>消防队员</w:t>
      </w:r>
    </w:p>
    <w:p>
      <w:pPr>
        <w:tabs>
          <w:tab w:pos="6093" w:val="left" w:leader="none"/>
        </w:tabs>
        <w:spacing w:before="24"/>
        <w:ind w:left="2478" w:right="0" w:firstLine="0"/>
        <w:jc w:val="left"/>
        <w:rPr>
          <w:sz w:val="22"/>
        </w:rPr>
      </w:pPr>
      <w:r>
        <w:rPr>
          <w:sz w:val="22"/>
        </w:rPr>
        <w:t>警察</w:t>
        <w:tab/>
      </w:r>
      <w:r>
        <w:rPr>
          <w:w w:val="95"/>
          <w:sz w:val="22"/>
        </w:rPr>
        <w:t>狱警</w:t>
      </w:r>
    </w:p>
    <w:p>
      <w:pPr>
        <w:pStyle w:val="BodyText"/>
        <w:spacing w:before="3"/>
        <w:rPr>
          <w:sz w:val="26"/>
        </w:rPr>
      </w:pPr>
    </w:p>
    <w:p>
      <w:pPr>
        <w:pStyle w:val="Heading5"/>
      </w:pPr>
      <w:r>
        <w:rPr>
          <w:w w:val="95"/>
        </w:rPr>
        <w:t>（三十三）脊髓灰质炎</w:t>
      </w:r>
    </w:p>
    <w:p>
      <w:pPr>
        <w:pStyle w:val="BodyText"/>
        <w:spacing w:line="273" w:lineRule="auto" w:before="36"/>
        <w:ind w:left="1976" w:right="217" w:firstLine="431"/>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w:t>
      </w:r>
      <w:r>
        <w:rPr>
          <w:spacing w:val="-1"/>
        </w:rPr>
        <w:t>情况予以理赔。肢体机能永久完全丧失，指疾病确诊 </w:t>
      </w:r>
      <w:r>
        <w:rPr/>
        <w:t>180</w:t>
      </w:r>
      <w:r>
        <w:rPr>
          <w:spacing w:val="-3"/>
        </w:rPr>
        <w:t> 日后，每肢三大关节中的两大关节仍然完全僵硬，或不能随意识活动。</w:t>
      </w:r>
    </w:p>
    <w:p>
      <w:pPr>
        <w:pStyle w:val="BodyText"/>
        <w:spacing w:before="0"/>
        <w:rPr>
          <w:sz w:val="20"/>
        </w:rPr>
      </w:pPr>
    </w:p>
    <w:p>
      <w:pPr>
        <w:pStyle w:val="BodyText"/>
        <w:spacing w:before="3"/>
        <w:rPr>
          <w:sz w:val="28"/>
        </w:rPr>
      </w:pPr>
    </w:p>
    <w:p>
      <w:pPr>
        <w:pStyle w:val="BodyText"/>
        <w:spacing w:before="0"/>
        <w:ind w:left="1976"/>
      </w:pPr>
      <w:r>
        <w:rPr/>
        <w:t>上述 7.4 至 7.5 的释义中部分术语释义如下：</w:t>
      </w:r>
    </w:p>
    <w:p>
      <w:pPr>
        <w:pStyle w:val="BodyText"/>
        <w:spacing w:before="8"/>
        <w:rPr>
          <w:sz w:val="26"/>
        </w:rPr>
      </w:pPr>
    </w:p>
    <w:p>
      <w:pPr>
        <w:pStyle w:val="BodyText"/>
        <w:spacing w:before="0"/>
        <w:ind w:left="1976"/>
      </w:pPr>
      <w:r>
        <w:rPr/>
        <w:t>（一）肢体机能完全丧失</w:t>
      </w:r>
    </w:p>
    <w:p>
      <w:pPr>
        <w:pStyle w:val="BodyText"/>
        <w:spacing w:before="36"/>
        <w:ind w:left="1976"/>
      </w:pPr>
      <w:r>
        <w:rPr/>
        <w:t>肢体机能完全丧失是指肢体的三大关节中的两大关节僵硬，或不能随意识活动。</w:t>
      </w:r>
    </w:p>
    <w:p>
      <w:pPr>
        <w:spacing w:after="0"/>
        <w:sectPr>
          <w:pgSz w:w="11910" w:h="16840"/>
          <w:pgMar w:top="1100" w:bottom="280" w:left="1680" w:right="800"/>
        </w:sectPr>
      </w:pPr>
    </w:p>
    <w:p>
      <w:pPr>
        <w:pStyle w:val="BodyText"/>
        <w:spacing w:before="19"/>
        <w:ind w:left="2736"/>
      </w:pPr>
      <w:r>
        <w:rPr/>
        <w:t>肢体是指包括肩关节的整个上肢或包括髋关节的整个下肢。</w:t>
      </w:r>
    </w:p>
    <w:p>
      <w:pPr>
        <w:pStyle w:val="BodyText"/>
        <w:spacing w:before="8"/>
        <w:rPr>
          <w:sz w:val="26"/>
        </w:rPr>
      </w:pPr>
    </w:p>
    <w:p>
      <w:pPr>
        <w:pStyle w:val="BodyText"/>
        <w:spacing w:before="1"/>
        <w:ind w:left="2736"/>
      </w:pPr>
      <w:r>
        <w:rPr/>
        <w:t>（二）语言能力或咀嚼吞咽能力完全丧失</w:t>
      </w:r>
    </w:p>
    <w:p>
      <w:pPr>
        <w:pStyle w:val="BodyText"/>
        <w:spacing w:line="273" w:lineRule="auto"/>
        <w:ind w:left="2736" w:right="111"/>
      </w:pPr>
      <w:r>
        <w:rPr/>
        <w:t>语言能力完全丧失是指无法发出四种语音（包括口唇音、齿舌音、口盖音和喉头音</w:t>
      </w:r>
      <w:r>
        <w:rPr>
          <w:spacing w:val="-5"/>
        </w:rPr>
        <w:t>）</w:t>
      </w:r>
      <w:r>
        <w:rPr>
          <w:spacing w:val="-2"/>
        </w:rPr>
        <w:t>中的任何三种、或声带全部切除，或因大脑语言中枢受伤害而患失语症。咀嚼吞咽能力完全丧失是指因牙齿以外的原因导致器质障碍或机能障碍，以致不能作咀嚼吞咽运动，除流质食物外不能摄取或吞咽的状态。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2736" w:right="4717"/>
      </w:pPr>
      <w:r>
        <w:rPr/>
        <w:t>（三）六项基本日常生活活动六项基本日常生活活动是指：</w:t>
      </w:r>
    </w:p>
    <w:p>
      <w:pPr>
        <w:pStyle w:val="BodyText"/>
        <w:spacing w:before="7"/>
        <w:ind w:left="2736"/>
      </w:pPr>
      <w:r>
        <w:rPr/>
        <w:t>（1）穿衣：自己能够穿衣及脱衣；</w:t>
      </w:r>
    </w:p>
    <w:p>
      <w:pPr>
        <w:pStyle w:val="BodyText"/>
        <w:spacing w:before="36"/>
        <w:ind w:left="2736"/>
      </w:pPr>
      <w:r>
        <w:rPr/>
        <w:t>（2）移动：自己从一个房间到另一个房间；</w:t>
      </w:r>
    </w:p>
    <w:p>
      <w:pPr>
        <w:pStyle w:val="BodyText"/>
        <w:spacing w:before="36"/>
        <w:ind w:left="2736"/>
      </w:pPr>
      <w:r>
        <w:rPr/>
        <w:t>（3）行动：自己上下床或上下轮椅；</w:t>
      </w:r>
    </w:p>
    <w:p>
      <w:pPr>
        <w:pStyle w:val="BodyText"/>
        <w:spacing w:before="36"/>
        <w:ind w:left="2736"/>
      </w:pPr>
      <w:r>
        <w:rPr/>
        <w:t>（4）如厕：自己控制进行大小便；</w:t>
      </w:r>
    </w:p>
    <w:p>
      <w:pPr>
        <w:pStyle w:val="BodyText"/>
        <w:spacing w:before="36"/>
        <w:ind w:left="2736"/>
      </w:pPr>
      <w:r>
        <w:rPr/>
        <w:t>（5）进食：自己从已准备好的碗或碟中取食物放入口中；</w:t>
      </w:r>
    </w:p>
    <w:p>
      <w:pPr>
        <w:pStyle w:val="BodyText"/>
        <w:spacing w:before="36"/>
        <w:ind w:left="2736"/>
      </w:pPr>
      <w:r>
        <w:rPr/>
        <w:t>（6）洗澡：自己进行淋浴或盆浴。</w:t>
      </w:r>
    </w:p>
    <w:p>
      <w:pPr>
        <w:pStyle w:val="BodyText"/>
        <w:spacing w:before="8"/>
        <w:rPr>
          <w:sz w:val="26"/>
        </w:rPr>
      </w:pPr>
    </w:p>
    <w:p>
      <w:pPr>
        <w:pStyle w:val="BodyText"/>
        <w:spacing w:before="0"/>
        <w:ind w:left="2736"/>
      </w:pPr>
      <w:r>
        <w:rPr/>
        <w:t>（四）永久不可逆</w:t>
      </w:r>
    </w:p>
    <w:p>
      <w:pPr>
        <w:pStyle w:val="BodyText"/>
        <w:spacing w:line="273" w:lineRule="auto"/>
        <w:ind w:left="2736" w:right="304"/>
      </w:pPr>
      <w:r>
        <w:rPr>
          <w:spacing w:val="-2"/>
        </w:rPr>
        <w:t>永久不可逆是指自疾病确诊或意外伤害发生之日起，经过积极治疗 </w:t>
      </w:r>
      <w:r>
        <w:rPr/>
        <w:t>180</w:t>
      </w:r>
      <w:r>
        <w:rPr>
          <w:spacing w:val="-14"/>
        </w:rPr>
        <w:t> 日后， 仍无法通过现有医疗手段恢复。</w:t>
      </w:r>
    </w:p>
    <w:p>
      <w:pPr>
        <w:pStyle w:val="BodyText"/>
        <w:spacing w:before="5"/>
        <w:rPr>
          <w:sz w:val="24"/>
        </w:rPr>
      </w:pPr>
    </w:p>
    <w:p>
      <w:pPr>
        <w:pStyle w:val="BodyText"/>
        <w:spacing w:before="0"/>
        <w:ind w:left="2736"/>
      </w:pPr>
      <w:r>
        <w:rPr/>
        <w:t>（五）三大关节</w:t>
      </w:r>
    </w:p>
    <w:p>
      <w:pPr>
        <w:pStyle w:val="BodyText"/>
        <w:spacing w:before="36"/>
        <w:ind w:left="2736"/>
      </w:pPr>
      <w:r>
        <w:rPr/>
        <w:t>上肢三大关节是指肩、肘、腕关节，下肢三大关节是指髋、膝、踝关节。</w:t>
      </w:r>
    </w:p>
    <w:p>
      <w:pPr>
        <w:pStyle w:val="BodyText"/>
        <w:spacing w:before="8"/>
        <w:rPr>
          <w:sz w:val="26"/>
        </w:rPr>
      </w:pPr>
    </w:p>
    <w:p>
      <w:pPr>
        <w:pStyle w:val="ListParagraph"/>
        <w:numPr>
          <w:ilvl w:val="1"/>
          <w:numId w:val="12"/>
        </w:numPr>
        <w:tabs>
          <w:tab w:pos="757" w:val="left" w:leader="none"/>
          <w:tab w:pos="2736" w:val="left" w:leader="none"/>
        </w:tabs>
        <w:spacing w:line="273" w:lineRule="auto" w:before="0" w:after="0"/>
        <w:ind w:left="2736" w:right="307" w:hanging="2635"/>
        <w:jc w:val="both"/>
        <w:rPr>
          <w:sz w:val="21"/>
        </w:rPr>
      </w:pPr>
      <w:r>
        <w:rPr>
          <w:b/>
          <w:sz w:val="21"/>
        </w:rPr>
        <w:t>周岁</w:t>
        <w:tab/>
      </w:r>
      <w:r>
        <w:rPr>
          <w:sz w:val="21"/>
        </w:rPr>
        <w:t>指按有效身份证件中记载的出生日期计算的年龄，自出生之日起为零周岁，每经过一年增加一岁，不足一年的不计。</w:t>
      </w:r>
    </w:p>
    <w:p>
      <w:pPr>
        <w:pStyle w:val="BodyText"/>
        <w:spacing w:before="5"/>
        <w:rPr>
          <w:sz w:val="24"/>
        </w:rPr>
      </w:pPr>
    </w:p>
    <w:p>
      <w:pPr>
        <w:pStyle w:val="ListParagraph"/>
        <w:numPr>
          <w:ilvl w:val="1"/>
          <w:numId w:val="12"/>
        </w:numPr>
        <w:tabs>
          <w:tab w:pos="757" w:val="left" w:leader="none"/>
          <w:tab w:pos="2736" w:val="left" w:leader="none"/>
        </w:tabs>
        <w:spacing w:line="273" w:lineRule="auto" w:before="0" w:after="0"/>
        <w:ind w:left="2736" w:right="307" w:hanging="2635"/>
        <w:jc w:val="both"/>
        <w:rPr>
          <w:sz w:val="21"/>
        </w:rPr>
      </w:pPr>
      <w:r>
        <w:rPr>
          <w:b/>
          <w:sz w:val="21"/>
        </w:rPr>
        <w:t>初次发生</w:t>
        <w:tab/>
      </w:r>
      <w:r>
        <w:rPr>
          <w:sz w:val="21"/>
        </w:rPr>
        <w:t>指被保险人首次出现重大疾病的前兆或异常的身体状况，包括与重大疾病相关的症状及体征。</w:t>
      </w:r>
    </w:p>
    <w:p>
      <w:pPr>
        <w:pStyle w:val="BodyText"/>
        <w:spacing w:before="5"/>
        <w:rPr>
          <w:sz w:val="24"/>
        </w:rPr>
      </w:pPr>
    </w:p>
    <w:p>
      <w:pPr>
        <w:pStyle w:val="ListParagraph"/>
        <w:numPr>
          <w:ilvl w:val="1"/>
          <w:numId w:val="12"/>
        </w:numPr>
        <w:tabs>
          <w:tab w:pos="757" w:val="left" w:leader="none"/>
          <w:tab w:pos="2736" w:val="left" w:leader="none"/>
        </w:tabs>
        <w:spacing w:line="273" w:lineRule="auto" w:before="0" w:after="0"/>
        <w:ind w:left="2736" w:right="307" w:hanging="2635"/>
        <w:jc w:val="both"/>
        <w:rPr>
          <w:sz w:val="21"/>
        </w:rPr>
      </w:pPr>
      <w:r>
        <w:rPr>
          <w:b/>
          <w:sz w:val="21"/>
        </w:rPr>
        <w:t>医院</w:t>
        <w:tab/>
      </w:r>
      <w:r>
        <w:rPr>
          <w:sz w:val="21"/>
        </w:rPr>
        <w:t>指国家卫生部医院等级分类中的二级或二级以上的公立医院，但不包括附属于前述医院或单独作为诊所、康复、护理、疗养、戒酒、戒毒等或相类似的医疗机构。同时该医院必须具有符合有关医院管理规定设置标准的医疗设备，并且全日二十四小时有合格医师及护士驻院提供医疗和护理等服务。</w:t>
      </w:r>
    </w:p>
    <w:p>
      <w:pPr>
        <w:pStyle w:val="BodyText"/>
        <w:spacing w:before="5"/>
        <w:rPr>
          <w:sz w:val="24"/>
        </w:rPr>
      </w:pPr>
    </w:p>
    <w:p>
      <w:pPr>
        <w:pStyle w:val="ListParagraph"/>
        <w:numPr>
          <w:ilvl w:val="1"/>
          <w:numId w:val="12"/>
        </w:numPr>
        <w:tabs>
          <w:tab w:pos="756" w:val="left" w:leader="none"/>
          <w:tab w:pos="757" w:val="left" w:leader="none"/>
          <w:tab w:pos="2736" w:val="left" w:leader="none"/>
        </w:tabs>
        <w:spacing w:line="240" w:lineRule="auto" w:before="0" w:after="0"/>
        <w:ind w:left="756" w:right="0" w:hanging="655"/>
        <w:jc w:val="left"/>
        <w:rPr>
          <w:sz w:val="21"/>
        </w:rPr>
      </w:pPr>
      <w:r>
        <w:rPr>
          <w:b/>
          <w:sz w:val="21"/>
        </w:rPr>
        <w:t>专科医生</w:t>
        <w:tab/>
      </w:r>
      <w:r>
        <w:rPr>
          <w:sz w:val="21"/>
        </w:rPr>
        <w:t>专科医生应当同时满足以下四项资格条件：</w:t>
      </w:r>
    </w:p>
    <w:p>
      <w:pPr>
        <w:pStyle w:val="BodyText"/>
        <w:ind w:left="2736"/>
      </w:pPr>
      <w:r>
        <w:rPr/>
        <w:t>（1）具有有效的中华人民共和国《医师资格证书》；</w:t>
      </w:r>
    </w:p>
    <w:p>
      <w:pPr>
        <w:pStyle w:val="BodyText"/>
        <w:spacing w:line="273" w:lineRule="auto"/>
        <w:ind w:left="3261" w:right="203" w:hanging="526"/>
      </w:pPr>
      <w:r>
        <w:rPr/>
        <w:t>（2）具有有效的中华人民共和国《医师执业证书》，并按期到相关部门登记注册；</w:t>
      </w:r>
    </w:p>
    <w:p>
      <w:pPr>
        <w:pStyle w:val="BodyText"/>
        <w:spacing w:line="273" w:lineRule="auto" w:before="7"/>
        <w:ind w:left="3261" w:right="173" w:hanging="526"/>
      </w:pPr>
      <w:r>
        <w:rPr/>
        <w:t>（3）具有有效的中华人民共和国主治医师或主治医师以上职称的《医师职称证书》；</w:t>
      </w:r>
    </w:p>
    <w:p>
      <w:pPr>
        <w:pStyle w:val="BodyText"/>
        <w:spacing w:before="7"/>
        <w:ind w:left="2736"/>
      </w:pPr>
      <w:r>
        <w:rPr/>
        <w:t>（4）在二级或二级以上医院的相应科室从事临床工作三年以上。</w:t>
      </w:r>
    </w:p>
    <w:p>
      <w:pPr>
        <w:pStyle w:val="BodyText"/>
        <w:spacing w:before="8"/>
        <w:rPr>
          <w:sz w:val="26"/>
        </w:rPr>
      </w:pPr>
    </w:p>
    <w:p>
      <w:pPr>
        <w:pStyle w:val="ListParagraph"/>
        <w:numPr>
          <w:ilvl w:val="1"/>
          <w:numId w:val="12"/>
        </w:numPr>
        <w:tabs>
          <w:tab w:pos="757" w:val="left" w:leader="none"/>
          <w:tab w:pos="2736" w:val="left" w:leader="none"/>
        </w:tabs>
        <w:spacing w:line="273" w:lineRule="auto" w:before="0" w:after="0"/>
        <w:ind w:left="2736" w:right="307" w:hanging="2635"/>
        <w:jc w:val="both"/>
        <w:rPr>
          <w:sz w:val="21"/>
        </w:rPr>
      </w:pPr>
      <w:r>
        <w:rPr>
          <w:b/>
          <w:sz w:val="21"/>
        </w:rPr>
        <w:t>现金价值</w:t>
        <w:tab/>
      </w:r>
      <w:r>
        <w:rPr>
          <w:sz w:val="21"/>
        </w:rPr>
        <w:t>指保险单所具有的价值，通常体现为解除合同时，根据精算原理计算的，由我们退还的那部分金额。</w:t>
      </w:r>
    </w:p>
    <w:p>
      <w:pPr>
        <w:spacing w:after="0" w:line="273" w:lineRule="auto"/>
        <w:jc w:val="both"/>
        <w:rPr>
          <w:sz w:val="21"/>
        </w:rPr>
        <w:sectPr>
          <w:pgSz w:w="11910" w:h="16840"/>
          <w:pgMar w:top="1100" w:bottom="280" w:left="9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950"/>
        <w:gridCol w:w="7532"/>
      </w:tblGrid>
      <w:tr>
        <w:trPr>
          <w:trHeight w:val="260" w:hRule="atLeast"/>
        </w:trPr>
        <w:tc>
          <w:tcPr>
            <w:tcW w:w="2540" w:type="dxa"/>
            <w:gridSpan w:val="2"/>
            <w:vMerge w:val="restart"/>
          </w:tcPr>
          <w:p>
            <w:pPr>
              <w:pStyle w:val="TableParagraph"/>
              <w:rPr>
                <w:rFonts w:ascii="Times New Roman"/>
                <w:sz w:val="20"/>
              </w:rPr>
            </w:pPr>
          </w:p>
        </w:tc>
        <w:tc>
          <w:tcPr>
            <w:tcW w:w="7532" w:type="dxa"/>
          </w:tcPr>
          <w:p>
            <w:pPr>
              <w:pStyle w:val="TableParagraph"/>
              <w:spacing w:line="210" w:lineRule="exact"/>
              <w:ind w:left="145"/>
              <w:rPr>
                <w:sz w:val="21"/>
              </w:rPr>
            </w:pPr>
            <w:r>
              <w:rPr>
                <w:sz w:val="21"/>
              </w:rPr>
              <w:t>现金价值＝净保费×（1－保险经过日数 /</w:t>
            </w:r>
            <w:r>
              <w:rPr>
                <w:spacing w:val="-1"/>
                <w:sz w:val="21"/>
              </w:rPr>
              <w:t> 保险期间的日数</w:t>
            </w:r>
            <w:r>
              <w:rPr>
                <w:spacing w:val="-106"/>
                <w:sz w:val="21"/>
              </w:rPr>
              <w:t>）</w:t>
            </w:r>
            <w:r>
              <w:rPr>
                <w:spacing w:val="-7"/>
                <w:sz w:val="21"/>
              </w:rPr>
              <w:t>，经过日数不足 </w:t>
            </w:r>
            <w:r>
              <w:rPr>
                <w:sz w:val="21"/>
              </w:rPr>
              <w:t>1</w:t>
            </w:r>
          </w:p>
        </w:tc>
      </w:tr>
      <w:tr>
        <w:trPr>
          <w:trHeight w:val="467" w:hRule="atLeast"/>
        </w:trPr>
        <w:tc>
          <w:tcPr>
            <w:tcW w:w="2540" w:type="dxa"/>
            <w:gridSpan w:val="2"/>
            <w:vMerge/>
            <w:tcBorders>
              <w:top w:val="nil"/>
            </w:tcBorders>
          </w:tcPr>
          <w:p>
            <w:pPr>
              <w:rPr>
                <w:sz w:val="2"/>
                <w:szCs w:val="2"/>
              </w:rPr>
            </w:pPr>
          </w:p>
        </w:tc>
        <w:tc>
          <w:tcPr>
            <w:tcW w:w="7532" w:type="dxa"/>
          </w:tcPr>
          <w:p>
            <w:pPr>
              <w:pStyle w:val="TableParagraph"/>
              <w:spacing w:line="261" w:lineRule="exact"/>
              <w:ind w:left="145"/>
              <w:rPr>
                <w:sz w:val="21"/>
              </w:rPr>
            </w:pPr>
            <w:r>
              <w:rPr>
                <w:sz w:val="21"/>
              </w:rPr>
              <w:t>日的按 1 日计算。</w:t>
            </w:r>
          </w:p>
        </w:tc>
      </w:tr>
      <w:tr>
        <w:trPr>
          <w:trHeight w:val="467" w:hRule="atLeast"/>
        </w:trPr>
        <w:tc>
          <w:tcPr>
            <w:tcW w:w="2540" w:type="dxa"/>
            <w:gridSpan w:val="2"/>
            <w:vMerge/>
            <w:tcBorders>
              <w:top w:val="nil"/>
            </w:tcBorders>
          </w:tcPr>
          <w:p>
            <w:pPr>
              <w:rPr>
                <w:sz w:val="2"/>
                <w:szCs w:val="2"/>
              </w:rPr>
            </w:pPr>
          </w:p>
        </w:tc>
        <w:tc>
          <w:tcPr>
            <w:tcW w:w="7532" w:type="dxa"/>
          </w:tcPr>
          <w:p>
            <w:pPr>
              <w:pStyle w:val="TableParagraph"/>
              <w:spacing w:before="142"/>
              <w:ind w:left="145"/>
              <w:rPr>
                <w:sz w:val="21"/>
              </w:rPr>
            </w:pPr>
            <w:r>
              <w:rPr>
                <w:sz w:val="21"/>
              </w:rPr>
              <w:t>净保费指投保人所交纳的保险费扣除每张保险单平均承担的本公司各项费用</w:t>
            </w:r>
          </w:p>
        </w:tc>
      </w:tr>
      <w:tr>
        <w:trPr>
          <w:trHeight w:val="467" w:hRule="atLeast"/>
        </w:trPr>
        <w:tc>
          <w:tcPr>
            <w:tcW w:w="2540" w:type="dxa"/>
            <w:gridSpan w:val="2"/>
            <w:vMerge/>
            <w:tcBorders>
              <w:top w:val="nil"/>
            </w:tcBorders>
          </w:tcPr>
          <w:p>
            <w:pPr>
              <w:rPr>
                <w:sz w:val="2"/>
                <w:szCs w:val="2"/>
              </w:rPr>
            </w:pPr>
          </w:p>
        </w:tc>
        <w:tc>
          <w:tcPr>
            <w:tcW w:w="7532" w:type="dxa"/>
          </w:tcPr>
          <w:p>
            <w:pPr>
              <w:pStyle w:val="TableParagraph"/>
              <w:spacing w:line="261" w:lineRule="exact"/>
              <w:ind w:left="145"/>
              <w:rPr>
                <w:sz w:val="21"/>
              </w:rPr>
            </w:pPr>
            <w:r>
              <w:rPr>
                <w:sz w:val="21"/>
              </w:rPr>
              <w:t>（含营业费用、代理费、各项税金、保险保障基金等）后的余额。</w:t>
            </w:r>
          </w:p>
        </w:tc>
      </w:tr>
      <w:tr>
        <w:trPr>
          <w:trHeight w:val="467" w:hRule="atLeast"/>
        </w:trPr>
        <w:tc>
          <w:tcPr>
            <w:tcW w:w="590" w:type="dxa"/>
          </w:tcPr>
          <w:p>
            <w:pPr>
              <w:pStyle w:val="TableParagraph"/>
              <w:spacing w:before="142"/>
              <w:ind w:left="50"/>
              <w:rPr>
                <w:b/>
                <w:sz w:val="21"/>
              </w:rPr>
            </w:pPr>
            <w:r>
              <w:rPr>
                <w:b/>
                <w:sz w:val="21"/>
              </w:rPr>
              <w:t>7.11</w:t>
            </w:r>
          </w:p>
        </w:tc>
        <w:tc>
          <w:tcPr>
            <w:tcW w:w="1950" w:type="dxa"/>
          </w:tcPr>
          <w:p>
            <w:pPr>
              <w:pStyle w:val="TableParagraph"/>
              <w:spacing w:before="142"/>
              <w:ind w:left="115"/>
              <w:rPr>
                <w:b/>
                <w:sz w:val="21"/>
              </w:rPr>
            </w:pPr>
            <w:r>
              <w:rPr>
                <w:b/>
                <w:w w:val="95"/>
                <w:sz w:val="21"/>
              </w:rPr>
              <w:t>毒品</w:t>
            </w:r>
          </w:p>
        </w:tc>
        <w:tc>
          <w:tcPr>
            <w:tcW w:w="7532" w:type="dxa"/>
          </w:tcPr>
          <w:p>
            <w:pPr>
              <w:pStyle w:val="TableParagraph"/>
              <w:spacing w:before="142"/>
              <w:ind w:left="145"/>
              <w:rPr>
                <w:sz w:val="21"/>
              </w:rPr>
            </w:pPr>
            <w:r>
              <w:rPr>
                <w:spacing w:val="-6"/>
                <w:sz w:val="21"/>
              </w:rPr>
              <w:t>指中华人民共和国刑法规定的鸦片、海洛因、甲基苯丙胺</w:t>
            </w:r>
            <w:r>
              <w:rPr>
                <w:sz w:val="21"/>
              </w:rPr>
              <w:t>（冰毒</w:t>
            </w:r>
            <w:r>
              <w:rPr>
                <w:spacing w:val="-105"/>
                <w:sz w:val="21"/>
              </w:rPr>
              <w:t>）</w:t>
            </w:r>
            <w:r>
              <w:rPr>
                <w:spacing w:val="-9"/>
                <w:sz w:val="21"/>
              </w:rPr>
              <w:t>、吗啡、大麻、</w:t>
            </w:r>
          </w:p>
        </w:tc>
      </w:tr>
      <w:tr>
        <w:trPr>
          <w:trHeight w:val="311" w:hRule="atLeast"/>
        </w:trPr>
        <w:tc>
          <w:tcPr>
            <w:tcW w:w="590" w:type="dxa"/>
          </w:tcPr>
          <w:p>
            <w:pPr>
              <w:pStyle w:val="TableParagraph"/>
              <w:rPr>
                <w:rFonts w:ascii="Times New Roman"/>
                <w:sz w:val="20"/>
              </w:rPr>
            </w:pPr>
          </w:p>
        </w:tc>
        <w:tc>
          <w:tcPr>
            <w:tcW w:w="1950" w:type="dxa"/>
          </w:tcPr>
          <w:p>
            <w:pPr>
              <w:pStyle w:val="TableParagraph"/>
              <w:rPr>
                <w:rFonts w:ascii="Times New Roman"/>
                <w:sz w:val="20"/>
              </w:rPr>
            </w:pPr>
          </w:p>
        </w:tc>
        <w:tc>
          <w:tcPr>
            <w:tcW w:w="7532" w:type="dxa"/>
          </w:tcPr>
          <w:p>
            <w:pPr>
              <w:pStyle w:val="TableParagraph"/>
              <w:spacing w:line="261" w:lineRule="exact"/>
              <w:ind w:left="145"/>
              <w:rPr>
                <w:sz w:val="21"/>
              </w:rPr>
            </w:pPr>
            <w:r>
              <w:rPr>
                <w:sz w:val="21"/>
              </w:rPr>
              <w:t>可卡因以及国家规定管制的其他能够使人形成瘾癖的麻醉药品和精神药品，但</w:t>
            </w:r>
          </w:p>
        </w:tc>
      </w:tr>
      <w:tr>
        <w:trPr>
          <w:trHeight w:val="467" w:hRule="atLeast"/>
        </w:trPr>
        <w:tc>
          <w:tcPr>
            <w:tcW w:w="590" w:type="dxa"/>
          </w:tcPr>
          <w:p>
            <w:pPr>
              <w:pStyle w:val="TableParagraph"/>
              <w:rPr>
                <w:rFonts w:ascii="Times New Roman"/>
                <w:sz w:val="20"/>
              </w:rPr>
            </w:pPr>
          </w:p>
        </w:tc>
        <w:tc>
          <w:tcPr>
            <w:tcW w:w="1950" w:type="dxa"/>
          </w:tcPr>
          <w:p>
            <w:pPr>
              <w:pStyle w:val="TableParagraph"/>
              <w:rPr>
                <w:rFonts w:ascii="Times New Roman"/>
                <w:sz w:val="20"/>
              </w:rPr>
            </w:pPr>
          </w:p>
        </w:tc>
        <w:tc>
          <w:tcPr>
            <w:tcW w:w="7532" w:type="dxa"/>
          </w:tcPr>
          <w:p>
            <w:pPr>
              <w:pStyle w:val="TableParagraph"/>
              <w:spacing w:line="261" w:lineRule="exact"/>
              <w:ind w:left="145"/>
              <w:rPr>
                <w:sz w:val="21"/>
              </w:rPr>
            </w:pPr>
            <w:r>
              <w:rPr>
                <w:sz w:val="21"/>
              </w:rPr>
              <w:t>不包括由医生开具并遵医嘱使用的用于治疗疾病但含有毒品成分的处方药品。</w:t>
            </w:r>
          </w:p>
        </w:tc>
      </w:tr>
      <w:tr>
        <w:trPr>
          <w:trHeight w:val="467" w:hRule="atLeast"/>
        </w:trPr>
        <w:tc>
          <w:tcPr>
            <w:tcW w:w="590" w:type="dxa"/>
          </w:tcPr>
          <w:p>
            <w:pPr>
              <w:pStyle w:val="TableParagraph"/>
              <w:spacing w:before="142"/>
              <w:ind w:left="50"/>
              <w:rPr>
                <w:b/>
                <w:sz w:val="21"/>
              </w:rPr>
            </w:pPr>
            <w:r>
              <w:rPr>
                <w:b/>
                <w:sz w:val="21"/>
              </w:rPr>
              <w:t>7.12</w:t>
            </w:r>
          </w:p>
        </w:tc>
        <w:tc>
          <w:tcPr>
            <w:tcW w:w="1950" w:type="dxa"/>
          </w:tcPr>
          <w:p>
            <w:pPr>
              <w:pStyle w:val="TableParagraph"/>
              <w:spacing w:before="142"/>
              <w:ind w:left="115"/>
              <w:rPr>
                <w:b/>
                <w:sz w:val="21"/>
              </w:rPr>
            </w:pPr>
            <w:r>
              <w:rPr>
                <w:b/>
                <w:sz w:val="21"/>
              </w:rPr>
              <w:t>酒后驾驶</w:t>
            </w:r>
          </w:p>
        </w:tc>
        <w:tc>
          <w:tcPr>
            <w:tcW w:w="7532" w:type="dxa"/>
          </w:tcPr>
          <w:p>
            <w:pPr>
              <w:pStyle w:val="TableParagraph"/>
              <w:spacing w:before="142"/>
              <w:ind w:left="145"/>
              <w:rPr>
                <w:sz w:val="21"/>
              </w:rPr>
            </w:pPr>
            <w:r>
              <w:rPr>
                <w:sz w:val="21"/>
              </w:rPr>
              <w:t>指经检测或鉴定，发生事故时车辆驾驶人员每百毫升血液中的酒精含量达到或</w:t>
            </w:r>
          </w:p>
        </w:tc>
      </w:tr>
      <w:tr>
        <w:trPr>
          <w:trHeight w:val="311" w:hRule="atLeast"/>
        </w:trPr>
        <w:tc>
          <w:tcPr>
            <w:tcW w:w="590" w:type="dxa"/>
          </w:tcPr>
          <w:p>
            <w:pPr>
              <w:pStyle w:val="TableParagraph"/>
              <w:rPr>
                <w:rFonts w:ascii="Times New Roman"/>
                <w:sz w:val="20"/>
              </w:rPr>
            </w:pPr>
          </w:p>
        </w:tc>
        <w:tc>
          <w:tcPr>
            <w:tcW w:w="1950" w:type="dxa"/>
          </w:tcPr>
          <w:p>
            <w:pPr>
              <w:pStyle w:val="TableParagraph"/>
              <w:rPr>
                <w:rFonts w:ascii="Times New Roman"/>
                <w:sz w:val="20"/>
              </w:rPr>
            </w:pPr>
          </w:p>
        </w:tc>
        <w:tc>
          <w:tcPr>
            <w:tcW w:w="7532" w:type="dxa"/>
          </w:tcPr>
          <w:p>
            <w:pPr>
              <w:pStyle w:val="TableParagraph"/>
              <w:spacing w:line="261" w:lineRule="exact"/>
              <w:ind w:left="145"/>
              <w:rPr>
                <w:sz w:val="21"/>
              </w:rPr>
            </w:pPr>
            <w:r>
              <w:rPr>
                <w:sz w:val="21"/>
              </w:rPr>
              <w:t>超过一定的标准，公安机关交通管理部门依据《道路交通安全法》的规定认定</w:t>
            </w:r>
          </w:p>
        </w:tc>
      </w:tr>
      <w:tr>
        <w:trPr>
          <w:trHeight w:val="472" w:hRule="atLeast"/>
        </w:trPr>
        <w:tc>
          <w:tcPr>
            <w:tcW w:w="590" w:type="dxa"/>
          </w:tcPr>
          <w:p>
            <w:pPr>
              <w:pStyle w:val="TableParagraph"/>
              <w:rPr>
                <w:rFonts w:ascii="Times New Roman"/>
                <w:sz w:val="20"/>
              </w:rPr>
            </w:pPr>
          </w:p>
        </w:tc>
        <w:tc>
          <w:tcPr>
            <w:tcW w:w="1950" w:type="dxa"/>
          </w:tcPr>
          <w:p>
            <w:pPr>
              <w:pStyle w:val="TableParagraph"/>
              <w:rPr>
                <w:rFonts w:ascii="Times New Roman"/>
                <w:sz w:val="20"/>
              </w:rPr>
            </w:pPr>
          </w:p>
        </w:tc>
        <w:tc>
          <w:tcPr>
            <w:tcW w:w="7532" w:type="dxa"/>
          </w:tcPr>
          <w:p>
            <w:pPr>
              <w:pStyle w:val="TableParagraph"/>
              <w:spacing w:line="261" w:lineRule="exact"/>
              <w:ind w:left="145"/>
              <w:rPr>
                <w:sz w:val="21"/>
              </w:rPr>
            </w:pPr>
            <w:r>
              <w:rPr>
                <w:sz w:val="21"/>
              </w:rPr>
              <w:t>为饮酒后驾驶或醉酒后驾驶。</w:t>
            </w:r>
          </w:p>
        </w:tc>
      </w:tr>
      <w:tr>
        <w:trPr>
          <w:trHeight w:val="484" w:hRule="atLeast"/>
        </w:trPr>
        <w:tc>
          <w:tcPr>
            <w:tcW w:w="590" w:type="dxa"/>
          </w:tcPr>
          <w:p>
            <w:pPr>
              <w:pStyle w:val="TableParagraph"/>
              <w:spacing w:before="146"/>
              <w:ind w:left="50"/>
              <w:rPr>
                <w:b/>
                <w:sz w:val="21"/>
              </w:rPr>
            </w:pPr>
            <w:r>
              <w:rPr>
                <w:b/>
                <w:sz w:val="21"/>
              </w:rPr>
              <w:t>7.13</w:t>
            </w:r>
          </w:p>
        </w:tc>
        <w:tc>
          <w:tcPr>
            <w:tcW w:w="1950" w:type="dxa"/>
          </w:tcPr>
          <w:p>
            <w:pPr>
              <w:pStyle w:val="TableParagraph"/>
              <w:spacing w:before="171"/>
              <w:ind w:left="115"/>
              <w:rPr>
                <w:b/>
                <w:sz w:val="21"/>
              </w:rPr>
            </w:pPr>
            <w:r>
              <w:rPr>
                <w:b/>
                <w:w w:val="95"/>
                <w:sz w:val="21"/>
              </w:rPr>
              <w:t>无合法有效驾驶证</w:t>
            </w:r>
          </w:p>
        </w:tc>
        <w:tc>
          <w:tcPr>
            <w:tcW w:w="7532" w:type="dxa"/>
          </w:tcPr>
          <w:p>
            <w:pPr>
              <w:pStyle w:val="TableParagraph"/>
              <w:spacing w:before="146"/>
              <w:ind w:left="145"/>
              <w:rPr>
                <w:sz w:val="21"/>
              </w:rPr>
            </w:pPr>
            <w:r>
              <w:rPr>
                <w:sz w:val="21"/>
              </w:rPr>
              <w:t>指下列情形之一：</w:t>
            </w:r>
          </w:p>
        </w:tc>
      </w:tr>
      <w:tr>
        <w:trPr>
          <w:trHeight w:val="611" w:hRule="atLeast"/>
        </w:trPr>
        <w:tc>
          <w:tcPr>
            <w:tcW w:w="590" w:type="dxa"/>
          </w:tcPr>
          <w:p>
            <w:pPr>
              <w:pStyle w:val="TableParagraph"/>
              <w:rPr>
                <w:rFonts w:ascii="Times New Roman"/>
                <w:sz w:val="20"/>
              </w:rPr>
            </w:pPr>
          </w:p>
        </w:tc>
        <w:tc>
          <w:tcPr>
            <w:tcW w:w="1950" w:type="dxa"/>
          </w:tcPr>
          <w:p>
            <w:pPr>
              <w:pStyle w:val="TableParagraph"/>
              <w:spacing w:before="6"/>
              <w:ind w:left="115"/>
              <w:rPr>
                <w:b/>
                <w:sz w:val="21"/>
              </w:rPr>
            </w:pPr>
            <w:r>
              <w:rPr>
                <w:b/>
                <w:sz w:val="21"/>
              </w:rPr>
              <w:t>驾驶</w:t>
            </w:r>
          </w:p>
        </w:tc>
        <w:tc>
          <w:tcPr>
            <w:tcW w:w="7532" w:type="dxa"/>
          </w:tcPr>
          <w:p>
            <w:pPr>
              <w:pStyle w:val="TableParagraph"/>
              <w:spacing w:line="248" w:lineRule="exact"/>
              <w:ind w:left="145"/>
              <w:rPr>
                <w:sz w:val="21"/>
              </w:rPr>
            </w:pPr>
            <w:r>
              <w:rPr>
                <w:sz w:val="21"/>
              </w:rPr>
              <w:t>（1）没有取得驾驶资格；</w:t>
            </w:r>
          </w:p>
          <w:p>
            <w:pPr>
              <w:pStyle w:val="TableParagraph"/>
              <w:spacing w:before="37"/>
              <w:ind w:left="145"/>
              <w:rPr>
                <w:sz w:val="21"/>
              </w:rPr>
            </w:pPr>
            <w:r>
              <w:rPr>
                <w:sz w:val="21"/>
              </w:rPr>
              <w:t>（2）驾驶与驾驶证准驾车型不相符合的车辆；</w:t>
            </w:r>
          </w:p>
        </w:tc>
      </w:tr>
      <w:tr>
        <w:trPr>
          <w:trHeight w:val="311" w:hRule="atLeast"/>
        </w:trPr>
        <w:tc>
          <w:tcPr>
            <w:tcW w:w="590" w:type="dxa"/>
          </w:tcPr>
          <w:p>
            <w:pPr>
              <w:pStyle w:val="TableParagraph"/>
              <w:rPr>
                <w:rFonts w:ascii="Times New Roman"/>
                <w:sz w:val="20"/>
              </w:rPr>
            </w:pPr>
          </w:p>
        </w:tc>
        <w:tc>
          <w:tcPr>
            <w:tcW w:w="1950" w:type="dxa"/>
          </w:tcPr>
          <w:p>
            <w:pPr>
              <w:pStyle w:val="TableParagraph"/>
              <w:rPr>
                <w:rFonts w:ascii="Times New Roman"/>
                <w:sz w:val="20"/>
              </w:rPr>
            </w:pPr>
          </w:p>
        </w:tc>
        <w:tc>
          <w:tcPr>
            <w:tcW w:w="7532" w:type="dxa"/>
          </w:tcPr>
          <w:p>
            <w:pPr>
              <w:pStyle w:val="TableParagraph"/>
              <w:spacing w:line="261" w:lineRule="exact"/>
              <w:ind w:left="145"/>
              <w:rPr>
                <w:sz w:val="21"/>
              </w:rPr>
            </w:pPr>
            <w:r>
              <w:rPr>
                <w:sz w:val="21"/>
              </w:rPr>
              <w:t>（3）持审验不合格的驾驶证驾驶；</w:t>
            </w:r>
          </w:p>
        </w:tc>
      </w:tr>
      <w:tr>
        <w:trPr>
          <w:trHeight w:val="260" w:hRule="atLeast"/>
        </w:trPr>
        <w:tc>
          <w:tcPr>
            <w:tcW w:w="590" w:type="dxa"/>
          </w:tcPr>
          <w:p>
            <w:pPr>
              <w:pStyle w:val="TableParagraph"/>
              <w:rPr>
                <w:rFonts w:ascii="Times New Roman"/>
                <w:sz w:val="18"/>
              </w:rPr>
            </w:pPr>
          </w:p>
        </w:tc>
        <w:tc>
          <w:tcPr>
            <w:tcW w:w="1950" w:type="dxa"/>
          </w:tcPr>
          <w:p>
            <w:pPr>
              <w:pStyle w:val="TableParagraph"/>
              <w:rPr>
                <w:rFonts w:ascii="Times New Roman"/>
                <w:sz w:val="18"/>
              </w:rPr>
            </w:pPr>
          </w:p>
        </w:tc>
        <w:tc>
          <w:tcPr>
            <w:tcW w:w="7532" w:type="dxa"/>
          </w:tcPr>
          <w:p>
            <w:pPr>
              <w:pStyle w:val="TableParagraph"/>
              <w:spacing w:line="241" w:lineRule="exact"/>
              <w:ind w:left="145"/>
              <w:rPr>
                <w:sz w:val="21"/>
              </w:rPr>
            </w:pPr>
            <w:r>
              <w:rPr>
                <w:sz w:val="21"/>
              </w:rPr>
              <w:t>（4）持学习驾驶证学习驾车时，无教练员随车指导，或不按指定时间、路线学</w:t>
            </w:r>
          </w:p>
        </w:tc>
      </w:tr>
    </w:tbl>
    <w:p>
      <w:pPr>
        <w:pStyle w:val="BodyText"/>
        <w:spacing w:before="41"/>
        <w:ind w:left="3322"/>
      </w:pPr>
      <w:r>
        <w:rPr/>
        <w:t>习驾车。</w:t>
      </w:r>
    </w:p>
    <w:p>
      <w:pPr>
        <w:pStyle w:val="BodyText"/>
        <w:spacing w:before="8"/>
        <w:rPr>
          <w:sz w:val="26"/>
        </w:rPr>
      </w:pPr>
    </w:p>
    <w:p>
      <w:pPr>
        <w:pStyle w:val="ListParagraph"/>
        <w:numPr>
          <w:ilvl w:val="1"/>
          <w:numId w:val="14"/>
        </w:numPr>
        <w:tabs>
          <w:tab w:pos="816" w:val="left" w:leader="none"/>
          <w:tab w:pos="817" w:val="left" w:leader="none"/>
          <w:tab w:pos="2796" w:val="left" w:leader="none"/>
        </w:tabs>
        <w:spacing w:line="240" w:lineRule="auto" w:before="1" w:after="0"/>
        <w:ind w:left="816" w:right="0" w:hanging="655"/>
        <w:jc w:val="left"/>
        <w:rPr>
          <w:sz w:val="21"/>
        </w:rPr>
      </w:pPr>
      <w:r>
        <w:rPr>
          <w:b/>
          <w:sz w:val="21"/>
        </w:rPr>
        <w:t>无有效行驶证</w:t>
        <w:tab/>
      </w:r>
      <w:r>
        <w:rPr>
          <w:sz w:val="21"/>
        </w:rPr>
        <w:t>指下列情形之一：</w:t>
      </w:r>
    </w:p>
    <w:p>
      <w:pPr>
        <w:pStyle w:val="BodyText"/>
        <w:ind w:left="2796"/>
      </w:pPr>
      <w:r>
        <w:rPr/>
        <w:t>（1）机动车被依法注销登记的；</w:t>
      </w:r>
    </w:p>
    <w:p>
      <w:pPr>
        <w:pStyle w:val="BodyText"/>
        <w:ind w:left="2796"/>
      </w:pPr>
      <w:r>
        <w:rPr/>
        <w:t>（2）未依法按时进行或通过机动车安全技术检验。</w:t>
      </w:r>
    </w:p>
    <w:p>
      <w:pPr>
        <w:pStyle w:val="BodyText"/>
        <w:spacing w:before="0"/>
        <w:rPr>
          <w:sz w:val="24"/>
        </w:rPr>
      </w:pPr>
    </w:p>
    <w:p>
      <w:pPr>
        <w:spacing w:after="0"/>
        <w:rPr>
          <w:sz w:val="24"/>
        </w:rPr>
        <w:sectPr>
          <w:pgSz w:w="11910" w:h="16840"/>
          <w:pgMar w:top="1180" w:bottom="280" w:left="860" w:right="760"/>
        </w:sectPr>
      </w:pPr>
    </w:p>
    <w:p>
      <w:pPr>
        <w:pStyle w:val="Heading5"/>
        <w:numPr>
          <w:ilvl w:val="1"/>
          <w:numId w:val="14"/>
        </w:numPr>
        <w:tabs>
          <w:tab w:pos="816" w:val="left" w:leader="none"/>
          <w:tab w:pos="817" w:val="left" w:leader="none"/>
        </w:tabs>
        <w:spacing w:line="273" w:lineRule="auto" w:before="35" w:after="0"/>
        <w:ind w:left="816" w:right="0" w:hanging="655"/>
        <w:jc w:val="left"/>
      </w:pPr>
      <w:r>
        <w:rPr/>
        <w:t>感染艾滋病病毒或患艾滋病</w:t>
      </w:r>
    </w:p>
    <w:p>
      <w:pPr>
        <w:pStyle w:val="BodyText"/>
        <w:spacing w:line="273" w:lineRule="auto" w:before="35"/>
        <w:ind w:left="161" w:right="259"/>
        <w:jc w:val="both"/>
      </w:pPr>
      <w:r>
        <w:rPr/>
        <w:br w:type="column"/>
      </w:r>
      <w:r>
        <w:rPr>
          <w:spacing w:val="-7"/>
        </w:rPr>
        <w:t>艾滋病病毒指人类免疫缺陷病毒，英文缩写为 </w:t>
      </w:r>
      <w:r>
        <w:rPr/>
        <w:t>HIV</w:t>
      </w:r>
      <w:r>
        <w:rPr>
          <w:spacing w:val="-6"/>
        </w:rPr>
        <w:t>。艾滋病指人类免疫缺陷病毒</w:t>
      </w:r>
      <w:r>
        <w:rPr>
          <w:spacing w:val="-10"/>
        </w:rPr>
        <w:t>引起的获得性免疫缺陷综合症，英文缩写为 </w:t>
      </w:r>
      <w:r>
        <w:rPr/>
        <w:t>AIDS。</w:t>
      </w:r>
    </w:p>
    <w:p>
      <w:pPr>
        <w:pStyle w:val="BodyText"/>
        <w:spacing w:before="5"/>
        <w:rPr>
          <w:sz w:val="24"/>
        </w:rPr>
      </w:pPr>
    </w:p>
    <w:p>
      <w:pPr>
        <w:pStyle w:val="BodyText"/>
        <w:spacing w:line="273" w:lineRule="auto" w:before="0"/>
        <w:ind w:left="161" w:right="345"/>
        <w:jc w:val="both"/>
      </w:pPr>
      <w:r>
        <w:rPr/>
        <w:t>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600" w:bottom="280" w:left="860" w:right="760"/>
          <w:cols w:num="2" w:equalWidth="0">
            <w:col w:w="2504" w:space="132"/>
            <w:col w:w="7654"/>
          </w:cols>
        </w:sectPr>
      </w:pPr>
    </w:p>
    <w:p>
      <w:pPr>
        <w:pStyle w:val="BodyText"/>
        <w:spacing w:before="9"/>
      </w:pPr>
    </w:p>
    <w:p>
      <w:pPr>
        <w:pStyle w:val="ListParagraph"/>
        <w:numPr>
          <w:ilvl w:val="1"/>
          <w:numId w:val="14"/>
        </w:numPr>
        <w:tabs>
          <w:tab w:pos="816" w:val="left" w:leader="none"/>
          <w:tab w:pos="817" w:val="left" w:leader="none"/>
          <w:tab w:pos="2796" w:val="left" w:leader="none"/>
        </w:tabs>
        <w:spacing w:line="273" w:lineRule="auto" w:before="35" w:after="0"/>
        <w:ind w:left="2796" w:right="345" w:hanging="2635"/>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9"/>
      </w:pPr>
    </w:p>
    <w:p>
      <w:pPr>
        <w:spacing w:after="0"/>
        <w:sectPr>
          <w:type w:val="continuous"/>
          <w:pgSz w:w="11910" w:h="16840"/>
          <w:pgMar w:top="600" w:bottom="280" w:left="860" w:right="760"/>
        </w:sectPr>
      </w:pPr>
    </w:p>
    <w:p>
      <w:pPr>
        <w:pStyle w:val="Heading5"/>
        <w:numPr>
          <w:ilvl w:val="1"/>
          <w:numId w:val="14"/>
        </w:numPr>
        <w:tabs>
          <w:tab w:pos="816" w:val="left" w:leader="none"/>
          <w:tab w:pos="817" w:val="left" w:leader="none"/>
        </w:tabs>
        <w:spacing w:line="273" w:lineRule="auto" w:before="35" w:after="0"/>
        <w:ind w:left="816" w:right="0" w:hanging="655"/>
        <w:jc w:val="left"/>
      </w:pPr>
      <w:r>
        <w:rPr>
          <w:spacing w:val="10"/>
        </w:rPr>
        <w:t>先天性畸形、变形</w:t>
      </w:r>
      <w:r>
        <w:rPr>
          <w:w w:val="95"/>
        </w:rPr>
        <w:t>或染色体异常</w:t>
      </w:r>
    </w:p>
    <w:p>
      <w:pPr>
        <w:pStyle w:val="BodyText"/>
        <w:spacing w:line="273" w:lineRule="auto" w:before="35"/>
        <w:ind w:left="161" w:right="240"/>
        <w:jc w:val="both"/>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sectPr>
      <w:type w:val="continuous"/>
      <w:pgSz w:w="11910" w:h="16840"/>
      <w:pgMar w:top="600" w:bottom="280" w:left="860" w:right="760"/>
      <w:cols w:num="2" w:equalWidth="0">
        <w:col w:w="2592" w:space="44"/>
        <w:col w:w="765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upperRoman"/>
      <w:lvlText w:val="%1"/>
      <w:lvlJc w:val="left"/>
      <w:pPr>
        <w:ind w:left="2268" w:hanging="166"/>
        <w:jc w:val="left"/>
      </w:pPr>
      <w:rPr>
        <w:rFonts w:hint="default" w:ascii="宋体" w:hAnsi="宋体" w:eastAsia="宋体" w:cs="宋体"/>
        <w:w w:val="99"/>
        <w:sz w:val="22"/>
        <w:szCs w:val="22"/>
      </w:rPr>
    </w:lvl>
    <w:lvl w:ilvl="1">
      <w:start w:val="0"/>
      <w:numFmt w:val="bullet"/>
      <w:lvlText w:val="•"/>
      <w:lvlJc w:val="left"/>
      <w:pPr>
        <w:ind w:left="2976" w:hanging="166"/>
      </w:pPr>
      <w:rPr>
        <w:rFonts w:hint="default"/>
      </w:rPr>
    </w:lvl>
    <w:lvl w:ilvl="2">
      <w:start w:val="0"/>
      <w:numFmt w:val="bullet"/>
      <w:lvlText w:val="•"/>
      <w:lvlJc w:val="left"/>
      <w:pPr>
        <w:ind w:left="3692" w:hanging="166"/>
      </w:pPr>
      <w:rPr>
        <w:rFonts w:hint="default"/>
      </w:rPr>
    </w:lvl>
    <w:lvl w:ilvl="3">
      <w:start w:val="0"/>
      <w:numFmt w:val="bullet"/>
      <w:lvlText w:val="•"/>
      <w:lvlJc w:val="left"/>
      <w:pPr>
        <w:ind w:left="4409" w:hanging="166"/>
      </w:pPr>
      <w:rPr>
        <w:rFonts w:hint="default"/>
      </w:rPr>
    </w:lvl>
    <w:lvl w:ilvl="4">
      <w:start w:val="0"/>
      <w:numFmt w:val="bullet"/>
      <w:lvlText w:val="•"/>
      <w:lvlJc w:val="left"/>
      <w:pPr>
        <w:ind w:left="5125" w:hanging="166"/>
      </w:pPr>
      <w:rPr>
        <w:rFonts w:hint="default"/>
      </w:rPr>
    </w:lvl>
    <w:lvl w:ilvl="5">
      <w:start w:val="0"/>
      <w:numFmt w:val="bullet"/>
      <w:lvlText w:val="•"/>
      <w:lvlJc w:val="left"/>
      <w:pPr>
        <w:ind w:left="5842" w:hanging="166"/>
      </w:pPr>
      <w:rPr>
        <w:rFonts w:hint="default"/>
      </w:rPr>
    </w:lvl>
    <w:lvl w:ilvl="6">
      <w:start w:val="0"/>
      <w:numFmt w:val="bullet"/>
      <w:lvlText w:val="•"/>
      <w:lvlJc w:val="left"/>
      <w:pPr>
        <w:ind w:left="6558" w:hanging="166"/>
      </w:pPr>
      <w:rPr>
        <w:rFonts w:hint="default"/>
      </w:rPr>
    </w:lvl>
    <w:lvl w:ilvl="7">
      <w:start w:val="0"/>
      <w:numFmt w:val="bullet"/>
      <w:lvlText w:val="•"/>
      <w:lvlJc w:val="left"/>
      <w:pPr>
        <w:ind w:left="7275" w:hanging="166"/>
      </w:pPr>
      <w:rPr>
        <w:rFonts w:hint="default"/>
      </w:rPr>
    </w:lvl>
    <w:lvl w:ilvl="8">
      <w:start w:val="0"/>
      <w:numFmt w:val="bullet"/>
      <w:lvlText w:val="•"/>
      <w:lvlJc w:val="left"/>
      <w:pPr>
        <w:ind w:left="7991" w:hanging="166"/>
      </w:pPr>
      <w:rPr>
        <w:rFonts w:hint="default"/>
      </w:rPr>
    </w:lvl>
  </w:abstractNum>
  <w:abstractNum w:abstractNumId="13">
    <w:multiLevelType w:val="hybridMultilevel"/>
    <w:lvl w:ilvl="0">
      <w:start w:val="7"/>
      <w:numFmt w:val="decimal"/>
      <w:lvlText w:val="%1"/>
      <w:lvlJc w:val="left"/>
      <w:pPr>
        <w:ind w:left="816" w:hanging="656"/>
        <w:jc w:val="left"/>
      </w:pPr>
      <w:rPr>
        <w:rFonts w:hint="default"/>
      </w:rPr>
    </w:lvl>
    <w:lvl w:ilvl="1">
      <w:start w:val="14"/>
      <w:numFmt w:val="decimal"/>
      <w:lvlText w:val="%1.%2"/>
      <w:lvlJc w:val="left"/>
      <w:pPr>
        <w:ind w:left="816" w:hanging="656"/>
        <w:jc w:val="left"/>
      </w:pPr>
      <w:rPr>
        <w:rFonts w:hint="default" w:ascii="宋体" w:hAnsi="宋体" w:eastAsia="宋体" w:cs="宋体"/>
        <w:b/>
        <w:bCs/>
        <w:w w:val="99"/>
        <w:sz w:val="21"/>
        <w:szCs w:val="21"/>
      </w:rPr>
    </w:lvl>
    <w:lvl w:ilvl="2">
      <w:start w:val="0"/>
      <w:numFmt w:val="bullet"/>
      <w:lvlText w:val="•"/>
      <w:lvlJc w:val="left"/>
      <w:pPr>
        <w:ind w:left="2712" w:hanging="656"/>
      </w:pPr>
      <w:rPr>
        <w:rFonts w:hint="default"/>
      </w:rPr>
    </w:lvl>
    <w:lvl w:ilvl="3">
      <w:start w:val="0"/>
      <w:numFmt w:val="bullet"/>
      <w:lvlText w:val="•"/>
      <w:lvlJc w:val="left"/>
      <w:pPr>
        <w:ind w:left="3659" w:hanging="656"/>
      </w:pPr>
      <w:rPr>
        <w:rFonts w:hint="default"/>
      </w:rPr>
    </w:lvl>
    <w:lvl w:ilvl="4">
      <w:start w:val="0"/>
      <w:numFmt w:val="bullet"/>
      <w:lvlText w:val="•"/>
      <w:lvlJc w:val="left"/>
      <w:pPr>
        <w:ind w:left="4605" w:hanging="656"/>
      </w:pPr>
      <w:rPr>
        <w:rFonts w:hint="default"/>
      </w:rPr>
    </w:lvl>
    <w:lvl w:ilvl="5">
      <w:start w:val="0"/>
      <w:numFmt w:val="bullet"/>
      <w:lvlText w:val="•"/>
      <w:lvlJc w:val="left"/>
      <w:pPr>
        <w:ind w:left="5552" w:hanging="656"/>
      </w:pPr>
      <w:rPr>
        <w:rFonts w:hint="default"/>
      </w:rPr>
    </w:lvl>
    <w:lvl w:ilvl="6">
      <w:start w:val="0"/>
      <w:numFmt w:val="bullet"/>
      <w:lvlText w:val="•"/>
      <w:lvlJc w:val="left"/>
      <w:pPr>
        <w:ind w:left="6498" w:hanging="656"/>
      </w:pPr>
      <w:rPr>
        <w:rFonts w:hint="default"/>
      </w:rPr>
    </w:lvl>
    <w:lvl w:ilvl="7">
      <w:start w:val="0"/>
      <w:numFmt w:val="bullet"/>
      <w:lvlText w:val="•"/>
      <w:lvlJc w:val="left"/>
      <w:pPr>
        <w:ind w:left="7445" w:hanging="656"/>
      </w:pPr>
      <w:rPr>
        <w:rFonts w:hint="default"/>
      </w:rPr>
    </w:lvl>
    <w:lvl w:ilvl="8">
      <w:start w:val="0"/>
      <w:numFmt w:val="bullet"/>
      <w:lvlText w:val="•"/>
      <w:lvlJc w:val="left"/>
      <w:pPr>
        <w:ind w:left="8391" w:hanging="656"/>
      </w:pPr>
      <w:rPr>
        <w:rFonts w:hint="default"/>
      </w:rPr>
    </w:lvl>
  </w:abstractNum>
  <w:abstractNum w:abstractNumId="11">
    <w:multiLevelType w:val="hybridMultilevel"/>
    <w:lvl w:ilvl="0">
      <w:start w:val="7"/>
      <w:numFmt w:val="decimal"/>
      <w:lvlText w:val="%1"/>
      <w:lvlJc w:val="left"/>
      <w:pPr>
        <w:ind w:left="2736" w:hanging="656"/>
        <w:jc w:val="left"/>
      </w:pPr>
      <w:rPr>
        <w:rFonts w:hint="default"/>
      </w:rPr>
    </w:lvl>
    <w:lvl w:ilvl="1">
      <w:start w:val="5"/>
      <w:numFmt w:val="decimal"/>
      <w:lvlText w:val="%1.%2"/>
      <w:lvlJc w:val="left"/>
      <w:pPr>
        <w:ind w:left="2736" w:hanging="656"/>
        <w:jc w:val="left"/>
      </w:pPr>
      <w:rPr>
        <w:rFonts w:hint="default" w:ascii="宋体" w:hAnsi="宋体" w:eastAsia="宋体" w:cs="宋体"/>
        <w:b/>
        <w:bCs/>
        <w:w w:val="99"/>
        <w:sz w:val="21"/>
        <w:szCs w:val="21"/>
      </w:rPr>
    </w:lvl>
    <w:lvl w:ilvl="2">
      <w:start w:val="0"/>
      <w:numFmt w:val="bullet"/>
      <w:lvlText w:val="•"/>
      <w:lvlJc w:val="left"/>
      <w:pPr>
        <w:ind w:left="4228" w:hanging="656"/>
      </w:pPr>
      <w:rPr>
        <w:rFonts w:hint="default"/>
      </w:rPr>
    </w:lvl>
    <w:lvl w:ilvl="3">
      <w:start w:val="0"/>
      <w:numFmt w:val="bullet"/>
      <w:lvlText w:val="•"/>
      <w:lvlJc w:val="left"/>
      <w:pPr>
        <w:ind w:left="4973" w:hanging="656"/>
      </w:pPr>
      <w:rPr>
        <w:rFonts w:hint="default"/>
      </w:rPr>
    </w:lvl>
    <w:lvl w:ilvl="4">
      <w:start w:val="0"/>
      <w:numFmt w:val="bullet"/>
      <w:lvlText w:val="•"/>
      <w:lvlJc w:val="left"/>
      <w:pPr>
        <w:ind w:left="5717" w:hanging="656"/>
      </w:pPr>
      <w:rPr>
        <w:rFonts w:hint="default"/>
      </w:rPr>
    </w:lvl>
    <w:lvl w:ilvl="5">
      <w:start w:val="0"/>
      <w:numFmt w:val="bullet"/>
      <w:lvlText w:val="•"/>
      <w:lvlJc w:val="left"/>
      <w:pPr>
        <w:ind w:left="6462" w:hanging="656"/>
      </w:pPr>
      <w:rPr>
        <w:rFonts w:hint="default"/>
      </w:rPr>
    </w:lvl>
    <w:lvl w:ilvl="6">
      <w:start w:val="0"/>
      <w:numFmt w:val="bullet"/>
      <w:lvlText w:val="•"/>
      <w:lvlJc w:val="left"/>
      <w:pPr>
        <w:ind w:left="7206" w:hanging="656"/>
      </w:pPr>
      <w:rPr>
        <w:rFonts w:hint="default"/>
      </w:rPr>
    </w:lvl>
    <w:lvl w:ilvl="7">
      <w:start w:val="0"/>
      <w:numFmt w:val="bullet"/>
      <w:lvlText w:val="•"/>
      <w:lvlJc w:val="left"/>
      <w:pPr>
        <w:ind w:left="7951" w:hanging="656"/>
      </w:pPr>
      <w:rPr>
        <w:rFonts w:hint="default"/>
      </w:rPr>
    </w:lvl>
    <w:lvl w:ilvl="8">
      <w:start w:val="0"/>
      <w:numFmt w:val="bullet"/>
      <w:lvlText w:val="•"/>
      <w:lvlJc w:val="left"/>
      <w:pPr>
        <w:ind w:left="8695" w:hanging="656"/>
      </w:pPr>
      <w:rPr>
        <w:rFonts w:hint="default"/>
      </w:rPr>
    </w:lvl>
  </w:abstractNum>
  <w:abstractNum w:abstractNumId="10">
    <w:multiLevelType w:val="hybridMultilevel"/>
    <w:lvl w:ilvl="0">
      <w:start w:val="4"/>
      <w:numFmt w:val="decimal"/>
      <w:lvlText w:val="%1"/>
      <w:lvlJc w:val="left"/>
      <w:pPr>
        <w:ind w:left="2856" w:hanging="655"/>
        <w:jc w:val="left"/>
      </w:pPr>
      <w:rPr>
        <w:rFonts w:hint="default"/>
      </w:rPr>
    </w:lvl>
    <w:lvl w:ilvl="1">
      <w:start w:val="1"/>
      <w:numFmt w:val="decimal"/>
      <w:lvlText w:val="%1.%2"/>
      <w:lvlJc w:val="left"/>
      <w:pPr>
        <w:ind w:left="2856" w:hanging="655"/>
        <w:jc w:val="left"/>
      </w:pPr>
      <w:rPr>
        <w:rFonts w:hint="default" w:ascii="宋体" w:hAnsi="宋体" w:eastAsia="宋体" w:cs="宋体"/>
        <w:b/>
        <w:bCs/>
        <w:w w:val="99"/>
        <w:sz w:val="21"/>
        <w:szCs w:val="21"/>
      </w:rPr>
    </w:lvl>
    <w:lvl w:ilvl="2">
      <w:start w:val="0"/>
      <w:numFmt w:val="bullet"/>
      <w:lvlText w:val="•"/>
      <w:lvlJc w:val="left"/>
      <w:pPr>
        <w:ind w:left="4348" w:hanging="655"/>
      </w:pPr>
      <w:rPr>
        <w:rFonts w:hint="default"/>
      </w:rPr>
    </w:lvl>
    <w:lvl w:ilvl="3">
      <w:start w:val="0"/>
      <w:numFmt w:val="bullet"/>
      <w:lvlText w:val="•"/>
      <w:lvlJc w:val="left"/>
      <w:pPr>
        <w:ind w:left="5093" w:hanging="655"/>
      </w:pPr>
      <w:rPr>
        <w:rFonts w:hint="default"/>
      </w:rPr>
    </w:lvl>
    <w:lvl w:ilvl="4">
      <w:start w:val="0"/>
      <w:numFmt w:val="bullet"/>
      <w:lvlText w:val="•"/>
      <w:lvlJc w:val="left"/>
      <w:pPr>
        <w:ind w:left="5837" w:hanging="655"/>
      </w:pPr>
      <w:rPr>
        <w:rFonts w:hint="default"/>
      </w:rPr>
    </w:lvl>
    <w:lvl w:ilvl="5">
      <w:start w:val="0"/>
      <w:numFmt w:val="bullet"/>
      <w:lvlText w:val="•"/>
      <w:lvlJc w:val="left"/>
      <w:pPr>
        <w:ind w:left="6582" w:hanging="655"/>
      </w:pPr>
      <w:rPr>
        <w:rFonts w:hint="default"/>
      </w:rPr>
    </w:lvl>
    <w:lvl w:ilvl="6">
      <w:start w:val="0"/>
      <w:numFmt w:val="bullet"/>
      <w:lvlText w:val="•"/>
      <w:lvlJc w:val="left"/>
      <w:pPr>
        <w:ind w:left="7326" w:hanging="655"/>
      </w:pPr>
      <w:rPr>
        <w:rFonts w:hint="default"/>
      </w:rPr>
    </w:lvl>
    <w:lvl w:ilvl="7">
      <w:start w:val="0"/>
      <w:numFmt w:val="bullet"/>
      <w:lvlText w:val="•"/>
      <w:lvlJc w:val="left"/>
      <w:pPr>
        <w:ind w:left="8071" w:hanging="655"/>
      </w:pPr>
      <w:rPr>
        <w:rFonts w:hint="default"/>
      </w:rPr>
    </w:lvl>
    <w:lvl w:ilvl="8">
      <w:start w:val="0"/>
      <w:numFmt w:val="bullet"/>
      <w:lvlText w:val="•"/>
      <w:lvlJc w:val="left"/>
      <w:pPr>
        <w:ind w:left="8815" w:hanging="655"/>
      </w:pPr>
      <w:rPr>
        <w:rFonts w:hint="default"/>
      </w:rPr>
    </w:lvl>
  </w:abstractNum>
  <w:abstractNum w:abstractNumId="9">
    <w:multiLevelType w:val="hybridMultilevel"/>
    <w:lvl w:ilvl="0">
      <w:start w:val="3"/>
      <w:numFmt w:val="decimal"/>
      <w:lvlText w:val="%1"/>
      <w:lvlJc w:val="left"/>
      <w:pPr>
        <w:ind w:left="876" w:hanging="656"/>
        <w:jc w:val="left"/>
      </w:pPr>
      <w:rPr>
        <w:rFonts w:hint="default"/>
      </w:rPr>
    </w:lvl>
    <w:lvl w:ilvl="1">
      <w:start w:val="1"/>
      <w:numFmt w:val="decimal"/>
      <w:lvlText w:val="%1.%2"/>
      <w:lvlJc w:val="left"/>
      <w:pPr>
        <w:ind w:left="2856" w:hanging="656"/>
        <w:jc w:val="left"/>
      </w:pPr>
      <w:rPr>
        <w:rFonts w:hint="default" w:ascii="宋体" w:hAnsi="宋体" w:eastAsia="宋体" w:cs="宋体"/>
        <w:b/>
        <w:bCs/>
        <w:w w:val="99"/>
        <w:sz w:val="21"/>
        <w:szCs w:val="21"/>
      </w:rPr>
    </w:lvl>
    <w:lvl w:ilvl="2">
      <w:start w:val="0"/>
      <w:numFmt w:val="bullet"/>
      <w:lvlText w:val="•"/>
      <w:lvlJc w:val="left"/>
      <w:pPr>
        <w:ind w:left="3687" w:hanging="656"/>
      </w:pPr>
      <w:rPr>
        <w:rFonts w:hint="default"/>
      </w:rPr>
    </w:lvl>
    <w:lvl w:ilvl="3">
      <w:start w:val="0"/>
      <w:numFmt w:val="bullet"/>
      <w:lvlText w:val="•"/>
      <w:lvlJc w:val="left"/>
      <w:pPr>
        <w:ind w:left="4514" w:hanging="656"/>
      </w:pPr>
      <w:rPr>
        <w:rFonts w:hint="default"/>
      </w:rPr>
    </w:lvl>
    <w:lvl w:ilvl="4">
      <w:start w:val="0"/>
      <w:numFmt w:val="bullet"/>
      <w:lvlText w:val="•"/>
      <w:lvlJc w:val="left"/>
      <w:pPr>
        <w:ind w:left="5341" w:hanging="656"/>
      </w:pPr>
      <w:rPr>
        <w:rFonts w:hint="default"/>
      </w:rPr>
    </w:lvl>
    <w:lvl w:ilvl="5">
      <w:start w:val="0"/>
      <w:numFmt w:val="bullet"/>
      <w:lvlText w:val="•"/>
      <w:lvlJc w:val="left"/>
      <w:pPr>
        <w:ind w:left="6168" w:hanging="656"/>
      </w:pPr>
      <w:rPr>
        <w:rFonts w:hint="default"/>
      </w:rPr>
    </w:lvl>
    <w:lvl w:ilvl="6">
      <w:start w:val="0"/>
      <w:numFmt w:val="bullet"/>
      <w:lvlText w:val="•"/>
      <w:lvlJc w:val="left"/>
      <w:pPr>
        <w:ind w:left="6995" w:hanging="656"/>
      </w:pPr>
      <w:rPr>
        <w:rFonts w:hint="default"/>
      </w:rPr>
    </w:lvl>
    <w:lvl w:ilvl="7">
      <w:start w:val="0"/>
      <w:numFmt w:val="bullet"/>
      <w:lvlText w:val="•"/>
      <w:lvlJc w:val="left"/>
      <w:pPr>
        <w:ind w:left="7822" w:hanging="656"/>
      </w:pPr>
      <w:rPr>
        <w:rFonts w:hint="default"/>
      </w:rPr>
    </w:lvl>
    <w:lvl w:ilvl="8">
      <w:start w:val="0"/>
      <w:numFmt w:val="bullet"/>
      <w:lvlText w:val="•"/>
      <w:lvlJc w:val="left"/>
      <w:pPr>
        <w:ind w:left="8650" w:hanging="656"/>
      </w:pPr>
      <w:rPr>
        <w:rFonts w:hint="default"/>
      </w:rPr>
    </w:lvl>
  </w:abstractNum>
  <w:abstractNum w:abstractNumId="8">
    <w:multiLevelType w:val="hybridMultilevel"/>
    <w:lvl w:ilvl="0">
      <w:start w:val="2"/>
      <w:numFmt w:val="decimal"/>
      <w:lvlText w:val="%1"/>
      <w:lvlJc w:val="left"/>
      <w:pPr>
        <w:ind w:left="2856" w:hanging="656"/>
        <w:jc w:val="left"/>
      </w:pPr>
      <w:rPr>
        <w:rFonts w:hint="default"/>
      </w:rPr>
    </w:lvl>
    <w:lvl w:ilvl="1">
      <w:start w:val="1"/>
      <w:numFmt w:val="decimal"/>
      <w:lvlText w:val="%1.%2"/>
      <w:lvlJc w:val="left"/>
      <w:pPr>
        <w:ind w:left="2856" w:hanging="656"/>
        <w:jc w:val="left"/>
      </w:pPr>
      <w:rPr>
        <w:rFonts w:hint="default" w:ascii="宋体" w:hAnsi="宋体" w:eastAsia="宋体" w:cs="宋体"/>
        <w:b/>
        <w:bCs/>
        <w:spacing w:val="0"/>
        <w:w w:val="99"/>
        <w:sz w:val="21"/>
        <w:szCs w:val="21"/>
      </w:rPr>
    </w:lvl>
    <w:lvl w:ilvl="2">
      <w:start w:val="1"/>
      <w:numFmt w:val="decimal"/>
      <w:lvlText w:val="(%3)"/>
      <w:lvlJc w:val="left"/>
      <w:pPr>
        <w:ind w:left="3382" w:hanging="421"/>
        <w:jc w:val="left"/>
      </w:pPr>
      <w:rPr>
        <w:rFonts w:hint="default" w:ascii="黑体" w:hAnsi="黑体" w:eastAsia="黑体" w:cs="黑体"/>
        <w:spacing w:val="-2"/>
        <w:w w:val="100"/>
        <w:sz w:val="21"/>
        <w:szCs w:val="21"/>
      </w:rPr>
    </w:lvl>
    <w:lvl w:ilvl="3">
      <w:start w:val="0"/>
      <w:numFmt w:val="bullet"/>
      <w:lvlText w:val="•"/>
      <w:lvlJc w:val="left"/>
      <w:pPr>
        <w:ind w:left="4918" w:hanging="421"/>
      </w:pPr>
      <w:rPr>
        <w:rFonts w:hint="default"/>
      </w:rPr>
    </w:lvl>
    <w:lvl w:ilvl="4">
      <w:start w:val="0"/>
      <w:numFmt w:val="bullet"/>
      <w:lvlText w:val="•"/>
      <w:lvlJc w:val="left"/>
      <w:pPr>
        <w:ind w:left="5688" w:hanging="421"/>
      </w:pPr>
      <w:rPr>
        <w:rFonts w:hint="default"/>
      </w:rPr>
    </w:lvl>
    <w:lvl w:ilvl="5">
      <w:start w:val="0"/>
      <w:numFmt w:val="bullet"/>
      <w:lvlText w:val="•"/>
      <w:lvlJc w:val="left"/>
      <w:pPr>
        <w:ind w:left="6457" w:hanging="421"/>
      </w:pPr>
      <w:rPr>
        <w:rFonts w:hint="default"/>
      </w:rPr>
    </w:lvl>
    <w:lvl w:ilvl="6">
      <w:start w:val="0"/>
      <w:numFmt w:val="bullet"/>
      <w:lvlText w:val="•"/>
      <w:lvlJc w:val="left"/>
      <w:pPr>
        <w:ind w:left="7226" w:hanging="421"/>
      </w:pPr>
      <w:rPr>
        <w:rFonts w:hint="default"/>
      </w:rPr>
    </w:lvl>
    <w:lvl w:ilvl="7">
      <w:start w:val="0"/>
      <w:numFmt w:val="bullet"/>
      <w:lvlText w:val="•"/>
      <w:lvlJc w:val="left"/>
      <w:pPr>
        <w:ind w:left="7996" w:hanging="421"/>
      </w:pPr>
      <w:rPr>
        <w:rFonts w:hint="default"/>
      </w:rPr>
    </w:lvl>
    <w:lvl w:ilvl="8">
      <w:start w:val="0"/>
      <w:numFmt w:val="bullet"/>
      <w:lvlText w:val="•"/>
      <w:lvlJc w:val="left"/>
      <w:pPr>
        <w:ind w:left="8765" w:hanging="421"/>
      </w:pPr>
      <w:rPr>
        <w:rFonts w:hint="default"/>
      </w:rPr>
    </w:lvl>
  </w:abstractNum>
  <w:abstractNum w:abstractNumId="7">
    <w:multiLevelType w:val="hybridMultilevel"/>
    <w:lvl w:ilvl="0">
      <w:start w:val="1"/>
      <w:numFmt w:val="decimal"/>
      <w:lvlText w:val="%1"/>
      <w:lvlJc w:val="left"/>
      <w:pPr>
        <w:ind w:left="876" w:hanging="656"/>
        <w:jc w:val="left"/>
      </w:pPr>
      <w:rPr>
        <w:rFonts w:hint="default"/>
      </w:rPr>
    </w:lvl>
    <w:lvl w:ilvl="1">
      <w:start w:val="1"/>
      <w:numFmt w:val="decimal"/>
      <w:lvlText w:val="%1.%2"/>
      <w:lvlJc w:val="left"/>
      <w:pPr>
        <w:ind w:left="876" w:hanging="656"/>
        <w:jc w:val="left"/>
      </w:pPr>
      <w:rPr>
        <w:rFonts w:hint="default" w:ascii="宋体" w:hAnsi="宋体" w:eastAsia="宋体" w:cs="宋体"/>
        <w:b/>
        <w:bCs/>
        <w:w w:val="99"/>
        <w:sz w:val="21"/>
        <w:szCs w:val="21"/>
      </w:rPr>
    </w:lvl>
    <w:lvl w:ilvl="2">
      <w:start w:val="0"/>
      <w:numFmt w:val="bullet"/>
      <w:lvlText w:val="•"/>
      <w:lvlJc w:val="left"/>
      <w:pPr>
        <w:ind w:left="2764" w:hanging="656"/>
      </w:pPr>
      <w:rPr>
        <w:rFonts w:hint="default"/>
      </w:rPr>
    </w:lvl>
    <w:lvl w:ilvl="3">
      <w:start w:val="0"/>
      <w:numFmt w:val="bullet"/>
      <w:lvlText w:val="•"/>
      <w:lvlJc w:val="left"/>
      <w:pPr>
        <w:ind w:left="3707" w:hanging="656"/>
      </w:pPr>
      <w:rPr>
        <w:rFonts w:hint="default"/>
      </w:rPr>
    </w:lvl>
    <w:lvl w:ilvl="4">
      <w:start w:val="0"/>
      <w:numFmt w:val="bullet"/>
      <w:lvlText w:val="•"/>
      <w:lvlJc w:val="left"/>
      <w:pPr>
        <w:ind w:left="4649" w:hanging="656"/>
      </w:pPr>
      <w:rPr>
        <w:rFonts w:hint="default"/>
      </w:rPr>
    </w:lvl>
    <w:lvl w:ilvl="5">
      <w:start w:val="0"/>
      <w:numFmt w:val="bullet"/>
      <w:lvlText w:val="•"/>
      <w:lvlJc w:val="left"/>
      <w:pPr>
        <w:ind w:left="5592" w:hanging="656"/>
      </w:pPr>
      <w:rPr>
        <w:rFonts w:hint="default"/>
      </w:rPr>
    </w:lvl>
    <w:lvl w:ilvl="6">
      <w:start w:val="0"/>
      <w:numFmt w:val="bullet"/>
      <w:lvlText w:val="•"/>
      <w:lvlJc w:val="left"/>
      <w:pPr>
        <w:ind w:left="6534" w:hanging="656"/>
      </w:pPr>
      <w:rPr>
        <w:rFonts w:hint="default"/>
      </w:rPr>
    </w:lvl>
    <w:lvl w:ilvl="7">
      <w:start w:val="0"/>
      <w:numFmt w:val="bullet"/>
      <w:lvlText w:val="•"/>
      <w:lvlJc w:val="left"/>
      <w:pPr>
        <w:ind w:left="7477" w:hanging="656"/>
      </w:pPr>
      <w:rPr>
        <w:rFonts w:hint="default"/>
      </w:rPr>
    </w:lvl>
    <w:lvl w:ilvl="8">
      <w:start w:val="0"/>
      <w:numFmt w:val="bullet"/>
      <w:lvlText w:val="•"/>
      <w:lvlJc w:val="left"/>
      <w:pPr>
        <w:ind w:left="8419" w:hanging="656"/>
      </w:pPr>
      <w:rPr>
        <w:rFonts w:hint="default"/>
      </w:rPr>
    </w:lvl>
  </w:abstractNum>
  <w:abstractNum w:abstractNumId="6">
    <w:multiLevelType w:val="hybridMultilevel"/>
    <w:lvl w:ilvl="0">
      <w:start w:val="7"/>
      <w:numFmt w:val="decimal"/>
      <w:lvlText w:val="%1"/>
      <w:lvlJc w:val="left"/>
      <w:pPr>
        <w:ind w:left="1066" w:hanging="420"/>
        <w:jc w:val="left"/>
      </w:pPr>
      <w:rPr>
        <w:rFonts w:hint="default"/>
      </w:rPr>
    </w:lvl>
    <w:lvl w:ilvl="1">
      <w:start w:val="1"/>
      <w:numFmt w:val="decimal"/>
      <w:lvlText w:val="%1.%2"/>
      <w:lvlJc w:val="left"/>
      <w:pPr>
        <w:ind w:left="915" w:hanging="420"/>
        <w:jc w:val="right"/>
      </w:pPr>
      <w:rPr>
        <w:rFonts w:hint="default" w:ascii="宋体" w:hAnsi="宋体" w:eastAsia="宋体" w:cs="宋体"/>
        <w:spacing w:val="-1"/>
        <w:w w:val="100"/>
        <w:sz w:val="21"/>
        <w:szCs w:val="21"/>
      </w:rPr>
    </w:lvl>
    <w:lvl w:ilvl="2">
      <w:start w:val="0"/>
      <w:numFmt w:val="bullet"/>
      <w:lvlText w:val="•"/>
      <w:lvlJc w:val="left"/>
      <w:pPr>
        <w:ind w:left="1246" w:hanging="420"/>
      </w:pPr>
      <w:rPr>
        <w:rFonts w:hint="default"/>
      </w:rPr>
    </w:lvl>
    <w:lvl w:ilvl="3">
      <w:start w:val="0"/>
      <w:numFmt w:val="bullet"/>
      <w:lvlText w:val="•"/>
      <w:lvlJc w:val="left"/>
      <w:pPr>
        <w:ind w:left="1432" w:hanging="420"/>
      </w:pPr>
      <w:rPr>
        <w:rFonts w:hint="default"/>
      </w:rPr>
    </w:lvl>
    <w:lvl w:ilvl="4">
      <w:start w:val="0"/>
      <w:numFmt w:val="bullet"/>
      <w:lvlText w:val="•"/>
      <w:lvlJc w:val="left"/>
      <w:pPr>
        <w:ind w:left="1618" w:hanging="420"/>
      </w:pPr>
      <w:rPr>
        <w:rFonts w:hint="default"/>
      </w:rPr>
    </w:lvl>
    <w:lvl w:ilvl="5">
      <w:start w:val="0"/>
      <w:numFmt w:val="bullet"/>
      <w:lvlText w:val="•"/>
      <w:lvlJc w:val="left"/>
      <w:pPr>
        <w:ind w:left="1805" w:hanging="420"/>
      </w:pPr>
      <w:rPr>
        <w:rFonts w:hint="default"/>
      </w:rPr>
    </w:lvl>
    <w:lvl w:ilvl="6">
      <w:start w:val="0"/>
      <w:numFmt w:val="bullet"/>
      <w:lvlText w:val="•"/>
      <w:lvlJc w:val="left"/>
      <w:pPr>
        <w:ind w:left="1991" w:hanging="420"/>
      </w:pPr>
      <w:rPr>
        <w:rFonts w:hint="default"/>
      </w:rPr>
    </w:lvl>
    <w:lvl w:ilvl="7">
      <w:start w:val="0"/>
      <w:numFmt w:val="bullet"/>
      <w:lvlText w:val="•"/>
      <w:lvlJc w:val="left"/>
      <w:pPr>
        <w:ind w:left="2177" w:hanging="420"/>
      </w:pPr>
      <w:rPr>
        <w:rFonts w:hint="default"/>
      </w:rPr>
    </w:lvl>
    <w:lvl w:ilvl="8">
      <w:start w:val="0"/>
      <w:numFmt w:val="bullet"/>
      <w:lvlText w:val="•"/>
      <w:lvlJc w:val="left"/>
      <w:pPr>
        <w:ind w:left="2364" w:hanging="420"/>
      </w:pPr>
      <w:rPr>
        <w:rFonts w:hint="default"/>
      </w:rPr>
    </w:lvl>
  </w:abstractNum>
  <w:abstractNum w:abstractNumId="5">
    <w:multiLevelType w:val="hybridMultilevel"/>
    <w:lvl w:ilvl="0">
      <w:start w:val="6"/>
      <w:numFmt w:val="decimal"/>
      <w:lvlText w:val="%1"/>
      <w:lvlJc w:val="left"/>
      <w:pPr>
        <w:ind w:left="1066" w:hanging="420"/>
        <w:jc w:val="left"/>
      </w:pPr>
      <w:rPr>
        <w:rFonts w:hint="default"/>
      </w:rPr>
    </w:lvl>
    <w:lvl w:ilvl="1">
      <w:start w:val="1"/>
      <w:numFmt w:val="decimal"/>
      <w:lvlText w:val="%1.%2"/>
      <w:lvlJc w:val="left"/>
      <w:pPr>
        <w:ind w:left="1066" w:hanging="420"/>
        <w:jc w:val="left"/>
      </w:pPr>
      <w:rPr>
        <w:rFonts w:hint="default" w:ascii="宋体" w:hAnsi="宋体" w:eastAsia="宋体" w:cs="宋体"/>
        <w:spacing w:val="-1"/>
        <w:w w:val="100"/>
        <w:sz w:val="21"/>
        <w:szCs w:val="21"/>
      </w:rPr>
    </w:lvl>
    <w:lvl w:ilvl="2">
      <w:start w:val="0"/>
      <w:numFmt w:val="bullet"/>
      <w:lvlText w:val="•"/>
      <w:lvlJc w:val="left"/>
      <w:pPr>
        <w:ind w:left="1395" w:hanging="420"/>
      </w:pPr>
      <w:rPr>
        <w:rFonts w:hint="default"/>
      </w:rPr>
    </w:lvl>
    <w:lvl w:ilvl="3">
      <w:start w:val="0"/>
      <w:numFmt w:val="bullet"/>
      <w:lvlText w:val="•"/>
      <w:lvlJc w:val="left"/>
      <w:pPr>
        <w:ind w:left="1563" w:hanging="420"/>
      </w:pPr>
      <w:rPr>
        <w:rFonts w:hint="default"/>
      </w:rPr>
    </w:lvl>
    <w:lvl w:ilvl="4">
      <w:start w:val="0"/>
      <w:numFmt w:val="bullet"/>
      <w:lvlText w:val="•"/>
      <w:lvlJc w:val="left"/>
      <w:pPr>
        <w:ind w:left="1730" w:hanging="420"/>
      </w:pPr>
      <w:rPr>
        <w:rFonts w:hint="default"/>
      </w:rPr>
    </w:lvl>
    <w:lvl w:ilvl="5">
      <w:start w:val="0"/>
      <w:numFmt w:val="bullet"/>
      <w:lvlText w:val="•"/>
      <w:lvlJc w:val="left"/>
      <w:pPr>
        <w:ind w:left="1898" w:hanging="420"/>
      </w:pPr>
      <w:rPr>
        <w:rFonts w:hint="default"/>
      </w:rPr>
    </w:lvl>
    <w:lvl w:ilvl="6">
      <w:start w:val="0"/>
      <w:numFmt w:val="bullet"/>
      <w:lvlText w:val="•"/>
      <w:lvlJc w:val="left"/>
      <w:pPr>
        <w:ind w:left="2066" w:hanging="420"/>
      </w:pPr>
      <w:rPr>
        <w:rFonts w:hint="default"/>
      </w:rPr>
    </w:lvl>
    <w:lvl w:ilvl="7">
      <w:start w:val="0"/>
      <w:numFmt w:val="bullet"/>
      <w:lvlText w:val="•"/>
      <w:lvlJc w:val="left"/>
      <w:pPr>
        <w:ind w:left="2233" w:hanging="420"/>
      </w:pPr>
      <w:rPr>
        <w:rFonts w:hint="default"/>
      </w:rPr>
    </w:lvl>
    <w:lvl w:ilvl="8">
      <w:start w:val="0"/>
      <w:numFmt w:val="bullet"/>
      <w:lvlText w:val="•"/>
      <w:lvlJc w:val="left"/>
      <w:pPr>
        <w:ind w:left="2401" w:hanging="420"/>
      </w:pPr>
      <w:rPr>
        <w:rFonts w:hint="default"/>
      </w:rPr>
    </w:lvl>
  </w:abstractNum>
  <w:abstractNum w:abstractNumId="4">
    <w:multiLevelType w:val="hybridMultilevel"/>
    <w:lvl w:ilvl="0">
      <w:start w:val="4"/>
      <w:numFmt w:val="decimal"/>
      <w:lvlText w:val="%1"/>
      <w:lvlJc w:val="left"/>
      <w:pPr>
        <w:ind w:left="1783" w:hanging="420"/>
        <w:jc w:val="left"/>
      </w:pPr>
      <w:rPr>
        <w:rFonts w:hint="default"/>
      </w:rPr>
    </w:lvl>
    <w:lvl w:ilvl="1">
      <w:start w:val="1"/>
      <w:numFmt w:val="decimal"/>
      <w:lvlText w:val="%1.%2"/>
      <w:lvlJc w:val="left"/>
      <w:pPr>
        <w:ind w:left="1783" w:hanging="420"/>
        <w:jc w:val="left"/>
      </w:pPr>
      <w:rPr>
        <w:rFonts w:hint="default" w:ascii="宋体" w:hAnsi="宋体" w:eastAsia="宋体" w:cs="宋体"/>
        <w:spacing w:val="-1"/>
        <w:w w:val="100"/>
        <w:sz w:val="21"/>
        <w:szCs w:val="21"/>
      </w:rPr>
    </w:lvl>
    <w:lvl w:ilvl="2">
      <w:start w:val="0"/>
      <w:numFmt w:val="bullet"/>
      <w:lvlText w:val="•"/>
      <w:lvlJc w:val="left"/>
      <w:pPr>
        <w:ind w:left="2148" w:hanging="420"/>
      </w:pPr>
      <w:rPr>
        <w:rFonts w:hint="default"/>
      </w:rPr>
    </w:lvl>
    <w:lvl w:ilvl="3">
      <w:start w:val="0"/>
      <w:numFmt w:val="bullet"/>
      <w:lvlText w:val="•"/>
      <w:lvlJc w:val="left"/>
      <w:pPr>
        <w:ind w:left="2332" w:hanging="420"/>
      </w:pPr>
      <w:rPr>
        <w:rFonts w:hint="default"/>
      </w:rPr>
    </w:lvl>
    <w:lvl w:ilvl="4">
      <w:start w:val="0"/>
      <w:numFmt w:val="bullet"/>
      <w:lvlText w:val="•"/>
      <w:lvlJc w:val="left"/>
      <w:pPr>
        <w:ind w:left="2516" w:hanging="420"/>
      </w:pPr>
      <w:rPr>
        <w:rFonts w:hint="default"/>
      </w:rPr>
    </w:lvl>
    <w:lvl w:ilvl="5">
      <w:start w:val="0"/>
      <w:numFmt w:val="bullet"/>
      <w:lvlText w:val="•"/>
      <w:lvlJc w:val="left"/>
      <w:pPr>
        <w:ind w:left="2700" w:hanging="420"/>
      </w:pPr>
      <w:rPr>
        <w:rFonts w:hint="default"/>
      </w:rPr>
    </w:lvl>
    <w:lvl w:ilvl="6">
      <w:start w:val="0"/>
      <w:numFmt w:val="bullet"/>
      <w:lvlText w:val="•"/>
      <w:lvlJc w:val="left"/>
      <w:pPr>
        <w:ind w:left="2884" w:hanging="420"/>
      </w:pPr>
      <w:rPr>
        <w:rFonts w:hint="default"/>
      </w:rPr>
    </w:lvl>
    <w:lvl w:ilvl="7">
      <w:start w:val="0"/>
      <w:numFmt w:val="bullet"/>
      <w:lvlText w:val="•"/>
      <w:lvlJc w:val="left"/>
      <w:pPr>
        <w:ind w:left="3068" w:hanging="420"/>
      </w:pPr>
      <w:rPr>
        <w:rFonts w:hint="default"/>
      </w:rPr>
    </w:lvl>
    <w:lvl w:ilvl="8">
      <w:start w:val="0"/>
      <w:numFmt w:val="bullet"/>
      <w:lvlText w:val="•"/>
      <w:lvlJc w:val="left"/>
      <w:pPr>
        <w:ind w:left="3252" w:hanging="420"/>
      </w:pPr>
      <w:rPr>
        <w:rFonts w:hint="default"/>
      </w:rPr>
    </w:lvl>
  </w:abstractNum>
  <w:abstractNum w:abstractNumId="3">
    <w:multiLevelType w:val="hybridMultilevel"/>
    <w:lvl w:ilvl="0">
      <w:start w:val="3"/>
      <w:numFmt w:val="decimal"/>
      <w:lvlText w:val="%1"/>
      <w:lvlJc w:val="left"/>
      <w:pPr>
        <w:ind w:left="1730" w:hanging="368"/>
        <w:jc w:val="left"/>
      </w:pPr>
      <w:rPr>
        <w:rFonts w:hint="default"/>
      </w:rPr>
    </w:lvl>
    <w:lvl w:ilvl="1">
      <w:start w:val="1"/>
      <w:numFmt w:val="decimal"/>
      <w:lvlText w:val="%1.%2"/>
      <w:lvlJc w:val="left"/>
      <w:pPr>
        <w:ind w:left="1730" w:hanging="368"/>
        <w:jc w:val="left"/>
      </w:pPr>
      <w:rPr>
        <w:rFonts w:hint="default" w:ascii="宋体" w:hAnsi="宋体" w:eastAsia="宋体" w:cs="宋体"/>
        <w:spacing w:val="-1"/>
        <w:w w:val="100"/>
        <w:sz w:val="21"/>
        <w:szCs w:val="21"/>
      </w:rPr>
    </w:lvl>
    <w:lvl w:ilvl="2">
      <w:start w:val="0"/>
      <w:numFmt w:val="bullet"/>
      <w:lvlText w:val="•"/>
      <w:lvlJc w:val="left"/>
      <w:pPr>
        <w:ind w:left="2116" w:hanging="368"/>
      </w:pPr>
      <w:rPr>
        <w:rFonts w:hint="default"/>
      </w:rPr>
    </w:lvl>
    <w:lvl w:ilvl="3">
      <w:start w:val="0"/>
      <w:numFmt w:val="bullet"/>
      <w:lvlText w:val="•"/>
      <w:lvlJc w:val="left"/>
      <w:pPr>
        <w:ind w:left="2304" w:hanging="368"/>
      </w:pPr>
      <w:rPr>
        <w:rFonts w:hint="default"/>
      </w:rPr>
    </w:lvl>
    <w:lvl w:ilvl="4">
      <w:start w:val="0"/>
      <w:numFmt w:val="bullet"/>
      <w:lvlText w:val="•"/>
      <w:lvlJc w:val="left"/>
      <w:pPr>
        <w:ind w:left="2492" w:hanging="368"/>
      </w:pPr>
      <w:rPr>
        <w:rFonts w:hint="default"/>
      </w:rPr>
    </w:lvl>
    <w:lvl w:ilvl="5">
      <w:start w:val="0"/>
      <w:numFmt w:val="bullet"/>
      <w:lvlText w:val="•"/>
      <w:lvlJc w:val="left"/>
      <w:pPr>
        <w:ind w:left="2680" w:hanging="368"/>
      </w:pPr>
      <w:rPr>
        <w:rFonts w:hint="default"/>
      </w:rPr>
    </w:lvl>
    <w:lvl w:ilvl="6">
      <w:start w:val="0"/>
      <w:numFmt w:val="bullet"/>
      <w:lvlText w:val="•"/>
      <w:lvlJc w:val="left"/>
      <w:pPr>
        <w:ind w:left="2868" w:hanging="368"/>
      </w:pPr>
      <w:rPr>
        <w:rFonts w:hint="default"/>
      </w:rPr>
    </w:lvl>
    <w:lvl w:ilvl="7">
      <w:start w:val="0"/>
      <w:numFmt w:val="bullet"/>
      <w:lvlText w:val="•"/>
      <w:lvlJc w:val="left"/>
      <w:pPr>
        <w:ind w:left="3056" w:hanging="368"/>
      </w:pPr>
      <w:rPr>
        <w:rFonts w:hint="default"/>
      </w:rPr>
    </w:lvl>
    <w:lvl w:ilvl="8">
      <w:start w:val="0"/>
      <w:numFmt w:val="bullet"/>
      <w:lvlText w:val="•"/>
      <w:lvlJc w:val="left"/>
      <w:pPr>
        <w:ind w:left="3244" w:hanging="368"/>
      </w:pPr>
      <w:rPr>
        <w:rFonts w:hint="default"/>
      </w:rPr>
    </w:lvl>
  </w:abstractNum>
  <w:abstractNum w:abstractNumId="2">
    <w:multiLevelType w:val="hybridMultilevel"/>
    <w:lvl w:ilvl="0">
      <w:start w:val="2"/>
      <w:numFmt w:val="decimal"/>
      <w:lvlText w:val="%1"/>
      <w:lvlJc w:val="left"/>
      <w:pPr>
        <w:ind w:left="1730" w:hanging="368"/>
        <w:jc w:val="left"/>
      </w:pPr>
      <w:rPr>
        <w:rFonts w:hint="default"/>
      </w:rPr>
    </w:lvl>
    <w:lvl w:ilvl="1">
      <w:start w:val="1"/>
      <w:numFmt w:val="decimal"/>
      <w:lvlText w:val="%1.%2"/>
      <w:lvlJc w:val="left"/>
      <w:pPr>
        <w:ind w:left="1730" w:hanging="368"/>
        <w:jc w:val="left"/>
      </w:pPr>
      <w:rPr>
        <w:rFonts w:hint="default" w:ascii="宋体" w:hAnsi="宋体" w:eastAsia="宋体" w:cs="宋体"/>
        <w:spacing w:val="-1"/>
        <w:w w:val="100"/>
        <w:sz w:val="21"/>
        <w:szCs w:val="21"/>
      </w:rPr>
    </w:lvl>
    <w:lvl w:ilvl="2">
      <w:start w:val="0"/>
      <w:numFmt w:val="bullet"/>
      <w:lvlText w:val="•"/>
      <w:lvlJc w:val="left"/>
      <w:pPr>
        <w:ind w:left="2116" w:hanging="368"/>
      </w:pPr>
      <w:rPr>
        <w:rFonts w:hint="default"/>
      </w:rPr>
    </w:lvl>
    <w:lvl w:ilvl="3">
      <w:start w:val="0"/>
      <w:numFmt w:val="bullet"/>
      <w:lvlText w:val="•"/>
      <w:lvlJc w:val="left"/>
      <w:pPr>
        <w:ind w:left="2304" w:hanging="368"/>
      </w:pPr>
      <w:rPr>
        <w:rFonts w:hint="default"/>
      </w:rPr>
    </w:lvl>
    <w:lvl w:ilvl="4">
      <w:start w:val="0"/>
      <w:numFmt w:val="bullet"/>
      <w:lvlText w:val="•"/>
      <w:lvlJc w:val="left"/>
      <w:pPr>
        <w:ind w:left="2492" w:hanging="368"/>
      </w:pPr>
      <w:rPr>
        <w:rFonts w:hint="default"/>
      </w:rPr>
    </w:lvl>
    <w:lvl w:ilvl="5">
      <w:start w:val="0"/>
      <w:numFmt w:val="bullet"/>
      <w:lvlText w:val="•"/>
      <w:lvlJc w:val="left"/>
      <w:pPr>
        <w:ind w:left="2680" w:hanging="368"/>
      </w:pPr>
      <w:rPr>
        <w:rFonts w:hint="default"/>
      </w:rPr>
    </w:lvl>
    <w:lvl w:ilvl="6">
      <w:start w:val="0"/>
      <w:numFmt w:val="bullet"/>
      <w:lvlText w:val="•"/>
      <w:lvlJc w:val="left"/>
      <w:pPr>
        <w:ind w:left="2868" w:hanging="368"/>
      </w:pPr>
      <w:rPr>
        <w:rFonts w:hint="default"/>
      </w:rPr>
    </w:lvl>
    <w:lvl w:ilvl="7">
      <w:start w:val="0"/>
      <w:numFmt w:val="bullet"/>
      <w:lvlText w:val="•"/>
      <w:lvlJc w:val="left"/>
      <w:pPr>
        <w:ind w:left="3056" w:hanging="368"/>
      </w:pPr>
      <w:rPr>
        <w:rFonts w:hint="default"/>
      </w:rPr>
    </w:lvl>
    <w:lvl w:ilvl="8">
      <w:start w:val="0"/>
      <w:numFmt w:val="bullet"/>
      <w:lvlText w:val="•"/>
      <w:lvlJc w:val="left"/>
      <w:pPr>
        <w:ind w:left="3244" w:hanging="368"/>
      </w:pPr>
      <w:rPr>
        <w:rFonts w:hint="default"/>
      </w:rPr>
    </w:lvl>
  </w:abstractNum>
  <w:abstractNum w:abstractNumId="1">
    <w:multiLevelType w:val="hybridMultilevel"/>
    <w:lvl w:ilvl="0">
      <w:start w:val="1"/>
      <w:numFmt w:val="decimal"/>
      <w:lvlText w:val="%1"/>
      <w:lvlJc w:val="left"/>
      <w:pPr>
        <w:ind w:left="1730" w:hanging="368"/>
        <w:jc w:val="left"/>
      </w:pPr>
      <w:rPr>
        <w:rFonts w:hint="default"/>
      </w:rPr>
    </w:lvl>
    <w:lvl w:ilvl="1">
      <w:start w:val="1"/>
      <w:numFmt w:val="decimal"/>
      <w:lvlText w:val="%1.%2"/>
      <w:lvlJc w:val="left"/>
      <w:pPr>
        <w:ind w:left="1730" w:hanging="368"/>
        <w:jc w:val="left"/>
      </w:pPr>
      <w:rPr>
        <w:rFonts w:hint="default" w:ascii="宋体" w:hAnsi="宋体" w:eastAsia="宋体" w:cs="宋体"/>
        <w:spacing w:val="-1"/>
        <w:w w:val="100"/>
        <w:sz w:val="21"/>
        <w:szCs w:val="21"/>
      </w:rPr>
    </w:lvl>
    <w:lvl w:ilvl="2">
      <w:start w:val="0"/>
      <w:numFmt w:val="bullet"/>
      <w:lvlText w:val="•"/>
      <w:lvlJc w:val="left"/>
      <w:pPr>
        <w:ind w:left="2116" w:hanging="368"/>
      </w:pPr>
      <w:rPr>
        <w:rFonts w:hint="default"/>
      </w:rPr>
    </w:lvl>
    <w:lvl w:ilvl="3">
      <w:start w:val="0"/>
      <w:numFmt w:val="bullet"/>
      <w:lvlText w:val="•"/>
      <w:lvlJc w:val="left"/>
      <w:pPr>
        <w:ind w:left="2304" w:hanging="368"/>
      </w:pPr>
      <w:rPr>
        <w:rFonts w:hint="default"/>
      </w:rPr>
    </w:lvl>
    <w:lvl w:ilvl="4">
      <w:start w:val="0"/>
      <w:numFmt w:val="bullet"/>
      <w:lvlText w:val="•"/>
      <w:lvlJc w:val="left"/>
      <w:pPr>
        <w:ind w:left="2492" w:hanging="368"/>
      </w:pPr>
      <w:rPr>
        <w:rFonts w:hint="default"/>
      </w:rPr>
    </w:lvl>
    <w:lvl w:ilvl="5">
      <w:start w:val="0"/>
      <w:numFmt w:val="bullet"/>
      <w:lvlText w:val="•"/>
      <w:lvlJc w:val="left"/>
      <w:pPr>
        <w:ind w:left="2680" w:hanging="368"/>
      </w:pPr>
      <w:rPr>
        <w:rFonts w:hint="default"/>
      </w:rPr>
    </w:lvl>
    <w:lvl w:ilvl="6">
      <w:start w:val="0"/>
      <w:numFmt w:val="bullet"/>
      <w:lvlText w:val="•"/>
      <w:lvlJc w:val="left"/>
      <w:pPr>
        <w:ind w:left="2868" w:hanging="368"/>
      </w:pPr>
      <w:rPr>
        <w:rFonts w:hint="default"/>
      </w:rPr>
    </w:lvl>
    <w:lvl w:ilvl="7">
      <w:start w:val="0"/>
      <w:numFmt w:val="bullet"/>
      <w:lvlText w:val="•"/>
      <w:lvlJc w:val="left"/>
      <w:pPr>
        <w:ind w:left="3056" w:hanging="368"/>
      </w:pPr>
      <w:rPr>
        <w:rFonts w:hint="default"/>
      </w:rPr>
    </w:lvl>
    <w:lvl w:ilvl="8">
      <w:start w:val="0"/>
      <w:numFmt w:val="bullet"/>
      <w:lvlText w:val="•"/>
      <w:lvlJc w:val="left"/>
      <w:pPr>
        <w:ind w:left="3244" w:hanging="368"/>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36" w:hanging="420"/>
      </w:pPr>
      <w:rPr>
        <w:rFonts w:hint="default"/>
      </w:rPr>
    </w:lvl>
    <w:lvl w:ilvl="2">
      <w:start w:val="0"/>
      <w:numFmt w:val="bullet"/>
      <w:lvlText w:val="•"/>
      <w:lvlJc w:val="left"/>
      <w:pPr>
        <w:ind w:left="3392" w:hanging="420"/>
      </w:pPr>
      <w:rPr>
        <w:rFonts w:hint="default"/>
      </w:rPr>
    </w:lvl>
    <w:lvl w:ilvl="3">
      <w:start w:val="0"/>
      <w:numFmt w:val="bullet"/>
      <w:lvlText w:val="•"/>
      <w:lvlJc w:val="left"/>
      <w:pPr>
        <w:ind w:left="4249" w:hanging="420"/>
      </w:pPr>
      <w:rPr>
        <w:rFonts w:hint="default"/>
      </w:rPr>
    </w:lvl>
    <w:lvl w:ilvl="4">
      <w:start w:val="0"/>
      <w:numFmt w:val="bullet"/>
      <w:lvlText w:val="•"/>
      <w:lvlJc w:val="left"/>
      <w:pPr>
        <w:ind w:left="5105" w:hanging="420"/>
      </w:pPr>
      <w:rPr>
        <w:rFonts w:hint="default"/>
      </w:rPr>
    </w:lvl>
    <w:lvl w:ilvl="5">
      <w:start w:val="0"/>
      <w:numFmt w:val="bullet"/>
      <w:lvlText w:val="•"/>
      <w:lvlJc w:val="left"/>
      <w:pPr>
        <w:ind w:left="5962" w:hanging="420"/>
      </w:pPr>
      <w:rPr>
        <w:rFonts w:hint="default"/>
      </w:rPr>
    </w:lvl>
    <w:lvl w:ilvl="6">
      <w:start w:val="0"/>
      <w:numFmt w:val="bullet"/>
      <w:lvlText w:val="•"/>
      <w:lvlJc w:val="left"/>
      <w:pPr>
        <w:ind w:left="6818" w:hanging="420"/>
      </w:pPr>
      <w:rPr>
        <w:rFonts w:hint="default"/>
      </w:rPr>
    </w:lvl>
    <w:lvl w:ilvl="7">
      <w:start w:val="0"/>
      <w:numFmt w:val="bullet"/>
      <w:lvlText w:val="•"/>
      <w:lvlJc w:val="left"/>
      <w:pPr>
        <w:ind w:left="7675" w:hanging="420"/>
      </w:pPr>
      <w:rPr>
        <w:rFonts w:hint="default"/>
      </w:rPr>
    </w:lvl>
    <w:lvl w:ilvl="8">
      <w:start w:val="0"/>
      <w:numFmt w:val="bullet"/>
      <w:lvlText w:val="•"/>
      <w:lvlJc w:val="left"/>
      <w:pPr>
        <w:ind w:left="8531" w:hanging="420"/>
      </w:pPr>
      <w:rPr>
        <w:rFonts w:hint="default"/>
      </w:rPr>
    </w:lvl>
  </w:abstractNum>
  <w:num w:numId="13">
    <w:abstractNumId w:val="12"/>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03"/>
      <w:ind w:left="2108" w:hanging="2164"/>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4"/>
      <w:ind w:left="221"/>
      <w:outlineLvl w:val="2"/>
    </w:pPr>
    <w:rPr>
      <w:rFonts w:ascii="宋体" w:hAnsi="宋体" w:eastAsia="宋体" w:cs="宋体"/>
      <w:b/>
      <w:bCs/>
      <w:sz w:val="24"/>
      <w:szCs w:val="24"/>
    </w:rPr>
  </w:style>
  <w:style w:styleId="Heading3" w:type="paragraph">
    <w:name w:val="Heading 3"/>
    <w:basedOn w:val="Normal"/>
    <w:uiPriority w:val="1"/>
    <w:qFormat/>
    <w:pPr>
      <w:ind w:left="1976"/>
      <w:outlineLvl w:val="3"/>
    </w:pPr>
    <w:rPr>
      <w:rFonts w:ascii="宋体" w:hAnsi="宋体" w:eastAsia="宋体" w:cs="宋体"/>
      <w:b/>
      <w:bCs/>
      <w:sz w:val="22"/>
      <w:szCs w:val="22"/>
    </w:rPr>
  </w:style>
  <w:style w:styleId="Heading4" w:type="paragraph">
    <w:name w:val="Heading 4"/>
    <w:basedOn w:val="Normal"/>
    <w:uiPriority w:val="1"/>
    <w:qFormat/>
    <w:pPr>
      <w:spacing w:before="24"/>
      <w:ind w:left="1976"/>
      <w:outlineLvl w:val="4"/>
    </w:pPr>
    <w:rPr>
      <w:rFonts w:ascii="宋体" w:hAnsi="宋体" w:eastAsia="宋体" w:cs="宋体"/>
      <w:sz w:val="22"/>
      <w:szCs w:val="22"/>
    </w:rPr>
  </w:style>
  <w:style w:styleId="Heading5" w:type="paragraph">
    <w:name w:val="Heading 5"/>
    <w:basedOn w:val="Normal"/>
    <w:uiPriority w:val="1"/>
    <w:qFormat/>
    <w:pPr>
      <w:ind w:left="1976"/>
      <w:outlineLvl w:val="5"/>
    </w:pPr>
    <w:rPr>
      <w:rFonts w:ascii="宋体" w:hAnsi="宋体" w:eastAsia="宋体" w:cs="宋体"/>
      <w:b/>
      <w:bCs/>
      <w:sz w:val="21"/>
      <w:szCs w:val="21"/>
    </w:rPr>
  </w:style>
  <w:style w:styleId="ListParagraph" w:type="paragraph">
    <w:name w:val="List Paragraph"/>
    <w:basedOn w:val="Normal"/>
    <w:uiPriority w:val="1"/>
    <w:qFormat/>
    <w:pPr>
      <w:spacing w:before="45"/>
      <w:ind w:left="91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&lt;4D6963726F736F667420576F7264202D20352D332EB9FABBAAB8BDBCD3BDCCD3FDBDF0CCE1C7B0B8F8B8B6D6D8B4F3BCB2B2A1B1A3CFD5CCF5BFEEA3A86C6F676FB1E4B8FCA3A9A3A8B6FECEACC2EBA3A95FB9FABBAACAD9B7A25B323030395D3737BAC55F&gt;</dc:title>
  <dcterms:created xsi:type="dcterms:W3CDTF">2018-10-19T23:07:39Z</dcterms:created>
  <dcterms:modified xsi:type="dcterms:W3CDTF">2018-10-19T23:07:39Z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