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75" w:lineRule="exact" w:before="0"/>
        <w:ind w:left="0" w:right="115" w:firstLine="0"/>
        <w:jc w:val="right"/>
        <w:rPr>
          <w:rFonts w:ascii="微软雅黑" w:eastAsia="微软雅黑" w:hint="eastAsia"/>
          <w:b/>
          <w:sz w:val="18"/>
        </w:rPr>
      </w:pPr>
      <w:r>
        <w:rPr>
          <w:rFonts w:ascii="微软雅黑" w:eastAsia="微软雅黑" w:hint="eastAsia"/>
          <w:b/>
          <w:w w:val="95"/>
          <w:sz w:val="18"/>
        </w:rPr>
        <w:t>天安人寿[2013]疾病保险 012 号</w:t>
      </w:r>
    </w:p>
    <w:p>
      <w:pPr>
        <w:pStyle w:val="BodyText"/>
        <w:spacing w:before="16"/>
        <w:rPr>
          <w:rFonts w:ascii="微软雅黑"/>
          <w:b/>
          <w:sz w:val="12"/>
        </w:rPr>
      </w:pPr>
    </w:p>
    <w:p>
      <w:pPr>
        <w:spacing w:before="45"/>
        <w:ind w:left="323" w:right="0" w:firstLine="0"/>
        <w:jc w:val="left"/>
        <w:rPr>
          <w:sz w:val="18"/>
        </w:rPr>
      </w:pPr>
      <w:r>
        <w:rPr/>
        <w:pict>
          <v:group style="position:absolute;margin-left:64.824997pt;margin-top:-11.838274pt;width:486.5pt;height:57pt;mso-position-horizontal-relative:page;mso-position-vertical-relative:paragraph;z-index:-19096" coordorigin="1296,-237" coordsize="9730,1140">
            <v:line style="position:absolute" from="1304,351" to="10664,329" stroked="true" strokeweight=".75pt" strokecolor="#000000">
              <v:stroke dashstyle="solid"/>
            </v:line>
            <v:shape style="position:absolute;left:9885;top:-237;width:1140;height:1140" type="#_x0000_t75" stroked="false">
              <v:imagedata r:id="rId6" o:title=""/>
            </v:shape>
            <w10:wrap type="none"/>
          </v:group>
        </w:pict>
      </w:r>
      <w:r>
        <w:rPr>
          <w:sz w:val="18"/>
        </w:rPr>
        <w:t>天安人寿附加学生平安重大疾病保险条款</w:t>
      </w:r>
    </w:p>
    <w:p>
      <w:pPr>
        <w:pStyle w:val="BodyText"/>
        <w:spacing w:before="0"/>
        <w:rPr>
          <w:sz w:val="20"/>
        </w:rPr>
      </w:pPr>
    </w:p>
    <w:p>
      <w:pPr>
        <w:spacing w:after="0"/>
        <w:rPr>
          <w:sz w:val="20"/>
        </w:rPr>
        <w:sectPr>
          <w:footerReference w:type="default" r:id="rId5"/>
          <w:type w:val="continuous"/>
          <w:pgSz w:w="11910" w:h="16840"/>
          <w:pgMar w:footer="992" w:top="260" w:bottom="1180" w:left="980" w:right="120"/>
          <w:pgNumType w:start="1"/>
        </w:sectPr>
      </w:pPr>
    </w:p>
    <w:p>
      <w:pPr>
        <w:spacing w:before="55"/>
        <w:ind w:left="1939" w:right="24" w:firstLine="0"/>
        <w:jc w:val="center"/>
        <w:rPr>
          <w:rFonts w:ascii="微软雅黑" w:eastAsia="微软雅黑" w:hint="eastAsia"/>
          <w:b/>
          <w:sz w:val="32"/>
        </w:rPr>
      </w:pPr>
      <w:r>
        <w:rPr>
          <w:rFonts w:ascii="微软雅黑" w:eastAsia="微软雅黑" w:hint="eastAsia"/>
          <w:b/>
          <w:sz w:val="32"/>
        </w:rPr>
        <w:t>阅  读  指 引</w:t>
      </w:r>
    </w:p>
    <w:p>
      <w:pPr>
        <w:spacing w:before="49"/>
        <w:ind w:left="1939" w:right="25" w:firstLine="0"/>
        <w:jc w:val="center"/>
        <w:rPr>
          <w:rFonts w:ascii="微软雅黑" w:eastAsia="微软雅黑" w:hint="eastAsia"/>
          <w:b/>
          <w:sz w:val="21"/>
        </w:rPr>
      </w:pP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阅</w:t>
      </w:r>
      <w:r>
        <w:rPr>
          <w:spacing w:val="-63"/>
          <w:position w:val="-7"/>
          <w:sz w:val="21"/>
        </w:rPr>
        <w:t>．</w:t>
      </w:r>
      <w:r>
        <w:rPr>
          <w:rFonts w:ascii="微软雅黑" w:eastAsia="微软雅黑" w:hint="eastAsia"/>
          <w:b/>
          <w:spacing w:val="-149"/>
          <w:sz w:val="21"/>
        </w:rPr>
        <w:t>读</w:t>
      </w:r>
      <w:r>
        <w:rPr>
          <w:spacing w:val="-63"/>
          <w:position w:val="-7"/>
          <w:sz w:val="21"/>
        </w:rPr>
        <w:t>．</w:t>
      </w:r>
      <w:r>
        <w:rPr>
          <w:rFonts w:ascii="微软雅黑" w:eastAsia="微软雅黑" w:hint="eastAsia"/>
          <w:b/>
          <w:spacing w:val="-149"/>
          <w:sz w:val="21"/>
        </w:rPr>
        <w:t>指</w:t>
      </w:r>
      <w:r>
        <w:rPr>
          <w:spacing w:val="-63"/>
          <w:position w:val="-7"/>
          <w:sz w:val="21"/>
        </w:rPr>
        <w:t>．</w:t>
      </w:r>
      <w:r>
        <w:rPr>
          <w:rFonts w:ascii="微软雅黑" w:eastAsia="微软雅黑" w:hint="eastAsia"/>
          <w:b/>
          <w:spacing w:val="-149"/>
          <w:sz w:val="21"/>
        </w:rPr>
        <w:t>引</w:t>
      </w:r>
      <w:r>
        <w:rPr>
          <w:spacing w:val="-63"/>
          <w:position w:val="-7"/>
          <w:sz w:val="21"/>
        </w:rPr>
        <w:t>．</w:t>
      </w:r>
      <w:r>
        <w:rPr>
          <w:rFonts w:ascii="微软雅黑" w:eastAsia="微软雅黑" w:hint="eastAsia"/>
          <w:b/>
          <w:spacing w:val="-149"/>
          <w:sz w:val="21"/>
        </w:rPr>
        <w:t>有</w:t>
      </w:r>
      <w:r>
        <w:rPr>
          <w:spacing w:val="-63"/>
          <w:position w:val="-7"/>
          <w:sz w:val="21"/>
        </w:rPr>
        <w:t>．</w:t>
      </w:r>
      <w:r>
        <w:rPr>
          <w:rFonts w:ascii="微软雅黑" w:eastAsia="微软雅黑" w:hint="eastAsia"/>
          <w:b/>
          <w:spacing w:val="-149"/>
          <w:sz w:val="21"/>
        </w:rPr>
        <w:t>助</w:t>
      </w:r>
      <w:r>
        <w:rPr>
          <w:spacing w:val="-63"/>
          <w:position w:val="-7"/>
          <w:sz w:val="21"/>
        </w:rPr>
        <w:t>．</w:t>
      </w:r>
      <w:r>
        <w:rPr>
          <w:rFonts w:ascii="微软雅黑" w:eastAsia="微软雅黑" w:hint="eastAsia"/>
          <w:b/>
          <w:spacing w:val="-149"/>
          <w:sz w:val="21"/>
        </w:rPr>
        <w:t>于</w:t>
      </w:r>
      <w:r>
        <w:rPr>
          <w:spacing w:val="-63"/>
          <w:position w:val="-7"/>
          <w:sz w:val="21"/>
        </w:rPr>
        <w:t>．</w:t>
      </w:r>
      <w:r>
        <w:rPr>
          <w:rFonts w:ascii="微软雅黑" w:eastAsia="微软雅黑" w:hint="eastAsia"/>
          <w:b/>
          <w:spacing w:val="-151"/>
          <w:sz w:val="21"/>
        </w:rPr>
        <w:t>您</w:t>
      </w:r>
      <w:r>
        <w:rPr>
          <w:spacing w:val="-63"/>
          <w:position w:val="-7"/>
          <w:sz w:val="21"/>
        </w:rPr>
        <w:t>．</w:t>
      </w:r>
      <w:r>
        <w:rPr>
          <w:rFonts w:ascii="微软雅黑" w:eastAsia="微软雅黑" w:hint="eastAsia"/>
          <w:b/>
          <w:spacing w:val="-149"/>
          <w:sz w:val="21"/>
        </w:rPr>
        <w:t>理</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32"/>
          <w:position w:val="-7"/>
          <w:sz w:val="21"/>
        </w:rPr>
        <w:t>．</w:t>
      </w:r>
      <w:r>
        <w:rPr>
          <w:rFonts w:ascii="微软雅黑" w:eastAsia="微软雅黑" w:hint="eastAsia"/>
          <w:b/>
          <w:spacing w:val="-91"/>
          <w:sz w:val="21"/>
        </w:rPr>
        <w:t>，对</w:t>
      </w:r>
      <w:r>
        <w:rPr>
          <w:spacing w:val="-63"/>
          <w:position w:val="-7"/>
          <w:sz w:val="21"/>
        </w:rPr>
        <w:t>．</w:t>
      </w:r>
      <w:r>
        <w:rPr>
          <w:rFonts w:ascii="微软雅黑" w:eastAsia="微软雅黑" w:hint="eastAsia"/>
          <w:b/>
          <w:spacing w:val="-149"/>
          <w:sz w:val="21"/>
        </w:rPr>
        <w:t>本</w:t>
      </w:r>
      <w:r>
        <w:rPr>
          <w:spacing w:val="-63"/>
          <w:position w:val="-7"/>
          <w:sz w:val="21"/>
        </w:rPr>
        <w:t>．</w:t>
      </w:r>
      <w:r>
        <w:rPr>
          <w:rFonts w:ascii="微软雅黑" w:eastAsia="微软雅黑" w:hint="eastAsia"/>
          <w:b/>
          <w:spacing w:val="-149"/>
          <w:sz w:val="21"/>
        </w:rPr>
        <w:t>合</w:t>
      </w:r>
      <w:r>
        <w:rPr>
          <w:spacing w:val="-63"/>
          <w:position w:val="-7"/>
          <w:sz w:val="21"/>
        </w:rPr>
        <w:t>．</w:t>
      </w:r>
      <w:r>
        <w:rPr>
          <w:rFonts w:ascii="微软雅黑" w:eastAsia="微软雅黑" w:hint="eastAsia"/>
          <w:b/>
          <w:spacing w:val="-149"/>
          <w:sz w:val="21"/>
        </w:rPr>
        <w:t>同</w:t>
      </w:r>
      <w:r>
        <w:rPr>
          <w:spacing w:val="-63"/>
          <w:position w:val="-7"/>
          <w:sz w:val="21"/>
        </w:rPr>
        <w:t>．</w:t>
      </w:r>
      <w:r>
        <w:rPr>
          <w:rFonts w:ascii="微软雅黑" w:eastAsia="微软雅黑" w:hint="eastAsia"/>
          <w:b/>
          <w:spacing w:val="-149"/>
          <w:sz w:val="21"/>
        </w:rPr>
        <w:t>内</w:t>
      </w:r>
      <w:r>
        <w:rPr>
          <w:spacing w:val="-63"/>
          <w:position w:val="-7"/>
          <w:sz w:val="21"/>
        </w:rPr>
        <w:t>．</w:t>
      </w:r>
      <w:r>
        <w:rPr>
          <w:rFonts w:ascii="微软雅黑" w:eastAsia="微软雅黑" w:hint="eastAsia"/>
          <w:b/>
          <w:spacing w:val="-151"/>
          <w:sz w:val="21"/>
        </w:rPr>
        <w:t>容</w:t>
      </w:r>
      <w:r>
        <w:rPr>
          <w:spacing w:val="-63"/>
          <w:position w:val="-7"/>
          <w:sz w:val="21"/>
        </w:rPr>
        <w:t>．</w:t>
      </w:r>
      <w:r>
        <w:rPr>
          <w:rFonts w:ascii="微软雅黑" w:eastAsia="微软雅黑" w:hint="eastAsia"/>
          <w:b/>
          <w:spacing w:val="-149"/>
          <w:sz w:val="21"/>
        </w:rPr>
        <w:t>的</w:t>
      </w:r>
      <w:r>
        <w:rPr>
          <w:spacing w:val="-63"/>
          <w:position w:val="-7"/>
          <w:sz w:val="21"/>
        </w:rPr>
        <w:t>．</w:t>
      </w:r>
      <w:r>
        <w:rPr>
          <w:rFonts w:ascii="微软雅黑" w:eastAsia="微软雅黑" w:hint="eastAsia"/>
          <w:b/>
          <w:spacing w:val="-151"/>
          <w:sz w:val="21"/>
        </w:rPr>
        <w:t>解</w:t>
      </w:r>
      <w:r>
        <w:rPr>
          <w:spacing w:val="-63"/>
          <w:position w:val="-7"/>
          <w:sz w:val="21"/>
        </w:rPr>
        <w:t>．</w:t>
      </w:r>
      <w:r>
        <w:rPr>
          <w:rFonts w:ascii="微软雅黑" w:eastAsia="微软雅黑" w:hint="eastAsia"/>
          <w:b/>
          <w:spacing w:val="-149"/>
          <w:sz w:val="21"/>
        </w:rPr>
        <w:t>释</w:t>
      </w:r>
      <w:r>
        <w:rPr>
          <w:spacing w:val="-63"/>
          <w:position w:val="-7"/>
          <w:sz w:val="21"/>
        </w:rPr>
        <w:t>．</w:t>
      </w:r>
      <w:r>
        <w:rPr>
          <w:rFonts w:ascii="微软雅黑" w:eastAsia="微软雅黑" w:hint="eastAsia"/>
          <w:b/>
          <w:spacing w:val="-149"/>
          <w:sz w:val="21"/>
        </w:rPr>
        <w:t>以</w:t>
      </w:r>
      <w:r>
        <w:rPr>
          <w:spacing w:val="-63"/>
          <w:position w:val="-7"/>
          <w:sz w:val="21"/>
        </w:rPr>
        <w:t>．</w:t>
      </w:r>
      <w:r>
        <w:rPr>
          <w:rFonts w:ascii="微软雅黑" w:eastAsia="微软雅黑" w:hint="eastAsia"/>
          <w:b/>
          <w:spacing w:val="-149"/>
          <w:sz w:val="21"/>
        </w:rPr>
        <w:t>条</w:t>
      </w:r>
      <w:r>
        <w:rPr>
          <w:spacing w:val="-63"/>
          <w:position w:val="-7"/>
          <w:sz w:val="21"/>
        </w:rPr>
        <w:t>．</w:t>
      </w:r>
      <w:r>
        <w:rPr>
          <w:rFonts w:ascii="微软雅黑" w:eastAsia="微软雅黑" w:hint="eastAsia"/>
          <w:b/>
          <w:spacing w:val="-149"/>
          <w:sz w:val="21"/>
        </w:rPr>
        <w:t>款</w:t>
      </w:r>
      <w:r>
        <w:rPr>
          <w:spacing w:val="-63"/>
          <w:position w:val="-7"/>
          <w:sz w:val="21"/>
        </w:rPr>
        <w:t>．</w:t>
      </w:r>
      <w:r>
        <w:rPr>
          <w:rFonts w:ascii="微软雅黑" w:eastAsia="微软雅黑" w:hint="eastAsia"/>
          <w:b/>
          <w:spacing w:val="-149"/>
          <w:sz w:val="21"/>
        </w:rPr>
        <w:t>为</w:t>
      </w:r>
      <w:r>
        <w:rPr>
          <w:spacing w:val="-63"/>
          <w:position w:val="-7"/>
          <w:sz w:val="21"/>
        </w:rPr>
        <w:t>．</w:t>
      </w:r>
      <w:r>
        <w:rPr>
          <w:rFonts w:ascii="微软雅黑" w:eastAsia="微软雅黑" w:hint="eastAsia"/>
          <w:b/>
          <w:spacing w:val="-149"/>
          <w:sz w:val="21"/>
        </w:rPr>
        <w:t>准</w:t>
      </w:r>
      <w:r>
        <w:rPr>
          <w:spacing w:val="-63"/>
          <w:position w:val="-7"/>
          <w:sz w:val="21"/>
        </w:rPr>
        <w:t>．</w:t>
      </w:r>
      <w:r>
        <w:rPr>
          <w:rFonts w:ascii="微软雅黑" w:eastAsia="微软雅黑" w:hint="eastAsia"/>
          <w:b/>
          <w:sz w:val="21"/>
        </w:rPr>
        <w:t>。</w:t>
      </w:r>
    </w:p>
    <w:p>
      <w:pPr>
        <w:pStyle w:val="BodyText"/>
        <w:spacing w:before="12"/>
        <w:rPr>
          <w:rFonts w:ascii="微软雅黑"/>
          <w:b/>
          <w:sz w:val="17"/>
        </w:rPr>
      </w:pPr>
      <w:r>
        <w:rPr/>
        <w:br w:type="column"/>
      </w:r>
      <w:r>
        <w:rPr>
          <w:rFonts w:ascii="微软雅黑"/>
          <w:b/>
          <w:sz w:val="17"/>
        </w:rPr>
      </w:r>
    </w:p>
    <w:p>
      <w:pPr>
        <w:spacing w:before="0"/>
        <w:ind w:left="478" w:right="0" w:firstLine="0"/>
        <w:jc w:val="left"/>
        <w:rPr>
          <w:rFonts w:ascii="微软雅黑" w:eastAsia="微软雅黑" w:hint="eastAsia"/>
          <w:b/>
          <w:sz w:val="18"/>
        </w:rPr>
      </w:pPr>
      <w:r>
        <w:rPr>
          <w:rFonts w:ascii="微软雅黑" w:eastAsia="微软雅黑" w:hint="eastAsia"/>
          <w:b/>
          <w:sz w:val="18"/>
        </w:rPr>
        <w:t>请扫描以查询验证条款</w:t>
      </w:r>
    </w:p>
    <w:p>
      <w:pPr>
        <w:spacing w:after="0"/>
        <w:jc w:val="left"/>
        <w:rPr>
          <w:rFonts w:ascii="微软雅黑" w:eastAsia="微软雅黑" w:hint="eastAsia"/>
          <w:sz w:val="18"/>
        </w:rPr>
        <w:sectPr>
          <w:type w:val="continuous"/>
          <w:pgSz w:w="11910" w:h="16840"/>
          <w:pgMar w:top="260" w:bottom="1180" w:left="980" w:right="120"/>
          <w:cols w:num="2" w:equalWidth="0">
            <w:col w:w="8032" w:space="40"/>
            <w:col w:w="2738"/>
          </w:cols>
        </w:sectPr>
      </w:pPr>
    </w:p>
    <w:p>
      <w:pPr>
        <w:pStyle w:val="BodyText"/>
        <w:spacing w:before="5"/>
        <w:rPr>
          <w:rFonts w:ascii="微软雅黑"/>
          <w:b/>
          <w:sz w:val="8"/>
        </w:rPr>
      </w:pPr>
    </w:p>
    <w:p>
      <w:pPr>
        <w:spacing w:line="337" w:lineRule="exact" w:before="0"/>
        <w:ind w:left="1081" w:right="0" w:firstLine="0"/>
        <w:jc w:val="left"/>
        <w:rPr>
          <w:sz w:val="21"/>
        </w:rPr>
      </w:pPr>
      <w:r>
        <w:rPr>
          <w:spacing w:val="-23"/>
          <w:w w:val="100"/>
          <w:sz w:val="21"/>
        </w:rPr>
        <w:t>在本条款中，“您”指投保人，“我们”、“本公司”均指</w:t>
      </w:r>
      <w:r>
        <w:rPr>
          <w:rFonts w:ascii="微软雅黑" w:hAnsi="微软雅黑" w:eastAsia="微软雅黑" w:hint="eastAsia"/>
          <w:b/>
          <w:spacing w:val="-1"/>
          <w:w w:val="100"/>
          <w:sz w:val="21"/>
        </w:rPr>
        <w:t>天安人寿保险股份有限公司</w:t>
      </w:r>
      <w:r>
        <w:rPr>
          <w:w w:val="100"/>
          <w:sz w:val="21"/>
        </w:rPr>
        <w:t>。</w:t>
      </w:r>
    </w:p>
    <w:p>
      <w:pPr>
        <w:pStyle w:val="Heading2"/>
        <w:tabs>
          <w:tab w:pos="1254" w:val="left" w:leader="none"/>
        </w:tabs>
        <w:spacing w:line="509" w:lineRule="exact" w:before="83"/>
        <w:ind w:left="244"/>
      </w:pPr>
      <w:r>
        <w:rPr/>
        <w:pict>
          <v:group style="position:absolute;margin-left:54.240002pt;margin-top:5.137712pt;width:480.85pt;height:617.15pt;mso-position-horizontal-relative:page;mso-position-vertical-relative:paragraph;z-index:-19072" coordorigin="1085,103" coordsize="9617,12343">
            <v:shape style="position:absolute;left:1716;top:1204;width:1042;height:521" type="#_x0000_t75" stroked="false">
              <v:imagedata r:id="rId7" o:title=""/>
            </v:shape>
            <v:shape style="position:absolute;left:1716;top:4084;width:1042;height:521" type="#_x0000_t75" stroked="false">
              <v:imagedata r:id="rId7" o:title=""/>
            </v:shape>
            <v:shape style="position:absolute;left:1084;top:102;width:9617;height:12343" type="#_x0000_t75" stroked="false">
              <v:imagedata r:id="rId8" o:title=""/>
            </v:shape>
            <w10:wrap type="none"/>
          </v:group>
        </w:pict>
      </w:r>
      <w:r>
        <w:rPr>
          <w:rFonts w:ascii="Arial" w:hAnsi="Arial" w:eastAsia="Arial"/>
          <w:w w:val="105"/>
          <w:position w:val="-11"/>
          <w:sz w:val="52"/>
        </w:rPr>
        <w:t></w:t>
        <w:tab/>
      </w:r>
      <w:r>
        <w:rPr>
          <w:spacing w:val="-1"/>
        </w:rPr>
        <w:t>您拥有的重要权益</w:t>
      </w:r>
    </w:p>
    <w:p>
      <w:pPr>
        <w:pStyle w:val="Heading2"/>
        <w:numPr>
          <w:ilvl w:val="0"/>
          <w:numId w:val="1"/>
        </w:numPr>
        <w:tabs>
          <w:tab w:pos="1657" w:val="left" w:leader="none"/>
          <w:tab w:pos="1658" w:val="left" w:leader="none"/>
          <w:tab w:pos="9142" w:val="right" w:leader="dot"/>
        </w:tabs>
        <w:spacing w:line="272" w:lineRule="exact" w:before="0" w:after="0"/>
        <w:ind w:left="1658" w:right="0" w:hanging="420"/>
        <w:jc w:val="left"/>
      </w:pPr>
      <w:r>
        <w:rPr/>
        <w:t>被保险人享受本附</w:t>
      </w:r>
      <w:r>
        <w:rPr>
          <w:spacing w:val="-3"/>
        </w:rPr>
        <w:t>加</w:t>
      </w:r>
      <w:r>
        <w:rPr/>
        <w:t>保</w:t>
      </w:r>
      <w:r>
        <w:rPr>
          <w:spacing w:val="-3"/>
        </w:rPr>
        <w:t>险</w:t>
      </w:r>
      <w:r>
        <w:rPr/>
        <w:t>合同提供的保障</w:t>
        <w:tab/>
        <w:t>2.3</w:t>
      </w:r>
    </w:p>
    <w:p>
      <w:pPr>
        <w:pStyle w:val="Heading2"/>
        <w:numPr>
          <w:ilvl w:val="0"/>
          <w:numId w:val="1"/>
        </w:numPr>
        <w:tabs>
          <w:tab w:pos="1657" w:val="left" w:leader="none"/>
          <w:tab w:pos="1658" w:val="left" w:leader="none"/>
          <w:tab w:pos="9142" w:val="right" w:leader="dot"/>
        </w:tabs>
        <w:spacing w:line="330" w:lineRule="exact" w:before="0" w:after="0"/>
        <w:ind w:left="1658" w:right="0" w:hanging="420"/>
        <w:jc w:val="left"/>
      </w:pPr>
      <w:r>
        <w:rPr/>
        <w:t>您有退保的权利…</w:t>
        <w:tab/>
        <w:t>1.5</w:t>
      </w:r>
    </w:p>
    <w:p>
      <w:pPr>
        <w:pStyle w:val="Heading2"/>
        <w:tabs>
          <w:tab w:pos="1257" w:val="left" w:leader="none"/>
        </w:tabs>
        <w:spacing w:line="478" w:lineRule="exact"/>
        <w:ind w:left="244"/>
      </w:pPr>
      <w:r>
        <w:rPr>
          <w:rFonts w:ascii="Arial" w:hAnsi="Arial" w:eastAsia="Arial"/>
          <w:w w:val="105"/>
          <w:position w:val="-11"/>
          <w:sz w:val="52"/>
        </w:rPr>
        <w:t></w:t>
        <w:tab/>
      </w:r>
      <w:r>
        <w:rPr>
          <w:spacing w:val="-1"/>
        </w:rPr>
        <w:t>您应当特别注意的事项</w:t>
      </w:r>
    </w:p>
    <w:p>
      <w:pPr>
        <w:pStyle w:val="Heading2"/>
        <w:numPr>
          <w:ilvl w:val="0"/>
          <w:numId w:val="1"/>
        </w:numPr>
        <w:tabs>
          <w:tab w:pos="1657" w:val="left" w:leader="none"/>
          <w:tab w:pos="1658" w:val="left" w:leader="none"/>
          <w:tab w:pos="9142" w:val="right" w:leader="dot"/>
        </w:tabs>
        <w:spacing w:line="273" w:lineRule="exact" w:before="0" w:after="0"/>
        <w:ind w:left="1658" w:right="0" w:hanging="420"/>
        <w:jc w:val="left"/>
      </w:pPr>
      <w:r>
        <w:rPr/>
        <w:t>您解除本附加保险</w:t>
      </w:r>
      <w:r>
        <w:rPr>
          <w:spacing w:val="-3"/>
        </w:rPr>
        <w:t>合</w:t>
      </w:r>
      <w:r>
        <w:rPr/>
        <w:t>同</w:t>
      </w:r>
      <w:r>
        <w:rPr>
          <w:spacing w:val="-3"/>
        </w:rPr>
        <w:t>会</w:t>
      </w:r>
      <w:r>
        <w:rPr/>
        <w:t>有一定的损失，请</w:t>
      </w:r>
      <w:r>
        <w:rPr>
          <w:spacing w:val="-3"/>
        </w:rPr>
        <w:t>慎</w:t>
      </w:r>
      <w:r>
        <w:rPr/>
        <w:t>重</w:t>
      </w:r>
      <w:r>
        <w:rPr>
          <w:spacing w:val="-3"/>
        </w:rPr>
        <w:t>决</w:t>
      </w:r>
      <w:r>
        <w:rPr/>
        <w:t>策</w:t>
        <w:tab/>
        <w:t>1.5</w:t>
      </w:r>
    </w:p>
    <w:p>
      <w:pPr>
        <w:pStyle w:val="Heading2"/>
        <w:numPr>
          <w:ilvl w:val="0"/>
          <w:numId w:val="1"/>
        </w:numPr>
        <w:tabs>
          <w:tab w:pos="1657" w:val="left" w:leader="none"/>
          <w:tab w:pos="1658" w:val="left" w:leader="none"/>
        </w:tabs>
        <w:spacing w:line="360" w:lineRule="exact" w:before="0" w:after="0"/>
        <w:ind w:left="1658" w:right="0" w:hanging="420"/>
        <w:jc w:val="left"/>
      </w:pPr>
      <w:r>
        <w:rPr>
          <w:spacing w:val="-3"/>
        </w:rPr>
        <w:t>本附加保险合同有责任免除条款，在某些情况下，本公司不承担保险责任……</w:t>
      </w:r>
      <w:r>
        <w:rPr/>
        <w:t>2.4</w:t>
      </w:r>
    </w:p>
    <w:p>
      <w:pPr>
        <w:pStyle w:val="Heading2"/>
        <w:numPr>
          <w:ilvl w:val="0"/>
          <w:numId w:val="1"/>
        </w:numPr>
        <w:tabs>
          <w:tab w:pos="1657" w:val="left" w:leader="none"/>
          <w:tab w:pos="1658" w:val="left" w:leader="none"/>
          <w:tab w:pos="9142" w:val="right" w:leader="dot"/>
        </w:tabs>
        <w:spacing w:line="360" w:lineRule="exact" w:before="0" w:after="0"/>
        <w:ind w:left="1658" w:right="0" w:hanging="420"/>
        <w:jc w:val="left"/>
      </w:pPr>
      <w:r>
        <w:rPr/>
        <w:t>申请保险金给付时</w:t>
      </w:r>
      <w:r>
        <w:rPr>
          <w:spacing w:val="-3"/>
        </w:rPr>
        <w:t>，</w:t>
      </w:r>
      <w:r>
        <w:rPr/>
        <w:t>应</w:t>
      </w:r>
      <w:r>
        <w:rPr>
          <w:spacing w:val="-3"/>
        </w:rPr>
        <w:t>当</w:t>
      </w:r>
      <w:r>
        <w:rPr/>
        <w:t>提供的证明和资料</w:t>
        <w:tab/>
        <w:t>4.2</w:t>
      </w:r>
    </w:p>
    <w:p>
      <w:pPr>
        <w:pStyle w:val="Heading2"/>
        <w:numPr>
          <w:ilvl w:val="0"/>
          <w:numId w:val="1"/>
        </w:numPr>
        <w:tabs>
          <w:tab w:pos="1657" w:val="left" w:leader="none"/>
          <w:tab w:pos="1658" w:val="left" w:leader="none"/>
          <w:tab w:pos="8931" w:val="right" w:leader="dot"/>
        </w:tabs>
        <w:spacing w:line="330" w:lineRule="exact" w:before="0" w:after="0"/>
        <w:ind w:left="1658" w:right="0" w:hanging="420"/>
        <w:jc w:val="left"/>
      </w:pPr>
      <w:r>
        <w:rPr/>
        <w:t>我们对一些重要术</w:t>
      </w:r>
      <w:r>
        <w:rPr>
          <w:spacing w:val="-3"/>
        </w:rPr>
        <w:t>语</w:t>
      </w:r>
      <w:r>
        <w:rPr/>
        <w:t>进</w:t>
      </w:r>
      <w:r>
        <w:rPr>
          <w:spacing w:val="-3"/>
        </w:rPr>
        <w:t>行</w:t>
      </w:r>
      <w:r>
        <w:rPr/>
        <w:t>了解释，并作了显</w:t>
      </w:r>
      <w:r>
        <w:rPr>
          <w:spacing w:val="-3"/>
        </w:rPr>
        <w:t>著</w:t>
      </w:r>
      <w:r>
        <w:rPr/>
        <w:t>标</w:t>
      </w:r>
      <w:r>
        <w:rPr>
          <w:spacing w:val="-3"/>
        </w:rPr>
        <w:t>识</w:t>
      </w:r>
      <w:r>
        <w:rPr/>
        <w:t>，请您注意</w:t>
        <w:tab/>
        <w:t>5</w:t>
      </w:r>
    </w:p>
    <w:p>
      <w:pPr>
        <w:tabs>
          <w:tab w:pos="1257" w:val="left" w:leader="none"/>
        </w:tabs>
        <w:spacing w:line="478" w:lineRule="exact" w:before="0"/>
        <w:ind w:left="246" w:right="0" w:firstLine="0"/>
        <w:jc w:val="left"/>
        <w:rPr>
          <w:rFonts w:ascii="微软雅黑" w:hAnsi="微软雅黑" w:eastAsia="微软雅黑" w:hint="eastAsia"/>
          <w:b/>
          <w:sz w:val="21"/>
        </w:rPr>
      </w:pPr>
      <w:r>
        <w:rPr>
          <w:rFonts w:ascii="Arial" w:hAnsi="Arial" w:eastAsia="Arial"/>
          <w:b/>
          <w:w w:val="105"/>
          <w:position w:val="-11"/>
          <w:sz w:val="52"/>
        </w:rPr>
        <w:t></w:t>
        <w:tab/>
      </w:r>
      <w:r>
        <w:rPr>
          <w:rFonts w:ascii="微软雅黑" w:hAnsi="微软雅黑" w:eastAsia="微软雅黑" w:hint="eastAsia"/>
          <w:b/>
          <w:spacing w:val="-3"/>
          <w:sz w:val="21"/>
        </w:rPr>
        <w:t>条款是保险合同的重要内容，为充分保障您的权益，请您仔细阅读本条款。</w:t>
      </w:r>
    </w:p>
    <w:p>
      <w:pPr>
        <w:spacing w:line="272" w:lineRule="exact" w:before="0"/>
        <w:ind w:left="1317" w:right="0" w:firstLine="0"/>
        <w:jc w:val="left"/>
        <w:rPr>
          <w:rFonts w:ascii="微软雅黑" w:eastAsia="微软雅黑" w:hint="eastAsia"/>
          <w:b/>
          <w:sz w:val="21"/>
        </w:rPr>
      </w:pPr>
      <w:r>
        <w:rPr>
          <w:rFonts w:ascii="微软雅黑" w:eastAsia="微软雅黑" w:hint="eastAsia"/>
          <w:b/>
          <w:sz w:val="21"/>
        </w:rPr>
        <w:t>我们对可能影响被保险人享受本附加保险合同保障的重要内容进行了显著标识，请您</w:t>
      </w:r>
    </w:p>
    <w:p>
      <w:pPr>
        <w:spacing w:line="330" w:lineRule="exact" w:before="0"/>
        <w:ind w:left="1317" w:right="0" w:firstLine="0"/>
        <w:jc w:val="left"/>
        <w:rPr>
          <w:rFonts w:ascii="微软雅黑" w:eastAsia="微软雅黑" w:hint="eastAsia"/>
          <w:b/>
          <w:sz w:val="21"/>
        </w:rPr>
      </w:pPr>
      <w:r>
        <w:rPr>
          <w:rFonts w:ascii="微软雅黑" w:eastAsia="微软雅黑" w:hint="eastAsia"/>
          <w:b/>
          <w:sz w:val="21"/>
        </w:rPr>
        <w:t>仔细阅读正文加粗的部分。</w:t>
      </w:r>
    </w:p>
    <w:p>
      <w:pPr>
        <w:tabs>
          <w:tab w:pos="1257" w:val="left" w:leader="none"/>
        </w:tabs>
        <w:spacing w:line="567" w:lineRule="exact" w:before="0"/>
        <w:ind w:left="244" w:right="0" w:firstLine="0"/>
        <w:jc w:val="left"/>
        <w:rPr>
          <w:rFonts w:ascii="微软雅黑" w:hAnsi="微软雅黑" w:eastAsia="微软雅黑" w:hint="eastAsia"/>
          <w:b/>
          <w:sz w:val="21"/>
        </w:rPr>
      </w:pPr>
      <w:r>
        <w:rPr>
          <w:rFonts w:ascii="Arial" w:hAnsi="Arial" w:eastAsia="Arial"/>
          <w:b/>
          <w:w w:val="110"/>
          <w:position w:val="-11"/>
          <w:sz w:val="52"/>
        </w:rPr>
        <w:t></w:t>
        <w:tab/>
      </w:r>
      <w:r>
        <w:rPr>
          <w:rFonts w:ascii="微软雅黑" w:hAnsi="微软雅黑" w:eastAsia="微软雅黑" w:hint="eastAsia"/>
          <w:b/>
          <w:sz w:val="21"/>
        </w:rPr>
        <w:t>条款目录</w:t>
      </w:r>
    </w:p>
    <w:p>
      <w:pPr>
        <w:spacing w:after="0" w:line="567" w:lineRule="exact"/>
        <w:jc w:val="left"/>
        <w:rPr>
          <w:rFonts w:ascii="微软雅黑" w:hAnsi="微软雅黑" w:eastAsia="微软雅黑" w:hint="eastAsia"/>
          <w:sz w:val="21"/>
        </w:rPr>
        <w:sectPr>
          <w:type w:val="continuous"/>
          <w:pgSz w:w="11910" w:h="16840"/>
          <w:pgMar w:top="260" w:bottom="1180" w:left="980" w:right="120"/>
        </w:sectPr>
      </w:pPr>
    </w:p>
    <w:p>
      <w:pPr>
        <w:pStyle w:val="Heading2"/>
        <w:spacing w:line="269" w:lineRule="exact"/>
        <w:ind w:left="515"/>
      </w:pPr>
      <w:r>
        <w:rPr>
          <w:w w:val="81"/>
        </w:rPr>
        <w:t>1</w:t>
      </w:r>
      <w:r>
        <w:rPr>
          <w:w w:val="176"/>
        </w:rPr>
        <w:t>.</w:t>
      </w:r>
      <w:r>
        <w:rPr>
          <w:w w:val="100"/>
        </w:rPr>
        <w:t>您与我们的合同</w:t>
      </w:r>
    </w:p>
    <w:p>
      <w:pPr>
        <w:pStyle w:val="ListParagraph"/>
        <w:numPr>
          <w:ilvl w:val="1"/>
          <w:numId w:val="2"/>
        </w:numPr>
        <w:tabs>
          <w:tab w:pos="1150" w:val="left" w:leader="none"/>
        </w:tabs>
        <w:spacing w:line="240" w:lineRule="auto" w:before="11" w:after="0"/>
        <w:ind w:left="1146" w:right="0" w:hanging="420"/>
        <w:jc w:val="left"/>
        <w:rPr>
          <w:sz w:val="21"/>
        </w:rPr>
      </w:pPr>
      <w:r>
        <w:rPr>
          <w:spacing w:val="-3"/>
          <w:sz w:val="21"/>
        </w:rPr>
        <w:t>投保范围</w:t>
      </w:r>
    </w:p>
    <w:p>
      <w:pPr>
        <w:pStyle w:val="ListParagraph"/>
        <w:numPr>
          <w:ilvl w:val="1"/>
          <w:numId w:val="2"/>
        </w:numPr>
        <w:tabs>
          <w:tab w:pos="1150" w:val="left" w:leader="none"/>
        </w:tabs>
        <w:spacing w:line="240" w:lineRule="auto" w:before="37" w:after="0"/>
        <w:ind w:left="1146" w:right="0" w:hanging="420"/>
        <w:jc w:val="left"/>
        <w:rPr>
          <w:sz w:val="21"/>
        </w:rPr>
      </w:pPr>
      <w:r>
        <w:rPr>
          <w:spacing w:val="-3"/>
          <w:sz w:val="21"/>
        </w:rPr>
        <w:t>合同构成</w:t>
      </w:r>
    </w:p>
    <w:p>
      <w:pPr>
        <w:pStyle w:val="ListParagraph"/>
        <w:numPr>
          <w:ilvl w:val="1"/>
          <w:numId w:val="2"/>
        </w:numPr>
        <w:tabs>
          <w:tab w:pos="1150" w:val="left" w:leader="none"/>
        </w:tabs>
        <w:spacing w:line="240" w:lineRule="auto" w:before="37" w:after="0"/>
        <w:ind w:left="1146" w:right="0" w:hanging="420"/>
        <w:jc w:val="left"/>
        <w:rPr>
          <w:sz w:val="21"/>
        </w:rPr>
      </w:pPr>
      <w:r>
        <w:rPr>
          <w:spacing w:val="-3"/>
          <w:sz w:val="21"/>
        </w:rPr>
        <w:t>合同成立与生效</w:t>
      </w:r>
    </w:p>
    <w:p>
      <w:pPr>
        <w:pStyle w:val="ListParagraph"/>
        <w:numPr>
          <w:ilvl w:val="1"/>
          <w:numId w:val="2"/>
        </w:numPr>
        <w:tabs>
          <w:tab w:pos="1150" w:val="left" w:leader="none"/>
        </w:tabs>
        <w:spacing w:line="240" w:lineRule="auto" w:before="37" w:after="0"/>
        <w:ind w:left="1146" w:right="0" w:hanging="420"/>
        <w:jc w:val="left"/>
        <w:rPr>
          <w:sz w:val="21"/>
        </w:rPr>
      </w:pPr>
      <w:r>
        <w:rPr>
          <w:spacing w:val="-3"/>
          <w:sz w:val="21"/>
        </w:rPr>
        <w:t>合同效力</w:t>
      </w:r>
    </w:p>
    <w:p>
      <w:pPr>
        <w:pStyle w:val="ListParagraph"/>
        <w:numPr>
          <w:ilvl w:val="1"/>
          <w:numId w:val="2"/>
        </w:numPr>
        <w:tabs>
          <w:tab w:pos="1150" w:val="left" w:leader="none"/>
        </w:tabs>
        <w:spacing w:line="273" w:lineRule="auto" w:before="37" w:after="0"/>
        <w:ind w:left="1146" w:right="0" w:hanging="420"/>
        <w:jc w:val="left"/>
        <w:rPr>
          <w:sz w:val="21"/>
        </w:rPr>
      </w:pPr>
      <w:r>
        <w:rPr>
          <w:spacing w:val="-3"/>
          <w:sz w:val="21"/>
        </w:rPr>
        <w:t>您解除合同的手续及风险</w:t>
      </w:r>
    </w:p>
    <w:p>
      <w:pPr>
        <w:pStyle w:val="ListParagraph"/>
        <w:numPr>
          <w:ilvl w:val="1"/>
          <w:numId w:val="2"/>
        </w:numPr>
        <w:tabs>
          <w:tab w:pos="1150" w:val="left" w:leader="none"/>
        </w:tabs>
        <w:spacing w:line="240" w:lineRule="auto" w:before="7" w:after="0"/>
        <w:ind w:left="1146" w:right="0" w:hanging="420"/>
        <w:jc w:val="left"/>
        <w:rPr>
          <w:sz w:val="21"/>
        </w:rPr>
      </w:pPr>
      <w:r>
        <w:rPr>
          <w:spacing w:val="-3"/>
          <w:sz w:val="21"/>
        </w:rPr>
        <w:t>合同终止</w:t>
      </w:r>
    </w:p>
    <w:p>
      <w:pPr>
        <w:pStyle w:val="BodyText"/>
        <w:spacing w:before="11"/>
      </w:pPr>
    </w:p>
    <w:p>
      <w:pPr>
        <w:pStyle w:val="Heading2"/>
        <w:ind w:left="515"/>
      </w:pPr>
      <w:r>
        <w:rPr>
          <w:w w:val="81"/>
        </w:rPr>
        <w:t>2</w:t>
      </w:r>
      <w:r>
        <w:rPr>
          <w:w w:val="176"/>
        </w:rPr>
        <w:t>.</w:t>
      </w:r>
      <w:r>
        <w:rPr>
          <w:w w:val="100"/>
        </w:rPr>
        <w:t>我们提供的保障</w:t>
      </w:r>
    </w:p>
    <w:p>
      <w:pPr>
        <w:pStyle w:val="ListParagraph"/>
        <w:numPr>
          <w:ilvl w:val="1"/>
          <w:numId w:val="3"/>
        </w:numPr>
        <w:tabs>
          <w:tab w:pos="1150" w:val="left" w:leader="none"/>
        </w:tabs>
        <w:spacing w:line="240" w:lineRule="auto" w:before="11" w:after="0"/>
        <w:ind w:left="1149" w:right="0" w:hanging="423"/>
        <w:jc w:val="left"/>
        <w:rPr>
          <w:sz w:val="21"/>
        </w:rPr>
      </w:pPr>
      <w:r>
        <w:rPr>
          <w:spacing w:val="-3"/>
          <w:sz w:val="21"/>
        </w:rPr>
        <w:t>保险金额</w:t>
      </w:r>
    </w:p>
    <w:p>
      <w:pPr>
        <w:pStyle w:val="ListParagraph"/>
        <w:numPr>
          <w:ilvl w:val="1"/>
          <w:numId w:val="3"/>
        </w:numPr>
        <w:tabs>
          <w:tab w:pos="1150" w:val="left" w:leader="none"/>
        </w:tabs>
        <w:spacing w:line="240" w:lineRule="auto" w:before="37" w:after="0"/>
        <w:ind w:left="1149" w:right="0" w:hanging="423"/>
        <w:jc w:val="left"/>
        <w:rPr>
          <w:sz w:val="21"/>
        </w:rPr>
      </w:pPr>
      <w:r>
        <w:rPr>
          <w:spacing w:val="-3"/>
          <w:sz w:val="21"/>
        </w:rPr>
        <w:t>保险期间</w:t>
      </w:r>
    </w:p>
    <w:p>
      <w:pPr>
        <w:pStyle w:val="ListParagraph"/>
        <w:numPr>
          <w:ilvl w:val="1"/>
          <w:numId w:val="3"/>
        </w:numPr>
        <w:tabs>
          <w:tab w:pos="1150" w:val="left" w:leader="none"/>
        </w:tabs>
        <w:spacing w:line="240" w:lineRule="auto" w:before="38" w:after="0"/>
        <w:ind w:left="1149" w:right="0" w:hanging="423"/>
        <w:jc w:val="left"/>
        <w:rPr>
          <w:sz w:val="21"/>
        </w:rPr>
      </w:pPr>
      <w:r>
        <w:rPr>
          <w:spacing w:val="-3"/>
          <w:sz w:val="21"/>
        </w:rPr>
        <w:t>保险责任</w:t>
      </w:r>
    </w:p>
    <w:p>
      <w:pPr>
        <w:pStyle w:val="ListParagraph"/>
        <w:numPr>
          <w:ilvl w:val="1"/>
          <w:numId w:val="3"/>
        </w:numPr>
        <w:tabs>
          <w:tab w:pos="1150" w:val="left" w:leader="none"/>
        </w:tabs>
        <w:spacing w:line="240" w:lineRule="auto" w:before="37" w:after="0"/>
        <w:ind w:left="1149" w:right="0" w:hanging="423"/>
        <w:jc w:val="left"/>
        <w:rPr>
          <w:sz w:val="21"/>
        </w:rPr>
      </w:pPr>
      <w:r>
        <w:rPr>
          <w:spacing w:val="-3"/>
          <w:sz w:val="21"/>
        </w:rPr>
        <w:t>责任免除</w:t>
      </w:r>
    </w:p>
    <w:p>
      <w:pPr>
        <w:pStyle w:val="Heading2"/>
        <w:spacing w:line="269" w:lineRule="exact"/>
      </w:pPr>
      <w:r>
        <w:rPr>
          <w:b w:val="0"/>
        </w:rPr>
        <w:br w:type="column"/>
      </w:r>
      <w:r>
        <w:rPr/>
        <w:t>3.您的权利和义务</w:t>
      </w:r>
    </w:p>
    <w:p>
      <w:pPr>
        <w:pStyle w:val="ListParagraph"/>
        <w:numPr>
          <w:ilvl w:val="1"/>
          <w:numId w:val="4"/>
        </w:numPr>
        <w:tabs>
          <w:tab w:pos="969" w:val="left" w:leader="none"/>
        </w:tabs>
        <w:spacing w:line="240" w:lineRule="auto" w:before="11" w:after="0"/>
        <w:ind w:left="968" w:right="0" w:hanging="422"/>
        <w:jc w:val="left"/>
        <w:rPr>
          <w:sz w:val="21"/>
        </w:rPr>
      </w:pPr>
      <w:r>
        <w:rPr>
          <w:spacing w:val="-3"/>
          <w:sz w:val="21"/>
        </w:rPr>
        <w:t>保险费的交纳</w:t>
      </w:r>
    </w:p>
    <w:p>
      <w:pPr>
        <w:pStyle w:val="ListParagraph"/>
        <w:numPr>
          <w:ilvl w:val="1"/>
          <w:numId w:val="4"/>
        </w:numPr>
        <w:tabs>
          <w:tab w:pos="969" w:val="left" w:leader="none"/>
        </w:tabs>
        <w:spacing w:line="240" w:lineRule="auto" w:before="37" w:after="0"/>
        <w:ind w:left="968" w:right="0" w:hanging="422"/>
        <w:jc w:val="left"/>
        <w:rPr>
          <w:sz w:val="21"/>
        </w:rPr>
      </w:pPr>
      <w:r>
        <w:rPr>
          <w:spacing w:val="-3"/>
          <w:sz w:val="21"/>
        </w:rPr>
        <w:t>续保</w:t>
      </w:r>
    </w:p>
    <w:p>
      <w:pPr>
        <w:pStyle w:val="BodyText"/>
        <w:spacing w:before="12"/>
      </w:pPr>
    </w:p>
    <w:p>
      <w:pPr>
        <w:pStyle w:val="Heading2"/>
      </w:pPr>
      <w:r>
        <w:rPr/>
        <w:t>4.保险金的申请与给付</w:t>
      </w:r>
    </w:p>
    <w:p>
      <w:pPr>
        <w:pStyle w:val="ListParagraph"/>
        <w:numPr>
          <w:ilvl w:val="1"/>
          <w:numId w:val="5"/>
        </w:numPr>
        <w:tabs>
          <w:tab w:pos="969" w:val="left" w:leader="none"/>
        </w:tabs>
        <w:spacing w:line="240" w:lineRule="auto" w:before="11" w:after="0"/>
        <w:ind w:left="968" w:right="0" w:hanging="422"/>
        <w:jc w:val="left"/>
        <w:rPr>
          <w:sz w:val="21"/>
        </w:rPr>
      </w:pPr>
      <w:r>
        <w:rPr>
          <w:spacing w:val="-3"/>
          <w:sz w:val="21"/>
        </w:rPr>
        <w:t>保险金受益人</w:t>
      </w:r>
    </w:p>
    <w:p>
      <w:pPr>
        <w:pStyle w:val="ListParagraph"/>
        <w:numPr>
          <w:ilvl w:val="1"/>
          <w:numId w:val="5"/>
        </w:numPr>
        <w:tabs>
          <w:tab w:pos="969" w:val="left" w:leader="none"/>
        </w:tabs>
        <w:spacing w:line="240" w:lineRule="auto" w:before="36" w:after="0"/>
        <w:ind w:left="968" w:right="0" w:hanging="422"/>
        <w:jc w:val="left"/>
        <w:rPr>
          <w:sz w:val="21"/>
        </w:rPr>
      </w:pPr>
      <w:r>
        <w:rPr>
          <w:spacing w:val="-3"/>
          <w:sz w:val="21"/>
        </w:rPr>
        <w:t>保险金的申请</w:t>
      </w:r>
    </w:p>
    <w:p>
      <w:pPr>
        <w:pStyle w:val="ListParagraph"/>
        <w:numPr>
          <w:ilvl w:val="1"/>
          <w:numId w:val="5"/>
        </w:numPr>
        <w:tabs>
          <w:tab w:pos="967" w:val="left" w:leader="none"/>
        </w:tabs>
        <w:spacing w:line="240" w:lineRule="auto" w:before="36" w:after="0"/>
        <w:ind w:left="966" w:right="0" w:hanging="420"/>
        <w:jc w:val="left"/>
        <w:rPr>
          <w:sz w:val="21"/>
        </w:rPr>
      </w:pPr>
      <w:r>
        <w:rPr>
          <w:spacing w:val="-2"/>
          <w:sz w:val="21"/>
        </w:rPr>
        <w:t>诉讼时效</w:t>
      </w:r>
    </w:p>
    <w:p>
      <w:pPr>
        <w:pStyle w:val="BodyText"/>
        <w:spacing w:before="11"/>
      </w:pPr>
    </w:p>
    <w:p>
      <w:pPr>
        <w:pStyle w:val="Heading2"/>
        <w:numPr>
          <w:ilvl w:val="0"/>
          <w:numId w:val="6"/>
        </w:numPr>
        <w:tabs>
          <w:tab w:pos="652" w:val="left" w:leader="none"/>
        </w:tabs>
        <w:spacing w:line="240" w:lineRule="auto" w:before="0" w:after="0"/>
        <w:ind w:left="651" w:right="0" w:hanging="317"/>
        <w:jc w:val="left"/>
      </w:pPr>
      <w:r>
        <w:rPr/>
        <w:t>释义</w:t>
      </w:r>
    </w:p>
    <w:p>
      <w:pPr>
        <w:pStyle w:val="ListParagraph"/>
        <w:numPr>
          <w:ilvl w:val="1"/>
          <w:numId w:val="6"/>
        </w:numPr>
        <w:tabs>
          <w:tab w:pos="969" w:val="left" w:leader="none"/>
        </w:tabs>
        <w:spacing w:line="240" w:lineRule="auto" w:before="11" w:after="0"/>
        <w:ind w:left="935" w:right="0" w:hanging="389"/>
        <w:jc w:val="left"/>
        <w:rPr>
          <w:sz w:val="21"/>
        </w:rPr>
      </w:pPr>
      <w:r>
        <w:rPr>
          <w:spacing w:val="-3"/>
          <w:sz w:val="21"/>
        </w:rPr>
        <w:t>现金价值</w:t>
      </w:r>
    </w:p>
    <w:p>
      <w:pPr>
        <w:pStyle w:val="ListParagraph"/>
        <w:numPr>
          <w:ilvl w:val="1"/>
          <w:numId w:val="6"/>
        </w:numPr>
        <w:tabs>
          <w:tab w:pos="969" w:val="left" w:leader="none"/>
        </w:tabs>
        <w:spacing w:line="240" w:lineRule="auto" w:before="36" w:after="0"/>
        <w:ind w:left="935" w:right="0" w:hanging="389"/>
        <w:jc w:val="left"/>
        <w:rPr>
          <w:sz w:val="21"/>
        </w:rPr>
      </w:pPr>
      <w:r>
        <w:rPr>
          <w:spacing w:val="-3"/>
          <w:sz w:val="21"/>
        </w:rPr>
        <w:t>认可医院</w:t>
      </w:r>
    </w:p>
    <w:p>
      <w:pPr>
        <w:pStyle w:val="ListParagraph"/>
        <w:numPr>
          <w:ilvl w:val="1"/>
          <w:numId w:val="6"/>
        </w:numPr>
        <w:tabs>
          <w:tab w:pos="969" w:val="left" w:leader="none"/>
        </w:tabs>
        <w:spacing w:line="240" w:lineRule="auto" w:before="37" w:after="0"/>
        <w:ind w:left="935" w:right="0" w:hanging="389"/>
        <w:jc w:val="left"/>
        <w:rPr>
          <w:sz w:val="21"/>
        </w:rPr>
      </w:pPr>
      <w:r>
        <w:rPr>
          <w:spacing w:val="-3"/>
          <w:sz w:val="21"/>
        </w:rPr>
        <w:t>专科医生</w:t>
      </w:r>
    </w:p>
    <w:p>
      <w:pPr>
        <w:pStyle w:val="ListParagraph"/>
        <w:numPr>
          <w:ilvl w:val="1"/>
          <w:numId w:val="6"/>
        </w:numPr>
        <w:tabs>
          <w:tab w:pos="916" w:val="left" w:leader="none"/>
        </w:tabs>
        <w:spacing w:line="240" w:lineRule="auto" w:before="37" w:after="0"/>
        <w:ind w:left="915" w:right="0" w:hanging="369"/>
        <w:jc w:val="left"/>
        <w:rPr>
          <w:sz w:val="21"/>
        </w:rPr>
      </w:pPr>
      <w:r>
        <w:rPr>
          <w:spacing w:val="-3"/>
          <w:sz w:val="21"/>
        </w:rPr>
        <w:t>本合同所指的重大疾病</w:t>
      </w:r>
    </w:p>
    <w:p>
      <w:pPr>
        <w:pStyle w:val="ListParagraph"/>
        <w:numPr>
          <w:ilvl w:val="1"/>
          <w:numId w:val="6"/>
        </w:numPr>
        <w:tabs>
          <w:tab w:pos="886" w:val="left" w:leader="none"/>
        </w:tabs>
        <w:spacing w:line="244" w:lineRule="exact" w:before="0" w:after="0"/>
        <w:ind w:left="885" w:right="0" w:hanging="370"/>
        <w:jc w:val="left"/>
        <w:rPr>
          <w:sz w:val="21"/>
        </w:rPr>
      </w:pPr>
      <w:r>
        <w:rPr>
          <w:spacing w:val="-3"/>
          <w:w w:val="100"/>
          <w:sz w:val="21"/>
        </w:rPr>
        <w:br w:type="column"/>
      </w:r>
      <w:r>
        <w:rPr>
          <w:spacing w:val="-3"/>
          <w:sz w:val="21"/>
        </w:rPr>
        <w:t>意外伤害</w:t>
      </w:r>
    </w:p>
    <w:p>
      <w:pPr>
        <w:pStyle w:val="ListParagraph"/>
        <w:numPr>
          <w:ilvl w:val="1"/>
          <w:numId w:val="6"/>
        </w:numPr>
        <w:tabs>
          <w:tab w:pos="939" w:val="left" w:leader="none"/>
        </w:tabs>
        <w:spacing w:line="240" w:lineRule="auto" w:before="37" w:after="0"/>
        <w:ind w:left="938" w:right="0" w:hanging="423"/>
        <w:jc w:val="left"/>
        <w:rPr>
          <w:sz w:val="21"/>
        </w:rPr>
      </w:pPr>
      <w:r>
        <w:rPr>
          <w:spacing w:val="-3"/>
          <w:sz w:val="21"/>
        </w:rPr>
        <w:t>毒品</w:t>
      </w:r>
    </w:p>
    <w:p>
      <w:pPr>
        <w:pStyle w:val="ListParagraph"/>
        <w:numPr>
          <w:ilvl w:val="1"/>
          <w:numId w:val="6"/>
        </w:numPr>
        <w:tabs>
          <w:tab w:pos="939" w:val="left" w:leader="none"/>
        </w:tabs>
        <w:spacing w:line="240" w:lineRule="auto" w:before="37" w:after="0"/>
        <w:ind w:left="938" w:right="0" w:hanging="423"/>
        <w:jc w:val="left"/>
        <w:rPr>
          <w:sz w:val="21"/>
        </w:rPr>
      </w:pPr>
      <w:r>
        <w:rPr>
          <w:spacing w:val="-3"/>
          <w:sz w:val="21"/>
        </w:rPr>
        <w:t>酒后驾驶</w:t>
      </w:r>
    </w:p>
    <w:p>
      <w:pPr>
        <w:pStyle w:val="ListParagraph"/>
        <w:numPr>
          <w:ilvl w:val="1"/>
          <w:numId w:val="6"/>
        </w:numPr>
        <w:tabs>
          <w:tab w:pos="886" w:val="left" w:leader="none"/>
        </w:tabs>
        <w:spacing w:line="273" w:lineRule="auto" w:before="36" w:after="0"/>
        <w:ind w:left="935" w:right="2079" w:hanging="420"/>
        <w:jc w:val="left"/>
        <w:rPr>
          <w:sz w:val="21"/>
        </w:rPr>
      </w:pPr>
      <w:r>
        <w:rPr>
          <w:spacing w:val="-3"/>
          <w:sz w:val="21"/>
        </w:rPr>
        <w:t>无合法有效驾驶证驾驶</w:t>
      </w:r>
    </w:p>
    <w:p>
      <w:pPr>
        <w:pStyle w:val="ListParagraph"/>
        <w:numPr>
          <w:ilvl w:val="1"/>
          <w:numId w:val="6"/>
        </w:numPr>
        <w:tabs>
          <w:tab w:pos="886" w:val="left" w:leader="none"/>
        </w:tabs>
        <w:spacing w:line="240" w:lineRule="auto" w:before="7" w:after="0"/>
        <w:ind w:left="885" w:right="0" w:hanging="370"/>
        <w:jc w:val="left"/>
        <w:rPr>
          <w:sz w:val="21"/>
        </w:rPr>
      </w:pPr>
      <w:r>
        <w:rPr>
          <w:spacing w:val="-3"/>
          <w:sz w:val="21"/>
        </w:rPr>
        <w:t>无有效行驶证</w:t>
      </w:r>
    </w:p>
    <w:p>
      <w:pPr>
        <w:pStyle w:val="ListParagraph"/>
        <w:numPr>
          <w:ilvl w:val="1"/>
          <w:numId w:val="6"/>
        </w:numPr>
        <w:tabs>
          <w:tab w:pos="989" w:val="left" w:leader="none"/>
        </w:tabs>
        <w:spacing w:line="240" w:lineRule="auto" w:before="37" w:after="0"/>
        <w:ind w:left="988" w:right="0" w:hanging="473"/>
        <w:jc w:val="left"/>
        <w:rPr>
          <w:sz w:val="21"/>
        </w:rPr>
      </w:pPr>
      <w:r>
        <w:rPr>
          <w:spacing w:val="-2"/>
          <w:sz w:val="21"/>
        </w:rPr>
        <w:t>机动车</w:t>
      </w:r>
    </w:p>
    <w:p>
      <w:pPr>
        <w:pStyle w:val="ListParagraph"/>
        <w:numPr>
          <w:ilvl w:val="1"/>
          <w:numId w:val="6"/>
        </w:numPr>
        <w:tabs>
          <w:tab w:pos="989" w:val="left" w:leader="none"/>
        </w:tabs>
        <w:spacing w:line="240" w:lineRule="auto" w:before="37" w:after="0"/>
        <w:ind w:left="988" w:right="0" w:hanging="473"/>
        <w:jc w:val="left"/>
        <w:rPr>
          <w:sz w:val="21"/>
        </w:rPr>
      </w:pPr>
      <w:r>
        <w:rPr>
          <w:spacing w:val="-3"/>
          <w:sz w:val="21"/>
        </w:rPr>
        <w:t>遗传性疾病</w:t>
      </w:r>
    </w:p>
    <w:p>
      <w:pPr>
        <w:pStyle w:val="ListParagraph"/>
        <w:numPr>
          <w:ilvl w:val="1"/>
          <w:numId w:val="6"/>
        </w:numPr>
        <w:tabs>
          <w:tab w:pos="989" w:val="left" w:leader="none"/>
        </w:tabs>
        <w:spacing w:line="273" w:lineRule="auto" w:before="37" w:after="0"/>
        <w:ind w:left="1038" w:right="1973" w:hanging="523"/>
        <w:jc w:val="left"/>
        <w:rPr>
          <w:sz w:val="21"/>
        </w:rPr>
      </w:pPr>
      <w:r>
        <w:rPr>
          <w:spacing w:val="-3"/>
          <w:sz w:val="21"/>
        </w:rPr>
        <w:t>先天性畸形、变形或染色体异常</w:t>
      </w:r>
    </w:p>
    <w:p>
      <w:pPr>
        <w:pStyle w:val="ListParagraph"/>
        <w:numPr>
          <w:ilvl w:val="1"/>
          <w:numId w:val="6"/>
        </w:numPr>
        <w:tabs>
          <w:tab w:pos="989" w:val="left" w:leader="none"/>
        </w:tabs>
        <w:spacing w:line="271" w:lineRule="auto" w:before="7" w:after="0"/>
        <w:ind w:left="1038" w:right="1973" w:hanging="523"/>
        <w:jc w:val="left"/>
        <w:rPr>
          <w:sz w:val="21"/>
        </w:rPr>
      </w:pPr>
      <w:r>
        <w:rPr>
          <w:spacing w:val="-3"/>
          <w:sz w:val="21"/>
        </w:rPr>
        <w:t>感染艾滋病病毒或患艾滋病</w:t>
      </w:r>
    </w:p>
    <w:p>
      <w:pPr>
        <w:spacing w:after="0" w:line="271" w:lineRule="auto"/>
        <w:jc w:val="left"/>
        <w:rPr>
          <w:sz w:val="21"/>
        </w:rPr>
        <w:sectPr>
          <w:type w:val="continuous"/>
          <w:pgSz w:w="11910" w:h="16840"/>
          <w:pgMar w:top="260" w:bottom="1180" w:left="980" w:right="120"/>
          <w:cols w:num="3" w:equalWidth="0">
            <w:col w:w="2830" w:space="40"/>
            <w:col w:w="3016" w:space="273"/>
            <w:col w:w="4651"/>
          </w:cols>
        </w:sectPr>
      </w:pPr>
    </w:p>
    <w:p>
      <w:pPr>
        <w:pStyle w:val="BodyText"/>
        <w:spacing w:before="1"/>
        <w:rPr>
          <w:sz w:val="27"/>
        </w:rPr>
      </w:pPr>
    </w:p>
    <w:p>
      <w:pPr>
        <w:pStyle w:val="Heading1"/>
        <w:spacing w:line="415" w:lineRule="exact"/>
        <w:ind w:left="3296"/>
      </w:pPr>
      <w:r>
        <w:rPr/>
        <w:t>天安人寿保险股份有限公司</w:t>
      </w:r>
    </w:p>
    <w:p>
      <w:pPr>
        <w:spacing w:before="140"/>
        <w:ind w:left="2582" w:right="0" w:firstLine="0"/>
        <w:jc w:val="left"/>
        <w:rPr>
          <w:rFonts w:ascii="微软雅黑" w:eastAsia="微软雅黑" w:hint="eastAsia"/>
          <w:b/>
          <w:sz w:val="28"/>
        </w:rPr>
      </w:pPr>
      <w:r>
        <w:rPr>
          <w:rFonts w:ascii="微软雅黑" w:eastAsia="微软雅黑" w:hint="eastAsia"/>
          <w:b/>
          <w:sz w:val="28"/>
        </w:rPr>
        <w:t>天安人寿附加学生平安重大疾病保险条款</w:t>
      </w:r>
    </w:p>
    <w:p>
      <w:pPr>
        <w:pStyle w:val="BodyText"/>
        <w:spacing w:before="0"/>
        <w:rPr>
          <w:rFonts w:ascii="微软雅黑"/>
          <w:b/>
          <w:sz w:val="20"/>
        </w:rPr>
      </w:pPr>
    </w:p>
    <w:p>
      <w:pPr>
        <w:pStyle w:val="BodyText"/>
        <w:spacing w:before="15"/>
        <w:rPr>
          <w:rFonts w:ascii="微软雅黑"/>
          <w:b/>
          <w:sz w:val="11"/>
        </w:r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40"/>
        <w:gridCol w:w="1387"/>
        <w:gridCol w:w="7758"/>
      </w:tblGrid>
      <w:tr>
        <w:trPr>
          <w:trHeight w:val="522" w:hRule="atLeast"/>
        </w:trPr>
        <w:tc>
          <w:tcPr>
            <w:tcW w:w="840" w:type="dxa"/>
            <w:tcBorders>
              <w:bottom w:val="single" w:sz="4" w:space="0" w:color="000000"/>
            </w:tcBorders>
          </w:tcPr>
          <w:p>
            <w:pPr>
              <w:pStyle w:val="TableParagraph"/>
              <w:spacing w:line="423" w:lineRule="exact"/>
              <w:ind w:left="155"/>
              <w:rPr>
                <w:rFonts w:ascii="Arial" w:hAnsi="Arial"/>
                <w:b/>
                <w:sz w:val="40"/>
              </w:rPr>
            </w:pPr>
            <w:r>
              <w:rPr>
                <w:rFonts w:ascii="Arial" w:hAnsi="Arial"/>
                <w:b/>
                <w:w w:val="119"/>
                <w:sz w:val="40"/>
              </w:rPr>
              <w:t></w:t>
            </w:r>
          </w:p>
        </w:tc>
        <w:tc>
          <w:tcPr>
            <w:tcW w:w="9145" w:type="dxa"/>
            <w:gridSpan w:val="2"/>
            <w:tcBorders>
              <w:bottom w:val="single" w:sz="4" w:space="0" w:color="000000"/>
            </w:tcBorders>
          </w:tcPr>
          <w:p>
            <w:pPr>
              <w:pStyle w:val="TableParagraph"/>
              <w:spacing w:line="358" w:lineRule="exact"/>
              <w:ind w:left="326"/>
              <w:rPr>
                <w:rFonts w:ascii="微软雅黑" w:eastAsia="微软雅黑" w:hint="eastAsia"/>
                <w:b/>
                <w:sz w:val="24"/>
              </w:rPr>
            </w:pPr>
            <w:r>
              <w:rPr>
                <w:rFonts w:ascii="微软雅黑" w:eastAsia="微软雅黑" w:hint="eastAsia"/>
                <w:b/>
                <w:sz w:val="24"/>
              </w:rPr>
              <w:t>您与我们的合同</w:t>
            </w:r>
          </w:p>
        </w:tc>
      </w:tr>
      <w:tr>
        <w:trPr>
          <w:trHeight w:val="1093" w:hRule="atLeast"/>
        </w:trPr>
        <w:tc>
          <w:tcPr>
            <w:tcW w:w="840" w:type="dxa"/>
            <w:tcBorders>
              <w:top w:val="single" w:sz="4" w:space="0" w:color="000000"/>
            </w:tcBorders>
          </w:tcPr>
          <w:p>
            <w:pPr>
              <w:pStyle w:val="TableParagraph"/>
              <w:spacing w:before="12"/>
              <w:ind w:left="0"/>
              <w:rPr>
                <w:rFonts w:ascii="微软雅黑"/>
                <w:b/>
                <w:sz w:val="13"/>
              </w:rPr>
            </w:pPr>
          </w:p>
          <w:p>
            <w:pPr>
              <w:pStyle w:val="TableParagraph"/>
              <w:ind w:left="155"/>
              <w:rPr>
                <w:rFonts w:ascii="微软雅黑"/>
                <w:b/>
                <w:sz w:val="21"/>
              </w:rPr>
            </w:pPr>
            <w:r>
              <w:rPr>
                <w:rFonts w:ascii="微软雅黑"/>
                <w:b/>
                <w:sz w:val="21"/>
              </w:rPr>
              <w:t>1.1</w:t>
            </w:r>
          </w:p>
        </w:tc>
        <w:tc>
          <w:tcPr>
            <w:tcW w:w="1387" w:type="dxa"/>
            <w:tcBorders>
              <w:top w:val="single" w:sz="4" w:space="0" w:color="000000"/>
            </w:tcBorders>
          </w:tcPr>
          <w:p>
            <w:pPr>
              <w:pStyle w:val="TableParagraph"/>
              <w:spacing w:before="12"/>
              <w:ind w:left="0"/>
              <w:rPr>
                <w:rFonts w:ascii="微软雅黑"/>
                <w:b/>
                <w:sz w:val="13"/>
              </w:rPr>
            </w:pPr>
          </w:p>
          <w:p>
            <w:pPr>
              <w:pStyle w:val="TableParagraph"/>
              <w:ind w:left="0" w:right="213"/>
              <w:jc w:val="right"/>
              <w:rPr>
                <w:rFonts w:ascii="微软雅黑" w:eastAsia="微软雅黑" w:hint="eastAsia"/>
                <w:b/>
                <w:sz w:val="21"/>
              </w:rPr>
            </w:pPr>
            <w:r>
              <w:rPr>
                <w:rFonts w:ascii="微软雅黑" w:eastAsia="微软雅黑" w:hint="eastAsia"/>
                <w:b/>
                <w:sz w:val="21"/>
              </w:rPr>
              <w:t>投保范围</w:t>
            </w:r>
          </w:p>
        </w:tc>
        <w:tc>
          <w:tcPr>
            <w:tcW w:w="7758" w:type="dxa"/>
            <w:tcBorders>
              <w:top w:val="single" w:sz="4" w:space="0" w:color="000000"/>
            </w:tcBorders>
          </w:tcPr>
          <w:p>
            <w:pPr>
              <w:pStyle w:val="TableParagraph"/>
              <w:spacing w:before="5"/>
              <w:ind w:left="0"/>
              <w:rPr>
                <w:rFonts w:ascii="微软雅黑"/>
                <w:b/>
                <w:sz w:val="17"/>
              </w:rPr>
            </w:pPr>
          </w:p>
          <w:p>
            <w:pPr>
              <w:pStyle w:val="TableParagraph"/>
              <w:spacing w:line="273" w:lineRule="auto"/>
              <w:ind w:left="130" w:right="139" w:firstLine="434"/>
              <w:rPr>
                <w:sz w:val="21"/>
              </w:rPr>
            </w:pPr>
            <w:r>
              <w:rPr>
                <w:spacing w:val="-8"/>
                <w:sz w:val="21"/>
              </w:rPr>
              <w:t>本附加保险合同</w:t>
            </w:r>
            <w:r>
              <w:rPr>
                <w:spacing w:val="-3"/>
                <w:sz w:val="21"/>
              </w:rPr>
              <w:t>（</w:t>
            </w:r>
            <w:r>
              <w:rPr>
                <w:spacing w:val="-16"/>
                <w:sz w:val="21"/>
              </w:rPr>
              <w:t>以下简称“本合同”</w:t>
            </w:r>
            <w:r>
              <w:rPr>
                <w:spacing w:val="-74"/>
                <w:sz w:val="21"/>
              </w:rPr>
              <w:t>）</w:t>
            </w:r>
            <w:r>
              <w:rPr>
                <w:spacing w:val="-11"/>
                <w:sz w:val="21"/>
              </w:rPr>
              <w:t>的投保人、被保险人与主保险合同</w:t>
            </w:r>
            <w:r>
              <w:rPr>
                <w:spacing w:val="-3"/>
                <w:sz w:val="21"/>
              </w:rPr>
              <w:t>（</w:t>
            </w:r>
            <w:r>
              <w:rPr>
                <w:sz w:val="21"/>
              </w:rPr>
              <w:t>以</w:t>
            </w:r>
            <w:r>
              <w:rPr>
                <w:spacing w:val="-15"/>
                <w:w w:val="100"/>
                <w:sz w:val="21"/>
              </w:rPr>
              <w:t>下简称“主险合同”</w:t>
            </w:r>
            <w:r>
              <w:rPr>
                <w:w w:val="100"/>
                <w:sz w:val="21"/>
              </w:rPr>
              <w:t>）</w:t>
            </w:r>
            <w:r>
              <w:rPr>
                <w:spacing w:val="-2"/>
                <w:w w:val="100"/>
                <w:sz w:val="21"/>
              </w:rPr>
              <w:t>相同。</w:t>
            </w:r>
          </w:p>
        </w:tc>
      </w:tr>
      <w:tr>
        <w:trPr>
          <w:trHeight w:val="1248" w:hRule="atLeast"/>
        </w:trPr>
        <w:tc>
          <w:tcPr>
            <w:tcW w:w="840" w:type="dxa"/>
          </w:tcPr>
          <w:p>
            <w:pPr>
              <w:pStyle w:val="TableParagraph"/>
              <w:spacing w:before="80"/>
              <w:ind w:left="155"/>
              <w:rPr>
                <w:rFonts w:ascii="微软雅黑"/>
                <w:b/>
                <w:sz w:val="21"/>
              </w:rPr>
            </w:pPr>
            <w:r>
              <w:rPr>
                <w:rFonts w:ascii="微软雅黑"/>
                <w:b/>
                <w:w w:val="81"/>
                <w:sz w:val="21"/>
              </w:rPr>
              <w:t>1</w:t>
            </w:r>
            <w:r>
              <w:rPr>
                <w:rFonts w:ascii="微软雅黑"/>
                <w:b/>
                <w:w w:val="176"/>
                <w:sz w:val="21"/>
              </w:rPr>
              <w:t>.</w:t>
            </w:r>
            <w:r>
              <w:rPr>
                <w:rFonts w:ascii="微软雅黑"/>
                <w:b/>
                <w:w w:val="81"/>
                <w:sz w:val="21"/>
              </w:rPr>
              <w:t>2</w:t>
            </w:r>
          </w:p>
        </w:tc>
        <w:tc>
          <w:tcPr>
            <w:tcW w:w="1387" w:type="dxa"/>
          </w:tcPr>
          <w:p>
            <w:pPr>
              <w:pStyle w:val="TableParagraph"/>
              <w:spacing w:before="80"/>
              <w:ind w:left="0" w:right="213"/>
              <w:jc w:val="right"/>
              <w:rPr>
                <w:rFonts w:ascii="微软雅黑" w:eastAsia="微软雅黑" w:hint="eastAsia"/>
                <w:b/>
                <w:sz w:val="21"/>
              </w:rPr>
            </w:pPr>
            <w:r>
              <w:rPr>
                <w:rFonts w:ascii="微软雅黑" w:eastAsia="微软雅黑" w:hint="eastAsia"/>
                <w:b/>
                <w:sz w:val="21"/>
              </w:rPr>
              <w:t>合同构成</w:t>
            </w:r>
          </w:p>
        </w:tc>
        <w:tc>
          <w:tcPr>
            <w:tcW w:w="7758" w:type="dxa"/>
          </w:tcPr>
          <w:p>
            <w:pPr>
              <w:pStyle w:val="TableParagraph"/>
              <w:spacing w:line="273" w:lineRule="auto" w:before="143"/>
              <w:ind w:left="130" w:right="28" w:firstLine="420"/>
              <w:jc w:val="both"/>
              <w:rPr>
                <w:sz w:val="21"/>
              </w:rPr>
            </w:pPr>
            <w:r>
              <w:rPr>
                <w:spacing w:val="-3"/>
                <w:sz w:val="21"/>
              </w:rPr>
              <w:t>本合同是主险合同的附加合同。本合同由保险单或其他保险凭证及所附条款、</w:t>
            </w:r>
            <w:r>
              <w:rPr>
                <w:spacing w:val="-15"/>
                <w:sz w:val="21"/>
              </w:rPr>
              <w:t>投保单、与本合同有关的其他投保文件、健康告知书、保险合同变更申请书、声明、</w:t>
            </w:r>
            <w:r>
              <w:rPr>
                <w:spacing w:val="-7"/>
                <w:sz w:val="21"/>
              </w:rPr>
              <w:t>批注、附贴批单及其他书面协议构成。</w:t>
            </w:r>
          </w:p>
        </w:tc>
      </w:tr>
      <w:tr>
        <w:trPr>
          <w:trHeight w:val="1872" w:hRule="atLeast"/>
        </w:trPr>
        <w:tc>
          <w:tcPr>
            <w:tcW w:w="840" w:type="dxa"/>
          </w:tcPr>
          <w:p>
            <w:pPr>
              <w:pStyle w:val="TableParagraph"/>
              <w:spacing w:before="80"/>
              <w:ind w:left="155"/>
              <w:rPr>
                <w:rFonts w:ascii="微软雅黑"/>
                <w:b/>
                <w:sz w:val="21"/>
              </w:rPr>
            </w:pPr>
            <w:r>
              <w:rPr>
                <w:rFonts w:ascii="微软雅黑"/>
                <w:b/>
                <w:sz w:val="21"/>
              </w:rPr>
              <w:t>1.3</w:t>
            </w:r>
          </w:p>
        </w:tc>
        <w:tc>
          <w:tcPr>
            <w:tcW w:w="1387" w:type="dxa"/>
          </w:tcPr>
          <w:p>
            <w:pPr>
              <w:pStyle w:val="TableParagraph"/>
              <w:spacing w:line="206" w:lineRule="auto" w:before="131"/>
              <w:ind w:left="326" w:right="128"/>
              <w:rPr>
                <w:rFonts w:ascii="微软雅黑" w:eastAsia="微软雅黑" w:hint="eastAsia"/>
                <w:b/>
                <w:sz w:val="21"/>
              </w:rPr>
            </w:pPr>
            <w:r>
              <w:rPr>
                <w:rFonts w:ascii="微软雅黑" w:eastAsia="微软雅黑" w:hint="eastAsia"/>
                <w:b/>
                <w:sz w:val="21"/>
              </w:rPr>
              <w:t>合同成立与生效</w:t>
            </w:r>
          </w:p>
        </w:tc>
        <w:tc>
          <w:tcPr>
            <w:tcW w:w="7758" w:type="dxa"/>
          </w:tcPr>
          <w:p>
            <w:pPr>
              <w:pStyle w:val="TableParagraph"/>
              <w:spacing w:line="273" w:lineRule="auto" w:before="142"/>
              <w:ind w:left="130" w:right="136" w:firstLine="420"/>
              <w:jc w:val="both"/>
              <w:rPr>
                <w:sz w:val="21"/>
              </w:rPr>
            </w:pPr>
            <w:r>
              <w:rPr>
                <w:spacing w:val="-9"/>
                <w:sz w:val="21"/>
              </w:rPr>
              <w:t>您提出保险申请、本公司同意承保，本合同成立，合同成立日期在保险单上载明。</w:t>
            </w:r>
          </w:p>
          <w:p>
            <w:pPr>
              <w:pStyle w:val="TableParagraph"/>
              <w:spacing w:line="273" w:lineRule="auto" w:before="7"/>
              <w:ind w:left="130" w:right="136" w:firstLine="420"/>
              <w:jc w:val="both"/>
              <w:rPr>
                <w:sz w:val="21"/>
              </w:rPr>
            </w:pPr>
            <w:r>
              <w:rPr>
                <w:spacing w:val="-10"/>
                <w:sz w:val="21"/>
              </w:rPr>
              <w:t>除另有约定外，自本合同成立、本公司收取保险费并签发保险单的次日零时起本合同生效，本公司开始承担保险责任，合同生效日期在保险单上载明。本合同生</w:t>
            </w:r>
            <w:r>
              <w:rPr>
                <w:spacing w:val="-5"/>
                <w:sz w:val="21"/>
              </w:rPr>
              <w:t>效日即为保单生效日。</w:t>
            </w:r>
          </w:p>
        </w:tc>
      </w:tr>
      <w:tr>
        <w:trPr>
          <w:trHeight w:val="1872" w:hRule="atLeast"/>
        </w:trPr>
        <w:tc>
          <w:tcPr>
            <w:tcW w:w="840" w:type="dxa"/>
          </w:tcPr>
          <w:p>
            <w:pPr>
              <w:pStyle w:val="TableParagraph"/>
              <w:spacing w:before="80"/>
              <w:ind w:left="155"/>
              <w:rPr>
                <w:rFonts w:ascii="微软雅黑"/>
                <w:b/>
                <w:sz w:val="21"/>
              </w:rPr>
            </w:pPr>
            <w:r>
              <w:rPr>
                <w:rFonts w:ascii="微软雅黑"/>
                <w:b/>
                <w:sz w:val="21"/>
              </w:rPr>
              <w:t>1.4</w:t>
            </w:r>
          </w:p>
        </w:tc>
        <w:tc>
          <w:tcPr>
            <w:tcW w:w="1387" w:type="dxa"/>
          </w:tcPr>
          <w:p>
            <w:pPr>
              <w:pStyle w:val="TableParagraph"/>
              <w:spacing w:before="80"/>
              <w:ind w:left="0" w:right="213"/>
              <w:jc w:val="right"/>
              <w:rPr>
                <w:rFonts w:ascii="微软雅黑" w:eastAsia="微软雅黑" w:hint="eastAsia"/>
                <w:b/>
                <w:sz w:val="21"/>
              </w:rPr>
            </w:pPr>
            <w:r>
              <w:rPr>
                <w:rFonts w:ascii="微软雅黑" w:eastAsia="微软雅黑" w:hint="eastAsia"/>
                <w:b/>
                <w:sz w:val="21"/>
              </w:rPr>
              <w:t>合同效力</w:t>
            </w:r>
          </w:p>
        </w:tc>
        <w:tc>
          <w:tcPr>
            <w:tcW w:w="7758" w:type="dxa"/>
          </w:tcPr>
          <w:p>
            <w:pPr>
              <w:pStyle w:val="TableParagraph"/>
              <w:spacing w:line="273" w:lineRule="auto" w:before="143"/>
              <w:ind w:left="130" w:right="133" w:firstLine="434"/>
              <w:rPr>
                <w:sz w:val="21"/>
              </w:rPr>
            </w:pPr>
            <w:r>
              <w:rPr>
                <w:spacing w:val="-14"/>
                <w:sz w:val="21"/>
              </w:rPr>
              <w:t>主险合同中的“合同内容变更”</w:t>
            </w:r>
            <w:r>
              <w:rPr>
                <w:spacing w:val="-34"/>
                <w:sz w:val="21"/>
              </w:rPr>
              <w:t>、“保险事故通知”、“保险金的给付”、“明确说</w:t>
            </w:r>
            <w:r>
              <w:rPr>
                <w:spacing w:val="-30"/>
                <w:sz w:val="21"/>
              </w:rPr>
              <w:t>明与如实告知”、“本公司合同解除权的限制”、“地址变更”、“争议处理”事项以及</w:t>
            </w:r>
          </w:p>
          <w:p>
            <w:pPr>
              <w:pStyle w:val="TableParagraph"/>
              <w:spacing w:line="273" w:lineRule="auto" w:before="8"/>
              <w:ind w:left="564" w:right="688" w:hanging="435"/>
              <w:rPr>
                <w:sz w:val="21"/>
              </w:rPr>
            </w:pPr>
            <w:r>
              <w:rPr>
                <w:sz w:val="21"/>
              </w:rPr>
              <w:t>“释义”适用于本合同。本合同内容与主险合同相抵触的，以本合同为准。主险合同无效，本合同亦无效。</w:t>
            </w:r>
          </w:p>
          <w:p>
            <w:pPr>
              <w:pStyle w:val="TableParagraph"/>
              <w:spacing w:before="8"/>
              <w:ind w:left="564"/>
              <w:rPr>
                <w:sz w:val="21"/>
              </w:rPr>
            </w:pPr>
            <w:r>
              <w:rPr>
                <w:sz w:val="21"/>
              </w:rPr>
              <w:t>主险合同终止，本合同终止。</w:t>
            </w:r>
          </w:p>
        </w:tc>
      </w:tr>
      <w:tr>
        <w:trPr>
          <w:trHeight w:val="2808" w:hRule="atLeast"/>
        </w:trPr>
        <w:tc>
          <w:tcPr>
            <w:tcW w:w="840" w:type="dxa"/>
          </w:tcPr>
          <w:p>
            <w:pPr>
              <w:pStyle w:val="TableParagraph"/>
              <w:spacing w:before="80"/>
              <w:ind w:left="155"/>
              <w:rPr>
                <w:rFonts w:ascii="微软雅黑"/>
                <w:b/>
                <w:sz w:val="21"/>
              </w:rPr>
            </w:pPr>
            <w:r>
              <w:rPr>
                <w:rFonts w:ascii="微软雅黑"/>
                <w:b/>
                <w:sz w:val="21"/>
              </w:rPr>
              <w:t>1.5</w:t>
            </w:r>
          </w:p>
        </w:tc>
        <w:tc>
          <w:tcPr>
            <w:tcW w:w="1387" w:type="dxa"/>
          </w:tcPr>
          <w:p>
            <w:pPr>
              <w:pStyle w:val="TableParagraph"/>
              <w:spacing w:line="206" w:lineRule="auto" w:before="131"/>
              <w:ind w:left="326" w:right="128"/>
              <w:jc w:val="both"/>
              <w:rPr>
                <w:rFonts w:ascii="微软雅黑" w:eastAsia="微软雅黑" w:hint="eastAsia"/>
                <w:b/>
                <w:sz w:val="21"/>
              </w:rPr>
            </w:pPr>
            <w:r>
              <w:rPr>
                <w:rFonts w:ascii="微软雅黑" w:eastAsia="微软雅黑" w:hint="eastAsia"/>
                <w:b/>
                <w:sz w:val="21"/>
              </w:rPr>
              <w:t>您解除合同的手续及风险</w:t>
            </w:r>
          </w:p>
        </w:tc>
        <w:tc>
          <w:tcPr>
            <w:tcW w:w="7758" w:type="dxa"/>
          </w:tcPr>
          <w:p>
            <w:pPr>
              <w:pStyle w:val="TableParagraph"/>
              <w:spacing w:line="273" w:lineRule="auto" w:before="142"/>
              <w:ind w:left="130" w:right="138" w:firstLine="420"/>
              <w:rPr>
                <w:sz w:val="21"/>
              </w:rPr>
            </w:pPr>
            <w:r>
              <w:rPr>
                <w:spacing w:val="-9"/>
                <w:sz w:val="21"/>
              </w:rPr>
              <w:t>本合同生效后，您可以要求解除本合同。您要求解除本合同时，应书面提出合</w:t>
            </w:r>
            <w:r>
              <w:rPr>
                <w:spacing w:val="-5"/>
                <w:sz w:val="21"/>
              </w:rPr>
              <w:t>同解除申请，并提供下列证明和资料：</w:t>
            </w:r>
          </w:p>
          <w:p>
            <w:pPr>
              <w:pStyle w:val="TableParagraph"/>
              <w:spacing w:before="7"/>
              <w:ind w:left="550"/>
              <w:rPr>
                <w:sz w:val="21"/>
              </w:rPr>
            </w:pPr>
            <w:r>
              <w:rPr>
                <w:sz w:val="21"/>
              </w:rPr>
              <w:t>（1）保险合同；</w:t>
            </w:r>
          </w:p>
          <w:p>
            <w:pPr>
              <w:pStyle w:val="TableParagraph"/>
              <w:spacing w:before="37"/>
              <w:ind w:left="550"/>
              <w:rPr>
                <w:sz w:val="21"/>
              </w:rPr>
            </w:pPr>
            <w:r>
              <w:rPr>
                <w:sz w:val="21"/>
              </w:rPr>
              <w:t>（2）您的有效身份证件。</w:t>
            </w:r>
          </w:p>
          <w:p>
            <w:pPr>
              <w:pStyle w:val="TableParagraph"/>
              <w:spacing w:line="223" w:lineRule="auto" w:before="56"/>
              <w:ind w:left="130" w:right="134" w:firstLine="420"/>
              <w:rPr>
                <w:sz w:val="21"/>
              </w:rPr>
            </w:pPr>
            <w:r>
              <w:rPr>
                <w:spacing w:val="-7"/>
                <w:sz w:val="21"/>
              </w:rPr>
              <w:t>自本公司收到合同解除申请及上述证明和资料之日起，本合同终止。本公司自</w:t>
            </w:r>
            <w:r>
              <w:rPr>
                <w:spacing w:val="-8"/>
                <w:sz w:val="21"/>
              </w:rPr>
              <w:t>收到解除合同申请之日起 </w:t>
            </w:r>
            <w:r>
              <w:rPr>
                <w:sz w:val="21"/>
              </w:rPr>
              <w:t>30</w:t>
            </w:r>
            <w:r>
              <w:rPr>
                <w:spacing w:val="-7"/>
                <w:sz w:val="21"/>
              </w:rPr>
              <w:t> 日内向您退还保险单的</w:t>
            </w:r>
            <w:r>
              <w:rPr>
                <w:rFonts w:ascii="微软雅黑" w:eastAsia="微软雅黑" w:hint="eastAsia"/>
                <w:b/>
                <w:sz w:val="21"/>
              </w:rPr>
              <w:t>现金价值（详见释义</w:t>
            </w:r>
            <w:r>
              <w:rPr>
                <w:rFonts w:ascii="微软雅黑" w:eastAsia="微软雅黑" w:hint="eastAsia"/>
                <w:b/>
                <w:spacing w:val="-106"/>
                <w:sz w:val="21"/>
              </w:rPr>
              <w:t>）</w:t>
            </w:r>
            <w:r>
              <w:rPr>
                <w:sz w:val="21"/>
              </w:rPr>
              <w:t>。</w:t>
            </w:r>
          </w:p>
          <w:p>
            <w:pPr>
              <w:pStyle w:val="TableParagraph"/>
              <w:spacing w:line="287" w:lineRule="exact"/>
              <w:ind w:left="552"/>
              <w:rPr>
                <w:rFonts w:ascii="微软雅黑" w:eastAsia="微软雅黑" w:hint="eastAsia"/>
                <w:b/>
                <w:sz w:val="21"/>
              </w:rPr>
            </w:pPr>
            <w:r>
              <w:rPr>
                <w:rFonts w:ascii="微软雅黑" w:eastAsia="微软雅黑" w:hint="eastAsia"/>
                <w:b/>
                <w:sz w:val="21"/>
              </w:rPr>
              <w:t>您解除合同可能会遭受一定损失。</w:t>
            </w:r>
          </w:p>
          <w:p>
            <w:pPr>
              <w:pStyle w:val="TableParagraph"/>
              <w:spacing w:line="337" w:lineRule="exact"/>
              <w:ind w:left="552"/>
              <w:rPr>
                <w:rFonts w:ascii="微软雅黑" w:eastAsia="微软雅黑" w:hint="eastAsia"/>
                <w:b/>
                <w:sz w:val="21"/>
              </w:rPr>
            </w:pPr>
            <w:r>
              <w:rPr>
                <w:rFonts w:ascii="微软雅黑" w:eastAsia="微软雅黑" w:hint="eastAsia"/>
                <w:b/>
                <w:sz w:val="21"/>
              </w:rPr>
              <w:t>如您解除主险合同，本合同须同时解除。</w:t>
            </w:r>
          </w:p>
        </w:tc>
      </w:tr>
      <w:tr>
        <w:trPr>
          <w:trHeight w:val="1897" w:hRule="atLeast"/>
        </w:trPr>
        <w:tc>
          <w:tcPr>
            <w:tcW w:w="840" w:type="dxa"/>
          </w:tcPr>
          <w:p>
            <w:pPr>
              <w:pStyle w:val="TableParagraph"/>
              <w:spacing w:before="80"/>
              <w:ind w:left="155"/>
              <w:rPr>
                <w:rFonts w:ascii="微软雅黑"/>
                <w:b/>
                <w:sz w:val="21"/>
              </w:rPr>
            </w:pPr>
            <w:r>
              <w:rPr>
                <w:rFonts w:ascii="微软雅黑"/>
                <w:b/>
                <w:sz w:val="21"/>
              </w:rPr>
              <w:t>1.6</w:t>
            </w:r>
          </w:p>
        </w:tc>
        <w:tc>
          <w:tcPr>
            <w:tcW w:w="1387" w:type="dxa"/>
          </w:tcPr>
          <w:p>
            <w:pPr>
              <w:pStyle w:val="TableParagraph"/>
              <w:spacing w:before="80"/>
              <w:ind w:left="0" w:right="213"/>
              <w:jc w:val="right"/>
              <w:rPr>
                <w:rFonts w:ascii="微软雅黑" w:eastAsia="微软雅黑" w:hint="eastAsia"/>
                <w:b/>
                <w:sz w:val="21"/>
              </w:rPr>
            </w:pPr>
            <w:r>
              <w:rPr>
                <w:rFonts w:ascii="微软雅黑" w:eastAsia="微软雅黑" w:hint="eastAsia"/>
                <w:b/>
                <w:sz w:val="21"/>
              </w:rPr>
              <w:t>合同终止</w:t>
            </w:r>
          </w:p>
        </w:tc>
        <w:tc>
          <w:tcPr>
            <w:tcW w:w="7758" w:type="dxa"/>
          </w:tcPr>
          <w:p>
            <w:pPr>
              <w:pStyle w:val="TableParagraph"/>
              <w:spacing w:before="142"/>
              <w:ind w:left="550"/>
              <w:rPr>
                <w:sz w:val="21"/>
              </w:rPr>
            </w:pPr>
            <w:r>
              <w:rPr>
                <w:sz w:val="21"/>
              </w:rPr>
              <w:t>以下任何一种情况发生时，本合同终止：</w:t>
            </w:r>
          </w:p>
          <w:p>
            <w:pPr>
              <w:pStyle w:val="TableParagraph"/>
              <w:spacing w:before="36"/>
              <w:ind w:left="550"/>
              <w:rPr>
                <w:sz w:val="21"/>
              </w:rPr>
            </w:pPr>
            <w:r>
              <w:rPr>
                <w:sz w:val="21"/>
              </w:rPr>
              <w:t>1.主险合同终止；</w:t>
            </w:r>
          </w:p>
          <w:p>
            <w:pPr>
              <w:pStyle w:val="TableParagraph"/>
              <w:spacing w:before="36"/>
              <w:ind w:left="550"/>
              <w:rPr>
                <w:sz w:val="21"/>
              </w:rPr>
            </w:pPr>
            <w:r>
              <w:rPr>
                <w:sz w:val="21"/>
              </w:rPr>
              <w:t>2.在本合同有效期内解除本合同的；</w:t>
            </w:r>
          </w:p>
          <w:p>
            <w:pPr>
              <w:pStyle w:val="TableParagraph"/>
              <w:spacing w:before="36"/>
              <w:ind w:left="550"/>
              <w:rPr>
                <w:sz w:val="21"/>
              </w:rPr>
            </w:pPr>
            <w:r>
              <w:rPr>
                <w:sz w:val="21"/>
              </w:rPr>
              <w:t>3.本公司已经履行完毕保险责任的；</w:t>
            </w:r>
          </w:p>
          <w:p>
            <w:pPr>
              <w:pStyle w:val="TableParagraph"/>
              <w:spacing w:before="36"/>
              <w:ind w:left="550"/>
              <w:rPr>
                <w:sz w:val="21"/>
              </w:rPr>
            </w:pPr>
            <w:r>
              <w:rPr>
                <w:sz w:val="21"/>
              </w:rPr>
              <w:t>4.本合同因条款所列其他情况而终止的。</w:t>
            </w:r>
          </w:p>
        </w:tc>
      </w:tr>
      <w:tr>
        <w:trPr>
          <w:trHeight w:val="754" w:hRule="atLeast"/>
        </w:trPr>
        <w:tc>
          <w:tcPr>
            <w:tcW w:w="840" w:type="dxa"/>
            <w:tcBorders>
              <w:bottom w:val="single" w:sz="4" w:space="0" w:color="000000"/>
            </w:tcBorders>
          </w:tcPr>
          <w:p>
            <w:pPr>
              <w:pStyle w:val="TableParagraph"/>
              <w:spacing w:before="194"/>
              <w:ind w:left="155"/>
              <w:rPr>
                <w:rFonts w:ascii="Arial" w:hAnsi="Arial"/>
                <w:b/>
                <w:sz w:val="40"/>
              </w:rPr>
            </w:pPr>
            <w:r>
              <w:rPr>
                <w:rFonts w:ascii="Arial" w:hAnsi="Arial"/>
                <w:b/>
                <w:w w:val="119"/>
                <w:sz w:val="40"/>
              </w:rPr>
              <w:t></w:t>
            </w:r>
          </w:p>
        </w:tc>
        <w:tc>
          <w:tcPr>
            <w:tcW w:w="9145" w:type="dxa"/>
            <w:gridSpan w:val="2"/>
            <w:tcBorders>
              <w:bottom w:val="single" w:sz="4" w:space="0" w:color="000000"/>
            </w:tcBorders>
          </w:tcPr>
          <w:p>
            <w:pPr>
              <w:pStyle w:val="TableParagraph"/>
              <w:spacing w:before="174"/>
              <w:ind w:left="326"/>
              <w:rPr>
                <w:rFonts w:ascii="微软雅黑" w:eastAsia="微软雅黑" w:hint="eastAsia"/>
                <w:b/>
                <w:sz w:val="24"/>
              </w:rPr>
            </w:pPr>
            <w:r>
              <w:rPr>
                <w:rFonts w:ascii="微软雅黑" w:eastAsia="微软雅黑" w:hint="eastAsia"/>
                <w:b/>
                <w:sz w:val="24"/>
              </w:rPr>
              <w:t>我们提供的保障</w:t>
            </w:r>
          </w:p>
        </w:tc>
      </w:tr>
    </w:tbl>
    <w:p>
      <w:pPr>
        <w:spacing w:after="0"/>
        <w:rPr>
          <w:rFonts w:ascii="微软雅黑" w:eastAsia="微软雅黑" w:hint="eastAsia"/>
          <w:sz w:val="24"/>
        </w:rPr>
        <w:sectPr>
          <w:headerReference w:type="default" r:id="rId9"/>
          <w:pgSz w:w="11910" w:h="16840"/>
          <w:pgMar w:header="877" w:footer="992" w:top="1120" w:bottom="1180" w:left="840" w:right="860"/>
        </w:sectPr>
      </w:pPr>
    </w:p>
    <w:p>
      <w:pPr>
        <w:pStyle w:val="BodyText"/>
        <w:spacing w:before="6" w:after="1"/>
        <w:rPr>
          <w:rFonts w:ascii="Times New Roman"/>
          <w:sz w:val="24"/>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26"/>
        <w:gridCol w:w="1387"/>
        <w:gridCol w:w="7760"/>
      </w:tblGrid>
      <w:tr>
        <w:trPr>
          <w:trHeight w:val="1093" w:hRule="atLeast"/>
        </w:trPr>
        <w:tc>
          <w:tcPr>
            <w:tcW w:w="826" w:type="dxa"/>
            <w:tcBorders>
              <w:top w:val="single" w:sz="4" w:space="0" w:color="000000"/>
            </w:tcBorders>
          </w:tcPr>
          <w:p>
            <w:pPr>
              <w:pStyle w:val="TableParagraph"/>
              <w:spacing w:before="7"/>
              <w:ind w:left="0"/>
              <w:rPr>
                <w:rFonts w:ascii="Times New Roman"/>
                <w:sz w:val="20"/>
              </w:rPr>
            </w:pPr>
          </w:p>
          <w:p>
            <w:pPr>
              <w:pStyle w:val="TableParagraph"/>
              <w:ind w:left="141"/>
              <w:rPr>
                <w:rFonts w:ascii="微软雅黑"/>
                <w:b/>
                <w:sz w:val="21"/>
              </w:rPr>
            </w:pPr>
            <w:r>
              <w:rPr>
                <w:rFonts w:ascii="微软雅黑"/>
                <w:b/>
                <w:sz w:val="21"/>
              </w:rPr>
              <w:t>2.1</w:t>
            </w:r>
          </w:p>
        </w:tc>
        <w:tc>
          <w:tcPr>
            <w:tcW w:w="1387" w:type="dxa"/>
            <w:tcBorders>
              <w:top w:val="single" w:sz="4" w:space="0" w:color="000000"/>
            </w:tcBorders>
          </w:tcPr>
          <w:p>
            <w:pPr>
              <w:pStyle w:val="TableParagraph"/>
              <w:spacing w:before="7"/>
              <w:ind w:left="0"/>
              <w:rPr>
                <w:rFonts w:ascii="Times New Roman"/>
                <w:sz w:val="20"/>
              </w:rPr>
            </w:pPr>
          </w:p>
          <w:p>
            <w:pPr>
              <w:pStyle w:val="TableParagraph"/>
              <w:ind w:left="326"/>
              <w:rPr>
                <w:rFonts w:ascii="微软雅黑" w:eastAsia="微软雅黑" w:hint="eastAsia"/>
                <w:b/>
                <w:sz w:val="21"/>
              </w:rPr>
            </w:pPr>
            <w:r>
              <w:rPr>
                <w:rFonts w:ascii="微软雅黑" w:eastAsia="微软雅黑" w:hint="eastAsia"/>
                <w:b/>
                <w:sz w:val="21"/>
              </w:rPr>
              <w:t>保险金额</w:t>
            </w:r>
          </w:p>
        </w:tc>
        <w:tc>
          <w:tcPr>
            <w:tcW w:w="7760" w:type="dxa"/>
            <w:tcBorders>
              <w:top w:val="single" w:sz="4" w:space="0" w:color="000000"/>
            </w:tcBorders>
          </w:tcPr>
          <w:p>
            <w:pPr>
              <w:pStyle w:val="TableParagraph"/>
              <w:ind w:left="0"/>
              <w:rPr>
                <w:rFonts w:ascii="Times New Roman"/>
                <w:sz w:val="26"/>
              </w:rPr>
            </w:pPr>
          </w:p>
          <w:p>
            <w:pPr>
              <w:pStyle w:val="TableParagraph"/>
              <w:spacing w:line="273" w:lineRule="auto"/>
              <w:ind w:right="141" w:firstLine="420"/>
              <w:rPr>
                <w:sz w:val="21"/>
              </w:rPr>
            </w:pPr>
            <w:r>
              <w:rPr>
                <w:sz w:val="21"/>
              </w:rPr>
              <w:t>本合同保险金额由您和本公司在投保时约定，但须符合本公司当时的投保规定，约定的保险金额将在保险单上载明。</w:t>
            </w:r>
          </w:p>
        </w:tc>
      </w:tr>
      <w:tr>
        <w:trPr>
          <w:trHeight w:val="935" w:hRule="atLeast"/>
        </w:trPr>
        <w:tc>
          <w:tcPr>
            <w:tcW w:w="826" w:type="dxa"/>
          </w:tcPr>
          <w:p>
            <w:pPr>
              <w:pStyle w:val="TableParagraph"/>
              <w:spacing w:before="80"/>
              <w:ind w:left="141"/>
              <w:rPr>
                <w:rFonts w:ascii="微软雅黑"/>
                <w:b/>
                <w:sz w:val="21"/>
              </w:rPr>
            </w:pPr>
            <w:r>
              <w:rPr>
                <w:rFonts w:ascii="微软雅黑"/>
                <w:b/>
                <w:w w:val="81"/>
                <w:sz w:val="21"/>
              </w:rPr>
              <w:t>2</w:t>
            </w:r>
            <w:r>
              <w:rPr>
                <w:rFonts w:ascii="微软雅黑"/>
                <w:b/>
                <w:w w:val="176"/>
                <w:sz w:val="21"/>
              </w:rPr>
              <w:t>.</w:t>
            </w:r>
            <w:r>
              <w:rPr>
                <w:rFonts w:ascii="微软雅黑"/>
                <w:b/>
                <w:w w:val="81"/>
                <w:sz w:val="21"/>
              </w:rPr>
              <w:t>2</w:t>
            </w:r>
          </w:p>
        </w:tc>
        <w:tc>
          <w:tcPr>
            <w:tcW w:w="1387" w:type="dxa"/>
          </w:tcPr>
          <w:p>
            <w:pPr>
              <w:pStyle w:val="TableParagraph"/>
              <w:spacing w:before="80"/>
              <w:ind w:left="326"/>
              <w:rPr>
                <w:rFonts w:ascii="微软雅黑" w:eastAsia="微软雅黑" w:hint="eastAsia"/>
                <w:b/>
                <w:sz w:val="21"/>
              </w:rPr>
            </w:pPr>
            <w:r>
              <w:rPr>
                <w:rFonts w:ascii="微软雅黑" w:eastAsia="微软雅黑" w:hint="eastAsia"/>
                <w:b/>
                <w:sz w:val="21"/>
              </w:rPr>
              <w:t>保险期间</w:t>
            </w:r>
          </w:p>
        </w:tc>
        <w:tc>
          <w:tcPr>
            <w:tcW w:w="7760" w:type="dxa"/>
          </w:tcPr>
          <w:p>
            <w:pPr>
              <w:pStyle w:val="TableParagraph"/>
              <w:spacing w:line="273" w:lineRule="auto" w:before="142"/>
              <w:ind w:right="138" w:firstLine="420"/>
              <w:rPr>
                <w:sz w:val="21"/>
              </w:rPr>
            </w:pPr>
            <w:r>
              <w:rPr>
                <w:spacing w:val="-8"/>
                <w:sz w:val="21"/>
              </w:rPr>
              <w:t>本合同的保险期间与主险合同相同，并在保险单上载明。保险期间自本合同生</w:t>
            </w:r>
            <w:r>
              <w:rPr>
                <w:spacing w:val="-5"/>
                <w:sz w:val="21"/>
              </w:rPr>
              <w:t>效日的零时开始，至期满日的二十四时终止。</w:t>
            </w:r>
          </w:p>
        </w:tc>
      </w:tr>
      <w:tr>
        <w:trPr>
          <w:trHeight w:val="2184" w:hRule="atLeast"/>
        </w:trPr>
        <w:tc>
          <w:tcPr>
            <w:tcW w:w="826" w:type="dxa"/>
          </w:tcPr>
          <w:p>
            <w:pPr>
              <w:pStyle w:val="TableParagraph"/>
              <w:spacing w:before="80"/>
              <w:ind w:left="141"/>
              <w:rPr>
                <w:rFonts w:ascii="微软雅黑"/>
                <w:b/>
                <w:sz w:val="21"/>
              </w:rPr>
            </w:pPr>
            <w:r>
              <w:rPr>
                <w:rFonts w:ascii="微软雅黑"/>
                <w:b/>
                <w:sz w:val="21"/>
              </w:rPr>
              <w:t>2.3</w:t>
            </w:r>
          </w:p>
        </w:tc>
        <w:tc>
          <w:tcPr>
            <w:tcW w:w="1387" w:type="dxa"/>
          </w:tcPr>
          <w:p>
            <w:pPr>
              <w:pStyle w:val="TableParagraph"/>
              <w:spacing w:before="80"/>
              <w:ind w:left="326"/>
              <w:rPr>
                <w:rFonts w:ascii="微软雅黑" w:eastAsia="微软雅黑" w:hint="eastAsia"/>
                <w:b/>
                <w:sz w:val="21"/>
              </w:rPr>
            </w:pPr>
            <w:r>
              <w:rPr>
                <w:rFonts w:ascii="微软雅黑" w:eastAsia="微软雅黑" w:hint="eastAsia"/>
                <w:b/>
                <w:sz w:val="21"/>
              </w:rPr>
              <w:t>保险责任</w:t>
            </w:r>
          </w:p>
        </w:tc>
        <w:tc>
          <w:tcPr>
            <w:tcW w:w="7760" w:type="dxa"/>
          </w:tcPr>
          <w:p>
            <w:pPr>
              <w:pStyle w:val="TableParagraph"/>
              <w:spacing w:line="225" w:lineRule="auto" w:before="159"/>
              <w:ind w:left="127" w:right="135" w:firstLine="420"/>
              <w:jc w:val="both"/>
              <w:rPr>
                <w:sz w:val="21"/>
              </w:rPr>
            </w:pPr>
            <w:r>
              <w:rPr>
                <w:spacing w:val="-4"/>
                <w:sz w:val="21"/>
              </w:rPr>
              <w:t>在本合同保险期间内，被保险人于本合同生效之日起 </w:t>
            </w:r>
            <w:r>
              <w:rPr>
                <w:sz w:val="21"/>
              </w:rPr>
              <w:t>30</w:t>
            </w:r>
            <w:r>
              <w:rPr>
                <w:spacing w:val="-9"/>
                <w:sz w:val="21"/>
              </w:rPr>
              <w:t> 日后</w:t>
            </w:r>
            <w:r>
              <w:rPr>
                <w:sz w:val="21"/>
              </w:rPr>
              <w:t>（</w:t>
            </w:r>
            <w:r>
              <w:rPr>
                <w:spacing w:val="-3"/>
                <w:sz w:val="21"/>
              </w:rPr>
              <w:t>如为续保，自</w:t>
            </w:r>
            <w:r>
              <w:rPr>
                <w:spacing w:val="-3"/>
                <w:w w:val="100"/>
                <w:sz w:val="21"/>
              </w:rPr>
              <w:t>续保合同生效之日起</w:t>
            </w:r>
            <w:r>
              <w:rPr>
                <w:spacing w:val="-106"/>
                <w:w w:val="100"/>
                <w:sz w:val="21"/>
              </w:rPr>
              <w:t>）</w:t>
            </w:r>
            <w:r>
              <w:rPr>
                <w:spacing w:val="-3"/>
                <w:w w:val="100"/>
                <w:sz w:val="21"/>
              </w:rPr>
              <w:t>，由本公司</w:t>
            </w:r>
            <w:r>
              <w:rPr>
                <w:rFonts w:ascii="微软雅黑" w:eastAsia="微软雅黑" w:hint="eastAsia"/>
                <w:b/>
                <w:w w:val="100"/>
                <w:sz w:val="21"/>
              </w:rPr>
              <w:t>认可医院（详见释义</w:t>
            </w:r>
            <w:r>
              <w:rPr>
                <w:rFonts w:ascii="微软雅黑" w:eastAsia="微软雅黑" w:hint="eastAsia"/>
                <w:b/>
                <w:spacing w:val="1"/>
                <w:w w:val="100"/>
                <w:sz w:val="21"/>
              </w:rPr>
              <w:t>）</w:t>
            </w:r>
            <w:r>
              <w:rPr>
                <w:spacing w:val="-3"/>
                <w:w w:val="100"/>
                <w:sz w:val="21"/>
              </w:rPr>
              <w:t>的</w:t>
            </w:r>
            <w:r>
              <w:rPr>
                <w:rFonts w:ascii="微软雅黑" w:eastAsia="微软雅黑" w:hint="eastAsia"/>
                <w:b/>
                <w:w w:val="100"/>
                <w:sz w:val="21"/>
              </w:rPr>
              <w:t>专科医生（详见释义）</w:t>
            </w:r>
            <w:r>
              <w:rPr>
                <w:spacing w:val="-2"/>
                <w:w w:val="100"/>
                <w:sz w:val="21"/>
              </w:rPr>
              <w:t>确诊初次发生</w:t>
            </w:r>
            <w:r>
              <w:rPr>
                <w:rFonts w:ascii="微软雅黑" w:eastAsia="微软雅黑" w:hint="eastAsia"/>
                <w:b/>
                <w:spacing w:val="-4"/>
                <w:w w:val="100"/>
                <w:sz w:val="21"/>
              </w:rPr>
              <w:t>本合同所指的重大疾病</w:t>
            </w:r>
            <w:r>
              <w:rPr>
                <w:rFonts w:ascii="微软雅黑" w:eastAsia="微软雅黑" w:hint="eastAsia"/>
                <w:b/>
                <w:w w:val="100"/>
                <w:sz w:val="21"/>
              </w:rPr>
              <w:t>（详见释义</w:t>
            </w:r>
            <w:r>
              <w:rPr>
                <w:rFonts w:ascii="微软雅黑" w:eastAsia="微软雅黑" w:hint="eastAsia"/>
                <w:b/>
                <w:spacing w:val="-135"/>
                <w:w w:val="100"/>
                <w:sz w:val="21"/>
              </w:rPr>
              <w:t>）</w:t>
            </w:r>
            <w:r>
              <w:rPr>
                <w:spacing w:val="-5"/>
                <w:w w:val="100"/>
                <w:sz w:val="21"/>
              </w:rPr>
              <w:t>（</w:t>
            </w:r>
            <w:r>
              <w:rPr>
                <w:spacing w:val="-3"/>
                <w:w w:val="100"/>
                <w:sz w:val="21"/>
              </w:rPr>
              <w:t>无论一种或多种</w:t>
            </w:r>
            <w:r>
              <w:rPr>
                <w:spacing w:val="-106"/>
                <w:w w:val="100"/>
                <w:sz w:val="21"/>
              </w:rPr>
              <w:t>）</w:t>
            </w:r>
            <w:r>
              <w:rPr>
                <w:spacing w:val="-7"/>
                <w:w w:val="100"/>
                <w:sz w:val="21"/>
              </w:rPr>
              <w:t>，本公司按本</w:t>
            </w:r>
            <w:r>
              <w:rPr>
                <w:spacing w:val="-5"/>
                <w:sz w:val="21"/>
              </w:rPr>
              <w:t>合同保险金额给付重大疾病保险金，本合同终止。</w:t>
            </w:r>
          </w:p>
          <w:p>
            <w:pPr>
              <w:pStyle w:val="TableParagraph"/>
              <w:spacing w:line="206" w:lineRule="auto" w:before="26"/>
              <w:ind w:right="136" w:firstLine="420"/>
              <w:jc w:val="both"/>
              <w:rPr>
                <w:sz w:val="21"/>
              </w:rPr>
            </w:pPr>
            <w:r>
              <w:rPr>
                <w:spacing w:val="-3"/>
                <w:sz w:val="21"/>
              </w:rPr>
              <w:t>若被保险人被确诊的重大疾病是以其在本合同保险期间内遭受的</w:t>
            </w:r>
            <w:r>
              <w:rPr>
                <w:rFonts w:ascii="微软雅黑" w:eastAsia="微软雅黑" w:hint="eastAsia"/>
                <w:b/>
                <w:spacing w:val="-20"/>
                <w:sz w:val="21"/>
              </w:rPr>
              <w:t>意外伤害</w:t>
            </w:r>
            <w:r>
              <w:rPr>
                <w:rFonts w:ascii="微软雅黑" w:eastAsia="微软雅黑" w:hint="eastAsia"/>
                <w:b/>
                <w:sz w:val="21"/>
              </w:rPr>
              <w:t>（详见释义）</w:t>
            </w:r>
            <w:r>
              <w:rPr>
                <w:spacing w:val="-5"/>
                <w:sz w:val="21"/>
              </w:rPr>
              <w:t>为直接且单独的原因所致，则不受前述 </w:t>
            </w:r>
            <w:r>
              <w:rPr>
                <w:sz w:val="21"/>
              </w:rPr>
              <w:t>30</w:t>
            </w:r>
            <w:r>
              <w:rPr>
                <w:spacing w:val="-9"/>
                <w:sz w:val="21"/>
              </w:rPr>
              <w:t> 日的限制。</w:t>
            </w:r>
          </w:p>
        </w:tc>
      </w:tr>
      <w:tr>
        <w:trPr>
          <w:trHeight w:val="5953" w:hRule="atLeast"/>
        </w:trPr>
        <w:tc>
          <w:tcPr>
            <w:tcW w:w="826" w:type="dxa"/>
          </w:tcPr>
          <w:p>
            <w:pPr>
              <w:pStyle w:val="TableParagraph"/>
              <w:spacing w:before="80"/>
              <w:ind w:left="141"/>
              <w:rPr>
                <w:rFonts w:ascii="微软雅黑"/>
                <w:b/>
                <w:sz w:val="21"/>
              </w:rPr>
            </w:pPr>
            <w:r>
              <w:rPr>
                <w:rFonts w:ascii="微软雅黑"/>
                <w:b/>
                <w:sz w:val="21"/>
              </w:rPr>
              <w:t>2.4</w:t>
            </w:r>
          </w:p>
        </w:tc>
        <w:tc>
          <w:tcPr>
            <w:tcW w:w="1387" w:type="dxa"/>
          </w:tcPr>
          <w:p>
            <w:pPr>
              <w:pStyle w:val="TableParagraph"/>
              <w:spacing w:before="80"/>
              <w:ind w:left="326"/>
              <w:rPr>
                <w:rFonts w:ascii="微软雅黑" w:eastAsia="微软雅黑" w:hint="eastAsia"/>
                <w:b/>
                <w:sz w:val="21"/>
              </w:rPr>
            </w:pPr>
            <w:r>
              <w:rPr>
                <w:rFonts w:ascii="微软雅黑" w:eastAsia="微软雅黑" w:hint="eastAsia"/>
                <w:b/>
                <w:sz w:val="21"/>
              </w:rPr>
              <w:t>责任免除</w:t>
            </w:r>
          </w:p>
        </w:tc>
        <w:tc>
          <w:tcPr>
            <w:tcW w:w="7760" w:type="dxa"/>
          </w:tcPr>
          <w:p>
            <w:pPr>
              <w:pStyle w:val="TableParagraph"/>
              <w:spacing w:line="273" w:lineRule="auto" w:before="142"/>
              <w:ind w:right="67" w:firstLine="420"/>
              <w:rPr>
                <w:sz w:val="21"/>
              </w:rPr>
            </w:pPr>
            <w:r>
              <w:rPr>
                <w:sz w:val="21"/>
              </w:rPr>
              <w:t>被保险人因下列情形之一，发Th本合同所指的重大疾病的，本公司不承担保险责任：</w:t>
            </w:r>
          </w:p>
          <w:p>
            <w:pPr>
              <w:pStyle w:val="TableParagraph"/>
              <w:spacing w:before="7"/>
              <w:ind w:left="549"/>
              <w:rPr>
                <w:sz w:val="21"/>
              </w:rPr>
            </w:pPr>
            <w:r>
              <w:rPr>
                <w:sz w:val="21"/>
              </w:rPr>
              <w:t>1.投保人对被保险人的故意杀害、故意伤害；</w:t>
            </w:r>
          </w:p>
          <w:p>
            <w:pPr>
              <w:pStyle w:val="TableParagraph"/>
              <w:spacing w:before="37"/>
              <w:ind w:left="549"/>
              <w:rPr>
                <w:sz w:val="21"/>
              </w:rPr>
            </w:pPr>
            <w:r>
              <w:rPr>
                <w:sz w:val="21"/>
              </w:rPr>
              <w:t>2.被保险人故意犯罪或抗拒依法采取的刑事强制措施；</w:t>
            </w:r>
          </w:p>
          <w:p>
            <w:pPr>
              <w:pStyle w:val="TableParagraph"/>
              <w:spacing w:line="260" w:lineRule="exact" w:before="37"/>
              <w:ind w:left="549"/>
              <w:rPr>
                <w:sz w:val="21"/>
              </w:rPr>
            </w:pPr>
            <w:r>
              <w:rPr>
                <w:sz w:val="21"/>
              </w:rPr>
              <w:t>3.被保险人自杀，但自杀时为无民事行为能力人的除外；</w:t>
            </w:r>
          </w:p>
          <w:p>
            <w:pPr>
              <w:pStyle w:val="TableParagraph"/>
              <w:spacing w:line="324" w:lineRule="exact"/>
              <w:ind w:left="549"/>
              <w:rPr>
                <w:sz w:val="21"/>
              </w:rPr>
            </w:pPr>
            <w:r>
              <w:rPr>
                <w:w w:val="100"/>
                <w:sz w:val="21"/>
              </w:rPr>
              <w:t>4.</w:t>
            </w:r>
            <w:r>
              <w:rPr>
                <w:spacing w:val="-3"/>
                <w:w w:val="100"/>
                <w:sz w:val="21"/>
              </w:rPr>
              <w:t>被保险人主动吸食或注射</w:t>
            </w:r>
            <w:r>
              <w:rPr>
                <w:rFonts w:ascii="Microsoft JhengHei" w:eastAsia="Microsoft JhengHei" w:hint="eastAsia"/>
                <w:b/>
                <w:w w:val="100"/>
                <w:sz w:val="21"/>
              </w:rPr>
              <w:t>毒品（详见释义</w:t>
            </w:r>
            <w:r>
              <w:rPr>
                <w:rFonts w:ascii="Microsoft JhengHei" w:eastAsia="Microsoft JhengHei" w:hint="eastAsia"/>
                <w:b/>
                <w:spacing w:val="-106"/>
                <w:w w:val="100"/>
                <w:sz w:val="21"/>
              </w:rPr>
              <w:t>）</w:t>
            </w:r>
            <w:r>
              <w:rPr>
                <w:w w:val="100"/>
                <w:sz w:val="21"/>
              </w:rPr>
              <w:t>；</w:t>
            </w:r>
          </w:p>
          <w:p>
            <w:pPr>
              <w:pStyle w:val="TableParagraph"/>
              <w:spacing w:line="204" w:lineRule="auto" w:before="28"/>
              <w:ind w:right="138" w:firstLine="420"/>
              <w:rPr>
                <w:sz w:val="21"/>
              </w:rPr>
            </w:pPr>
            <w:r>
              <w:rPr>
                <w:sz w:val="21"/>
              </w:rPr>
              <w:t>5.</w:t>
            </w:r>
            <w:r>
              <w:rPr>
                <w:spacing w:val="-2"/>
                <w:sz w:val="21"/>
              </w:rPr>
              <w:t>被保险人</w:t>
            </w:r>
            <w:r>
              <w:rPr>
                <w:rFonts w:ascii="Microsoft JhengHei" w:eastAsia="Microsoft JhengHei" w:hint="eastAsia"/>
                <w:b/>
                <w:sz w:val="21"/>
              </w:rPr>
              <w:t>酒后驾驶（详见释义</w:t>
            </w:r>
            <w:r>
              <w:rPr>
                <w:rFonts w:ascii="Microsoft JhengHei" w:eastAsia="Microsoft JhengHei" w:hint="eastAsia"/>
                <w:b/>
                <w:spacing w:val="-103"/>
                <w:sz w:val="21"/>
              </w:rPr>
              <w:t>）</w:t>
            </w:r>
            <w:r>
              <w:rPr>
                <w:spacing w:val="-3"/>
                <w:sz w:val="21"/>
              </w:rPr>
              <w:t>、</w:t>
            </w:r>
            <w:r>
              <w:rPr>
                <w:rFonts w:ascii="Microsoft JhengHei" w:eastAsia="Microsoft JhengHei" w:hint="eastAsia"/>
                <w:b/>
                <w:spacing w:val="-1"/>
                <w:sz w:val="21"/>
              </w:rPr>
              <w:t>无合法有效驾驶证驾驶</w:t>
            </w:r>
            <w:r>
              <w:rPr>
                <w:rFonts w:ascii="Microsoft JhengHei" w:eastAsia="Microsoft JhengHei" w:hint="eastAsia"/>
                <w:b/>
                <w:sz w:val="21"/>
              </w:rPr>
              <w:t>（详见释义）</w:t>
            </w:r>
            <w:r>
              <w:rPr>
                <w:sz w:val="21"/>
              </w:rPr>
              <w:t>或驾</w:t>
            </w:r>
            <w:r>
              <w:rPr>
                <w:spacing w:val="-3"/>
                <w:w w:val="100"/>
                <w:sz w:val="21"/>
              </w:rPr>
              <w:t>驶</w:t>
            </w:r>
            <w:r>
              <w:rPr>
                <w:rFonts w:ascii="Microsoft JhengHei" w:eastAsia="Microsoft JhengHei" w:hint="eastAsia"/>
                <w:b/>
                <w:w w:val="100"/>
                <w:sz w:val="21"/>
              </w:rPr>
              <w:t>无有效行驶证（</w:t>
            </w:r>
            <w:r>
              <w:rPr>
                <w:rFonts w:ascii="Microsoft JhengHei" w:eastAsia="Microsoft JhengHei" w:hint="eastAsia"/>
                <w:b/>
                <w:spacing w:val="-1"/>
                <w:w w:val="100"/>
                <w:sz w:val="21"/>
              </w:rPr>
              <w:t>详见释义</w:t>
            </w:r>
            <w:r>
              <w:rPr>
                <w:rFonts w:ascii="Microsoft JhengHei" w:eastAsia="Microsoft JhengHei" w:hint="eastAsia"/>
                <w:b/>
                <w:w w:val="100"/>
                <w:sz w:val="21"/>
              </w:rPr>
              <w:t>）</w:t>
            </w:r>
            <w:r>
              <w:rPr>
                <w:spacing w:val="-3"/>
                <w:w w:val="100"/>
                <w:sz w:val="21"/>
              </w:rPr>
              <w:t>的</w:t>
            </w:r>
            <w:r>
              <w:rPr>
                <w:rFonts w:ascii="Microsoft JhengHei" w:eastAsia="Microsoft JhengHei" w:hint="eastAsia"/>
                <w:b/>
                <w:w w:val="100"/>
                <w:sz w:val="21"/>
              </w:rPr>
              <w:t>机动车（详见释义</w:t>
            </w:r>
            <w:r>
              <w:rPr>
                <w:rFonts w:ascii="Microsoft JhengHei" w:eastAsia="Microsoft JhengHei" w:hint="eastAsia"/>
                <w:b/>
                <w:spacing w:val="-108"/>
                <w:w w:val="100"/>
                <w:sz w:val="21"/>
              </w:rPr>
              <w:t>）</w:t>
            </w:r>
            <w:r>
              <w:rPr>
                <w:w w:val="100"/>
                <w:sz w:val="21"/>
              </w:rPr>
              <w:t>；</w:t>
            </w:r>
          </w:p>
          <w:p>
            <w:pPr>
              <w:pStyle w:val="TableParagraph"/>
              <w:numPr>
                <w:ilvl w:val="0"/>
                <w:numId w:val="7"/>
              </w:numPr>
              <w:tabs>
                <w:tab w:pos="865" w:val="left" w:leader="none"/>
              </w:tabs>
              <w:spacing w:line="285" w:lineRule="exact" w:before="0" w:after="0"/>
              <w:ind w:left="129" w:right="0" w:firstLine="420"/>
              <w:jc w:val="left"/>
              <w:rPr>
                <w:sz w:val="21"/>
              </w:rPr>
            </w:pPr>
            <w:r>
              <w:rPr>
                <w:rFonts w:ascii="Microsoft JhengHei" w:eastAsia="Microsoft JhengHei" w:hint="eastAsia"/>
                <w:b/>
                <w:w w:val="100"/>
                <w:sz w:val="21"/>
              </w:rPr>
              <w:t>遗传性疾病（</w:t>
            </w:r>
            <w:r>
              <w:rPr>
                <w:rFonts w:ascii="Microsoft JhengHei" w:eastAsia="Microsoft JhengHei" w:hint="eastAsia"/>
                <w:b/>
                <w:spacing w:val="-1"/>
                <w:w w:val="100"/>
                <w:sz w:val="21"/>
              </w:rPr>
              <w:t>详见释义</w:t>
            </w:r>
            <w:r>
              <w:rPr>
                <w:rFonts w:ascii="Microsoft JhengHei" w:eastAsia="Microsoft JhengHei" w:hint="eastAsia"/>
                <w:b/>
                <w:spacing w:val="-106"/>
                <w:w w:val="100"/>
                <w:sz w:val="21"/>
              </w:rPr>
              <w:t>）</w:t>
            </w:r>
            <w:r>
              <w:rPr>
                <w:spacing w:val="-2"/>
                <w:w w:val="100"/>
                <w:sz w:val="21"/>
              </w:rPr>
              <w:t>，</w:t>
            </w:r>
            <w:r>
              <w:rPr>
                <w:rFonts w:ascii="Microsoft JhengHei" w:eastAsia="Microsoft JhengHei" w:hint="eastAsia"/>
                <w:b/>
                <w:spacing w:val="-1"/>
                <w:w w:val="100"/>
                <w:sz w:val="21"/>
              </w:rPr>
              <w:t>先天性畸形、变形或染色体异常</w:t>
            </w:r>
            <w:r>
              <w:rPr>
                <w:rFonts w:ascii="Microsoft JhengHei" w:eastAsia="Microsoft JhengHei" w:hint="eastAsia"/>
                <w:b/>
                <w:w w:val="100"/>
                <w:sz w:val="21"/>
              </w:rPr>
              <w:t>（详见释义</w:t>
            </w:r>
            <w:r>
              <w:rPr>
                <w:rFonts w:ascii="Microsoft JhengHei" w:eastAsia="Microsoft JhengHei" w:hint="eastAsia"/>
                <w:b/>
                <w:spacing w:val="-106"/>
                <w:w w:val="100"/>
                <w:sz w:val="21"/>
              </w:rPr>
              <w:t>）</w:t>
            </w:r>
            <w:r>
              <w:rPr>
                <w:w w:val="100"/>
                <w:sz w:val="21"/>
              </w:rPr>
              <w:t>；</w:t>
            </w:r>
          </w:p>
          <w:p>
            <w:pPr>
              <w:pStyle w:val="TableParagraph"/>
              <w:numPr>
                <w:ilvl w:val="0"/>
                <w:numId w:val="7"/>
              </w:numPr>
              <w:tabs>
                <w:tab w:pos="868" w:val="left" w:leader="none"/>
              </w:tabs>
              <w:spacing w:line="339" w:lineRule="exact" w:before="0" w:after="0"/>
              <w:ind w:left="867" w:right="0" w:hanging="318"/>
              <w:jc w:val="left"/>
              <w:rPr>
                <w:sz w:val="21"/>
              </w:rPr>
            </w:pPr>
            <w:r>
              <w:rPr>
                <w:spacing w:val="-3"/>
                <w:sz w:val="21"/>
              </w:rPr>
              <w:t>被保险人</w:t>
            </w:r>
            <w:r>
              <w:rPr>
                <w:rFonts w:ascii="Microsoft JhengHei" w:eastAsia="Microsoft JhengHei" w:hint="eastAsia"/>
                <w:b/>
                <w:spacing w:val="-3"/>
                <w:sz w:val="21"/>
              </w:rPr>
              <w:t>感染艾滋病病毒或患艾滋病(详见释义)</w:t>
            </w:r>
            <w:r>
              <w:rPr>
                <w:spacing w:val="-1"/>
                <w:sz w:val="21"/>
              </w:rPr>
              <w:t>；</w:t>
            </w:r>
          </w:p>
          <w:p>
            <w:pPr>
              <w:pStyle w:val="TableParagraph"/>
              <w:numPr>
                <w:ilvl w:val="0"/>
                <w:numId w:val="7"/>
              </w:numPr>
              <w:tabs>
                <w:tab w:pos="868" w:val="left" w:leader="none"/>
              </w:tabs>
              <w:spacing w:line="273" w:lineRule="auto" w:before="13" w:after="0"/>
              <w:ind w:left="129" w:right="135" w:firstLine="420"/>
              <w:jc w:val="left"/>
              <w:rPr>
                <w:sz w:val="21"/>
              </w:rPr>
            </w:pPr>
            <w:r>
              <w:rPr>
                <w:spacing w:val="-3"/>
                <w:sz w:val="21"/>
              </w:rPr>
              <w:t>本合同</w:t>
            </w:r>
            <w:r>
              <w:rPr>
                <w:sz w:val="21"/>
              </w:rPr>
              <w:t>Th</w:t>
            </w:r>
            <w:r>
              <w:rPr>
                <w:spacing w:val="-10"/>
                <w:sz w:val="21"/>
              </w:rPr>
              <w:t>效之日起 </w:t>
            </w:r>
            <w:r>
              <w:rPr>
                <w:sz w:val="21"/>
              </w:rPr>
              <w:t>30</w:t>
            </w:r>
            <w:r>
              <w:rPr>
                <w:spacing w:val="-9"/>
                <w:sz w:val="21"/>
              </w:rPr>
              <w:t> 日内确诊发</w:t>
            </w:r>
            <w:r>
              <w:rPr>
                <w:sz w:val="21"/>
              </w:rPr>
              <w:t>Th</w:t>
            </w:r>
            <w:r>
              <w:rPr>
                <w:spacing w:val="-11"/>
                <w:sz w:val="21"/>
              </w:rPr>
              <w:t>本合同所指的重大疾病</w:t>
            </w:r>
            <w:r>
              <w:rPr>
                <w:sz w:val="21"/>
              </w:rPr>
              <w:t>（</w:t>
            </w:r>
            <w:r>
              <w:rPr>
                <w:spacing w:val="-3"/>
                <w:sz w:val="21"/>
              </w:rPr>
              <w:t>因遭受意外伤</w:t>
            </w:r>
            <w:r>
              <w:rPr>
                <w:spacing w:val="-3"/>
                <w:w w:val="100"/>
                <w:sz w:val="21"/>
              </w:rPr>
              <w:t>害或按期续保的均不受本条限制</w:t>
            </w:r>
            <w:r>
              <w:rPr>
                <w:spacing w:val="-106"/>
                <w:w w:val="100"/>
                <w:sz w:val="21"/>
              </w:rPr>
              <w:t>）</w:t>
            </w:r>
            <w:r>
              <w:rPr>
                <w:w w:val="100"/>
                <w:sz w:val="21"/>
              </w:rPr>
              <w:t>；</w:t>
            </w:r>
          </w:p>
          <w:p>
            <w:pPr>
              <w:pStyle w:val="TableParagraph"/>
              <w:numPr>
                <w:ilvl w:val="0"/>
                <w:numId w:val="7"/>
              </w:numPr>
              <w:tabs>
                <w:tab w:pos="868" w:val="left" w:leader="none"/>
              </w:tabs>
              <w:spacing w:line="240" w:lineRule="auto" w:before="7" w:after="0"/>
              <w:ind w:left="867" w:right="0" w:hanging="318"/>
              <w:jc w:val="left"/>
              <w:rPr>
                <w:sz w:val="21"/>
              </w:rPr>
            </w:pPr>
            <w:r>
              <w:rPr>
                <w:spacing w:val="-3"/>
                <w:sz w:val="21"/>
              </w:rPr>
              <w:t>战争、军事冲突、暴乱或武装叛乱；</w:t>
            </w:r>
          </w:p>
          <w:p>
            <w:pPr>
              <w:pStyle w:val="TableParagraph"/>
              <w:numPr>
                <w:ilvl w:val="0"/>
                <w:numId w:val="7"/>
              </w:numPr>
              <w:tabs>
                <w:tab w:pos="973" w:val="left" w:leader="none"/>
              </w:tabs>
              <w:spacing w:line="240" w:lineRule="auto" w:before="36" w:after="0"/>
              <w:ind w:left="972" w:right="0" w:hanging="423"/>
              <w:jc w:val="left"/>
              <w:rPr>
                <w:sz w:val="21"/>
              </w:rPr>
            </w:pPr>
            <w:r>
              <w:rPr>
                <w:spacing w:val="-3"/>
                <w:sz w:val="21"/>
              </w:rPr>
              <w:t>核爆炸、核辐射或核污染。</w:t>
            </w:r>
          </w:p>
          <w:p>
            <w:pPr>
              <w:pStyle w:val="TableParagraph"/>
              <w:spacing w:line="273" w:lineRule="auto" w:before="36"/>
              <w:ind w:right="136" w:firstLine="420"/>
              <w:rPr>
                <w:sz w:val="21"/>
              </w:rPr>
            </w:pPr>
            <w:r>
              <w:rPr>
                <w:spacing w:val="-7"/>
                <w:sz w:val="21"/>
              </w:rPr>
              <w:t>被保险人因上述第 </w:t>
            </w:r>
            <w:r>
              <w:rPr>
                <w:sz w:val="21"/>
              </w:rPr>
              <w:t>1</w:t>
            </w:r>
            <w:r>
              <w:rPr>
                <w:spacing w:val="-10"/>
                <w:sz w:val="21"/>
              </w:rPr>
              <w:t> 项情形发</w:t>
            </w:r>
            <w:r>
              <w:rPr>
                <w:sz w:val="21"/>
              </w:rPr>
              <w:t>Th</w:t>
            </w:r>
            <w:r>
              <w:rPr>
                <w:spacing w:val="-8"/>
                <w:sz w:val="21"/>
              </w:rPr>
              <w:t>本合同所指的重大疾病的，本合同终止，本公</w:t>
            </w:r>
            <w:r>
              <w:rPr>
                <w:spacing w:val="-5"/>
                <w:sz w:val="21"/>
              </w:rPr>
              <w:t>司向被保险人退还保险单的现金价值。</w:t>
            </w:r>
          </w:p>
          <w:p>
            <w:pPr>
              <w:pStyle w:val="TableParagraph"/>
              <w:spacing w:line="273" w:lineRule="auto" w:before="7"/>
              <w:ind w:right="63" w:firstLine="420"/>
              <w:rPr>
                <w:sz w:val="21"/>
              </w:rPr>
            </w:pPr>
            <w:r>
              <w:rPr>
                <w:sz w:val="21"/>
              </w:rPr>
              <w:t>被保险人因上述第 2-10 项情形之一发Th本合同所指的重大疾病的，本合同终止，本公司向您退还保险单的现金价值。</w:t>
            </w:r>
          </w:p>
        </w:tc>
      </w:tr>
      <w:tr>
        <w:trPr>
          <w:trHeight w:val="754" w:hRule="atLeast"/>
        </w:trPr>
        <w:tc>
          <w:tcPr>
            <w:tcW w:w="826" w:type="dxa"/>
            <w:tcBorders>
              <w:bottom w:val="single" w:sz="4" w:space="0" w:color="000000"/>
            </w:tcBorders>
          </w:tcPr>
          <w:p>
            <w:pPr>
              <w:pStyle w:val="TableParagraph"/>
              <w:spacing w:before="194"/>
              <w:ind w:left="141"/>
              <w:rPr>
                <w:rFonts w:ascii="Arial" w:hAnsi="Arial"/>
                <w:b/>
                <w:sz w:val="40"/>
              </w:rPr>
            </w:pPr>
            <w:r>
              <w:rPr>
                <w:rFonts w:ascii="Arial" w:hAnsi="Arial"/>
                <w:b/>
                <w:w w:val="119"/>
                <w:sz w:val="40"/>
              </w:rPr>
              <w:t></w:t>
            </w:r>
          </w:p>
        </w:tc>
        <w:tc>
          <w:tcPr>
            <w:tcW w:w="9147" w:type="dxa"/>
            <w:gridSpan w:val="2"/>
            <w:tcBorders>
              <w:bottom w:val="single" w:sz="4" w:space="0" w:color="000000"/>
            </w:tcBorders>
          </w:tcPr>
          <w:p>
            <w:pPr>
              <w:pStyle w:val="TableParagraph"/>
              <w:spacing w:before="174"/>
              <w:ind w:left="326"/>
              <w:rPr>
                <w:rFonts w:ascii="微软雅黑" w:eastAsia="微软雅黑" w:hint="eastAsia"/>
                <w:b/>
                <w:sz w:val="24"/>
              </w:rPr>
            </w:pPr>
            <w:r>
              <w:rPr>
                <w:rFonts w:ascii="微软雅黑" w:eastAsia="微软雅黑" w:hint="eastAsia"/>
                <w:b/>
                <w:sz w:val="24"/>
              </w:rPr>
              <w:t>您的权利和义务</w:t>
            </w:r>
          </w:p>
        </w:tc>
      </w:tr>
      <w:tr>
        <w:trPr>
          <w:trHeight w:val="1092" w:hRule="atLeast"/>
        </w:trPr>
        <w:tc>
          <w:tcPr>
            <w:tcW w:w="826" w:type="dxa"/>
            <w:tcBorders>
              <w:top w:val="single" w:sz="4" w:space="0" w:color="000000"/>
            </w:tcBorders>
          </w:tcPr>
          <w:p>
            <w:pPr>
              <w:pStyle w:val="TableParagraph"/>
              <w:spacing w:before="6"/>
              <w:ind w:left="0"/>
              <w:rPr>
                <w:rFonts w:ascii="Times New Roman"/>
                <w:sz w:val="20"/>
              </w:rPr>
            </w:pPr>
          </w:p>
          <w:p>
            <w:pPr>
              <w:pStyle w:val="TableParagraph"/>
              <w:spacing w:before="1"/>
              <w:ind w:left="141"/>
              <w:rPr>
                <w:rFonts w:ascii="微软雅黑"/>
                <w:b/>
                <w:sz w:val="21"/>
              </w:rPr>
            </w:pPr>
            <w:r>
              <w:rPr>
                <w:rFonts w:ascii="微软雅黑"/>
                <w:b/>
                <w:sz w:val="21"/>
              </w:rPr>
              <w:t>3.1</w:t>
            </w:r>
          </w:p>
        </w:tc>
        <w:tc>
          <w:tcPr>
            <w:tcW w:w="1387" w:type="dxa"/>
            <w:tcBorders>
              <w:top w:val="single" w:sz="4" w:space="0" w:color="000000"/>
            </w:tcBorders>
          </w:tcPr>
          <w:p>
            <w:pPr>
              <w:pStyle w:val="TableParagraph"/>
              <w:ind w:left="0"/>
              <w:rPr>
                <w:rFonts w:ascii="Times New Roman"/>
                <w:sz w:val="25"/>
              </w:rPr>
            </w:pPr>
          </w:p>
          <w:p>
            <w:pPr>
              <w:pStyle w:val="TableParagraph"/>
              <w:spacing w:line="206" w:lineRule="auto"/>
              <w:ind w:left="326" w:right="127"/>
              <w:rPr>
                <w:rFonts w:ascii="微软雅黑" w:eastAsia="微软雅黑" w:hint="eastAsia"/>
                <w:b/>
                <w:sz w:val="21"/>
              </w:rPr>
            </w:pPr>
            <w:r>
              <w:rPr>
                <w:rFonts w:ascii="微软雅黑" w:eastAsia="微软雅黑" w:hint="eastAsia"/>
                <w:b/>
                <w:sz w:val="21"/>
              </w:rPr>
              <w:t>保险费的交纳</w:t>
            </w:r>
          </w:p>
        </w:tc>
        <w:tc>
          <w:tcPr>
            <w:tcW w:w="7760" w:type="dxa"/>
            <w:tcBorders>
              <w:top w:val="single" w:sz="4" w:space="0" w:color="000000"/>
            </w:tcBorders>
          </w:tcPr>
          <w:p>
            <w:pPr>
              <w:pStyle w:val="TableParagraph"/>
              <w:spacing w:before="1"/>
              <w:ind w:left="0"/>
              <w:rPr>
                <w:rFonts w:ascii="Times New Roman"/>
                <w:sz w:val="24"/>
              </w:rPr>
            </w:pPr>
          </w:p>
          <w:p>
            <w:pPr>
              <w:pStyle w:val="TableParagraph"/>
              <w:ind w:left="549"/>
              <w:rPr>
                <w:sz w:val="21"/>
              </w:rPr>
            </w:pPr>
            <w:r>
              <w:rPr>
                <w:sz w:val="21"/>
              </w:rPr>
              <w:t>本合同的交费方式为一次交清，并在保险单上载明。</w:t>
            </w:r>
          </w:p>
        </w:tc>
      </w:tr>
      <w:tr>
        <w:trPr>
          <w:trHeight w:val="1041" w:hRule="atLeast"/>
        </w:trPr>
        <w:tc>
          <w:tcPr>
            <w:tcW w:w="826" w:type="dxa"/>
          </w:tcPr>
          <w:p>
            <w:pPr>
              <w:pStyle w:val="TableParagraph"/>
              <w:spacing w:before="80"/>
              <w:ind w:left="141"/>
              <w:rPr>
                <w:rFonts w:ascii="微软雅黑"/>
                <w:b/>
                <w:sz w:val="21"/>
              </w:rPr>
            </w:pPr>
            <w:r>
              <w:rPr>
                <w:rFonts w:ascii="微软雅黑"/>
                <w:b/>
                <w:sz w:val="21"/>
              </w:rPr>
              <w:t>3.2</w:t>
            </w:r>
          </w:p>
        </w:tc>
        <w:tc>
          <w:tcPr>
            <w:tcW w:w="1387" w:type="dxa"/>
          </w:tcPr>
          <w:p>
            <w:pPr>
              <w:pStyle w:val="TableParagraph"/>
              <w:spacing w:before="80"/>
              <w:ind w:left="326"/>
              <w:rPr>
                <w:rFonts w:ascii="微软雅黑" w:eastAsia="微软雅黑" w:hint="eastAsia"/>
                <w:b/>
                <w:sz w:val="21"/>
              </w:rPr>
            </w:pPr>
            <w:r>
              <w:rPr>
                <w:rFonts w:ascii="微软雅黑" w:eastAsia="微软雅黑" w:hint="eastAsia"/>
                <w:b/>
                <w:sz w:val="21"/>
              </w:rPr>
              <w:t>续保</w:t>
            </w:r>
          </w:p>
        </w:tc>
        <w:tc>
          <w:tcPr>
            <w:tcW w:w="7760" w:type="dxa"/>
          </w:tcPr>
          <w:p>
            <w:pPr>
              <w:pStyle w:val="TableParagraph"/>
              <w:spacing w:line="273" w:lineRule="auto" w:before="142"/>
              <w:ind w:right="33" w:firstLine="420"/>
              <w:rPr>
                <w:sz w:val="21"/>
              </w:rPr>
            </w:pPr>
            <w:r>
              <w:rPr>
                <w:spacing w:val="-14"/>
                <w:sz w:val="21"/>
              </w:rPr>
              <w:t>投保人可于保险期间届满前，经本公司审核同意后，向本公司交付续保保险费， </w:t>
            </w:r>
            <w:r>
              <w:rPr>
                <w:spacing w:val="-7"/>
                <w:sz w:val="21"/>
              </w:rPr>
              <w:t>本合同于保险期间届满的次日起延续有效。</w:t>
            </w:r>
          </w:p>
          <w:p>
            <w:pPr>
              <w:pStyle w:val="TableParagraph"/>
              <w:spacing w:line="263" w:lineRule="exact"/>
              <w:ind w:left="552"/>
              <w:rPr>
                <w:rFonts w:ascii="微软雅黑" w:eastAsia="微软雅黑" w:hint="eastAsia"/>
                <w:b/>
                <w:sz w:val="21"/>
              </w:rPr>
            </w:pPr>
            <w:r>
              <w:rPr>
                <w:rFonts w:ascii="微软雅黑" w:eastAsia="微软雅黑" w:hint="eastAsia"/>
                <w:b/>
                <w:sz w:val="21"/>
              </w:rPr>
              <w:t>本公司保留终止本合同续保的权利，并有权调整保险费收费标准。</w:t>
            </w:r>
          </w:p>
        </w:tc>
      </w:tr>
    </w:tbl>
    <w:p>
      <w:pPr>
        <w:spacing w:after="0" w:line="263" w:lineRule="exact"/>
        <w:rPr>
          <w:rFonts w:ascii="微软雅黑" w:eastAsia="微软雅黑" w:hint="eastAsia"/>
          <w:sz w:val="21"/>
        </w:rPr>
        <w:sectPr>
          <w:pgSz w:w="11910" w:h="16840"/>
          <w:pgMar w:header="877" w:footer="992" w:top="1120" w:bottom="1180" w:left="860" w:right="860"/>
        </w:sectPr>
      </w:pPr>
    </w:p>
    <w:p>
      <w:pPr>
        <w:pStyle w:val="BodyText"/>
        <w:spacing w:before="6"/>
        <w:rPr>
          <w:rFonts w:ascii="Times New Roman"/>
          <w:sz w:val="3"/>
        </w:r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1"/>
        <w:gridCol w:w="1274"/>
        <w:gridCol w:w="7785"/>
      </w:tblGrid>
      <w:tr>
        <w:trPr>
          <w:trHeight w:val="903" w:hRule="atLeast"/>
        </w:trPr>
        <w:tc>
          <w:tcPr>
            <w:tcW w:w="911" w:type="dxa"/>
            <w:tcBorders>
              <w:top w:val="single" w:sz="18" w:space="0" w:color="000000"/>
              <w:bottom w:val="single" w:sz="4" w:space="0" w:color="000000"/>
            </w:tcBorders>
          </w:tcPr>
          <w:p>
            <w:pPr>
              <w:pStyle w:val="TableParagraph"/>
              <w:spacing w:before="343"/>
              <w:ind w:left="141"/>
              <w:rPr>
                <w:rFonts w:ascii="Arial" w:hAnsi="Arial"/>
                <w:b/>
                <w:sz w:val="40"/>
              </w:rPr>
            </w:pPr>
            <w:r>
              <w:rPr>
                <w:rFonts w:ascii="Arial" w:hAnsi="Arial"/>
                <w:b/>
                <w:w w:val="119"/>
                <w:sz w:val="40"/>
              </w:rPr>
              <w:t></w:t>
            </w:r>
          </w:p>
        </w:tc>
        <w:tc>
          <w:tcPr>
            <w:tcW w:w="9059" w:type="dxa"/>
            <w:gridSpan w:val="2"/>
            <w:tcBorders>
              <w:bottom w:val="single" w:sz="4" w:space="0" w:color="000000"/>
            </w:tcBorders>
          </w:tcPr>
          <w:p>
            <w:pPr>
              <w:pStyle w:val="TableParagraph"/>
              <w:spacing w:before="1"/>
              <w:ind w:left="0"/>
              <w:rPr>
                <w:rFonts w:ascii="Times New Roman"/>
                <w:sz w:val="28"/>
              </w:rPr>
            </w:pPr>
          </w:p>
          <w:p>
            <w:pPr>
              <w:pStyle w:val="TableParagraph"/>
              <w:ind w:left="241"/>
              <w:rPr>
                <w:rFonts w:ascii="微软雅黑" w:eastAsia="微软雅黑" w:hint="eastAsia"/>
                <w:b/>
                <w:sz w:val="24"/>
              </w:rPr>
            </w:pPr>
            <w:r>
              <w:rPr>
                <w:rFonts w:ascii="微软雅黑" w:eastAsia="微软雅黑" w:hint="eastAsia"/>
                <w:b/>
                <w:sz w:val="24"/>
              </w:rPr>
              <w:t>保险金的申请与给付</w:t>
            </w:r>
          </w:p>
        </w:tc>
      </w:tr>
      <w:tr>
        <w:trPr>
          <w:trHeight w:val="1092" w:hRule="atLeast"/>
        </w:trPr>
        <w:tc>
          <w:tcPr>
            <w:tcW w:w="911" w:type="dxa"/>
            <w:tcBorders>
              <w:top w:val="single" w:sz="4" w:space="0" w:color="000000"/>
            </w:tcBorders>
          </w:tcPr>
          <w:p>
            <w:pPr>
              <w:pStyle w:val="TableParagraph"/>
              <w:spacing w:before="6"/>
              <w:ind w:left="0"/>
              <w:rPr>
                <w:rFonts w:ascii="Times New Roman"/>
                <w:sz w:val="20"/>
              </w:rPr>
            </w:pPr>
          </w:p>
          <w:p>
            <w:pPr>
              <w:pStyle w:val="TableParagraph"/>
              <w:spacing w:before="1"/>
              <w:ind w:left="141"/>
              <w:rPr>
                <w:rFonts w:ascii="微软雅黑"/>
                <w:b/>
                <w:sz w:val="21"/>
              </w:rPr>
            </w:pPr>
            <w:r>
              <w:rPr>
                <w:rFonts w:ascii="微软雅黑"/>
                <w:b/>
                <w:sz w:val="21"/>
              </w:rPr>
              <w:t>4.1</w:t>
            </w:r>
          </w:p>
        </w:tc>
        <w:tc>
          <w:tcPr>
            <w:tcW w:w="1274" w:type="dxa"/>
            <w:tcBorders>
              <w:top w:val="single" w:sz="4" w:space="0" w:color="000000"/>
            </w:tcBorders>
          </w:tcPr>
          <w:p>
            <w:pPr>
              <w:pStyle w:val="TableParagraph"/>
              <w:ind w:left="0"/>
              <w:rPr>
                <w:rFonts w:ascii="Times New Roman"/>
                <w:sz w:val="25"/>
              </w:rPr>
            </w:pPr>
          </w:p>
          <w:p>
            <w:pPr>
              <w:pStyle w:val="TableParagraph"/>
              <w:spacing w:line="206" w:lineRule="auto"/>
              <w:ind w:left="241" w:right="99"/>
              <w:rPr>
                <w:rFonts w:ascii="微软雅黑" w:eastAsia="微软雅黑" w:hint="eastAsia"/>
                <w:b/>
                <w:sz w:val="21"/>
              </w:rPr>
            </w:pPr>
            <w:r>
              <w:rPr>
                <w:rFonts w:ascii="微软雅黑" w:eastAsia="微软雅黑" w:hint="eastAsia"/>
                <w:b/>
                <w:sz w:val="21"/>
              </w:rPr>
              <w:t>保险金受益人</w:t>
            </w:r>
          </w:p>
        </w:tc>
        <w:tc>
          <w:tcPr>
            <w:tcW w:w="7785" w:type="dxa"/>
            <w:tcBorders>
              <w:top w:val="single" w:sz="4" w:space="0" w:color="000000"/>
            </w:tcBorders>
          </w:tcPr>
          <w:p>
            <w:pPr>
              <w:pStyle w:val="TableParagraph"/>
              <w:ind w:left="0"/>
              <w:rPr>
                <w:rFonts w:ascii="Times New Roman"/>
                <w:sz w:val="26"/>
              </w:rPr>
            </w:pPr>
          </w:p>
          <w:p>
            <w:pPr>
              <w:pStyle w:val="TableParagraph"/>
              <w:ind w:left="577"/>
              <w:rPr>
                <w:sz w:val="21"/>
              </w:rPr>
            </w:pPr>
            <w:r>
              <w:rPr>
                <w:sz w:val="21"/>
              </w:rPr>
              <w:t>重大疾病保险金的受益人为被保险人本人。</w:t>
            </w:r>
          </w:p>
        </w:tc>
      </w:tr>
      <w:tr>
        <w:trPr>
          <w:trHeight w:val="3744" w:hRule="atLeast"/>
        </w:trPr>
        <w:tc>
          <w:tcPr>
            <w:tcW w:w="911" w:type="dxa"/>
          </w:tcPr>
          <w:p>
            <w:pPr>
              <w:pStyle w:val="TableParagraph"/>
              <w:spacing w:before="80"/>
              <w:ind w:left="141"/>
              <w:rPr>
                <w:rFonts w:ascii="微软雅黑"/>
                <w:b/>
                <w:sz w:val="21"/>
              </w:rPr>
            </w:pPr>
            <w:r>
              <w:rPr>
                <w:rFonts w:ascii="微软雅黑"/>
                <w:b/>
                <w:w w:val="81"/>
                <w:sz w:val="21"/>
              </w:rPr>
              <w:t>4</w:t>
            </w:r>
            <w:r>
              <w:rPr>
                <w:rFonts w:ascii="微软雅黑"/>
                <w:b/>
                <w:w w:val="176"/>
                <w:sz w:val="21"/>
              </w:rPr>
              <w:t>.</w:t>
            </w:r>
            <w:r>
              <w:rPr>
                <w:rFonts w:ascii="微软雅黑"/>
                <w:b/>
                <w:w w:val="81"/>
                <w:sz w:val="21"/>
              </w:rPr>
              <w:t>2</w:t>
            </w:r>
          </w:p>
        </w:tc>
        <w:tc>
          <w:tcPr>
            <w:tcW w:w="1274" w:type="dxa"/>
          </w:tcPr>
          <w:p>
            <w:pPr>
              <w:pStyle w:val="TableParagraph"/>
              <w:spacing w:line="206" w:lineRule="auto" w:before="131"/>
              <w:ind w:left="241" w:right="99"/>
              <w:rPr>
                <w:rFonts w:ascii="微软雅黑" w:eastAsia="微软雅黑" w:hint="eastAsia"/>
                <w:b/>
                <w:sz w:val="21"/>
              </w:rPr>
            </w:pPr>
            <w:r>
              <w:rPr>
                <w:rFonts w:ascii="微软雅黑" w:eastAsia="微软雅黑" w:hint="eastAsia"/>
                <w:b/>
                <w:sz w:val="21"/>
              </w:rPr>
              <w:t>保险金的申请</w:t>
            </w:r>
          </w:p>
        </w:tc>
        <w:tc>
          <w:tcPr>
            <w:tcW w:w="7785" w:type="dxa"/>
          </w:tcPr>
          <w:p>
            <w:pPr>
              <w:pStyle w:val="TableParagraph"/>
              <w:numPr>
                <w:ilvl w:val="0"/>
                <w:numId w:val="8"/>
              </w:numPr>
              <w:tabs>
                <w:tab w:pos="896" w:val="left" w:leader="none"/>
              </w:tabs>
              <w:spacing w:line="273" w:lineRule="auto" w:before="142" w:after="0"/>
              <w:ind w:left="157" w:right="29" w:firstLine="420"/>
              <w:jc w:val="left"/>
              <w:rPr>
                <w:sz w:val="21"/>
              </w:rPr>
            </w:pPr>
            <w:r>
              <w:rPr>
                <w:spacing w:val="-10"/>
                <w:sz w:val="21"/>
              </w:rPr>
              <w:t>申请重大疾病保险金时，由被保险人作为申请人书面提出保险金给付申请， </w:t>
            </w:r>
            <w:r>
              <w:rPr>
                <w:spacing w:val="-5"/>
                <w:sz w:val="21"/>
              </w:rPr>
              <w:t>并提供下列证明和资料：</w:t>
            </w:r>
          </w:p>
          <w:p>
            <w:pPr>
              <w:pStyle w:val="TableParagraph"/>
              <w:spacing w:before="7"/>
              <w:ind w:left="577"/>
              <w:rPr>
                <w:sz w:val="21"/>
              </w:rPr>
            </w:pPr>
            <w:r>
              <w:rPr>
                <w:sz w:val="21"/>
              </w:rPr>
              <w:t>（1）保险合同；</w:t>
            </w:r>
          </w:p>
          <w:p>
            <w:pPr>
              <w:pStyle w:val="TableParagraph"/>
              <w:spacing w:before="37"/>
              <w:ind w:left="577"/>
              <w:rPr>
                <w:sz w:val="21"/>
              </w:rPr>
            </w:pPr>
            <w:r>
              <w:rPr>
                <w:sz w:val="21"/>
              </w:rPr>
              <w:t>（2）被保险人的有效身份证件；</w:t>
            </w:r>
          </w:p>
          <w:p>
            <w:pPr>
              <w:pStyle w:val="TableParagraph"/>
              <w:spacing w:line="273" w:lineRule="auto" w:before="37"/>
              <w:ind w:left="157" w:right="164" w:firstLine="420"/>
              <w:rPr>
                <w:sz w:val="21"/>
              </w:rPr>
            </w:pPr>
            <w:r>
              <w:rPr>
                <w:sz w:val="21"/>
              </w:rPr>
              <w:t>（3）本公司认可医院出具的附有病历、必要病理检验、血液检验及其他科学方法检验报告的疾病诊断书；</w:t>
            </w:r>
          </w:p>
          <w:p>
            <w:pPr>
              <w:pStyle w:val="TableParagraph"/>
              <w:spacing w:line="273" w:lineRule="auto" w:before="7"/>
              <w:ind w:left="157" w:right="136" w:firstLine="420"/>
              <w:rPr>
                <w:sz w:val="21"/>
              </w:rPr>
            </w:pPr>
            <w:r>
              <w:rPr>
                <w:sz w:val="21"/>
              </w:rPr>
              <w:t>（4）所能提供的与确认保险事故的性质、原因、伤害程度等有关的其他证明和资料。</w:t>
            </w:r>
          </w:p>
          <w:p>
            <w:pPr>
              <w:pStyle w:val="TableParagraph"/>
              <w:numPr>
                <w:ilvl w:val="0"/>
                <w:numId w:val="8"/>
              </w:numPr>
              <w:tabs>
                <w:tab w:pos="941" w:val="left" w:leader="none"/>
              </w:tabs>
              <w:spacing w:line="273" w:lineRule="auto" w:before="7" w:after="0"/>
              <w:ind w:left="157" w:right="29" w:firstLine="420"/>
              <w:jc w:val="left"/>
              <w:rPr>
                <w:sz w:val="21"/>
              </w:rPr>
            </w:pPr>
            <w:r>
              <w:rPr>
                <w:spacing w:val="-5"/>
                <w:sz w:val="21"/>
              </w:rPr>
              <w:t>如委托他人代为申请，还须填写《索赔申请书</w:t>
            </w:r>
            <w:r>
              <w:rPr>
                <w:sz w:val="21"/>
              </w:rPr>
              <w:t>（</w:t>
            </w:r>
            <w:r>
              <w:rPr>
                <w:spacing w:val="-3"/>
                <w:sz w:val="21"/>
              </w:rPr>
              <w:t>含授权委托书</w:t>
            </w:r>
            <w:r>
              <w:rPr>
                <w:spacing w:val="-108"/>
                <w:sz w:val="21"/>
              </w:rPr>
              <w:t>）</w:t>
            </w:r>
            <w:r>
              <w:rPr>
                <w:spacing w:val="-3"/>
                <w:sz w:val="21"/>
              </w:rPr>
              <w:t>》委托栏， 并提供受托人有效身份证件。</w:t>
            </w:r>
          </w:p>
          <w:p>
            <w:pPr>
              <w:pStyle w:val="TableParagraph"/>
              <w:spacing w:before="7"/>
              <w:ind w:left="577"/>
              <w:rPr>
                <w:sz w:val="21"/>
              </w:rPr>
            </w:pPr>
            <w:r>
              <w:rPr>
                <w:sz w:val="21"/>
              </w:rPr>
              <w:t>3.本公司认为有关证明和资料不完整的，将及时一次性通知申请人补充提供。</w:t>
            </w:r>
          </w:p>
        </w:tc>
      </w:tr>
      <w:tr>
        <w:trPr>
          <w:trHeight w:val="961" w:hRule="atLeast"/>
        </w:trPr>
        <w:tc>
          <w:tcPr>
            <w:tcW w:w="911" w:type="dxa"/>
          </w:tcPr>
          <w:p>
            <w:pPr>
              <w:pStyle w:val="TableParagraph"/>
              <w:spacing w:before="80"/>
              <w:ind w:left="107"/>
              <w:rPr>
                <w:rFonts w:ascii="微软雅黑"/>
                <w:b/>
                <w:sz w:val="21"/>
              </w:rPr>
            </w:pPr>
            <w:r>
              <w:rPr>
                <w:rFonts w:ascii="微软雅黑"/>
                <w:b/>
                <w:sz w:val="21"/>
              </w:rPr>
              <w:t>4.3</w:t>
            </w:r>
          </w:p>
        </w:tc>
        <w:tc>
          <w:tcPr>
            <w:tcW w:w="1274" w:type="dxa"/>
          </w:tcPr>
          <w:p>
            <w:pPr>
              <w:pStyle w:val="TableParagraph"/>
              <w:spacing w:before="80"/>
              <w:ind w:left="241"/>
              <w:rPr>
                <w:rFonts w:ascii="微软雅黑" w:eastAsia="微软雅黑" w:hint="eastAsia"/>
                <w:b/>
                <w:sz w:val="21"/>
              </w:rPr>
            </w:pPr>
            <w:r>
              <w:rPr>
                <w:rFonts w:ascii="微软雅黑" w:eastAsia="微软雅黑" w:hint="eastAsia"/>
                <w:b/>
                <w:sz w:val="21"/>
              </w:rPr>
              <w:t>诉讼时效</w:t>
            </w:r>
          </w:p>
        </w:tc>
        <w:tc>
          <w:tcPr>
            <w:tcW w:w="7785" w:type="dxa"/>
          </w:tcPr>
          <w:p>
            <w:pPr>
              <w:pStyle w:val="TableParagraph"/>
              <w:spacing w:line="273" w:lineRule="auto" w:before="142"/>
              <w:ind w:left="102" w:right="48" w:firstLine="360"/>
              <w:rPr>
                <w:sz w:val="21"/>
              </w:rPr>
            </w:pPr>
            <w:r>
              <w:rPr>
                <w:sz w:val="21"/>
              </w:rPr>
              <w:t>受益人向本公司请求给付保险金的诉讼时效期间为 2 年，自其知道或者应当知道保险事故发生之日起计算。</w:t>
            </w:r>
          </w:p>
        </w:tc>
      </w:tr>
      <w:tr>
        <w:trPr>
          <w:trHeight w:val="754" w:hRule="atLeast"/>
        </w:trPr>
        <w:tc>
          <w:tcPr>
            <w:tcW w:w="911" w:type="dxa"/>
            <w:tcBorders>
              <w:bottom w:val="single" w:sz="4" w:space="0" w:color="000000"/>
            </w:tcBorders>
          </w:tcPr>
          <w:p>
            <w:pPr>
              <w:pStyle w:val="TableParagraph"/>
              <w:spacing w:before="194"/>
              <w:ind w:left="141"/>
              <w:rPr>
                <w:rFonts w:ascii="Arial" w:hAnsi="Arial"/>
                <w:b/>
                <w:sz w:val="40"/>
              </w:rPr>
            </w:pPr>
            <w:r>
              <w:rPr>
                <w:rFonts w:ascii="Arial" w:hAnsi="Arial"/>
                <w:b/>
                <w:w w:val="119"/>
                <w:sz w:val="40"/>
              </w:rPr>
              <w:t></w:t>
            </w:r>
          </w:p>
        </w:tc>
        <w:tc>
          <w:tcPr>
            <w:tcW w:w="1274" w:type="dxa"/>
            <w:tcBorders>
              <w:bottom w:val="single" w:sz="4" w:space="0" w:color="000000"/>
            </w:tcBorders>
          </w:tcPr>
          <w:p>
            <w:pPr>
              <w:pStyle w:val="TableParagraph"/>
              <w:spacing w:before="174"/>
              <w:ind w:left="241"/>
              <w:rPr>
                <w:rFonts w:ascii="微软雅黑" w:eastAsia="微软雅黑" w:hint="eastAsia"/>
                <w:b/>
                <w:sz w:val="24"/>
              </w:rPr>
            </w:pPr>
            <w:r>
              <w:rPr>
                <w:rFonts w:ascii="微软雅黑" w:eastAsia="微软雅黑" w:hint="eastAsia"/>
                <w:b/>
                <w:sz w:val="24"/>
              </w:rPr>
              <w:t>释义</w:t>
            </w:r>
          </w:p>
        </w:tc>
        <w:tc>
          <w:tcPr>
            <w:tcW w:w="7785" w:type="dxa"/>
            <w:tcBorders>
              <w:bottom w:val="single" w:sz="4" w:space="0" w:color="000000"/>
            </w:tcBorders>
          </w:tcPr>
          <w:p>
            <w:pPr>
              <w:pStyle w:val="TableParagraph"/>
              <w:ind w:left="0"/>
              <w:rPr>
                <w:rFonts w:ascii="Times New Roman"/>
                <w:sz w:val="20"/>
              </w:rPr>
            </w:pPr>
          </w:p>
        </w:tc>
      </w:tr>
      <w:tr>
        <w:trPr>
          <w:trHeight w:val="1716" w:hRule="atLeast"/>
        </w:trPr>
        <w:tc>
          <w:tcPr>
            <w:tcW w:w="911" w:type="dxa"/>
            <w:tcBorders>
              <w:top w:val="single" w:sz="4" w:space="0" w:color="000000"/>
            </w:tcBorders>
          </w:tcPr>
          <w:p>
            <w:pPr>
              <w:pStyle w:val="TableParagraph"/>
              <w:spacing w:before="6"/>
              <w:ind w:left="0"/>
              <w:rPr>
                <w:rFonts w:ascii="Times New Roman"/>
                <w:sz w:val="20"/>
              </w:rPr>
            </w:pPr>
          </w:p>
          <w:p>
            <w:pPr>
              <w:pStyle w:val="TableParagraph"/>
              <w:spacing w:before="1"/>
              <w:ind w:left="141"/>
              <w:rPr>
                <w:rFonts w:ascii="微软雅黑"/>
                <w:b/>
                <w:sz w:val="21"/>
              </w:rPr>
            </w:pPr>
            <w:r>
              <w:rPr>
                <w:rFonts w:ascii="微软雅黑"/>
                <w:b/>
                <w:w w:val="81"/>
                <w:sz w:val="21"/>
              </w:rPr>
              <w:t>5</w:t>
            </w:r>
            <w:r>
              <w:rPr>
                <w:rFonts w:ascii="微软雅黑"/>
                <w:b/>
                <w:w w:val="176"/>
                <w:sz w:val="21"/>
              </w:rPr>
              <w:t>.</w:t>
            </w:r>
            <w:r>
              <w:rPr>
                <w:rFonts w:ascii="微软雅黑"/>
                <w:b/>
                <w:w w:val="81"/>
                <w:sz w:val="21"/>
              </w:rPr>
              <w:t>1</w:t>
            </w:r>
          </w:p>
        </w:tc>
        <w:tc>
          <w:tcPr>
            <w:tcW w:w="1274" w:type="dxa"/>
            <w:tcBorders>
              <w:top w:val="single" w:sz="4" w:space="0" w:color="000000"/>
            </w:tcBorders>
          </w:tcPr>
          <w:p>
            <w:pPr>
              <w:pStyle w:val="TableParagraph"/>
              <w:spacing w:before="6"/>
              <w:ind w:left="0"/>
              <w:rPr>
                <w:rFonts w:ascii="Times New Roman"/>
                <w:sz w:val="20"/>
              </w:rPr>
            </w:pPr>
          </w:p>
          <w:p>
            <w:pPr>
              <w:pStyle w:val="TableParagraph"/>
              <w:spacing w:before="1"/>
              <w:ind w:left="241"/>
              <w:rPr>
                <w:rFonts w:ascii="微软雅黑" w:eastAsia="微软雅黑" w:hint="eastAsia"/>
                <w:b/>
                <w:sz w:val="21"/>
              </w:rPr>
            </w:pPr>
            <w:r>
              <w:rPr>
                <w:rFonts w:ascii="微软雅黑" w:eastAsia="微软雅黑" w:hint="eastAsia"/>
                <w:b/>
                <w:sz w:val="21"/>
              </w:rPr>
              <w:t>现金价值</w:t>
            </w:r>
          </w:p>
        </w:tc>
        <w:tc>
          <w:tcPr>
            <w:tcW w:w="7785" w:type="dxa"/>
            <w:tcBorders>
              <w:top w:val="single" w:sz="4" w:space="0" w:color="000000"/>
            </w:tcBorders>
          </w:tcPr>
          <w:p>
            <w:pPr>
              <w:pStyle w:val="TableParagraph"/>
              <w:ind w:left="0"/>
              <w:rPr>
                <w:rFonts w:ascii="Times New Roman"/>
                <w:sz w:val="26"/>
              </w:rPr>
            </w:pPr>
          </w:p>
          <w:p>
            <w:pPr>
              <w:pStyle w:val="TableParagraph"/>
              <w:spacing w:line="273" w:lineRule="auto"/>
              <w:ind w:left="157" w:right="138" w:firstLine="420"/>
              <w:rPr>
                <w:sz w:val="21"/>
              </w:rPr>
            </w:pPr>
            <w:r>
              <w:rPr>
                <w:spacing w:val="-8"/>
                <w:sz w:val="21"/>
              </w:rPr>
              <w:t>指保险单所具有的价值，通常体现为解除合同时，根据精算原理计算的，由本</w:t>
            </w:r>
            <w:r>
              <w:rPr>
                <w:spacing w:val="-5"/>
                <w:sz w:val="21"/>
              </w:rPr>
              <w:t>公司退还的那部分金额。现金价值计算公式如下：</w:t>
            </w:r>
          </w:p>
          <w:p>
            <w:pPr>
              <w:pStyle w:val="TableParagraph"/>
              <w:spacing w:line="256" w:lineRule="auto" w:before="7"/>
              <w:ind w:left="157" w:right="83" w:firstLine="420"/>
              <w:rPr>
                <w:sz w:val="21"/>
              </w:rPr>
            </w:pPr>
            <w:r>
              <w:rPr>
                <w:sz w:val="21"/>
              </w:rPr>
              <w:t>现金价值＝保险费×（1-35%）×（本合同约定的保险期间剩余的天数</w:t>
            </w:r>
            <w:r>
              <w:rPr>
                <w:rFonts w:ascii="Times New Roman" w:hAnsi="Times New Roman" w:eastAsia="Times New Roman"/>
                <w:sz w:val="21"/>
              </w:rPr>
              <w:t>/</w:t>
            </w:r>
            <w:r>
              <w:rPr>
                <w:sz w:val="21"/>
              </w:rPr>
              <w:t>本合同约定的保险期间对应的天数）</w:t>
            </w:r>
          </w:p>
        </w:tc>
      </w:tr>
      <w:tr>
        <w:trPr>
          <w:trHeight w:val="1248" w:hRule="atLeast"/>
        </w:trPr>
        <w:tc>
          <w:tcPr>
            <w:tcW w:w="911" w:type="dxa"/>
          </w:tcPr>
          <w:p>
            <w:pPr>
              <w:pStyle w:val="TableParagraph"/>
              <w:spacing w:before="80"/>
              <w:ind w:left="141"/>
              <w:rPr>
                <w:rFonts w:ascii="微软雅黑"/>
                <w:b/>
                <w:sz w:val="21"/>
              </w:rPr>
            </w:pPr>
            <w:r>
              <w:rPr>
                <w:rFonts w:ascii="微软雅黑"/>
                <w:b/>
                <w:sz w:val="21"/>
              </w:rPr>
              <w:t>5.2</w:t>
            </w:r>
          </w:p>
        </w:tc>
        <w:tc>
          <w:tcPr>
            <w:tcW w:w="1274" w:type="dxa"/>
          </w:tcPr>
          <w:p>
            <w:pPr>
              <w:pStyle w:val="TableParagraph"/>
              <w:spacing w:before="80"/>
              <w:ind w:left="241"/>
              <w:rPr>
                <w:rFonts w:ascii="微软雅黑" w:eastAsia="微软雅黑" w:hint="eastAsia"/>
                <w:b/>
                <w:sz w:val="21"/>
              </w:rPr>
            </w:pPr>
            <w:r>
              <w:rPr>
                <w:rFonts w:ascii="微软雅黑" w:eastAsia="微软雅黑" w:hint="eastAsia"/>
                <w:b/>
                <w:sz w:val="21"/>
              </w:rPr>
              <w:t>认可医院</w:t>
            </w:r>
          </w:p>
        </w:tc>
        <w:tc>
          <w:tcPr>
            <w:tcW w:w="7785" w:type="dxa"/>
          </w:tcPr>
          <w:p>
            <w:pPr>
              <w:pStyle w:val="TableParagraph"/>
              <w:spacing w:line="273" w:lineRule="auto" w:before="142"/>
              <w:ind w:left="157" w:right="133" w:firstLine="420"/>
              <w:rPr>
                <w:sz w:val="21"/>
              </w:rPr>
            </w:pPr>
            <w:r>
              <w:rPr>
                <w:spacing w:val="-9"/>
                <w:sz w:val="21"/>
              </w:rPr>
              <w:t>指二级及以上非盈利性医院、二级及以上社保定点医院或本公司认可的其他医</w:t>
            </w:r>
            <w:r>
              <w:rPr>
                <w:spacing w:val="-5"/>
                <w:sz w:val="21"/>
              </w:rPr>
              <w:t>院，认可医院目录可咨询本公司全国客户服务电话或登陆本公司主页</w:t>
            </w:r>
          </w:p>
          <w:p>
            <w:pPr>
              <w:pStyle w:val="TableParagraph"/>
              <w:spacing w:before="7"/>
              <w:ind w:left="157"/>
              <w:rPr>
                <w:sz w:val="21"/>
              </w:rPr>
            </w:pPr>
            <w:hyperlink r:id="rId11">
              <w:r>
                <w:rPr>
                  <w:sz w:val="21"/>
                </w:rPr>
                <w:t>（www.tianan-life.com</w:t>
              </w:r>
            </w:hyperlink>
            <w:r>
              <w:rPr>
                <w:sz w:val="21"/>
              </w:rPr>
              <w:t>）查询。</w:t>
            </w:r>
          </w:p>
        </w:tc>
      </w:tr>
      <w:tr>
        <w:trPr>
          <w:trHeight w:val="1541" w:hRule="atLeast"/>
        </w:trPr>
        <w:tc>
          <w:tcPr>
            <w:tcW w:w="911" w:type="dxa"/>
          </w:tcPr>
          <w:p>
            <w:pPr>
              <w:pStyle w:val="TableParagraph"/>
              <w:spacing w:before="80"/>
              <w:ind w:left="141"/>
              <w:rPr>
                <w:rFonts w:ascii="微软雅黑"/>
                <w:b/>
                <w:sz w:val="21"/>
              </w:rPr>
            </w:pPr>
            <w:r>
              <w:rPr>
                <w:rFonts w:ascii="微软雅黑"/>
                <w:b/>
                <w:w w:val="81"/>
                <w:sz w:val="21"/>
              </w:rPr>
              <w:t>5</w:t>
            </w:r>
            <w:r>
              <w:rPr>
                <w:rFonts w:ascii="微软雅黑"/>
                <w:b/>
                <w:w w:val="176"/>
                <w:sz w:val="21"/>
              </w:rPr>
              <w:t>.</w:t>
            </w:r>
            <w:r>
              <w:rPr>
                <w:rFonts w:ascii="微软雅黑"/>
                <w:b/>
                <w:w w:val="81"/>
                <w:sz w:val="21"/>
              </w:rPr>
              <w:t>3</w:t>
            </w:r>
          </w:p>
        </w:tc>
        <w:tc>
          <w:tcPr>
            <w:tcW w:w="1274" w:type="dxa"/>
          </w:tcPr>
          <w:p>
            <w:pPr>
              <w:pStyle w:val="TableParagraph"/>
              <w:spacing w:before="80"/>
              <w:ind w:left="241"/>
              <w:rPr>
                <w:rFonts w:ascii="微软雅黑" w:eastAsia="微软雅黑" w:hint="eastAsia"/>
                <w:b/>
                <w:sz w:val="21"/>
              </w:rPr>
            </w:pPr>
            <w:r>
              <w:rPr>
                <w:rFonts w:ascii="微软雅黑" w:eastAsia="微软雅黑" w:hint="eastAsia"/>
                <w:b/>
                <w:sz w:val="21"/>
              </w:rPr>
              <w:t>专科医生</w:t>
            </w:r>
          </w:p>
        </w:tc>
        <w:tc>
          <w:tcPr>
            <w:tcW w:w="7785" w:type="dxa"/>
          </w:tcPr>
          <w:p>
            <w:pPr>
              <w:pStyle w:val="TableParagraph"/>
              <w:spacing w:line="273" w:lineRule="auto" w:before="143"/>
              <w:ind w:left="157" w:right="133" w:firstLine="420"/>
              <w:jc w:val="both"/>
              <w:rPr>
                <w:sz w:val="21"/>
              </w:rPr>
            </w:pPr>
            <w:r>
              <w:rPr>
                <w:spacing w:val="-3"/>
                <w:w w:val="100"/>
                <w:sz w:val="21"/>
              </w:rPr>
              <w:t>专科医生应当同时满足以下四项资格条件</w:t>
            </w:r>
            <w:r>
              <w:rPr>
                <w:spacing w:val="-202"/>
                <w:w w:val="100"/>
                <w:sz w:val="21"/>
              </w:rPr>
              <w:t>：</w:t>
            </w:r>
            <w:r>
              <w:rPr>
                <w:w w:val="100"/>
                <w:sz w:val="21"/>
              </w:rPr>
              <w:t>（</w:t>
            </w:r>
            <w:r>
              <w:rPr>
                <w:spacing w:val="-3"/>
                <w:w w:val="100"/>
                <w:sz w:val="21"/>
              </w:rPr>
              <w:t>1</w:t>
            </w:r>
            <w:r>
              <w:rPr>
                <w:spacing w:val="-94"/>
                <w:w w:val="100"/>
                <w:sz w:val="21"/>
              </w:rPr>
              <w:t>）</w:t>
            </w:r>
            <w:r>
              <w:rPr>
                <w:spacing w:val="-11"/>
                <w:w w:val="100"/>
                <w:sz w:val="21"/>
              </w:rPr>
              <w:t>具有有效的中华人民共和国《医</w:t>
            </w:r>
            <w:r>
              <w:rPr>
                <w:spacing w:val="-39"/>
                <w:w w:val="100"/>
                <w:sz w:val="21"/>
              </w:rPr>
              <w:t>师资格证书》；</w:t>
            </w:r>
            <w:r>
              <w:rPr>
                <w:w w:val="100"/>
                <w:sz w:val="21"/>
              </w:rPr>
              <w:t>（</w:t>
            </w:r>
            <w:r>
              <w:rPr>
                <w:spacing w:val="-3"/>
                <w:w w:val="100"/>
                <w:sz w:val="21"/>
              </w:rPr>
              <w:t>2</w:t>
            </w:r>
            <w:r>
              <w:rPr>
                <w:spacing w:val="-20"/>
                <w:w w:val="100"/>
                <w:sz w:val="21"/>
              </w:rPr>
              <w:t>）</w:t>
            </w:r>
            <w:r>
              <w:rPr>
                <w:spacing w:val="-12"/>
                <w:w w:val="100"/>
                <w:sz w:val="21"/>
              </w:rPr>
              <w:t>具有有效的中华人民共和国《医师执业证书》，并按期到相关部</w:t>
            </w:r>
            <w:r>
              <w:rPr>
                <w:spacing w:val="-28"/>
                <w:w w:val="100"/>
                <w:sz w:val="21"/>
              </w:rPr>
              <w:t>门登记注册；</w:t>
            </w:r>
            <w:r>
              <w:rPr>
                <w:spacing w:val="-3"/>
                <w:w w:val="100"/>
                <w:sz w:val="21"/>
              </w:rPr>
              <w:t>（3</w:t>
            </w:r>
            <w:r>
              <w:rPr>
                <w:spacing w:val="-24"/>
                <w:w w:val="100"/>
                <w:sz w:val="21"/>
              </w:rPr>
              <w:t>）</w:t>
            </w:r>
            <w:r>
              <w:rPr>
                <w:spacing w:val="-4"/>
                <w:w w:val="100"/>
                <w:sz w:val="21"/>
              </w:rPr>
              <w:t>具有有效的中华人民共和国主治医师或主治医师以上职称的《医</w:t>
            </w:r>
            <w:r>
              <w:rPr>
                <w:spacing w:val="-34"/>
                <w:w w:val="100"/>
                <w:sz w:val="21"/>
              </w:rPr>
              <w:t>师职称证书》；</w:t>
            </w:r>
            <w:r>
              <w:rPr>
                <w:spacing w:val="-3"/>
                <w:w w:val="100"/>
                <w:sz w:val="21"/>
              </w:rPr>
              <w:t>（</w:t>
            </w:r>
            <w:r>
              <w:rPr>
                <w:w w:val="100"/>
                <w:sz w:val="21"/>
              </w:rPr>
              <w:t>4</w:t>
            </w:r>
            <w:r>
              <w:rPr>
                <w:spacing w:val="-3"/>
                <w:w w:val="100"/>
                <w:sz w:val="21"/>
              </w:rPr>
              <w:t>）在二级或二级以上医院的相应科室从事临床工作三年以上。</w:t>
            </w:r>
          </w:p>
        </w:tc>
      </w:tr>
      <w:tr>
        <w:trPr>
          <w:trHeight w:val="1197" w:hRule="atLeast"/>
        </w:trPr>
        <w:tc>
          <w:tcPr>
            <w:tcW w:w="911" w:type="dxa"/>
          </w:tcPr>
          <w:p>
            <w:pPr>
              <w:pStyle w:val="TableParagraph"/>
              <w:spacing w:before="61"/>
              <w:ind w:left="141"/>
              <w:rPr>
                <w:rFonts w:ascii="微软雅黑"/>
                <w:b/>
                <w:sz w:val="21"/>
              </w:rPr>
            </w:pPr>
            <w:r>
              <w:rPr>
                <w:rFonts w:ascii="微软雅黑"/>
                <w:b/>
                <w:w w:val="81"/>
                <w:sz w:val="21"/>
              </w:rPr>
              <w:t>5</w:t>
            </w:r>
            <w:r>
              <w:rPr>
                <w:rFonts w:ascii="微软雅黑"/>
                <w:b/>
                <w:w w:val="176"/>
                <w:sz w:val="21"/>
              </w:rPr>
              <w:t>.</w:t>
            </w:r>
            <w:r>
              <w:rPr>
                <w:rFonts w:ascii="微软雅黑"/>
                <w:b/>
                <w:w w:val="81"/>
                <w:sz w:val="21"/>
              </w:rPr>
              <w:t>4</w:t>
            </w:r>
          </w:p>
        </w:tc>
        <w:tc>
          <w:tcPr>
            <w:tcW w:w="1274" w:type="dxa"/>
          </w:tcPr>
          <w:p>
            <w:pPr>
              <w:pStyle w:val="TableParagraph"/>
              <w:spacing w:line="206" w:lineRule="auto" w:before="111"/>
              <w:ind w:left="241" w:right="99"/>
              <w:jc w:val="both"/>
              <w:rPr>
                <w:rFonts w:ascii="微软雅黑" w:eastAsia="微软雅黑" w:hint="eastAsia"/>
                <w:b/>
                <w:sz w:val="21"/>
              </w:rPr>
            </w:pPr>
            <w:r>
              <w:rPr>
                <w:rFonts w:ascii="微软雅黑" w:eastAsia="微软雅黑" w:hint="eastAsia"/>
                <w:b/>
                <w:sz w:val="21"/>
              </w:rPr>
              <w:t>本合同所指的重大疾病</w:t>
            </w:r>
          </w:p>
        </w:tc>
        <w:tc>
          <w:tcPr>
            <w:tcW w:w="7785" w:type="dxa"/>
          </w:tcPr>
          <w:p>
            <w:pPr>
              <w:pStyle w:val="TableParagraph"/>
              <w:spacing w:line="273" w:lineRule="auto" w:before="123"/>
              <w:ind w:left="157" w:right="135" w:firstLine="420"/>
              <w:rPr>
                <w:sz w:val="21"/>
              </w:rPr>
            </w:pPr>
            <w:r>
              <w:rPr>
                <w:spacing w:val="-8"/>
                <w:sz w:val="21"/>
              </w:rPr>
              <w:t>本合同所指的重大疾病，是指被保险人发生符合以下定义所述条件的疾病、疾</w:t>
            </w:r>
            <w:r>
              <w:rPr>
                <w:spacing w:val="-5"/>
                <w:sz w:val="21"/>
              </w:rPr>
              <w:t>病状态或手术，共计十五种。重大疾病的名称及定义如下：</w:t>
            </w:r>
          </w:p>
        </w:tc>
      </w:tr>
      <w:tr>
        <w:trPr>
          <w:trHeight w:val="931" w:hRule="atLeast"/>
        </w:trPr>
        <w:tc>
          <w:tcPr>
            <w:tcW w:w="911" w:type="dxa"/>
          </w:tcPr>
          <w:p>
            <w:pPr>
              <w:pStyle w:val="TableParagraph"/>
              <w:spacing w:before="70"/>
              <w:ind w:left="141"/>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11"/>
                <w:sz w:val="21"/>
              </w:rPr>
              <w:t>.1</w:t>
            </w:r>
          </w:p>
        </w:tc>
        <w:tc>
          <w:tcPr>
            <w:tcW w:w="1274" w:type="dxa"/>
          </w:tcPr>
          <w:p>
            <w:pPr>
              <w:pStyle w:val="TableParagraph"/>
              <w:spacing w:before="70"/>
              <w:ind w:left="241"/>
              <w:rPr>
                <w:rFonts w:ascii="微软雅黑" w:eastAsia="微软雅黑" w:hint="eastAsia"/>
                <w:b/>
                <w:sz w:val="21"/>
              </w:rPr>
            </w:pPr>
            <w:r>
              <w:rPr>
                <w:rFonts w:ascii="微软雅黑" w:eastAsia="微软雅黑" w:hint="eastAsia"/>
                <w:b/>
                <w:sz w:val="21"/>
              </w:rPr>
              <w:t>恶性肿瘤</w:t>
            </w:r>
          </w:p>
        </w:tc>
        <w:tc>
          <w:tcPr>
            <w:tcW w:w="7785" w:type="dxa"/>
          </w:tcPr>
          <w:p>
            <w:pPr>
              <w:pStyle w:val="TableParagraph"/>
              <w:spacing w:line="274" w:lineRule="exact" w:before="111"/>
              <w:ind w:left="577"/>
              <w:rPr>
                <w:sz w:val="21"/>
              </w:rPr>
            </w:pPr>
            <w:r>
              <w:rPr>
                <w:sz w:val="21"/>
              </w:rPr>
              <w:t>指恶性细胞不受控制的进行性增长和扩散，浸润和破坏周围正常组织，可以经</w:t>
            </w:r>
          </w:p>
          <w:p>
            <w:pPr>
              <w:pStyle w:val="TableParagraph"/>
              <w:spacing w:line="272" w:lineRule="exact" w:before="27"/>
              <w:ind w:left="157" w:right="27"/>
              <w:rPr>
                <w:sz w:val="21"/>
              </w:rPr>
            </w:pPr>
            <w:r>
              <w:rPr>
                <w:spacing w:val="-16"/>
                <w:sz w:val="21"/>
              </w:rPr>
              <w:t>血管、淋巴管和体腔扩散转移到身体其他部位的疾病。经病理学检查结果明确诊断， </w:t>
            </w:r>
            <w:r>
              <w:rPr>
                <w:spacing w:val="-7"/>
                <w:sz w:val="21"/>
              </w:rPr>
              <w:t>临床诊断属于世界卫生组织《疾病和有关健康问题的国际统计分类》</w:t>
            </w:r>
            <w:r>
              <w:rPr>
                <w:sz w:val="21"/>
              </w:rPr>
              <w:t>（ICD-10）的</w:t>
            </w:r>
          </w:p>
        </w:tc>
      </w:tr>
    </w:tbl>
    <w:p>
      <w:pPr>
        <w:spacing w:after="0" w:line="272" w:lineRule="exact"/>
        <w:rPr>
          <w:sz w:val="21"/>
        </w:rPr>
        <w:sectPr>
          <w:headerReference w:type="default" r:id="rId10"/>
          <w:pgSz w:w="11910" w:h="16840"/>
          <w:pgMar w:header="857" w:footer="992" w:top="1040" w:bottom="1180" w:left="860" w:right="860"/>
        </w:sectPr>
      </w:pPr>
    </w:p>
    <w:p>
      <w:pPr>
        <w:pStyle w:val="BodyText"/>
        <w:spacing w:before="6"/>
        <w:rPr>
          <w:rFonts w:ascii="Times New Roman"/>
          <w:sz w:val="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70"/>
        <w:gridCol w:w="1302"/>
        <w:gridCol w:w="7927"/>
      </w:tblGrid>
      <w:tr>
        <w:trPr>
          <w:trHeight w:val="2924" w:hRule="atLeast"/>
        </w:trPr>
        <w:tc>
          <w:tcPr>
            <w:tcW w:w="970" w:type="dxa"/>
            <w:tcBorders>
              <w:top w:val="single" w:sz="18" w:space="0" w:color="000000"/>
            </w:tcBorders>
          </w:tcPr>
          <w:p>
            <w:pPr>
              <w:pStyle w:val="TableParagraph"/>
              <w:ind w:left="0"/>
              <w:rPr>
                <w:rFonts w:ascii="Times New Roman"/>
                <w:sz w:val="20"/>
              </w:rPr>
            </w:pPr>
          </w:p>
        </w:tc>
        <w:tc>
          <w:tcPr>
            <w:tcW w:w="1302" w:type="dxa"/>
            <w:tcBorders>
              <w:top w:val="single" w:sz="18" w:space="0" w:color="000000"/>
            </w:tcBorders>
          </w:tcPr>
          <w:p>
            <w:pPr>
              <w:pStyle w:val="TableParagraph"/>
              <w:ind w:left="0"/>
              <w:rPr>
                <w:rFonts w:ascii="Times New Roman"/>
                <w:sz w:val="20"/>
              </w:rPr>
            </w:pPr>
          </w:p>
        </w:tc>
        <w:tc>
          <w:tcPr>
            <w:tcW w:w="7927" w:type="dxa"/>
            <w:tcBorders>
              <w:top w:val="single" w:sz="18" w:space="0" w:color="000000"/>
            </w:tcBorders>
          </w:tcPr>
          <w:p>
            <w:pPr>
              <w:pStyle w:val="TableParagraph"/>
              <w:spacing w:before="3"/>
              <w:ind w:left="0"/>
              <w:rPr>
                <w:rFonts w:ascii="Times New Roman"/>
                <w:sz w:val="21"/>
              </w:rPr>
            </w:pPr>
          </w:p>
          <w:p>
            <w:pPr>
              <w:pStyle w:val="TableParagraph"/>
              <w:spacing w:line="265" w:lineRule="exact"/>
              <w:rPr>
                <w:sz w:val="21"/>
              </w:rPr>
            </w:pPr>
            <w:r>
              <w:rPr>
                <w:sz w:val="21"/>
              </w:rPr>
              <w:t>恶性肿瘤范畴。</w:t>
            </w:r>
          </w:p>
          <w:p>
            <w:pPr>
              <w:pStyle w:val="TableParagraph"/>
              <w:spacing w:line="332" w:lineRule="exact"/>
              <w:ind w:left="551"/>
              <w:rPr>
                <w:rFonts w:ascii="微软雅黑" w:eastAsia="微软雅黑" w:hint="eastAsia"/>
                <w:b/>
                <w:sz w:val="21"/>
              </w:rPr>
            </w:pPr>
            <w:r>
              <w:rPr>
                <w:rFonts w:ascii="微软雅黑" w:eastAsia="微软雅黑" w:hint="eastAsia"/>
                <w:b/>
                <w:sz w:val="21"/>
              </w:rPr>
              <w:t>下列疾病不在保障范围内：</w:t>
            </w:r>
          </w:p>
          <w:p>
            <w:pPr>
              <w:pStyle w:val="TableParagraph"/>
              <w:spacing w:line="320" w:lineRule="exact"/>
              <w:ind w:left="551"/>
              <w:rPr>
                <w:rFonts w:ascii="微软雅黑" w:eastAsia="微软雅黑" w:hint="eastAsia"/>
                <w:b/>
                <w:sz w:val="21"/>
              </w:rPr>
            </w:pPr>
            <w:r>
              <w:rPr>
                <w:rFonts w:ascii="微软雅黑" w:eastAsia="微软雅黑" w:hint="eastAsia"/>
                <w:b/>
                <w:sz w:val="21"/>
              </w:rPr>
              <w:t>(1)原位癌；</w:t>
            </w:r>
          </w:p>
          <w:p>
            <w:pPr>
              <w:pStyle w:val="TableParagraph"/>
              <w:spacing w:line="319" w:lineRule="exact"/>
              <w:ind w:left="551"/>
              <w:rPr>
                <w:rFonts w:ascii="微软雅黑" w:eastAsia="微软雅黑" w:hint="eastAsia"/>
                <w:b/>
                <w:sz w:val="21"/>
              </w:rPr>
            </w:pPr>
            <w:r>
              <w:rPr>
                <w:rFonts w:ascii="微软雅黑" w:eastAsia="微软雅黑" w:hint="eastAsia"/>
                <w:b/>
                <w:sz w:val="21"/>
              </w:rPr>
              <w:t>(2)相当于 Binet 分期方案 A 期程度的慢性淋巴细胞白血病；</w:t>
            </w:r>
          </w:p>
          <w:p>
            <w:pPr>
              <w:pStyle w:val="TableParagraph"/>
              <w:spacing w:line="320" w:lineRule="exact"/>
              <w:ind w:left="551"/>
              <w:rPr>
                <w:rFonts w:ascii="微软雅黑" w:eastAsia="微软雅黑" w:hint="eastAsia"/>
                <w:b/>
                <w:sz w:val="21"/>
              </w:rPr>
            </w:pPr>
            <w:r>
              <w:rPr>
                <w:rFonts w:ascii="微软雅黑" w:eastAsia="微软雅黑" w:hint="eastAsia"/>
                <w:b/>
                <w:sz w:val="21"/>
              </w:rPr>
              <w:t>(3)相当于 Ann Arbor 分期方案 </w:t>
            </w:r>
            <w:r>
              <w:rPr>
                <w:rFonts w:ascii="微软雅黑" w:eastAsia="微软雅黑" w:hint="eastAsia"/>
                <w:b/>
                <w:w w:val="120"/>
                <w:sz w:val="21"/>
              </w:rPr>
              <w:t>I </w:t>
            </w:r>
            <w:r>
              <w:rPr>
                <w:rFonts w:ascii="微软雅黑" w:eastAsia="微软雅黑" w:hint="eastAsia"/>
                <w:b/>
                <w:sz w:val="21"/>
              </w:rPr>
              <w:t>期程度的何杰金氏病；</w:t>
            </w:r>
          </w:p>
          <w:p>
            <w:pPr>
              <w:pStyle w:val="TableParagraph"/>
              <w:spacing w:line="320" w:lineRule="exact"/>
              <w:ind w:left="551"/>
              <w:rPr>
                <w:rFonts w:ascii="微软雅黑" w:eastAsia="微软雅黑" w:hint="eastAsia"/>
                <w:b/>
                <w:sz w:val="21"/>
              </w:rPr>
            </w:pPr>
            <w:r>
              <w:rPr>
                <w:rFonts w:ascii="微软雅黑" w:eastAsia="微软雅黑" w:hint="eastAsia"/>
                <w:b/>
                <w:sz w:val="21"/>
              </w:rPr>
              <w:t>(4)皮肤癌（不包括恶性黑色素瘤及已发生转移的皮肤癌）；</w:t>
            </w:r>
          </w:p>
          <w:p>
            <w:pPr>
              <w:pStyle w:val="TableParagraph"/>
              <w:spacing w:line="268" w:lineRule="exact"/>
              <w:ind w:left="551"/>
              <w:rPr>
                <w:rFonts w:ascii="微软雅黑" w:eastAsia="微软雅黑" w:hint="eastAsia"/>
                <w:b/>
                <w:sz w:val="21"/>
              </w:rPr>
            </w:pPr>
            <w:r>
              <w:rPr>
                <w:rFonts w:ascii="微软雅黑" w:eastAsia="微软雅黑" w:hint="eastAsia"/>
                <w:b/>
                <w:w w:val="108"/>
                <w:sz w:val="21"/>
              </w:rPr>
              <w:t>(5)</w:t>
            </w:r>
            <w:r>
              <w:rPr>
                <w:rFonts w:ascii="微软雅黑" w:eastAsia="微软雅黑" w:hint="eastAsia"/>
                <w:b/>
                <w:w w:val="68"/>
                <w:sz w:val="21"/>
              </w:rPr>
              <w:t>T</w:t>
            </w:r>
            <w:r>
              <w:rPr>
                <w:rFonts w:ascii="微软雅黑" w:eastAsia="微软雅黑" w:hint="eastAsia"/>
                <w:b/>
                <w:spacing w:val="1"/>
                <w:w w:val="68"/>
                <w:sz w:val="21"/>
              </w:rPr>
              <w:t>N</w:t>
            </w:r>
            <w:r>
              <w:rPr>
                <w:rFonts w:ascii="微软雅黑" w:eastAsia="微软雅黑" w:hint="eastAsia"/>
                <w:b/>
                <w:w w:val="48"/>
                <w:sz w:val="21"/>
              </w:rPr>
              <w:t>M</w:t>
            </w:r>
            <w:r>
              <w:rPr>
                <w:rFonts w:ascii="微软雅黑" w:eastAsia="微软雅黑" w:hint="eastAsia"/>
                <w:b/>
                <w:spacing w:val="-9"/>
                <w:sz w:val="21"/>
              </w:rPr>
              <w:t> </w:t>
            </w:r>
            <w:r>
              <w:rPr>
                <w:rFonts w:ascii="微软雅黑" w:eastAsia="微软雅黑" w:hint="eastAsia"/>
                <w:b/>
                <w:w w:val="100"/>
                <w:sz w:val="21"/>
              </w:rPr>
              <w:t>分期为</w:t>
            </w:r>
            <w:r>
              <w:rPr>
                <w:rFonts w:ascii="微软雅黑" w:eastAsia="微软雅黑" w:hint="eastAsia"/>
                <w:b/>
                <w:spacing w:val="-10"/>
                <w:sz w:val="21"/>
              </w:rPr>
              <w:t> </w:t>
            </w:r>
            <w:r>
              <w:rPr>
                <w:rFonts w:ascii="微软雅黑" w:eastAsia="微软雅黑" w:hint="eastAsia"/>
                <w:b/>
                <w:w w:val="80"/>
                <w:sz w:val="21"/>
              </w:rPr>
              <w:t>T</w:t>
            </w:r>
            <w:r>
              <w:rPr>
                <w:rFonts w:ascii="微软雅黑" w:eastAsia="微软雅黑" w:hint="eastAsia"/>
                <w:b/>
                <w:spacing w:val="-8"/>
                <w:sz w:val="21"/>
              </w:rPr>
              <w:t> </w:t>
            </w:r>
            <w:r>
              <w:rPr>
                <w:rFonts w:ascii="微软雅黑" w:eastAsia="微软雅黑" w:hint="eastAsia"/>
                <w:b/>
                <w:w w:val="59"/>
                <w:sz w:val="21"/>
              </w:rPr>
              <w:t>N</w:t>
            </w:r>
            <w:r>
              <w:rPr>
                <w:rFonts w:ascii="微软雅黑" w:eastAsia="微软雅黑" w:hint="eastAsia"/>
                <w:b/>
                <w:spacing w:val="-8"/>
                <w:sz w:val="21"/>
              </w:rPr>
              <w:t> </w:t>
            </w:r>
            <w:r>
              <w:rPr>
                <w:rFonts w:ascii="微软雅黑" w:eastAsia="微软雅黑" w:hint="eastAsia"/>
                <w:b/>
                <w:w w:val="48"/>
                <w:sz w:val="21"/>
              </w:rPr>
              <w:t>M</w:t>
            </w:r>
            <w:r>
              <w:rPr>
                <w:rFonts w:ascii="微软雅黑" w:eastAsia="微软雅黑" w:hint="eastAsia"/>
                <w:b/>
                <w:spacing w:val="20"/>
                <w:sz w:val="21"/>
              </w:rPr>
              <w:t> </w:t>
            </w:r>
            <w:r>
              <w:rPr>
                <w:rFonts w:ascii="微软雅黑" w:eastAsia="微软雅黑" w:hint="eastAsia"/>
                <w:b/>
                <w:spacing w:val="-3"/>
                <w:w w:val="100"/>
                <w:sz w:val="21"/>
              </w:rPr>
              <w:t>期或更轻分期的前列腺癌；</w:t>
            </w:r>
          </w:p>
          <w:p>
            <w:pPr>
              <w:pStyle w:val="TableParagraph"/>
              <w:spacing w:line="73" w:lineRule="exact"/>
              <w:ind w:left="2033"/>
              <w:rPr>
                <w:rFonts w:ascii="微软雅黑"/>
                <w:b/>
                <w:sz w:val="11"/>
              </w:rPr>
            </w:pPr>
            <w:r>
              <w:rPr>
                <w:rFonts w:ascii="微软雅黑"/>
                <w:b/>
                <w:w w:val="90"/>
                <w:sz w:val="11"/>
              </w:rPr>
              <w:t>1   0   0</w:t>
            </w:r>
          </w:p>
          <w:p>
            <w:pPr>
              <w:pStyle w:val="TableParagraph"/>
              <w:spacing w:line="319" w:lineRule="exact"/>
              <w:ind w:left="551"/>
              <w:rPr>
                <w:rFonts w:ascii="微软雅黑" w:eastAsia="微软雅黑" w:hint="eastAsia"/>
                <w:b/>
                <w:sz w:val="21"/>
              </w:rPr>
            </w:pPr>
            <w:r>
              <w:rPr>
                <w:rFonts w:ascii="微软雅黑" w:eastAsia="微软雅黑" w:hint="eastAsia"/>
                <w:b/>
                <w:sz w:val="21"/>
              </w:rPr>
              <w:t>(6)感染艾滋病病毒或患艾滋病期间所患恶性肿瘤。</w:t>
            </w:r>
          </w:p>
        </w:tc>
      </w:tr>
      <w:tr>
        <w:trPr>
          <w:trHeight w:val="1636" w:hRule="atLeast"/>
        </w:trPr>
        <w:tc>
          <w:tcPr>
            <w:tcW w:w="970" w:type="dxa"/>
          </w:tcPr>
          <w:p>
            <w:pPr>
              <w:pStyle w:val="TableParagraph"/>
              <w:spacing w:before="63"/>
              <w:ind w:left="181" w:right="220"/>
              <w:jc w:val="center"/>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w w:val="81"/>
                <w:sz w:val="21"/>
              </w:rPr>
              <w:t>2</w:t>
            </w:r>
          </w:p>
        </w:tc>
        <w:tc>
          <w:tcPr>
            <w:tcW w:w="1302" w:type="dxa"/>
          </w:tcPr>
          <w:p>
            <w:pPr>
              <w:pStyle w:val="TableParagraph"/>
              <w:spacing w:line="206" w:lineRule="auto" w:before="114"/>
              <w:ind w:left="240" w:right="129"/>
              <w:jc w:val="both"/>
              <w:rPr>
                <w:rFonts w:ascii="微软雅黑" w:eastAsia="微软雅黑" w:hint="eastAsia"/>
                <w:b/>
                <w:sz w:val="21"/>
              </w:rPr>
            </w:pPr>
            <w:r>
              <w:rPr>
                <w:rFonts w:ascii="微软雅黑" w:eastAsia="微软雅黑" w:hint="eastAsia"/>
                <w:b/>
                <w:sz w:val="21"/>
              </w:rPr>
              <w:t>重大器官移植术或造血干细胞移植术</w:t>
            </w:r>
          </w:p>
        </w:tc>
        <w:tc>
          <w:tcPr>
            <w:tcW w:w="7927" w:type="dxa"/>
          </w:tcPr>
          <w:p>
            <w:pPr>
              <w:pStyle w:val="TableParagraph"/>
              <w:spacing w:before="104"/>
              <w:ind w:right="308" w:firstLine="420"/>
              <w:jc w:val="both"/>
              <w:rPr>
                <w:sz w:val="21"/>
              </w:rPr>
            </w:pPr>
            <w:r>
              <w:rPr>
                <w:spacing w:val="-9"/>
                <w:sz w:val="21"/>
              </w:rPr>
              <w:t>重大器官移植术，指因相应器官功能衰竭，已经实施了肾脏、肝脏、心脏或肺</w:t>
            </w:r>
            <w:r>
              <w:rPr>
                <w:spacing w:val="-3"/>
                <w:sz w:val="21"/>
              </w:rPr>
              <w:t>脏的异体移植手术。</w:t>
            </w:r>
          </w:p>
          <w:p>
            <w:pPr>
              <w:pStyle w:val="TableParagraph"/>
              <w:spacing w:line="237" w:lineRule="auto"/>
              <w:ind w:right="306" w:firstLine="420"/>
              <w:jc w:val="both"/>
              <w:rPr>
                <w:sz w:val="21"/>
              </w:rPr>
            </w:pPr>
            <w:r>
              <w:rPr>
                <w:spacing w:val="-9"/>
                <w:sz w:val="21"/>
              </w:rPr>
              <w:t>造血干细胞移植术，指因造血功能损害或造血系统恶性肿瘤，已经实施了造血</w:t>
            </w:r>
            <w:r>
              <w:rPr>
                <w:spacing w:val="-15"/>
                <w:sz w:val="21"/>
              </w:rPr>
              <w:t>干细胞</w:t>
            </w:r>
            <w:r>
              <w:rPr>
                <w:spacing w:val="-3"/>
                <w:sz w:val="21"/>
              </w:rPr>
              <w:t>（</w:t>
            </w:r>
            <w:r>
              <w:rPr>
                <w:spacing w:val="-6"/>
                <w:sz w:val="21"/>
              </w:rPr>
              <w:t>包括骨髓造血干细胞、外周血造血干细胞和脐血造血干细胞</w:t>
            </w:r>
            <w:r>
              <w:rPr>
                <w:spacing w:val="-25"/>
                <w:sz w:val="21"/>
              </w:rPr>
              <w:t>）</w:t>
            </w:r>
            <w:r>
              <w:rPr>
                <w:spacing w:val="-2"/>
                <w:sz w:val="21"/>
              </w:rPr>
              <w:t>的异体移植手术。</w:t>
            </w:r>
          </w:p>
        </w:tc>
      </w:tr>
      <w:tr>
        <w:trPr>
          <w:trHeight w:val="1822" w:hRule="atLeast"/>
        </w:trPr>
        <w:tc>
          <w:tcPr>
            <w:tcW w:w="970" w:type="dxa"/>
          </w:tcPr>
          <w:p>
            <w:pPr>
              <w:pStyle w:val="TableParagraph"/>
              <w:spacing w:before="62"/>
              <w:ind w:left="181" w:right="220"/>
              <w:jc w:val="center"/>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w w:val="81"/>
                <w:sz w:val="21"/>
              </w:rPr>
              <w:t>3</w:t>
            </w:r>
          </w:p>
        </w:tc>
        <w:tc>
          <w:tcPr>
            <w:tcW w:w="1302" w:type="dxa"/>
          </w:tcPr>
          <w:p>
            <w:pPr>
              <w:pStyle w:val="TableParagraph"/>
              <w:spacing w:line="206" w:lineRule="auto" w:before="113"/>
              <w:ind w:left="240" w:right="129"/>
              <w:jc w:val="both"/>
              <w:rPr>
                <w:rFonts w:ascii="微软雅黑" w:eastAsia="微软雅黑" w:hint="eastAsia"/>
                <w:b/>
                <w:sz w:val="21"/>
              </w:rPr>
            </w:pPr>
            <w:r>
              <w:rPr>
                <w:rFonts w:ascii="微软雅黑" w:eastAsia="微软雅黑" w:hint="eastAsia"/>
                <w:b/>
                <w:sz w:val="21"/>
              </w:rPr>
              <w:t>终末期肾病（或称慢性肾功能衰竭尿毒症期）</w:t>
            </w:r>
          </w:p>
        </w:tc>
        <w:tc>
          <w:tcPr>
            <w:tcW w:w="7927" w:type="dxa"/>
          </w:tcPr>
          <w:p>
            <w:pPr>
              <w:pStyle w:val="TableParagraph"/>
              <w:spacing w:line="237" w:lineRule="auto" w:before="105"/>
              <w:ind w:right="326" w:firstLine="420"/>
              <w:rPr>
                <w:sz w:val="21"/>
              </w:rPr>
            </w:pPr>
            <w:r>
              <w:rPr>
                <w:sz w:val="21"/>
              </w:rPr>
              <w:t>指双肾功能慢性不可逆性衰竭，达到尿毒症期，经诊断后已经进行了至少 90 天的规律性透析治疗或实施了肾脏移植手术。</w:t>
            </w:r>
          </w:p>
        </w:tc>
      </w:tr>
      <w:tr>
        <w:trPr>
          <w:trHeight w:val="1916" w:hRule="atLeast"/>
        </w:trPr>
        <w:tc>
          <w:tcPr>
            <w:tcW w:w="970" w:type="dxa"/>
          </w:tcPr>
          <w:p>
            <w:pPr>
              <w:pStyle w:val="TableParagraph"/>
              <w:spacing w:before="70"/>
              <w:ind w:left="181" w:right="220"/>
              <w:jc w:val="center"/>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w w:val="81"/>
                <w:sz w:val="21"/>
              </w:rPr>
              <w:t>4</w:t>
            </w:r>
          </w:p>
        </w:tc>
        <w:tc>
          <w:tcPr>
            <w:tcW w:w="1302" w:type="dxa"/>
          </w:tcPr>
          <w:p>
            <w:pPr>
              <w:pStyle w:val="TableParagraph"/>
              <w:spacing w:line="206" w:lineRule="auto" w:before="121"/>
              <w:ind w:left="240" w:right="129"/>
              <w:jc w:val="both"/>
              <w:rPr>
                <w:rFonts w:ascii="微软雅黑" w:eastAsia="微软雅黑" w:hint="eastAsia"/>
                <w:b/>
                <w:sz w:val="21"/>
              </w:rPr>
            </w:pPr>
            <w:r>
              <w:rPr>
                <w:rFonts w:ascii="微软雅黑" w:eastAsia="微软雅黑" w:hint="eastAsia"/>
                <w:b/>
                <w:sz w:val="21"/>
              </w:rPr>
              <w:t>急性或亚急性重症肝炎</w:t>
            </w:r>
          </w:p>
        </w:tc>
        <w:tc>
          <w:tcPr>
            <w:tcW w:w="7927" w:type="dxa"/>
          </w:tcPr>
          <w:p>
            <w:pPr>
              <w:pStyle w:val="TableParagraph"/>
              <w:spacing w:before="111"/>
              <w:ind w:right="306" w:firstLine="439"/>
              <w:rPr>
                <w:sz w:val="21"/>
              </w:rPr>
            </w:pPr>
            <w:r>
              <w:rPr>
                <w:spacing w:val="-8"/>
                <w:sz w:val="21"/>
              </w:rPr>
              <w:t>指因肝炎病毒感染引起肝脏组织弥漫性坏死，导致急性肝功能衰竭，且经血清</w:t>
            </w:r>
            <w:r>
              <w:rPr>
                <w:spacing w:val="-5"/>
                <w:sz w:val="21"/>
              </w:rPr>
              <w:t>学或病毒学检查证实，并须满足下列全部条件：</w:t>
            </w:r>
          </w:p>
          <w:p>
            <w:pPr>
              <w:pStyle w:val="TableParagraph"/>
              <w:spacing w:line="271" w:lineRule="exact"/>
              <w:ind w:left="568"/>
              <w:rPr>
                <w:sz w:val="21"/>
              </w:rPr>
            </w:pPr>
            <w:r>
              <w:rPr>
                <w:sz w:val="21"/>
              </w:rPr>
              <w:t>（1）重度黄疸或黄疸迅速加重；</w:t>
            </w:r>
          </w:p>
          <w:p>
            <w:pPr>
              <w:pStyle w:val="TableParagraph"/>
              <w:spacing w:line="272" w:lineRule="exact"/>
              <w:ind w:left="568"/>
              <w:rPr>
                <w:sz w:val="21"/>
              </w:rPr>
            </w:pPr>
            <w:r>
              <w:rPr>
                <w:sz w:val="21"/>
              </w:rPr>
              <w:t>（2）肝性脑病；</w:t>
            </w:r>
          </w:p>
          <w:p>
            <w:pPr>
              <w:pStyle w:val="TableParagraph"/>
              <w:spacing w:line="272" w:lineRule="exact"/>
              <w:ind w:left="568"/>
              <w:rPr>
                <w:sz w:val="21"/>
              </w:rPr>
            </w:pPr>
            <w:r>
              <w:rPr>
                <w:sz w:val="21"/>
              </w:rPr>
              <w:t>（3）B 超或其他影像学检查显示肝脏体积急速萎缩；</w:t>
            </w:r>
          </w:p>
          <w:p>
            <w:pPr>
              <w:pStyle w:val="TableParagraph"/>
              <w:spacing w:line="274" w:lineRule="exact"/>
              <w:ind w:left="568"/>
              <w:rPr>
                <w:sz w:val="21"/>
              </w:rPr>
            </w:pPr>
            <w:r>
              <w:rPr>
                <w:sz w:val="21"/>
              </w:rPr>
              <w:t>（4）肝功能指标进行性恶化。</w:t>
            </w:r>
          </w:p>
        </w:tc>
      </w:tr>
      <w:tr>
        <w:trPr>
          <w:trHeight w:val="2190" w:hRule="atLeast"/>
        </w:trPr>
        <w:tc>
          <w:tcPr>
            <w:tcW w:w="970" w:type="dxa"/>
          </w:tcPr>
          <w:p>
            <w:pPr>
              <w:pStyle w:val="TableParagraph"/>
              <w:spacing w:before="62"/>
              <w:ind w:left="181" w:right="220"/>
              <w:jc w:val="center"/>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w w:val="81"/>
                <w:sz w:val="21"/>
              </w:rPr>
              <w:t>5</w:t>
            </w:r>
          </w:p>
        </w:tc>
        <w:tc>
          <w:tcPr>
            <w:tcW w:w="1302" w:type="dxa"/>
          </w:tcPr>
          <w:p>
            <w:pPr>
              <w:pStyle w:val="TableParagraph"/>
              <w:spacing w:line="206" w:lineRule="auto" w:before="113"/>
              <w:ind w:left="240" w:right="129"/>
              <w:rPr>
                <w:rFonts w:ascii="微软雅黑" w:eastAsia="微软雅黑" w:hint="eastAsia"/>
                <w:b/>
                <w:sz w:val="21"/>
              </w:rPr>
            </w:pPr>
            <w:r>
              <w:rPr>
                <w:rFonts w:ascii="微软雅黑" w:eastAsia="微软雅黑" w:hint="eastAsia"/>
                <w:b/>
                <w:sz w:val="21"/>
              </w:rPr>
              <w:t>良性脑肿瘤</w:t>
            </w:r>
          </w:p>
        </w:tc>
        <w:tc>
          <w:tcPr>
            <w:tcW w:w="7927" w:type="dxa"/>
          </w:tcPr>
          <w:p>
            <w:pPr>
              <w:pStyle w:val="TableParagraph"/>
              <w:spacing w:line="237" w:lineRule="auto" w:before="105"/>
              <w:ind w:right="306" w:firstLine="420"/>
              <w:jc w:val="both"/>
              <w:rPr>
                <w:sz w:val="21"/>
              </w:rPr>
            </w:pPr>
            <w:r>
              <w:rPr>
                <w:spacing w:val="-9"/>
                <w:sz w:val="21"/>
              </w:rPr>
              <w:t>指脑的良性肿瘤，已经引起颅内压增高，临床表现为视神经乳头水肿、精神症</w:t>
            </w:r>
            <w:r>
              <w:rPr>
                <w:spacing w:val="-5"/>
                <w:w w:val="100"/>
                <w:sz w:val="21"/>
              </w:rPr>
              <w:t>状、癫痫及运动感觉障碍等，并危及生命。须由头颅断层扫描</w:t>
            </w:r>
            <w:r>
              <w:rPr>
                <w:w w:val="100"/>
                <w:sz w:val="21"/>
              </w:rPr>
              <w:t>（C</w:t>
            </w:r>
            <w:r>
              <w:rPr>
                <w:spacing w:val="-3"/>
                <w:w w:val="100"/>
                <w:sz w:val="21"/>
              </w:rPr>
              <w:t>T</w:t>
            </w:r>
            <w:r>
              <w:rPr>
                <w:spacing w:val="-106"/>
                <w:w w:val="100"/>
                <w:sz w:val="21"/>
              </w:rPr>
              <w:t>）</w:t>
            </w:r>
            <w:r>
              <w:rPr>
                <w:spacing w:val="-3"/>
                <w:w w:val="100"/>
                <w:sz w:val="21"/>
              </w:rPr>
              <w:t>、核磁共振检</w:t>
            </w:r>
            <w:r>
              <w:rPr>
                <w:spacing w:val="-15"/>
                <w:sz w:val="21"/>
              </w:rPr>
              <w:t>查</w:t>
            </w:r>
            <w:r>
              <w:rPr>
                <w:spacing w:val="-4"/>
                <w:sz w:val="21"/>
              </w:rPr>
              <w:t>（MRI）</w:t>
            </w:r>
            <w:r>
              <w:rPr>
                <w:spacing w:val="-5"/>
                <w:sz w:val="21"/>
              </w:rPr>
              <w:t>或正电子发射断层扫描（PET）等影像学检查证实，并须满足下列至少一</w:t>
            </w:r>
            <w:r>
              <w:rPr>
                <w:spacing w:val="-4"/>
                <w:sz w:val="21"/>
              </w:rPr>
              <w:t>项条件：</w:t>
            </w:r>
          </w:p>
          <w:p>
            <w:pPr>
              <w:pStyle w:val="TableParagraph"/>
              <w:spacing w:line="272" w:lineRule="exact"/>
              <w:ind w:left="549"/>
              <w:rPr>
                <w:sz w:val="21"/>
              </w:rPr>
            </w:pPr>
            <w:r>
              <w:rPr>
                <w:sz w:val="21"/>
              </w:rPr>
              <w:t>（1）实际实施了开颅进行的脑肿瘤完全切除或部分切除的手术；</w:t>
            </w:r>
          </w:p>
          <w:p>
            <w:pPr>
              <w:pStyle w:val="TableParagraph"/>
              <w:spacing w:line="241" w:lineRule="exact"/>
              <w:ind w:left="549"/>
              <w:rPr>
                <w:sz w:val="21"/>
              </w:rPr>
            </w:pPr>
            <w:r>
              <w:rPr>
                <w:sz w:val="21"/>
              </w:rPr>
              <w:t>（2）实际实施了对脑肿瘤进行的放射治疗。</w:t>
            </w:r>
          </w:p>
          <w:p>
            <w:pPr>
              <w:pStyle w:val="TableParagraph"/>
              <w:spacing w:line="331" w:lineRule="exact"/>
              <w:ind w:left="551"/>
              <w:rPr>
                <w:rFonts w:ascii="微软雅黑" w:eastAsia="微软雅黑" w:hint="eastAsia"/>
                <w:b/>
                <w:sz w:val="21"/>
              </w:rPr>
            </w:pPr>
            <w:r>
              <w:rPr>
                <w:rFonts w:ascii="微软雅黑" w:eastAsia="微软雅黑" w:hint="eastAsia"/>
                <w:b/>
                <w:sz w:val="21"/>
              </w:rPr>
              <w:t>脑垂体瘤、脑囊肿、脑血管性疾病不在保障范围内。</w:t>
            </w:r>
          </w:p>
        </w:tc>
      </w:tr>
      <w:tr>
        <w:trPr>
          <w:trHeight w:val="3521" w:hRule="atLeast"/>
        </w:trPr>
        <w:tc>
          <w:tcPr>
            <w:tcW w:w="970" w:type="dxa"/>
          </w:tcPr>
          <w:p>
            <w:pPr>
              <w:pStyle w:val="TableParagraph"/>
              <w:spacing w:before="51"/>
              <w:ind w:left="181" w:right="220"/>
              <w:jc w:val="center"/>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w w:val="81"/>
                <w:sz w:val="21"/>
              </w:rPr>
              <w:t>6</w:t>
            </w:r>
          </w:p>
        </w:tc>
        <w:tc>
          <w:tcPr>
            <w:tcW w:w="1302" w:type="dxa"/>
          </w:tcPr>
          <w:p>
            <w:pPr>
              <w:pStyle w:val="TableParagraph"/>
              <w:spacing w:line="206" w:lineRule="auto" w:before="102"/>
              <w:ind w:left="240" w:right="129"/>
              <w:jc w:val="both"/>
              <w:rPr>
                <w:rFonts w:ascii="微软雅黑" w:eastAsia="微软雅黑" w:hint="eastAsia"/>
                <w:b/>
                <w:sz w:val="21"/>
              </w:rPr>
            </w:pPr>
            <w:r>
              <w:rPr>
                <w:rFonts w:ascii="微软雅黑" w:eastAsia="微软雅黑" w:hint="eastAsia"/>
                <w:b/>
                <w:sz w:val="21"/>
              </w:rPr>
              <w:t>脑炎后遗症或脑膜炎后遗症</w:t>
            </w:r>
          </w:p>
        </w:tc>
        <w:tc>
          <w:tcPr>
            <w:tcW w:w="7927" w:type="dxa"/>
          </w:tcPr>
          <w:p>
            <w:pPr>
              <w:pStyle w:val="TableParagraph"/>
              <w:spacing w:line="273" w:lineRule="auto" w:before="114"/>
              <w:ind w:right="304" w:firstLine="420"/>
              <w:rPr>
                <w:sz w:val="21"/>
              </w:rPr>
            </w:pPr>
            <w:r>
              <w:rPr>
                <w:spacing w:val="-6"/>
                <w:sz w:val="21"/>
              </w:rPr>
              <w:t>指因患脑炎或脑膜炎导致的神经系统永久性的功能障碍。神经系统永久性的功</w:t>
            </w:r>
            <w:r>
              <w:rPr>
                <w:spacing w:val="-8"/>
                <w:sz w:val="21"/>
              </w:rPr>
              <w:t>能障碍，指疾病确诊 </w:t>
            </w:r>
            <w:r>
              <w:rPr>
                <w:sz w:val="21"/>
              </w:rPr>
              <w:t>180</w:t>
            </w:r>
            <w:r>
              <w:rPr>
                <w:spacing w:val="-8"/>
                <w:sz w:val="21"/>
              </w:rPr>
              <w:t> 天后，仍遗留下列一种或一种以上障碍：</w:t>
            </w:r>
          </w:p>
          <w:p>
            <w:pPr>
              <w:pStyle w:val="TableParagraph"/>
              <w:spacing w:line="283" w:lineRule="exact"/>
              <w:ind w:left="568"/>
              <w:rPr>
                <w:sz w:val="21"/>
              </w:rPr>
            </w:pPr>
            <w:r>
              <w:rPr>
                <w:sz w:val="21"/>
              </w:rPr>
              <w:t>（1）一肢或一肢以上</w:t>
            </w:r>
            <w:r>
              <w:rPr>
                <w:rFonts w:ascii="微软雅黑" w:eastAsia="微软雅黑" w:hint="eastAsia"/>
                <w:b/>
                <w:sz w:val="21"/>
              </w:rPr>
              <w:t>肢体机能完全丧失</w:t>
            </w:r>
            <w:r>
              <w:rPr>
                <w:sz w:val="21"/>
              </w:rPr>
              <w:t>；</w:t>
            </w:r>
          </w:p>
          <w:p>
            <w:pPr>
              <w:pStyle w:val="TableParagraph"/>
              <w:spacing w:line="301" w:lineRule="exact"/>
              <w:ind w:left="568"/>
              <w:rPr>
                <w:rFonts w:ascii="微软雅黑" w:eastAsia="微软雅黑" w:hint="eastAsia"/>
                <w:b/>
                <w:sz w:val="21"/>
              </w:rPr>
            </w:pPr>
            <w:r>
              <w:rPr>
                <w:sz w:val="21"/>
              </w:rPr>
              <w:t>（2）</w:t>
            </w:r>
            <w:r>
              <w:rPr>
                <w:rFonts w:ascii="微软雅黑" w:eastAsia="微软雅黑" w:hint="eastAsia"/>
                <w:b/>
                <w:sz w:val="21"/>
              </w:rPr>
              <w:t>语言能力或咀嚼吞咽能力完全丧失；</w:t>
            </w:r>
          </w:p>
          <w:p>
            <w:pPr>
              <w:pStyle w:val="TableParagraph"/>
              <w:spacing w:line="216" w:lineRule="auto"/>
              <w:ind w:right="308" w:firstLine="439"/>
              <w:rPr>
                <w:sz w:val="21"/>
              </w:rPr>
            </w:pPr>
            <w:r>
              <w:rPr>
                <w:sz w:val="21"/>
              </w:rPr>
              <w:t>（3）自主生活能力完全丧失，无法独立完成</w:t>
            </w:r>
            <w:r>
              <w:rPr>
                <w:rFonts w:ascii="微软雅黑" w:eastAsia="微软雅黑" w:hint="eastAsia"/>
                <w:b/>
                <w:sz w:val="21"/>
              </w:rPr>
              <w:t>六项基本日常生活活动</w:t>
            </w:r>
            <w:r>
              <w:rPr>
                <w:sz w:val="21"/>
              </w:rPr>
              <w:t>中的三项或三项以上。</w:t>
            </w:r>
          </w:p>
          <w:p>
            <w:pPr>
              <w:pStyle w:val="TableParagraph"/>
              <w:spacing w:line="285" w:lineRule="exact"/>
              <w:ind w:left="551"/>
              <w:rPr>
                <w:sz w:val="21"/>
              </w:rPr>
            </w:pPr>
            <w:r>
              <w:rPr>
                <w:rFonts w:ascii="微软雅黑" w:eastAsia="微软雅黑" w:hint="eastAsia"/>
                <w:b/>
                <w:sz w:val="21"/>
              </w:rPr>
              <w:t>肢体机能完全丧失：</w:t>
            </w:r>
            <w:r>
              <w:rPr>
                <w:sz w:val="21"/>
              </w:rPr>
              <w:t>指肢体的三大关节中的两大关节僵硬，或不能随意识活动。</w:t>
            </w:r>
          </w:p>
          <w:p>
            <w:pPr>
              <w:pStyle w:val="TableParagraph"/>
              <w:spacing w:line="192" w:lineRule="auto" w:before="40"/>
              <w:ind w:left="551" w:right="2330" w:hanging="423"/>
              <w:rPr>
                <w:rFonts w:ascii="微软雅黑" w:eastAsia="微软雅黑" w:hint="eastAsia"/>
                <w:b/>
                <w:sz w:val="21"/>
              </w:rPr>
            </w:pPr>
            <w:r>
              <w:rPr>
                <w:sz w:val="21"/>
              </w:rPr>
              <w:t>肢体是指包括肩关节的整个上肢或包括髋关节的整个下肢。</w:t>
            </w:r>
            <w:r>
              <w:rPr>
                <w:rFonts w:ascii="微软雅黑" w:eastAsia="微软雅黑" w:hint="eastAsia"/>
                <w:b/>
                <w:sz w:val="21"/>
              </w:rPr>
              <w:t>语言能力或咀嚼吞咽能力完全丧失：</w:t>
            </w:r>
          </w:p>
          <w:p>
            <w:pPr>
              <w:pStyle w:val="TableParagraph"/>
              <w:spacing w:line="272" w:lineRule="exact"/>
              <w:ind w:right="306" w:firstLine="420"/>
              <w:rPr>
                <w:sz w:val="21"/>
              </w:rPr>
            </w:pPr>
            <w:r>
              <w:rPr>
                <w:spacing w:val="-7"/>
                <w:sz w:val="21"/>
              </w:rPr>
              <w:t>语言能力完全丧失，指无法发出四种语音</w:t>
            </w:r>
            <w:r>
              <w:rPr>
                <w:sz w:val="21"/>
              </w:rPr>
              <w:t>（</w:t>
            </w:r>
            <w:r>
              <w:rPr>
                <w:spacing w:val="-8"/>
                <w:sz w:val="21"/>
              </w:rPr>
              <w:t>包括口唇音、齿舌音、口盖音和喉头音</w:t>
            </w:r>
            <w:r>
              <w:rPr>
                <w:spacing w:val="-3"/>
                <w:sz w:val="21"/>
              </w:rPr>
              <w:t>）中的任何三种、或声带全部切除，或因大脑语言中枢受伤害而患失语症；</w:t>
            </w:r>
          </w:p>
          <w:p>
            <w:pPr>
              <w:pStyle w:val="TableParagraph"/>
              <w:spacing w:line="229" w:lineRule="exact"/>
              <w:ind w:left="549"/>
              <w:rPr>
                <w:sz w:val="21"/>
              </w:rPr>
            </w:pPr>
            <w:r>
              <w:rPr>
                <w:sz w:val="21"/>
              </w:rPr>
              <w:t>咀嚼吞咽能力完全丧失，指因牙齿以外的原因导致器质障碍或机能障碍，以致</w:t>
            </w:r>
          </w:p>
        </w:tc>
      </w:tr>
    </w:tbl>
    <w:p>
      <w:pPr>
        <w:spacing w:after="0" w:line="229" w:lineRule="exact"/>
        <w:rPr>
          <w:sz w:val="21"/>
        </w:rPr>
        <w:sectPr>
          <w:pgSz w:w="11910" w:h="16840"/>
          <w:pgMar w:header="857" w:footer="992" w:top="1040" w:bottom="1180" w:left="800" w:right="700"/>
        </w:sectPr>
      </w:pPr>
    </w:p>
    <w:p>
      <w:pPr>
        <w:pStyle w:val="BodyText"/>
        <w:spacing w:before="6"/>
        <w:rPr>
          <w:rFonts w:ascii="Times New Roman"/>
          <w:sz w:val="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5"/>
        <w:gridCol w:w="1247"/>
        <w:gridCol w:w="7927"/>
      </w:tblGrid>
      <w:tr>
        <w:trPr>
          <w:trHeight w:val="2603" w:hRule="atLeast"/>
        </w:trPr>
        <w:tc>
          <w:tcPr>
            <w:tcW w:w="1025" w:type="dxa"/>
            <w:tcBorders>
              <w:top w:val="single" w:sz="18" w:space="0" w:color="000000"/>
            </w:tcBorders>
          </w:tcPr>
          <w:p>
            <w:pPr>
              <w:pStyle w:val="TableParagraph"/>
              <w:ind w:left="0"/>
              <w:rPr>
                <w:rFonts w:ascii="Times New Roman"/>
                <w:sz w:val="20"/>
              </w:rPr>
            </w:pPr>
          </w:p>
        </w:tc>
        <w:tc>
          <w:tcPr>
            <w:tcW w:w="1247" w:type="dxa"/>
            <w:tcBorders>
              <w:top w:val="single" w:sz="18" w:space="0" w:color="000000"/>
            </w:tcBorders>
          </w:tcPr>
          <w:p>
            <w:pPr>
              <w:pStyle w:val="TableParagraph"/>
              <w:ind w:left="0"/>
              <w:rPr>
                <w:rFonts w:ascii="Times New Roman"/>
                <w:sz w:val="20"/>
              </w:rPr>
            </w:pPr>
          </w:p>
        </w:tc>
        <w:tc>
          <w:tcPr>
            <w:tcW w:w="7927" w:type="dxa"/>
            <w:tcBorders>
              <w:top w:val="single" w:sz="18" w:space="0" w:color="000000"/>
            </w:tcBorders>
          </w:tcPr>
          <w:p>
            <w:pPr>
              <w:pStyle w:val="TableParagraph"/>
              <w:spacing w:before="9"/>
              <w:ind w:left="0"/>
              <w:rPr>
                <w:rFonts w:ascii="Times New Roman"/>
                <w:sz w:val="25"/>
              </w:rPr>
            </w:pPr>
          </w:p>
          <w:p>
            <w:pPr>
              <w:pStyle w:val="TableParagraph"/>
              <w:spacing w:line="194" w:lineRule="auto"/>
              <w:ind w:left="551" w:right="2118" w:hanging="423"/>
              <w:rPr>
                <w:sz w:val="21"/>
              </w:rPr>
            </w:pPr>
            <w:r>
              <w:rPr>
                <w:sz w:val="21"/>
              </w:rPr>
              <w:t>不能作咀嚼吞咽运动，除流质食物外不能摄取或吞咽的状态。</w:t>
            </w:r>
            <w:r>
              <w:rPr>
                <w:rFonts w:ascii="微软雅黑" w:eastAsia="微软雅黑" w:hint="eastAsia"/>
                <w:b/>
                <w:sz w:val="21"/>
              </w:rPr>
              <w:t>六项基本日常生活活动，</w:t>
            </w:r>
            <w:r>
              <w:rPr>
                <w:sz w:val="21"/>
              </w:rPr>
              <w:t>指：</w:t>
            </w:r>
          </w:p>
          <w:p>
            <w:pPr>
              <w:pStyle w:val="TableParagraph"/>
              <w:spacing w:line="246" w:lineRule="exact"/>
              <w:ind w:left="549"/>
              <w:rPr>
                <w:sz w:val="21"/>
              </w:rPr>
            </w:pPr>
            <w:r>
              <w:rPr>
                <w:sz w:val="21"/>
              </w:rPr>
              <w:t>（1）穿衣：自己能够穿衣及脱衣；</w:t>
            </w:r>
          </w:p>
          <w:p>
            <w:pPr>
              <w:pStyle w:val="TableParagraph"/>
              <w:spacing w:line="272" w:lineRule="exact"/>
              <w:ind w:left="549"/>
              <w:rPr>
                <w:sz w:val="21"/>
              </w:rPr>
            </w:pPr>
            <w:r>
              <w:rPr>
                <w:sz w:val="21"/>
              </w:rPr>
              <w:t>（2）移动：自己从一个房间到另一个房间；</w:t>
            </w:r>
          </w:p>
          <w:p>
            <w:pPr>
              <w:pStyle w:val="TableParagraph"/>
              <w:spacing w:line="272" w:lineRule="exact"/>
              <w:ind w:left="549"/>
              <w:rPr>
                <w:sz w:val="21"/>
              </w:rPr>
            </w:pPr>
            <w:r>
              <w:rPr>
                <w:sz w:val="21"/>
              </w:rPr>
              <w:t>（3）行动：自己上下床或上下轮椅；</w:t>
            </w:r>
          </w:p>
          <w:p>
            <w:pPr>
              <w:pStyle w:val="TableParagraph"/>
              <w:spacing w:line="272" w:lineRule="exact"/>
              <w:ind w:left="549"/>
              <w:rPr>
                <w:sz w:val="21"/>
              </w:rPr>
            </w:pPr>
            <w:r>
              <w:rPr>
                <w:sz w:val="21"/>
              </w:rPr>
              <w:t>（4）如厕：自己控制进行大小便；</w:t>
            </w:r>
          </w:p>
          <w:p>
            <w:pPr>
              <w:pStyle w:val="TableParagraph"/>
              <w:spacing w:line="272" w:lineRule="exact"/>
              <w:ind w:left="549"/>
              <w:rPr>
                <w:sz w:val="21"/>
              </w:rPr>
            </w:pPr>
            <w:r>
              <w:rPr>
                <w:sz w:val="21"/>
              </w:rPr>
              <w:t>（5）进食：自己从已准备好的碗或碟中取食物放入口中；</w:t>
            </w:r>
          </w:p>
          <w:p>
            <w:pPr>
              <w:pStyle w:val="TableParagraph"/>
              <w:spacing w:line="273" w:lineRule="exact"/>
              <w:ind w:left="568"/>
              <w:rPr>
                <w:sz w:val="21"/>
              </w:rPr>
            </w:pPr>
            <w:r>
              <w:rPr>
                <w:sz w:val="21"/>
              </w:rPr>
              <w:t>（6）洗澡：自己进行淋浴或盆浴。</w:t>
            </w:r>
          </w:p>
        </w:tc>
      </w:tr>
      <w:tr>
        <w:trPr>
          <w:trHeight w:val="1481" w:hRule="atLeast"/>
        </w:trPr>
        <w:tc>
          <w:tcPr>
            <w:tcW w:w="1025" w:type="dxa"/>
          </w:tcPr>
          <w:p>
            <w:pPr>
              <w:pStyle w:val="TableParagraph"/>
              <w:spacing w:before="51"/>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w w:val="81"/>
                <w:sz w:val="21"/>
              </w:rPr>
              <w:t>7</w:t>
            </w:r>
          </w:p>
        </w:tc>
        <w:tc>
          <w:tcPr>
            <w:tcW w:w="1247" w:type="dxa"/>
          </w:tcPr>
          <w:p>
            <w:pPr>
              <w:pStyle w:val="TableParagraph"/>
              <w:spacing w:before="51"/>
              <w:ind w:left="185"/>
              <w:rPr>
                <w:rFonts w:ascii="微软雅黑" w:eastAsia="微软雅黑" w:hint="eastAsia"/>
                <w:b/>
                <w:sz w:val="21"/>
              </w:rPr>
            </w:pPr>
            <w:r>
              <w:rPr>
                <w:rFonts w:ascii="微软雅黑" w:eastAsia="微软雅黑" w:hint="eastAsia"/>
                <w:b/>
                <w:sz w:val="21"/>
              </w:rPr>
              <w:t>深度昏迷</w:t>
            </w:r>
          </w:p>
        </w:tc>
        <w:tc>
          <w:tcPr>
            <w:tcW w:w="7927" w:type="dxa"/>
          </w:tcPr>
          <w:p>
            <w:pPr>
              <w:pStyle w:val="TableParagraph"/>
              <w:spacing w:line="273" w:lineRule="auto" w:before="114"/>
              <w:ind w:right="306" w:firstLine="420"/>
              <w:jc w:val="both"/>
              <w:rPr>
                <w:sz w:val="21"/>
              </w:rPr>
            </w:pPr>
            <w:r>
              <w:rPr>
                <w:sz w:val="21"/>
              </w:rPr>
              <w:t>指因疾病或意外伤害导致意识丧失,对外界刺激和体内需求均无反应,昏迷程</w:t>
            </w:r>
            <w:r>
              <w:rPr>
                <w:spacing w:val="-6"/>
                <w:sz w:val="21"/>
              </w:rPr>
              <w:t>度按照格拉斯哥昏迷分级</w:t>
            </w:r>
            <w:r>
              <w:rPr>
                <w:sz w:val="21"/>
              </w:rPr>
              <w:t>（Glasgow coma</w:t>
            </w:r>
            <w:r>
              <w:rPr>
                <w:spacing w:val="5"/>
                <w:sz w:val="21"/>
              </w:rPr>
              <w:t>  </w:t>
            </w:r>
            <w:r>
              <w:rPr>
                <w:spacing w:val="-6"/>
                <w:sz w:val="21"/>
              </w:rPr>
              <w:t>scale）</w:t>
            </w:r>
            <w:r>
              <w:rPr>
                <w:spacing w:val="-15"/>
                <w:sz w:val="21"/>
              </w:rPr>
              <w:t>结果为 </w:t>
            </w:r>
            <w:r>
              <w:rPr>
                <w:sz w:val="21"/>
              </w:rPr>
              <w:t>5</w:t>
            </w:r>
            <w:r>
              <w:rPr>
                <w:spacing w:val="-26"/>
                <w:sz w:val="21"/>
              </w:rPr>
              <w:t> 分或 </w:t>
            </w:r>
            <w:r>
              <w:rPr>
                <w:sz w:val="21"/>
              </w:rPr>
              <w:t>5</w:t>
            </w:r>
            <w:r>
              <w:rPr>
                <w:spacing w:val="-13"/>
                <w:sz w:val="21"/>
              </w:rPr>
              <w:t> 分以下，且已</w:t>
            </w:r>
            <w:r>
              <w:rPr>
                <w:spacing w:val="-5"/>
                <w:sz w:val="21"/>
              </w:rPr>
              <w:t>经持续使用呼吸机及其他生命维持系统 </w:t>
            </w:r>
            <w:r>
              <w:rPr>
                <w:sz w:val="21"/>
              </w:rPr>
              <w:t>96 小时以上。</w:t>
            </w:r>
          </w:p>
          <w:p>
            <w:pPr>
              <w:pStyle w:val="TableParagraph"/>
              <w:spacing w:line="287" w:lineRule="exact"/>
              <w:ind w:left="551"/>
              <w:rPr>
                <w:rFonts w:ascii="微软雅黑" w:eastAsia="微软雅黑" w:hint="eastAsia"/>
                <w:b/>
                <w:sz w:val="21"/>
              </w:rPr>
            </w:pPr>
            <w:r>
              <w:rPr>
                <w:rFonts w:ascii="微软雅黑" w:eastAsia="微软雅黑" w:hint="eastAsia"/>
                <w:b/>
                <w:sz w:val="21"/>
              </w:rPr>
              <w:t>因酗酒或药物滥用导致的深度昏迷不在保障范围内。</w:t>
            </w:r>
          </w:p>
        </w:tc>
      </w:tr>
      <w:tr>
        <w:trPr>
          <w:trHeight w:val="2448" w:hRule="atLeast"/>
        </w:trPr>
        <w:tc>
          <w:tcPr>
            <w:tcW w:w="1025" w:type="dxa"/>
          </w:tcPr>
          <w:p>
            <w:pPr>
              <w:pStyle w:val="TableParagraph"/>
              <w:spacing w:before="51"/>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w w:val="81"/>
                <w:sz w:val="21"/>
              </w:rPr>
              <w:t>8</w:t>
            </w:r>
          </w:p>
        </w:tc>
        <w:tc>
          <w:tcPr>
            <w:tcW w:w="1247" w:type="dxa"/>
          </w:tcPr>
          <w:p>
            <w:pPr>
              <w:pStyle w:val="TableParagraph"/>
              <w:spacing w:before="51"/>
              <w:ind w:left="185"/>
              <w:rPr>
                <w:rFonts w:ascii="微软雅黑" w:eastAsia="微软雅黑" w:hint="eastAsia"/>
                <w:b/>
                <w:sz w:val="21"/>
              </w:rPr>
            </w:pPr>
            <w:r>
              <w:rPr>
                <w:rFonts w:ascii="微软雅黑" w:eastAsia="微软雅黑" w:hint="eastAsia"/>
                <w:b/>
                <w:sz w:val="21"/>
              </w:rPr>
              <w:t>双耳失聪</w:t>
            </w:r>
          </w:p>
        </w:tc>
        <w:tc>
          <w:tcPr>
            <w:tcW w:w="7927" w:type="dxa"/>
          </w:tcPr>
          <w:p>
            <w:pPr>
              <w:pStyle w:val="TableParagraph"/>
              <w:spacing w:line="259" w:lineRule="auto" w:before="51"/>
              <w:ind w:right="303" w:firstLine="420"/>
              <w:jc w:val="both"/>
              <w:rPr>
                <w:sz w:val="21"/>
              </w:rPr>
            </w:pPr>
            <w:r>
              <w:rPr>
                <w:spacing w:val="-3"/>
                <w:sz w:val="21"/>
              </w:rPr>
              <w:t>指因疾病或意外伤害导致双耳听力</w:t>
            </w:r>
            <w:r>
              <w:rPr>
                <w:rFonts w:ascii="微软雅黑" w:eastAsia="微软雅黑" w:hint="eastAsia"/>
                <w:b/>
                <w:sz w:val="21"/>
              </w:rPr>
              <w:t>永久不可逆</w:t>
            </w:r>
            <w:r>
              <w:rPr>
                <w:spacing w:val="-7"/>
                <w:sz w:val="21"/>
              </w:rPr>
              <w:t>性丧失，在 </w:t>
            </w:r>
            <w:r>
              <w:rPr>
                <w:sz w:val="21"/>
              </w:rPr>
              <w:t>500</w:t>
            </w:r>
            <w:r>
              <w:rPr>
                <w:spacing w:val="-10"/>
                <w:sz w:val="21"/>
              </w:rPr>
              <w:t> 赫兹、</w:t>
            </w:r>
            <w:r>
              <w:rPr>
                <w:sz w:val="21"/>
              </w:rPr>
              <w:t>1000</w:t>
            </w:r>
            <w:r>
              <w:rPr>
                <w:spacing w:val="3"/>
                <w:sz w:val="21"/>
              </w:rPr>
              <w:t> 赫</w:t>
            </w:r>
            <w:r>
              <w:rPr>
                <w:spacing w:val="5"/>
                <w:sz w:val="21"/>
              </w:rPr>
              <w:t>兹和 </w:t>
            </w:r>
            <w:r>
              <w:rPr>
                <w:sz w:val="21"/>
              </w:rPr>
              <w:t>2000</w:t>
            </w:r>
            <w:r>
              <w:rPr>
                <w:spacing w:val="-5"/>
                <w:sz w:val="21"/>
              </w:rPr>
              <w:t> 赫兹语音频率下，平均听阈大于 </w:t>
            </w:r>
            <w:r>
              <w:rPr>
                <w:sz w:val="21"/>
              </w:rPr>
              <w:t>90</w:t>
            </w:r>
            <w:r>
              <w:rPr>
                <w:spacing w:val="-7"/>
                <w:sz w:val="21"/>
              </w:rPr>
              <w:t> 分贝，且经纯音听力测试、声导抗</w:t>
            </w:r>
            <w:r>
              <w:rPr>
                <w:spacing w:val="-5"/>
                <w:sz w:val="21"/>
              </w:rPr>
              <w:t>检测或听觉诱发电位检测等证实。</w:t>
            </w:r>
          </w:p>
          <w:p>
            <w:pPr>
              <w:pStyle w:val="TableParagraph"/>
              <w:spacing w:line="312" w:lineRule="exact" w:before="15"/>
              <w:ind w:right="125" w:firstLine="422"/>
              <w:rPr>
                <w:sz w:val="21"/>
              </w:rPr>
            </w:pPr>
            <w:r>
              <w:rPr>
                <w:rFonts w:ascii="微软雅黑" w:eastAsia="微软雅黑" w:hint="eastAsia"/>
                <w:b/>
                <w:sz w:val="21"/>
              </w:rPr>
              <w:t>永久不可逆</w:t>
            </w:r>
            <w:r>
              <w:rPr>
                <w:sz w:val="21"/>
              </w:rPr>
              <w:t>，指自疾病确诊或意外伤害发生之日起，经过积极治疗 180 天后， 仍无法通过现有医疗手段恢复。</w:t>
            </w:r>
          </w:p>
          <w:p>
            <w:pPr>
              <w:pStyle w:val="TableParagraph"/>
              <w:spacing w:line="206" w:lineRule="auto"/>
              <w:ind w:right="306" w:firstLine="422"/>
              <w:jc w:val="both"/>
              <w:rPr>
                <w:rFonts w:ascii="微软雅黑" w:eastAsia="微软雅黑" w:hint="eastAsia"/>
                <w:b/>
                <w:sz w:val="21"/>
              </w:rPr>
            </w:pPr>
            <w:r>
              <w:rPr>
                <w:rFonts w:ascii="微软雅黑" w:eastAsia="微软雅黑" w:hint="eastAsia"/>
                <w:b/>
                <w:spacing w:val="-9"/>
                <w:sz w:val="21"/>
              </w:rPr>
              <w:t>除内耳结构损伤等情形外，被保险人申请理赔时年龄必须在三周岁以上，并且提供理赔当时的听力丧失诊断及检查证据。</w:t>
            </w:r>
          </w:p>
        </w:tc>
      </w:tr>
      <w:tr>
        <w:trPr>
          <w:trHeight w:val="2697" w:hRule="atLeast"/>
        </w:trPr>
        <w:tc>
          <w:tcPr>
            <w:tcW w:w="1025" w:type="dxa"/>
          </w:tcPr>
          <w:p>
            <w:pPr>
              <w:pStyle w:val="TableParagraph"/>
              <w:spacing w:before="61"/>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w w:val="81"/>
                <w:sz w:val="21"/>
              </w:rPr>
              <w:t>9</w:t>
            </w:r>
          </w:p>
        </w:tc>
        <w:tc>
          <w:tcPr>
            <w:tcW w:w="1247" w:type="dxa"/>
          </w:tcPr>
          <w:p>
            <w:pPr>
              <w:pStyle w:val="TableParagraph"/>
              <w:spacing w:before="61"/>
              <w:ind w:left="185"/>
              <w:rPr>
                <w:rFonts w:ascii="微软雅黑" w:eastAsia="微软雅黑" w:hint="eastAsia"/>
                <w:b/>
                <w:sz w:val="21"/>
              </w:rPr>
            </w:pPr>
            <w:r>
              <w:rPr>
                <w:rFonts w:ascii="微软雅黑" w:eastAsia="微软雅黑" w:hint="eastAsia"/>
                <w:b/>
                <w:sz w:val="21"/>
              </w:rPr>
              <w:t>双目失明</w:t>
            </w:r>
          </w:p>
        </w:tc>
        <w:tc>
          <w:tcPr>
            <w:tcW w:w="7927" w:type="dxa"/>
          </w:tcPr>
          <w:p>
            <w:pPr>
              <w:pStyle w:val="TableParagraph"/>
              <w:spacing w:line="273" w:lineRule="auto" w:before="123"/>
              <w:ind w:right="236" w:firstLine="420"/>
              <w:rPr>
                <w:sz w:val="21"/>
              </w:rPr>
            </w:pPr>
            <w:r>
              <w:rPr>
                <w:sz w:val="21"/>
              </w:rPr>
              <w:t>指因疾病或意外伤害导致双眼视力永久不可逆性丧失，双眼中较好眼须满足下列至少一项条件：</w:t>
            </w:r>
          </w:p>
          <w:p>
            <w:pPr>
              <w:pStyle w:val="TableParagraph"/>
              <w:spacing w:before="7"/>
              <w:ind w:left="568"/>
              <w:rPr>
                <w:sz w:val="21"/>
              </w:rPr>
            </w:pPr>
            <w:r>
              <w:rPr>
                <w:sz w:val="21"/>
              </w:rPr>
              <w:t>（1）眼球缺失或摘除；</w:t>
            </w:r>
          </w:p>
          <w:p>
            <w:pPr>
              <w:pStyle w:val="TableParagraph"/>
              <w:spacing w:line="273" w:lineRule="auto" w:before="37"/>
              <w:ind w:right="306" w:firstLine="439"/>
              <w:rPr>
                <w:sz w:val="21"/>
              </w:rPr>
            </w:pPr>
            <w:r>
              <w:rPr>
                <w:spacing w:val="-12"/>
                <w:sz w:val="21"/>
              </w:rPr>
              <w:t>（2）</w:t>
            </w:r>
            <w:r>
              <w:rPr>
                <w:spacing w:val="1"/>
                <w:sz w:val="21"/>
              </w:rPr>
              <w:t>矫正视力低于 </w:t>
            </w:r>
            <w:r>
              <w:rPr>
                <w:spacing w:val="-7"/>
                <w:sz w:val="21"/>
              </w:rPr>
              <w:t>0.02（采用国际标准视力表，如使用其他视力表应进行换</w:t>
            </w:r>
            <w:r>
              <w:rPr>
                <w:spacing w:val="-7"/>
                <w:w w:val="100"/>
                <w:sz w:val="21"/>
              </w:rPr>
              <w:t>算</w:t>
            </w:r>
            <w:r>
              <w:rPr>
                <w:spacing w:val="-106"/>
                <w:w w:val="100"/>
                <w:sz w:val="21"/>
              </w:rPr>
              <w:t>）</w:t>
            </w:r>
            <w:r>
              <w:rPr>
                <w:w w:val="100"/>
                <w:sz w:val="21"/>
              </w:rPr>
              <w:t>；</w:t>
            </w:r>
          </w:p>
          <w:p>
            <w:pPr>
              <w:pStyle w:val="TableParagraph"/>
              <w:spacing w:line="251" w:lineRule="exact" w:before="8"/>
              <w:ind w:left="568"/>
              <w:rPr>
                <w:sz w:val="21"/>
              </w:rPr>
            </w:pPr>
            <w:r>
              <w:rPr>
                <w:sz w:val="21"/>
              </w:rPr>
              <w:t>（3）视野半径小于 5 度。</w:t>
            </w:r>
          </w:p>
          <w:p>
            <w:pPr>
              <w:pStyle w:val="TableParagraph"/>
              <w:spacing w:line="180" w:lineRule="auto" w:before="67"/>
              <w:ind w:right="308" w:firstLine="420"/>
              <w:rPr>
                <w:rFonts w:ascii="微软雅黑" w:eastAsia="微软雅黑" w:hint="eastAsia"/>
                <w:b/>
                <w:sz w:val="21"/>
              </w:rPr>
            </w:pPr>
            <w:r>
              <w:rPr>
                <w:rFonts w:ascii="微软雅黑" w:eastAsia="微软雅黑" w:hint="eastAsia"/>
                <w:b/>
                <w:spacing w:val="-8"/>
                <w:sz w:val="21"/>
              </w:rPr>
              <w:t>除眼球缺失或摘除等情形外，被保险人申请理赔时年龄必须在三周岁以上，并且提供理赔当时的视力丧失诊断及检查证据。</w:t>
            </w:r>
          </w:p>
        </w:tc>
      </w:tr>
      <w:tr>
        <w:trPr>
          <w:trHeight w:val="1128" w:hRule="atLeast"/>
        </w:trPr>
        <w:tc>
          <w:tcPr>
            <w:tcW w:w="1025" w:type="dxa"/>
          </w:tcPr>
          <w:p>
            <w:pPr>
              <w:pStyle w:val="TableParagraph"/>
              <w:spacing w:before="51"/>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spacing w:val="1"/>
                <w:w w:val="81"/>
                <w:sz w:val="21"/>
              </w:rPr>
              <w:t>10</w:t>
            </w:r>
          </w:p>
        </w:tc>
        <w:tc>
          <w:tcPr>
            <w:tcW w:w="1247" w:type="dxa"/>
          </w:tcPr>
          <w:p>
            <w:pPr>
              <w:pStyle w:val="TableParagraph"/>
              <w:spacing w:before="51"/>
              <w:ind w:left="185"/>
              <w:rPr>
                <w:rFonts w:ascii="微软雅黑" w:eastAsia="微软雅黑" w:hint="eastAsia"/>
                <w:b/>
                <w:sz w:val="21"/>
              </w:rPr>
            </w:pPr>
            <w:r>
              <w:rPr>
                <w:rFonts w:ascii="微软雅黑" w:eastAsia="微软雅黑" w:hint="eastAsia"/>
                <w:b/>
                <w:sz w:val="21"/>
              </w:rPr>
              <w:t>瘫痪</w:t>
            </w:r>
          </w:p>
        </w:tc>
        <w:tc>
          <w:tcPr>
            <w:tcW w:w="7927" w:type="dxa"/>
          </w:tcPr>
          <w:p>
            <w:pPr>
              <w:pStyle w:val="TableParagraph"/>
              <w:spacing w:before="114"/>
              <w:ind w:left="549"/>
              <w:rPr>
                <w:sz w:val="21"/>
              </w:rPr>
            </w:pPr>
            <w:r>
              <w:rPr>
                <w:sz w:val="21"/>
              </w:rPr>
              <w:t>指因疾病或意外伤害导致两肢或两肢以上肢体机能永久完全丧失。</w:t>
            </w:r>
          </w:p>
          <w:p>
            <w:pPr>
              <w:pStyle w:val="TableParagraph"/>
              <w:spacing w:line="237" w:lineRule="auto" w:before="18"/>
              <w:ind w:right="306" w:firstLine="420"/>
              <w:rPr>
                <w:sz w:val="21"/>
              </w:rPr>
            </w:pPr>
            <w:r>
              <w:rPr>
                <w:spacing w:val="-10"/>
                <w:sz w:val="21"/>
              </w:rPr>
              <w:t>肢体机能永久完全丧失，指疾病确诊 </w:t>
            </w:r>
            <w:r>
              <w:rPr>
                <w:sz w:val="21"/>
              </w:rPr>
              <w:t>180</w:t>
            </w:r>
            <w:r>
              <w:rPr>
                <w:spacing w:val="-13"/>
                <w:sz w:val="21"/>
              </w:rPr>
              <w:t> 天后或意外伤害发生 </w:t>
            </w:r>
            <w:r>
              <w:rPr>
                <w:sz w:val="21"/>
              </w:rPr>
              <w:t>180</w:t>
            </w:r>
            <w:r>
              <w:rPr>
                <w:spacing w:val="-16"/>
                <w:sz w:val="21"/>
              </w:rPr>
              <w:t> 天后，每肢</w:t>
            </w:r>
            <w:r>
              <w:rPr>
                <w:spacing w:val="-7"/>
                <w:sz w:val="21"/>
              </w:rPr>
              <w:t>三大关节中的两大关节仍然完全僵硬，或不能随意识活动。</w:t>
            </w:r>
          </w:p>
        </w:tc>
      </w:tr>
      <w:tr>
        <w:trPr>
          <w:trHeight w:val="2679" w:hRule="atLeast"/>
        </w:trPr>
        <w:tc>
          <w:tcPr>
            <w:tcW w:w="1025" w:type="dxa"/>
          </w:tcPr>
          <w:p>
            <w:pPr>
              <w:pStyle w:val="TableParagraph"/>
              <w:spacing w:before="51"/>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11"/>
                <w:sz w:val="21"/>
              </w:rPr>
              <w:t>.</w:t>
            </w:r>
            <w:r>
              <w:rPr>
                <w:rFonts w:ascii="微软雅黑"/>
                <w:b/>
                <w:spacing w:val="1"/>
                <w:w w:val="111"/>
                <w:sz w:val="21"/>
              </w:rPr>
              <w:t>1</w:t>
            </w:r>
            <w:r>
              <w:rPr>
                <w:rFonts w:ascii="微软雅黑"/>
                <w:b/>
                <w:w w:val="81"/>
                <w:sz w:val="21"/>
              </w:rPr>
              <w:t>1</w:t>
            </w:r>
          </w:p>
        </w:tc>
        <w:tc>
          <w:tcPr>
            <w:tcW w:w="1247" w:type="dxa"/>
          </w:tcPr>
          <w:p>
            <w:pPr>
              <w:pStyle w:val="TableParagraph"/>
              <w:spacing w:line="206" w:lineRule="auto" w:before="102"/>
              <w:ind w:left="185" w:right="129"/>
              <w:rPr>
                <w:rFonts w:ascii="微软雅黑" w:eastAsia="微软雅黑" w:hint="eastAsia"/>
                <w:b/>
                <w:sz w:val="21"/>
              </w:rPr>
            </w:pPr>
            <w:r>
              <w:rPr>
                <w:rFonts w:ascii="微软雅黑" w:eastAsia="微软雅黑" w:hint="eastAsia"/>
                <w:b/>
                <w:sz w:val="21"/>
              </w:rPr>
              <w:t>严重脑损伤</w:t>
            </w:r>
          </w:p>
        </w:tc>
        <w:tc>
          <w:tcPr>
            <w:tcW w:w="7927" w:type="dxa"/>
          </w:tcPr>
          <w:p>
            <w:pPr>
              <w:pStyle w:val="TableParagraph"/>
              <w:spacing w:line="273" w:lineRule="auto" w:before="114"/>
              <w:ind w:right="198" w:firstLine="420"/>
              <w:rPr>
                <w:sz w:val="21"/>
              </w:rPr>
            </w:pPr>
            <w:r>
              <w:rPr>
                <w:spacing w:val="-8"/>
                <w:sz w:val="21"/>
              </w:rPr>
              <w:t>指因头部遭受机械性外力，引起脑重要部位损伤，导致神经系统永久性的功能</w:t>
            </w:r>
            <w:r>
              <w:rPr>
                <w:spacing w:val="-14"/>
                <w:w w:val="100"/>
                <w:sz w:val="21"/>
              </w:rPr>
              <w:t>障碍。须由头颅断层扫描</w:t>
            </w:r>
            <w:r>
              <w:rPr>
                <w:spacing w:val="-3"/>
                <w:w w:val="100"/>
                <w:sz w:val="21"/>
              </w:rPr>
              <w:t>（</w:t>
            </w:r>
            <w:r>
              <w:rPr>
                <w:w w:val="100"/>
                <w:sz w:val="21"/>
              </w:rPr>
              <w:t>CT</w:t>
            </w:r>
            <w:r>
              <w:rPr>
                <w:spacing w:val="-106"/>
                <w:w w:val="100"/>
                <w:sz w:val="21"/>
              </w:rPr>
              <w:t>）</w:t>
            </w:r>
            <w:r>
              <w:rPr>
                <w:spacing w:val="-17"/>
                <w:w w:val="100"/>
                <w:sz w:val="21"/>
              </w:rPr>
              <w:t>、核磁共振检查</w:t>
            </w:r>
            <w:r>
              <w:rPr>
                <w:w w:val="100"/>
                <w:sz w:val="21"/>
              </w:rPr>
              <w:t>（</w:t>
            </w:r>
            <w:r>
              <w:rPr>
                <w:spacing w:val="-3"/>
                <w:w w:val="100"/>
                <w:sz w:val="21"/>
              </w:rPr>
              <w:t>M</w:t>
            </w:r>
            <w:r>
              <w:rPr>
                <w:w w:val="100"/>
                <w:sz w:val="21"/>
              </w:rPr>
              <w:t>R</w:t>
            </w:r>
            <w:r>
              <w:rPr>
                <w:spacing w:val="-1"/>
                <w:w w:val="100"/>
                <w:sz w:val="21"/>
              </w:rPr>
              <w:t>I</w:t>
            </w:r>
            <w:r>
              <w:rPr>
                <w:spacing w:val="-51"/>
                <w:w w:val="100"/>
                <w:sz w:val="21"/>
              </w:rPr>
              <w:t>）</w:t>
            </w:r>
            <w:r>
              <w:rPr>
                <w:spacing w:val="-8"/>
                <w:w w:val="100"/>
                <w:sz w:val="21"/>
              </w:rPr>
              <w:t>或正电子发射断层扫描</w:t>
            </w:r>
            <w:r>
              <w:rPr>
                <w:w w:val="100"/>
                <w:sz w:val="21"/>
              </w:rPr>
              <w:t>（</w:t>
            </w:r>
            <w:r>
              <w:rPr>
                <w:spacing w:val="-3"/>
                <w:w w:val="100"/>
                <w:sz w:val="21"/>
              </w:rPr>
              <w:t>P</w:t>
            </w:r>
            <w:r>
              <w:rPr>
                <w:w w:val="100"/>
                <w:sz w:val="21"/>
              </w:rPr>
              <w:t>E</w:t>
            </w:r>
            <w:r>
              <w:rPr>
                <w:spacing w:val="-1"/>
                <w:w w:val="100"/>
                <w:sz w:val="21"/>
              </w:rPr>
              <w:t>T</w:t>
            </w:r>
            <w:r>
              <w:rPr>
                <w:w w:val="100"/>
                <w:sz w:val="21"/>
              </w:rPr>
              <w:t>）</w:t>
            </w:r>
            <w:r>
              <w:rPr>
                <w:spacing w:val="-9"/>
                <w:sz w:val="21"/>
              </w:rPr>
              <w:t>等影像学检查证实。神经系统永久性的功能障碍，指脑损伤 </w:t>
            </w:r>
            <w:r>
              <w:rPr>
                <w:sz w:val="21"/>
              </w:rPr>
              <w:t>180</w:t>
            </w:r>
            <w:r>
              <w:rPr>
                <w:spacing w:val="-10"/>
                <w:sz w:val="21"/>
              </w:rPr>
              <w:t> 天后，仍遗留下列</w:t>
            </w:r>
            <w:r>
              <w:rPr>
                <w:spacing w:val="-5"/>
                <w:sz w:val="21"/>
              </w:rPr>
              <w:t>一种或一种以上障碍：</w:t>
            </w:r>
          </w:p>
          <w:p>
            <w:pPr>
              <w:pStyle w:val="TableParagraph"/>
              <w:spacing w:before="7"/>
              <w:ind w:left="568"/>
              <w:rPr>
                <w:sz w:val="21"/>
              </w:rPr>
            </w:pPr>
            <w:r>
              <w:rPr>
                <w:sz w:val="21"/>
              </w:rPr>
              <w:t>（1）一肢或一肢以上肢体机能完全丧失；</w:t>
            </w:r>
          </w:p>
          <w:p>
            <w:pPr>
              <w:pStyle w:val="TableParagraph"/>
              <w:spacing w:before="36"/>
              <w:ind w:left="568"/>
              <w:rPr>
                <w:sz w:val="21"/>
              </w:rPr>
            </w:pPr>
            <w:r>
              <w:rPr>
                <w:sz w:val="21"/>
              </w:rPr>
              <w:t>（2）语言能力或咀嚼吞咽能力完全丧失；</w:t>
            </w:r>
          </w:p>
          <w:p>
            <w:pPr>
              <w:pStyle w:val="TableParagraph"/>
              <w:spacing w:before="15"/>
              <w:ind w:right="315" w:firstLine="439"/>
              <w:rPr>
                <w:sz w:val="21"/>
              </w:rPr>
            </w:pPr>
            <w:r>
              <w:rPr>
                <w:sz w:val="21"/>
              </w:rPr>
              <w:t>（3）自主生活能力完全丧失，无法独立完成六项基本日常生活活动中的三项或三项以上。</w:t>
            </w:r>
          </w:p>
        </w:tc>
      </w:tr>
      <w:tr>
        <w:trPr>
          <w:trHeight w:val="712" w:hRule="atLeast"/>
        </w:trPr>
        <w:tc>
          <w:tcPr>
            <w:tcW w:w="1025" w:type="dxa"/>
          </w:tcPr>
          <w:p>
            <w:pPr>
              <w:pStyle w:val="TableParagraph"/>
              <w:spacing w:before="62"/>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spacing w:val="1"/>
                <w:w w:val="81"/>
                <w:sz w:val="21"/>
              </w:rPr>
              <w:t>12</w:t>
            </w:r>
          </w:p>
        </w:tc>
        <w:tc>
          <w:tcPr>
            <w:tcW w:w="1247" w:type="dxa"/>
          </w:tcPr>
          <w:p>
            <w:pPr>
              <w:pStyle w:val="TableParagraph"/>
              <w:spacing w:line="312" w:lineRule="exact" w:before="120"/>
              <w:ind w:left="185" w:right="129"/>
              <w:rPr>
                <w:rFonts w:ascii="微软雅黑" w:hAnsi="微软雅黑" w:eastAsia="微软雅黑" w:hint="eastAsia"/>
                <w:b/>
                <w:sz w:val="21"/>
              </w:rPr>
            </w:pPr>
            <w:r>
              <w:rPr>
                <w:rFonts w:ascii="微软雅黑" w:hAnsi="微软雅黑" w:eastAsia="微软雅黑" w:hint="eastAsia"/>
                <w:b/>
                <w:sz w:val="21"/>
              </w:rPr>
              <w:t>严重Ⅲ度烧伤</w:t>
            </w:r>
          </w:p>
        </w:tc>
        <w:tc>
          <w:tcPr>
            <w:tcW w:w="7927" w:type="dxa"/>
          </w:tcPr>
          <w:p>
            <w:pPr>
              <w:pStyle w:val="TableParagraph"/>
              <w:spacing w:line="237" w:lineRule="auto" w:before="105"/>
              <w:ind w:right="334" w:firstLine="420"/>
              <w:rPr>
                <w:sz w:val="21"/>
              </w:rPr>
            </w:pPr>
            <w:r>
              <w:rPr>
                <w:spacing w:val="-5"/>
                <w:sz w:val="21"/>
              </w:rPr>
              <w:t>指烧伤程度为Ⅲ度，且Ⅲ度烧伤的面积达到全身体表面积的 </w:t>
            </w:r>
            <w:r>
              <w:rPr>
                <w:sz w:val="21"/>
              </w:rPr>
              <w:t>20</w:t>
            </w:r>
            <w:r>
              <w:rPr>
                <w:spacing w:val="-14"/>
                <w:sz w:val="21"/>
              </w:rPr>
              <w:t>%或 </w:t>
            </w:r>
            <w:r>
              <w:rPr>
                <w:sz w:val="21"/>
              </w:rPr>
              <w:t>20</w:t>
            </w:r>
            <w:r>
              <w:rPr>
                <w:spacing w:val="-1"/>
                <w:sz w:val="21"/>
              </w:rPr>
              <w:t>%以上。</w:t>
            </w:r>
            <w:r>
              <w:rPr>
                <w:spacing w:val="-3"/>
                <w:sz w:val="21"/>
              </w:rPr>
              <w:t>体表面积根据《中国新九分法》计算。</w:t>
            </w:r>
          </w:p>
        </w:tc>
      </w:tr>
    </w:tbl>
    <w:p>
      <w:pPr>
        <w:spacing w:after="0" w:line="237" w:lineRule="auto"/>
        <w:rPr>
          <w:sz w:val="21"/>
        </w:rPr>
        <w:sectPr>
          <w:pgSz w:w="11910" w:h="16840"/>
          <w:pgMar w:header="857" w:footer="992" w:top="1040" w:bottom="1180" w:left="800" w:right="700"/>
        </w:sectPr>
      </w:pPr>
    </w:p>
    <w:p>
      <w:pPr>
        <w:pStyle w:val="BodyText"/>
        <w:spacing w:before="6"/>
        <w:rPr>
          <w:rFonts w:ascii="Times New Roman"/>
          <w:sz w:val="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25"/>
        <w:gridCol w:w="1247"/>
        <w:gridCol w:w="7896"/>
      </w:tblGrid>
      <w:tr>
        <w:trPr>
          <w:trHeight w:val="2558" w:hRule="atLeast"/>
        </w:trPr>
        <w:tc>
          <w:tcPr>
            <w:tcW w:w="1025" w:type="dxa"/>
            <w:tcBorders>
              <w:top w:val="single" w:sz="18" w:space="0" w:color="000000"/>
            </w:tcBorders>
          </w:tcPr>
          <w:p>
            <w:pPr>
              <w:pStyle w:val="TableParagraph"/>
              <w:spacing w:before="8"/>
              <w:ind w:left="0"/>
              <w:rPr>
                <w:rFonts w:ascii="Times New Roman"/>
                <w:sz w:val="17"/>
              </w:rPr>
            </w:pPr>
          </w:p>
          <w:p>
            <w:pPr>
              <w:pStyle w:val="TableParagraph"/>
              <w:spacing w:before="1"/>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4</w:t>
            </w:r>
            <w:r>
              <w:rPr>
                <w:rFonts w:ascii="微软雅黑"/>
                <w:b/>
                <w:w w:val="176"/>
                <w:sz w:val="21"/>
              </w:rPr>
              <w:t>.</w:t>
            </w:r>
            <w:r>
              <w:rPr>
                <w:rFonts w:ascii="微软雅黑"/>
                <w:b/>
                <w:spacing w:val="1"/>
                <w:w w:val="81"/>
                <w:sz w:val="21"/>
              </w:rPr>
              <w:t>13</w:t>
            </w:r>
          </w:p>
        </w:tc>
        <w:tc>
          <w:tcPr>
            <w:tcW w:w="1247" w:type="dxa"/>
            <w:tcBorders>
              <w:top w:val="single" w:sz="18" w:space="0" w:color="000000"/>
            </w:tcBorders>
          </w:tcPr>
          <w:p>
            <w:pPr>
              <w:pStyle w:val="TableParagraph"/>
              <w:spacing w:before="2"/>
              <w:ind w:left="0"/>
              <w:rPr>
                <w:rFonts w:ascii="Times New Roman"/>
                <w:sz w:val="22"/>
              </w:rPr>
            </w:pPr>
          </w:p>
          <w:p>
            <w:pPr>
              <w:pStyle w:val="TableParagraph"/>
              <w:spacing w:line="206" w:lineRule="auto"/>
              <w:ind w:left="185" w:right="129"/>
              <w:jc w:val="both"/>
              <w:rPr>
                <w:rFonts w:ascii="微软雅黑" w:eastAsia="微软雅黑" w:hint="eastAsia"/>
                <w:b/>
                <w:sz w:val="21"/>
              </w:rPr>
            </w:pPr>
            <w:r>
              <w:rPr>
                <w:rFonts w:ascii="微软雅黑" w:eastAsia="微软雅黑" w:hint="eastAsia"/>
                <w:b/>
                <w:sz w:val="21"/>
              </w:rPr>
              <w:t>重型再生障碍性贫血</w:t>
            </w:r>
          </w:p>
        </w:tc>
        <w:tc>
          <w:tcPr>
            <w:tcW w:w="7896" w:type="dxa"/>
            <w:tcBorders>
              <w:top w:val="single" w:sz="18" w:space="0" w:color="000000"/>
            </w:tcBorders>
          </w:tcPr>
          <w:p>
            <w:pPr>
              <w:pStyle w:val="TableParagraph"/>
              <w:spacing w:before="2"/>
              <w:ind w:left="0"/>
              <w:rPr>
                <w:rFonts w:ascii="Times New Roman"/>
                <w:sz w:val="23"/>
              </w:rPr>
            </w:pPr>
          </w:p>
          <w:p>
            <w:pPr>
              <w:pStyle w:val="TableParagraph"/>
              <w:spacing w:line="273" w:lineRule="auto"/>
              <w:ind w:right="284" w:firstLine="420"/>
              <w:rPr>
                <w:sz w:val="21"/>
              </w:rPr>
            </w:pPr>
            <w:r>
              <w:rPr>
                <w:sz w:val="21"/>
              </w:rPr>
              <w:t>指因骨髓造血功能慢性持续性衰竭导致的贫血、中性粒细胞减少及血小板减少。须满足下列全部条件：</w:t>
            </w:r>
          </w:p>
          <w:p>
            <w:pPr>
              <w:pStyle w:val="TableParagraph"/>
              <w:spacing w:before="7"/>
              <w:ind w:left="549"/>
              <w:rPr>
                <w:sz w:val="21"/>
              </w:rPr>
            </w:pPr>
            <w:r>
              <w:rPr>
                <w:sz w:val="21"/>
              </w:rPr>
              <w:t>（1）骨髓穿刺检查或骨髓活检结果支持诊断；</w:t>
            </w:r>
          </w:p>
          <w:p>
            <w:pPr>
              <w:pStyle w:val="TableParagraph"/>
              <w:spacing w:before="36"/>
              <w:ind w:left="549"/>
              <w:rPr>
                <w:sz w:val="21"/>
              </w:rPr>
            </w:pPr>
            <w:r>
              <w:rPr>
                <w:sz w:val="21"/>
              </w:rPr>
              <w:t>（2）外周血象须具备以下三项条件：</w:t>
            </w:r>
          </w:p>
          <w:p>
            <w:pPr>
              <w:pStyle w:val="TableParagraph"/>
              <w:tabs>
                <w:tab w:pos="1077" w:val="left" w:leader="none"/>
              </w:tabs>
              <w:spacing w:before="36"/>
              <w:ind w:left="655"/>
              <w:rPr>
                <w:sz w:val="21"/>
              </w:rPr>
            </w:pPr>
            <w:r>
              <w:rPr>
                <w:sz w:val="21"/>
              </w:rPr>
              <w:t>①</w:t>
              <w:tab/>
            </w:r>
            <w:r>
              <w:rPr>
                <w:spacing w:val="-3"/>
                <w:sz w:val="21"/>
              </w:rPr>
              <w:t>中性粒细胞绝对值</w:t>
            </w:r>
            <w:r>
              <w:rPr>
                <w:spacing w:val="-1"/>
                <w:sz w:val="21"/>
              </w:rPr>
              <w:t>≤0.5×10</w:t>
            </w:r>
            <w:r>
              <w:rPr>
                <w:spacing w:val="-1"/>
                <w:position w:val="11"/>
                <w:sz w:val="11"/>
              </w:rPr>
              <w:t>9</w:t>
            </w:r>
            <w:r>
              <w:rPr>
                <w:spacing w:val="-1"/>
                <w:sz w:val="21"/>
              </w:rPr>
              <w:t>/L；</w:t>
            </w:r>
          </w:p>
          <w:p>
            <w:pPr>
              <w:pStyle w:val="TableParagraph"/>
              <w:tabs>
                <w:tab w:pos="1077" w:val="left" w:leader="none"/>
              </w:tabs>
              <w:spacing w:before="36"/>
              <w:ind w:left="655"/>
              <w:rPr>
                <w:sz w:val="21"/>
              </w:rPr>
            </w:pPr>
            <w:r>
              <w:rPr>
                <w:sz w:val="21"/>
              </w:rPr>
              <w:t>②</w:t>
              <w:tab/>
            </w:r>
            <w:r>
              <w:rPr>
                <w:spacing w:val="-3"/>
                <w:sz w:val="21"/>
              </w:rPr>
              <w:t>网织红细胞＜</w:t>
            </w:r>
            <w:r>
              <w:rPr>
                <w:spacing w:val="-1"/>
                <w:sz w:val="21"/>
              </w:rPr>
              <w:t>1%；</w:t>
            </w:r>
          </w:p>
          <w:p>
            <w:pPr>
              <w:pStyle w:val="TableParagraph"/>
              <w:tabs>
                <w:tab w:pos="1077" w:val="left" w:leader="none"/>
              </w:tabs>
              <w:spacing w:before="15"/>
              <w:ind w:left="655"/>
              <w:rPr>
                <w:sz w:val="21"/>
              </w:rPr>
            </w:pPr>
            <w:r>
              <w:rPr>
                <w:sz w:val="21"/>
              </w:rPr>
              <w:t>③</w:t>
              <w:tab/>
            </w:r>
            <w:r>
              <w:rPr>
                <w:spacing w:val="-3"/>
                <w:sz w:val="21"/>
              </w:rPr>
              <w:t>血小板绝对值≤</w:t>
            </w:r>
            <w:r>
              <w:rPr>
                <w:spacing w:val="-1"/>
                <w:sz w:val="21"/>
              </w:rPr>
              <w:t>20×10</w:t>
            </w:r>
            <w:r>
              <w:rPr>
                <w:spacing w:val="-1"/>
                <w:position w:val="11"/>
                <w:sz w:val="11"/>
              </w:rPr>
              <w:t>9</w:t>
            </w:r>
            <w:r>
              <w:rPr>
                <w:spacing w:val="-1"/>
                <w:sz w:val="21"/>
              </w:rPr>
              <w:t>/L</w:t>
            </w:r>
            <w:r>
              <w:rPr>
                <w:sz w:val="21"/>
              </w:rPr>
              <w:t>。</w:t>
            </w:r>
          </w:p>
        </w:tc>
      </w:tr>
      <w:tr>
        <w:trPr>
          <w:trHeight w:val="4356" w:hRule="atLeast"/>
        </w:trPr>
        <w:tc>
          <w:tcPr>
            <w:tcW w:w="1025" w:type="dxa"/>
          </w:tcPr>
          <w:p>
            <w:pPr>
              <w:pStyle w:val="TableParagraph"/>
              <w:spacing w:before="62"/>
              <w:ind w:left="200"/>
              <w:rPr>
                <w:rFonts w:ascii="微软雅黑"/>
                <w:b/>
                <w:sz w:val="21"/>
              </w:rPr>
            </w:pPr>
            <w:r>
              <w:rPr>
                <w:rFonts w:ascii="微软雅黑"/>
                <w:b/>
                <w:sz w:val="21"/>
              </w:rPr>
              <w:t>5.4.14</w:t>
            </w:r>
          </w:p>
        </w:tc>
        <w:tc>
          <w:tcPr>
            <w:tcW w:w="1247" w:type="dxa"/>
          </w:tcPr>
          <w:p>
            <w:pPr>
              <w:pStyle w:val="TableParagraph"/>
              <w:spacing w:line="206" w:lineRule="auto" w:before="113"/>
              <w:ind w:left="185" w:right="129"/>
              <w:jc w:val="both"/>
              <w:rPr>
                <w:rFonts w:ascii="微软雅黑" w:eastAsia="微软雅黑" w:hint="eastAsia"/>
                <w:b/>
                <w:sz w:val="21"/>
              </w:rPr>
            </w:pPr>
            <w:r>
              <w:rPr>
                <w:rFonts w:ascii="微软雅黑" w:eastAsia="微软雅黑" w:hint="eastAsia"/>
                <w:b/>
                <w:sz w:val="21"/>
              </w:rPr>
              <w:t>重症心肌炎伴充血性心力衰竭</w:t>
            </w:r>
          </w:p>
        </w:tc>
        <w:tc>
          <w:tcPr>
            <w:tcW w:w="7896" w:type="dxa"/>
          </w:tcPr>
          <w:p>
            <w:pPr>
              <w:pStyle w:val="TableParagraph"/>
              <w:spacing w:line="237" w:lineRule="auto" w:before="105"/>
              <w:ind w:right="275" w:firstLine="420"/>
              <w:rPr>
                <w:sz w:val="21"/>
              </w:rPr>
            </w:pPr>
            <w:r>
              <w:rPr>
                <w:spacing w:val="-8"/>
                <w:sz w:val="21"/>
              </w:rPr>
              <w:t>指心肌的局限性或弥漫性炎性病变，心肌纤维发生变性和坏死，导致心脏功能</w:t>
            </w:r>
            <w:r>
              <w:rPr>
                <w:spacing w:val="-5"/>
                <w:sz w:val="21"/>
              </w:rPr>
              <w:t>衰竭，但先天性疾病造成的除外。其诊断标准必须同时符合下列条件：</w:t>
            </w:r>
          </w:p>
          <w:p>
            <w:pPr>
              <w:pStyle w:val="TableParagraph"/>
              <w:spacing w:line="272" w:lineRule="exact"/>
              <w:ind w:left="534"/>
              <w:rPr>
                <w:sz w:val="21"/>
              </w:rPr>
            </w:pPr>
            <w:r>
              <w:rPr>
                <w:sz w:val="21"/>
              </w:rPr>
              <w:t>1．明确的心肌炎诊断，须同时具备下列临床表现及检查结果：</w:t>
            </w:r>
          </w:p>
          <w:p>
            <w:pPr>
              <w:pStyle w:val="TableParagraph"/>
              <w:spacing w:line="273" w:lineRule="exact"/>
              <w:ind w:left="534"/>
              <w:rPr>
                <w:sz w:val="21"/>
              </w:rPr>
            </w:pPr>
            <w:r>
              <w:rPr>
                <w:sz w:val="21"/>
              </w:rPr>
              <w:t>（1）胸痛、心悸、全身乏力的症状；</w:t>
            </w:r>
          </w:p>
          <w:p>
            <w:pPr>
              <w:pStyle w:val="TableParagraph"/>
              <w:spacing w:line="273" w:lineRule="exact"/>
              <w:ind w:left="549"/>
              <w:rPr>
                <w:sz w:val="21"/>
              </w:rPr>
            </w:pPr>
            <w:r>
              <w:rPr>
                <w:sz w:val="21"/>
              </w:rPr>
              <w:t>（2）新近的心电图改变提显示心肌炎；</w:t>
            </w:r>
          </w:p>
          <w:p>
            <w:pPr>
              <w:pStyle w:val="TableParagraph"/>
              <w:spacing w:line="272" w:lineRule="exact"/>
              <w:ind w:left="549"/>
              <w:rPr>
                <w:sz w:val="21"/>
              </w:rPr>
            </w:pPr>
            <w:r>
              <w:rPr>
                <w:sz w:val="21"/>
              </w:rPr>
              <w:t>（3）体检有心脏扩大、心音减弱、心动过速或过缓等体征；</w:t>
            </w:r>
          </w:p>
          <w:p>
            <w:pPr>
              <w:pStyle w:val="TableParagraph"/>
              <w:spacing w:line="272" w:lineRule="exact"/>
              <w:ind w:left="551"/>
              <w:rPr>
                <w:sz w:val="21"/>
              </w:rPr>
            </w:pPr>
            <w:r>
              <w:rPr>
                <w:sz w:val="21"/>
              </w:rPr>
              <w:t>2．心力衰竭诊断，下列临床表现及检查结果呈阳性达 4 项者：</w:t>
            </w:r>
          </w:p>
          <w:p>
            <w:pPr>
              <w:pStyle w:val="TableParagraph"/>
              <w:spacing w:line="272" w:lineRule="exact"/>
              <w:ind w:left="551"/>
              <w:rPr>
                <w:sz w:val="21"/>
              </w:rPr>
            </w:pPr>
            <w:r>
              <w:rPr>
                <w:sz w:val="21"/>
              </w:rPr>
              <w:t>（1）突发呼吸困难；</w:t>
            </w:r>
          </w:p>
          <w:p>
            <w:pPr>
              <w:pStyle w:val="TableParagraph"/>
              <w:spacing w:line="272" w:lineRule="exact"/>
              <w:ind w:left="551"/>
              <w:rPr>
                <w:sz w:val="21"/>
              </w:rPr>
            </w:pPr>
            <w:r>
              <w:rPr>
                <w:sz w:val="21"/>
              </w:rPr>
              <w:t>（2）心动过速、室性奔马律；</w:t>
            </w:r>
          </w:p>
          <w:p>
            <w:pPr>
              <w:pStyle w:val="TableParagraph"/>
              <w:spacing w:line="272" w:lineRule="exact"/>
              <w:ind w:left="551"/>
              <w:rPr>
                <w:sz w:val="21"/>
              </w:rPr>
            </w:pPr>
            <w:r>
              <w:rPr>
                <w:sz w:val="21"/>
              </w:rPr>
              <w:t>（3）心脏肿大、肺部罗音；</w:t>
            </w:r>
          </w:p>
          <w:p>
            <w:pPr>
              <w:pStyle w:val="TableParagraph"/>
              <w:spacing w:line="272" w:lineRule="exact"/>
              <w:ind w:left="551"/>
              <w:rPr>
                <w:sz w:val="21"/>
              </w:rPr>
            </w:pPr>
            <w:r>
              <w:rPr>
                <w:sz w:val="21"/>
              </w:rPr>
              <w:t>（4）颈静脉压&gt;2.1KPa 并有肝肿大或身体水肿；</w:t>
            </w:r>
          </w:p>
          <w:p>
            <w:pPr>
              <w:pStyle w:val="TableParagraph"/>
              <w:spacing w:line="271" w:lineRule="exact"/>
              <w:ind w:left="551"/>
              <w:rPr>
                <w:sz w:val="21"/>
              </w:rPr>
            </w:pPr>
            <w:r>
              <w:rPr>
                <w:sz w:val="21"/>
              </w:rPr>
              <w:t>（5）新近的心电图改变提示心力衰竭；</w:t>
            </w:r>
          </w:p>
          <w:p>
            <w:pPr>
              <w:pStyle w:val="TableParagraph"/>
              <w:spacing w:line="272" w:lineRule="exact"/>
              <w:ind w:left="551"/>
              <w:rPr>
                <w:sz w:val="21"/>
              </w:rPr>
            </w:pPr>
            <w:r>
              <w:rPr>
                <w:sz w:val="21"/>
              </w:rPr>
              <w:t>（6）X 线胸片：肺淤血或心影扩大；</w:t>
            </w:r>
          </w:p>
          <w:p>
            <w:pPr>
              <w:pStyle w:val="TableParagraph"/>
              <w:spacing w:line="237" w:lineRule="auto" w:before="3"/>
              <w:ind w:right="275" w:firstLine="420"/>
              <w:rPr>
                <w:sz w:val="21"/>
              </w:rPr>
            </w:pPr>
            <w:r>
              <w:rPr>
                <w:sz w:val="21"/>
              </w:rPr>
              <w:t>（7）超声心动图检查：心脏及大血管的解剖结构改变、血液动力学改变、心功能情况改变提示心力衰竭。</w:t>
            </w:r>
          </w:p>
        </w:tc>
      </w:tr>
      <w:tr>
        <w:trPr>
          <w:trHeight w:val="1120" w:hRule="atLeast"/>
        </w:trPr>
        <w:tc>
          <w:tcPr>
            <w:tcW w:w="1025" w:type="dxa"/>
          </w:tcPr>
          <w:p>
            <w:pPr>
              <w:pStyle w:val="TableParagraph"/>
              <w:spacing w:before="62"/>
              <w:ind w:left="200"/>
              <w:rPr>
                <w:rFonts w:ascii="微软雅黑"/>
                <w:b/>
                <w:sz w:val="21"/>
              </w:rPr>
            </w:pPr>
            <w:r>
              <w:rPr>
                <w:rFonts w:ascii="微软雅黑"/>
                <w:b/>
                <w:sz w:val="21"/>
              </w:rPr>
              <w:t>5.4.15</w:t>
            </w:r>
          </w:p>
        </w:tc>
        <w:tc>
          <w:tcPr>
            <w:tcW w:w="1247" w:type="dxa"/>
          </w:tcPr>
          <w:p>
            <w:pPr>
              <w:pStyle w:val="TableParagraph"/>
              <w:spacing w:line="206" w:lineRule="auto" w:before="113"/>
              <w:ind w:left="185" w:right="129"/>
              <w:rPr>
                <w:rFonts w:ascii="微软雅黑" w:eastAsia="微软雅黑" w:hint="eastAsia"/>
                <w:b/>
                <w:sz w:val="21"/>
              </w:rPr>
            </w:pPr>
            <w:r>
              <w:rPr>
                <w:rFonts w:ascii="微软雅黑" w:eastAsia="微软雅黑" w:hint="eastAsia"/>
                <w:b/>
                <w:sz w:val="21"/>
              </w:rPr>
              <w:t>脊髓灰质炎</w:t>
            </w:r>
          </w:p>
        </w:tc>
        <w:tc>
          <w:tcPr>
            <w:tcW w:w="7896" w:type="dxa"/>
          </w:tcPr>
          <w:p>
            <w:pPr>
              <w:pStyle w:val="TableParagraph"/>
              <w:spacing w:line="194" w:lineRule="auto" w:before="155"/>
              <w:ind w:left="551" w:right="201" w:hanging="3"/>
              <w:rPr>
                <w:rFonts w:ascii="微软雅黑" w:eastAsia="微软雅黑" w:hint="eastAsia"/>
                <w:b/>
                <w:sz w:val="21"/>
              </w:rPr>
            </w:pPr>
            <w:r>
              <w:rPr>
                <w:sz w:val="21"/>
              </w:rPr>
              <w:t>指因脊髓灰质炎病毒感染导致的呼吸功能减弱麻痹性瘫痪或运动功能障碍。</w:t>
            </w:r>
            <w:r>
              <w:rPr>
                <w:rFonts w:ascii="微软雅黑" w:eastAsia="微软雅黑" w:hint="eastAsia"/>
                <w:b/>
                <w:sz w:val="21"/>
              </w:rPr>
              <w:t>非脊髓灰质炎病毒感染导致的麻痹性瘫痪，以及其他病因导致的麻痹（例如格</w:t>
            </w:r>
          </w:p>
          <w:p>
            <w:pPr>
              <w:pStyle w:val="TableParagraph"/>
              <w:spacing w:line="271" w:lineRule="exact"/>
              <w:rPr>
                <w:rFonts w:ascii="微软雅黑" w:eastAsia="微软雅黑" w:hint="eastAsia"/>
                <w:b/>
                <w:sz w:val="21"/>
              </w:rPr>
            </w:pPr>
            <w:r>
              <w:rPr>
                <w:rFonts w:ascii="微软雅黑" w:eastAsia="微软雅黑" w:hint="eastAsia"/>
                <w:b/>
                <w:w w:val="100"/>
                <w:sz w:val="21"/>
              </w:rPr>
              <w:t>林巴利综合征</w:t>
            </w:r>
            <w:r>
              <w:rPr>
                <w:rFonts w:ascii="微软雅黑" w:eastAsia="微软雅黑" w:hint="eastAsia"/>
                <w:b/>
                <w:spacing w:val="-106"/>
                <w:w w:val="100"/>
                <w:sz w:val="21"/>
              </w:rPr>
              <w:t>）</w:t>
            </w:r>
            <w:r>
              <w:rPr>
                <w:rFonts w:ascii="微软雅黑" w:eastAsia="微软雅黑" w:hint="eastAsia"/>
                <w:b/>
                <w:spacing w:val="-2"/>
                <w:w w:val="100"/>
                <w:sz w:val="21"/>
              </w:rPr>
              <w:t>，不在保障范围内。</w:t>
            </w:r>
          </w:p>
        </w:tc>
      </w:tr>
      <w:tr>
        <w:trPr>
          <w:trHeight w:val="927" w:hRule="atLeast"/>
        </w:trPr>
        <w:tc>
          <w:tcPr>
            <w:tcW w:w="1025" w:type="dxa"/>
          </w:tcPr>
          <w:p>
            <w:pPr>
              <w:pStyle w:val="TableParagraph"/>
              <w:spacing w:before="71"/>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5</w:t>
            </w:r>
          </w:p>
        </w:tc>
        <w:tc>
          <w:tcPr>
            <w:tcW w:w="1247" w:type="dxa"/>
          </w:tcPr>
          <w:p>
            <w:pPr>
              <w:pStyle w:val="TableParagraph"/>
              <w:spacing w:before="71"/>
              <w:ind w:left="185"/>
              <w:rPr>
                <w:rFonts w:ascii="微软雅黑" w:eastAsia="微软雅黑" w:hint="eastAsia"/>
                <w:b/>
                <w:sz w:val="21"/>
              </w:rPr>
            </w:pPr>
            <w:r>
              <w:rPr>
                <w:rFonts w:ascii="微软雅黑" w:eastAsia="微软雅黑" w:hint="eastAsia"/>
                <w:b/>
                <w:sz w:val="21"/>
              </w:rPr>
              <w:t>意外伤害</w:t>
            </w:r>
          </w:p>
        </w:tc>
        <w:tc>
          <w:tcPr>
            <w:tcW w:w="7896" w:type="dxa"/>
          </w:tcPr>
          <w:p>
            <w:pPr>
              <w:pStyle w:val="TableParagraph"/>
              <w:spacing w:line="273" w:lineRule="auto" w:before="134"/>
              <w:ind w:right="275" w:firstLine="420"/>
              <w:rPr>
                <w:sz w:val="21"/>
              </w:rPr>
            </w:pPr>
            <w:r>
              <w:rPr>
                <w:spacing w:val="-11"/>
                <w:sz w:val="21"/>
              </w:rPr>
              <w:t>指以外来的、突发的、非本意的、非疾病的客观事件为直接且主要原因导致的</w:t>
            </w:r>
            <w:r>
              <w:rPr>
                <w:spacing w:val="-6"/>
                <w:sz w:val="21"/>
              </w:rPr>
              <w:t>身体伤害。</w:t>
            </w:r>
          </w:p>
        </w:tc>
      </w:tr>
      <w:tr>
        <w:trPr>
          <w:trHeight w:val="1248" w:hRule="atLeast"/>
        </w:trPr>
        <w:tc>
          <w:tcPr>
            <w:tcW w:w="1025" w:type="dxa"/>
          </w:tcPr>
          <w:p>
            <w:pPr>
              <w:pStyle w:val="TableParagraph"/>
              <w:spacing w:before="80"/>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6</w:t>
            </w:r>
          </w:p>
        </w:tc>
        <w:tc>
          <w:tcPr>
            <w:tcW w:w="1247" w:type="dxa"/>
          </w:tcPr>
          <w:p>
            <w:pPr>
              <w:pStyle w:val="TableParagraph"/>
              <w:spacing w:before="80"/>
              <w:ind w:left="185"/>
              <w:rPr>
                <w:rFonts w:ascii="微软雅黑" w:eastAsia="微软雅黑" w:hint="eastAsia"/>
                <w:b/>
                <w:sz w:val="21"/>
              </w:rPr>
            </w:pPr>
            <w:r>
              <w:rPr>
                <w:rFonts w:ascii="微软雅黑" w:eastAsia="微软雅黑" w:hint="eastAsia"/>
                <w:b/>
                <w:sz w:val="21"/>
              </w:rPr>
              <w:t>毒品</w:t>
            </w:r>
          </w:p>
        </w:tc>
        <w:tc>
          <w:tcPr>
            <w:tcW w:w="7896" w:type="dxa"/>
          </w:tcPr>
          <w:p>
            <w:pPr>
              <w:pStyle w:val="TableParagraph"/>
              <w:spacing w:line="273" w:lineRule="auto" w:before="142"/>
              <w:ind w:right="273" w:firstLine="420"/>
              <w:jc w:val="both"/>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w:t>
            </w:r>
            <w:r>
              <w:rPr>
                <w:spacing w:val="-9"/>
                <w:sz w:val="21"/>
              </w:rPr>
              <w:t>麻、可卡因以及国家规定管制的其他能够使人形成瘾癖的麻醉药品和精神药品，但</w:t>
            </w:r>
            <w:r>
              <w:rPr>
                <w:spacing w:val="-5"/>
                <w:sz w:val="21"/>
              </w:rPr>
              <w:t>不包括由医生开具并遵医嘱使用的用于治疗疾病但含有毒品成分的处方药品。</w:t>
            </w:r>
          </w:p>
        </w:tc>
      </w:tr>
      <w:tr>
        <w:trPr>
          <w:trHeight w:val="1248" w:hRule="atLeast"/>
        </w:trPr>
        <w:tc>
          <w:tcPr>
            <w:tcW w:w="1025" w:type="dxa"/>
          </w:tcPr>
          <w:p>
            <w:pPr>
              <w:pStyle w:val="TableParagraph"/>
              <w:spacing w:before="80"/>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7</w:t>
            </w:r>
          </w:p>
        </w:tc>
        <w:tc>
          <w:tcPr>
            <w:tcW w:w="1247" w:type="dxa"/>
          </w:tcPr>
          <w:p>
            <w:pPr>
              <w:pStyle w:val="TableParagraph"/>
              <w:spacing w:before="80"/>
              <w:ind w:left="185"/>
              <w:rPr>
                <w:rFonts w:ascii="微软雅黑" w:eastAsia="微软雅黑" w:hint="eastAsia"/>
                <w:b/>
                <w:sz w:val="21"/>
              </w:rPr>
            </w:pPr>
            <w:r>
              <w:rPr>
                <w:rFonts w:ascii="微软雅黑" w:eastAsia="微软雅黑" w:hint="eastAsia"/>
                <w:b/>
                <w:sz w:val="21"/>
              </w:rPr>
              <w:t>酒后驾驶</w:t>
            </w:r>
          </w:p>
        </w:tc>
        <w:tc>
          <w:tcPr>
            <w:tcW w:w="7896" w:type="dxa"/>
          </w:tcPr>
          <w:p>
            <w:pPr>
              <w:pStyle w:val="TableParagraph"/>
              <w:spacing w:line="273" w:lineRule="auto" w:before="143"/>
              <w:ind w:right="198" w:firstLine="420"/>
              <w:rPr>
                <w:sz w:val="21"/>
              </w:rPr>
            </w:pPr>
            <w:r>
              <w:rPr>
                <w:spacing w:val="-10"/>
                <w:sz w:val="21"/>
              </w:rPr>
              <w:t>指经检测或鉴定，发生事故时车辆驾驶人员每百毫升血液中的酒精含量达到或</w:t>
            </w:r>
            <w:r>
              <w:rPr>
                <w:spacing w:val="-5"/>
                <w:sz w:val="21"/>
              </w:rPr>
              <w:t>超过道路交通法规规定的标准，或公安机关交通管理部门依据《道路交通安全法》</w:t>
            </w:r>
            <w:r>
              <w:rPr>
                <w:spacing w:val="-4"/>
                <w:sz w:val="21"/>
              </w:rPr>
              <w:t>的规定认定为饮酒后驾驶或醉酒后驾驶。</w:t>
            </w:r>
          </w:p>
        </w:tc>
      </w:tr>
      <w:tr>
        <w:trPr>
          <w:trHeight w:val="2184" w:hRule="atLeast"/>
        </w:trPr>
        <w:tc>
          <w:tcPr>
            <w:tcW w:w="1025" w:type="dxa"/>
          </w:tcPr>
          <w:p>
            <w:pPr>
              <w:pStyle w:val="TableParagraph"/>
              <w:spacing w:before="80"/>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8</w:t>
            </w:r>
          </w:p>
        </w:tc>
        <w:tc>
          <w:tcPr>
            <w:tcW w:w="1247" w:type="dxa"/>
          </w:tcPr>
          <w:p>
            <w:pPr>
              <w:pStyle w:val="TableParagraph"/>
              <w:spacing w:line="206" w:lineRule="auto" w:before="131"/>
              <w:ind w:left="185" w:right="214"/>
              <w:jc w:val="both"/>
              <w:rPr>
                <w:rFonts w:ascii="微软雅黑" w:eastAsia="微软雅黑" w:hint="eastAsia"/>
                <w:b/>
                <w:sz w:val="21"/>
              </w:rPr>
            </w:pPr>
            <w:r>
              <w:rPr>
                <w:rFonts w:ascii="微软雅黑" w:eastAsia="微软雅黑" w:hint="eastAsia"/>
                <w:b/>
                <w:sz w:val="21"/>
              </w:rPr>
              <w:t>无合法有效驾驶证驾驶</w:t>
            </w:r>
          </w:p>
        </w:tc>
        <w:tc>
          <w:tcPr>
            <w:tcW w:w="7896" w:type="dxa"/>
          </w:tcPr>
          <w:p>
            <w:pPr>
              <w:pStyle w:val="TableParagraph"/>
              <w:spacing w:before="142"/>
              <w:ind w:left="549"/>
              <w:rPr>
                <w:sz w:val="21"/>
              </w:rPr>
            </w:pPr>
            <w:r>
              <w:rPr>
                <w:sz w:val="21"/>
              </w:rPr>
              <w:t>指下列情形之一：</w:t>
            </w:r>
          </w:p>
          <w:p>
            <w:pPr>
              <w:pStyle w:val="TableParagraph"/>
              <w:spacing w:before="36"/>
              <w:ind w:left="549"/>
              <w:rPr>
                <w:sz w:val="21"/>
              </w:rPr>
            </w:pPr>
            <w:r>
              <w:rPr>
                <w:sz w:val="21"/>
              </w:rPr>
              <w:t>1.没有取得驾驶资格；</w:t>
            </w:r>
          </w:p>
          <w:p>
            <w:pPr>
              <w:pStyle w:val="TableParagraph"/>
              <w:spacing w:before="36"/>
              <w:ind w:left="549"/>
              <w:rPr>
                <w:sz w:val="21"/>
              </w:rPr>
            </w:pPr>
            <w:r>
              <w:rPr>
                <w:sz w:val="21"/>
              </w:rPr>
              <w:t>2.驾驶与驾驶证准驾车型不相符合的车辆；</w:t>
            </w:r>
          </w:p>
          <w:p>
            <w:pPr>
              <w:pStyle w:val="TableParagraph"/>
              <w:spacing w:before="36"/>
              <w:ind w:left="549"/>
              <w:rPr>
                <w:sz w:val="21"/>
              </w:rPr>
            </w:pPr>
            <w:r>
              <w:rPr>
                <w:sz w:val="21"/>
              </w:rPr>
              <w:t>3.持审验不合格的驾驶证驾驶；</w:t>
            </w:r>
          </w:p>
          <w:p>
            <w:pPr>
              <w:pStyle w:val="TableParagraph"/>
              <w:spacing w:line="273" w:lineRule="auto" w:before="36"/>
              <w:ind w:right="275" w:firstLine="420"/>
              <w:rPr>
                <w:sz w:val="21"/>
              </w:rPr>
            </w:pPr>
            <w:r>
              <w:rPr>
                <w:sz w:val="21"/>
              </w:rPr>
              <w:t>4.</w:t>
            </w:r>
            <w:r>
              <w:rPr>
                <w:spacing w:val="-8"/>
                <w:sz w:val="21"/>
              </w:rPr>
              <w:t>持学习驾驶证学习驾车时，无教练员随车指导，或不按指定时间、路线学习驾车。</w:t>
            </w:r>
          </w:p>
        </w:tc>
      </w:tr>
      <w:tr>
        <w:trPr>
          <w:trHeight w:val="417" w:hRule="atLeast"/>
        </w:trPr>
        <w:tc>
          <w:tcPr>
            <w:tcW w:w="1025" w:type="dxa"/>
          </w:tcPr>
          <w:p>
            <w:pPr>
              <w:pStyle w:val="TableParagraph"/>
              <w:spacing w:line="317" w:lineRule="exact" w:before="80"/>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9</w:t>
            </w:r>
          </w:p>
        </w:tc>
        <w:tc>
          <w:tcPr>
            <w:tcW w:w="1247" w:type="dxa"/>
          </w:tcPr>
          <w:p>
            <w:pPr>
              <w:pStyle w:val="TableParagraph"/>
              <w:spacing w:line="317" w:lineRule="exact" w:before="80"/>
              <w:ind w:left="185"/>
              <w:rPr>
                <w:rFonts w:ascii="微软雅黑" w:eastAsia="微软雅黑" w:hint="eastAsia"/>
                <w:b/>
                <w:sz w:val="21"/>
              </w:rPr>
            </w:pPr>
            <w:r>
              <w:rPr>
                <w:rFonts w:ascii="微软雅黑" w:eastAsia="微软雅黑" w:hint="eastAsia"/>
                <w:b/>
                <w:sz w:val="21"/>
              </w:rPr>
              <w:t>无有效行</w:t>
            </w:r>
          </w:p>
        </w:tc>
        <w:tc>
          <w:tcPr>
            <w:tcW w:w="7896" w:type="dxa"/>
          </w:tcPr>
          <w:p>
            <w:pPr>
              <w:pStyle w:val="TableParagraph"/>
              <w:spacing w:line="255" w:lineRule="exact" w:before="143"/>
              <w:ind w:left="549"/>
              <w:rPr>
                <w:sz w:val="21"/>
              </w:rPr>
            </w:pPr>
            <w:r>
              <w:rPr>
                <w:sz w:val="21"/>
              </w:rPr>
              <w:t>指下列情形之一：</w:t>
            </w:r>
          </w:p>
        </w:tc>
      </w:tr>
    </w:tbl>
    <w:p>
      <w:pPr>
        <w:spacing w:after="0" w:line="255" w:lineRule="exact"/>
        <w:rPr>
          <w:sz w:val="21"/>
        </w:rPr>
        <w:sectPr>
          <w:pgSz w:w="11910" w:h="16840"/>
          <w:pgMar w:header="857" w:footer="992" w:top="1040" w:bottom="1180" w:left="800" w:right="720"/>
        </w:sectPr>
      </w:pPr>
    </w:p>
    <w:p>
      <w:pPr>
        <w:pStyle w:val="BodyText"/>
        <w:spacing w:before="6"/>
        <w:rPr>
          <w:rFonts w:ascii="Times New Roman"/>
          <w:sz w:val="3"/>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17"/>
        <w:gridCol w:w="1355"/>
        <w:gridCol w:w="7822"/>
      </w:tblGrid>
      <w:tr>
        <w:trPr>
          <w:trHeight w:val="1060" w:hRule="atLeast"/>
        </w:trPr>
        <w:tc>
          <w:tcPr>
            <w:tcW w:w="917" w:type="dxa"/>
            <w:tcBorders>
              <w:top w:val="single" w:sz="18" w:space="0" w:color="000000"/>
            </w:tcBorders>
          </w:tcPr>
          <w:p>
            <w:pPr>
              <w:pStyle w:val="TableParagraph"/>
              <w:ind w:left="0"/>
              <w:rPr>
                <w:rFonts w:ascii="Times New Roman"/>
                <w:sz w:val="20"/>
              </w:rPr>
            </w:pPr>
          </w:p>
        </w:tc>
        <w:tc>
          <w:tcPr>
            <w:tcW w:w="1355" w:type="dxa"/>
            <w:tcBorders>
              <w:top w:val="single" w:sz="18" w:space="0" w:color="000000"/>
            </w:tcBorders>
          </w:tcPr>
          <w:p>
            <w:pPr>
              <w:pStyle w:val="TableParagraph"/>
              <w:spacing w:before="8"/>
              <w:ind w:left="0"/>
              <w:rPr>
                <w:rFonts w:ascii="Times New Roman"/>
                <w:sz w:val="17"/>
              </w:rPr>
            </w:pPr>
          </w:p>
          <w:p>
            <w:pPr>
              <w:pStyle w:val="TableParagraph"/>
              <w:spacing w:before="1"/>
              <w:ind w:left="293"/>
              <w:rPr>
                <w:rFonts w:ascii="微软雅黑" w:eastAsia="微软雅黑" w:hint="eastAsia"/>
                <w:b/>
                <w:sz w:val="21"/>
              </w:rPr>
            </w:pPr>
            <w:r>
              <w:rPr>
                <w:rFonts w:ascii="微软雅黑" w:eastAsia="微软雅黑" w:hint="eastAsia"/>
                <w:b/>
                <w:sz w:val="21"/>
              </w:rPr>
              <w:t>驶证</w:t>
            </w:r>
          </w:p>
        </w:tc>
        <w:tc>
          <w:tcPr>
            <w:tcW w:w="7822" w:type="dxa"/>
            <w:tcBorders>
              <w:top w:val="single" w:sz="18" w:space="0" w:color="000000"/>
            </w:tcBorders>
          </w:tcPr>
          <w:p>
            <w:pPr>
              <w:pStyle w:val="TableParagraph"/>
              <w:spacing w:before="2"/>
              <w:ind w:left="0"/>
              <w:rPr>
                <w:rFonts w:ascii="Times New Roman"/>
                <w:sz w:val="23"/>
              </w:rPr>
            </w:pPr>
          </w:p>
          <w:p>
            <w:pPr>
              <w:pStyle w:val="TableParagraph"/>
              <w:ind w:left="549"/>
              <w:rPr>
                <w:sz w:val="21"/>
              </w:rPr>
            </w:pPr>
            <w:r>
              <w:rPr>
                <w:sz w:val="21"/>
              </w:rPr>
              <w:t>1.机动车被依法注销登记的；</w:t>
            </w:r>
          </w:p>
          <w:p>
            <w:pPr>
              <w:pStyle w:val="TableParagraph"/>
              <w:spacing w:before="37"/>
              <w:ind w:left="549"/>
              <w:rPr>
                <w:sz w:val="21"/>
              </w:rPr>
            </w:pPr>
            <w:r>
              <w:rPr>
                <w:sz w:val="21"/>
              </w:rPr>
              <w:t>2.未依法按时进行或通过机动车安全技术检验。</w:t>
            </w:r>
          </w:p>
        </w:tc>
      </w:tr>
      <w:tr>
        <w:trPr>
          <w:trHeight w:val="935" w:hRule="atLeast"/>
        </w:trPr>
        <w:tc>
          <w:tcPr>
            <w:tcW w:w="917" w:type="dxa"/>
          </w:tcPr>
          <w:p>
            <w:pPr>
              <w:pStyle w:val="TableParagraph"/>
              <w:spacing w:before="80"/>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10</w:t>
            </w:r>
          </w:p>
        </w:tc>
        <w:tc>
          <w:tcPr>
            <w:tcW w:w="1355" w:type="dxa"/>
          </w:tcPr>
          <w:p>
            <w:pPr>
              <w:pStyle w:val="TableParagraph"/>
              <w:spacing w:before="80"/>
              <w:ind w:left="293"/>
              <w:rPr>
                <w:rFonts w:ascii="微软雅黑" w:eastAsia="微软雅黑" w:hint="eastAsia"/>
                <w:b/>
                <w:sz w:val="21"/>
              </w:rPr>
            </w:pPr>
            <w:r>
              <w:rPr>
                <w:rFonts w:ascii="微软雅黑" w:eastAsia="微软雅黑" w:hint="eastAsia"/>
                <w:b/>
                <w:sz w:val="21"/>
              </w:rPr>
              <w:t>机动车</w:t>
            </w:r>
          </w:p>
        </w:tc>
        <w:tc>
          <w:tcPr>
            <w:tcW w:w="7822" w:type="dxa"/>
          </w:tcPr>
          <w:p>
            <w:pPr>
              <w:pStyle w:val="TableParagraph"/>
              <w:spacing w:line="273" w:lineRule="auto" w:before="142"/>
              <w:ind w:right="199" w:firstLine="420"/>
              <w:rPr>
                <w:sz w:val="21"/>
              </w:rPr>
            </w:pPr>
            <w:r>
              <w:rPr>
                <w:spacing w:val="-10"/>
                <w:sz w:val="21"/>
              </w:rPr>
              <w:t>指以动力装置驱动或牵引，供人员乘用或用于运送物品以及进行工程专项作业</w:t>
            </w:r>
            <w:r>
              <w:rPr>
                <w:spacing w:val="-5"/>
                <w:sz w:val="21"/>
              </w:rPr>
              <w:t>的轮式车辆。</w:t>
            </w:r>
          </w:p>
        </w:tc>
      </w:tr>
      <w:tr>
        <w:trPr>
          <w:trHeight w:val="935" w:hRule="atLeast"/>
        </w:trPr>
        <w:tc>
          <w:tcPr>
            <w:tcW w:w="917" w:type="dxa"/>
          </w:tcPr>
          <w:p>
            <w:pPr>
              <w:pStyle w:val="TableParagraph"/>
              <w:spacing w:before="80"/>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11</w:t>
            </w:r>
          </w:p>
        </w:tc>
        <w:tc>
          <w:tcPr>
            <w:tcW w:w="1355" w:type="dxa"/>
          </w:tcPr>
          <w:p>
            <w:pPr>
              <w:pStyle w:val="TableParagraph"/>
              <w:spacing w:line="206" w:lineRule="auto" w:before="131"/>
              <w:ind w:left="293" w:right="129"/>
              <w:rPr>
                <w:rFonts w:ascii="微软雅黑" w:eastAsia="微软雅黑" w:hint="eastAsia"/>
                <w:b/>
                <w:sz w:val="21"/>
              </w:rPr>
            </w:pPr>
            <w:r>
              <w:rPr>
                <w:rFonts w:ascii="微软雅黑" w:eastAsia="微软雅黑" w:hint="eastAsia"/>
                <w:b/>
                <w:sz w:val="21"/>
              </w:rPr>
              <w:t>遗传性疾病</w:t>
            </w:r>
          </w:p>
        </w:tc>
        <w:tc>
          <w:tcPr>
            <w:tcW w:w="7822" w:type="dxa"/>
          </w:tcPr>
          <w:p>
            <w:pPr>
              <w:pStyle w:val="TableParagraph"/>
              <w:spacing w:line="273" w:lineRule="auto" w:before="142"/>
              <w:ind w:right="125" w:firstLine="420"/>
              <w:rPr>
                <w:sz w:val="21"/>
              </w:rPr>
            </w:pPr>
            <w:r>
              <w:rPr>
                <w:sz w:val="21"/>
              </w:rPr>
              <w:t>指生殖细胞或受精卵的遗传物质（染色体和基因）发生突变或畸变所引起的疾病，通常具有由亲代传至后代的垂直传递的特征。</w:t>
            </w:r>
          </w:p>
        </w:tc>
      </w:tr>
      <w:tr>
        <w:trPr>
          <w:trHeight w:val="1560" w:hRule="atLeast"/>
        </w:trPr>
        <w:tc>
          <w:tcPr>
            <w:tcW w:w="917" w:type="dxa"/>
          </w:tcPr>
          <w:p>
            <w:pPr>
              <w:pStyle w:val="TableParagraph"/>
              <w:spacing w:before="80"/>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12</w:t>
            </w:r>
          </w:p>
        </w:tc>
        <w:tc>
          <w:tcPr>
            <w:tcW w:w="1355" w:type="dxa"/>
          </w:tcPr>
          <w:p>
            <w:pPr>
              <w:pStyle w:val="TableParagraph"/>
              <w:spacing w:line="206" w:lineRule="auto" w:before="131"/>
              <w:ind w:left="293" w:right="129"/>
              <w:jc w:val="both"/>
              <w:rPr>
                <w:rFonts w:ascii="微软雅黑" w:eastAsia="微软雅黑" w:hint="eastAsia"/>
                <w:b/>
                <w:sz w:val="21"/>
              </w:rPr>
            </w:pPr>
            <w:r>
              <w:rPr>
                <w:rFonts w:ascii="微软雅黑" w:eastAsia="微软雅黑" w:hint="eastAsia"/>
                <w:b/>
                <w:sz w:val="21"/>
              </w:rPr>
              <w:t>先天性畸形、变形或染色体异常</w:t>
            </w:r>
          </w:p>
        </w:tc>
        <w:tc>
          <w:tcPr>
            <w:tcW w:w="7822" w:type="dxa"/>
          </w:tcPr>
          <w:p>
            <w:pPr>
              <w:pStyle w:val="TableParagraph"/>
              <w:spacing w:line="273" w:lineRule="auto" w:before="142"/>
              <w:ind w:right="201" w:firstLine="420"/>
              <w:jc w:val="both"/>
              <w:rPr>
                <w:sz w:val="21"/>
              </w:rPr>
            </w:pPr>
            <w:r>
              <w:rPr>
                <w:spacing w:val="-7"/>
                <w:sz w:val="21"/>
              </w:rPr>
              <w:t>指被保险人出生时就具有的畸形、变形或染色体异常。先天性畸形、变形和染色体异常依照世界卫生组织《疾病和有关健康问题的国际统计分类》</w:t>
            </w:r>
            <w:r>
              <w:rPr>
                <w:sz w:val="21"/>
              </w:rPr>
              <w:t>（ICD-10）确定。</w:t>
            </w:r>
          </w:p>
        </w:tc>
      </w:tr>
      <w:tr>
        <w:trPr>
          <w:trHeight w:val="1665" w:hRule="atLeast"/>
        </w:trPr>
        <w:tc>
          <w:tcPr>
            <w:tcW w:w="917" w:type="dxa"/>
          </w:tcPr>
          <w:p>
            <w:pPr>
              <w:pStyle w:val="TableParagraph"/>
              <w:spacing w:before="80"/>
              <w:ind w:left="200"/>
              <w:rPr>
                <w:rFonts w:ascii="微软雅黑"/>
                <w:b/>
                <w:sz w:val="21"/>
              </w:rPr>
            </w:pPr>
            <w:r>
              <w:rPr>
                <w:rFonts w:ascii="微软雅黑"/>
                <w:b/>
                <w:w w:val="81"/>
                <w:sz w:val="21"/>
              </w:rPr>
              <w:t>5</w:t>
            </w:r>
            <w:r>
              <w:rPr>
                <w:rFonts w:ascii="微软雅黑"/>
                <w:b/>
                <w:w w:val="176"/>
                <w:sz w:val="21"/>
              </w:rPr>
              <w:t>.</w:t>
            </w:r>
            <w:r>
              <w:rPr>
                <w:rFonts w:ascii="微软雅黑"/>
                <w:b/>
                <w:w w:val="81"/>
                <w:sz w:val="21"/>
              </w:rPr>
              <w:t>13</w:t>
            </w:r>
          </w:p>
        </w:tc>
        <w:tc>
          <w:tcPr>
            <w:tcW w:w="1355" w:type="dxa"/>
          </w:tcPr>
          <w:p>
            <w:pPr>
              <w:pStyle w:val="TableParagraph"/>
              <w:spacing w:line="206" w:lineRule="auto" w:before="131"/>
              <w:ind w:left="293" w:right="129"/>
              <w:jc w:val="both"/>
              <w:rPr>
                <w:rFonts w:ascii="微软雅黑" w:eastAsia="微软雅黑" w:hint="eastAsia"/>
                <w:b/>
                <w:sz w:val="21"/>
              </w:rPr>
            </w:pPr>
            <w:r>
              <w:rPr>
                <w:rFonts w:ascii="微软雅黑" w:eastAsia="微软雅黑" w:hint="eastAsia"/>
                <w:b/>
                <w:sz w:val="21"/>
              </w:rPr>
              <w:t>感染艾滋病病毒或患艾滋病</w:t>
            </w:r>
          </w:p>
        </w:tc>
        <w:tc>
          <w:tcPr>
            <w:tcW w:w="7822" w:type="dxa"/>
          </w:tcPr>
          <w:p>
            <w:pPr>
              <w:pStyle w:val="TableParagraph"/>
              <w:spacing w:line="273" w:lineRule="auto" w:before="142"/>
              <w:ind w:right="199" w:firstLine="420"/>
              <w:jc w:val="both"/>
              <w:rPr>
                <w:sz w:val="21"/>
              </w:rPr>
            </w:pPr>
            <w:r>
              <w:rPr>
                <w:spacing w:val="-5"/>
                <w:sz w:val="21"/>
              </w:rPr>
              <w:t>艾滋病病毒指人类免疫缺陷病毒，英文缩写 </w:t>
            </w:r>
            <w:r>
              <w:rPr>
                <w:sz w:val="21"/>
              </w:rPr>
              <w:t>HIV</w:t>
            </w:r>
            <w:r>
              <w:rPr>
                <w:spacing w:val="-5"/>
                <w:sz w:val="21"/>
              </w:rPr>
              <w:t>。艾滋病指人类免疫缺陷病毒</w:t>
            </w:r>
            <w:r>
              <w:rPr>
                <w:spacing w:val="-6"/>
                <w:sz w:val="21"/>
              </w:rPr>
              <w:t>引起的获得性免疫缺陷综合征，英文缩写 </w:t>
            </w:r>
            <w:r>
              <w:rPr>
                <w:sz w:val="21"/>
              </w:rPr>
              <w:t>AIDS。</w:t>
            </w:r>
          </w:p>
          <w:p>
            <w:pPr>
              <w:pStyle w:val="TableParagraph"/>
              <w:spacing w:line="312" w:lineRule="exact" w:before="3"/>
              <w:ind w:right="199" w:firstLine="420"/>
              <w:jc w:val="both"/>
              <w:rPr>
                <w:sz w:val="21"/>
              </w:rPr>
            </w:pPr>
            <w:r>
              <w:rPr>
                <w:spacing w:val="-6"/>
                <w:sz w:val="21"/>
              </w:rPr>
              <w:t>在人体血液或其他样本中检测到艾滋病病毒或其抗体呈阳性，没有出现临床症</w:t>
            </w:r>
            <w:r>
              <w:rPr>
                <w:spacing w:val="-10"/>
                <w:sz w:val="21"/>
              </w:rPr>
              <w:t>状或体征的，为感染艾滋病病毒；如同时出现了明显临床症状或体征的，为患艾滋病。</w:t>
            </w:r>
          </w:p>
        </w:tc>
      </w:tr>
    </w:tbl>
    <w:sectPr>
      <w:pgSz w:w="11910" w:h="16840"/>
      <w:pgMar w:header="857" w:footer="992" w:top="1040" w:bottom="1180" w:left="80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w:altName w:val="Microsoft JhengHei"/>
    <w:charset w:val="0"/>
    <w:family w:val="swiss"/>
    <w:pitch w:val="variable"/>
  </w:font>
  <w:font w:name="微软雅黑">
    <w:altName w:val="微软雅黑"/>
    <w:charset w:val="86"/>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93.489990pt;margin-top:781.299988pt;width:8.5pt;height:12pt;mso-position-horizontal-relative:page;mso-position-vertical-relative:page;z-index:-19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line style="position:absolute;mso-position-horizontal-relative:page;mso-position-vertical-relative:page;z-index:-19072" from="65.199997pt,56.399984pt" to="533.199997pt,55.299984pt" stroked="true" strokeweight=".75pt" strokecolor="#000000">
          <v:stroke dashstyle="solid"/>
          <w10:wrap type="none"/>
        </v:line>
      </w:pict>
    </w:r>
    <w:r>
      <w:rPr/>
      <w:pict>
        <v:shape style="position:absolute;margin-left:64.183998pt;margin-top:42.865608pt;width:164pt;height:11pt;mso-position-horizontal-relative:page;mso-position-vertical-relative:page;z-index:-19048" type="#_x0000_t202" filled="false" stroked="false">
          <v:textbox inset="0,0,0,0">
            <w:txbxContent>
              <w:p>
                <w:pPr>
                  <w:spacing w:line="200" w:lineRule="exact" w:before="0"/>
                  <w:ind w:left="20" w:right="0" w:firstLine="0"/>
                  <w:jc w:val="left"/>
                  <w:rPr>
                    <w:sz w:val="18"/>
                  </w:rPr>
                </w:pPr>
                <w:r>
                  <w:rPr>
                    <w:sz w:val="18"/>
                  </w:rPr>
                  <w:t>天安人寿附加学生平安重大疾病保险条款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64.183998pt;margin-top:42.865608pt;width:164pt;height:11pt;mso-position-horizontal-relative:page;mso-position-vertical-relative:page;z-index:-19024" type="#_x0000_t202" filled="false" stroked="false">
          <v:textbox inset="0,0,0,0">
            <w:txbxContent>
              <w:p>
                <w:pPr>
                  <w:spacing w:line="200" w:lineRule="exact" w:before="0"/>
                  <w:ind w:left="20" w:right="0" w:firstLine="0"/>
                  <w:jc w:val="left"/>
                  <w:rPr>
                    <w:sz w:val="18"/>
                  </w:rPr>
                </w:pPr>
                <w:r>
                  <w:rPr>
                    <w:sz w:val="18"/>
                  </w:rPr>
                  <w:t>天安人寿附加学生平安重大疾病保险条款</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157" w:hanging="318"/>
        <w:jc w:val="left"/>
      </w:pPr>
      <w:rPr>
        <w:rFonts w:hint="default" w:ascii="宋体" w:hAnsi="宋体" w:eastAsia="宋体" w:cs="宋体"/>
        <w:w w:val="100"/>
        <w:sz w:val="21"/>
        <w:szCs w:val="21"/>
      </w:rPr>
    </w:lvl>
    <w:lvl w:ilvl="1">
      <w:start w:val="0"/>
      <w:numFmt w:val="bullet"/>
      <w:lvlText w:val="•"/>
      <w:lvlJc w:val="left"/>
      <w:pPr>
        <w:ind w:left="922" w:hanging="318"/>
      </w:pPr>
      <w:rPr>
        <w:rFonts w:hint="default"/>
      </w:rPr>
    </w:lvl>
    <w:lvl w:ilvl="2">
      <w:start w:val="0"/>
      <w:numFmt w:val="bullet"/>
      <w:lvlText w:val="•"/>
      <w:lvlJc w:val="left"/>
      <w:pPr>
        <w:ind w:left="1685" w:hanging="318"/>
      </w:pPr>
      <w:rPr>
        <w:rFonts w:hint="default"/>
      </w:rPr>
    </w:lvl>
    <w:lvl w:ilvl="3">
      <w:start w:val="0"/>
      <w:numFmt w:val="bullet"/>
      <w:lvlText w:val="•"/>
      <w:lvlJc w:val="left"/>
      <w:pPr>
        <w:ind w:left="2447" w:hanging="318"/>
      </w:pPr>
      <w:rPr>
        <w:rFonts w:hint="default"/>
      </w:rPr>
    </w:lvl>
    <w:lvl w:ilvl="4">
      <w:start w:val="0"/>
      <w:numFmt w:val="bullet"/>
      <w:lvlText w:val="•"/>
      <w:lvlJc w:val="left"/>
      <w:pPr>
        <w:ind w:left="3210" w:hanging="318"/>
      </w:pPr>
      <w:rPr>
        <w:rFonts w:hint="default"/>
      </w:rPr>
    </w:lvl>
    <w:lvl w:ilvl="5">
      <w:start w:val="0"/>
      <w:numFmt w:val="bullet"/>
      <w:lvlText w:val="•"/>
      <w:lvlJc w:val="left"/>
      <w:pPr>
        <w:ind w:left="3972" w:hanging="318"/>
      </w:pPr>
      <w:rPr>
        <w:rFonts w:hint="default"/>
      </w:rPr>
    </w:lvl>
    <w:lvl w:ilvl="6">
      <w:start w:val="0"/>
      <w:numFmt w:val="bullet"/>
      <w:lvlText w:val="•"/>
      <w:lvlJc w:val="left"/>
      <w:pPr>
        <w:ind w:left="4735" w:hanging="318"/>
      </w:pPr>
      <w:rPr>
        <w:rFonts w:hint="default"/>
      </w:rPr>
    </w:lvl>
    <w:lvl w:ilvl="7">
      <w:start w:val="0"/>
      <w:numFmt w:val="bullet"/>
      <w:lvlText w:val="•"/>
      <w:lvlJc w:val="left"/>
      <w:pPr>
        <w:ind w:left="5497" w:hanging="318"/>
      </w:pPr>
      <w:rPr>
        <w:rFonts w:hint="default"/>
      </w:rPr>
    </w:lvl>
    <w:lvl w:ilvl="8">
      <w:start w:val="0"/>
      <w:numFmt w:val="bullet"/>
      <w:lvlText w:val="•"/>
      <w:lvlJc w:val="left"/>
      <w:pPr>
        <w:ind w:left="6260" w:hanging="318"/>
      </w:pPr>
      <w:rPr>
        <w:rFonts w:hint="default"/>
      </w:rPr>
    </w:lvl>
  </w:abstractNum>
  <w:abstractNum w:abstractNumId="6">
    <w:multiLevelType w:val="hybridMultilevel"/>
    <w:lvl w:ilvl="0">
      <w:start w:val="6"/>
      <w:numFmt w:val="decimal"/>
      <w:lvlText w:val="%1."/>
      <w:lvlJc w:val="left"/>
      <w:pPr>
        <w:ind w:left="129" w:hanging="315"/>
        <w:jc w:val="left"/>
      </w:pPr>
      <w:rPr>
        <w:rFonts w:hint="default" w:ascii="宋体" w:hAnsi="宋体" w:eastAsia="宋体" w:cs="宋体"/>
        <w:w w:val="100"/>
        <w:sz w:val="21"/>
        <w:szCs w:val="21"/>
      </w:rPr>
    </w:lvl>
    <w:lvl w:ilvl="1">
      <w:start w:val="0"/>
      <w:numFmt w:val="bullet"/>
      <w:lvlText w:val="•"/>
      <w:lvlJc w:val="left"/>
      <w:pPr>
        <w:ind w:left="884" w:hanging="315"/>
      </w:pPr>
      <w:rPr>
        <w:rFonts w:hint="default"/>
      </w:rPr>
    </w:lvl>
    <w:lvl w:ilvl="2">
      <w:start w:val="0"/>
      <w:numFmt w:val="bullet"/>
      <w:lvlText w:val="•"/>
      <w:lvlJc w:val="left"/>
      <w:pPr>
        <w:ind w:left="1648" w:hanging="315"/>
      </w:pPr>
      <w:rPr>
        <w:rFonts w:hint="default"/>
      </w:rPr>
    </w:lvl>
    <w:lvl w:ilvl="3">
      <w:start w:val="0"/>
      <w:numFmt w:val="bullet"/>
      <w:lvlText w:val="•"/>
      <w:lvlJc w:val="left"/>
      <w:pPr>
        <w:ind w:left="2412" w:hanging="315"/>
      </w:pPr>
      <w:rPr>
        <w:rFonts w:hint="default"/>
      </w:rPr>
    </w:lvl>
    <w:lvl w:ilvl="4">
      <w:start w:val="0"/>
      <w:numFmt w:val="bullet"/>
      <w:lvlText w:val="•"/>
      <w:lvlJc w:val="left"/>
      <w:pPr>
        <w:ind w:left="3176" w:hanging="315"/>
      </w:pPr>
      <w:rPr>
        <w:rFonts w:hint="default"/>
      </w:rPr>
    </w:lvl>
    <w:lvl w:ilvl="5">
      <w:start w:val="0"/>
      <w:numFmt w:val="bullet"/>
      <w:lvlText w:val="•"/>
      <w:lvlJc w:val="left"/>
      <w:pPr>
        <w:ind w:left="3940" w:hanging="315"/>
      </w:pPr>
      <w:rPr>
        <w:rFonts w:hint="default"/>
      </w:rPr>
    </w:lvl>
    <w:lvl w:ilvl="6">
      <w:start w:val="0"/>
      <w:numFmt w:val="bullet"/>
      <w:lvlText w:val="•"/>
      <w:lvlJc w:val="left"/>
      <w:pPr>
        <w:ind w:left="4704" w:hanging="315"/>
      </w:pPr>
      <w:rPr>
        <w:rFonts w:hint="default"/>
      </w:rPr>
    </w:lvl>
    <w:lvl w:ilvl="7">
      <w:start w:val="0"/>
      <w:numFmt w:val="bullet"/>
      <w:lvlText w:val="•"/>
      <w:lvlJc w:val="left"/>
      <w:pPr>
        <w:ind w:left="5468" w:hanging="315"/>
      </w:pPr>
      <w:rPr>
        <w:rFonts w:hint="default"/>
      </w:rPr>
    </w:lvl>
    <w:lvl w:ilvl="8">
      <w:start w:val="0"/>
      <w:numFmt w:val="bullet"/>
      <w:lvlText w:val="•"/>
      <w:lvlJc w:val="left"/>
      <w:pPr>
        <w:ind w:left="6232" w:hanging="315"/>
      </w:pPr>
      <w:rPr>
        <w:rFonts w:hint="default"/>
      </w:rPr>
    </w:lvl>
  </w:abstractNum>
  <w:abstractNum w:abstractNumId="5">
    <w:multiLevelType w:val="hybridMultilevel"/>
    <w:lvl w:ilvl="0">
      <w:start w:val="5"/>
      <w:numFmt w:val="decimal"/>
      <w:lvlText w:val="%1."/>
      <w:lvlJc w:val="left"/>
      <w:pPr>
        <w:ind w:left="651" w:hanging="317"/>
        <w:jc w:val="left"/>
      </w:pPr>
      <w:rPr>
        <w:rFonts w:hint="default" w:ascii="微软雅黑" w:hAnsi="微软雅黑" w:eastAsia="微软雅黑" w:cs="微软雅黑"/>
        <w:b/>
        <w:bCs/>
        <w:w w:val="81"/>
        <w:sz w:val="21"/>
        <w:szCs w:val="21"/>
      </w:rPr>
    </w:lvl>
    <w:lvl w:ilvl="1">
      <w:start w:val="1"/>
      <w:numFmt w:val="decimal"/>
      <w:lvlText w:val="%1.%2"/>
      <w:lvlJc w:val="left"/>
      <w:pPr>
        <w:ind w:left="935" w:hanging="423"/>
        <w:jc w:val="left"/>
      </w:pPr>
      <w:rPr>
        <w:rFonts w:hint="default" w:ascii="宋体" w:hAnsi="宋体" w:eastAsia="宋体" w:cs="宋体"/>
        <w:w w:val="100"/>
        <w:sz w:val="21"/>
        <w:szCs w:val="21"/>
      </w:rPr>
    </w:lvl>
    <w:lvl w:ilvl="2">
      <w:start w:val="0"/>
      <w:numFmt w:val="bullet"/>
      <w:lvlText w:val="•"/>
      <w:lvlJc w:val="left"/>
      <w:pPr>
        <w:ind w:left="1170" w:hanging="423"/>
      </w:pPr>
      <w:rPr>
        <w:rFonts w:hint="default"/>
      </w:rPr>
    </w:lvl>
    <w:lvl w:ilvl="3">
      <w:start w:val="0"/>
      <w:numFmt w:val="bullet"/>
      <w:lvlText w:val="•"/>
      <w:lvlJc w:val="left"/>
      <w:pPr>
        <w:ind w:left="1401" w:hanging="423"/>
      </w:pPr>
      <w:rPr>
        <w:rFonts w:hint="default"/>
      </w:rPr>
    </w:lvl>
    <w:lvl w:ilvl="4">
      <w:start w:val="0"/>
      <w:numFmt w:val="bullet"/>
      <w:lvlText w:val="•"/>
      <w:lvlJc w:val="left"/>
      <w:pPr>
        <w:ind w:left="1631" w:hanging="423"/>
      </w:pPr>
      <w:rPr>
        <w:rFonts w:hint="default"/>
      </w:rPr>
    </w:lvl>
    <w:lvl w:ilvl="5">
      <w:start w:val="0"/>
      <w:numFmt w:val="bullet"/>
      <w:lvlText w:val="•"/>
      <w:lvlJc w:val="left"/>
      <w:pPr>
        <w:ind w:left="1862" w:hanging="423"/>
      </w:pPr>
      <w:rPr>
        <w:rFonts w:hint="default"/>
      </w:rPr>
    </w:lvl>
    <w:lvl w:ilvl="6">
      <w:start w:val="0"/>
      <w:numFmt w:val="bullet"/>
      <w:lvlText w:val="•"/>
      <w:lvlJc w:val="left"/>
      <w:pPr>
        <w:ind w:left="2093" w:hanging="423"/>
      </w:pPr>
      <w:rPr>
        <w:rFonts w:hint="default"/>
      </w:rPr>
    </w:lvl>
    <w:lvl w:ilvl="7">
      <w:start w:val="0"/>
      <w:numFmt w:val="bullet"/>
      <w:lvlText w:val="•"/>
      <w:lvlJc w:val="left"/>
      <w:pPr>
        <w:ind w:left="2323" w:hanging="423"/>
      </w:pPr>
      <w:rPr>
        <w:rFonts w:hint="default"/>
      </w:rPr>
    </w:lvl>
    <w:lvl w:ilvl="8">
      <w:start w:val="0"/>
      <w:numFmt w:val="bullet"/>
      <w:lvlText w:val="•"/>
      <w:lvlJc w:val="left"/>
      <w:pPr>
        <w:ind w:left="2554" w:hanging="423"/>
      </w:pPr>
      <w:rPr>
        <w:rFonts w:hint="default"/>
      </w:rPr>
    </w:lvl>
  </w:abstractNum>
  <w:abstractNum w:abstractNumId="4">
    <w:multiLevelType w:val="hybridMultilevel"/>
    <w:lvl w:ilvl="0">
      <w:start w:val="4"/>
      <w:numFmt w:val="decimal"/>
      <w:lvlText w:val="%1"/>
      <w:lvlJc w:val="left"/>
      <w:pPr>
        <w:ind w:left="968" w:hanging="423"/>
        <w:jc w:val="left"/>
      </w:pPr>
      <w:rPr>
        <w:rFonts w:hint="default"/>
      </w:rPr>
    </w:lvl>
    <w:lvl w:ilvl="1">
      <w:start w:val="1"/>
      <w:numFmt w:val="decimal"/>
      <w:lvlText w:val="%1.%2"/>
      <w:lvlJc w:val="left"/>
      <w:pPr>
        <w:ind w:left="968" w:hanging="423"/>
        <w:jc w:val="left"/>
      </w:pPr>
      <w:rPr>
        <w:rFonts w:hint="default" w:ascii="宋体" w:hAnsi="宋体" w:eastAsia="宋体" w:cs="宋体"/>
        <w:w w:val="100"/>
        <w:sz w:val="21"/>
        <w:szCs w:val="21"/>
      </w:rPr>
    </w:lvl>
    <w:lvl w:ilvl="2">
      <w:start w:val="0"/>
      <w:numFmt w:val="bullet"/>
      <w:lvlText w:val="•"/>
      <w:lvlJc w:val="left"/>
      <w:pPr>
        <w:ind w:left="1371" w:hanging="423"/>
      </w:pPr>
      <w:rPr>
        <w:rFonts w:hint="default"/>
      </w:rPr>
    </w:lvl>
    <w:lvl w:ilvl="3">
      <w:start w:val="0"/>
      <w:numFmt w:val="bullet"/>
      <w:lvlText w:val="•"/>
      <w:lvlJc w:val="left"/>
      <w:pPr>
        <w:ind w:left="1576" w:hanging="423"/>
      </w:pPr>
      <w:rPr>
        <w:rFonts w:hint="default"/>
      </w:rPr>
    </w:lvl>
    <w:lvl w:ilvl="4">
      <w:start w:val="0"/>
      <w:numFmt w:val="bullet"/>
      <w:lvlText w:val="•"/>
      <w:lvlJc w:val="left"/>
      <w:pPr>
        <w:ind w:left="1782" w:hanging="423"/>
      </w:pPr>
      <w:rPr>
        <w:rFonts w:hint="default"/>
      </w:rPr>
    </w:lvl>
    <w:lvl w:ilvl="5">
      <w:start w:val="0"/>
      <w:numFmt w:val="bullet"/>
      <w:lvlText w:val="•"/>
      <w:lvlJc w:val="left"/>
      <w:pPr>
        <w:ind w:left="1987" w:hanging="423"/>
      </w:pPr>
      <w:rPr>
        <w:rFonts w:hint="default"/>
      </w:rPr>
    </w:lvl>
    <w:lvl w:ilvl="6">
      <w:start w:val="0"/>
      <w:numFmt w:val="bullet"/>
      <w:lvlText w:val="•"/>
      <w:lvlJc w:val="left"/>
      <w:pPr>
        <w:ind w:left="2193" w:hanging="423"/>
      </w:pPr>
      <w:rPr>
        <w:rFonts w:hint="default"/>
      </w:rPr>
    </w:lvl>
    <w:lvl w:ilvl="7">
      <w:start w:val="0"/>
      <w:numFmt w:val="bullet"/>
      <w:lvlText w:val="•"/>
      <w:lvlJc w:val="left"/>
      <w:pPr>
        <w:ind w:left="2399" w:hanging="423"/>
      </w:pPr>
      <w:rPr>
        <w:rFonts w:hint="default"/>
      </w:rPr>
    </w:lvl>
    <w:lvl w:ilvl="8">
      <w:start w:val="0"/>
      <w:numFmt w:val="bullet"/>
      <w:lvlText w:val="•"/>
      <w:lvlJc w:val="left"/>
      <w:pPr>
        <w:ind w:left="2604" w:hanging="423"/>
      </w:pPr>
      <w:rPr>
        <w:rFonts w:hint="default"/>
      </w:rPr>
    </w:lvl>
  </w:abstractNum>
  <w:abstractNum w:abstractNumId="3">
    <w:multiLevelType w:val="hybridMultilevel"/>
    <w:lvl w:ilvl="0">
      <w:start w:val="3"/>
      <w:numFmt w:val="decimal"/>
      <w:lvlText w:val="%1"/>
      <w:lvlJc w:val="left"/>
      <w:pPr>
        <w:ind w:left="968" w:hanging="423"/>
        <w:jc w:val="left"/>
      </w:pPr>
      <w:rPr>
        <w:rFonts w:hint="default"/>
      </w:rPr>
    </w:lvl>
    <w:lvl w:ilvl="1">
      <w:start w:val="1"/>
      <w:numFmt w:val="decimal"/>
      <w:lvlText w:val="%1.%2"/>
      <w:lvlJc w:val="left"/>
      <w:pPr>
        <w:ind w:left="968" w:hanging="423"/>
        <w:jc w:val="left"/>
      </w:pPr>
      <w:rPr>
        <w:rFonts w:hint="default" w:ascii="宋体" w:hAnsi="宋体" w:eastAsia="宋体" w:cs="宋体"/>
        <w:w w:val="100"/>
        <w:sz w:val="21"/>
        <w:szCs w:val="21"/>
      </w:rPr>
    </w:lvl>
    <w:lvl w:ilvl="2">
      <w:start w:val="0"/>
      <w:numFmt w:val="bullet"/>
      <w:lvlText w:val="•"/>
      <w:lvlJc w:val="left"/>
      <w:pPr>
        <w:ind w:left="1371" w:hanging="423"/>
      </w:pPr>
      <w:rPr>
        <w:rFonts w:hint="default"/>
      </w:rPr>
    </w:lvl>
    <w:lvl w:ilvl="3">
      <w:start w:val="0"/>
      <w:numFmt w:val="bullet"/>
      <w:lvlText w:val="•"/>
      <w:lvlJc w:val="left"/>
      <w:pPr>
        <w:ind w:left="1576" w:hanging="423"/>
      </w:pPr>
      <w:rPr>
        <w:rFonts w:hint="default"/>
      </w:rPr>
    </w:lvl>
    <w:lvl w:ilvl="4">
      <w:start w:val="0"/>
      <w:numFmt w:val="bullet"/>
      <w:lvlText w:val="•"/>
      <w:lvlJc w:val="left"/>
      <w:pPr>
        <w:ind w:left="1782" w:hanging="423"/>
      </w:pPr>
      <w:rPr>
        <w:rFonts w:hint="default"/>
      </w:rPr>
    </w:lvl>
    <w:lvl w:ilvl="5">
      <w:start w:val="0"/>
      <w:numFmt w:val="bullet"/>
      <w:lvlText w:val="•"/>
      <w:lvlJc w:val="left"/>
      <w:pPr>
        <w:ind w:left="1987" w:hanging="423"/>
      </w:pPr>
      <w:rPr>
        <w:rFonts w:hint="default"/>
      </w:rPr>
    </w:lvl>
    <w:lvl w:ilvl="6">
      <w:start w:val="0"/>
      <w:numFmt w:val="bullet"/>
      <w:lvlText w:val="•"/>
      <w:lvlJc w:val="left"/>
      <w:pPr>
        <w:ind w:left="2193" w:hanging="423"/>
      </w:pPr>
      <w:rPr>
        <w:rFonts w:hint="default"/>
      </w:rPr>
    </w:lvl>
    <w:lvl w:ilvl="7">
      <w:start w:val="0"/>
      <w:numFmt w:val="bullet"/>
      <w:lvlText w:val="•"/>
      <w:lvlJc w:val="left"/>
      <w:pPr>
        <w:ind w:left="2399" w:hanging="423"/>
      </w:pPr>
      <w:rPr>
        <w:rFonts w:hint="default"/>
      </w:rPr>
    </w:lvl>
    <w:lvl w:ilvl="8">
      <w:start w:val="0"/>
      <w:numFmt w:val="bullet"/>
      <w:lvlText w:val="•"/>
      <w:lvlJc w:val="left"/>
      <w:pPr>
        <w:ind w:left="2604" w:hanging="423"/>
      </w:pPr>
      <w:rPr>
        <w:rFonts w:hint="default"/>
      </w:rPr>
    </w:lvl>
  </w:abstractNum>
  <w:abstractNum w:abstractNumId="2">
    <w:multiLevelType w:val="hybridMultilevel"/>
    <w:lvl w:ilvl="0">
      <w:start w:val="2"/>
      <w:numFmt w:val="decimal"/>
      <w:lvlText w:val="%1"/>
      <w:lvlJc w:val="left"/>
      <w:pPr>
        <w:ind w:left="1149" w:hanging="423"/>
        <w:jc w:val="left"/>
      </w:pPr>
      <w:rPr>
        <w:rFonts w:hint="default"/>
      </w:rPr>
    </w:lvl>
    <w:lvl w:ilvl="1">
      <w:start w:val="1"/>
      <w:numFmt w:val="decimal"/>
      <w:lvlText w:val="%1.%2"/>
      <w:lvlJc w:val="left"/>
      <w:pPr>
        <w:ind w:left="1149" w:hanging="423"/>
        <w:jc w:val="left"/>
      </w:pPr>
      <w:rPr>
        <w:rFonts w:hint="default" w:ascii="宋体" w:hAnsi="宋体" w:eastAsia="宋体" w:cs="宋体"/>
        <w:w w:val="100"/>
        <w:sz w:val="21"/>
        <w:szCs w:val="21"/>
      </w:rPr>
    </w:lvl>
    <w:lvl w:ilvl="2">
      <w:start w:val="0"/>
      <w:numFmt w:val="bullet"/>
      <w:lvlText w:val="•"/>
      <w:lvlJc w:val="left"/>
      <w:pPr>
        <w:ind w:left="1477" w:hanging="423"/>
      </w:pPr>
      <w:rPr>
        <w:rFonts w:hint="default"/>
      </w:rPr>
    </w:lvl>
    <w:lvl w:ilvl="3">
      <w:start w:val="0"/>
      <w:numFmt w:val="bullet"/>
      <w:lvlText w:val="•"/>
      <w:lvlJc w:val="left"/>
      <w:pPr>
        <w:ind w:left="1646" w:hanging="423"/>
      </w:pPr>
      <w:rPr>
        <w:rFonts w:hint="default"/>
      </w:rPr>
    </w:lvl>
    <w:lvl w:ilvl="4">
      <w:start w:val="0"/>
      <w:numFmt w:val="bullet"/>
      <w:lvlText w:val="•"/>
      <w:lvlJc w:val="left"/>
      <w:pPr>
        <w:ind w:left="1815" w:hanging="423"/>
      </w:pPr>
      <w:rPr>
        <w:rFonts w:hint="default"/>
      </w:rPr>
    </w:lvl>
    <w:lvl w:ilvl="5">
      <w:start w:val="0"/>
      <w:numFmt w:val="bullet"/>
      <w:lvlText w:val="•"/>
      <w:lvlJc w:val="left"/>
      <w:pPr>
        <w:ind w:left="1984" w:hanging="423"/>
      </w:pPr>
      <w:rPr>
        <w:rFonts w:hint="default"/>
      </w:rPr>
    </w:lvl>
    <w:lvl w:ilvl="6">
      <w:start w:val="0"/>
      <w:numFmt w:val="bullet"/>
      <w:lvlText w:val="•"/>
      <w:lvlJc w:val="left"/>
      <w:pPr>
        <w:ind w:left="2153" w:hanging="423"/>
      </w:pPr>
      <w:rPr>
        <w:rFonts w:hint="default"/>
      </w:rPr>
    </w:lvl>
    <w:lvl w:ilvl="7">
      <w:start w:val="0"/>
      <w:numFmt w:val="bullet"/>
      <w:lvlText w:val="•"/>
      <w:lvlJc w:val="left"/>
      <w:pPr>
        <w:ind w:left="2322" w:hanging="423"/>
      </w:pPr>
      <w:rPr>
        <w:rFonts w:hint="default"/>
      </w:rPr>
    </w:lvl>
    <w:lvl w:ilvl="8">
      <w:start w:val="0"/>
      <w:numFmt w:val="bullet"/>
      <w:lvlText w:val="•"/>
      <w:lvlJc w:val="left"/>
      <w:pPr>
        <w:ind w:left="2491" w:hanging="423"/>
      </w:pPr>
      <w:rPr>
        <w:rFonts w:hint="default"/>
      </w:rPr>
    </w:lvl>
  </w:abstractNum>
  <w:abstractNum w:abstractNumId="1">
    <w:multiLevelType w:val="hybridMultilevel"/>
    <w:lvl w:ilvl="0">
      <w:start w:val="1"/>
      <w:numFmt w:val="decimal"/>
      <w:lvlText w:val="%1"/>
      <w:lvlJc w:val="left"/>
      <w:pPr>
        <w:ind w:left="1149" w:hanging="423"/>
        <w:jc w:val="left"/>
      </w:pPr>
      <w:rPr>
        <w:rFonts w:hint="default"/>
      </w:rPr>
    </w:lvl>
    <w:lvl w:ilvl="1">
      <w:start w:val="1"/>
      <w:numFmt w:val="decimal"/>
      <w:lvlText w:val="%1.%2"/>
      <w:lvlJc w:val="left"/>
      <w:pPr>
        <w:ind w:left="1146" w:hanging="423"/>
        <w:jc w:val="left"/>
      </w:pPr>
      <w:rPr>
        <w:rFonts w:hint="default" w:ascii="宋体" w:hAnsi="宋体" w:eastAsia="宋体" w:cs="宋体"/>
        <w:w w:val="100"/>
        <w:sz w:val="21"/>
        <w:szCs w:val="21"/>
      </w:rPr>
    </w:lvl>
    <w:lvl w:ilvl="2">
      <w:start w:val="0"/>
      <w:numFmt w:val="bullet"/>
      <w:lvlText w:val="•"/>
      <w:lvlJc w:val="left"/>
      <w:pPr>
        <w:ind w:left="1477" w:hanging="423"/>
      </w:pPr>
      <w:rPr>
        <w:rFonts w:hint="default"/>
      </w:rPr>
    </w:lvl>
    <w:lvl w:ilvl="3">
      <w:start w:val="0"/>
      <w:numFmt w:val="bullet"/>
      <w:lvlText w:val="•"/>
      <w:lvlJc w:val="left"/>
      <w:pPr>
        <w:ind w:left="1646" w:hanging="423"/>
      </w:pPr>
      <w:rPr>
        <w:rFonts w:hint="default"/>
      </w:rPr>
    </w:lvl>
    <w:lvl w:ilvl="4">
      <w:start w:val="0"/>
      <w:numFmt w:val="bullet"/>
      <w:lvlText w:val="•"/>
      <w:lvlJc w:val="left"/>
      <w:pPr>
        <w:ind w:left="1815" w:hanging="423"/>
      </w:pPr>
      <w:rPr>
        <w:rFonts w:hint="default"/>
      </w:rPr>
    </w:lvl>
    <w:lvl w:ilvl="5">
      <w:start w:val="0"/>
      <w:numFmt w:val="bullet"/>
      <w:lvlText w:val="•"/>
      <w:lvlJc w:val="left"/>
      <w:pPr>
        <w:ind w:left="1984" w:hanging="423"/>
      </w:pPr>
      <w:rPr>
        <w:rFonts w:hint="default"/>
      </w:rPr>
    </w:lvl>
    <w:lvl w:ilvl="6">
      <w:start w:val="0"/>
      <w:numFmt w:val="bullet"/>
      <w:lvlText w:val="•"/>
      <w:lvlJc w:val="left"/>
      <w:pPr>
        <w:ind w:left="2153" w:hanging="423"/>
      </w:pPr>
      <w:rPr>
        <w:rFonts w:hint="default"/>
      </w:rPr>
    </w:lvl>
    <w:lvl w:ilvl="7">
      <w:start w:val="0"/>
      <w:numFmt w:val="bullet"/>
      <w:lvlText w:val="•"/>
      <w:lvlJc w:val="left"/>
      <w:pPr>
        <w:ind w:left="2322" w:hanging="423"/>
      </w:pPr>
      <w:rPr>
        <w:rFonts w:hint="default"/>
      </w:rPr>
    </w:lvl>
    <w:lvl w:ilvl="8">
      <w:start w:val="0"/>
      <w:numFmt w:val="bullet"/>
      <w:lvlText w:val="•"/>
      <w:lvlJc w:val="left"/>
      <w:pPr>
        <w:ind w:left="2491" w:hanging="423"/>
      </w:pPr>
      <w:rPr>
        <w:rFonts w:hint="default"/>
      </w:rPr>
    </w:lvl>
  </w:abstractNum>
  <w:abstractNum w:abstractNumId="0">
    <w:multiLevelType w:val="hybridMultilevel"/>
    <w:lvl w:ilvl="0">
      <w:start w:val="0"/>
      <w:numFmt w:val="bullet"/>
      <w:lvlText w:val=""/>
      <w:lvlJc w:val="left"/>
      <w:pPr>
        <w:ind w:left="1658" w:hanging="420"/>
      </w:pPr>
      <w:rPr>
        <w:rFonts w:hint="default" w:ascii="Wingdings" w:hAnsi="Wingdings" w:eastAsia="Wingdings" w:cs="Wingdings"/>
        <w:w w:val="100"/>
        <w:sz w:val="21"/>
        <w:szCs w:val="21"/>
      </w:rPr>
    </w:lvl>
    <w:lvl w:ilvl="1">
      <w:start w:val="0"/>
      <w:numFmt w:val="bullet"/>
      <w:lvlText w:val="•"/>
      <w:lvlJc w:val="left"/>
      <w:pPr>
        <w:ind w:left="2574" w:hanging="420"/>
      </w:pPr>
      <w:rPr>
        <w:rFonts w:hint="default"/>
      </w:rPr>
    </w:lvl>
    <w:lvl w:ilvl="2">
      <w:start w:val="0"/>
      <w:numFmt w:val="bullet"/>
      <w:lvlText w:val="•"/>
      <w:lvlJc w:val="left"/>
      <w:pPr>
        <w:ind w:left="3489" w:hanging="420"/>
      </w:pPr>
      <w:rPr>
        <w:rFonts w:hint="default"/>
      </w:rPr>
    </w:lvl>
    <w:lvl w:ilvl="3">
      <w:start w:val="0"/>
      <w:numFmt w:val="bullet"/>
      <w:lvlText w:val="•"/>
      <w:lvlJc w:val="left"/>
      <w:pPr>
        <w:ind w:left="4403" w:hanging="420"/>
      </w:pPr>
      <w:rPr>
        <w:rFonts w:hint="default"/>
      </w:rPr>
    </w:lvl>
    <w:lvl w:ilvl="4">
      <w:start w:val="0"/>
      <w:numFmt w:val="bullet"/>
      <w:lvlText w:val="•"/>
      <w:lvlJc w:val="left"/>
      <w:pPr>
        <w:ind w:left="5318" w:hanging="420"/>
      </w:pPr>
      <w:rPr>
        <w:rFonts w:hint="default"/>
      </w:rPr>
    </w:lvl>
    <w:lvl w:ilvl="5">
      <w:start w:val="0"/>
      <w:numFmt w:val="bullet"/>
      <w:lvlText w:val="•"/>
      <w:lvlJc w:val="left"/>
      <w:pPr>
        <w:ind w:left="6233" w:hanging="420"/>
      </w:pPr>
      <w:rPr>
        <w:rFonts w:hint="default"/>
      </w:rPr>
    </w:lvl>
    <w:lvl w:ilvl="6">
      <w:start w:val="0"/>
      <w:numFmt w:val="bullet"/>
      <w:lvlText w:val="•"/>
      <w:lvlJc w:val="left"/>
      <w:pPr>
        <w:ind w:left="7147" w:hanging="420"/>
      </w:pPr>
      <w:rPr>
        <w:rFonts w:hint="default"/>
      </w:rPr>
    </w:lvl>
    <w:lvl w:ilvl="7">
      <w:start w:val="0"/>
      <w:numFmt w:val="bullet"/>
      <w:lvlText w:val="•"/>
      <w:lvlJc w:val="left"/>
      <w:pPr>
        <w:ind w:left="8062" w:hanging="420"/>
      </w:pPr>
      <w:rPr>
        <w:rFonts w:hint="default"/>
      </w:rPr>
    </w:lvl>
    <w:lvl w:ilvl="8">
      <w:start w:val="0"/>
      <w:numFmt w:val="bullet"/>
      <w:lvlText w:val="•"/>
      <w:lvlJc w:val="left"/>
      <w:pPr>
        <w:ind w:left="8977" w:hanging="420"/>
      </w:pPr>
      <w:rPr>
        <w:rFonts w:hint="default"/>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2582"/>
      <w:outlineLvl w:val="1"/>
    </w:pPr>
    <w:rPr>
      <w:rFonts w:ascii="微软雅黑" w:hAnsi="微软雅黑" w:eastAsia="微软雅黑" w:cs="微软雅黑"/>
      <w:b/>
      <w:bCs/>
      <w:sz w:val="28"/>
      <w:szCs w:val="28"/>
    </w:rPr>
  </w:style>
  <w:style w:styleId="Heading2" w:type="paragraph">
    <w:name w:val="Heading 2"/>
    <w:basedOn w:val="Normal"/>
    <w:uiPriority w:val="1"/>
    <w:qFormat/>
    <w:pPr>
      <w:ind w:left="334"/>
      <w:outlineLvl w:val="2"/>
    </w:pPr>
    <w:rPr>
      <w:rFonts w:ascii="微软雅黑" w:hAnsi="微软雅黑" w:eastAsia="微软雅黑" w:cs="微软雅黑"/>
      <w:b/>
      <w:bCs/>
      <w:sz w:val="21"/>
      <w:szCs w:val="21"/>
    </w:rPr>
  </w:style>
  <w:style w:styleId="ListParagraph" w:type="paragraph">
    <w:name w:val="List Paragraph"/>
    <w:basedOn w:val="Normal"/>
    <w:uiPriority w:val="1"/>
    <w:qFormat/>
    <w:pPr>
      <w:spacing w:before="37"/>
      <w:ind w:left="1146" w:hanging="420"/>
    </w:pPr>
    <w:rPr>
      <w:rFonts w:ascii="宋体" w:hAnsi="宋体" w:eastAsia="宋体" w:cs="宋体"/>
    </w:rPr>
  </w:style>
  <w:style w:styleId="TableParagraph" w:type="paragraph">
    <w:name w:val="Table Paragraph"/>
    <w:basedOn w:val="Normal"/>
    <w:uiPriority w:val="1"/>
    <w:qFormat/>
    <w:pPr>
      <w:ind w:left="12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www.tianan-life.com/"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王少博</dc:creator>
  <dc:title>阅 读 指 引</dc:title>
  <dcterms:created xsi:type="dcterms:W3CDTF">2018-10-19T21:29:38Z</dcterms:created>
  <dcterms:modified xsi:type="dcterms:W3CDTF">2018-10-19T21:29:38Z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2014-07-23T00:00:00Z</vt:filetime>
  </property>
  <property fmtid="{D5CDD505-2E9C-101B-9397-08002B2CF9AE}" pid="3" name="Creator">
    <vt:lpwstr>Microsoft® Word 2013</vt:lpwstr>
  </property>
  <property fmtid="{D5CDD505-2E9C-101B-9397-08002B2CF9AE}" pid="4" name="LastSaved">
    <vt:filetime>2018-10-19T00:00:00Z</vt:filetime>
  </property>
</Properties>
</file>