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0" w:right="105" w:firstLine="0"/>
        <w:jc w:val="right"/>
        <w:rPr>
          <w:sz w:val="20"/>
        </w:rPr>
      </w:pPr>
      <w:r>
        <w:rPr>
          <w:sz w:val="20"/>
        </w:rPr>
        <w:t>恒安标准人寿</w:t>
      </w:r>
      <w:r>
        <w:rPr>
          <w:rFonts w:ascii="Times New Roman" w:eastAsia="Times New Roman"/>
          <w:sz w:val="20"/>
        </w:rPr>
        <w:t>[2009]</w:t>
      </w:r>
      <w:r>
        <w:rPr>
          <w:sz w:val="20"/>
        </w:rPr>
        <w:t>疾病保险 </w:t>
      </w:r>
      <w:r>
        <w:rPr>
          <w:rFonts w:ascii="Times New Roman" w:eastAsia="Times New Roman"/>
          <w:sz w:val="20"/>
        </w:rPr>
        <w:t>028 </w:t>
      </w:r>
      <w:r>
        <w:rPr>
          <w:sz w:val="20"/>
        </w:rPr>
        <w:t>号</w:t>
      </w:r>
    </w:p>
    <w:p>
      <w:pPr>
        <w:pStyle w:val="BodyText"/>
        <w:spacing w:before="0"/>
        <w:ind w:left="86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05" w:firstLine="0"/>
        <w:jc w:val="right"/>
        <w:rPr>
          <w:sz w:val="20"/>
        </w:rPr>
      </w:pPr>
      <w:r>
        <w:rPr>
          <w:sz w:val="20"/>
        </w:rPr>
        <w:t>请扫描以查询验证条款</w:t>
      </w:r>
    </w:p>
    <w:p>
      <w:pPr>
        <w:spacing w:line="407" w:lineRule="exact" w:before="0"/>
        <w:ind w:left="2128" w:right="0" w:firstLine="0"/>
        <w:jc w:val="left"/>
        <w:rPr>
          <w:sz w:val="32"/>
        </w:rPr>
      </w:pPr>
      <w:r>
        <w:rPr>
          <w:sz w:val="32"/>
        </w:rPr>
        <w:t>恒 安 标 准 人 寿 保 险 有 限 公 司</w:t>
      </w:r>
    </w:p>
    <w:p>
      <w:pPr>
        <w:spacing w:before="76"/>
        <w:ind w:left="2422" w:right="0" w:firstLine="0"/>
        <w:jc w:val="left"/>
        <w:rPr>
          <w:rFonts w:ascii="Times New Roman"/>
          <w:sz w:val="24"/>
        </w:rPr>
      </w:pPr>
      <w:r>
        <w:rPr/>
        <w:pict>
          <v:group style="position:absolute;margin-left:109.5pt;margin-top:21.753447pt;width:396pt;height:4.6pt;mso-position-horizontal-relative:page;mso-position-vertical-relative:paragraph;z-index:0;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tabs>
          <w:tab w:pos="3133" w:val="left" w:leader="none"/>
        </w:tabs>
        <w:spacing w:line="400" w:lineRule="auto" w:before="162"/>
        <w:ind w:left="2533" w:right="2524" w:firstLine="0"/>
        <w:jc w:val="center"/>
        <w:rPr>
          <w:rFonts w:ascii="黑体" w:eastAsia="黑体" w:hint="eastAsia"/>
          <w:sz w:val="30"/>
        </w:rPr>
      </w:pPr>
      <w:r>
        <w:rPr>
          <w:rFonts w:ascii="黑体" w:eastAsia="黑体" w:hint="eastAsia"/>
          <w:sz w:val="30"/>
        </w:rPr>
        <w:t>恒安标准附加少儿重大疾病保险条款目</w:t>
        <w:tab/>
        <w:t>录</w:t>
      </w:r>
    </w:p>
    <w:sdt>
      <w:sdtPr>
        <w:docPartObj>
          <w:docPartGallery w:val="Table of Contents"/>
          <w:docPartUnique/>
        </w:docPartObj>
      </w:sdtPr>
      <w:sdtEndPr/>
      <w:sdtContent>
        <w:p>
          <w:pPr>
            <w:pStyle w:val="TOC1"/>
            <w:numPr>
              <w:ilvl w:val="0"/>
              <w:numId w:val="1"/>
            </w:numPr>
            <w:tabs>
              <w:tab w:pos="533" w:val="left" w:leader="none"/>
              <w:tab w:pos="534" w:val="left" w:leader="none"/>
              <w:tab w:pos="9741" w:val="right" w:leader="dot"/>
            </w:tabs>
            <w:spacing w:line="240" w:lineRule="auto" w:before="41" w:after="0"/>
            <w:ind w:left="534" w:right="0" w:hanging="420"/>
            <w:jc w:val="left"/>
            <w:rPr>
              <w:rFonts w:ascii="Times New Roman" w:eastAsia="Times New Roman"/>
              <w:b/>
            </w:rPr>
          </w:pPr>
          <w:r>
            <w:fldChar w:fldCharType="begin"/>
          </w:r>
          <w:r>
            <w:instrText>TOC \o "1-2" \h \z \u </w:instrText>
          </w:r>
          <w:r>
            <w:fldChar w:fldCharType="separate"/>
          </w:r>
          <w:hyperlink w:history="true" w:anchor="_TOC_250020">
            <w:r>
              <w:rPr/>
              <w:t>您与我们订立本附加合同时需要了解的内容</w:t>
              <w:tab/>
            </w:r>
            <w:r>
              <w:rPr>
                <w:rFonts w:ascii="Times New Roman" w:eastAsia="Times New Roman"/>
                <w:b/>
              </w:rPr>
              <w:t>2</w:t>
            </w:r>
          </w:hyperlink>
        </w:p>
        <w:p>
          <w:pPr>
            <w:pStyle w:val="TOC2"/>
            <w:numPr>
              <w:ilvl w:val="1"/>
              <w:numId w:val="1"/>
            </w:numPr>
            <w:tabs>
              <w:tab w:pos="953" w:val="left" w:leader="none"/>
              <w:tab w:pos="955" w:val="left" w:leader="none"/>
              <w:tab w:pos="9740" w:val="right" w:leader="dot"/>
            </w:tabs>
            <w:spacing w:line="240" w:lineRule="auto" w:before="123" w:after="0"/>
            <w:ind w:left="954" w:right="0" w:hanging="630"/>
            <w:jc w:val="left"/>
            <w:rPr>
              <w:rFonts w:ascii="Times New Roman" w:eastAsia="Times New Roman"/>
            </w:rPr>
          </w:pPr>
          <w:hyperlink w:history="true" w:anchor="_TOC_250019">
            <w:r>
              <w:rPr/>
              <w:t>保险合同的种类和构成</w:t>
              <w:tab/>
            </w:r>
            <w:r>
              <w:rPr>
                <w:rFonts w:ascii="Times New Roman" w:eastAsia="Times New Roman"/>
              </w:rPr>
              <w:t>2</w:t>
            </w:r>
          </w:hyperlink>
        </w:p>
        <w:p>
          <w:pPr>
            <w:pStyle w:val="TOC2"/>
            <w:numPr>
              <w:ilvl w:val="1"/>
              <w:numId w:val="1"/>
            </w:numPr>
            <w:tabs>
              <w:tab w:pos="953" w:val="left" w:leader="none"/>
              <w:tab w:pos="955" w:val="left" w:leader="none"/>
              <w:tab w:pos="9741" w:val="right" w:leader="dot"/>
            </w:tabs>
            <w:spacing w:line="240" w:lineRule="auto" w:before="20" w:after="0"/>
            <w:ind w:left="954" w:right="0" w:hanging="630"/>
            <w:jc w:val="left"/>
            <w:rPr>
              <w:rFonts w:ascii="Times New Roman" w:eastAsia="Times New Roman"/>
            </w:rPr>
          </w:pPr>
          <w:hyperlink w:history="true" w:anchor="_TOC_250018">
            <w:r>
              <w:rPr/>
              <w:t>投保条件</w:t>
              <w:tab/>
            </w:r>
            <w:r>
              <w:rPr>
                <w:rFonts w:ascii="Times New Roman" w:eastAsia="Times New Roman"/>
              </w:rPr>
              <w:t>2</w:t>
            </w:r>
          </w:hyperlink>
        </w:p>
        <w:p>
          <w:pPr>
            <w:pStyle w:val="TOC2"/>
            <w:numPr>
              <w:ilvl w:val="1"/>
              <w:numId w:val="1"/>
            </w:numPr>
            <w:tabs>
              <w:tab w:pos="953" w:val="left" w:leader="none"/>
              <w:tab w:pos="954" w:val="left" w:leader="none"/>
              <w:tab w:pos="9741" w:val="right" w:leader="dot"/>
            </w:tabs>
            <w:spacing w:line="240" w:lineRule="auto" w:before="20" w:after="0"/>
            <w:ind w:left="953" w:right="0" w:hanging="630"/>
            <w:jc w:val="left"/>
            <w:rPr>
              <w:rFonts w:ascii="Times New Roman" w:eastAsia="Times New Roman"/>
            </w:rPr>
          </w:pPr>
          <w:hyperlink w:history="true" w:anchor="_TOC_250017">
            <w:r>
              <w:rPr/>
              <w:t>保险期间</w:t>
              <w:tab/>
            </w:r>
            <w:r>
              <w:rPr>
                <w:rFonts w:ascii="Times New Roman" w:eastAsia="Times New Roman"/>
              </w:rPr>
              <w:t>2</w:t>
            </w:r>
          </w:hyperlink>
        </w:p>
        <w:p>
          <w:pPr>
            <w:pStyle w:val="TOC2"/>
            <w:numPr>
              <w:ilvl w:val="1"/>
              <w:numId w:val="1"/>
            </w:numPr>
            <w:tabs>
              <w:tab w:pos="953" w:val="left" w:leader="none"/>
              <w:tab w:pos="954" w:val="left" w:leader="none"/>
              <w:tab w:pos="9740" w:val="right" w:leader="dot"/>
            </w:tabs>
            <w:spacing w:line="240" w:lineRule="auto" w:before="20" w:after="0"/>
            <w:ind w:left="953" w:right="0" w:hanging="630"/>
            <w:jc w:val="left"/>
            <w:rPr>
              <w:rFonts w:ascii="Times New Roman" w:eastAsia="Times New Roman"/>
            </w:rPr>
          </w:pPr>
          <w:hyperlink w:history="true" w:anchor="_TOC_250016">
            <w:r>
              <w:rPr/>
              <w:t>保险责任的开始和终止</w:t>
              <w:tab/>
            </w:r>
            <w:r>
              <w:rPr>
                <w:rFonts w:ascii="Times New Roman" w:eastAsia="Times New Roman"/>
              </w:rPr>
              <w:t>2</w:t>
            </w:r>
          </w:hyperlink>
        </w:p>
        <w:p>
          <w:pPr>
            <w:pStyle w:val="TOC2"/>
            <w:numPr>
              <w:ilvl w:val="1"/>
              <w:numId w:val="1"/>
            </w:numPr>
            <w:tabs>
              <w:tab w:pos="953" w:val="left" w:leader="none"/>
              <w:tab w:pos="954" w:val="left" w:leader="none"/>
              <w:tab w:pos="9740" w:val="right" w:leader="dot"/>
            </w:tabs>
            <w:spacing w:line="240" w:lineRule="auto" w:before="20" w:after="0"/>
            <w:ind w:left="953" w:right="0" w:hanging="630"/>
            <w:jc w:val="left"/>
            <w:rPr>
              <w:rFonts w:ascii="Times New Roman" w:eastAsia="Times New Roman"/>
            </w:rPr>
          </w:pPr>
          <w:hyperlink w:history="true" w:anchor="_TOC_250015">
            <w:r>
              <w:rPr/>
              <w:t>明确说明与如实告知</w:t>
              <w:tab/>
            </w:r>
            <w:r>
              <w:rPr>
                <w:rFonts w:ascii="Times New Roman" w:eastAsia="Times New Roman"/>
              </w:rPr>
              <w:t>2</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14">
            <w:r>
              <w:rPr/>
              <w:t>本附加合同项下的保障和利益</w:t>
              <w:tab/>
            </w:r>
            <w:r>
              <w:rPr>
                <w:rFonts w:ascii="Times New Roman" w:eastAsia="Times New Roman"/>
                <w:b/>
              </w:rPr>
              <w:t>2</w:t>
            </w:r>
          </w:hyperlink>
        </w:p>
        <w:p>
          <w:pPr>
            <w:pStyle w:val="TOC2"/>
            <w:numPr>
              <w:ilvl w:val="1"/>
              <w:numId w:val="1"/>
            </w:numPr>
            <w:tabs>
              <w:tab w:pos="953" w:val="left" w:leader="none"/>
              <w:tab w:pos="955" w:val="left" w:leader="none"/>
              <w:tab w:pos="9741" w:val="right" w:leader="dot"/>
            </w:tabs>
            <w:spacing w:line="240" w:lineRule="auto" w:before="123" w:after="0"/>
            <w:ind w:left="954" w:right="0" w:hanging="630"/>
            <w:jc w:val="left"/>
            <w:rPr>
              <w:rFonts w:ascii="Times New Roman" w:eastAsia="Times New Roman"/>
            </w:rPr>
          </w:pPr>
          <w:hyperlink w:history="true" w:anchor="_TOC_250013">
            <w:r>
              <w:rPr/>
              <w:t>保证续保</w:t>
              <w:tab/>
            </w:r>
            <w:r>
              <w:rPr>
                <w:rFonts w:ascii="Times New Roman" w:eastAsia="Times New Roman"/>
              </w:rPr>
              <w:t>2</w:t>
            </w:r>
          </w:hyperlink>
        </w:p>
        <w:p>
          <w:pPr>
            <w:pStyle w:val="TOC2"/>
            <w:numPr>
              <w:ilvl w:val="1"/>
              <w:numId w:val="1"/>
            </w:numPr>
            <w:tabs>
              <w:tab w:pos="953" w:val="left" w:leader="none"/>
              <w:tab w:pos="954" w:val="left" w:leader="none"/>
              <w:tab w:pos="9741" w:val="right" w:leader="dot"/>
            </w:tabs>
            <w:spacing w:line="240" w:lineRule="auto" w:before="20" w:after="0"/>
            <w:ind w:left="953" w:right="0" w:hanging="630"/>
            <w:jc w:val="left"/>
            <w:rPr>
              <w:rFonts w:ascii="Times New Roman" w:eastAsia="Times New Roman"/>
            </w:rPr>
          </w:pPr>
          <w:hyperlink w:history="true" w:anchor="_TOC_250012">
            <w:r>
              <w:rPr/>
              <w:t>保险金额</w:t>
              <w:tab/>
            </w:r>
            <w:r>
              <w:rPr>
                <w:rFonts w:ascii="Times New Roman" w:eastAsia="Times New Roman"/>
              </w:rPr>
              <w:t>3</w:t>
            </w:r>
          </w:hyperlink>
        </w:p>
        <w:p>
          <w:pPr>
            <w:pStyle w:val="TOC2"/>
            <w:numPr>
              <w:ilvl w:val="1"/>
              <w:numId w:val="1"/>
            </w:numPr>
            <w:tabs>
              <w:tab w:pos="953" w:val="left" w:leader="none"/>
              <w:tab w:pos="954" w:val="left" w:leader="none"/>
              <w:tab w:pos="9740" w:val="right" w:leader="dot"/>
            </w:tabs>
            <w:spacing w:line="240" w:lineRule="auto" w:before="20" w:after="0"/>
            <w:ind w:left="953" w:right="0" w:hanging="630"/>
            <w:jc w:val="left"/>
            <w:rPr>
              <w:rFonts w:ascii="Times New Roman" w:eastAsia="Times New Roman"/>
            </w:rPr>
          </w:pPr>
          <w:hyperlink w:history="true" w:anchor="_TOC_250011">
            <w:r>
              <w:rPr/>
              <w:t>我们为您提供的保障</w:t>
              <w:tab/>
            </w:r>
            <w:r>
              <w:rPr>
                <w:rFonts w:ascii="Times New Roman" w:eastAsia="Times New Roman"/>
              </w:rPr>
              <w:t>3</w:t>
            </w:r>
          </w:hyperlink>
        </w:p>
        <w:p>
          <w:pPr>
            <w:pStyle w:val="TOC2"/>
            <w:numPr>
              <w:ilvl w:val="1"/>
              <w:numId w:val="1"/>
            </w:numPr>
            <w:tabs>
              <w:tab w:pos="953" w:val="left" w:leader="none"/>
              <w:tab w:pos="954" w:val="left" w:leader="none"/>
              <w:tab w:pos="9741" w:val="right" w:leader="dot"/>
            </w:tabs>
            <w:spacing w:line="240" w:lineRule="auto" w:before="20" w:after="0"/>
            <w:ind w:left="953" w:right="0" w:hanging="630"/>
            <w:jc w:val="left"/>
            <w:rPr>
              <w:rFonts w:ascii="Times New Roman" w:eastAsia="Times New Roman"/>
            </w:rPr>
          </w:pPr>
          <w:hyperlink w:history="true" w:anchor="_TOC_250010">
            <w:r>
              <w:rPr/>
              <w:t>我们不承担的责任</w:t>
              <w:tab/>
            </w:r>
            <w:r>
              <w:rPr>
                <w:rFonts w:ascii="Times New Roman" w:eastAsia="Times New Roman"/>
              </w:rPr>
              <w:t>3</w:t>
            </w:r>
          </w:hyperlink>
        </w:p>
        <w:p>
          <w:pPr>
            <w:pStyle w:val="TOC2"/>
            <w:numPr>
              <w:ilvl w:val="1"/>
              <w:numId w:val="1"/>
            </w:numPr>
            <w:tabs>
              <w:tab w:pos="953" w:val="left" w:leader="none"/>
              <w:tab w:pos="954" w:val="left" w:leader="none"/>
              <w:tab w:pos="9741" w:val="right" w:leader="dot"/>
            </w:tabs>
            <w:spacing w:line="240" w:lineRule="auto" w:before="20" w:after="0"/>
            <w:ind w:left="953" w:right="0" w:hanging="630"/>
            <w:jc w:val="left"/>
            <w:rPr>
              <w:rFonts w:ascii="Times New Roman" w:eastAsia="Times New Roman"/>
            </w:rPr>
          </w:pPr>
          <w:hyperlink w:history="true" w:anchor="_TOC_250009">
            <w:r>
              <w:rPr/>
              <w:t>保险金受益人</w:t>
              <w:tab/>
            </w:r>
            <w:r>
              <w:rPr>
                <w:rFonts w:ascii="Times New Roman" w:eastAsia="Times New Roman"/>
              </w:rPr>
              <w:t>3</w:t>
            </w:r>
          </w:hyperlink>
        </w:p>
        <w:p>
          <w:pPr>
            <w:pStyle w:val="TOC2"/>
            <w:numPr>
              <w:ilvl w:val="1"/>
              <w:numId w:val="1"/>
            </w:numPr>
            <w:tabs>
              <w:tab w:pos="953" w:val="left" w:leader="none"/>
              <w:tab w:pos="954" w:val="left" w:leader="none"/>
              <w:tab w:pos="9740" w:val="right" w:leader="dot"/>
            </w:tabs>
            <w:spacing w:line="240" w:lineRule="auto" w:before="20" w:after="0"/>
            <w:ind w:left="953" w:right="0" w:hanging="630"/>
            <w:jc w:val="left"/>
            <w:rPr>
              <w:rFonts w:ascii="Times New Roman" w:eastAsia="Times New Roman"/>
            </w:rPr>
          </w:pPr>
          <w:hyperlink w:history="true" w:anchor="_TOC_250008">
            <w:r>
              <w:rPr/>
              <w:t>如何申请领取保险金</w:t>
              <w:tab/>
            </w:r>
            <w:r>
              <w:rPr>
                <w:rFonts w:ascii="Times New Roman" w:eastAsia="Times New Roman"/>
              </w:rPr>
              <w:t>3</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07">
            <w:r>
              <w:rPr/>
              <w:t>您在本附加合同项下的权利和义务</w:t>
              <w:tab/>
            </w:r>
            <w:r>
              <w:rPr>
                <w:rFonts w:ascii="Times New Roman" w:eastAsia="Times New Roman"/>
                <w:b/>
              </w:rPr>
              <w:t>4</w:t>
            </w:r>
          </w:hyperlink>
        </w:p>
        <w:p>
          <w:pPr>
            <w:pStyle w:val="TOC2"/>
            <w:numPr>
              <w:ilvl w:val="1"/>
              <w:numId w:val="1"/>
            </w:numPr>
            <w:tabs>
              <w:tab w:pos="953" w:val="left" w:leader="none"/>
              <w:tab w:pos="955" w:val="left" w:leader="none"/>
              <w:tab w:pos="9741" w:val="right" w:leader="dot"/>
            </w:tabs>
            <w:spacing w:line="240" w:lineRule="auto" w:before="123" w:after="0"/>
            <w:ind w:left="954" w:right="0" w:hanging="630"/>
            <w:jc w:val="left"/>
            <w:rPr>
              <w:rFonts w:ascii="Times New Roman" w:eastAsia="Times New Roman"/>
            </w:rPr>
          </w:pPr>
          <w:hyperlink w:history="true" w:anchor="_TOC_250006">
            <w:r>
              <w:rPr/>
              <w:t>保险费的交付</w:t>
              <w:tab/>
            </w:r>
            <w:r>
              <w:rPr>
                <w:rFonts w:ascii="Times New Roman" w:eastAsia="Times New Roman"/>
              </w:rPr>
              <w:t>4</w:t>
            </w:r>
          </w:hyperlink>
        </w:p>
        <w:p>
          <w:pPr>
            <w:pStyle w:val="TOC2"/>
            <w:numPr>
              <w:ilvl w:val="1"/>
              <w:numId w:val="1"/>
            </w:numPr>
            <w:tabs>
              <w:tab w:pos="953" w:val="left" w:leader="none"/>
              <w:tab w:pos="955" w:val="left" w:leader="none"/>
              <w:tab w:pos="9741" w:val="right" w:leader="dot"/>
            </w:tabs>
            <w:spacing w:line="240" w:lineRule="auto" w:before="20" w:after="0"/>
            <w:ind w:left="954" w:right="0" w:hanging="630"/>
            <w:jc w:val="left"/>
            <w:rPr>
              <w:rFonts w:ascii="Times New Roman" w:eastAsia="Times New Roman"/>
            </w:rPr>
          </w:pPr>
          <w:hyperlink w:history="true" w:anchor="_TOC_250005">
            <w:r>
              <w:rPr/>
              <w:t>解除合同的处理</w:t>
              <w:tab/>
            </w:r>
            <w:r>
              <w:rPr>
                <w:rFonts w:ascii="Times New Roman" w:eastAsia="Times New Roman"/>
              </w:rPr>
              <w:t>4</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04">
            <w:r>
              <w:rPr/>
              <w:t>您需要了解的其他内容</w:t>
              <w:tab/>
            </w:r>
            <w:r>
              <w:rPr>
                <w:rFonts w:ascii="Times New Roman" w:eastAsia="Times New Roman"/>
                <w:b/>
              </w:rPr>
              <w:t>4</w:t>
            </w:r>
          </w:hyperlink>
        </w:p>
        <w:p>
          <w:pPr>
            <w:pStyle w:val="TOC2"/>
            <w:numPr>
              <w:ilvl w:val="1"/>
              <w:numId w:val="1"/>
            </w:numPr>
            <w:tabs>
              <w:tab w:pos="953" w:val="left" w:leader="none"/>
              <w:tab w:pos="955" w:val="left" w:leader="none"/>
              <w:tab w:pos="9740" w:val="right" w:leader="dot"/>
            </w:tabs>
            <w:spacing w:line="240" w:lineRule="auto" w:before="123" w:after="0"/>
            <w:ind w:left="954" w:right="0" w:hanging="630"/>
            <w:jc w:val="left"/>
            <w:rPr>
              <w:rFonts w:ascii="Times New Roman" w:eastAsia="Times New Roman"/>
            </w:rPr>
          </w:pPr>
          <w:hyperlink w:history="true" w:anchor="_TOC_250003">
            <w:r>
              <w:rPr/>
              <w:t>年龄计算和错误处理</w:t>
              <w:tab/>
            </w:r>
            <w:r>
              <w:rPr>
                <w:rFonts w:ascii="Times New Roman" w:eastAsia="Times New Roman"/>
              </w:rPr>
              <w:t>4</w:t>
            </w:r>
          </w:hyperlink>
        </w:p>
        <w:p>
          <w:pPr>
            <w:pStyle w:val="TOC2"/>
            <w:numPr>
              <w:ilvl w:val="1"/>
              <w:numId w:val="1"/>
            </w:numPr>
            <w:tabs>
              <w:tab w:pos="953" w:val="left" w:leader="none"/>
              <w:tab w:pos="954" w:val="left" w:leader="none"/>
              <w:tab w:pos="9740" w:val="right" w:leader="dot"/>
            </w:tabs>
            <w:spacing w:line="240" w:lineRule="auto" w:before="20" w:after="0"/>
            <w:ind w:left="953" w:right="0" w:hanging="630"/>
            <w:jc w:val="left"/>
            <w:rPr>
              <w:rFonts w:ascii="Times New Roman" w:eastAsia="Times New Roman"/>
            </w:rPr>
          </w:pPr>
          <w:hyperlink w:history="true" w:anchor="_TOC_250002">
            <w:r>
              <w:rPr/>
              <w:t>住所或通讯地址的变更</w:t>
              <w:tab/>
            </w:r>
            <w:r>
              <w:rPr>
                <w:rFonts w:ascii="Times New Roman" w:eastAsia="Times New Roman"/>
              </w:rPr>
              <w:t>5</w:t>
            </w:r>
          </w:hyperlink>
        </w:p>
        <w:p>
          <w:pPr>
            <w:pStyle w:val="TOC2"/>
            <w:numPr>
              <w:ilvl w:val="1"/>
              <w:numId w:val="1"/>
            </w:numPr>
            <w:tabs>
              <w:tab w:pos="953" w:val="left" w:leader="none"/>
              <w:tab w:pos="954" w:val="left" w:leader="none"/>
              <w:tab w:pos="9741" w:val="right" w:leader="dot"/>
            </w:tabs>
            <w:spacing w:line="240" w:lineRule="auto" w:before="20" w:after="0"/>
            <w:ind w:left="953" w:right="0" w:hanging="630"/>
            <w:jc w:val="left"/>
            <w:rPr>
              <w:rFonts w:ascii="Times New Roman" w:eastAsia="Times New Roman"/>
            </w:rPr>
          </w:pPr>
          <w:hyperlink w:history="true" w:anchor="_TOC_250001">
            <w:r>
              <w:rPr/>
              <w:t>争议的处理</w:t>
              <w:tab/>
            </w:r>
            <w:r>
              <w:rPr>
                <w:rFonts w:ascii="Times New Roman" w:eastAsia="Times New Roman"/>
              </w:rPr>
              <w:t>5</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00">
            <w:r>
              <w:rPr/>
              <w:t>条款的解释</w:t>
              <w:tab/>
            </w:r>
            <w:r>
              <w:rPr>
                <w:rFonts w:ascii="Times New Roman" w:eastAsia="Times New Roman"/>
                <w:b/>
              </w:rPr>
              <w:t>5</w:t>
            </w:r>
          </w:hyperlink>
        </w:p>
        <w:p>
          <w:pPr/>
          <w:r>
            <w:fldChar w:fldCharType="end"/>
          </w:r>
        </w:p>
      </w:sdtContent>
    </w:sdt>
    <w:p>
      <w:pPr>
        <w:spacing w:after="0"/>
        <w:sectPr>
          <w:footerReference w:type="default" r:id="rId5"/>
          <w:type w:val="continuous"/>
          <w:pgSz w:w="11900" w:h="16840"/>
          <w:pgMar w:footer="1028" w:top="1080" w:bottom="1220" w:left="1020" w:right="1020"/>
          <w:pgNumType w:start="1"/>
        </w:sectPr>
      </w:pPr>
    </w:p>
    <w:p>
      <w:pPr>
        <w:pStyle w:val="Heading1"/>
        <w:numPr>
          <w:ilvl w:val="0"/>
          <w:numId w:val="2"/>
        </w:numPr>
        <w:tabs>
          <w:tab w:pos="593" w:val="left" w:leader="none"/>
          <w:tab w:pos="594" w:val="left" w:leader="none"/>
        </w:tabs>
        <w:spacing w:line="240" w:lineRule="auto" w:before="15" w:after="0"/>
        <w:ind w:left="594" w:right="0" w:hanging="480"/>
        <w:jc w:val="left"/>
      </w:pPr>
      <w:bookmarkStart w:name="_TOC_250020" w:id="1"/>
      <w:bookmarkEnd w:id="1"/>
      <w:r>
        <w:rPr/>
        <w:t>您与我们订立本附加合同时需要了解的内容</w:t>
      </w:r>
    </w:p>
    <w:p>
      <w:pPr>
        <w:pStyle w:val="Heading2"/>
        <w:numPr>
          <w:ilvl w:val="1"/>
          <w:numId w:val="2"/>
        </w:numPr>
        <w:tabs>
          <w:tab w:pos="594" w:val="left" w:leader="none"/>
        </w:tabs>
        <w:spacing w:line="240" w:lineRule="auto" w:before="64" w:after="0"/>
        <w:ind w:left="594" w:right="0" w:hanging="480"/>
        <w:jc w:val="left"/>
      </w:pPr>
      <w:bookmarkStart w:name="_TOC_250019" w:id="2"/>
      <w:bookmarkEnd w:id="2"/>
      <w:r>
        <w:rPr/>
        <w:t>保险合同的种类和构成</w:t>
      </w:r>
    </w:p>
    <w:p>
      <w:pPr>
        <w:pStyle w:val="BodyText"/>
        <w:spacing w:line="273" w:lineRule="auto" w:before="15"/>
        <w:ind w:right="206" w:firstLine="417"/>
        <w:jc w:val="both"/>
      </w:pPr>
      <w:r>
        <w:rPr>
          <w:spacing w:val="-3"/>
        </w:rPr>
        <w:t>您作为投保人，与我们订立的本保险合同为恒安标准附加少儿重大疾病保险合同</w:t>
      </w:r>
      <w:r>
        <w:rPr/>
        <w:t>（</w:t>
      </w:r>
      <w:r>
        <w:rPr>
          <w:spacing w:val="-2"/>
        </w:rPr>
        <w:t>以下简称“本附加合同</w:t>
      </w:r>
      <w:r>
        <w:rPr>
          <w:spacing w:val="-105"/>
        </w:rPr>
        <w:t>”）</w:t>
      </w:r>
      <w:r>
        <w:rPr>
          <w:spacing w:val="-4"/>
        </w:rPr>
        <w:t>，所使用的保险条款为恒安标准附加少儿重大疾病保险条款</w:t>
      </w:r>
      <w:r>
        <w:rPr/>
        <w:t>（</w:t>
      </w:r>
      <w:r>
        <w:rPr>
          <w:spacing w:val="-12"/>
        </w:rPr>
        <w:t>以下简称“本保险条款”</w:t>
      </w:r>
      <w:r>
        <w:rPr>
          <w:spacing w:val="-105"/>
        </w:rPr>
        <w:t>）</w:t>
      </w:r>
      <w:r>
        <w:rPr>
          <w:spacing w:val="-2"/>
        </w:rPr>
        <w:t>。您只有在与我们订立了主险合同，才可以选择订立本附加合同。</w:t>
      </w:r>
    </w:p>
    <w:p>
      <w:pPr>
        <w:pStyle w:val="BodyText"/>
        <w:spacing w:line="273" w:lineRule="auto" w:before="8"/>
        <w:ind w:left="114" w:right="170" w:firstLine="420"/>
      </w:pPr>
      <w:r>
        <w:rPr/>
        <w:t>本保险条款、与本附加合同有关的保险单或其他保险凭证、投保文件、声明、批单、协议，以及与本附加合同有关的主险合同所附保险条款、保险单均为本附加合同的组成部分。</w:t>
      </w:r>
    </w:p>
    <w:p>
      <w:pPr>
        <w:pStyle w:val="BodyText"/>
        <w:spacing w:before="8"/>
        <w:ind w:left="534"/>
      </w:pPr>
      <w:r>
        <w:rPr/>
        <w:t>如果本附加合同保险条款与主险合同保险条款的规定不一致，以本附加合同保险条款为准。</w:t>
      </w:r>
    </w:p>
    <w:p>
      <w:pPr>
        <w:pStyle w:val="BodyText"/>
        <w:spacing w:before="37"/>
        <w:ind w:left="534"/>
      </w:pPr>
      <w:r>
        <w:rPr/>
        <w:t>我们在本保险条款第 </w:t>
      </w:r>
      <w:r>
        <w:rPr>
          <w:rFonts w:ascii="Times New Roman" w:eastAsia="Times New Roman"/>
        </w:rPr>
        <w:t>5 </w:t>
      </w:r>
      <w:r>
        <w:rPr/>
        <w:t>条中对重要术语进行了解释，术语含义以该条中的解释为准，请您注意阅读。</w:t>
      </w:r>
    </w:p>
    <w:p>
      <w:pPr>
        <w:pStyle w:val="Heading2"/>
        <w:numPr>
          <w:ilvl w:val="1"/>
          <w:numId w:val="2"/>
        </w:numPr>
        <w:tabs>
          <w:tab w:pos="594" w:val="left" w:leader="none"/>
        </w:tabs>
        <w:spacing w:line="240" w:lineRule="auto" w:before="63" w:after="0"/>
        <w:ind w:left="594" w:right="0" w:hanging="480"/>
        <w:jc w:val="left"/>
      </w:pPr>
      <w:bookmarkStart w:name="_TOC_250018" w:id="3"/>
      <w:bookmarkEnd w:id="3"/>
      <w:r>
        <w:rPr/>
        <w:t>投保条件</w:t>
      </w:r>
    </w:p>
    <w:p>
      <w:pPr>
        <w:pStyle w:val="BodyText"/>
        <w:spacing w:before="14"/>
        <w:ind w:left="534"/>
      </w:pPr>
      <w:r>
        <w:rPr/>
        <w:t>一、投保人</w:t>
      </w:r>
    </w:p>
    <w:p>
      <w:pPr>
        <w:pStyle w:val="BodyText"/>
        <w:spacing w:line="256" w:lineRule="auto" w:before="37"/>
        <w:ind w:right="205" w:firstLine="420"/>
      </w:pPr>
      <w:r>
        <w:rPr/>
        <w:t>投保时年龄在 </w:t>
      </w:r>
      <w:r>
        <w:rPr>
          <w:rFonts w:ascii="Times New Roman" w:eastAsia="Times New Roman"/>
        </w:rPr>
        <w:t>18 </w:t>
      </w:r>
      <w:r>
        <w:rPr/>
        <w:t>周岁以上的均可作为投保人向我们投保本附加险。投保人在订立本附加合同时应当对被保险人具有保险利益。</w:t>
      </w:r>
    </w:p>
    <w:p>
      <w:pPr>
        <w:pStyle w:val="BodyText"/>
        <w:spacing w:before="22"/>
        <w:ind w:left="533"/>
      </w:pPr>
      <w:r>
        <w:rPr/>
        <w:t>二、被保险人</w:t>
      </w:r>
    </w:p>
    <w:p>
      <w:pPr>
        <w:pStyle w:val="BodyText"/>
        <w:spacing w:before="37"/>
        <w:ind w:left="533"/>
      </w:pPr>
      <w:r>
        <w:rPr>
          <w:spacing w:val="-11"/>
        </w:rPr>
        <w:t>凡出生满 </w:t>
      </w:r>
      <w:r>
        <w:rPr>
          <w:rFonts w:ascii="Times New Roman" w:eastAsia="Times New Roman"/>
        </w:rPr>
        <w:t>30 </w:t>
      </w:r>
      <w:r>
        <w:rPr>
          <w:spacing w:val="-7"/>
        </w:rPr>
        <w:t>天以上、</w:t>
      </w:r>
      <w:r>
        <w:rPr>
          <w:rFonts w:ascii="Times New Roman" w:eastAsia="Times New Roman"/>
        </w:rPr>
        <w:t>17 </w:t>
      </w:r>
      <w:r>
        <w:rPr>
          <w:spacing w:val="-5"/>
        </w:rPr>
        <w:t>周岁以下的身体健康者，经我们审核同意，均可作为本附加合同的被保险人。</w:t>
      </w:r>
    </w:p>
    <w:p>
      <w:pPr>
        <w:pStyle w:val="Heading2"/>
        <w:numPr>
          <w:ilvl w:val="1"/>
          <w:numId w:val="2"/>
        </w:numPr>
        <w:tabs>
          <w:tab w:pos="594" w:val="left" w:leader="none"/>
        </w:tabs>
        <w:spacing w:line="240" w:lineRule="auto" w:before="63" w:after="0"/>
        <w:ind w:left="594" w:right="0" w:hanging="480"/>
        <w:jc w:val="left"/>
      </w:pPr>
      <w:bookmarkStart w:name="_TOC_250017" w:id="4"/>
      <w:bookmarkEnd w:id="4"/>
      <w:r>
        <w:rPr/>
        <w:t>保险期间</w:t>
      </w:r>
    </w:p>
    <w:p>
      <w:pPr>
        <w:pStyle w:val="BodyText"/>
        <w:spacing w:before="15"/>
        <w:ind w:left="534"/>
      </w:pPr>
      <w:r>
        <w:rPr/>
        <w:t>本附加合同保险期间为 </w:t>
      </w:r>
      <w:r>
        <w:rPr>
          <w:rFonts w:ascii="Times New Roman" w:eastAsia="Times New Roman"/>
        </w:rPr>
        <w:t>1 </w:t>
      </w:r>
      <w:r>
        <w:rPr/>
        <w:t>年，我们可保证续保至被保险人年满 </w:t>
      </w:r>
      <w:r>
        <w:rPr>
          <w:rFonts w:ascii="Times New Roman" w:eastAsia="Times New Roman"/>
        </w:rPr>
        <w:t>21 </w:t>
      </w:r>
      <w:r>
        <w:rPr/>
        <w:t>周岁。</w:t>
      </w:r>
    </w:p>
    <w:p>
      <w:pPr>
        <w:pStyle w:val="Heading2"/>
        <w:numPr>
          <w:ilvl w:val="1"/>
          <w:numId w:val="2"/>
        </w:numPr>
        <w:tabs>
          <w:tab w:pos="594" w:val="left" w:leader="none"/>
        </w:tabs>
        <w:spacing w:line="240" w:lineRule="auto" w:before="63" w:after="0"/>
        <w:ind w:left="594" w:right="0" w:hanging="480"/>
        <w:jc w:val="left"/>
      </w:pPr>
      <w:bookmarkStart w:name="_TOC_250016" w:id="5"/>
      <w:bookmarkEnd w:id="5"/>
      <w:r>
        <w:rPr/>
        <w:t>保险责任的开始和终止</w:t>
      </w:r>
    </w:p>
    <w:p>
      <w:pPr>
        <w:pStyle w:val="BodyText"/>
        <w:spacing w:before="14"/>
        <w:ind w:left="534"/>
      </w:pPr>
      <w:r>
        <w:rPr/>
        <w:t>一、保险责任的开始</w:t>
      </w:r>
    </w:p>
    <w:p>
      <w:pPr>
        <w:pStyle w:val="BodyText"/>
        <w:spacing w:line="273" w:lineRule="auto" w:before="36"/>
        <w:ind w:right="101" w:firstLine="420"/>
      </w:pPr>
      <w:r>
        <w:rPr>
          <w:spacing w:val="-3"/>
        </w:rPr>
        <w:t>在您完成投保申请，并经我们审核同意，本附加合同成立。本附加合同自您交付的保险费到达我们账</w:t>
      </w:r>
      <w:r>
        <w:rPr>
          <w:spacing w:val="-12"/>
        </w:rPr>
        <w:t>户之日起生效，具体的生效日期在保险单中载明。我们自本附加合同生效日次日零时起开始承担保险责任。</w:t>
      </w:r>
    </w:p>
    <w:p>
      <w:pPr>
        <w:pStyle w:val="BodyText"/>
        <w:ind w:left="534"/>
      </w:pPr>
      <w:r>
        <w:rPr/>
        <w:t>二、保险责任的终止</w:t>
      </w:r>
    </w:p>
    <w:p>
      <w:pPr>
        <w:pStyle w:val="BodyText"/>
        <w:spacing w:before="37"/>
        <w:ind w:left="534"/>
      </w:pPr>
      <w:r>
        <w:rPr/>
        <w:t>发生下列情况之一时本附加合同保险责任自动终止：</w:t>
      </w:r>
    </w:p>
    <w:p>
      <w:pPr>
        <w:pStyle w:val="ListParagraph"/>
        <w:numPr>
          <w:ilvl w:val="0"/>
          <w:numId w:val="3"/>
        </w:numPr>
        <w:tabs>
          <w:tab w:pos="798" w:val="left" w:leader="none"/>
        </w:tabs>
        <w:spacing w:line="240" w:lineRule="auto" w:before="37" w:after="0"/>
        <w:ind w:left="797" w:right="0" w:hanging="263"/>
        <w:jc w:val="left"/>
        <w:rPr>
          <w:sz w:val="21"/>
        </w:rPr>
      </w:pPr>
      <w:r>
        <w:rPr>
          <w:spacing w:val="-1"/>
          <w:sz w:val="21"/>
        </w:rPr>
        <w:t>主险合同中止、终止或处于交清状态；</w:t>
      </w:r>
    </w:p>
    <w:p>
      <w:pPr>
        <w:pStyle w:val="ListParagraph"/>
        <w:numPr>
          <w:ilvl w:val="0"/>
          <w:numId w:val="3"/>
        </w:numPr>
        <w:tabs>
          <w:tab w:pos="798" w:val="left" w:leader="none"/>
        </w:tabs>
        <w:spacing w:line="240" w:lineRule="auto" w:before="21" w:after="0"/>
        <w:ind w:left="797" w:right="0" w:hanging="263"/>
        <w:jc w:val="left"/>
        <w:rPr>
          <w:sz w:val="21"/>
        </w:rPr>
      </w:pPr>
      <w:r>
        <w:rPr>
          <w:spacing w:val="-1"/>
          <w:sz w:val="21"/>
        </w:rPr>
        <w:t>被保险人身故或被确诊为本附加合同约定的重大疾病；</w:t>
      </w:r>
    </w:p>
    <w:p>
      <w:pPr>
        <w:pStyle w:val="ListParagraph"/>
        <w:numPr>
          <w:ilvl w:val="0"/>
          <w:numId w:val="3"/>
        </w:numPr>
        <w:tabs>
          <w:tab w:pos="798" w:val="left" w:leader="none"/>
        </w:tabs>
        <w:spacing w:line="240" w:lineRule="auto" w:before="21" w:after="0"/>
        <w:ind w:left="797" w:right="0" w:hanging="263"/>
        <w:jc w:val="left"/>
        <w:rPr>
          <w:sz w:val="21"/>
        </w:rPr>
      </w:pPr>
      <w:r>
        <w:rPr>
          <w:spacing w:val="-1"/>
          <w:sz w:val="21"/>
        </w:rPr>
        <w:t>本附加合同其他条款约定的保险合同或保险责任终止的情形。</w:t>
      </w:r>
    </w:p>
    <w:p>
      <w:pPr>
        <w:pStyle w:val="Heading2"/>
        <w:numPr>
          <w:ilvl w:val="1"/>
          <w:numId w:val="2"/>
        </w:numPr>
        <w:tabs>
          <w:tab w:pos="594" w:val="left" w:leader="none"/>
        </w:tabs>
        <w:spacing w:line="240" w:lineRule="auto" w:before="63" w:after="0"/>
        <w:ind w:left="594" w:right="0" w:hanging="480"/>
        <w:jc w:val="left"/>
      </w:pPr>
      <w:bookmarkStart w:name="_TOC_250015" w:id="6"/>
      <w:bookmarkEnd w:id="6"/>
      <w:r>
        <w:rPr/>
        <w:t>明确说明与如实告知</w:t>
      </w:r>
    </w:p>
    <w:p>
      <w:pPr>
        <w:pStyle w:val="BodyText"/>
        <w:spacing w:line="273" w:lineRule="auto" w:before="14"/>
        <w:ind w:left="114" w:right="185" w:firstLine="420"/>
        <w:jc w:val="both"/>
      </w:pPr>
      <w:r>
        <w:rPr/>
        <w:t>在订立本附加合同时，我们应向您说明本附加合同的条款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ind w:right="178"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如实告知义务、足以影响我们决定是否同意承保或者提高保险费率的，我们有权解除本附加合同。如果您故意不履行如实告知义务，即使是在本附加合同解除前发生保险事故，我们也不承担给付保险金的责任， </w:t>
      </w:r>
      <w:r>
        <w:rPr>
          <w:spacing w:val="-8"/>
        </w:rPr>
        <w:t>并不退还保险费。如果您因重大过失未履行如实告知义务，对保险事故的发生有严重影响的，我们对本附加合同解除前发生的保险事故不承担给付保险金的责任，但将退还保险费。</w:t>
      </w:r>
    </w:p>
    <w:p>
      <w:pPr>
        <w:pStyle w:val="BodyText"/>
        <w:ind w:left="533"/>
      </w:pPr>
      <w:r>
        <w:rPr/>
        <w:t>前项规定的合同解除权，自我们知道有解除事由之日起，超过 </w:t>
      </w:r>
      <w:r>
        <w:rPr>
          <w:rFonts w:ascii="Times New Roman" w:eastAsia="Times New Roman"/>
        </w:rPr>
        <w:t>30 </w:t>
      </w:r>
      <w:r>
        <w:rPr/>
        <w:t>日不行使而消灭。自本附加合同成</w:t>
      </w:r>
    </w:p>
    <w:p>
      <w:pPr>
        <w:pStyle w:val="BodyText"/>
        <w:spacing w:before="21"/>
      </w:pPr>
      <w:r>
        <w:rPr/>
        <w:t>立之日起超过 </w:t>
      </w:r>
      <w:r>
        <w:rPr>
          <w:rFonts w:ascii="Times New Roman" w:eastAsia="Times New Roman"/>
        </w:rPr>
        <w:t>2 </w:t>
      </w:r>
      <w:r>
        <w:rPr/>
        <w:t>年的，我们不得解除本附加合同；发生保险事故的，我们承担给付保险金的责任。</w:t>
      </w:r>
    </w:p>
    <w:p>
      <w:pPr>
        <w:pStyle w:val="BodyText"/>
        <w:spacing w:line="273" w:lineRule="auto" w:before="21"/>
        <w:ind w:right="151" w:firstLine="429"/>
      </w:pPr>
      <w:r>
        <w:rPr/>
        <w:t>我们在本附加合同订立时已经知道您未如实告知的情况的，我们不得解除本附加合同；发生保险事故的，我们承担给付保险金的责任。</w:t>
      </w:r>
    </w:p>
    <w:p>
      <w:pPr>
        <w:pStyle w:val="Heading1"/>
        <w:numPr>
          <w:ilvl w:val="0"/>
          <w:numId w:val="2"/>
        </w:numPr>
        <w:tabs>
          <w:tab w:pos="593" w:val="left" w:leader="none"/>
          <w:tab w:pos="594" w:val="left" w:leader="none"/>
        </w:tabs>
        <w:spacing w:line="298" w:lineRule="exact" w:before="0" w:after="0"/>
        <w:ind w:left="594" w:right="0" w:hanging="480"/>
        <w:jc w:val="left"/>
      </w:pPr>
      <w:bookmarkStart w:name="_TOC_250014" w:id="7"/>
      <w:bookmarkEnd w:id="7"/>
      <w:r>
        <w:rPr/>
        <w:t>本附加合同项下的保障和利益</w:t>
      </w:r>
    </w:p>
    <w:p>
      <w:pPr>
        <w:pStyle w:val="Heading2"/>
        <w:numPr>
          <w:ilvl w:val="1"/>
          <w:numId w:val="2"/>
        </w:numPr>
        <w:tabs>
          <w:tab w:pos="594" w:val="left" w:leader="none"/>
        </w:tabs>
        <w:spacing w:line="240" w:lineRule="auto" w:before="64" w:after="0"/>
        <w:ind w:left="594" w:right="0" w:hanging="480"/>
        <w:jc w:val="left"/>
      </w:pPr>
      <w:bookmarkStart w:name="_TOC_250013" w:id="8"/>
      <w:bookmarkEnd w:id="8"/>
      <w:r>
        <w:rPr/>
        <w:t>保证续保</w:t>
      </w:r>
    </w:p>
    <w:p>
      <w:pPr>
        <w:pStyle w:val="BodyText"/>
        <w:spacing w:line="273" w:lineRule="auto" w:before="15"/>
        <w:ind w:left="114" w:right="155" w:firstLine="420"/>
      </w:pPr>
      <w:r>
        <w:rPr/>
        <w:t>您可于每个保险期间届满时交付续保保险费，本附加合同继续有效一年。本附加合同可按上述续保方式续保至被保险人年满 </w:t>
      </w:r>
      <w:r>
        <w:rPr>
          <w:rFonts w:ascii="Times New Roman" w:eastAsia="Times New Roman"/>
        </w:rPr>
        <w:t>21 </w:t>
      </w:r>
      <w:r>
        <w:rPr/>
        <w:t>周岁后的首个合同生效日对应日止（若合同生效日对应日与被保险人生日是同</w:t>
      </w:r>
    </w:p>
    <w:p>
      <w:pPr>
        <w:pStyle w:val="BodyText"/>
        <w:spacing w:line="279" w:lineRule="exact" w:before="0"/>
        <w:ind w:left="114"/>
      </w:pPr>
      <w:r>
        <w:rPr>
          <w:spacing w:val="-4"/>
        </w:rPr>
        <w:t>一日期，则仅续保至被保险人 </w:t>
      </w:r>
      <w:r>
        <w:rPr>
          <w:rFonts w:ascii="Times New Roman" w:eastAsia="Times New Roman"/>
        </w:rPr>
        <w:t>21 </w:t>
      </w:r>
      <w:r>
        <w:rPr/>
        <w:t>周岁生日止</w:t>
      </w:r>
      <w:r>
        <w:rPr>
          <w:spacing w:val="-105"/>
        </w:rPr>
        <w:t>）</w:t>
      </w:r>
      <w:r>
        <w:rPr/>
        <w:t>。</w:t>
      </w:r>
    </w:p>
    <w:p>
      <w:pPr>
        <w:pStyle w:val="BodyText"/>
        <w:spacing w:before="21"/>
        <w:ind w:left="533"/>
      </w:pPr>
      <w:r>
        <w:rPr/>
        <w:t>我们不会因为被保险人的健康状况而拒绝您续保，也不能因被保险人在续保后发生疾病而增加保险费</w:t>
      </w:r>
    </w:p>
    <w:p>
      <w:pPr>
        <w:spacing w:after="0"/>
        <w:sectPr>
          <w:pgSz w:w="11900" w:h="16840"/>
          <w:pgMar w:header="0" w:footer="1028" w:top="1080" w:bottom="1260" w:left="1020" w:right="920"/>
        </w:sectPr>
      </w:pPr>
    </w:p>
    <w:p>
      <w:pPr>
        <w:pStyle w:val="BodyText"/>
        <w:spacing w:line="273" w:lineRule="auto" w:before="19"/>
        <w:ind w:right="75"/>
      </w:pPr>
      <w:r>
        <w:rPr/>
        <w:t>或不承担保险责任。但如果被保险人发生重大疾病并且我们已给付重大疾病保险金后，我们将不再接受续保。</w:t>
      </w:r>
    </w:p>
    <w:p>
      <w:pPr>
        <w:pStyle w:val="Heading2"/>
        <w:numPr>
          <w:ilvl w:val="1"/>
          <w:numId w:val="2"/>
        </w:numPr>
        <w:tabs>
          <w:tab w:pos="594" w:val="left" w:leader="none"/>
        </w:tabs>
        <w:spacing w:line="240" w:lineRule="auto" w:before="50" w:after="0"/>
        <w:ind w:left="594" w:right="0" w:hanging="480"/>
        <w:jc w:val="both"/>
      </w:pPr>
      <w:bookmarkStart w:name="_TOC_250012" w:id="9"/>
      <w:bookmarkEnd w:id="9"/>
      <w:r>
        <w:rPr/>
        <w:t>保险金额</w:t>
      </w:r>
    </w:p>
    <w:p>
      <w:pPr>
        <w:pStyle w:val="BodyText"/>
        <w:spacing w:before="15"/>
        <w:ind w:left="534"/>
      </w:pPr>
      <w:r>
        <w:rPr/>
        <w:t>本附加合同的保险金额由您与我们约定，并在保险单或批单中载明。</w:t>
      </w:r>
    </w:p>
    <w:p>
      <w:pPr>
        <w:pStyle w:val="Heading2"/>
        <w:numPr>
          <w:ilvl w:val="1"/>
          <w:numId w:val="2"/>
        </w:numPr>
        <w:tabs>
          <w:tab w:pos="594" w:val="left" w:leader="none"/>
        </w:tabs>
        <w:spacing w:line="240" w:lineRule="auto" w:before="79" w:after="0"/>
        <w:ind w:left="594" w:right="0" w:hanging="480"/>
        <w:jc w:val="both"/>
      </w:pPr>
      <w:bookmarkStart w:name="_TOC_250011" w:id="10"/>
      <w:bookmarkEnd w:id="10"/>
      <w:r>
        <w:rPr/>
        <w:t>我们为您提供的保障</w:t>
      </w:r>
    </w:p>
    <w:p>
      <w:pPr>
        <w:pStyle w:val="BodyText"/>
        <w:spacing w:before="14"/>
        <w:ind w:left="534"/>
      </w:pPr>
      <w:r>
        <w:rPr/>
        <w:t>在本附加合同有效期内，我们承担下列保险责任：</w:t>
      </w:r>
    </w:p>
    <w:p>
      <w:pPr>
        <w:spacing w:line="313" w:lineRule="exact" w:before="12"/>
        <w:ind w:left="531" w:right="0" w:firstLine="0"/>
        <w:jc w:val="left"/>
        <w:rPr>
          <w:rFonts w:ascii="黑体" w:eastAsia="黑体" w:hint="eastAsia"/>
          <w:sz w:val="24"/>
        </w:rPr>
      </w:pPr>
      <w:r>
        <w:rPr>
          <w:rFonts w:ascii="黑体" w:eastAsia="黑体" w:hint="eastAsia"/>
          <w:spacing w:val="-3"/>
          <w:sz w:val="24"/>
        </w:rPr>
        <w:t>一、若被保险人在本附加合同</w:t>
      </w:r>
      <w:r>
        <w:rPr>
          <w:rFonts w:ascii="黑体" w:eastAsia="黑体" w:hint="eastAsia"/>
          <w:sz w:val="24"/>
        </w:rPr>
        <w:t>Th</w:t>
      </w:r>
      <w:r>
        <w:rPr>
          <w:rFonts w:ascii="黑体" w:eastAsia="黑体" w:hint="eastAsia"/>
          <w:spacing w:val="-10"/>
          <w:sz w:val="24"/>
        </w:rPr>
        <w:t>效日次日起 </w:t>
      </w:r>
      <w:r>
        <w:rPr>
          <w:rFonts w:ascii="黑体" w:eastAsia="黑体" w:hint="eastAsia"/>
          <w:sz w:val="24"/>
        </w:rPr>
        <w:t>90</w:t>
      </w:r>
      <w:r>
        <w:rPr>
          <w:rFonts w:ascii="黑体" w:eastAsia="黑体" w:hint="eastAsia"/>
          <w:spacing w:val="-23"/>
          <w:sz w:val="24"/>
        </w:rPr>
        <w:t> 日后</w:t>
      </w:r>
      <w:r>
        <w:rPr>
          <w:rFonts w:ascii="黑体" w:eastAsia="黑体" w:hint="eastAsia"/>
          <w:sz w:val="24"/>
        </w:rPr>
        <w:t>（</w:t>
      </w:r>
      <w:r>
        <w:rPr>
          <w:rFonts w:ascii="黑体" w:eastAsia="黑体" w:hint="eastAsia"/>
          <w:spacing w:val="-2"/>
          <w:sz w:val="24"/>
        </w:rPr>
        <w:t>若为续保合同，则续保合同不受该</w:t>
      </w:r>
    </w:p>
    <w:p>
      <w:pPr>
        <w:spacing w:line="312" w:lineRule="exact" w:before="0"/>
        <w:ind w:left="114" w:right="0" w:firstLine="0"/>
        <w:jc w:val="both"/>
        <w:rPr>
          <w:rFonts w:ascii="黑体" w:eastAsia="黑体" w:hint="eastAsia"/>
          <w:sz w:val="24"/>
        </w:rPr>
      </w:pPr>
      <w:r>
        <w:rPr>
          <w:rFonts w:ascii="黑体" w:eastAsia="黑体" w:hint="eastAsia"/>
          <w:sz w:val="24"/>
        </w:rPr>
        <w:t>90 日期限的限制）初患并被我们指定或认可的医院的专科医Th确诊为本附加合同约定的重大</w:t>
      </w:r>
    </w:p>
    <w:p>
      <w:pPr>
        <w:spacing w:line="237" w:lineRule="auto" w:before="2" w:after="36"/>
        <w:ind w:left="114" w:right="124" w:firstLine="0"/>
        <w:jc w:val="both"/>
        <w:rPr>
          <w:rFonts w:ascii="黑体" w:eastAsia="黑体" w:hint="eastAsia"/>
          <w:sz w:val="24"/>
        </w:rPr>
      </w:pPr>
      <w:r>
        <w:rPr>
          <w:rFonts w:ascii="黑体" w:eastAsia="黑体" w:hint="eastAsia"/>
          <w:sz w:val="24"/>
        </w:rPr>
        <w:t>疾病并Th</w:t>
      </w:r>
      <w:r>
        <w:rPr>
          <w:rFonts w:ascii="黑体" w:eastAsia="黑体" w:hint="eastAsia"/>
          <w:spacing w:val="-20"/>
          <w:sz w:val="24"/>
        </w:rPr>
        <w:t>存满 </w:t>
      </w:r>
      <w:r>
        <w:rPr>
          <w:rFonts w:ascii="黑体" w:eastAsia="黑体" w:hint="eastAsia"/>
          <w:sz w:val="24"/>
        </w:rPr>
        <w:t>30</w:t>
      </w:r>
      <w:r>
        <w:rPr>
          <w:rFonts w:ascii="黑体" w:eastAsia="黑体" w:hint="eastAsia"/>
          <w:spacing w:val="-13"/>
          <w:sz w:val="24"/>
        </w:rPr>
        <w:t> 日后，我们按本附加合同中约定的保险金额，根据被保险人确诊初患重大疾病的年龄，按照下表所对应的比例给付重大疾病保险金（在多项重大疾病的情况下，我们仅给付一项重大疾病情况下所应给付的保险金</w:t>
      </w:r>
      <w:r>
        <w:rPr>
          <w:rFonts w:ascii="黑体" w:eastAsia="黑体" w:hint="eastAsia"/>
          <w:spacing w:val="-120"/>
          <w:sz w:val="24"/>
        </w:rPr>
        <w:t>）</w:t>
      </w:r>
      <w:r>
        <w:rPr>
          <w:rFonts w:ascii="黑体" w:eastAsia="黑体" w:hint="eastAsia"/>
          <w:sz w:val="24"/>
        </w:rPr>
        <w:t>，本附加合同终止。</w:t>
      </w:r>
    </w:p>
    <w:tbl>
      <w:tblPr>
        <w:tblW w:w="0" w:type="auto"/>
        <w:jc w:val="left"/>
        <w:tblInd w:w="2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0"/>
        <w:gridCol w:w="1260"/>
      </w:tblGrid>
      <w:tr>
        <w:trPr>
          <w:trHeight w:val="312" w:hRule="atLeast"/>
        </w:trPr>
        <w:tc>
          <w:tcPr>
            <w:tcW w:w="3960" w:type="dxa"/>
          </w:tcPr>
          <w:p>
            <w:pPr>
              <w:pStyle w:val="TableParagraph"/>
              <w:spacing w:line="275" w:lineRule="exact" w:before="0"/>
              <w:ind w:right="120"/>
              <w:rPr>
                <w:sz w:val="24"/>
              </w:rPr>
            </w:pPr>
            <w:r>
              <w:rPr>
                <w:sz w:val="24"/>
              </w:rPr>
              <w:t>被保险人确诊初患重大疾病的年龄</w:t>
            </w:r>
          </w:p>
        </w:tc>
        <w:tc>
          <w:tcPr>
            <w:tcW w:w="1260" w:type="dxa"/>
          </w:tcPr>
          <w:p>
            <w:pPr>
              <w:pStyle w:val="TableParagraph"/>
              <w:spacing w:line="275" w:lineRule="exact" w:before="0"/>
              <w:ind w:right="120"/>
              <w:rPr>
                <w:sz w:val="24"/>
              </w:rPr>
            </w:pPr>
            <w:r>
              <w:rPr>
                <w:sz w:val="24"/>
              </w:rPr>
              <w:t>给付比例</w:t>
            </w:r>
          </w:p>
        </w:tc>
      </w:tr>
      <w:tr>
        <w:trPr>
          <w:trHeight w:val="311" w:hRule="atLeast"/>
        </w:trPr>
        <w:tc>
          <w:tcPr>
            <w:tcW w:w="3960" w:type="dxa"/>
          </w:tcPr>
          <w:p>
            <w:pPr>
              <w:pStyle w:val="TableParagraph"/>
              <w:spacing w:line="275" w:lineRule="exact" w:before="0"/>
              <w:ind w:right="120"/>
              <w:rPr>
                <w:sz w:val="24"/>
              </w:rPr>
            </w:pPr>
            <w:r>
              <w:rPr>
                <w:sz w:val="24"/>
              </w:rPr>
              <w:t>未满 1 周岁</w:t>
            </w:r>
          </w:p>
        </w:tc>
        <w:tc>
          <w:tcPr>
            <w:tcW w:w="1260" w:type="dxa"/>
          </w:tcPr>
          <w:p>
            <w:pPr>
              <w:pStyle w:val="TableParagraph"/>
              <w:spacing w:line="275" w:lineRule="exact" w:before="0"/>
              <w:ind w:right="120"/>
              <w:rPr>
                <w:sz w:val="24"/>
              </w:rPr>
            </w:pPr>
            <w:r>
              <w:rPr>
                <w:sz w:val="24"/>
              </w:rPr>
              <w:t>30％</w:t>
            </w:r>
          </w:p>
        </w:tc>
      </w:tr>
      <w:tr>
        <w:trPr>
          <w:trHeight w:val="419" w:hRule="atLeast"/>
        </w:trPr>
        <w:tc>
          <w:tcPr>
            <w:tcW w:w="3960" w:type="dxa"/>
          </w:tcPr>
          <w:p>
            <w:pPr>
              <w:pStyle w:val="TableParagraph"/>
              <w:spacing w:before="14"/>
              <w:ind w:right="120"/>
              <w:rPr>
                <w:sz w:val="24"/>
              </w:rPr>
            </w:pPr>
            <w:r>
              <w:rPr>
                <w:sz w:val="24"/>
              </w:rPr>
              <w:t>1 周岁至 2 周岁（含 1 周岁）</w:t>
            </w:r>
          </w:p>
        </w:tc>
        <w:tc>
          <w:tcPr>
            <w:tcW w:w="1260" w:type="dxa"/>
          </w:tcPr>
          <w:p>
            <w:pPr>
              <w:pStyle w:val="TableParagraph"/>
              <w:spacing w:before="14"/>
              <w:ind w:right="120"/>
              <w:rPr>
                <w:sz w:val="24"/>
              </w:rPr>
            </w:pPr>
            <w:r>
              <w:rPr>
                <w:sz w:val="24"/>
              </w:rPr>
              <w:t>55％</w:t>
            </w:r>
          </w:p>
        </w:tc>
      </w:tr>
      <w:tr>
        <w:trPr>
          <w:trHeight w:val="312" w:hRule="atLeast"/>
        </w:trPr>
        <w:tc>
          <w:tcPr>
            <w:tcW w:w="3960" w:type="dxa"/>
          </w:tcPr>
          <w:p>
            <w:pPr>
              <w:pStyle w:val="TableParagraph"/>
              <w:spacing w:line="275" w:lineRule="exact" w:before="0"/>
              <w:ind w:right="120"/>
              <w:rPr>
                <w:sz w:val="24"/>
              </w:rPr>
            </w:pPr>
            <w:r>
              <w:rPr>
                <w:sz w:val="24"/>
              </w:rPr>
              <w:t>2 周岁至 3 周岁（含 2 周岁）</w:t>
            </w:r>
          </w:p>
        </w:tc>
        <w:tc>
          <w:tcPr>
            <w:tcW w:w="1260" w:type="dxa"/>
          </w:tcPr>
          <w:p>
            <w:pPr>
              <w:pStyle w:val="TableParagraph"/>
              <w:spacing w:line="275" w:lineRule="exact" w:before="0"/>
              <w:ind w:right="120"/>
              <w:rPr>
                <w:sz w:val="24"/>
              </w:rPr>
            </w:pPr>
            <w:r>
              <w:rPr>
                <w:sz w:val="24"/>
              </w:rPr>
              <w:t>80</w:t>
            </w:r>
          </w:p>
        </w:tc>
      </w:tr>
      <w:tr>
        <w:trPr>
          <w:trHeight w:val="311" w:hRule="atLeast"/>
        </w:trPr>
        <w:tc>
          <w:tcPr>
            <w:tcW w:w="3960" w:type="dxa"/>
          </w:tcPr>
          <w:p>
            <w:pPr>
              <w:pStyle w:val="TableParagraph"/>
              <w:spacing w:line="275" w:lineRule="exact" w:before="0"/>
              <w:ind w:right="120"/>
              <w:rPr>
                <w:sz w:val="24"/>
              </w:rPr>
            </w:pPr>
            <w:r>
              <w:rPr>
                <w:sz w:val="24"/>
              </w:rPr>
              <w:t>3</w:t>
            </w:r>
            <w:r>
              <w:rPr>
                <w:spacing w:val="-24"/>
                <w:sz w:val="24"/>
              </w:rPr>
              <w:t> 周岁至 </w:t>
            </w:r>
            <w:r>
              <w:rPr>
                <w:sz w:val="24"/>
              </w:rPr>
              <w:t>21</w:t>
            </w:r>
            <w:r>
              <w:rPr>
                <w:spacing w:val="-12"/>
                <w:sz w:val="24"/>
              </w:rPr>
              <w:t> 周岁满期</w:t>
            </w:r>
            <w:r>
              <w:rPr>
                <w:sz w:val="24"/>
              </w:rPr>
              <w:t>（</w:t>
            </w:r>
            <w:r>
              <w:rPr>
                <w:spacing w:val="-30"/>
                <w:sz w:val="24"/>
              </w:rPr>
              <w:t>含 </w:t>
            </w:r>
            <w:r>
              <w:rPr>
                <w:sz w:val="24"/>
              </w:rPr>
              <w:t>3</w:t>
            </w:r>
            <w:r>
              <w:rPr>
                <w:spacing w:val="-20"/>
                <w:sz w:val="24"/>
              </w:rPr>
              <w:t> 周岁</w:t>
            </w:r>
            <w:r>
              <w:rPr>
                <w:sz w:val="24"/>
              </w:rPr>
              <w:t>）</w:t>
            </w:r>
          </w:p>
        </w:tc>
        <w:tc>
          <w:tcPr>
            <w:tcW w:w="1260" w:type="dxa"/>
          </w:tcPr>
          <w:p>
            <w:pPr>
              <w:pStyle w:val="TableParagraph"/>
              <w:spacing w:line="275" w:lineRule="exact" w:before="0"/>
              <w:ind w:right="120"/>
              <w:rPr>
                <w:sz w:val="24"/>
              </w:rPr>
            </w:pPr>
            <w:r>
              <w:rPr>
                <w:sz w:val="24"/>
              </w:rPr>
              <w:t>100</w:t>
            </w:r>
          </w:p>
        </w:tc>
      </w:tr>
    </w:tbl>
    <w:p>
      <w:pPr>
        <w:spacing w:line="273" w:lineRule="exact" w:before="0"/>
        <w:ind w:left="591" w:right="0" w:firstLine="0"/>
        <w:jc w:val="left"/>
        <w:rPr>
          <w:rFonts w:ascii="黑体" w:eastAsia="黑体" w:hint="eastAsia"/>
          <w:sz w:val="24"/>
        </w:rPr>
      </w:pPr>
      <w:r>
        <w:rPr/>
        <w:drawing>
          <wp:anchor distT="0" distB="0" distL="0" distR="0" allowOverlap="1" layoutInCell="1" locked="0" behindDoc="1" simplePos="0" relativeHeight="268422863">
            <wp:simplePos x="0" y="0"/>
            <wp:positionH relativeFrom="page">
              <wp:posOffset>4933315</wp:posOffset>
            </wp:positionH>
            <wp:positionV relativeFrom="paragraph">
              <wp:posOffset>-335970</wp:posOffset>
            </wp:positionV>
            <wp:extent cx="66008" cy="10058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008" cy="100583"/>
                    </a:xfrm>
                    <a:prstGeom prst="rect">
                      <a:avLst/>
                    </a:prstGeom>
                  </pic:spPr>
                </pic:pic>
              </a:graphicData>
            </a:graphic>
          </wp:anchor>
        </w:drawing>
      </w:r>
      <w:r>
        <w:rPr/>
        <w:drawing>
          <wp:anchor distT="0" distB="0" distL="0" distR="0" allowOverlap="1" layoutInCell="1" locked="0" behindDoc="1" simplePos="0" relativeHeight="268422887">
            <wp:simplePos x="0" y="0"/>
            <wp:positionH relativeFrom="page">
              <wp:posOffset>4971415</wp:posOffset>
            </wp:positionH>
            <wp:positionV relativeFrom="paragraph">
              <wp:posOffset>-130992</wp:posOffset>
            </wp:positionV>
            <wp:extent cx="66008" cy="100583"/>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008" cy="100583"/>
                    </a:xfrm>
                    <a:prstGeom prst="rect">
                      <a:avLst/>
                    </a:prstGeom>
                  </pic:spPr>
                </pic:pic>
              </a:graphicData>
            </a:graphic>
          </wp:anchor>
        </w:drawing>
      </w:r>
      <w:r>
        <w:rPr>
          <w:rFonts w:ascii="黑体" w:eastAsia="黑体" w:hint="eastAsia"/>
          <w:spacing w:val="-7"/>
          <w:sz w:val="24"/>
        </w:rPr>
        <w:t>二、若被保险人在本附加合同</w:t>
      </w:r>
      <w:r>
        <w:rPr>
          <w:rFonts w:ascii="黑体" w:eastAsia="黑体" w:hint="eastAsia"/>
          <w:sz w:val="24"/>
        </w:rPr>
        <w:t>Th</w:t>
      </w:r>
      <w:r>
        <w:rPr>
          <w:rFonts w:ascii="黑体" w:eastAsia="黑体" w:hint="eastAsia"/>
          <w:spacing w:val="-10"/>
          <w:sz w:val="24"/>
        </w:rPr>
        <w:t>效日次日起 </w:t>
      </w:r>
      <w:r>
        <w:rPr>
          <w:rFonts w:ascii="黑体" w:eastAsia="黑体" w:hint="eastAsia"/>
          <w:sz w:val="24"/>
        </w:rPr>
        <w:t>90</w:t>
      </w:r>
      <w:r>
        <w:rPr>
          <w:rFonts w:ascii="黑体" w:eastAsia="黑体" w:hint="eastAsia"/>
          <w:spacing w:val="-34"/>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90</w:t>
      </w:r>
      <w:r>
        <w:rPr>
          <w:rFonts w:ascii="黑体" w:eastAsia="黑体" w:hint="eastAsia"/>
          <w:spacing w:val="-8"/>
          <w:sz w:val="24"/>
        </w:rPr>
        <w:t> 日)初患并被我们指定或认</w:t>
      </w:r>
    </w:p>
    <w:p>
      <w:pPr>
        <w:spacing w:line="237" w:lineRule="auto" w:before="2"/>
        <w:ind w:left="113" w:right="125" w:firstLine="0"/>
        <w:jc w:val="left"/>
        <w:rPr>
          <w:rFonts w:ascii="黑体" w:eastAsia="黑体" w:hint="eastAsia"/>
          <w:sz w:val="24"/>
        </w:rPr>
      </w:pPr>
      <w:r>
        <w:rPr>
          <w:rFonts w:ascii="黑体" w:eastAsia="黑体" w:hint="eastAsia"/>
          <w:sz w:val="24"/>
        </w:rPr>
        <w:t>可的医院的专科医Th确诊为本附加合同约定的重大疾病并Th</w:t>
      </w:r>
      <w:r>
        <w:rPr>
          <w:rFonts w:ascii="黑体" w:eastAsia="黑体" w:hint="eastAsia"/>
          <w:spacing w:val="-20"/>
          <w:sz w:val="24"/>
        </w:rPr>
        <w:t>存满 </w:t>
      </w:r>
      <w:r>
        <w:rPr>
          <w:rFonts w:ascii="黑体" w:eastAsia="黑体" w:hint="eastAsia"/>
          <w:sz w:val="24"/>
        </w:rPr>
        <w:t>30</w:t>
      </w:r>
      <w:r>
        <w:rPr>
          <w:rFonts w:ascii="黑体" w:eastAsia="黑体" w:hint="eastAsia"/>
          <w:spacing w:val="-15"/>
          <w:sz w:val="24"/>
        </w:rPr>
        <w:t> 日后，我们向您无息返还已交本附加合同保险费，本附加合同终止。</w:t>
      </w:r>
    </w:p>
    <w:p>
      <w:pPr>
        <w:pStyle w:val="Heading2"/>
        <w:numPr>
          <w:ilvl w:val="1"/>
          <w:numId w:val="2"/>
        </w:numPr>
        <w:tabs>
          <w:tab w:pos="594" w:val="left" w:leader="none"/>
        </w:tabs>
        <w:spacing w:line="300" w:lineRule="exact" w:before="64" w:after="0"/>
        <w:ind w:left="594" w:right="0" w:hanging="480"/>
        <w:jc w:val="left"/>
      </w:pPr>
      <w:bookmarkStart w:name="_TOC_250010" w:id="11"/>
      <w:bookmarkEnd w:id="11"/>
      <w:r>
        <w:rPr/>
        <w:t>我们不承担的责任</w:t>
      </w:r>
    </w:p>
    <w:p>
      <w:pPr>
        <w:spacing w:line="237" w:lineRule="auto" w:before="0"/>
        <w:ind w:left="594" w:right="1125" w:firstLine="0"/>
        <w:jc w:val="left"/>
        <w:rPr>
          <w:rFonts w:ascii="黑体" w:eastAsia="黑体" w:hint="eastAsia"/>
          <w:sz w:val="24"/>
        </w:rPr>
      </w:pPr>
      <w:r>
        <w:rPr>
          <w:rFonts w:ascii="黑体" w:eastAsia="黑体" w:hint="eastAsia"/>
          <w:sz w:val="24"/>
        </w:rPr>
        <w:t>因下列任何情形之一，导致被保险人发Th重大疾病的，我们不承担保险责任：一、投保人对被保险人故意杀害、故意伤害、故意造成疾病；</w:t>
      </w:r>
    </w:p>
    <w:p>
      <w:pPr>
        <w:spacing w:line="237" w:lineRule="auto" w:before="2"/>
        <w:ind w:left="594" w:right="2085" w:firstLine="0"/>
        <w:jc w:val="left"/>
        <w:rPr>
          <w:rFonts w:ascii="黑体" w:eastAsia="黑体" w:hint="eastAsia"/>
          <w:sz w:val="24"/>
        </w:rPr>
      </w:pPr>
      <w:r>
        <w:rPr>
          <w:rFonts w:ascii="黑体" w:eastAsia="黑体" w:hint="eastAsia"/>
          <w:sz w:val="24"/>
        </w:rPr>
        <w:t>二、被保险人故意自伤、故意犯罪、抗拒依法采取的刑事强制措施；三、被保险人主动吸食或注射毒品；</w:t>
      </w:r>
    </w:p>
    <w:p>
      <w:pPr>
        <w:spacing w:line="237" w:lineRule="auto" w:before="0"/>
        <w:ind w:left="593" w:right="616"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w:t>
      </w:r>
      <w:r>
        <w:rPr>
          <w:rFonts w:ascii="黑体" w:eastAsia="黑体" w:hint="eastAsia"/>
          <w:spacing w:val="-1"/>
          <w:sz w:val="24"/>
        </w:rPr>
        <w:t>（HI</w:t>
      </w:r>
      <w:r>
        <w:rPr>
          <w:rFonts w:ascii="黑体" w:eastAsia="黑体" w:hint="eastAsia"/>
          <w:sz w:val="24"/>
        </w:rPr>
        <w:t>V</w:t>
      </w:r>
      <w:r>
        <w:rPr>
          <w:rFonts w:ascii="黑体" w:eastAsia="黑体" w:hint="eastAsia"/>
          <w:spacing w:val="-16"/>
          <w:sz w:val="24"/>
        </w:rPr>
        <w:t> 呈阳性</w:t>
      </w:r>
      <w:r>
        <w:rPr>
          <w:rFonts w:ascii="黑体" w:eastAsia="黑体" w:hint="eastAsia"/>
          <w:spacing w:val="-1"/>
          <w:sz w:val="24"/>
        </w:rPr>
        <w:t>）</w:t>
      </w:r>
      <w:r>
        <w:rPr>
          <w:rFonts w:ascii="黑体" w:eastAsia="黑体" w:hint="eastAsia"/>
          <w:sz w:val="24"/>
        </w:rPr>
        <w:t>或患艾滋病（AIDS</w:t>
      </w:r>
      <w:r>
        <w:rPr>
          <w:rFonts w:ascii="黑体" w:eastAsia="黑体" w:hint="eastAsia"/>
          <w:spacing w:val="-120"/>
          <w:sz w:val="24"/>
        </w:rPr>
        <w:t>）</w:t>
      </w:r>
      <w:r>
        <w:rPr>
          <w:rFonts w:ascii="黑体" w:eastAsia="黑体" w:hint="eastAsia"/>
          <w:sz w:val="24"/>
        </w:rPr>
        <w:t>；</w:t>
      </w:r>
    </w:p>
    <w:p>
      <w:pPr>
        <w:spacing w:line="237" w:lineRule="auto" w:before="0"/>
        <w:ind w:left="593" w:right="496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312" w:lineRule="exact" w:before="0"/>
        <w:ind w:left="593"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56" w:lineRule="auto" w:before="23"/>
        <w:ind w:right="75" w:firstLine="420"/>
      </w:pPr>
      <w:r>
        <w:rPr/>
        <w:t>被保险人因上述任何情形之一而身患重大疾病的，本附加合同均终止，我们按本附加合同第 </w:t>
      </w:r>
      <w:r>
        <w:rPr>
          <w:rFonts w:ascii="Times New Roman" w:eastAsia="Times New Roman"/>
        </w:rPr>
        <w:t>3.2 </w:t>
      </w:r>
      <w:r>
        <w:rPr/>
        <w:t>款中规定的关于计算退保金额的办法予以处理。</w:t>
      </w:r>
    </w:p>
    <w:p>
      <w:pPr>
        <w:pStyle w:val="Heading2"/>
        <w:numPr>
          <w:ilvl w:val="1"/>
          <w:numId w:val="2"/>
        </w:numPr>
        <w:tabs>
          <w:tab w:pos="594" w:val="left" w:leader="none"/>
        </w:tabs>
        <w:spacing w:line="240" w:lineRule="auto" w:before="65" w:after="0"/>
        <w:ind w:left="594" w:right="0" w:hanging="480"/>
        <w:jc w:val="both"/>
      </w:pPr>
      <w:bookmarkStart w:name="_TOC_250009" w:id="12"/>
      <w:bookmarkEnd w:id="12"/>
      <w:r>
        <w:rPr/>
        <w:t>保险金受益人</w:t>
      </w:r>
    </w:p>
    <w:p>
      <w:pPr>
        <w:pStyle w:val="BodyText"/>
        <w:spacing w:before="15"/>
        <w:ind w:left="534"/>
      </w:pPr>
      <w:r>
        <w:rPr/>
        <w:t>除本附加合同另有约定外，重大疾病保险金的受益人为被保险人本人。</w:t>
      </w:r>
    </w:p>
    <w:p>
      <w:pPr>
        <w:pStyle w:val="Heading2"/>
        <w:numPr>
          <w:ilvl w:val="1"/>
          <w:numId w:val="2"/>
        </w:numPr>
        <w:tabs>
          <w:tab w:pos="594" w:val="left" w:leader="none"/>
        </w:tabs>
        <w:spacing w:line="240" w:lineRule="auto" w:before="79" w:after="0"/>
        <w:ind w:left="594" w:right="0" w:hanging="480"/>
        <w:jc w:val="both"/>
      </w:pPr>
      <w:bookmarkStart w:name="_TOC_250008" w:id="13"/>
      <w:bookmarkEnd w:id="13"/>
      <w:r>
        <w:rPr/>
        <w:t>如何申请领取保险金</w:t>
      </w:r>
    </w:p>
    <w:p>
      <w:pPr>
        <w:pStyle w:val="BodyText"/>
        <w:spacing w:before="14"/>
        <w:ind w:left="534"/>
      </w:pPr>
      <w:r>
        <w:rPr/>
        <w:t>一、保险事故的通知</w:t>
      </w:r>
    </w:p>
    <w:p>
      <w:pPr>
        <w:pStyle w:val="BodyText"/>
        <w:spacing w:line="232" w:lineRule="auto" w:before="25"/>
        <w:ind w:right="105"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不承担给付保险金的责任，但我们通过其他途径已经及时知道或者应当及时知道保险事故发生的除外。</w:t>
      </w:r>
    </w:p>
    <w:p>
      <w:pPr>
        <w:pStyle w:val="BodyText"/>
        <w:spacing w:before="18"/>
        <w:ind w:left="534"/>
      </w:pPr>
      <w:r>
        <w:rPr/>
        <w:t>二、重大疾病保险金的申请</w:t>
      </w:r>
    </w:p>
    <w:p>
      <w:pPr>
        <w:pStyle w:val="BodyText"/>
        <w:spacing w:line="273" w:lineRule="auto" w:before="37"/>
        <w:ind w:left="114" w:right="75" w:firstLine="420"/>
      </w:pPr>
      <w:r>
        <w:rPr/>
        <w:t>若被保险人身患本附加合同约定的重大疾病，申请给付本附加合同项下重大疾病保险金的，应填写保险金给付申请书，并向我们提交下列证明资料：</w:t>
      </w:r>
    </w:p>
    <w:p>
      <w:pPr>
        <w:pStyle w:val="ListParagraph"/>
        <w:numPr>
          <w:ilvl w:val="0"/>
          <w:numId w:val="4"/>
        </w:numPr>
        <w:tabs>
          <w:tab w:pos="798" w:val="left" w:leader="none"/>
        </w:tabs>
        <w:spacing w:line="240" w:lineRule="auto" w:before="7" w:after="0"/>
        <w:ind w:left="797" w:right="0" w:hanging="263"/>
        <w:jc w:val="left"/>
        <w:rPr>
          <w:sz w:val="21"/>
        </w:rPr>
      </w:pPr>
      <w:r>
        <w:rPr>
          <w:spacing w:val="-1"/>
          <w:sz w:val="21"/>
        </w:rPr>
        <w:t>保险单原件及被保险人的身份证件原件；</w:t>
      </w:r>
    </w:p>
    <w:p>
      <w:pPr>
        <w:pStyle w:val="ListParagraph"/>
        <w:numPr>
          <w:ilvl w:val="0"/>
          <w:numId w:val="4"/>
        </w:numPr>
        <w:tabs>
          <w:tab w:pos="798" w:val="left" w:leader="none"/>
        </w:tabs>
        <w:spacing w:line="240" w:lineRule="auto" w:before="21" w:after="0"/>
        <w:ind w:left="797" w:right="0" w:hanging="263"/>
        <w:jc w:val="left"/>
        <w:rPr>
          <w:sz w:val="21"/>
        </w:rPr>
      </w:pPr>
      <w:r>
        <w:rPr>
          <w:spacing w:val="-1"/>
          <w:sz w:val="21"/>
        </w:rPr>
        <w:t>保险费交费证明；</w:t>
      </w:r>
    </w:p>
    <w:p>
      <w:pPr>
        <w:pStyle w:val="ListParagraph"/>
        <w:numPr>
          <w:ilvl w:val="0"/>
          <w:numId w:val="4"/>
        </w:numPr>
        <w:tabs>
          <w:tab w:pos="798" w:val="left" w:leader="none"/>
        </w:tabs>
        <w:spacing w:line="240" w:lineRule="auto" w:before="21" w:after="0"/>
        <w:ind w:left="797" w:right="0" w:hanging="263"/>
        <w:jc w:val="left"/>
        <w:rPr>
          <w:sz w:val="21"/>
        </w:rPr>
      </w:pPr>
      <w:r>
        <w:rPr>
          <w:spacing w:val="-5"/>
          <w:sz w:val="21"/>
        </w:rPr>
        <w:t>由我们指定或认可的医院出具的附有病理显微镜检查、血液检验及其他科学方法检验报告的被保险</w:t>
      </w:r>
    </w:p>
    <w:p>
      <w:pPr>
        <w:spacing w:after="0" w:line="240" w:lineRule="auto"/>
        <w:jc w:val="left"/>
        <w:rPr>
          <w:sz w:val="21"/>
        </w:rPr>
        <w:sectPr>
          <w:pgSz w:w="11900" w:h="16840"/>
          <w:pgMar w:header="0" w:footer="1028" w:top="1100" w:bottom="1260" w:left="1020" w:right="1000"/>
        </w:sectPr>
      </w:pPr>
    </w:p>
    <w:p>
      <w:pPr>
        <w:pStyle w:val="BodyText"/>
        <w:spacing w:before="19"/>
      </w:pPr>
      <w:r>
        <w:rPr/>
        <w:t>人身患重大疾病的诊断证明书原件；</w:t>
      </w:r>
    </w:p>
    <w:p>
      <w:pPr>
        <w:pStyle w:val="ListParagraph"/>
        <w:numPr>
          <w:ilvl w:val="0"/>
          <w:numId w:val="4"/>
        </w:numPr>
        <w:tabs>
          <w:tab w:pos="798" w:val="left" w:leader="none"/>
        </w:tabs>
        <w:spacing w:line="240" w:lineRule="auto" w:before="37" w:after="0"/>
        <w:ind w:left="797" w:right="0" w:hanging="263"/>
        <w:jc w:val="left"/>
        <w:rPr>
          <w:sz w:val="21"/>
        </w:rPr>
      </w:pPr>
      <w:r>
        <w:rPr>
          <w:spacing w:val="-1"/>
          <w:sz w:val="21"/>
        </w:rPr>
        <w:t>所能提供的与确认保险事故的性质、原因、程度等有关的证明和材料。</w:t>
      </w:r>
    </w:p>
    <w:p>
      <w:pPr>
        <w:pStyle w:val="BodyText"/>
        <w:spacing w:line="273" w:lineRule="auto" w:before="21"/>
        <w:ind w:right="205" w:firstLine="420"/>
      </w:pPr>
      <w:r>
        <w:rPr>
          <w:spacing w:val="-5"/>
        </w:rPr>
        <w:t>三、我们收到申请人的保险金给付申请书及上述证明、资料后认为有关的证明和资料不完整的，我们</w:t>
      </w:r>
      <w:r>
        <w:rPr>
          <w:spacing w:val="-9"/>
        </w:rPr>
        <w:t>将及时一次性通知申请人补充提供。我们收到申请书及完整的证明资料后，将在 </w:t>
      </w:r>
      <w:r>
        <w:rPr>
          <w:rFonts w:ascii="Times New Roman" w:eastAsia="Times New Roman"/>
        </w:rPr>
        <w:t>5 </w:t>
      </w:r>
      <w:r>
        <w:rPr>
          <w:spacing w:val="-2"/>
        </w:rPr>
        <w:t>日内作出核定；情形复</w:t>
      </w:r>
    </w:p>
    <w:p>
      <w:pPr>
        <w:pStyle w:val="BodyText"/>
        <w:spacing w:line="279" w:lineRule="exact" w:before="0"/>
        <w:ind w:left="114"/>
      </w:pPr>
      <w:r>
        <w:rPr/>
        <w:t>杂的，将在 </w:t>
      </w:r>
      <w:r>
        <w:rPr>
          <w:rFonts w:ascii="Times New Roman" w:eastAsia="Times New Roman"/>
        </w:rPr>
        <w:t>30 </w:t>
      </w:r>
      <w:r>
        <w:rPr/>
        <w:t>日内作出核定，除非有下列任一情形发生：</w:t>
      </w:r>
    </w:p>
    <w:p>
      <w:pPr>
        <w:pStyle w:val="ListParagraph"/>
        <w:numPr>
          <w:ilvl w:val="0"/>
          <w:numId w:val="5"/>
        </w:numPr>
        <w:tabs>
          <w:tab w:pos="799" w:val="left" w:leader="none"/>
        </w:tabs>
        <w:spacing w:line="240" w:lineRule="auto" w:before="21" w:after="0"/>
        <w:ind w:left="798" w:right="0" w:hanging="264"/>
        <w:jc w:val="left"/>
        <w:rPr>
          <w:sz w:val="21"/>
        </w:rPr>
      </w:pPr>
      <w:r>
        <w:rPr>
          <w:spacing w:val="-1"/>
          <w:sz w:val="21"/>
        </w:rPr>
        <w:t>您或被保险人不及时配合我们的理赔调查；</w:t>
      </w:r>
    </w:p>
    <w:p>
      <w:pPr>
        <w:pStyle w:val="ListParagraph"/>
        <w:numPr>
          <w:ilvl w:val="0"/>
          <w:numId w:val="5"/>
        </w:numPr>
        <w:tabs>
          <w:tab w:pos="799" w:val="left" w:leader="none"/>
        </w:tabs>
        <w:spacing w:line="240" w:lineRule="auto" w:before="20" w:after="0"/>
        <w:ind w:left="798" w:right="0" w:hanging="264"/>
        <w:jc w:val="left"/>
        <w:rPr>
          <w:sz w:val="21"/>
        </w:rPr>
      </w:pPr>
      <w:r>
        <w:rPr>
          <w:spacing w:val="-1"/>
          <w:sz w:val="21"/>
        </w:rPr>
        <w:t>因被保险人身处偏远地区，导致我们不能及时了解情况；</w:t>
      </w:r>
    </w:p>
    <w:p>
      <w:pPr>
        <w:pStyle w:val="ListParagraph"/>
        <w:numPr>
          <w:ilvl w:val="0"/>
          <w:numId w:val="5"/>
        </w:numPr>
        <w:tabs>
          <w:tab w:pos="799" w:val="left" w:leader="none"/>
        </w:tabs>
        <w:spacing w:line="240" w:lineRule="auto" w:before="20" w:after="0"/>
        <w:ind w:left="798" w:right="0" w:hanging="264"/>
        <w:jc w:val="left"/>
        <w:rPr>
          <w:sz w:val="21"/>
        </w:rPr>
      </w:pPr>
      <w:r>
        <w:rPr>
          <w:spacing w:val="-1"/>
          <w:sz w:val="21"/>
        </w:rPr>
        <w:t>其他不可抗力导致我们不能及时进行理赔。</w:t>
      </w:r>
    </w:p>
    <w:p>
      <w:pPr>
        <w:pStyle w:val="BodyText"/>
        <w:spacing w:line="256" w:lineRule="auto" w:before="20"/>
        <w:ind w:left="114" w:right="206" w:firstLine="420"/>
      </w:pPr>
      <w:r>
        <w:rPr/>
        <w:t>对核定属于保险责任的，我们在与申请人达成有关给付保险金协议后 </w:t>
      </w:r>
      <w:r>
        <w:rPr>
          <w:rFonts w:ascii="Times New Roman" w:eastAsia="Times New Roman"/>
        </w:rPr>
        <w:t>10 </w:t>
      </w:r>
      <w:r>
        <w:rPr/>
        <w:t>日内给付保险金；我们未及时履行给付保险金义务的，除支付保险金外，应当赔偿受益人因此受到的损失。</w:t>
      </w:r>
    </w:p>
    <w:p>
      <w:pPr>
        <w:pStyle w:val="BodyText"/>
        <w:spacing w:before="21"/>
        <w:ind w:left="534"/>
      </w:pPr>
      <w:r>
        <w:rPr/>
        <w:t>对不属于保险责任的，我们自作出核定之日起 </w:t>
      </w:r>
      <w:r>
        <w:rPr>
          <w:rFonts w:ascii="Times New Roman" w:eastAsia="Times New Roman"/>
        </w:rPr>
        <w:t>3 </w:t>
      </w:r>
      <w:r>
        <w:rPr/>
        <w:t>日内向申请人发出拒绝给付保险金通知书，并说明理</w:t>
      </w:r>
    </w:p>
    <w:p>
      <w:pPr>
        <w:pStyle w:val="BodyText"/>
        <w:spacing w:line="273" w:lineRule="auto" w:before="20"/>
        <w:ind w:left="114" w:right="183"/>
      </w:pPr>
      <w:r>
        <w:rPr/>
        <w:t>由。我们在收到保险金给付申请书及有关证明和材料之日起 60 日内，对给付保险金的数额不能确定的， 根据已有证明和材料可以确定的数额先予支付，我们最终确定给付保险金的数额后，将支付相应的差额。</w:t>
      </w:r>
    </w:p>
    <w:p>
      <w:pPr>
        <w:pStyle w:val="BodyText"/>
        <w:spacing w:line="289" w:lineRule="exact"/>
        <w:ind w:left="534"/>
      </w:pPr>
      <w:r>
        <w:rPr>
          <w:spacing w:val="-12"/>
        </w:rPr>
        <w:t>四、申请人请求给付保险金的诉讼时效期间为 </w:t>
      </w:r>
      <w:r>
        <w:rPr>
          <w:rFonts w:ascii="Times New Roman" w:eastAsia="Times New Roman"/>
        </w:rPr>
        <w:t>2 </w:t>
      </w:r>
      <w:r>
        <w:rPr>
          <w:spacing w:val="-9"/>
        </w:rPr>
        <w:t>年，自其知道或者应当知道保险事故发生之日起计算。</w:t>
      </w:r>
    </w:p>
    <w:p>
      <w:pPr>
        <w:pStyle w:val="Heading1"/>
        <w:numPr>
          <w:ilvl w:val="0"/>
          <w:numId w:val="6"/>
        </w:numPr>
        <w:tabs>
          <w:tab w:pos="593" w:val="left" w:leader="none"/>
          <w:tab w:pos="594" w:val="left" w:leader="none"/>
        </w:tabs>
        <w:spacing w:line="313" w:lineRule="exact" w:before="0" w:after="0"/>
        <w:ind w:left="594" w:right="0" w:hanging="480"/>
        <w:jc w:val="left"/>
      </w:pPr>
      <w:bookmarkStart w:name="_TOC_250007" w:id="14"/>
      <w:bookmarkEnd w:id="14"/>
      <w:r>
        <w:rPr/>
        <w:t>您在本附加合同项下的权利和义务</w:t>
      </w:r>
    </w:p>
    <w:p>
      <w:pPr>
        <w:pStyle w:val="Heading2"/>
        <w:numPr>
          <w:ilvl w:val="1"/>
          <w:numId w:val="6"/>
        </w:numPr>
        <w:tabs>
          <w:tab w:pos="594" w:val="left" w:leader="none"/>
        </w:tabs>
        <w:spacing w:line="240" w:lineRule="auto" w:before="64" w:after="0"/>
        <w:ind w:left="594" w:right="0" w:hanging="480"/>
        <w:jc w:val="left"/>
      </w:pPr>
      <w:bookmarkStart w:name="_TOC_250006" w:id="15"/>
      <w:bookmarkEnd w:id="15"/>
      <w:r>
        <w:rPr/>
        <w:t>保险费的交付</w:t>
      </w:r>
    </w:p>
    <w:p>
      <w:pPr>
        <w:pStyle w:val="BodyText"/>
        <w:spacing w:line="273" w:lineRule="auto" w:before="15"/>
        <w:ind w:left="114" w:right="185" w:firstLine="420"/>
        <w:jc w:val="both"/>
      </w:pPr>
      <w:r>
        <w:rPr/>
        <w:t>本附加合同的保险费应与主险合同的保险费同时交付，您只有交付了主险合同的应交保险费，才可以交付本附加合同的应交保险费。本附加合同续保保险费的交付日期为主险合同每年的合同生效日对应日。我们有权在每个保单年度以对未来重大疾病发生率变化的预测、中国保险行业协会规定的重疾种类和定义的变化及其他相关因素为基础调整群体客户保险费。</w:t>
      </w:r>
    </w:p>
    <w:p>
      <w:pPr>
        <w:pStyle w:val="Heading2"/>
        <w:numPr>
          <w:ilvl w:val="1"/>
          <w:numId w:val="6"/>
        </w:numPr>
        <w:tabs>
          <w:tab w:pos="594" w:val="left" w:leader="none"/>
        </w:tabs>
        <w:spacing w:line="240" w:lineRule="auto" w:before="50" w:after="0"/>
        <w:ind w:left="594" w:right="0" w:hanging="480"/>
        <w:jc w:val="left"/>
      </w:pPr>
      <w:bookmarkStart w:name="_TOC_250005" w:id="16"/>
      <w:bookmarkEnd w:id="16"/>
      <w:r>
        <w:rPr/>
        <w:t>解除合同的处理</w:t>
      </w:r>
    </w:p>
    <w:p>
      <w:pPr>
        <w:pStyle w:val="BodyText"/>
        <w:spacing w:before="14"/>
        <w:ind w:left="534"/>
      </w:pPr>
      <w:r>
        <w:rPr/>
        <w:t>您可在本附加合同保险期间内申请退保。您应填写退保申请，并向我们提供下列材料：</w:t>
      </w:r>
    </w:p>
    <w:p>
      <w:pPr>
        <w:pStyle w:val="BodyText"/>
        <w:spacing w:before="37"/>
        <w:ind w:left="534"/>
      </w:pPr>
      <w:r>
        <w:rPr/>
        <w:t>（1）保险合同；</w:t>
      </w:r>
    </w:p>
    <w:p>
      <w:pPr>
        <w:pStyle w:val="BodyText"/>
        <w:spacing w:before="37"/>
        <w:ind w:left="534"/>
      </w:pPr>
      <w:r>
        <w:rPr/>
        <w:t>（2）能有效证明投保人投保时及目前身份的身份证件。</w:t>
      </w:r>
    </w:p>
    <w:p>
      <w:pPr>
        <w:pStyle w:val="BodyText"/>
        <w:spacing w:line="273" w:lineRule="auto" w:before="37"/>
        <w:ind w:right="205" w:firstLine="420"/>
        <w:jc w:val="both"/>
      </w:pPr>
      <w:r>
        <w:rPr>
          <w:spacing w:val="-2"/>
        </w:rPr>
        <w:t>我们的保险责任自收到退保申请之日起终止。我们将按下述方法计算未满期保险费，并扣除未满期保</w:t>
      </w:r>
      <w:r>
        <w:rPr>
          <w:spacing w:val="-16"/>
        </w:rPr>
        <w:t>险费的 </w:t>
      </w:r>
      <w:r>
        <w:rPr/>
        <w:t>35%</w:t>
      </w:r>
      <w:r>
        <w:rPr>
          <w:spacing w:val="-10"/>
        </w:rPr>
        <w:t>作为手续费后，在收到申请之日起 </w:t>
      </w:r>
      <w:r>
        <w:rPr/>
        <w:t>30</w:t>
      </w:r>
      <w:r>
        <w:rPr>
          <w:spacing w:val="-11"/>
        </w:rPr>
        <w:t> 日内向您退还剩余部分。未满期保险费等于您交付的保险</w:t>
      </w:r>
      <w:r>
        <w:rPr>
          <w:spacing w:val="-12"/>
        </w:rPr>
        <w:t>费乘以保险费比例表中保险期间剩余月数所对应的比例后的金额，其中剩余月数为退保时本附加合同保险期间所剩余的整数月，剩余天数不足一个月的部分不计算在内。</w:t>
      </w:r>
    </w:p>
    <w:p>
      <w:pPr>
        <w:pStyle w:val="BodyText"/>
        <w:spacing w:after="51"/>
        <w:ind w:left="533"/>
      </w:pPr>
      <w:r>
        <w:rPr/>
        <w:t>保险费比例表：</w:t>
      </w:r>
    </w:p>
    <w:tbl>
      <w:tblPr>
        <w:tblW w:w="0" w:type="auto"/>
        <w:jc w:val="left"/>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641"/>
        <w:gridCol w:w="641"/>
        <w:gridCol w:w="642"/>
        <w:gridCol w:w="641"/>
        <w:gridCol w:w="641"/>
        <w:gridCol w:w="642"/>
        <w:gridCol w:w="641"/>
        <w:gridCol w:w="641"/>
        <w:gridCol w:w="641"/>
        <w:gridCol w:w="642"/>
        <w:gridCol w:w="641"/>
        <w:gridCol w:w="642"/>
      </w:tblGrid>
      <w:tr>
        <w:trPr>
          <w:trHeight w:val="624" w:hRule="atLeast"/>
        </w:trPr>
        <w:tc>
          <w:tcPr>
            <w:tcW w:w="828" w:type="dxa"/>
          </w:tcPr>
          <w:p>
            <w:pPr>
              <w:pStyle w:val="TableParagraph"/>
              <w:spacing w:line="260" w:lineRule="exact" w:before="0"/>
              <w:ind w:left="203"/>
              <w:jc w:val="left"/>
              <w:rPr>
                <w:rFonts w:ascii="宋体" w:eastAsia="宋体" w:hint="eastAsia"/>
                <w:sz w:val="21"/>
              </w:rPr>
            </w:pPr>
            <w:r>
              <w:rPr>
                <w:rFonts w:ascii="宋体" w:eastAsia="宋体" w:hint="eastAsia"/>
                <w:sz w:val="21"/>
              </w:rPr>
              <w:t>剩余</w:t>
            </w:r>
          </w:p>
          <w:p>
            <w:pPr>
              <w:pStyle w:val="TableParagraph"/>
              <w:spacing w:before="37"/>
              <w:ind w:left="203"/>
              <w:jc w:val="left"/>
              <w:rPr>
                <w:rFonts w:ascii="宋体" w:eastAsia="宋体" w:hint="eastAsia"/>
                <w:sz w:val="21"/>
              </w:rPr>
            </w:pPr>
            <w:r>
              <w:rPr>
                <w:rFonts w:ascii="宋体" w:eastAsia="宋体" w:hint="eastAsia"/>
                <w:sz w:val="21"/>
              </w:rPr>
              <w:t>月数</w:t>
            </w:r>
          </w:p>
        </w:tc>
        <w:tc>
          <w:tcPr>
            <w:tcW w:w="641" w:type="dxa"/>
          </w:tcPr>
          <w:p>
            <w:pPr>
              <w:pStyle w:val="TableParagraph"/>
              <w:spacing w:before="190"/>
              <w:ind w:left="8"/>
              <w:rPr>
                <w:rFonts w:ascii="Times New Roman"/>
                <w:sz w:val="21"/>
              </w:rPr>
            </w:pPr>
            <w:r>
              <w:rPr>
                <w:rFonts w:ascii="Times New Roman"/>
                <w:sz w:val="21"/>
              </w:rPr>
              <w:t>1</w:t>
            </w:r>
          </w:p>
        </w:tc>
        <w:tc>
          <w:tcPr>
            <w:tcW w:w="641" w:type="dxa"/>
          </w:tcPr>
          <w:p>
            <w:pPr>
              <w:pStyle w:val="TableParagraph"/>
              <w:spacing w:before="190"/>
              <w:ind w:left="8"/>
              <w:rPr>
                <w:rFonts w:ascii="Times New Roman"/>
                <w:sz w:val="21"/>
              </w:rPr>
            </w:pPr>
            <w:r>
              <w:rPr>
                <w:rFonts w:ascii="Times New Roman"/>
                <w:sz w:val="21"/>
              </w:rPr>
              <w:t>2</w:t>
            </w:r>
          </w:p>
        </w:tc>
        <w:tc>
          <w:tcPr>
            <w:tcW w:w="642" w:type="dxa"/>
          </w:tcPr>
          <w:p>
            <w:pPr>
              <w:pStyle w:val="TableParagraph"/>
              <w:spacing w:before="190"/>
              <w:ind w:left="7"/>
              <w:rPr>
                <w:rFonts w:ascii="Times New Roman"/>
                <w:sz w:val="21"/>
              </w:rPr>
            </w:pPr>
            <w:r>
              <w:rPr>
                <w:rFonts w:ascii="Times New Roman"/>
                <w:sz w:val="21"/>
              </w:rPr>
              <w:t>3</w:t>
            </w:r>
          </w:p>
        </w:tc>
        <w:tc>
          <w:tcPr>
            <w:tcW w:w="641" w:type="dxa"/>
          </w:tcPr>
          <w:p>
            <w:pPr>
              <w:pStyle w:val="TableParagraph"/>
              <w:spacing w:before="190"/>
              <w:ind w:left="8"/>
              <w:rPr>
                <w:rFonts w:ascii="Times New Roman"/>
                <w:sz w:val="21"/>
              </w:rPr>
            </w:pPr>
            <w:r>
              <w:rPr>
                <w:rFonts w:ascii="Times New Roman"/>
                <w:sz w:val="21"/>
              </w:rPr>
              <w:t>4</w:t>
            </w:r>
          </w:p>
        </w:tc>
        <w:tc>
          <w:tcPr>
            <w:tcW w:w="641" w:type="dxa"/>
          </w:tcPr>
          <w:p>
            <w:pPr>
              <w:pStyle w:val="TableParagraph"/>
              <w:spacing w:before="190"/>
              <w:ind w:left="7"/>
              <w:rPr>
                <w:rFonts w:ascii="Times New Roman"/>
                <w:sz w:val="21"/>
              </w:rPr>
            </w:pPr>
            <w:r>
              <w:rPr>
                <w:rFonts w:ascii="Times New Roman"/>
                <w:sz w:val="21"/>
              </w:rPr>
              <w:t>5</w:t>
            </w:r>
          </w:p>
        </w:tc>
        <w:tc>
          <w:tcPr>
            <w:tcW w:w="642" w:type="dxa"/>
          </w:tcPr>
          <w:p>
            <w:pPr>
              <w:pStyle w:val="TableParagraph"/>
              <w:spacing w:before="190"/>
              <w:ind w:left="6"/>
              <w:rPr>
                <w:rFonts w:ascii="Times New Roman"/>
                <w:sz w:val="21"/>
              </w:rPr>
            </w:pPr>
            <w:r>
              <w:rPr>
                <w:rFonts w:ascii="Times New Roman"/>
                <w:sz w:val="21"/>
              </w:rPr>
              <w:t>6</w:t>
            </w:r>
          </w:p>
        </w:tc>
        <w:tc>
          <w:tcPr>
            <w:tcW w:w="641" w:type="dxa"/>
          </w:tcPr>
          <w:p>
            <w:pPr>
              <w:pStyle w:val="TableParagraph"/>
              <w:spacing w:before="190"/>
              <w:ind w:left="7"/>
              <w:rPr>
                <w:rFonts w:ascii="Times New Roman"/>
                <w:sz w:val="21"/>
              </w:rPr>
            </w:pPr>
            <w:r>
              <w:rPr>
                <w:rFonts w:ascii="Times New Roman"/>
                <w:sz w:val="21"/>
              </w:rPr>
              <w:t>7</w:t>
            </w:r>
          </w:p>
        </w:tc>
        <w:tc>
          <w:tcPr>
            <w:tcW w:w="641" w:type="dxa"/>
          </w:tcPr>
          <w:p>
            <w:pPr>
              <w:pStyle w:val="TableParagraph"/>
              <w:spacing w:before="190"/>
              <w:ind w:left="7"/>
              <w:rPr>
                <w:rFonts w:ascii="Times New Roman"/>
                <w:sz w:val="21"/>
              </w:rPr>
            </w:pPr>
            <w:r>
              <w:rPr>
                <w:rFonts w:ascii="Times New Roman"/>
                <w:sz w:val="21"/>
              </w:rPr>
              <w:t>8</w:t>
            </w:r>
          </w:p>
        </w:tc>
        <w:tc>
          <w:tcPr>
            <w:tcW w:w="641" w:type="dxa"/>
          </w:tcPr>
          <w:p>
            <w:pPr>
              <w:pStyle w:val="TableParagraph"/>
              <w:spacing w:before="190"/>
              <w:ind w:left="6"/>
              <w:rPr>
                <w:rFonts w:ascii="Times New Roman"/>
                <w:sz w:val="21"/>
              </w:rPr>
            </w:pPr>
            <w:r>
              <w:rPr>
                <w:rFonts w:ascii="Times New Roman"/>
                <w:sz w:val="21"/>
              </w:rPr>
              <w:t>9</w:t>
            </w:r>
          </w:p>
        </w:tc>
        <w:tc>
          <w:tcPr>
            <w:tcW w:w="642" w:type="dxa"/>
          </w:tcPr>
          <w:p>
            <w:pPr>
              <w:pStyle w:val="TableParagraph"/>
              <w:spacing w:before="190"/>
              <w:ind w:left="88" w:right="83"/>
              <w:rPr>
                <w:rFonts w:ascii="Times New Roman"/>
                <w:sz w:val="21"/>
              </w:rPr>
            </w:pPr>
            <w:r>
              <w:rPr>
                <w:rFonts w:ascii="Times New Roman"/>
                <w:sz w:val="21"/>
              </w:rPr>
              <w:t>10</w:t>
            </w:r>
          </w:p>
        </w:tc>
        <w:tc>
          <w:tcPr>
            <w:tcW w:w="641" w:type="dxa"/>
          </w:tcPr>
          <w:p>
            <w:pPr>
              <w:pStyle w:val="TableParagraph"/>
              <w:spacing w:before="190"/>
              <w:ind w:left="139" w:right="134"/>
              <w:rPr>
                <w:rFonts w:ascii="Times New Roman"/>
                <w:sz w:val="21"/>
              </w:rPr>
            </w:pPr>
            <w:r>
              <w:rPr>
                <w:rFonts w:ascii="Times New Roman"/>
                <w:sz w:val="21"/>
              </w:rPr>
              <w:t>11</w:t>
            </w:r>
          </w:p>
        </w:tc>
        <w:tc>
          <w:tcPr>
            <w:tcW w:w="642" w:type="dxa"/>
          </w:tcPr>
          <w:p>
            <w:pPr>
              <w:pStyle w:val="TableParagraph"/>
              <w:spacing w:before="190"/>
              <w:ind w:left="88" w:right="83"/>
              <w:rPr>
                <w:rFonts w:ascii="Times New Roman"/>
                <w:sz w:val="21"/>
              </w:rPr>
            </w:pPr>
            <w:r>
              <w:rPr>
                <w:rFonts w:ascii="Times New Roman"/>
                <w:sz w:val="21"/>
              </w:rPr>
              <w:t>12</w:t>
            </w:r>
          </w:p>
        </w:tc>
      </w:tr>
      <w:tr>
        <w:trPr>
          <w:trHeight w:val="623" w:hRule="atLeast"/>
        </w:trPr>
        <w:tc>
          <w:tcPr>
            <w:tcW w:w="828" w:type="dxa"/>
          </w:tcPr>
          <w:p>
            <w:pPr>
              <w:pStyle w:val="TableParagraph"/>
              <w:spacing w:line="260" w:lineRule="exact" w:before="0"/>
              <w:ind w:left="183" w:right="174"/>
              <w:rPr>
                <w:rFonts w:ascii="宋体" w:eastAsia="宋体" w:hint="eastAsia"/>
                <w:sz w:val="21"/>
              </w:rPr>
            </w:pPr>
            <w:r>
              <w:rPr>
                <w:rFonts w:ascii="宋体" w:eastAsia="宋体" w:hint="eastAsia"/>
                <w:sz w:val="21"/>
              </w:rPr>
              <w:t>百分</w:t>
            </w:r>
          </w:p>
          <w:p>
            <w:pPr>
              <w:pStyle w:val="TableParagraph"/>
              <w:spacing w:before="37"/>
              <w:ind w:left="8"/>
              <w:rPr>
                <w:rFonts w:ascii="宋体" w:eastAsia="宋体" w:hint="eastAsia"/>
                <w:sz w:val="21"/>
              </w:rPr>
            </w:pPr>
            <w:r>
              <w:rPr>
                <w:rFonts w:ascii="宋体" w:eastAsia="宋体" w:hint="eastAsia"/>
                <w:sz w:val="21"/>
              </w:rPr>
              <w:t>比</w:t>
            </w:r>
          </w:p>
        </w:tc>
        <w:tc>
          <w:tcPr>
            <w:tcW w:w="641" w:type="dxa"/>
          </w:tcPr>
          <w:p>
            <w:pPr>
              <w:pStyle w:val="TableParagraph"/>
              <w:ind w:left="140" w:right="133"/>
              <w:rPr>
                <w:rFonts w:ascii="宋体"/>
                <w:sz w:val="21"/>
              </w:rPr>
            </w:pPr>
            <w:r>
              <w:rPr>
                <w:rFonts w:ascii="Times New Roman"/>
                <w:sz w:val="21"/>
              </w:rPr>
              <w:t>10</w:t>
            </w:r>
            <w:r>
              <w:rPr>
                <w:rFonts w:ascii="宋体"/>
                <w:sz w:val="21"/>
              </w:rPr>
              <w:t>%</w:t>
            </w:r>
          </w:p>
        </w:tc>
        <w:tc>
          <w:tcPr>
            <w:tcW w:w="641" w:type="dxa"/>
          </w:tcPr>
          <w:p>
            <w:pPr>
              <w:pStyle w:val="TableParagraph"/>
              <w:ind w:left="140" w:right="133"/>
              <w:rPr>
                <w:rFonts w:ascii="宋体"/>
                <w:sz w:val="21"/>
              </w:rPr>
            </w:pPr>
            <w:r>
              <w:rPr>
                <w:rFonts w:ascii="Times New Roman"/>
                <w:sz w:val="21"/>
              </w:rPr>
              <w:t>20</w:t>
            </w:r>
            <w:r>
              <w:rPr>
                <w:rFonts w:ascii="宋体"/>
                <w:sz w:val="21"/>
              </w:rPr>
              <w:t>%</w:t>
            </w:r>
          </w:p>
        </w:tc>
        <w:tc>
          <w:tcPr>
            <w:tcW w:w="642" w:type="dxa"/>
          </w:tcPr>
          <w:p>
            <w:pPr>
              <w:pStyle w:val="TableParagraph"/>
              <w:ind w:left="88" w:right="83"/>
              <w:rPr>
                <w:rFonts w:ascii="宋体"/>
                <w:sz w:val="21"/>
              </w:rPr>
            </w:pPr>
            <w:r>
              <w:rPr>
                <w:rFonts w:ascii="Times New Roman"/>
                <w:sz w:val="21"/>
              </w:rPr>
              <w:t>25</w:t>
            </w:r>
            <w:r>
              <w:rPr>
                <w:rFonts w:ascii="宋体"/>
                <w:sz w:val="21"/>
              </w:rPr>
              <w:t>%</w:t>
            </w:r>
          </w:p>
        </w:tc>
        <w:tc>
          <w:tcPr>
            <w:tcW w:w="641" w:type="dxa"/>
          </w:tcPr>
          <w:p>
            <w:pPr>
              <w:pStyle w:val="TableParagraph"/>
              <w:ind w:left="140" w:right="134"/>
              <w:rPr>
                <w:rFonts w:ascii="宋体"/>
                <w:sz w:val="21"/>
              </w:rPr>
            </w:pPr>
            <w:r>
              <w:rPr>
                <w:rFonts w:ascii="Times New Roman"/>
                <w:sz w:val="21"/>
              </w:rPr>
              <w:t>35</w:t>
            </w:r>
            <w:r>
              <w:rPr>
                <w:rFonts w:ascii="宋体"/>
                <w:sz w:val="21"/>
              </w:rPr>
              <w:t>%</w:t>
            </w:r>
          </w:p>
        </w:tc>
        <w:tc>
          <w:tcPr>
            <w:tcW w:w="641" w:type="dxa"/>
          </w:tcPr>
          <w:p>
            <w:pPr>
              <w:pStyle w:val="TableParagraph"/>
              <w:ind w:left="140" w:right="134"/>
              <w:rPr>
                <w:rFonts w:ascii="宋体"/>
                <w:sz w:val="21"/>
              </w:rPr>
            </w:pPr>
            <w:r>
              <w:rPr>
                <w:rFonts w:ascii="Times New Roman"/>
                <w:sz w:val="21"/>
              </w:rPr>
              <w:t>45</w:t>
            </w:r>
            <w:r>
              <w:rPr>
                <w:rFonts w:ascii="宋体"/>
                <w:sz w:val="21"/>
              </w:rPr>
              <w:t>%</w:t>
            </w:r>
          </w:p>
        </w:tc>
        <w:tc>
          <w:tcPr>
            <w:tcW w:w="642" w:type="dxa"/>
          </w:tcPr>
          <w:p>
            <w:pPr>
              <w:pStyle w:val="TableParagraph"/>
              <w:ind w:left="88" w:right="81"/>
              <w:rPr>
                <w:rFonts w:ascii="宋体"/>
                <w:sz w:val="21"/>
              </w:rPr>
            </w:pPr>
            <w:r>
              <w:rPr>
                <w:rFonts w:ascii="Times New Roman"/>
                <w:sz w:val="21"/>
              </w:rPr>
              <w:t>50</w:t>
            </w:r>
            <w:r>
              <w:rPr>
                <w:rFonts w:ascii="宋体"/>
                <w:sz w:val="21"/>
              </w:rPr>
              <w:t>%</w:t>
            </w:r>
          </w:p>
        </w:tc>
        <w:tc>
          <w:tcPr>
            <w:tcW w:w="641" w:type="dxa"/>
          </w:tcPr>
          <w:p>
            <w:pPr>
              <w:pStyle w:val="TableParagraph"/>
              <w:ind w:left="139" w:right="134"/>
              <w:rPr>
                <w:rFonts w:ascii="宋体"/>
                <w:sz w:val="21"/>
              </w:rPr>
            </w:pPr>
            <w:r>
              <w:rPr>
                <w:rFonts w:ascii="Times New Roman"/>
                <w:sz w:val="21"/>
              </w:rPr>
              <w:t>60</w:t>
            </w:r>
            <w:r>
              <w:rPr>
                <w:rFonts w:ascii="宋体"/>
                <w:sz w:val="21"/>
              </w:rPr>
              <w:t>%</w:t>
            </w:r>
          </w:p>
        </w:tc>
        <w:tc>
          <w:tcPr>
            <w:tcW w:w="641" w:type="dxa"/>
          </w:tcPr>
          <w:p>
            <w:pPr>
              <w:pStyle w:val="TableParagraph"/>
              <w:ind w:left="139" w:right="134"/>
              <w:rPr>
                <w:rFonts w:ascii="宋体"/>
                <w:sz w:val="21"/>
              </w:rPr>
            </w:pPr>
            <w:r>
              <w:rPr>
                <w:rFonts w:ascii="Times New Roman"/>
                <w:sz w:val="21"/>
              </w:rPr>
              <w:t>70</w:t>
            </w:r>
            <w:r>
              <w:rPr>
                <w:rFonts w:ascii="宋体"/>
                <w:sz w:val="21"/>
              </w:rPr>
              <w:t>%</w:t>
            </w:r>
          </w:p>
        </w:tc>
        <w:tc>
          <w:tcPr>
            <w:tcW w:w="641" w:type="dxa"/>
          </w:tcPr>
          <w:p>
            <w:pPr>
              <w:pStyle w:val="TableParagraph"/>
              <w:ind w:left="139" w:right="134"/>
              <w:rPr>
                <w:rFonts w:ascii="宋体"/>
                <w:sz w:val="21"/>
              </w:rPr>
            </w:pPr>
            <w:r>
              <w:rPr>
                <w:rFonts w:ascii="Times New Roman"/>
                <w:sz w:val="21"/>
              </w:rPr>
              <w:t>75</w:t>
            </w:r>
            <w:r>
              <w:rPr>
                <w:rFonts w:ascii="宋体"/>
                <w:sz w:val="21"/>
              </w:rPr>
              <w:t>%</w:t>
            </w:r>
          </w:p>
        </w:tc>
        <w:tc>
          <w:tcPr>
            <w:tcW w:w="642" w:type="dxa"/>
          </w:tcPr>
          <w:p>
            <w:pPr>
              <w:pStyle w:val="TableParagraph"/>
              <w:ind w:left="86" w:right="83"/>
              <w:rPr>
                <w:rFonts w:ascii="宋体"/>
                <w:sz w:val="21"/>
              </w:rPr>
            </w:pPr>
            <w:r>
              <w:rPr>
                <w:rFonts w:ascii="Times New Roman"/>
                <w:sz w:val="21"/>
              </w:rPr>
              <w:t>85</w:t>
            </w:r>
            <w:r>
              <w:rPr>
                <w:rFonts w:ascii="宋体"/>
                <w:sz w:val="21"/>
              </w:rPr>
              <w:t>%</w:t>
            </w:r>
          </w:p>
        </w:tc>
        <w:tc>
          <w:tcPr>
            <w:tcW w:w="641" w:type="dxa"/>
          </w:tcPr>
          <w:p>
            <w:pPr>
              <w:pStyle w:val="TableParagraph"/>
              <w:ind w:left="138" w:right="134"/>
              <w:rPr>
                <w:rFonts w:ascii="宋体"/>
                <w:sz w:val="21"/>
              </w:rPr>
            </w:pPr>
            <w:r>
              <w:rPr>
                <w:rFonts w:ascii="Times New Roman"/>
                <w:sz w:val="21"/>
              </w:rPr>
              <w:t>95</w:t>
            </w:r>
            <w:r>
              <w:rPr>
                <w:rFonts w:ascii="宋体"/>
                <w:sz w:val="21"/>
              </w:rPr>
              <w:t>%</w:t>
            </w:r>
          </w:p>
        </w:tc>
        <w:tc>
          <w:tcPr>
            <w:tcW w:w="642" w:type="dxa"/>
          </w:tcPr>
          <w:p>
            <w:pPr>
              <w:pStyle w:val="TableParagraph"/>
              <w:ind w:left="88" w:right="83"/>
              <w:rPr>
                <w:rFonts w:ascii="宋体"/>
                <w:sz w:val="21"/>
              </w:rPr>
            </w:pPr>
            <w:r>
              <w:rPr>
                <w:rFonts w:ascii="Times New Roman"/>
                <w:sz w:val="21"/>
              </w:rPr>
              <w:t>100</w:t>
            </w:r>
            <w:r>
              <w:rPr>
                <w:rFonts w:ascii="宋体"/>
                <w:sz w:val="21"/>
              </w:rPr>
              <w:t>%</w:t>
            </w:r>
          </w:p>
        </w:tc>
      </w:tr>
    </w:tbl>
    <w:p>
      <w:pPr>
        <w:pStyle w:val="BodyText"/>
        <w:spacing w:before="0"/>
        <w:ind w:left="534"/>
      </w:pPr>
      <w:r>
        <w:rPr/>
        <w:t>您解除合同会遭受一定的损失。</w:t>
      </w:r>
    </w:p>
    <w:p>
      <w:pPr>
        <w:pStyle w:val="Heading1"/>
        <w:numPr>
          <w:ilvl w:val="0"/>
          <w:numId w:val="6"/>
        </w:numPr>
        <w:tabs>
          <w:tab w:pos="593" w:val="left" w:leader="none"/>
          <w:tab w:pos="594" w:val="left" w:leader="none"/>
        </w:tabs>
        <w:spacing w:line="240" w:lineRule="auto" w:before="13" w:after="0"/>
        <w:ind w:left="594" w:right="0" w:hanging="480"/>
        <w:jc w:val="left"/>
      </w:pPr>
      <w:bookmarkStart w:name="_TOC_250004" w:id="17"/>
      <w:bookmarkEnd w:id="17"/>
      <w:r>
        <w:rPr/>
        <w:t>您需要了解的其他内容</w:t>
      </w:r>
    </w:p>
    <w:p>
      <w:pPr>
        <w:pStyle w:val="Heading2"/>
        <w:numPr>
          <w:ilvl w:val="1"/>
          <w:numId w:val="6"/>
        </w:numPr>
        <w:tabs>
          <w:tab w:pos="594" w:val="left" w:leader="none"/>
        </w:tabs>
        <w:spacing w:line="240" w:lineRule="auto" w:before="64" w:after="0"/>
        <w:ind w:left="594" w:right="0" w:hanging="480"/>
        <w:jc w:val="left"/>
      </w:pPr>
      <w:bookmarkStart w:name="_TOC_250003" w:id="18"/>
      <w:bookmarkEnd w:id="18"/>
      <w:r>
        <w:rPr/>
        <w:t>年龄计算和错误处理</w:t>
      </w:r>
    </w:p>
    <w:p>
      <w:pPr>
        <w:pStyle w:val="BodyText"/>
        <w:spacing w:line="273" w:lineRule="auto" w:before="15"/>
        <w:ind w:left="114" w:right="155" w:firstLine="420"/>
      </w:pPr>
      <w:r>
        <w:rPr/>
        <w:t>被保险人的投保年龄按周岁计算。您在投保本保险时，应将被保险人的真实年龄准确填写在投保申请书上。如果发生错误，我们按照下列规定办理：</w:t>
      </w:r>
    </w:p>
    <w:p>
      <w:pPr>
        <w:pStyle w:val="BodyText"/>
        <w:spacing w:line="261" w:lineRule="auto"/>
        <w:ind w:right="101" w:firstLine="420"/>
      </w:pPr>
      <w:r>
        <w:rPr>
          <w:spacing w:val="-2"/>
        </w:rPr>
        <w:t>一、您申报的被保险人年龄不符合本条款第 </w:t>
      </w:r>
      <w:r>
        <w:rPr>
          <w:rFonts w:ascii="Times New Roman" w:eastAsia="Times New Roman"/>
        </w:rPr>
        <w:t>1.2 </w:t>
      </w:r>
      <w:r>
        <w:rPr/>
        <w:t>款中规定的投保条件，我们有权解除本附加合同，并</w:t>
      </w:r>
      <w:r>
        <w:rPr>
          <w:spacing w:val="-13"/>
        </w:rPr>
        <w:t>按照第 </w:t>
      </w:r>
      <w:r>
        <w:rPr>
          <w:rFonts w:ascii="Times New Roman" w:eastAsia="Times New Roman"/>
        </w:rPr>
        <w:t>3.2 </w:t>
      </w:r>
      <w:r>
        <w:rPr>
          <w:spacing w:val="-2"/>
        </w:rPr>
        <w:t>款规定的方法计算未满期保险费，在扣除未满期保险费的 </w:t>
      </w:r>
      <w:r>
        <w:rPr>
          <w:rFonts w:ascii="Times New Roman" w:eastAsia="Times New Roman"/>
        </w:rPr>
        <w:t>35%</w:t>
      </w:r>
      <w:r>
        <w:rPr/>
        <w:t>作为手续费后，向您退还剩余金</w:t>
      </w:r>
      <w:r>
        <w:rPr>
          <w:spacing w:val="-6"/>
        </w:rPr>
        <w:t>额，对于本附加合同解除前遭受的保险事故，我们不承担保险责任。该合同解除权，自我们知道有解除事</w:t>
      </w:r>
      <w:r>
        <w:rPr>
          <w:spacing w:val="-13"/>
        </w:rPr>
        <w:t>由之日起，超过 </w:t>
      </w:r>
      <w:r>
        <w:rPr>
          <w:rFonts w:ascii="Times New Roman" w:eastAsia="Times New Roman"/>
        </w:rPr>
        <w:t>30 </w:t>
      </w:r>
      <w:r>
        <w:rPr>
          <w:spacing w:val="-4"/>
        </w:rPr>
        <w:t>日不行使而消灭。但自本附加合同成立之日起超过 </w:t>
      </w:r>
      <w:r>
        <w:rPr/>
        <w:t>2</w:t>
      </w:r>
      <w:r>
        <w:rPr>
          <w:spacing w:val="-8"/>
        </w:rPr>
        <w:t> 年的，我们不得解除本附加合同； 发生保险事故的，我们承担给付保险金的责任并依据本款第二、第三项办理。</w:t>
      </w:r>
    </w:p>
    <w:p>
      <w:pPr>
        <w:pStyle w:val="BodyText"/>
        <w:spacing w:line="273" w:lineRule="auto" w:before="17"/>
        <w:ind w:right="205" w:firstLine="420"/>
      </w:pPr>
      <w:r>
        <w:rPr>
          <w:spacing w:val="-5"/>
        </w:rPr>
        <w:t>二、您申报的被保险人年龄不真实，致使您实交保险费少于应交保险费的，我们在给付保险金时按照实交保险费与应交保险费的比例给付。</w:t>
      </w:r>
    </w:p>
    <w:p>
      <w:pPr>
        <w:spacing w:after="0" w:line="273" w:lineRule="auto"/>
        <w:sectPr>
          <w:pgSz w:w="11900" w:h="16840"/>
          <w:pgMar w:header="0" w:footer="1028" w:top="1100" w:bottom="1260" w:left="1020" w:right="920"/>
        </w:sectPr>
      </w:pPr>
    </w:p>
    <w:p>
      <w:pPr>
        <w:pStyle w:val="BodyText"/>
        <w:spacing w:line="273" w:lineRule="auto" w:before="19"/>
        <w:ind w:right="205" w:firstLine="420"/>
      </w:pPr>
      <w:r>
        <w:rPr>
          <w:spacing w:val="-5"/>
        </w:rPr>
        <w:t>三、您申报的被保险人年龄不真实，致使您实交保险费多于应交保险费的，我们在给付保险金时将多收的保险费无息退还给您。</w:t>
      </w:r>
    </w:p>
    <w:p>
      <w:pPr>
        <w:pStyle w:val="Heading2"/>
        <w:numPr>
          <w:ilvl w:val="1"/>
          <w:numId w:val="6"/>
        </w:numPr>
        <w:tabs>
          <w:tab w:pos="594" w:val="left" w:leader="none"/>
        </w:tabs>
        <w:spacing w:line="240" w:lineRule="auto" w:before="50" w:after="0"/>
        <w:ind w:left="594" w:right="0" w:hanging="480"/>
        <w:jc w:val="left"/>
      </w:pPr>
      <w:bookmarkStart w:name="_TOC_250002" w:id="19"/>
      <w:bookmarkEnd w:id="19"/>
      <w:r>
        <w:rPr/>
        <w:t>住所或通讯地址的变更</w:t>
      </w:r>
    </w:p>
    <w:p>
      <w:pPr>
        <w:pStyle w:val="BodyText"/>
        <w:spacing w:line="273" w:lineRule="auto" w:before="15"/>
        <w:ind w:left="114" w:right="206" w:firstLine="420"/>
      </w:pPr>
      <w:r>
        <w:rPr>
          <w:spacing w:val="-6"/>
        </w:rPr>
        <w:t>您、被保险人的住所或通讯地址变更时，应及时以书面形式通知我们。您未以书面形式通知的，我们将按照您或被保险人最后提供的住所或通讯地址发送有关通知。</w:t>
      </w:r>
    </w:p>
    <w:p>
      <w:pPr>
        <w:pStyle w:val="Heading2"/>
        <w:numPr>
          <w:ilvl w:val="1"/>
          <w:numId w:val="6"/>
        </w:numPr>
        <w:tabs>
          <w:tab w:pos="594" w:val="left" w:leader="none"/>
        </w:tabs>
        <w:spacing w:line="240" w:lineRule="auto" w:before="49" w:after="0"/>
        <w:ind w:left="594" w:right="0" w:hanging="480"/>
        <w:jc w:val="left"/>
      </w:pPr>
      <w:bookmarkStart w:name="_TOC_250001" w:id="20"/>
      <w:bookmarkEnd w:id="20"/>
      <w:r>
        <w:rPr/>
        <w:t>争议的处理</w:t>
      </w:r>
    </w:p>
    <w:p>
      <w:pPr>
        <w:pStyle w:val="BodyText"/>
        <w:spacing w:before="13"/>
        <w:ind w:left="534"/>
      </w:pPr>
      <w:r>
        <w:rPr/>
        <w:t>本附加合同争议解决方式由当事人从下列两种方式中选择一种：</w:t>
      </w:r>
    </w:p>
    <w:p>
      <w:pPr>
        <w:pStyle w:val="BodyText"/>
        <w:spacing w:line="273" w:lineRule="auto" w:before="36"/>
        <w:ind w:left="114" w:right="206" w:firstLine="420"/>
      </w:pPr>
      <w:r>
        <w:rPr>
          <w:spacing w:val="-6"/>
        </w:rPr>
        <w:t>一、因履行本附加合同发生的争议，由当事人协商解决，协商不成的，提交双方均认可的仲裁委员会仲裁；</w:t>
      </w:r>
    </w:p>
    <w:p>
      <w:pPr>
        <w:pStyle w:val="BodyText"/>
        <w:ind w:left="534"/>
      </w:pPr>
      <w:r>
        <w:rPr/>
        <w:t>二、因履行本附加合同发生的争议，由当事人协商解决，协商不成的，依法向人民法院起诉。</w:t>
      </w:r>
    </w:p>
    <w:p>
      <w:pPr>
        <w:pStyle w:val="Heading1"/>
        <w:numPr>
          <w:ilvl w:val="0"/>
          <w:numId w:val="6"/>
        </w:numPr>
        <w:tabs>
          <w:tab w:pos="594" w:val="left" w:leader="none"/>
        </w:tabs>
        <w:spacing w:line="240" w:lineRule="auto" w:before="132" w:after="0"/>
        <w:ind w:left="594" w:right="0" w:hanging="480"/>
        <w:jc w:val="both"/>
      </w:pPr>
      <w:bookmarkStart w:name="_TOC_250000" w:id="21"/>
      <w:bookmarkEnd w:id="21"/>
      <w:r>
        <w:rPr/>
        <w:t>条款的解释</w:t>
      </w:r>
    </w:p>
    <w:p>
      <w:pPr>
        <w:pStyle w:val="BodyText"/>
        <w:spacing w:before="21"/>
        <w:ind w:left="114"/>
        <w:jc w:val="both"/>
      </w:pPr>
      <w:r>
        <w:rPr/>
        <w:t>【保险事故】：是指本附加合同约定的我们承担的保险责任范围内的事故。</w:t>
      </w:r>
    </w:p>
    <w:p>
      <w:pPr>
        <w:pStyle w:val="BodyText"/>
        <w:spacing w:before="66"/>
        <w:jc w:val="both"/>
      </w:pPr>
      <w:r>
        <w:rPr/>
        <w:t>【保险金】：是指被保险人发生保险事故时，我们给付的金额。</w:t>
      </w:r>
    </w:p>
    <w:p>
      <w:pPr>
        <w:pStyle w:val="BodyText"/>
        <w:spacing w:before="66"/>
        <w:jc w:val="both"/>
      </w:pPr>
      <w:r>
        <w:rPr/>
        <w:t>【保险费】：是指您为购买本附加合同项下保险而支付的金额。</w:t>
      </w:r>
    </w:p>
    <w:p>
      <w:pPr>
        <w:pStyle w:val="BodyText"/>
        <w:spacing w:before="66"/>
        <w:jc w:val="both"/>
      </w:pPr>
      <w:r>
        <w:rPr/>
        <w:t>【保险金额】：是指我们与您在本附加合同中约定的，被保险人发生保险事故时，我们给付的最高金额。</w:t>
      </w:r>
    </w:p>
    <w:p>
      <w:pPr>
        <w:pStyle w:val="BodyText"/>
        <w:spacing w:line="273" w:lineRule="auto" w:before="66"/>
        <w:ind w:right="205"/>
        <w:jc w:val="both"/>
      </w:pPr>
      <w:r>
        <w:rPr>
          <w:spacing w:val="-3"/>
        </w:rPr>
        <w:t>【我们指定或认可的医院】：我们指定的医院见保险单中的附表。若被保险人居住地及事故发生地没有我</w:t>
      </w:r>
      <w:r>
        <w:rPr>
          <w:spacing w:val="-6"/>
        </w:rPr>
        <w:t>们指定的医院，则为国家卫生部规定的医院等级分类中的二级甲等或以上的医院。当被保险人因遭受意外伤害事故须急救时不受此限，但经急救处理伤情稳定后，必须及时转入我们指定或认可的医院治疗。</w:t>
      </w:r>
    </w:p>
    <w:p>
      <w:pPr>
        <w:pStyle w:val="BodyText"/>
      </w:pPr>
      <w:r>
        <w:rPr>
          <w:spacing w:val="-18"/>
        </w:rPr>
        <w:t>【专科医生】：专科医生应当同时满足以下四项资格条件：①具有有效的中华人民共和国《医师资格证书》；</w:t>
      </w:r>
    </w:p>
    <w:p>
      <w:pPr>
        <w:pStyle w:val="BodyText"/>
        <w:spacing w:line="273" w:lineRule="auto" w:before="37"/>
        <w:ind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66" w:lineRule="auto" w:before="0"/>
        <w:ind w:right="207" w:hanging="1"/>
      </w:pPr>
      <w:r>
        <w:rPr>
          <w:spacing w:val="-12"/>
        </w:rPr>
        <w:t>【感染艾滋病病毒】</w:t>
      </w:r>
      <w:r>
        <w:rPr>
          <w:spacing w:val="-34"/>
          <w:sz w:val="22"/>
        </w:rPr>
        <w:t>：</w:t>
      </w:r>
      <w:r>
        <w:rPr>
          <w:spacing w:val="-6"/>
        </w:rPr>
        <w:t>艾滋病病毒指人类免疫缺陷病毒，英文缩写为 </w:t>
      </w:r>
      <w:r>
        <w:rPr/>
        <w:t>HIV</w:t>
      </w:r>
      <w:r>
        <w:rPr>
          <w:spacing w:val="-6"/>
        </w:rPr>
        <w:t>。在人体血液或其它样本中检测到艾滋病病毒或其抗体呈阳性，没有出现临床症状或体征的，为感染艾滋病病毒。</w:t>
      </w:r>
    </w:p>
    <w:p>
      <w:pPr>
        <w:pStyle w:val="BodyText"/>
        <w:spacing w:line="273" w:lineRule="auto" w:before="14"/>
        <w:ind w:right="205"/>
      </w:pPr>
      <w:r>
        <w:rPr>
          <w:spacing w:val="-12"/>
        </w:rPr>
        <w:t>【患艾滋病】：艾滋病指人类免疫缺陷病毒引起的获得性免疫缺陷综合症，英文缩写为 </w:t>
      </w:r>
      <w:r>
        <w:rPr/>
        <w:t>AIDS。在人体血液或其它样本中检测到艾滋病病毒或其抗体呈阳性，同时出现了明显临床症状或体征的，为患艾滋病。</w:t>
      </w:r>
    </w:p>
    <w:p>
      <w:pPr>
        <w:pStyle w:val="BodyText"/>
        <w:spacing w:line="273" w:lineRule="auto"/>
        <w:ind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ind w:right="208"/>
      </w:pPr>
      <w:r>
        <w:rPr>
          <w:spacing w:val="-11"/>
        </w:rPr>
        <w:t>【酒后驾驶】：发生事故时车辆驾驶人员每百毫升血液中的酒精含量达到或超过一定的标准，被国家有关机关认定为酒后驾驶。</w:t>
      </w:r>
    </w:p>
    <w:p>
      <w:pPr>
        <w:pStyle w:val="BodyText"/>
        <w:jc w:val="both"/>
      </w:pPr>
      <w:r>
        <w:rPr/>
        <w:t>【无合法有效驾驶证驾驶】：指下列情形之一：</w:t>
      </w:r>
    </w:p>
    <w:p>
      <w:pPr>
        <w:pStyle w:val="BodyText"/>
        <w:spacing w:before="36"/>
        <w:jc w:val="both"/>
      </w:pPr>
      <w:r>
        <w:rPr/>
        <w:t>（</w:t>
      </w:r>
      <w:r>
        <w:rPr>
          <w:rFonts w:ascii="Arial" w:eastAsia="Arial"/>
        </w:rPr>
        <w:t>1</w:t>
      </w:r>
      <w:r>
        <w:rPr/>
        <w:t>）没有驾驶证驾驶；</w:t>
      </w:r>
    </w:p>
    <w:p>
      <w:pPr>
        <w:pStyle w:val="BodyText"/>
        <w:spacing w:before="21"/>
        <w:jc w:val="both"/>
      </w:pPr>
      <w:r>
        <w:rPr/>
        <w:t>（</w:t>
      </w:r>
      <w:r>
        <w:rPr>
          <w:rFonts w:ascii="Arial" w:eastAsia="Arial"/>
        </w:rPr>
        <w:t>2</w:t>
      </w:r>
      <w:r>
        <w:rPr/>
        <w:t>）驾驶与驾驶证准驾车型不相符合的车辆；</w:t>
      </w:r>
    </w:p>
    <w:p>
      <w:pPr>
        <w:pStyle w:val="BodyText"/>
        <w:spacing w:before="21"/>
        <w:jc w:val="both"/>
      </w:pPr>
      <w:r>
        <w:rPr/>
        <w:t>（</w:t>
      </w:r>
      <w:r>
        <w:rPr>
          <w:rFonts w:ascii="Arial" w:eastAsia="Arial"/>
        </w:rPr>
        <w:t>3</w:t>
      </w:r>
      <w:r>
        <w:rPr/>
        <w:t>）驾驶员持审验不合格的驾驶证驾驶；</w:t>
      </w:r>
    </w:p>
    <w:p>
      <w:pPr>
        <w:pStyle w:val="BodyText"/>
        <w:spacing w:before="21"/>
        <w:jc w:val="both"/>
      </w:pPr>
      <w:r>
        <w:rPr/>
        <w:t>（</w:t>
      </w:r>
      <w:r>
        <w:rPr>
          <w:rFonts w:ascii="Arial" w:eastAsia="Arial"/>
        </w:rPr>
        <w:t>4</w:t>
      </w:r>
      <w:r>
        <w:rPr/>
        <w:t>）未经公安交通管理部门同意，持未审验的驾驶证驾驶；</w:t>
      </w:r>
    </w:p>
    <w:p>
      <w:pPr>
        <w:pStyle w:val="BodyText"/>
        <w:spacing w:before="21"/>
        <w:jc w:val="both"/>
      </w:pPr>
      <w:r>
        <w:rPr/>
        <w:t>（</w:t>
      </w:r>
      <w:r>
        <w:rPr>
          <w:rFonts w:ascii="Arial" w:eastAsia="Arial"/>
        </w:rPr>
        <w:t>5</w:t>
      </w:r>
      <w:r>
        <w:rPr/>
        <w:t>）持学习驾驶证学习驾车时，无教练员随车指导，或不按指定时间、路线学习驾车；</w:t>
      </w:r>
    </w:p>
    <w:p>
      <w:pPr>
        <w:pStyle w:val="BodyText"/>
        <w:spacing w:before="21"/>
        <w:jc w:val="both"/>
      </w:pPr>
      <w:r>
        <w:rPr/>
        <w:t>（</w:t>
      </w:r>
      <w:r>
        <w:rPr>
          <w:rFonts w:ascii="Arial" w:eastAsia="Arial"/>
        </w:rPr>
        <w:t>6</w:t>
      </w:r>
      <w:r>
        <w:rPr/>
        <w:t>）公安交通管理部门规定的其他无有效驾驶证驾驶的情况。</w:t>
      </w:r>
    </w:p>
    <w:p>
      <w:pPr>
        <w:pStyle w:val="BodyText"/>
        <w:spacing w:before="21"/>
        <w:jc w:val="both"/>
      </w:pPr>
      <w:r>
        <w:rPr/>
        <w:t>【驾驶无有效行驶证的机动车】：指下列情形之一：</w:t>
      </w:r>
    </w:p>
    <w:p>
      <w:pPr>
        <w:pStyle w:val="BodyText"/>
        <w:spacing w:before="36"/>
        <w:jc w:val="both"/>
      </w:pPr>
      <w:r>
        <w:rPr/>
        <w:t>（</w:t>
      </w:r>
      <w:r>
        <w:rPr>
          <w:rFonts w:ascii="Arial" w:eastAsia="Arial"/>
        </w:rPr>
        <w:t>1</w:t>
      </w:r>
      <w:r>
        <w:rPr/>
        <w:t>）没有机动车行驶证；</w:t>
      </w:r>
    </w:p>
    <w:p>
      <w:pPr>
        <w:pStyle w:val="BodyText"/>
        <w:spacing w:before="21"/>
        <w:jc w:val="both"/>
      </w:pPr>
      <w:r>
        <w:rPr/>
        <w:t>（</w:t>
      </w:r>
      <w:r>
        <w:rPr>
          <w:rFonts w:ascii="Arial" w:eastAsia="Arial"/>
        </w:rPr>
        <w:t>2</w:t>
      </w:r>
      <w:r>
        <w:rPr/>
        <w:t>）未在法律规定期限内按时进行或通过安全技术检验。</w:t>
      </w:r>
    </w:p>
    <w:p>
      <w:pPr>
        <w:pStyle w:val="BodyText"/>
        <w:spacing w:line="273" w:lineRule="auto" w:before="21"/>
        <w:ind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ind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（ICD-10）确定。</w:t>
      </w:r>
    </w:p>
    <w:p>
      <w:pPr>
        <w:spacing w:after="0" w:line="273" w:lineRule="auto"/>
        <w:sectPr>
          <w:pgSz w:w="11900" w:h="16840"/>
          <w:pgMar w:header="0" w:footer="1028" w:top="1100" w:bottom="1260" w:left="1020" w:right="920"/>
        </w:sectPr>
      </w:pPr>
    </w:p>
    <w:p>
      <w:pPr>
        <w:pStyle w:val="BodyText"/>
        <w:spacing w:before="19"/>
      </w:pPr>
      <w:r>
        <w:rPr/>
        <w:t>【不可抗力】：是指不能预见、不可避免且无法克服的客观情况。</w:t>
      </w:r>
    </w:p>
    <w:p>
      <w:pPr>
        <w:spacing w:line="256" w:lineRule="auto" w:before="43"/>
        <w:ind w:left="534" w:right="3677" w:hanging="421"/>
        <w:jc w:val="left"/>
        <w:rPr>
          <w:sz w:val="21"/>
        </w:rPr>
      </w:pPr>
      <w:r>
        <w:rPr>
          <w:spacing w:val="-16"/>
          <w:sz w:val="21"/>
        </w:rPr>
        <w:t>【重大疾病】：</w:t>
      </w:r>
      <w:r>
        <w:rPr>
          <w:rFonts w:ascii="黑体" w:eastAsia="黑体" w:hint="eastAsia"/>
          <w:sz w:val="24"/>
        </w:rPr>
        <w:t>本附加合同中所称重大疾病指下列情况之一： </w:t>
      </w:r>
      <w:r>
        <w:rPr>
          <w:sz w:val="21"/>
        </w:rPr>
        <w:t>一、恶性肿瘤</w:t>
      </w:r>
    </w:p>
    <w:p>
      <w:pPr>
        <w:pStyle w:val="BodyText"/>
        <w:spacing w:line="273" w:lineRule="auto" w:before="22"/>
        <w:ind w:left="114"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rPr>
        <w:t>康问题的国际统计分类》</w:t>
      </w:r>
      <w:r>
        <w:rPr/>
        <w:t>（ICD-10）的恶性肿瘤范畴。</w:t>
      </w:r>
    </w:p>
    <w:p>
      <w:pPr>
        <w:pStyle w:val="Heading1"/>
        <w:spacing w:line="297" w:lineRule="exact"/>
        <w:ind w:left="534"/>
      </w:pPr>
      <w:r>
        <w:rPr/>
        <w:t>下列疾病不在保障范围内：</w:t>
      </w:r>
    </w:p>
    <w:p>
      <w:pPr>
        <w:spacing w:line="312" w:lineRule="exact" w:before="0"/>
        <w:ind w:left="534" w:right="0" w:firstLine="0"/>
        <w:jc w:val="left"/>
        <w:rPr>
          <w:rFonts w:ascii="黑体" w:eastAsia="黑体" w:hint="eastAsia"/>
          <w:sz w:val="24"/>
        </w:rPr>
      </w:pPr>
      <w:r>
        <w:rPr>
          <w:rFonts w:ascii="黑体" w:eastAsia="黑体" w:hint="eastAsia"/>
          <w:sz w:val="24"/>
        </w:rPr>
        <w:t>（1）原位癌；</w:t>
      </w:r>
    </w:p>
    <w:p>
      <w:pPr>
        <w:spacing w:line="312" w:lineRule="exact" w:before="0"/>
        <w:ind w:left="56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56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56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56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56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3"/>
        <w:ind w:left="536"/>
      </w:pPr>
      <w:r>
        <w:rPr/>
        <w:t>二、重大器官移植术或造血干细胞移植术</w:t>
      </w:r>
    </w:p>
    <w:p>
      <w:pPr>
        <w:pStyle w:val="BodyText"/>
        <w:spacing w:line="273" w:lineRule="auto" w:before="37"/>
        <w:ind w:left="533"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ind w:left="536" w:right="3755" w:hanging="423"/>
      </w:pPr>
      <w:r>
        <w:rPr/>
        <w:t>干细胞、外周血造血干细胞和脐血造血干细胞）的异体移植手术。三、终末期肾病（或称慢性肾功能衰竭尿毒症期）</w:t>
      </w:r>
    </w:p>
    <w:p>
      <w:pPr>
        <w:pStyle w:val="BodyText"/>
        <w:spacing w:line="273" w:lineRule="auto"/>
        <w:ind w:right="155" w:firstLine="420"/>
      </w:pPr>
      <w:r>
        <w:rPr/>
        <w:t>指双肾功能慢性不可逆性衰竭，达到尿毒症期，经诊断后已经进行了至少 90 天的规律性透析治疗或实施了肾脏移植手术。</w:t>
      </w:r>
    </w:p>
    <w:p>
      <w:pPr>
        <w:pStyle w:val="BodyText"/>
        <w:ind w:left="536"/>
      </w:pPr>
      <w:r>
        <w:rPr/>
        <w:t>四、多个肢体缺失</w:t>
      </w:r>
    </w:p>
    <w:p>
      <w:pPr>
        <w:pStyle w:val="BodyText"/>
        <w:spacing w:line="273" w:lineRule="auto" w:before="36"/>
        <w:ind w:left="536" w:right="101" w:hanging="3"/>
      </w:pPr>
      <w:r>
        <w:rPr>
          <w:spacing w:val="-3"/>
        </w:rPr>
        <w:t>指因疾病或意外伤害导致两个或两个以上肢体自腕关节或踝关节近端</w:t>
      </w:r>
      <w:r>
        <w:rPr/>
        <w:t>（靠近躯干端</w:t>
      </w:r>
      <w:r>
        <w:rPr>
          <w:spacing w:val="-64"/>
        </w:rPr>
        <w:t>）</w:t>
      </w:r>
      <w:r>
        <w:rPr/>
        <w:t>以上完全性断离。五、急性或亚急性重症肝炎</w:t>
      </w:r>
    </w:p>
    <w:p>
      <w:pPr>
        <w:pStyle w:val="BodyText"/>
        <w:spacing w:line="273" w:lineRule="auto"/>
        <w:ind w:left="114" w:right="185" w:firstLine="420"/>
      </w:pPr>
      <w:r>
        <w:rPr/>
        <w:t>指因肝炎病毒感染引起肝脏组织弥漫性坏死，导致急性肝功能衰竭，且经血清学或病毒学检查证实，并须满足下列全部条件：</w:t>
      </w:r>
    </w:p>
    <w:p>
      <w:pPr>
        <w:pStyle w:val="BodyText"/>
        <w:ind w:left="534"/>
      </w:pPr>
      <w:r>
        <w:rPr/>
        <w:t>（1）重度黄疸或黄疸迅速加重；</w:t>
      </w:r>
    </w:p>
    <w:p>
      <w:pPr>
        <w:pStyle w:val="BodyText"/>
        <w:spacing w:before="36"/>
        <w:ind w:left="534"/>
      </w:pPr>
      <w:r>
        <w:rPr/>
        <w:t>（2）肝性脑病；</w:t>
      </w:r>
    </w:p>
    <w:p>
      <w:pPr>
        <w:pStyle w:val="BodyText"/>
        <w:spacing w:before="36"/>
        <w:ind w:left="534"/>
      </w:pPr>
      <w:r>
        <w:rPr/>
        <w:t>（3）B 超或其它影像学检查显示肝脏体积急速萎缩；</w:t>
      </w:r>
    </w:p>
    <w:p>
      <w:pPr>
        <w:pStyle w:val="BodyText"/>
        <w:spacing w:line="273" w:lineRule="auto" w:before="36"/>
        <w:ind w:left="536" w:right="6589" w:hanging="3"/>
      </w:pPr>
      <w:r>
        <w:rPr/>
        <w:t>（4）肝功能指标进行性恶化。六、良性脑肿瘤</w:t>
      </w:r>
    </w:p>
    <w:p>
      <w:pPr>
        <w:pStyle w:val="BodyText"/>
        <w:spacing w:line="273" w:lineRule="auto"/>
        <w:ind w:left="114" w:right="2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ind w:left="534"/>
      </w:pPr>
      <w:r>
        <w:rPr/>
        <w:t>（1）实际实施了开颅进行的脑肿瘤完全切除或部分切除的手术；</w:t>
      </w:r>
    </w:p>
    <w:p>
      <w:pPr>
        <w:pStyle w:val="BodyText"/>
        <w:spacing w:before="36"/>
        <w:ind w:left="534"/>
      </w:pPr>
      <w:r>
        <w:rPr/>
        <w:t>（2）实际实施了对脑肿瘤进行的放射治疗。</w:t>
      </w:r>
    </w:p>
    <w:p>
      <w:pPr>
        <w:spacing w:before="12"/>
        <w:ind w:left="53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2"/>
        <w:ind w:left="534"/>
      </w:pPr>
      <w:r>
        <w:rPr/>
        <w:t>七、慢性肝功能衰竭失代偿期</w:t>
      </w:r>
    </w:p>
    <w:p>
      <w:pPr>
        <w:pStyle w:val="BodyText"/>
        <w:spacing w:before="37"/>
        <w:ind w:left="534"/>
      </w:pPr>
      <w:r>
        <w:rPr/>
        <w:t>指因慢性肝脏疾病导致肝功能衰竭。须满足下列全部条件：</w:t>
      </w:r>
    </w:p>
    <w:p>
      <w:pPr>
        <w:pStyle w:val="BodyText"/>
        <w:spacing w:before="37"/>
        <w:ind w:left="534"/>
      </w:pPr>
      <w:r>
        <w:rPr/>
        <w:t>（1）持续性黄疸；</w:t>
      </w:r>
    </w:p>
    <w:p>
      <w:pPr>
        <w:pStyle w:val="BodyText"/>
        <w:spacing w:before="37"/>
        <w:ind w:left="534"/>
      </w:pPr>
      <w:r>
        <w:rPr/>
        <w:t>（2）腹水；</w:t>
      </w:r>
    </w:p>
    <w:p>
      <w:pPr>
        <w:pStyle w:val="BodyText"/>
        <w:spacing w:before="37"/>
        <w:ind w:left="534"/>
      </w:pPr>
      <w:r>
        <w:rPr/>
        <w:t>（3）肝性脑病；</w:t>
      </w:r>
    </w:p>
    <w:p>
      <w:pPr>
        <w:pStyle w:val="BodyText"/>
        <w:spacing w:before="37"/>
        <w:ind w:left="534"/>
      </w:pPr>
      <w:r>
        <w:rPr/>
        <w:t>（4）充血性脾肿大伴脾功能亢进或食管胃底静脉曲张。</w:t>
      </w:r>
    </w:p>
    <w:p>
      <w:pPr>
        <w:spacing w:before="12"/>
        <w:ind w:left="535"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1"/>
        <w:ind w:left="535"/>
      </w:pPr>
      <w:r>
        <w:rPr/>
        <w:t>八、脑炎后遗症或脑膜炎后遗症</w:t>
      </w:r>
    </w:p>
    <w:p>
      <w:pPr>
        <w:pStyle w:val="BodyText"/>
        <w:spacing w:line="273" w:lineRule="auto" w:before="36"/>
        <w:ind w:right="206" w:firstLine="420"/>
      </w:pPr>
      <w:r>
        <w:rPr>
          <w:spacing w:val="-9"/>
        </w:rPr>
        <w:t>指因患脑炎或脑膜炎导致的神经系统永久性的功能障碍。神经系统永久性的功能障碍，指疾病确诊 </w:t>
      </w:r>
      <w:r>
        <w:rPr/>
        <w:t>180 天后，仍遗留下列一种或一种以上障碍：</w:t>
      </w:r>
    </w:p>
    <w:p>
      <w:pPr>
        <w:spacing w:after="0" w:line="273" w:lineRule="auto"/>
        <w:sectPr>
          <w:pgSz w:w="11900" w:h="16840"/>
          <w:pgMar w:header="0" w:footer="1028" w:top="1100" w:bottom="1260" w:left="1020" w:right="920"/>
        </w:sectPr>
      </w:pPr>
    </w:p>
    <w:p>
      <w:pPr>
        <w:pStyle w:val="BodyText"/>
        <w:spacing w:before="19"/>
        <w:ind w:left="534"/>
      </w:pPr>
      <w:r>
        <w:rPr/>
        <w:t>（1）一肢或一肢以上肌体机能完全丧失；</w:t>
      </w:r>
    </w:p>
    <w:p>
      <w:pPr>
        <w:pStyle w:val="BodyText"/>
        <w:spacing w:before="37"/>
        <w:ind w:left="534"/>
      </w:pPr>
      <w:r>
        <w:rPr/>
        <w:t>（2）语言能力或咀嚼吞咽能力完全丧失；</w:t>
      </w:r>
    </w:p>
    <w:p>
      <w:pPr>
        <w:pStyle w:val="BodyText"/>
        <w:spacing w:before="37"/>
        <w:ind w:left="534"/>
      </w:pPr>
      <w:r>
        <w:rPr/>
        <w:t>（3）自主生活能力完全丧失，无法独立完成六项基本日常生活活动中的三项或三项以上。</w:t>
      </w:r>
    </w:p>
    <w:p>
      <w:pPr>
        <w:pStyle w:val="BodyText"/>
        <w:spacing w:line="273" w:lineRule="auto" w:before="37"/>
        <w:ind w:right="1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5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right="5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right="5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九、 深度昏迷</w:t>
      </w:r>
    </w:p>
    <w:p>
      <w:pPr>
        <w:pStyle w:val="BodyText"/>
        <w:spacing w:line="273" w:lineRule="auto" w:before="37"/>
        <w:ind w:right="143" w:firstLine="420"/>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spacing w:line="298" w:lineRule="exact" w:before="0"/>
        <w:ind w:left="59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2"/>
        <w:ind w:left="536"/>
      </w:pPr>
      <w:r>
        <w:rPr/>
        <w:t>十、双耳失聪</w:t>
      </w:r>
    </w:p>
    <w:p>
      <w:pPr>
        <w:pStyle w:val="BodyText"/>
        <w:spacing w:before="37"/>
        <w:ind w:left="534"/>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spacing w:before="37"/>
        <w:ind w:left="114"/>
      </w:pPr>
      <w:r>
        <w:rPr/>
        <w:t>下，平均听阈大于 90 分贝，且经纯音听力测试、声导抗检测或听觉诱发电位检测等证实。</w:t>
      </w:r>
    </w:p>
    <w:p>
      <w:pPr>
        <w:pStyle w:val="BodyText"/>
        <w:spacing w:line="273" w:lineRule="auto" w:before="37"/>
        <w:ind w:left="114" w:right="106" w:firstLine="420"/>
      </w:pPr>
      <w:r>
        <w:rPr>
          <w:spacing w:val="-7"/>
        </w:rPr>
        <w:t>注：永久不可逆：指自疾病确诊或意外伤害发生之日起，经过积极治疗 </w:t>
      </w:r>
      <w:r>
        <w:rPr/>
        <w:t>180</w:t>
      </w:r>
      <w:r>
        <w:rPr>
          <w:spacing w:val="-8"/>
        </w:rPr>
        <w:t> 天后，仍无法通过现有医疗手段恢复。</w:t>
      </w:r>
    </w:p>
    <w:p>
      <w:pPr>
        <w:pStyle w:val="BodyText"/>
        <w:spacing w:before="8"/>
        <w:ind w:left="536"/>
      </w:pPr>
      <w:r>
        <w:rPr/>
        <w:t>十一、双目失明</w:t>
      </w:r>
    </w:p>
    <w:p>
      <w:pPr>
        <w:pStyle w:val="BodyText"/>
        <w:spacing w:before="37"/>
        <w:ind w:left="534"/>
      </w:pPr>
      <w:r>
        <w:rPr/>
        <w:t>指因疾病或意外伤害导致双眼视力永久不可逆性丧失，双眼中较好眼须满足下列至少一项条件：</w:t>
      </w:r>
    </w:p>
    <w:p>
      <w:pPr>
        <w:pStyle w:val="BodyText"/>
        <w:spacing w:before="37"/>
        <w:ind w:left="534"/>
      </w:pPr>
      <w:r>
        <w:rPr/>
        <w:t>（1）眼球缺失或摘除；</w:t>
      </w:r>
    </w:p>
    <w:p>
      <w:pPr>
        <w:pStyle w:val="BodyText"/>
        <w:spacing w:before="37"/>
        <w:ind w:left="534"/>
      </w:pPr>
      <w:r>
        <w:rPr/>
        <w:t>（2）</w:t>
      </w:r>
      <w:r>
        <w:rPr>
          <w:spacing w:val="-9"/>
        </w:rPr>
        <w:t>矫正视力低于 </w:t>
      </w:r>
      <w:r>
        <w:rPr/>
        <w:t>0.02（采用国际标准视力表，如果使用其他视力表应进行换算</w:t>
      </w:r>
      <w:r>
        <w:rPr>
          <w:spacing w:val="-106"/>
        </w:rPr>
        <w:t>）</w:t>
      </w:r>
      <w:r>
        <w:rPr/>
        <w:t>；</w:t>
      </w:r>
    </w:p>
    <w:p>
      <w:pPr>
        <w:pStyle w:val="BodyText"/>
        <w:spacing w:before="37"/>
        <w:ind w:left="534"/>
      </w:pPr>
      <w:r>
        <w:rPr/>
        <w:t>（3）视野半径小于 5 度。</w:t>
      </w:r>
    </w:p>
    <w:p>
      <w:pPr>
        <w:pStyle w:val="BodyText"/>
        <w:spacing w:line="273" w:lineRule="auto" w:before="37"/>
        <w:ind w:left="114" w:right="106" w:firstLine="420"/>
      </w:pPr>
      <w:r>
        <w:rPr>
          <w:spacing w:val="-7"/>
        </w:rPr>
        <w:t>注：永久不可逆：指自疾病确诊或意外伤害发生之日起，经过积极治疗 </w:t>
      </w:r>
      <w:r>
        <w:rPr/>
        <w:t>180</w:t>
      </w:r>
      <w:r>
        <w:rPr>
          <w:spacing w:val="-8"/>
        </w:rPr>
        <w:t> 天后，仍无法通过现有医疗手段恢复。</w:t>
      </w:r>
    </w:p>
    <w:p>
      <w:pPr>
        <w:pStyle w:val="BodyText"/>
        <w:ind w:left="536"/>
      </w:pPr>
      <w:r>
        <w:rPr/>
        <w:t>十二、瘫痪</w:t>
      </w:r>
    </w:p>
    <w:p>
      <w:pPr>
        <w:pStyle w:val="BodyText"/>
        <w:spacing w:line="273" w:lineRule="auto" w:before="36"/>
        <w:ind w:left="114" w:right="55" w:firstLine="420"/>
      </w:pPr>
      <w:r>
        <w:rPr/>
        <w:t>指因疾病或意外伤害导致两肢或两肢以上肢体机能永久完全丧失。肢体机能永久完全丧失，指疾病确诊 180 天后或意外伤害发生 180 天后，每肢三大关节中的两大关节仍然完全僵硬，或不能随意识活动。</w:t>
      </w:r>
    </w:p>
    <w:p>
      <w:pPr>
        <w:pStyle w:val="BodyText"/>
        <w:ind w:left="536"/>
      </w:pPr>
      <w:r>
        <w:rPr/>
        <w:t>十三、心脏瓣膜手术</w:t>
      </w:r>
    </w:p>
    <w:p>
      <w:pPr>
        <w:pStyle w:val="BodyText"/>
        <w:spacing w:line="273" w:lineRule="auto" w:before="37"/>
        <w:ind w:left="534" w:right="2183"/>
      </w:pPr>
      <w:r>
        <w:rPr/>
        <w:t>指为治疗心脏瓣膜疾病，实际实施了开胸进行的心脏瓣膜置换或修复的手术。十四、严重脑损伤</w:t>
      </w:r>
    </w:p>
    <w:p>
      <w:pPr>
        <w:pStyle w:val="BodyText"/>
        <w:spacing w:line="273" w:lineRule="auto"/>
        <w:ind w:left="114" w:right="10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天后，仍遗留下列一种或一种以上障碍：</w:t>
      </w:r>
    </w:p>
    <w:p>
      <w:pPr>
        <w:pStyle w:val="BodyText"/>
        <w:ind w:left="744"/>
      </w:pPr>
      <w:r>
        <w:rPr/>
        <w:t>（1）一肢或一肢以上肌体机能完全丧失；</w:t>
      </w:r>
    </w:p>
    <w:p>
      <w:pPr>
        <w:pStyle w:val="BodyText"/>
        <w:spacing w:before="37"/>
        <w:ind w:left="744"/>
      </w:pPr>
      <w:r>
        <w:rPr/>
        <w:t>（2）语言能力或咀嚼吞咽能力完全丧失；</w:t>
      </w:r>
    </w:p>
    <w:p>
      <w:pPr>
        <w:pStyle w:val="BodyText"/>
        <w:spacing w:before="37"/>
        <w:ind w:left="744"/>
      </w:pPr>
      <w:r>
        <w:rPr/>
        <w:t>（3）自主生活能力完全丧失，无法独立完成六项基本日常生活活动中的三项或三项以上。</w:t>
      </w:r>
    </w:p>
    <w:p>
      <w:pPr>
        <w:pStyle w:val="BodyText"/>
        <w:spacing w:line="273" w:lineRule="auto" w:before="37"/>
        <w:ind w:left="114" w:right="1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left="114" w:right="55" w:firstLine="420"/>
      </w:pPr>
      <w:r>
        <w:rPr/>
        <w:t>注 2：肢体机能完全丧失：指肢体的三大关节中的两大关节僵硬，或不能随意识活动。肢体是指包括肩关节的整个上肢或包括髋关节的整个下肢。</w:t>
      </w:r>
    </w:p>
    <w:p>
      <w:pPr>
        <w:spacing w:after="0" w:line="273" w:lineRule="auto"/>
        <w:sectPr>
          <w:pgSz w:w="11900" w:h="16840"/>
          <w:pgMar w:header="0" w:footer="1028" w:top="1100" w:bottom="1260" w:left="1020" w:right="1020"/>
        </w:sectPr>
      </w:pPr>
    </w:p>
    <w:p>
      <w:pPr>
        <w:pStyle w:val="BodyText"/>
        <w:spacing w:line="273" w:lineRule="auto" w:before="19"/>
        <w:ind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right="15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十五、严重 III 度烧伤</w:t>
      </w:r>
    </w:p>
    <w:p>
      <w:pPr>
        <w:pStyle w:val="BodyText"/>
        <w:spacing w:line="273" w:lineRule="auto" w:before="37"/>
        <w:ind w:right="205" w:firstLine="420"/>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ind w:left="536"/>
      </w:pPr>
      <w:r>
        <w:rPr/>
        <w:t>十六、严重原发性肺动脉高压</w:t>
      </w:r>
    </w:p>
    <w:p>
      <w:pPr>
        <w:pStyle w:val="BodyText"/>
        <w:spacing w:line="273" w:lineRule="auto" w:before="36"/>
        <w:ind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ind w:right="206" w:firstLine="420"/>
      </w:pPr>
      <w:r>
        <w:rPr>
          <w:spacing w:val="-7"/>
        </w:rPr>
        <w:t>注：永久不可逆：指自疾病确诊或意外伤害发生之日起，经过积极治疗 </w:t>
      </w:r>
      <w:r>
        <w:rPr/>
        <w:t>180</w:t>
      </w:r>
      <w:r>
        <w:rPr>
          <w:spacing w:val="-8"/>
        </w:rPr>
        <w:t> 天后，仍无法通过现有医疗手段恢复。</w:t>
      </w:r>
    </w:p>
    <w:p>
      <w:pPr>
        <w:pStyle w:val="BodyText"/>
        <w:ind w:left="536"/>
      </w:pPr>
      <w:r>
        <w:rPr/>
        <w:t>十七、严重运动神经元病</w:t>
      </w:r>
    </w:p>
    <w:p>
      <w:pPr>
        <w:pStyle w:val="BodyText"/>
        <w:spacing w:line="273" w:lineRule="auto" w:before="36"/>
        <w:ind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十八、语言能力丧失</w:t>
      </w:r>
    </w:p>
    <w:p>
      <w:pPr>
        <w:pStyle w:val="BodyText"/>
        <w:spacing w:line="273" w:lineRule="auto" w:before="36"/>
        <w:ind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2"/>
        <w:ind w:left="114" w:right="155" w:firstLine="420"/>
      </w:pPr>
      <w:r>
        <w:rPr/>
        <w:t>注：语言能力完全丧失：指无法发出四种语音（包括口唇音、齿舌音、口盖音和喉头音）中的任何三种、或声带全部切除，或因大脑语言中枢受伤害而患失语症。</w:t>
      </w:r>
    </w:p>
    <w:p>
      <w:pPr>
        <w:pStyle w:val="BodyText"/>
        <w:ind w:left="534"/>
      </w:pPr>
      <w:r>
        <w:rPr/>
        <w:t>十九、重型再生障碍性贫血</w:t>
      </w:r>
    </w:p>
    <w:p>
      <w:pPr>
        <w:pStyle w:val="BodyText"/>
        <w:spacing w:before="37"/>
        <w:ind w:left="534"/>
      </w:pPr>
      <w:r>
        <w:rPr>
          <w:spacing w:val="-6"/>
        </w:rPr>
        <w:t>指因骨髓造血功能慢性持续性衰竭导致的贫血、中性粒细胞减少及血小板减少。须满足下列全部条件：</w:t>
      </w:r>
    </w:p>
    <w:p>
      <w:pPr>
        <w:pStyle w:val="BodyText"/>
        <w:spacing w:before="37"/>
        <w:ind w:left="533"/>
      </w:pPr>
      <w:r>
        <w:rPr/>
        <w:t>（1）骨髓穿刺检查或骨髓活检结果支持诊断；</w:t>
      </w:r>
    </w:p>
    <w:p>
      <w:pPr>
        <w:pStyle w:val="BodyText"/>
        <w:spacing w:before="37"/>
        <w:ind w:left="533"/>
      </w:pPr>
      <w:r>
        <w:rPr/>
        <w:t>（2）外周血象须具备以下三项条件：</w:t>
      </w:r>
    </w:p>
    <w:p>
      <w:pPr>
        <w:pStyle w:val="BodyText"/>
        <w:spacing w:before="10"/>
        <w:ind w:left="0"/>
        <w:rPr>
          <w:sz w:val="16"/>
        </w:rPr>
      </w:pPr>
    </w:p>
    <w:p>
      <w:pPr>
        <w:pStyle w:val="BodyText"/>
        <w:spacing w:before="0"/>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43"/>
      </w:pPr>
      <w:r>
        <w:rPr/>
        <w:t>② 网织红细胞＜</w:t>
      </w:r>
      <w:r>
        <w:rPr>
          <w:rFonts w:ascii="Times New Roman" w:hAnsi="Times New Roman" w:eastAsia="Times New Roman"/>
        </w:rPr>
        <w:t>1%</w:t>
      </w:r>
      <w:r>
        <w:rPr/>
        <w:t>；</w:t>
      </w:r>
    </w:p>
    <w:p>
      <w:pPr>
        <w:pStyle w:val="BodyText"/>
        <w:ind w:left="0"/>
        <w:rPr>
          <w:sz w:val="15"/>
        </w:rPr>
      </w:pPr>
    </w:p>
    <w:p>
      <w:pPr>
        <w:pStyle w:val="BodyText"/>
        <w:spacing w:line="357" w:lineRule="auto" w:before="0"/>
        <w:ind w:left="536" w:right="6208"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/L。二十、主动脉手术</w:t>
      </w:r>
    </w:p>
    <w:p>
      <w:pPr>
        <w:pStyle w:val="BodyText"/>
        <w:spacing w:line="223" w:lineRule="exact" w:before="0"/>
        <w:ind w:left="534"/>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594" w:right="264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p>
      <w:pPr>
        <w:pStyle w:val="BodyText"/>
        <w:spacing w:before="22"/>
        <w:ind w:left="536"/>
      </w:pPr>
      <w:r>
        <w:rPr/>
        <w:t>二十一、1 型糖尿病</w:t>
      </w:r>
    </w:p>
    <w:p>
      <w:pPr>
        <w:pStyle w:val="BodyText"/>
        <w:spacing w:line="273" w:lineRule="auto" w:before="37"/>
        <w:ind w:left="114" w:right="205" w:firstLine="420"/>
        <w:jc w:val="both"/>
      </w:pPr>
      <w:r>
        <w:rPr>
          <w:spacing w:val="-7"/>
        </w:rPr>
        <w:t>持续胰岛素治疗 </w:t>
      </w:r>
      <w:r>
        <w:rPr/>
        <w:t>180</w:t>
      </w:r>
      <w:r>
        <w:rPr>
          <w:spacing w:val="-8"/>
        </w:rPr>
        <w:t> 天以上：又称为胰岛素依赖型糖尿病，指因严重的胰岛素缺乏导致的一组糖、脂</w:t>
      </w:r>
      <w:r>
        <w:rPr>
          <w:spacing w:val="-6"/>
        </w:rPr>
        <w:t>肪、蛋白质代谢异常综合症，并且须依赖外源性胰岛素进行机体的葡萄糖代谢和维持生命。本病须经专科</w:t>
      </w:r>
      <w:r>
        <w:rPr>
          <w:spacing w:val="-11"/>
        </w:rPr>
        <w:t>医生明确诊断，同时经血胰岛素测定、血 </w:t>
      </w:r>
      <w:r>
        <w:rPr/>
        <w:t>C</w:t>
      </w:r>
      <w:r>
        <w:rPr>
          <w:spacing w:val="-17"/>
        </w:rPr>
        <w:t> 肽测定或尿 </w:t>
      </w:r>
      <w:r>
        <w:rPr/>
        <w:t>C</w:t>
      </w:r>
      <w:r>
        <w:rPr>
          <w:spacing w:val="-8"/>
        </w:rPr>
        <w:t> 肽测定结果证实，并已经接受了持续的胰岛素治</w:t>
      </w:r>
      <w:r>
        <w:rPr>
          <w:spacing w:val="-32"/>
        </w:rPr>
        <w:t>疗 </w:t>
      </w:r>
      <w:r>
        <w:rPr/>
        <w:t>180</w:t>
      </w:r>
      <w:r>
        <w:rPr>
          <w:spacing w:val="-12"/>
        </w:rPr>
        <w:t> 天以上。</w:t>
      </w:r>
    </w:p>
    <w:p>
      <w:pPr>
        <w:pStyle w:val="BodyText"/>
        <w:ind w:left="536"/>
      </w:pPr>
      <w:r>
        <w:rPr/>
        <w:t>二十二、经输血导致的人类免疫缺陷病毒感染</w:t>
      </w:r>
    </w:p>
    <w:p>
      <w:pPr>
        <w:pStyle w:val="BodyText"/>
        <w:spacing w:line="273" w:lineRule="auto" w:before="36"/>
        <w:ind w:left="114" w:right="155" w:firstLine="420"/>
      </w:pPr>
      <w:r>
        <w:rPr/>
        <w:t>不包括任何因其他传播方式导致的人类免疫缺陷病毒感染：是指被保险人感染上人类免疫缺陷病毒并且符合下列所有条件：</w:t>
      </w:r>
    </w:p>
    <w:p>
      <w:pPr>
        <w:spacing w:after="0" w:line="273" w:lineRule="auto"/>
        <w:sectPr>
          <w:pgSz w:w="11900" w:h="16840"/>
          <w:pgMar w:header="0" w:footer="1028" w:top="1100" w:bottom="1260" w:left="1020" w:right="920"/>
        </w:sectPr>
      </w:pPr>
    </w:p>
    <w:p>
      <w:pPr>
        <w:pStyle w:val="BodyText"/>
        <w:spacing w:line="273" w:lineRule="auto" w:before="19"/>
        <w:ind w:right="203" w:firstLine="420"/>
      </w:pPr>
      <w:r>
        <w:rPr/>
        <w:t>（1）在保障起始日或复效日之后，被保险人因治疗必需而接受输血，并且因输血而感染人类免疫缺陷病毒；</w:t>
      </w:r>
    </w:p>
    <w:p>
      <w:pPr>
        <w:pStyle w:val="BodyText"/>
        <w:spacing w:line="273" w:lineRule="auto"/>
        <w:ind w:right="203" w:firstLine="420"/>
      </w:pPr>
      <w:r>
        <w:rPr/>
        <w:t>（2）提供输血治疗的输血中心或医院出具该项输血感染属医疗责任事故的报告，或者法院终审裁定为医疗责任并且不准上诉；</w:t>
      </w:r>
    </w:p>
    <w:p>
      <w:pPr>
        <w:pStyle w:val="BodyText"/>
        <w:ind w:left="533"/>
      </w:pPr>
      <w:r>
        <w:rPr/>
        <w:t>（3）提供输血治疗的输血中心或医院必须拥有合法经营执照；</w:t>
      </w:r>
    </w:p>
    <w:p>
      <w:pPr>
        <w:pStyle w:val="BodyText"/>
        <w:spacing w:before="37"/>
        <w:ind w:left="533"/>
      </w:pPr>
      <w:r>
        <w:rPr/>
        <w:t>（4）受感染的被保险人不是血友病患者；</w:t>
      </w:r>
    </w:p>
    <w:p>
      <w:pPr>
        <w:spacing w:line="237" w:lineRule="auto" w:before="16"/>
        <w:ind w:left="113" w:right="205" w:firstLine="480"/>
        <w:jc w:val="left"/>
        <w:rPr>
          <w:rFonts w:ascii="黑体" w:eastAsia="黑体" w:hint="eastAsia"/>
          <w:sz w:val="24"/>
        </w:rPr>
      </w:pPr>
      <w:r>
        <w:rPr>
          <w:rFonts w:ascii="黑体" w:eastAsia="黑体" w:hint="eastAsia"/>
          <w:sz w:val="24"/>
        </w:rPr>
        <w:t>在任何治愈艾滋病或阻止人类免疫缺陷病毒作用的疗法被发现以后，或能防止艾滋病发Th的医疗方法被研究出来以后，本保障将不再予以赔付。</w:t>
      </w:r>
    </w:p>
    <w:p>
      <w:pPr>
        <w:spacing w:line="237" w:lineRule="auto" w:before="1"/>
        <w:ind w:left="113" w:right="205" w:firstLine="480"/>
        <w:jc w:val="left"/>
        <w:rPr>
          <w:rFonts w:ascii="黑体" w:eastAsia="黑体" w:hint="eastAsia"/>
          <w:sz w:val="24"/>
        </w:rPr>
      </w:pPr>
      <w:r>
        <w:rPr>
          <w:rFonts w:ascii="黑体" w:eastAsia="黑体" w:hint="eastAsia"/>
          <w:sz w:val="24"/>
        </w:rPr>
        <w:t>任何因其他传播方式（包括：性传播或静脉注射毒品）导致的人类免疫缺陷病毒感染不在本附加合同保障范围内。</w:t>
      </w:r>
    </w:p>
    <w:p>
      <w:pPr>
        <w:pStyle w:val="BodyText"/>
        <w:spacing w:line="273" w:lineRule="auto" w:before="22"/>
        <w:ind w:left="526" w:right="605" w:firstLine="7"/>
      </w:pPr>
      <w:r>
        <w:rPr/>
        <w:t>保险公司必须拥有获得使用被保险人的血液样本的权利和能够对这些样本进行独立检验的权利。二十三、川崎病</w:t>
      </w:r>
    </w:p>
    <w:p>
      <w:pPr>
        <w:pStyle w:val="BodyText"/>
        <w:spacing w:line="259" w:lineRule="auto"/>
        <w:ind w:right="101" w:firstLine="420"/>
      </w:pPr>
      <w:r>
        <w:rPr>
          <w:spacing w:val="-12"/>
        </w:rPr>
        <w:t>临床表现为发热、结膜炎、颈部淋巴结肿大、皮疹及手</w:t>
      </w:r>
      <w:r>
        <w:rPr>
          <w:rFonts w:ascii="Arial" w:eastAsia="Arial"/>
        </w:rPr>
        <w:t>/</w:t>
      </w:r>
      <w:r>
        <w:rPr>
          <w:spacing w:val="-6"/>
        </w:rPr>
        <w:t>脚肿胀的血管炎。本病须经专科医生明确诊断， 同时须由血管造影和超声心动图检查证实，满足以下条件：</w:t>
      </w:r>
    </w:p>
    <w:p>
      <w:pPr>
        <w:pStyle w:val="BodyText"/>
        <w:spacing w:line="259" w:lineRule="auto" w:before="19"/>
        <w:ind w:right="205" w:firstLine="420"/>
      </w:pPr>
      <w:r>
        <w:rPr/>
        <w:t>包含因急性发作性血管炎持续 </w:t>
      </w:r>
      <w:r>
        <w:rPr>
          <w:rFonts w:ascii="Arial" w:eastAsia="Arial"/>
        </w:rPr>
        <w:t>6 </w:t>
      </w:r>
      <w:r>
        <w:rPr/>
        <w:t>个月导致血管瘤 </w:t>
      </w:r>
      <w:r>
        <w:rPr>
          <w:rFonts w:ascii="Arial" w:eastAsia="Arial"/>
        </w:rPr>
        <w:t>(Nakano II </w:t>
      </w:r>
      <w:r>
        <w:rPr/>
        <w:t>级</w:t>
      </w:r>
      <w:r>
        <w:rPr>
          <w:rFonts w:ascii="Arial" w:eastAsia="Arial"/>
        </w:rPr>
        <w:t>) </w:t>
      </w:r>
      <w:r>
        <w:rPr/>
        <w:t>的出现。</w:t>
      </w:r>
      <w:r>
        <w:rPr>
          <w:rFonts w:ascii="Arial" w:eastAsia="Arial"/>
        </w:rPr>
        <w:t>NakanoII </w:t>
      </w:r>
      <w:r>
        <w:rPr/>
        <w:t>级：可为单发、多发或广泛性，最大内径为 </w:t>
      </w:r>
      <w:r>
        <w:rPr>
          <w:rFonts w:ascii="Arial" w:eastAsia="Arial"/>
        </w:rPr>
        <w:t>4-8mm</w:t>
      </w:r>
      <w:r>
        <w:rPr/>
        <w:t>。</w:t>
      </w:r>
    </w:p>
    <w:p>
      <w:pPr>
        <w:pStyle w:val="BodyText"/>
        <w:spacing w:before="2"/>
        <w:ind w:left="536"/>
      </w:pPr>
      <w:r>
        <w:rPr/>
        <w:t>二十四、严重幼年性类风湿关节炎（斯蒂尔病）</w:t>
      </w:r>
    </w:p>
    <w:p>
      <w:pPr>
        <w:pStyle w:val="BodyText"/>
        <w:spacing w:line="273" w:lineRule="auto" w:before="36"/>
        <w:ind w:left="114" w:right="206" w:firstLine="420"/>
        <w:jc w:val="both"/>
      </w:pPr>
      <w:r>
        <w:rPr>
          <w:spacing w:val="-4"/>
        </w:rPr>
        <w:t>实施关节置换手术：又称为斯蒂尔病，指一种少儿的结缔组织病，以慢性关节炎为其主要特点，并伴有全身多个系统的受累，包括关节、肌肉、肝、脾、淋巴结等。本病须经专科医生明确诊断，同时须已经实施膝关节或髋关节置换手术。</w:t>
      </w:r>
    </w:p>
    <w:p>
      <w:pPr>
        <w:pStyle w:val="BodyText"/>
        <w:ind w:left="523"/>
      </w:pPr>
      <w:r>
        <w:rPr/>
        <w:t>二十五、终末期肺病</w:t>
      </w:r>
    </w:p>
    <w:p>
      <w:pPr>
        <w:pStyle w:val="BodyText"/>
        <w:spacing w:line="273" w:lineRule="auto" w:before="37"/>
        <w:ind w:left="523" w:right="204"/>
      </w:pPr>
      <w:r>
        <w:rPr/>
        <w:t>本保障是指被保险人必须经本公司认可的医院的呼吸科专科医师确诊患有终末期肺病而出现慢性呼吸功能衰竭，其诊断标准包括以下各项：</w:t>
      </w:r>
    </w:p>
    <w:p>
      <w:pPr>
        <w:pStyle w:val="BodyText"/>
        <w:spacing w:line="268" w:lineRule="exact" w:before="0"/>
        <w:ind w:left="472"/>
      </w:pPr>
      <w:r>
        <w:rPr/>
        <w:t>（</w:t>
      </w:r>
      <w:r>
        <w:rPr>
          <w:rFonts w:ascii="Arial" w:eastAsia="Arial"/>
        </w:rPr>
        <w:t>1</w:t>
      </w:r>
      <w:r>
        <w:rPr/>
        <w:t>）肺功能测试其 </w:t>
      </w:r>
      <w:r>
        <w:rPr>
          <w:rFonts w:ascii="Arial" w:eastAsia="Arial"/>
        </w:rPr>
        <w:t>FEV1 </w:t>
      </w:r>
      <w:r>
        <w:rPr/>
        <w:t>持续低于 </w:t>
      </w:r>
      <w:r>
        <w:rPr>
          <w:rFonts w:ascii="Arial" w:eastAsia="Arial"/>
        </w:rPr>
        <w:t>1 </w:t>
      </w:r>
      <w:r>
        <w:rPr/>
        <w:t>升。</w:t>
      </w:r>
    </w:p>
    <w:p>
      <w:pPr>
        <w:pStyle w:val="BodyText"/>
        <w:spacing w:line="272" w:lineRule="exact" w:before="0"/>
        <w:ind w:left="472"/>
      </w:pPr>
      <w:r>
        <w:rPr/>
        <w:t>（</w:t>
      </w:r>
      <w:r>
        <w:rPr>
          <w:rFonts w:ascii="Arial" w:eastAsia="Arial"/>
        </w:rPr>
        <w:t>2</w:t>
      </w:r>
      <w:r>
        <w:rPr/>
        <w:t>）病人血氧不足必须持续地进行输氧治疗。</w:t>
      </w:r>
    </w:p>
    <w:p>
      <w:pPr>
        <w:pStyle w:val="BodyText"/>
        <w:spacing w:line="272" w:lineRule="exact" w:before="0"/>
        <w:ind w:left="472"/>
      </w:pPr>
      <w:r>
        <w:rPr/>
        <w:t>（</w:t>
      </w:r>
      <w:r>
        <w:rPr>
          <w:rFonts w:ascii="Arial" w:eastAsia="Arial"/>
        </w:rPr>
        <w:t>3</w:t>
      </w:r>
      <w:r>
        <w:rPr/>
        <w:t>）动脉血气分析氧分压等于或低于 </w:t>
      </w:r>
      <w:r>
        <w:rPr>
          <w:rFonts w:ascii="Arial" w:eastAsia="Arial"/>
        </w:rPr>
        <w:t>55mmHg</w:t>
      </w:r>
      <w:r>
        <w:rPr/>
        <w:t>。</w:t>
      </w:r>
    </w:p>
    <w:p>
      <w:pPr>
        <w:pStyle w:val="BodyText"/>
        <w:spacing w:line="281" w:lineRule="exact" w:before="0"/>
        <w:ind w:left="472"/>
      </w:pPr>
      <w:r>
        <w:rPr/>
        <w:t>（</w:t>
      </w:r>
      <w:r>
        <w:rPr>
          <w:rFonts w:ascii="Arial" w:eastAsia="Arial"/>
        </w:rPr>
        <w:t>4</w:t>
      </w:r>
      <w:r>
        <w:rPr/>
        <w:t>）休息时出现呼吸困难。</w:t>
      </w:r>
    </w:p>
    <w:sectPr>
      <w:pgSz w:w="11900" w:h="16840"/>
      <w:pgMar w:header="0" w:footer="1028" w:top="1100" w:bottom="126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88.880005pt;margin-top:777.923035pt;width:16.55pt;height:15.35pt;mso-position-horizontal-relative:page;mso-position-vertical-relative:page;z-index:-12616" type="#_x0000_t202" filled="false" stroked="false">
          <v:textbox inset="0,0,0,0">
            <w:txbxContent>
              <w:p>
                <w:pPr>
                  <w:pStyle w:val="BodyText"/>
                  <w:spacing w:before="44"/>
                  <w:ind w:left="40"/>
                  <w:rPr>
                    <w:rFonts w:ascii="Times New Roman"/>
                  </w:rPr>
                </w:pPr>
                <w:r>
                  <w:rPr/>
                  <w:fldChar w:fldCharType="begin"/>
                </w:r>
                <w:r>
                  <w:rPr>
                    <w:rFonts w:ascii="Times New Roman"/>
                  </w:rPr>
                  <w:instrText> PAGE </w:instrText>
                </w:r>
                <w:r>
                  <w:rPr/>
                  <w:fldChar w:fldCharType="separate"/>
                </w:r>
                <w:r>
                  <w:rPr/>
                  <w:t>1</w:t>
                </w:r>
                <w:r>
                  <w:rPr/>
                  <w:fldChar w:fldCharType="end"/>
                </w:r>
                <w:r>
                  <w:rPr>
                    <w:rFonts w:ascii="Times New Roman"/>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decimal"/>
      <w:lvlText w:val="%1."/>
      <w:lvlJc w:val="left"/>
      <w:pPr>
        <w:ind w:left="594" w:hanging="480"/>
        <w:jc w:val="left"/>
      </w:pPr>
      <w:rPr>
        <w:rFonts w:hint="default" w:ascii="黑体" w:hAnsi="黑体" w:eastAsia="黑体" w:cs="黑体"/>
        <w:spacing w:val="0"/>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72" w:hanging="480"/>
      </w:pPr>
      <w:rPr>
        <w:rFonts w:hint="default"/>
      </w:rPr>
    </w:lvl>
    <w:lvl w:ilvl="3">
      <w:start w:val="0"/>
      <w:numFmt w:val="bullet"/>
      <w:lvlText w:val="•"/>
      <w:lvlJc w:val="left"/>
      <w:pPr>
        <w:ind w:left="3408" w:hanging="480"/>
      </w:pPr>
      <w:rPr>
        <w:rFonts w:hint="default"/>
      </w:rPr>
    </w:lvl>
    <w:lvl w:ilvl="4">
      <w:start w:val="0"/>
      <w:numFmt w:val="bullet"/>
      <w:lvlText w:val="•"/>
      <w:lvlJc w:val="left"/>
      <w:pPr>
        <w:ind w:left="4344"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216" w:hanging="480"/>
      </w:pPr>
      <w:rPr>
        <w:rFonts w:hint="default"/>
      </w:rPr>
    </w:lvl>
    <w:lvl w:ilvl="7">
      <w:start w:val="0"/>
      <w:numFmt w:val="bullet"/>
      <w:lvlText w:val="•"/>
      <w:lvlJc w:val="left"/>
      <w:pPr>
        <w:ind w:left="7152" w:hanging="480"/>
      </w:pPr>
      <w:rPr>
        <w:rFonts w:hint="default"/>
      </w:rPr>
    </w:lvl>
    <w:lvl w:ilvl="8">
      <w:start w:val="0"/>
      <w:numFmt w:val="bullet"/>
      <w:lvlText w:val="•"/>
      <w:lvlJc w:val="left"/>
      <w:pPr>
        <w:ind w:left="8088" w:hanging="480"/>
      </w:pPr>
      <w:rPr>
        <w:rFonts w:hint="default"/>
      </w:rPr>
    </w:lvl>
  </w:abstractNum>
  <w:abstractNum w:abstractNumId="4">
    <w:multiLevelType w:val="hybridMultilevel"/>
    <w:lvl w:ilvl="0">
      <w:start w:val="1"/>
      <w:numFmt w:val="decimal"/>
      <w:lvlText w:val="%1."/>
      <w:lvlJc w:val="left"/>
      <w:pPr>
        <w:ind w:left="798"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716" w:hanging="264"/>
      </w:pPr>
      <w:rPr>
        <w:rFonts w:hint="default"/>
      </w:rPr>
    </w:lvl>
    <w:lvl w:ilvl="2">
      <w:start w:val="0"/>
      <w:numFmt w:val="bullet"/>
      <w:lvlText w:val="•"/>
      <w:lvlJc w:val="left"/>
      <w:pPr>
        <w:ind w:left="2632" w:hanging="264"/>
      </w:pPr>
      <w:rPr>
        <w:rFonts w:hint="default"/>
      </w:rPr>
    </w:lvl>
    <w:lvl w:ilvl="3">
      <w:start w:val="0"/>
      <w:numFmt w:val="bullet"/>
      <w:lvlText w:val="•"/>
      <w:lvlJc w:val="left"/>
      <w:pPr>
        <w:ind w:left="3548" w:hanging="264"/>
      </w:pPr>
      <w:rPr>
        <w:rFonts w:hint="default"/>
      </w:rPr>
    </w:lvl>
    <w:lvl w:ilvl="4">
      <w:start w:val="0"/>
      <w:numFmt w:val="bullet"/>
      <w:lvlText w:val="•"/>
      <w:lvlJc w:val="left"/>
      <w:pPr>
        <w:ind w:left="4464" w:hanging="264"/>
      </w:pPr>
      <w:rPr>
        <w:rFonts w:hint="default"/>
      </w:rPr>
    </w:lvl>
    <w:lvl w:ilvl="5">
      <w:start w:val="0"/>
      <w:numFmt w:val="bullet"/>
      <w:lvlText w:val="•"/>
      <w:lvlJc w:val="left"/>
      <w:pPr>
        <w:ind w:left="5380" w:hanging="264"/>
      </w:pPr>
      <w:rPr>
        <w:rFonts w:hint="default"/>
      </w:rPr>
    </w:lvl>
    <w:lvl w:ilvl="6">
      <w:start w:val="0"/>
      <w:numFmt w:val="bullet"/>
      <w:lvlText w:val="•"/>
      <w:lvlJc w:val="left"/>
      <w:pPr>
        <w:ind w:left="6296" w:hanging="264"/>
      </w:pPr>
      <w:rPr>
        <w:rFonts w:hint="default"/>
      </w:rPr>
    </w:lvl>
    <w:lvl w:ilvl="7">
      <w:start w:val="0"/>
      <w:numFmt w:val="bullet"/>
      <w:lvlText w:val="•"/>
      <w:lvlJc w:val="left"/>
      <w:pPr>
        <w:ind w:left="7212" w:hanging="264"/>
      </w:pPr>
      <w:rPr>
        <w:rFonts w:hint="default"/>
      </w:rPr>
    </w:lvl>
    <w:lvl w:ilvl="8">
      <w:start w:val="0"/>
      <w:numFmt w:val="bullet"/>
      <w:lvlText w:val="•"/>
      <w:lvlJc w:val="left"/>
      <w:pPr>
        <w:ind w:left="8128" w:hanging="264"/>
      </w:pPr>
      <w:rPr>
        <w:rFonts w:hint="default"/>
      </w:rPr>
    </w:lvl>
  </w:abstractNum>
  <w:abstractNum w:abstractNumId="3">
    <w:multiLevelType w:val="hybridMultilevel"/>
    <w:lvl w:ilvl="0">
      <w:start w:val="1"/>
      <w:numFmt w:val="decimal"/>
      <w:lvlText w:val="%1."/>
      <w:lvlJc w:val="left"/>
      <w:pPr>
        <w:ind w:left="797"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708" w:hanging="264"/>
      </w:pPr>
      <w:rPr>
        <w:rFonts w:hint="default"/>
      </w:rPr>
    </w:lvl>
    <w:lvl w:ilvl="2">
      <w:start w:val="0"/>
      <w:numFmt w:val="bullet"/>
      <w:lvlText w:val="•"/>
      <w:lvlJc w:val="left"/>
      <w:pPr>
        <w:ind w:left="2616" w:hanging="264"/>
      </w:pPr>
      <w:rPr>
        <w:rFonts w:hint="default"/>
      </w:rPr>
    </w:lvl>
    <w:lvl w:ilvl="3">
      <w:start w:val="0"/>
      <w:numFmt w:val="bullet"/>
      <w:lvlText w:val="•"/>
      <w:lvlJc w:val="left"/>
      <w:pPr>
        <w:ind w:left="3524" w:hanging="264"/>
      </w:pPr>
      <w:rPr>
        <w:rFonts w:hint="default"/>
      </w:rPr>
    </w:lvl>
    <w:lvl w:ilvl="4">
      <w:start w:val="0"/>
      <w:numFmt w:val="bullet"/>
      <w:lvlText w:val="•"/>
      <w:lvlJc w:val="left"/>
      <w:pPr>
        <w:ind w:left="4432" w:hanging="264"/>
      </w:pPr>
      <w:rPr>
        <w:rFonts w:hint="default"/>
      </w:rPr>
    </w:lvl>
    <w:lvl w:ilvl="5">
      <w:start w:val="0"/>
      <w:numFmt w:val="bullet"/>
      <w:lvlText w:val="•"/>
      <w:lvlJc w:val="left"/>
      <w:pPr>
        <w:ind w:left="5340" w:hanging="264"/>
      </w:pPr>
      <w:rPr>
        <w:rFonts w:hint="default"/>
      </w:rPr>
    </w:lvl>
    <w:lvl w:ilvl="6">
      <w:start w:val="0"/>
      <w:numFmt w:val="bullet"/>
      <w:lvlText w:val="•"/>
      <w:lvlJc w:val="left"/>
      <w:pPr>
        <w:ind w:left="6248" w:hanging="264"/>
      </w:pPr>
      <w:rPr>
        <w:rFonts w:hint="default"/>
      </w:rPr>
    </w:lvl>
    <w:lvl w:ilvl="7">
      <w:start w:val="0"/>
      <w:numFmt w:val="bullet"/>
      <w:lvlText w:val="•"/>
      <w:lvlJc w:val="left"/>
      <w:pPr>
        <w:ind w:left="7156" w:hanging="264"/>
      </w:pPr>
      <w:rPr>
        <w:rFonts w:hint="default"/>
      </w:rPr>
    </w:lvl>
    <w:lvl w:ilvl="8">
      <w:start w:val="0"/>
      <w:numFmt w:val="bullet"/>
      <w:lvlText w:val="•"/>
      <w:lvlJc w:val="left"/>
      <w:pPr>
        <w:ind w:left="8064" w:hanging="264"/>
      </w:pPr>
      <w:rPr>
        <w:rFonts w:hint="default"/>
      </w:rPr>
    </w:lvl>
  </w:abstractNum>
  <w:abstractNum w:abstractNumId="2">
    <w:multiLevelType w:val="hybridMultilevel"/>
    <w:lvl w:ilvl="0">
      <w:start w:val="1"/>
      <w:numFmt w:val="decimal"/>
      <w:lvlText w:val="%1."/>
      <w:lvlJc w:val="left"/>
      <w:pPr>
        <w:ind w:left="797"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716" w:hanging="264"/>
      </w:pPr>
      <w:rPr>
        <w:rFonts w:hint="default"/>
      </w:rPr>
    </w:lvl>
    <w:lvl w:ilvl="2">
      <w:start w:val="0"/>
      <w:numFmt w:val="bullet"/>
      <w:lvlText w:val="•"/>
      <w:lvlJc w:val="left"/>
      <w:pPr>
        <w:ind w:left="2632" w:hanging="264"/>
      </w:pPr>
      <w:rPr>
        <w:rFonts w:hint="default"/>
      </w:rPr>
    </w:lvl>
    <w:lvl w:ilvl="3">
      <w:start w:val="0"/>
      <w:numFmt w:val="bullet"/>
      <w:lvlText w:val="•"/>
      <w:lvlJc w:val="left"/>
      <w:pPr>
        <w:ind w:left="3548" w:hanging="264"/>
      </w:pPr>
      <w:rPr>
        <w:rFonts w:hint="default"/>
      </w:rPr>
    </w:lvl>
    <w:lvl w:ilvl="4">
      <w:start w:val="0"/>
      <w:numFmt w:val="bullet"/>
      <w:lvlText w:val="•"/>
      <w:lvlJc w:val="left"/>
      <w:pPr>
        <w:ind w:left="4464" w:hanging="264"/>
      </w:pPr>
      <w:rPr>
        <w:rFonts w:hint="default"/>
      </w:rPr>
    </w:lvl>
    <w:lvl w:ilvl="5">
      <w:start w:val="0"/>
      <w:numFmt w:val="bullet"/>
      <w:lvlText w:val="•"/>
      <w:lvlJc w:val="left"/>
      <w:pPr>
        <w:ind w:left="5380" w:hanging="264"/>
      </w:pPr>
      <w:rPr>
        <w:rFonts w:hint="default"/>
      </w:rPr>
    </w:lvl>
    <w:lvl w:ilvl="6">
      <w:start w:val="0"/>
      <w:numFmt w:val="bullet"/>
      <w:lvlText w:val="•"/>
      <w:lvlJc w:val="left"/>
      <w:pPr>
        <w:ind w:left="6296" w:hanging="264"/>
      </w:pPr>
      <w:rPr>
        <w:rFonts w:hint="default"/>
      </w:rPr>
    </w:lvl>
    <w:lvl w:ilvl="7">
      <w:start w:val="0"/>
      <w:numFmt w:val="bullet"/>
      <w:lvlText w:val="•"/>
      <w:lvlJc w:val="left"/>
      <w:pPr>
        <w:ind w:left="7212" w:hanging="264"/>
      </w:pPr>
      <w:rPr>
        <w:rFonts w:hint="default"/>
      </w:rPr>
    </w:lvl>
    <w:lvl w:ilvl="8">
      <w:start w:val="0"/>
      <w:numFmt w:val="bullet"/>
      <w:lvlText w:val="•"/>
      <w:lvlJc w:val="left"/>
      <w:pPr>
        <w:ind w:left="8128" w:hanging="264"/>
      </w:pPr>
      <w:rPr>
        <w:rFonts w:hint="default"/>
      </w:rPr>
    </w:lvl>
  </w:abstractNum>
  <w:abstractNum w:abstractNumId="1">
    <w:multiLevelType w:val="hybridMultilevel"/>
    <w:lvl w:ilvl="0">
      <w:start w:val="1"/>
      <w:numFmt w:val="decimal"/>
      <w:lvlText w:val="%1."/>
      <w:lvlJc w:val="left"/>
      <w:pPr>
        <w:ind w:left="594" w:hanging="480"/>
        <w:jc w:val="left"/>
      </w:pPr>
      <w:rPr>
        <w:rFonts w:hint="default" w:ascii="黑体" w:hAnsi="黑体" w:eastAsia="黑体" w:cs="黑体"/>
        <w:spacing w:val="0"/>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72" w:hanging="480"/>
      </w:pPr>
      <w:rPr>
        <w:rFonts w:hint="default"/>
      </w:rPr>
    </w:lvl>
    <w:lvl w:ilvl="3">
      <w:start w:val="0"/>
      <w:numFmt w:val="bullet"/>
      <w:lvlText w:val="•"/>
      <w:lvlJc w:val="left"/>
      <w:pPr>
        <w:ind w:left="3408" w:hanging="480"/>
      </w:pPr>
      <w:rPr>
        <w:rFonts w:hint="default"/>
      </w:rPr>
    </w:lvl>
    <w:lvl w:ilvl="4">
      <w:start w:val="0"/>
      <w:numFmt w:val="bullet"/>
      <w:lvlText w:val="•"/>
      <w:lvlJc w:val="left"/>
      <w:pPr>
        <w:ind w:left="4344"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216" w:hanging="480"/>
      </w:pPr>
      <w:rPr>
        <w:rFonts w:hint="default"/>
      </w:rPr>
    </w:lvl>
    <w:lvl w:ilvl="7">
      <w:start w:val="0"/>
      <w:numFmt w:val="bullet"/>
      <w:lvlText w:val="•"/>
      <w:lvlJc w:val="left"/>
      <w:pPr>
        <w:ind w:left="7152" w:hanging="480"/>
      </w:pPr>
      <w:rPr>
        <w:rFonts w:hint="default"/>
      </w:rPr>
    </w:lvl>
    <w:lvl w:ilvl="8">
      <w:start w:val="0"/>
      <w:numFmt w:val="bullet"/>
      <w:lvlText w:val="•"/>
      <w:lvlJc w:val="left"/>
      <w:pPr>
        <w:ind w:left="8088" w:hanging="480"/>
      </w:pPr>
      <w:rPr>
        <w:rFonts w:hint="default"/>
      </w:rPr>
    </w:lvl>
  </w:abstractNum>
  <w:abstractNum w:abstractNumId="0">
    <w:multiLevelType w:val="hybridMultilevel"/>
    <w:lvl w:ilvl="0">
      <w:start w:val="1"/>
      <w:numFmt w:val="decimal"/>
      <w:lvlText w:val="%1."/>
      <w:lvlJc w:val="left"/>
      <w:pPr>
        <w:ind w:left="534" w:hanging="420"/>
        <w:jc w:val="left"/>
      </w:pPr>
      <w:rPr>
        <w:rFonts w:hint="default" w:ascii="Times New Roman" w:hAnsi="Times New Roman" w:eastAsia="Times New Roman" w:cs="Times New Roman"/>
        <w:b/>
        <w:bCs/>
        <w:w w:val="100"/>
        <w:sz w:val="24"/>
        <w:szCs w:val="24"/>
      </w:rPr>
    </w:lvl>
    <w:lvl w:ilvl="1">
      <w:start w:val="1"/>
      <w:numFmt w:val="decimal"/>
      <w:lvlText w:val="%1.%2."/>
      <w:lvlJc w:val="left"/>
      <w:pPr>
        <w:ind w:left="954" w:hanging="63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48" w:hanging="630"/>
      </w:pPr>
      <w:rPr>
        <w:rFonts w:hint="default"/>
      </w:rPr>
    </w:lvl>
    <w:lvl w:ilvl="3">
      <w:start w:val="0"/>
      <w:numFmt w:val="bullet"/>
      <w:lvlText w:val="•"/>
      <w:lvlJc w:val="left"/>
      <w:pPr>
        <w:ind w:left="2937" w:hanging="630"/>
      </w:pPr>
      <w:rPr>
        <w:rFonts w:hint="default"/>
      </w:rPr>
    </w:lvl>
    <w:lvl w:ilvl="4">
      <w:start w:val="0"/>
      <w:numFmt w:val="bullet"/>
      <w:lvlText w:val="•"/>
      <w:lvlJc w:val="left"/>
      <w:pPr>
        <w:ind w:left="3926" w:hanging="630"/>
      </w:pPr>
      <w:rPr>
        <w:rFonts w:hint="default"/>
      </w:rPr>
    </w:lvl>
    <w:lvl w:ilvl="5">
      <w:start w:val="0"/>
      <w:numFmt w:val="bullet"/>
      <w:lvlText w:val="•"/>
      <w:lvlJc w:val="left"/>
      <w:pPr>
        <w:ind w:left="4915" w:hanging="630"/>
      </w:pPr>
      <w:rPr>
        <w:rFonts w:hint="default"/>
      </w:rPr>
    </w:lvl>
    <w:lvl w:ilvl="6">
      <w:start w:val="0"/>
      <w:numFmt w:val="bullet"/>
      <w:lvlText w:val="•"/>
      <w:lvlJc w:val="left"/>
      <w:pPr>
        <w:ind w:left="5904" w:hanging="630"/>
      </w:pPr>
      <w:rPr>
        <w:rFonts w:hint="default"/>
      </w:rPr>
    </w:lvl>
    <w:lvl w:ilvl="7">
      <w:start w:val="0"/>
      <w:numFmt w:val="bullet"/>
      <w:lvlText w:val="•"/>
      <w:lvlJc w:val="left"/>
      <w:pPr>
        <w:ind w:left="6893" w:hanging="630"/>
      </w:pPr>
      <w:rPr>
        <w:rFonts w:hint="default"/>
      </w:rPr>
    </w:lvl>
    <w:lvl w:ilvl="8">
      <w:start w:val="0"/>
      <w:numFmt w:val="bullet"/>
      <w:lvlText w:val="•"/>
      <w:lvlJc w:val="left"/>
      <w:pPr>
        <w:ind w:left="7882" w:hanging="63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16"/>
      <w:ind w:left="534" w:hanging="420"/>
    </w:pPr>
    <w:rPr>
      <w:rFonts w:ascii="宋体" w:hAnsi="宋体" w:eastAsia="宋体" w:cs="宋体"/>
      <w:sz w:val="24"/>
      <w:szCs w:val="24"/>
    </w:rPr>
  </w:style>
  <w:style w:styleId="TOC2" w:type="paragraph">
    <w:name w:val="TOC 2"/>
    <w:basedOn w:val="Normal"/>
    <w:uiPriority w:val="1"/>
    <w:qFormat/>
    <w:pPr>
      <w:spacing w:before="20"/>
      <w:ind w:left="953" w:hanging="630"/>
    </w:pPr>
    <w:rPr>
      <w:rFonts w:ascii="宋体" w:hAnsi="宋体" w:eastAsia="宋体" w:cs="宋体"/>
      <w:sz w:val="21"/>
      <w:szCs w:val="21"/>
    </w:rPr>
  </w:style>
  <w:style w:styleId="BodyText" w:type="paragraph">
    <w:name w:val="Body Text"/>
    <w:basedOn w:val="Normal"/>
    <w:uiPriority w:val="1"/>
    <w:qFormat/>
    <w:pPr>
      <w:spacing w:before="7"/>
      <w:ind w:left="113"/>
    </w:pPr>
    <w:rPr>
      <w:rFonts w:ascii="宋体" w:hAnsi="宋体" w:eastAsia="宋体" w:cs="宋体"/>
      <w:sz w:val="21"/>
      <w:szCs w:val="21"/>
    </w:rPr>
  </w:style>
  <w:style w:styleId="Heading1" w:type="paragraph">
    <w:name w:val="Heading 1"/>
    <w:basedOn w:val="Normal"/>
    <w:uiPriority w:val="1"/>
    <w:qFormat/>
    <w:pPr>
      <w:ind w:left="594"/>
      <w:outlineLvl w:val="1"/>
    </w:pPr>
    <w:rPr>
      <w:rFonts w:ascii="黑体" w:hAnsi="黑体" w:eastAsia="黑体" w:cs="黑体"/>
      <w:sz w:val="24"/>
      <w:szCs w:val="24"/>
    </w:rPr>
  </w:style>
  <w:style w:styleId="Heading2" w:type="paragraph">
    <w:name w:val="Heading 2"/>
    <w:basedOn w:val="Normal"/>
    <w:uiPriority w:val="1"/>
    <w:qFormat/>
    <w:pPr>
      <w:spacing w:before="64"/>
      <w:ind w:left="594" w:hanging="480"/>
      <w:outlineLvl w:val="2"/>
    </w:pPr>
    <w:rPr>
      <w:rFonts w:ascii="黑体" w:hAnsi="黑体" w:eastAsia="黑体" w:cs="黑体"/>
      <w:sz w:val="22"/>
      <w:szCs w:val="22"/>
    </w:rPr>
  </w:style>
  <w:style w:styleId="ListParagraph" w:type="paragraph">
    <w:name w:val="List Paragraph"/>
    <w:basedOn w:val="Normal"/>
    <w:uiPriority w:val="1"/>
    <w:qFormat/>
    <w:pPr>
      <w:spacing w:before="20"/>
      <w:ind w:left="594" w:hanging="480"/>
    </w:pPr>
    <w:rPr>
      <w:rFonts w:ascii="宋体" w:hAnsi="宋体" w:eastAsia="宋体" w:cs="宋体"/>
    </w:rPr>
  </w:style>
  <w:style w:styleId="TableParagraph" w:type="paragraph">
    <w:name w:val="Table Paragraph"/>
    <w:basedOn w:val="Normal"/>
    <w:uiPriority w:val="1"/>
    <w:qFormat/>
    <w:pPr>
      <w:spacing w:before="141"/>
      <w:ind w:left="129"/>
      <w:jc w:val="center"/>
    </w:pPr>
    <w:rPr>
      <w:rFonts w:ascii="黑体" w:hAnsi="黑体" w:eastAsia="黑体" w:cs="黑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&lt;4D6963726F736F667420576F7264202D20BAE3B0B2B1EAD7BCB8BDBCD3C9D9B6F9D6D8B4F3BCB2B2A1B1A3CFD55F56312E315F3230303931303031D0C2B1A3CFD5B7A85F46696E616C2E646F63&gt;</dc:title>
  <dcterms:created xsi:type="dcterms:W3CDTF">2018-10-19T21:29:46Z</dcterms:created>
  <dcterms:modified xsi:type="dcterms:W3CDTF">2018-10-19T21:29:46Z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5.2.2</vt:lpwstr>
  </property>
  <property fmtid="{D5CDD505-2E9C-101B-9397-08002B2CF9AE}" pid="4" name="LastSaved">
    <vt:filetime>2018-10-19T00:00:00Z</vt:filetime>
  </property>
</Properties>
</file>