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29"/>
        </w:rPr>
      </w:pPr>
    </w:p>
    <w:p>
      <w:pPr>
        <w:pStyle w:val="BodyText"/>
        <w:spacing w:before="37"/>
        <w:ind w:right="119"/>
        <w:jc w:val="right"/>
      </w:pPr>
      <w:r>
        <w:rPr/>
        <w:t>中航三星人寿[2010]疾病保险 009 号</w:t>
      </w:r>
    </w:p>
    <w:p>
      <w:pPr>
        <w:spacing w:before="146"/>
        <w:ind w:left="1170" w:right="1170" w:firstLine="0"/>
        <w:jc w:val="center"/>
        <w:rPr>
          <w:b/>
          <w:sz w:val="32"/>
        </w:rPr>
      </w:pPr>
      <w:r>
        <w:rPr/>
        <w:drawing>
          <wp:anchor distT="0" distB="0" distL="0" distR="0" allowOverlap="1" layoutInCell="1" locked="0" behindDoc="0" simplePos="0" relativeHeight="0">
            <wp:simplePos x="0" y="0"/>
            <wp:positionH relativeFrom="page">
              <wp:posOffset>5648325</wp:posOffset>
            </wp:positionH>
            <wp:positionV relativeFrom="paragraph">
              <wp:posOffset>108679</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b/>
          <w:w w:val="95"/>
          <w:sz w:val="32"/>
        </w:rPr>
        <w:t>中航三星人寿保险有限公司</w:t>
      </w:r>
    </w:p>
    <w:p>
      <w:pPr>
        <w:spacing w:before="130"/>
        <w:ind w:left="1170" w:right="1171" w:firstLine="0"/>
        <w:jc w:val="center"/>
        <w:rPr>
          <w:b/>
          <w:sz w:val="24"/>
        </w:rPr>
      </w:pPr>
      <w:r>
        <w:rPr>
          <w:b/>
          <w:w w:val="95"/>
          <w:sz w:val="24"/>
        </w:rPr>
        <w:t>中航三星终身团体重大疾病保险条款</w:t>
      </w:r>
    </w:p>
    <w:p>
      <w:pPr>
        <w:spacing w:before="29"/>
        <w:ind w:left="1170" w:right="1166" w:firstLine="0"/>
        <w:jc w:val="center"/>
        <w:rPr>
          <w:b/>
          <w:sz w:val="24"/>
        </w:rPr>
      </w:pPr>
      <w:r>
        <w:rPr>
          <w:b/>
          <w:sz w:val="24"/>
        </w:rPr>
        <w:t>（2010 年 4 月）</w:t>
      </w:r>
    </w:p>
    <w:p>
      <w:pPr>
        <w:pStyle w:val="BodyText"/>
        <w:spacing w:before="208"/>
        <w:ind w:right="215"/>
        <w:jc w:val="right"/>
      </w:pPr>
      <w:r>
        <w:rPr/>
        <w:t>请扫描以查询验证条款</w:t>
      </w:r>
    </w:p>
    <w:p>
      <w:pPr>
        <w:spacing w:before="51"/>
        <w:ind w:left="1170" w:right="1171" w:firstLine="0"/>
        <w:jc w:val="center"/>
        <w:rPr>
          <w:b/>
          <w:sz w:val="21"/>
        </w:rPr>
      </w:pPr>
      <w:r>
        <w:rPr>
          <w:b/>
          <w:sz w:val="21"/>
        </w:rPr>
        <w:t>在阅读条款正文之前，浏览一下条款目录有助于对条款结构有一个大致了解。</w:t>
      </w:r>
    </w:p>
    <w:p>
      <w:pPr>
        <w:pStyle w:val="BodyText"/>
        <w:spacing w:before="4"/>
        <w:rPr>
          <w:b/>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5"/>
        <w:gridCol w:w="3244"/>
        <w:gridCol w:w="1633"/>
        <w:gridCol w:w="3028"/>
      </w:tblGrid>
      <w:tr>
        <w:trPr>
          <w:trHeight w:val="434" w:hRule="atLeast"/>
        </w:trPr>
        <w:tc>
          <w:tcPr>
            <w:tcW w:w="9320" w:type="dxa"/>
            <w:gridSpan w:val="4"/>
            <w:shd w:val="clear" w:color="auto" w:fill="CCCCCC"/>
          </w:tcPr>
          <w:p>
            <w:pPr>
              <w:pStyle w:val="TableParagraph"/>
              <w:spacing w:before="47"/>
              <w:ind w:left="4219" w:right="4216"/>
              <w:jc w:val="center"/>
              <w:rPr>
                <w:b/>
                <w:sz w:val="21"/>
              </w:rPr>
            </w:pPr>
            <w:r>
              <w:rPr>
                <w:b/>
                <w:sz w:val="21"/>
              </w:rPr>
              <w:t>条款目录</w:t>
            </w:r>
          </w:p>
        </w:tc>
      </w:tr>
      <w:tr>
        <w:trPr>
          <w:trHeight w:val="388" w:hRule="atLeast"/>
        </w:trPr>
        <w:tc>
          <w:tcPr>
            <w:tcW w:w="1415" w:type="dxa"/>
          </w:tcPr>
          <w:p>
            <w:pPr>
              <w:pStyle w:val="TableParagraph"/>
              <w:spacing w:before="47"/>
              <w:rPr>
                <w:b/>
                <w:sz w:val="21"/>
              </w:rPr>
            </w:pPr>
            <w:r>
              <w:rPr>
                <w:b/>
                <w:sz w:val="21"/>
              </w:rPr>
              <w:t>第一章</w:t>
            </w:r>
          </w:p>
        </w:tc>
        <w:tc>
          <w:tcPr>
            <w:tcW w:w="3244" w:type="dxa"/>
            <w:tcBorders>
              <w:right w:val="single" w:sz="4" w:space="0" w:color="000000"/>
            </w:tcBorders>
          </w:tcPr>
          <w:p>
            <w:pPr>
              <w:pStyle w:val="TableParagraph"/>
              <w:spacing w:before="47"/>
              <w:ind w:left="66"/>
              <w:rPr>
                <w:b/>
                <w:sz w:val="21"/>
              </w:rPr>
            </w:pPr>
            <w:r>
              <w:rPr>
                <w:b/>
                <w:sz w:val="21"/>
              </w:rPr>
              <w:t>保险合同构成与投保范围</w:t>
            </w:r>
          </w:p>
        </w:tc>
        <w:tc>
          <w:tcPr>
            <w:tcW w:w="1633" w:type="dxa"/>
            <w:vMerge w:val="restart"/>
            <w:tcBorders>
              <w:left w:val="single" w:sz="4" w:space="0" w:color="000000"/>
            </w:tcBorders>
          </w:tcPr>
          <w:p>
            <w:pPr>
              <w:pStyle w:val="TableParagraph"/>
              <w:spacing w:line="300" w:lineRule="auto" w:before="47"/>
              <w:ind w:left="523" w:right="48"/>
              <w:jc w:val="both"/>
              <w:rPr>
                <w:sz w:val="21"/>
              </w:rPr>
            </w:pPr>
            <w:r>
              <w:rPr>
                <w:sz w:val="21"/>
              </w:rPr>
              <w:t>第二十一条第二十二条第二十三条第二十四条第二十五条第二十六条第二十七条</w:t>
            </w:r>
          </w:p>
          <w:p>
            <w:pPr>
              <w:pStyle w:val="TableParagraph"/>
              <w:spacing w:before="15"/>
              <w:ind w:left="103"/>
              <w:rPr>
                <w:b/>
                <w:sz w:val="21"/>
              </w:rPr>
            </w:pPr>
            <w:r>
              <w:rPr>
                <w:b/>
                <w:sz w:val="21"/>
              </w:rPr>
              <w:t>第七章</w:t>
            </w:r>
          </w:p>
          <w:p>
            <w:pPr>
              <w:pStyle w:val="TableParagraph"/>
              <w:spacing w:line="300" w:lineRule="auto" w:before="68"/>
              <w:ind w:left="523" w:right="48"/>
              <w:rPr>
                <w:sz w:val="21"/>
              </w:rPr>
            </w:pPr>
            <w:r>
              <w:rPr>
                <w:sz w:val="21"/>
              </w:rPr>
              <w:t>第二十八条一</w:t>
            </w:r>
          </w:p>
          <w:p>
            <w:pPr>
              <w:pStyle w:val="TableParagraph"/>
              <w:spacing w:line="300" w:lineRule="auto" w:before="16"/>
              <w:ind w:left="523" w:right="679"/>
              <w:rPr>
                <w:sz w:val="21"/>
              </w:rPr>
            </w:pPr>
            <w:r>
              <w:rPr>
                <w:sz w:val="21"/>
              </w:rPr>
              <w:t>二 三 四 五 六 七 八 九 十 十一十二十三十四十五</w:t>
            </w:r>
          </w:p>
          <w:p>
            <w:pPr>
              <w:pStyle w:val="TableParagraph"/>
              <w:spacing w:before="6"/>
              <w:ind w:left="0"/>
              <w:rPr>
                <w:b/>
                <w:sz w:val="27"/>
              </w:rPr>
            </w:pPr>
          </w:p>
          <w:p>
            <w:pPr>
              <w:pStyle w:val="TableParagraph"/>
              <w:spacing w:line="300" w:lineRule="auto"/>
              <w:ind w:left="523" w:right="679"/>
              <w:jc w:val="both"/>
              <w:rPr>
                <w:sz w:val="21"/>
              </w:rPr>
            </w:pPr>
            <w:r>
              <w:rPr>
                <w:sz w:val="21"/>
              </w:rPr>
              <w:t>十六十七十八</w:t>
            </w:r>
          </w:p>
        </w:tc>
        <w:tc>
          <w:tcPr>
            <w:tcW w:w="3028" w:type="dxa"/>
            <w:vMerge w:val="restart"/>
          </w:tcPr>
          <w:p>
            <w:pPr>
              <w:pStyle w:val="TableParagraph"/>
              <w:spacing w:line="300" w:lineRule="auto" w:before="47"/>
              <w:ind w:left="52" w:right="661"/>
              <w:rPr>
                <w:sz w:val="21"/>
              </w:rPr>
            </w:pPr>
            <w:r>
              <w:rPr>
                <w:sz w:val="21"/>
              </w:rPr>
              <w:t>本公司合同解除权的限制年龄错误</w:t>
            </w:r>
          </w:p>
          <w:p>
            <w:pPr>
              <w:pStyle w:val="TableParagraph"/>
              <w:spacing w:line="300" w:lineRule="auto" w:before="16"/>
              <w:ind w:left="52" w:right="2133"/>
              <w:rPr>
                <w:b/>
                <w:sz w:val="21"/>
              </w:rPr>
            </w:pPr>
            <w:r>
              <w:rPr>
                <w:sz w:val="21"/>
              </w:rPr>
              <w:t>犹 豫 期 受 益 人 资料提供司法鉴定争议处理</w:t>
            </w:r>
            <w:r>
              <w:rPr>
                <w:b/>
                <w:sz w:val="21"/>
              </w:rPr>
              <w:t>释义</w:t>
            </w:r>
          </w:p>
          <w:p>
            <w:pPr>
              <w:pStyle w:val="TableParagraph"/>
              <w:spacing w:line="300" w:lineRule="auto" w:before="16"/>
              <w:ind w:left="52" w:right="2342"/>
              <w:rPr>
                <w:sz w:val="21"/>
              </w:rPr>
            </w:pPr>
            <w:r>
              <w:rPr>
                <w:sz w:val="21"/>
              </w:rPr>
              <w:t>释 义 本公司团 体 医院</w:t>
            </w:r>
          </w:p>
          <w:p>
            <w:pPr>
              <w:pStyle w:val="TableParagraph"/>
              <w:spacing w:line="300" w:lineRule="auto" w:before="16"/>
              <w:ind w:left="52" w:right="2133"/>
              <w:jc w:val="both"/>
              <w:rPr>
                <w:sz w:val="21"/>
              </w:rPr>
            </w:pPr>
            <w:r>
              <w:rPr>
                <w:sz w:val="21"/>
              </w:rPr>
              <w:t>重大疾病意外伤害毒品</w:t>
            </w:r>
          </w:p>
          <w:p>
            <w:pPr>
              <w:pStyle w:val="TableParagraph"/>
              <w:spacing w:before="16"/>
              <w:ind w:left="52"/>
              <w:rPr>
                <w:sz w:val="21"/>
              </w:rPr>
            </w:pPr>
            <w:r>
              <w:rPr>
                <w:sz w:val="21"/>
              </w:rPr>
              <w:t>酒后驾驶</w:t>
            </w:r>
          </w:p>
          <w:p>
            <w:pPr>
              <w:pStyle w:val="TableParagraph"/>
              <w:spacing w:line="300" w:lineRule="auto" w:before="68"/>
              <w:ind w:left="52" w:right="873"/>
              <w:rPr>
                <w:sz w:val="21"/>
              </w:rPr>
            </w:pPr>
            <w:r>
              <w:rPr>
                <w:sz w:val="21"/>
              </w:rPr>
              <w:t>无合法有效驾驶证驾驶无有效行驶证</w:t>
            </w:r>
          </w:p>
          <w:p>
            <w:pPr>
              <w:pStyle w:val="TableParagraph"/>
              <w:spacing w:line="300" w:lineRule="auto" w:before="15"/>
              <w:ind w:left="52" w:right="30"/>
              <w:rPr>
                <w:sz w:val="21"/>
              </w:rPr>
            </w:pPr>
            <w:r>
              <w:rPr>
                <w:sz w:val="21"/>
              </w:rPr>
              <w:t>先天性畸形、变形或染色体异常现金价值</w:t>
            </w:r>
          </w:p>
          <w:p>
            <w:pPr>
              <w:pStyle w:val="TableParagraph"/>
              <w:spacing w:before="15"/>
              <w:ind w:left="52"/>
              <w:rPr>
                <w:sz w:val="21"/>
              </w:rPr>
            </w:pPr>
            <w:r>
              <w:rPr>
                <w:sz w:val="21"/>
              </w:rPr>
              <w:t>利息</w:t>
            </w:r>
          </w:p>
          <w:p>
            <w:pPr>
              <w:pStyle w:val="TableParagraph"/>
              <w:spacing w:before="68"/>
              <w:ind w:left="52"/>
              <w:rPr>
                <w:sz w:val="21"/>
              </w:rPr>
            </w:pPr>
            <w:r>
              <w:rPr>
                <w:sz w:val="21"/>
              </w:rPr>
              <w:t>专科医生</w:t>
            </w:r>
          </w:p>
          <w:p>
            <w:pPr>
              <w:pStyle w:val="TableParagraph"/>
              <w:spacing w:before="68"/>
              <w:ind w:left="52"/>
              <w:rPr>
                <w:sz w:val="21"/>
              </w:rPr>
            </w:pPr>
            <w:r>
              <w:rPr>
                <w:sz w:val="21"/>
              </w:rPr>
              <w:t>肢体机能完全丧失</w:t>
            </w:r>
          </w:p>
          <w:p>
            <w:pPr>
              <w:pStyle w:val="TableParagraph"/>
              <w:spacing w:line="300" w:lineRule="auto" w:before="68"/>
              <w:ind w:left="52" w:right="241"/>
              <w:rPr>
                <w:sz w:val="21"/>
              </w:rPr>
            </w:pPr>
            <w:r>
              <w:rPr>
                <w:sz w:val="21"/>
              </w:rPr>
              <w:t>语言能力或咀嚼吞咽能力完全丧失</w:t>
            </w:r>
          </w:p>
          <w:p>
            <w:pPr>
              <w:pStyle w:val="TableParagraph"/>
              <w:spacing w:line="300" w:lineRule="auto" w:before="16"/>
              <w:ind w:left="52" w:right="873"/>
              <w:rPr>
                <w:sz w:val="21"/>
              </w:rPr>
            </w:pPr>
            <w:r>
              <w:rPr>
                <w:sz w:val="21"/>
              </w:rPr>
              <w:t>六项基本日常生活活动永久不可逆</w:t>
            </w:r>
          </w:p>
          <w:p>
            <w:pPr>
              <w:pStyle w:val="TableParagraph"/>
              <w:spacing w:before="16"/>
              <w:ind w:left="52"/>
              <w:rPr>
                <w:sz w:val="21"/>
              </w:rPr>
            </w:pPr>
            <w:r>
              <w:rPr>
                <w:sz w:val="21"/>
              </w:rPr>
              <w:t>周岁</w:t>
            </w:r>
          </w:p>
        </w:tc>
      </w:tr>
      <w:tr>
        <w:trPr>
          <w:trHeight w:val="343" w:hRule="atLeast"/>
        </w:trPr>
        <w:tc>
          <w:tcPr>
            <w:tcW w:w="1415" w:type="dxa"/>
          </w:tcPr>
          <w:p>
            <w:pPr>
              <w:pStyle w:val="TableParagraph"/>
              <w:spacing w:before="2"/>
              <w:ind w:left="514"/>
              <w:rPr>
                <w:sz w:val="21"/>
              </w:rPr>
            </w:pPr>
            <w:r>
              <w:rPr>
                <w:sz w:val="21"/>
              </w:rPr>
              <w:t>第一条</w:t>
            </w:r>
          </w:p>
        </w:tc>
        <w:tc>
          <w:tcPr>
            <w:tcW w:w="3244" w:type="dxa"/>
            <w:tcBorders>
              <w:right w:val="single" w:sz="4" w:space="0" w:color="000000"/>
            </w:tcBorders>
          </w:tcPr>
          <w:p>
            <w:pPr>
              <w:pStyle w:val="TableParagraph"/>
              <w:spacing w:before="2"/>
              <w:ind w:left="44"/>
              <w:rPr>
                <w:sz w:val="21"/>
              </w:rPr>
            </w:pPr>
            <w:r>
              <w:rPr>
                <w:sz w:val="21"/>
              </w:rPr>
              <w:t>保险合同构成</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14"/>
              <w:rPr>
                <w:sz w:val="21"/>
              </w:rPr>
            </w:pPr>
            <w:r>
              <w:rPr>
                <w:sz w:val="21"/>
              </w:rPr>
              <w:t>第二条</w:t>
            </w:r>
          </w:p>
        </w:tc>
        <w:tc>
          <w:tcPr>
            <w:tcW w:w="3244" w:type="dxa"/>
            <w:tcBorders>
              <w:right w:val="single" w:sz="4" w:space="0" w:color="000000"/>
            </w:tcBorders>
          </w:tcPr>
          <w:p>
            <w:pPr>
              <w:pStyle w:val="TableParagraph"/>
              <w:spacing w:before="2"/>
              <w:ind w:left="44"/>
              <w:rPr>
                <w:sz w:val="21"/>
              </w:rPr>
            </w:pPr>
            <w:r>
              <w:rPr>
                <w:sz w:val="21"/>
              </w:rPr>
              <w:t>投保范围</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rPr>
                <w:b/>
                <w:sz w:val="21"/>
              </w:rPr>
            </w:pPr>
            <w:r>
              <w:rPr>
                <w:b/>
                <w:sz w:val="21"/>
              </w:rPr>
              <w:t>第二章</w:t>
            </w:r>
          </w:p>
        </w:tc>
        <w:tc>
          <w:tcPr>
            <w:tcW w:w="3244" w:type="dxa"/>
            <w:tcBorders>
              <w:right w:val="single" w:sz="4" w:space="0" w:color="000000"/>
            </w:tcBorders>
          </w:tcPr>
          <w:p>
            <w:pPr>
              <w:pStyle w:val="TableParagraph"/>
              <w:spacing w:before="2"/>
              <w:ind w:left="66"/>
              <w:rPr>
                <w:b/>
                <w:sz w:val="21"/>
              </w:rPr>
            </w:pPr>
            <w:r>
              <w:rPr>
                <w:b/>
                <w:sz w:val="21"/>
              </w:rPr>
              <w:t>保险责任及责任免除</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28"/>
              <w:rPr>
                <w:sz w:val="21"/>
              </w:rPr>
            </w:pPr>
            <w:r>
              <w:rPr>
                <w:sz w:val="21"/>
              </w:rPr>
              <w:t>第三条</w:t>
            </w:r>
          </w:p>
        </w:tc>
        <w:tc>
          <w:tcPr>
            <w:tcW w:w="3244" w:type="dxa"/>
            <w:tcBorders>
              <w:right w:val="single" w:sz="4" w:space="0" w:color="000000"/>
            </w:tcBorders>
          </w:tcPr>
          <w:p>
            <w:pPr>
              <w:pStyle w:val="TableParagraph"/>
              <w:spacing w:before="2"/>
              <w:ind w:left="58"/>
              <w:rPr>
                <w:sz w:val="21"/>
              </w:rPr>
            </w:pPr>
            <w:r>
              <w:rPr>
                <w:sz w:val="21"/>
              </w:rPr>
              <w:t>保险责任</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28"/>
              <w:rPr>
                <w:sz w:val="21"/>
              </w:rPr>
            </w:pPr>
            <w:r>
              <w:rPr>
                <w:sz w:val="21"/>
              </w:rPr>
              <w:t>第四条</w:t>
            </w:r>
          </w:p>
        </w:tc>
        <w:tc>
          <w:tcPr>
            <w:tcW w:w="3244" w:type="dxa"/>
            <w:tcBorders>
              <w:right w:val="single" w:sz="4" w:space="0" w:color="000000"/>
            </w:tcBorders>
          </w:tcPr>
          <w:p>
            <w:pPr>
              <w:pStyle w:val="TableParagraph"/>
              <w:spacing w:before="2"/>
              <w:ind w:left="58"/>
              <w:rPr>
                <w:sz w:val="21"/>
              </w:rPr>
            </w:pPr>
            <w:r>
              <w:rPr>
                <w:sz w:val="21"/>
              </w:rPr>
              <w:t>责任免除</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rPr>
                <w:b/>
                <w:sz w:val="21"/>
              </w:rPr>
            </w:pPr>
            <w:r>
              <w:rPr>
                <w:b/>
                <w:sz w:val="21"/>
              </w:rPr>
              <w:t>第三章</w:t>
            </w:r>
          </w:p>
        </w:tc>
        <w:tc>
          <w:tcPr>
            <w:tcW w:w="3244" w:type="dxa"/>
            <w:tcBorders>
              <w:right w:val="single" w:sz="4" w:space="0" w:color="000000"/>
            </w:tcBorders>
          </w:tcPr>
          <w:p>
            <w:pPr>
              <w:pStyle w:val="TableParagraph"/>
              <w:spacing w:before="2"/>
              <w:ind w:left="66"/>
              <w:rPr>
                <w:b/>
                <w:sz w:val="21"/>
              </w:rPr>
            </w:pPr>
            <w:r>
              <w:rPr>
                <w:b/>
                <w:sz w:val="21"/>
              </w:rPr>
              <w:t>保险金额与保险费</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28"/>
              <w:rPr>
                <w:sz w:val="21"/>
              </w:rPr>
            </w:pPr>
            <w:r>
              <w:rPr>
                <w:sz w:val="21"/>
              </w:rPr>
              <w:t>第五条</w:t>
            </w:r>
          </w:p>
        </w:tc>
        <w:tc>
          <w:tcPr>
            <w:tcW w:w="3244" w:type="dxa"/>
            <w:tcBorders>
              <w:right w:val="single" w:sz="4" w:space="0" w:color="000000"/>
            </w:tcBorders>
          </w:tcPr>
          <w:p>
            <w:pPr>
              <w:pStyle w:val="TableParagraph"/>
              <w:spacing w:before="2"/>
              <w:ind w:left="58"/>
              <w:rPr>
                <w:sz w:val="21"/>
              </w:rPr>
            </w:pPr>
            <w:r>
              <w:rPr>
                <w:sz w:val="21"/>
              </w:rPr>
              <w:t>保险金额</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28"/>
              <w:rPr>
                <w:sz w:val="21"/>
              </w:rPr>
            </w:pPr>
            <w:r>
              <w:rPr>
                <w:sz w:val="21"/>
              </w:rPr>
              <w:t>第六条</w:t>
            </w:r>
          </w:p>
        </w:tc>
        <w:tc>
          <w:tcPr>
            <w:tcW w:w="3244" w:type="dxa"/>
            <w:tcBorders>
              <w:right w:val="single" w:sz="4" w:space="0" w:color="000000"/>
            </w:tcBorders>
          </w:tcPr>
          <w:p>
            <w:pPr>
              <w:pStyle w:val="TableParagraph"/>
              <w:spacing w:before="2"/>
              <w:ind w:left="58"/>
              <w:rPr>
                <w:sz w:val="21"/>
              </w:rPr>
            </w:pPr>
            <w:r>
              <w:rPr>
                <w:sz w:val="21"/>
              </w:rPr>
              <w:t>保险费及宽限期间</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rPr>
                <w:b/>
                <w:sz w:val="21"/>
              </w:rPr>
            </w:pPr>
            <w:r>
              <w:rPr>
                <w:b/>
                <w:sz w:val="21"/>
              </w:rPr>
              <w:t>第四章</w:t>
            </w:r>
          </w:p>
        </w:tc>
        <w:tc>
          <w:tcPr>
            <w:tcW w:w="3244" w:type="dxa"/>
            <w:tcBorders>
              <w:right w:val="single" w:sz="4" w:space="0" w:color="000000"/>
            </w:tcBorders>
          </w:tcPr>
          <w:p>
            <w:pPr>
              <w:pStyle w:val="TableParagraph"/>
              <w:spacing w:before="2"/>
              <w:ind w:left="66"/>
              <w:rPr>
                <w:b/>
                <w:sz w:val="21"/>
              </w:rPr>
            </w:pPr>
            <w:r>
              <w:rPr>
                <w:b/>
                <w:sz w:val="21"/>
              </w:rPr>
              <w:t>保险合同成立与生效、保险期间</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28"/>
              <w:rPr>
                <w:sz w:val="21"/>
              </w:rPr>
            </w:pPr>
            <w:r>
              <w:rPr>
                <w:sz w:val="21"/>
              </w:rPr>
              <w:t>第七条</w:t>
            </w:r>
          </w:p>
        </w:tc>
        <w:tc>
          <w:tcPr>
            <w:tcW w:w="3244" w:type="dxa"/>
            <w:tcBorders>
              <w:right w:val="single" w:sz="4" w:space="0" w:color="000000"/>
            </w:tcBorders>
          </w:tcPr>
          <w:p>
            <w:pPr>
              <w:pStyle w:val="TableParagraph"/>
              <w:spacing w:before="2"/>
              <w:ind w:left="58"/>
              <w:rPr>
                <w:sz w:val="21"/>
              </w:rPr>
            </w:pPr>
            <w:r>
              <w:rPr>
                <w:sz w:val="21"/>
              </w:rPr>
              <w:t>保险合同成立与生效</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28"/>
              <w:rPr>
                <w:sz w:val="21"/>
              </w:rPr>
            </w:pPr>
            <w:r>
              <w:rPr>
                <w:sz w:val="21"/>
              </w:rPr>
              <w:t>第八条</w:t>
            </w:r>
          </w:p>
        </w:tc>
        <w:tc>
          <w:tcPr>
            <w:tcW w:w="3244" w:type="dxa"/>
            <w:tcBorders>
              <w:right w:val="single" w:sz="4" w:space="0" w:color="000000"/>
            </w:tcBorders>
          </w:tcPr>
          <w:p>
            <w:pPr>
              <w:pStyle w:val="TableParagraph"/>
              <w:spacing w:before="2"/>
              <w:ind w:left="58"/>
              <w:rPr>
                <w:sz w:val="21"/>
              </w:rPr>
            </w:pPr>
            <w:r>
              <w:rPr>
                <w:sz w:val="21"/>
              </w:rPr>
              <w:t>保险期间</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28"/>
              <w:rPr>
                <w:sz w:val="21"/>
              </w:rPr>
            </w:pPr>
            <w:r>
              <w:rPr>
                <w:sz w:val="21"/>
              </w:rPr>
              <w:t>第九条</w:t>
            </w:r>
          </w:p>
        </w:tc>
        <w:tc>
          <w:tcPr>
            <w:tcW w:w="3244" w:type="dxa"/>
            <w:tcBorders>
              <w:right w:val="single" w:sz="4" w:space="0" w:color="000000"/>
            </w:tcBorders>
          </w:tcPr>
          <w:p>
            <w:pPr>
              <w:pStyle w:val="TableParagraph"/>
              <w:spacing w:before="2"/>
              <w:ind w:left="58"/>
              <w:rPr>
                <w:sz w:val="21"/>
              </w:rPr>
            </w:pPr>
            <w:r>
              <w:rPr>
                <w:sz w:val="21"/>
              </w:rPr>
              <w:t>效力中止</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528"/>
              <w:rPr>
                <w:sz w:val="21"/>
              </w:rPr>
            </w:pPr>
            <w:r>
              <w:rPr>
                <w:sz w:val="21"/>
              </w:rPr>
              <w:t>第十条</w:t>
            </w:r>
          </w:p>
        </w:tc>
        <w:tc>
          <w:tcPr>
            <w:tcW w:w="3244" w:type="dxa"/>
            <w:tcBorders>
              <w:right w:val="single" w:sz="4" w:space="0" w:color="000000"/>
            </w:tcBorders>
          </w:tcPr>
          <w:p>
            <w:pPr>
              <w:pStyle w:val="TableParagraph"/>
              <w:spacing w:before="2"/>
              <w:ind w:left="58"/>
              <w:rPr>
                <w:sz w:val="21"/>
              </w:rPr>
            </w:pPr>
            <w:r>
              <w:rPr>
                <w:sz w:val="21"/>
              </w:rPr>
              <w:t>合同效力恢复</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rPr>
                <w:b/>
                <w:sz w:val="21"/>
              </w:rPr>
            </w:pPr>
            <w:r>
              <w:rPr>
                <w:b/>
                <w:sz w:val="21"/>
              </w:rPr>
              <w:t>第五章</w:t>
            </w:r>
          </w:p>
        </w:tc>
        <w:tc>
          <w:tcPr>
            <w:tcW w:w="3244" w:type="dxa"/>
            <w:tcBorders>
              <w:right w:val="single" w:sz="4" w:space="0" w:color="000000"/>
            </w:tcBorders>
          </w:tcPr>
          <w:p>
            <w:pPr>
              <w:pStyle w:val="TableParagraph"/>
              <w:spacing w:before="2"/>
              <w:ind w:left="66"/>
              <w:rPr>
                <w:b/>
                <w:sz w:val="21"/>
              </w:rPr>
            </w:pPr>
            <w:r>
              <w:rPr>
                <w:b/>
                <w:sz w:val="21"/>
              </w:rPr>
              <w:t>保险金申请</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第十一条</w:t>
            </w:r>
          </w:p>
        </w:tc>
        <w:tc>
          <w:tcPr>
            <w:tcW w:w="3244" w:type="dxa"/>
            <w:tcBorders>
              <w:right w:val="single" w:sz="4" w:space="0" w:color="000000"/>
            </w:tcBorders>
          </w:tcPr>
          <w:p>
            <w:pPr>
              <w:pStyle w:val="TableParagraph"/>
              <w:spacing w:before="2"/>
              <w:ind w:left="58"/>
              <w:rPr>
                <w:sz w:val="21"/>
              </w:rPr>
            </w:pPr>
            <w:r>
              <w:rPr>
                <w:sz w:val="21"/>
              </w:rPr>
              <w:t>保险事故通知</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第十二条</w:t>
            </w:r>
          </w:p>
        </w:tc>
        <w:tc>
          <w:tcPr>
            <w:tcW w:w="3244" w:type="dxa"/>
            <w:tcBorders>
              <w:right w:val="single" w:sz="4" w:space="0" w:color="000000"/>
            </w:tcBorders>
          </w:tcPr>
          <w:p>
            <w:pPr>
              <w:pStyle w:val="TableParagraph"/>
              <w:spacing w:before="2"/>
              <w:ind w:left="58"/>
              <w:rPr>
                <w:sz w:val="21"/>
              </w:rPr>
            </w:pPr>
            <w:r>
              <w:rPr>
                <w:sz w:val="21"/>
              </w:rPr>
              <w:t>诉讼时效</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第十三条</w:t>
            </w:r>
          </w:p>
        </w:tc>
        <w:tc>
          <w:tcPr>
            <w:tcW w:w="3244" w:type="dxa"/>
            <w:tcBorders>
              <w:right w:val="single" w:sz="4" w:space="0" w:color="000000"/>
            </w:tcBorders>
          </w:tcPr>
          <w:p>
            <w:pPr>
              <w:pStyle w:val="TableParagraph"/>
              <w:spacing w:before="2"/>
              <w:ind w:left="58"/>
              <w:rPr>
                <w:sz w:val="21"/>
              </w:rPr>
            </w:pPr>
            <w:r>
              <w:rPr>
                <w:sz w:val="21"/>
              </w:rPr>
              <w:t>保险金申请</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第十四条</w:t>
            </w:r>
          </w:p>
        </w:tc>
        <w:tc>
          <w:tcPr>
            <w:tcW w:w="3244" w:type="dxa"/>
            <w:tcBorders>
              <w:right w:val="single" w:sz="4" w:space="0" w:color="000000"/>
            </w:tcBorders>
          </w:tcPr>
          <w:p>
            <w:pPr>
              <w:pStyle w:val="TableParagraph"/>
              <w:spacing w:before="2"/>
              <w:ind w:left="58"/>
              <w:rPr>
                <w:sz w:val="21"/>
              </w:rPr>
            </w:pPr>
            <w:r>
              <w:rPr>
                <w:sz w:val="21"/>
              </w:rPr>
              <w:t>保险金给付</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第十五条</w:t>
            </w:r>
          </w:p>
        </w:tc>
        <w:tc>
          <w:tcPr>
            <w:tcW w:w="3244" w:type="dxa"/>
            <w:tcBorders>
              <w:right w:val="single" w:sz="4" w:space="0" w:color="000000"/>
            </w:tcBorders>
          </w:tcPr>
          <w:p>
            <w:pPr>
              <w:pStyle w:val="TableParagraph"/>
              <w:spacing w:before="2"/>
              <w:ind w:left="58"/>
              <w:rPr>
                <w:sz w:val="21"/>
              </w:rPr>
            </w:pPr>
            <w:r>
              <w:rPr>
                <w:sz w:val="21"/>
              </w:rPr>
              <w:t>宣告死亡处理</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rPr>
                <w:b/>
                <w:sz w:val="21"/>
              </w:rPr>
            </w:pPr>
            <w:r>
              <w:rPr>
                <w:b/>
                <w:sz w:val="21"/>
              </w:rPr>
              <w:t>第六章</w:t>
            </w:r>
          </w:p>
        </w:tc>
        <w:tc>
          <w:tcPr>
            <w:tcW w:w="3244" w:type="dxa"/>
            <w:tcBorders>
              <w:right w:val="single" w:sz="4" w:space="0" w:color="000000"/>
            </w:tcBorders>
          </w:tcPr>
          <w:p>
            <w:pPr>
              <w:pStyle w:val="TableParagraph"/>
              <w:spacing w:before="2"/>
              <w:ind w:left="66"/>
              <w:rPr>
                <w:b/>
                <w:sz w:val="21"/>
              </w:rPr>
            </w:pPr>
            <w:r>
              <w:rPr>
                <w:b/>
                <w:sz w:val="21"/>
              </w:rPr>
              <w:t>合同变更事项</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第十六条</w:t>
            </w:r>
          </w:p>
        </w:tc>
        <w:tc>
          <w:tcPr>
            <w:tcW w:w="3244" w:type="dxa"/>
            <w:tcBorders>
              <w:right w:val="single" w:sz="4" w:space="0" w:color="000000"/>
            </w:tcBorders>
          </w:tcPr>
          <w:p>
            <w:pPr>
              <w:pStyle w:val="TableParagraph"/>
              <w:spacing w:before="2"/>
              <w:ind w:left="58"/>
              <w:rPr>
                <w:sz w:val="21"/>
              </w:rPr>
            </w:pPr>
            <w:r>
              <w:rPr>
                <w:sz w:val="21"/>
              </w:rPr>
              <w:t>被保险人变动</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第十七条</w:t>
            </w:r>
          </w:p>
        </w:tc>
        <w:tc>
          <w:tcPr>
            <w:tcW w:w="3244" w:type="dxa"/>
            <w:tcBorders>
              <w:right w:val="single" w:sz="4" w:space="0" w:color="000000"/>
            </w:tcBorders>
          </w:tcPr>
          <w:p>
            <w:pPr>
              <w:pStyle w:val="TableParagraph"/>
              <w:spacing w:before="2"/>
              <w:ind w:left="58"/>
              <w:rPr>
                <w:sz w:val="21"/>
              </w:rPr>
            </w:pPr>
            <w:r>
              <w:rPr>
                <w:sz w:val="21"/>
              </w:rPr>
              <w:t>地址变更</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第十八条</w:t>
            </w:r>
          </w:p>
        </w:tc>
        <w:tc>
          <w:tcPr>
            <w:tcW w:w="3244" w:type="dxa"/>
            <w:tcBorders>
              <w:right w:val="single" w:sz="4" w:space="0" w:color="000000"/>
            </w:tcBorders>
          </w:tcPr>
          <w:p>
            <w:pPr>
              <w:pStyle w:val="TableParagraph"/>
              <w:spacing w:before="2"/>
              <w:ind w:left="58"/>
              <w:rPr>
                <w:sz w:val="21"/>
              </w:rPr>
            </w:pPr>
            <w:r>
              <w:rPr>
                <w:sz w:val="21"/>
              </w:rPr>
              <w:t>合同内容变更</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ind w:left="0" w:right="42"/>
              <w:jc w:val="right"/>
              <w:rPr>
                <w:sz w:val="21"/>
              </w:rPr>
            </w:pPr>
            <w:r>
              <w:rPr>
                <w:sz w:val="21"/>
              </w:rPr>
              <w:t>第十九条</w:t>
            </w:r>
          </w:p>
        </w:tc>
        <w:tc>
          <w:tcPr>
            <w:tcW w:w="3244" w:type="dxa"/>
            <w:tcBorders>
              <w:right w:val="single" w:sz="4" w:space="0" w:color="000000"/>
            </w:tcBorders>
          </w:tcPr>
          <w:p>
            <w:pPr>
              <w:pStyle w:val="TableParagraph"/>
              <w:spacing w:before="2"/>
              <w:ind w:left="58"/>
              <w:rPr>
                <w:sz w:val="21"/>
              </w:rPr>
            </w:pPr>
            <w:r>
              <w:rPr>
                <w:sz w:val="21"/>
              </w:rPr>
              <w:t>投保人解除合同的手续及风险</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343" w:hRule="atLeast"/>
        </w:trPr>
        <w:tc>
          <w:tcPr>
            <w:tcW w:w="1415" w:type="dxa"/>
          </w:tcPr>
          <w:p>
            <w:pPr>
              <w:pStyle w:val="TableParagraph"/>
              <w:spacing w:before="2"/>
              <w:rPr>
                <w:b/>
                <w:sz w:val="21"/>
              </w:rPr>
            </w:pPr>
            <w:r>
              <w:rPr>
                <w:b/>
                <w:sz w:val="21"/>
              </w:rPr>
              <w:t>第七章</w:t>
            </w:r>
          </w:p>
        </w:tc>
        <w:tc>
          <w:tcPr>
            <w:tcW w:w="3244" w:type="dxa"/>
            <w:tcBorders>
              <w:right w:val="single" w:sz="4" w:space="0" w:color="000000"/>
            </w:tcBorders>
          </w:tcPr>
          <w:p>
            <w:pPr>
              <w:pStyle w:val="TableParagraph"/>
              <w:spacing w:before="2"/>
              <w:ind w:left="66"/>
              <w:rPr>
                <w:b/>
                <w:sz w:val="21"/>
              </w:rPr>
            </w:pPr>
            <w:r>
              <w:rPr>
                <w:b/>
                <w:sz w:val="21"/>
              </w:rPr>
              <w:t>一般条款</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r>
        <w:trPr>
          <w:trHeight w:val="729" w:hRule="atLeast"/>
        </w:trPr>
        <w:tc>
          <w:tcPr>
            <w:tcW w:w="1415" w:type="dxa"/>
          </w:tcPr>
          <w:p>
            <w:pPr>
              <w:pStyle w:val="TableParagraph"/>
              <w:spacing w:before="2"/>
              <w:ind w:left="0" w:right="42"/>
              <w:jc w:val="right"/>
              <w:rPr>
                <w:sz w:val="21"/>
              </w:rPr>
            </w:pPr>
            <w:r>
              <w:rPr>
                <w:sz w:val="21"/>
              </w:rPr>
              <w:t>第二十条</w:t>
            </w:r>
          </w:p>
        </w:tc>
        <w:tc>
          <w:tcPr>
            <w:tcW w:w="3244" w:type="dxa"/>
            <w:tcBorders>
              <w:right w:val="single" w:sz="4" w:space="0" w:color="000000"/>
            </w:tcBorders>
          </w:tcPr>
          <w:p>
            <w:pPr>
              <w:pStyle w:val="TableParagraph"/>
              <w:spacing w:before="2"/>
              <w:ind w:left="58"/>
              <w:rPr>
                <w:sz w:val="21"/>
              </w:rPr>
            </w:pPr>
            <w:r>
              <w:rPr>
                <w:sz w:val="21"/>
              </w:rPr>
              <w:t>明确说明与如实告知</w:t>
            </w:r>
          </w:p>
        </w:tc>
        <w:tc>
          <w:tcPr>
            <w:tcW w:w="1633" w:type="dxa"/>
            <w:vMerge/>
            <w:tcBorders>
              <w:top w:val="nil"/>
              <w:left w:val="single" w:sz="4" w:space="0" w:color="000000"/>
            </w:tcBorders>
          </w:tcPr>
          <w:p>
            <w:pPr>
              <w:rPr>
                <w:sz w:val="2"/>
                <w:szCs w:val="2"/>
              </w:rPr>
            </w:pPr>
          </w:p>
        </w:tc>
        <w:tc>
          <w:tcPr>
            <w:tcW w:w="3028" w:type="dxa"/>
            <w:vMerge/>
            <w:tcBorders>
              <w:top w:val="nil"/>
            </w:tcBorders>
          </w:tcPr>
          <w:p>
            <w:pPr>
              <w:rPr>
                <w:sz w:val="2"/>
                <w:szCs w:val="2"/>
              </w:rPr>
            </w:pPr>
          </w:p>
        </w:tc>
      </w:tr>
    </w:tbl>
    <w:p>
      <w:pPr>
        <w:spacing w:after="0"/>
        <w:rPr>
          <w:sz w:val="2"/>
          <w:szCs w:val="2"/>
        </w:rPr>
        <w:sectPr>
          <w:footerReference w:type="default" r:id="rId5"/>
          <w:type w:val="continuous"/>
          <w:pgSz w:w="11910" w:h="16840"/>
          <w:pgMar w:footer="919" w:top="1580" w:bottom="1100" w:left="1180" w:right="1180"/>
          <w:pgNumType w:start="1"/>
        </w:sectPr>
      </w:pPr>
    </w:p>
    <w:p>
      <w:pPr>
        <w:pStyle w:val="BodyText"/>
        <w:spacing w:before="0"/>
        <w:rPr>
          <w:rFonts w:ascii="Times New Roman"/>
          <w:sz w:val="20"/>
        </w:rPr>
      </w:pPr>
    </w:p>
    <w:p>
      <w:pPr>
        <w:pStyle w:val="BodyText"/>
        <w:spacing w:before="0"/>
        <w:rPr>
          <w:rFonts w:ascii="Times New Roman"/>
          <w:sz w:val="20"/>
        </w:rPr>
      </w:pPr>
    </w:p>
    <w:p>
      <w:pPr>
        <w:pStyle w:val="BodyText"/>
        <w:spacing w:before="1" w:after="1"/>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866"/>
        <w:gridCol w:w="6233"/>
      </w:tblGrid>
      <w:tr>
        <w:trPr>
          <w:trHeight w:val="469" w:hRule="atLeast"/>
        </w:trPr>
        <w:tc>
          <w:tcPr>
            <w:tcW w:w="1154" w:type="dxa"/>
          </w:tcPr>
          <w:p>
            <w:pPr>
              <w:pStyle w:val="TableParagraph"/>
              <w:ind w:left="0"/>
              <w:rPr>
                <w:rFonts w:ascii="Times New Roman"/>
                <w:sz w:val="20"/>
              </w:rPr>
            </w:pPr>
          </w:p>
        </w:tc>
        <w:tc>
          <w:tcPr>
            <w:tcW w:w="1866" w:type="dxa"/>
          </w:tcPr>
          <w:p>
            <w:pPr>
              <w:pStyle w:val="TableParagraph"/>
              <w:ind w:left="0"/>
              <w:rPr>
                <w:rFonts w:ascii="Times New Roman"/>
                <w:sz w:val="20"/>
              </w:rPr>
            </w:pPr>
          </w:p>
        </w:tc>
        <w:tc>
          <w:tcPr>
            <w:tcW w:w="6233" w:type="dxa"/>
          </w:tcPr>
          <w:p>
            <w:pPr>
              <w:pStyle w:val="TableParagraph"/>
              <w:spacing w:line="281" w:lineRule="exact"/>
              <w:ind w:left="1036"/>
              <w:rPr>
                <w:b/>
                <w:sz w:val="28"/>
              </w:rPr>
            </w:pPr>
            <w:r>
              <w:rPr>
                <w:b/>
                <w:sz w:val="28"/>
              </w:rPr>
              <w:t>条款正文</w:t>
            </w:r>
          </w:p>
        </w:tc>
      </w:tr>
      <w:tr>
        <w:trPr>
          <w:trHeight w:val="948" w:hRule="atLeast"/>
        </w:trPr>
        <w:tc>
          <w:tcPr>
            <w:tcW w:w="9253" w:type="dxa"/>
            <w:gridSpan w:val="3"/>
          </w:tcPr>
          <w:p>
            <w:pPr>
              <w:pStyle w:val="TableParagraph"/>
              <w:spacing w:before="124"/>
              <w:ind w:left="1874"/>
              <w:rPr>
                <w:b/>
                <w:sz w:val="21"/>
              </w:rPr>
            </w:pPr>
            <w:r>
              <w:rPr>
                <w:b/>
                <w:sz w:val="21"/>
              </w:rPr>
              <w:t>条款是保险合同的重要组成部分，请投保人、被保险人、受益人仔细阅读。</w:t>
            </w:r>
          </w:p>
        </w:tc>
      </w:tr>
      <w:tr>
        <w:trPr>
          <w:trHeight w:val="311" w:hRule="atLeast"/>
        </w:trPr>
        <w:tc>
          <w:tcPr>
            <w:tcW w:w="1154" w:type="dxa"/>
            <w:shd w:val="clear" w:color="auto" w:fill="C5C5C5"/>
          </w:tcPr>
          <w:p>
            <w:pPr>
              <w:pStyle w:val="TableParagraph"/>
              <w:spacing w:line="262" w:lineRule="exact"/>
              <w:rPr>
                <w:b/>
                <w:sz w:val="21"/>
              </w:rPr>
            </w:pPr>
            <w:r>
              <w:rPr>
                <w:b/>
                <w:sz w:val="21"/>
              </w:rPr>
              <w:t>第一章</w:t>
            </w:r>
          </w:p>
        </w:tc>
        <w:tc>
          <w:tcPr>
            <w:tcW w:w="8099" w:type="dxa"/>
            <w:gridSpan w:val="2"/>
            <w:shd w:val="clear" w:color="auto" w:fill="C5C5C5"/>
          </w:tcPr>
          <w:p>
            <w:pPr>
              <w:pStyle w:val="TableParagraph"/>
              <w:spacing w:line="262" w:lineRule="exact"/>
              <w:ind w:left="413"/>
              <w:rPr>
                <w:b/>
                <w:sz w:val="21"/>
              </w:rPr>
            </w:pPr>
            <w:r>
              <w:rPr>
                <w:b/>
                <w:sz w:val="21"/>
              </w:rPr>
              <w:t>保险合同构成与投保范围</w:t>
            </w:r>
          </w:p>
        </w:tc>
      </w:tr>
      <w:tr>
        <w:trPr>
          <w:trHeight w:val="1405" w:hRule="atLeast"/>
        </w:trPr>
        <w:tc>
          <w:tcPr>
            <w:tcW w:w="1154" w:type="dxa"/>
          </w:tcPr>
          <w:p>
            <w:pPr>
              <w:pStyle w:val="TableParagraph"/>
              <w:spacing w:line="262" w:lineRule="exact"/>
              <w:rPr>
                <w:sz w:val="21"/>
              </w:rPr>
            </w:pPr>
            <w:r>
              <w:rPr>
                <w:sz w:val="21"/>
              </w:rPr>
              <w:t>第一条</w:t>
            </w:r>
          </w:p>
        </w:tc>
        <w:tc>
          <w:tcPr>
            <w:tcW w:w="1866" w:type="dxa"/>
          </w:tcPr>
          <w:p>
            <w:pPr>
              <w:pStyle w:val="TableParagraph"/>
              <w:spacing w:line="262" w:lineRule="exact"/>
              <w:ind w:left="413"/>
              <w:rPr>
                <w:sz w:val="21"/>
              </w:rPr>
            </w:pPr>
            <w:r>
              <w:rPr>
                <w:sz w:val="21"/>
              </w:rPr>
              <w:t>保险合同构成</w:t>
            </w:r>
          </w:p>
        </w:tc>
        <w:tc>
          <w:tcPr>
            <w:tcW w:w="6233" w:type="dxa"/>
          </w:tcPr>
          <w:p>
            <w:pPr>
              <w:pStyle w:val="TableParagraph"/>
              <w:spacing w:line="273" w:lineRule="auto"/>
              <w:ind w:left="196" w:right="-15"/>
              <w:rPr>
                <w:sz w:val="21"/>
              </w:rPr>
            </w:pPr>
            <w:r>
              <w:rPr>
                <w:spacing w:val="-5"/>
                <w:sz w:val="21"/>
              </w:rPr>
              <w:t>《中航三星终身团体重大疾病保险》合同</w:t>
            </w:r>
            <w:r>
              <w:rPr>
                <w:sz w:val="21"/>
              </w:rPr>
              <w:t>（</w:t>
            </w:r>
            <w:r>
              <w:rPr>
                <w:spacing w:val="-6"/>
                <w:sz w:val="21"/>
              </w:rPr>
              <w:t>以下简称“本合同”</w:t>
            </w:r>
            <w:r>
              <w:rPr>
                <w:spacing w:val="-8"/>
                <w:sz w:val="21"/>
              </w:rPr>
              <w:t>） </w:t>
            </w:r>
            <w:r>
              <w:rPr>
                <w:spacing w:val="-3"/>
                <w:sz w:val="21"/>
              </w:rPr>
              <w:t>由保险单、条款、其它保险凭证、投保单、被保险人名册、与本合同有关的其它投保文件、变更申请书、声明、批注、批单、其它书面协议构成。</w:t>
            </w:r>
          </w:p>
        </w:tc>
      </w:tr>
      <w:tr>
        <w:trPr>
          <w:trHeight w:val="1403" w:hRule="atLeast"/>
        </w:trPr>
        <w:tc>
          <w:tcPr>
            <w:tcW w:w="1154" w:type="dxa"/>
          </w:tcPr>
          <w:p>
            <w:pPr>
              <w:pStyle w:val="TableParagraph"/>
              <w:spacing w:before="143"/>
              <w:rPr>
                <w:sz w:val="21"/>
              </w:rPr>
            </w:pPr>
            <w:r>
              <w:rPr>
                <w:sz w:val="21"/>
              </w:rPr>
              <w:t>第二条</w:t>
            </w:r>
          </w:p>
        </w:tc>
        <w:tc>
          <w:tcPr>
            <w:tcW w:w="1866" w:type="dxa"/>
          </w:tcPr>
          <w:p>
            <w:pPr>
              <w:pStyle w:val="TableParagraph"/>
              <w:spacing w:before="143"/>
              <w:ind w:left="413"/>
              <w:rPr>
                <w:sz w:val="21"/>
              </w:rPr>
            </w:pPr>
            <w:r>
              <w:rPr>
                <w:sz w:val="21"/>
              </w:rPr>
              <w:t>投保范围</w:t>
            </w:r>
          </w:p>
        </w:tc>
        <w:tc>
          <w:tcPr>
            <w:tcW w:w="6233" w:type="dxa"/>
          </w:tcPr>
          <w:p>
            <w:pPr>
              <w:pStyle w:val="TableParagraph"/>
              <w:spacing w:line="273" w:lineRule="auto" w:before="143"/>
              <w:ind w:left="611" w:right="148" w:hanging="420"/>
              <w:rPr>
                <w:sz w:val="21"/>
              </w:rPr>
            </w:pPr>
            <w:r>
              <w:rPr>
                <w:sz w:val="21"/>
              </w:rPr>
              <w:t>一、身体健康，能正常工作或劳动的人员，可作为被保险人参加本保险。</w:t>
            </w:r>
          </w:p>
          <w:p>
            <w:pPr>
              <w:pStyle w:val="TableParagraph"/>
              <w:spacing w:before="8"/>
              <w:ind w:left="191"/>
              <w:rPr>
                <w:sz w:val="21"/>
              </w:rPr>
            </w:pPr>
            <w:r>
              <w:rPr>
                <w:sz w:val="21"/>
              </w:rPr>
              <w:t>二、符合上述条件的人员所在团体可作为投保人。</w:t>
            </w:r>
          </w:p>
        </w:tc>
      </w:tr>
      <w:tr>
        <w:trPr>
          <w:trHeight w:val="312" w:hRule="atLeast"/>
        </w:trPr>
        <w:tc>
          <w:tcPr>
            <w:tcW w:w="1154" w:type="dxa"/>
            <w:shd w:val="clear" w:color="auto" w:fill="CFCFCF"/>
          </w:tcPr>
          <w:p>
            <w:pPr>
              <w:pStyle w:val="TableParagraph"/>
              <w:spacing w:line="262" w:lineRule="exact"/>
              <w:rPr>
                <w:b/>
                <w:sz w:val="21"/>
              </w:rPr>
            </w:pPr>
            <w:r>
              <w:rPr>
                <w:b/>
                <w:sz w:val="21"/>
              </w:rPr>
              <w:t>第二章</w:t>
            </w:r>
          </w:p>
        </w:tc>
        <w:tc>
          <w:tcPr>
            <w:tcW w:w="8099" w:type="dxa"/>
            <w:gridSpan w:val="2"/>
            <w:shd w:val="clear" w:color="auto" w:fill="CFCFCF"/>
          </w:tcPr>
          <w:p>
            <w:pPr>
              <w:pStyle w:val="TableParagraph"/>
              <w:spacing w:line="262" w:lineRule="exact"/>
              <w:ind w:left="413"/>
              <w:rPr>
                <w:b/>
                <w:sz w:val="21"/>
              </w:rPr>
            </w:pPr>
            <w:r>
              <w:rPr>
                <w:b/>
                <w:sz w:val="21"/>
              </w:rPr>
              <w:t>保险责任与责任免除</w:t>
            </w:r>
          </w:p>
        </w:tc>
      </w:tr>
      <w:tr>
        <w:trPr>
          <w:trHeight w:val="7470" w:hRule="atLeast"/>
        </w:trPr>
        <w:tc>
          <w:tcPr>
            <w:tcW w:w="1154" w:type="dxa"/>
          </w:tcPr>
          <w:p>
            <w:pPr>
              <w:pStyle w:val="TableParagraph"/>
              <w:spacing w:line="262" w:lineRule="exact"/>
              <w:rPr>
                <w:sz w:val="21"/>
              </w:rPr>
            </w:pPr>
            <w:r>
              <w:rPr>
                <w:sz w:val="21"/>
              </w:rPr>
              <w:t>第三条</w:t>
            </w:r>
          </w:p>
        </w:tc>
        <w:tc>
          <w:tcPr>
            <w:tcW w:w="1866" w:type="dxa"/>
          </w:tcPr>
          <w:p>
            <w:pPr>
              <w:pStyle w:val="TableParagraph"/>
              <w:spacing w:line="262" w:lineRule="exact"/>
              <w:ind w:left="413"/>
              <w:rPr>
                <w:sz w:val="21"/>
              </w:rPr>
            </w:pPr>
            <w:r>
              <w:rPr>
                <w:sz w:val="21"/>
              </w:rPr>
              <w:t>保险责任</w:t>
            </w:r>
          </w:p>
        </w:tc>
        <w:tc>
          <w:tcPr>
            <w:tcW w:w="6233" w:type="dxa"/>
          </w:tcPr>
          <w:p>
            <w:pPr>
              <w:pStyle w:val="TableParagraph"/>
              <w:spacing w:line="300" w:lineRule="auto" w:before="2"/>
              <w:ind w:left="196" w:right="1620"/>
              <w:rPr>
                <w:sz w:val="21"/>
              </w:rPr>
            </w:pPr>
            <w:r>
              <w:rPr>
                <w:sz w:val="21"/>
              </w:rPr>
              <w:t>在本合同有效期内，本公司承担下列保险责任： 一、重大疾病保险金</w:t>
            </w:r>
          </w:p>
          <w:p>
            <w:pPr>
              <w:pStyle w:val="TableParagraph"/>
              <w:spacing w:line="300" w:lineRule="auto" w:before="16"/>
              <w:ind w:left="196" w:right="100"/>
              <w:rPr>
                <w:sz w:val="21"/>
              </w:rPr>
            </w:pPr>
            <w:r>
              <w:rPr>
                <w:spacing w:val="-3"/>
                <w:sz w:val="21"/>
              </w:rPr>
              <w:t>若被保险人于本合同生效日</w:t>
            </w:r>
            <w:r>
              <w:rPr>
                <w:sz w:val="21"/>
              </w:rPr>
              <w:t>（</w:t>
            </w:r>
            <w:r>
              <w:rPr>
                <w:spacing w:val="-3"/>
                <w:sz w:val="21"/>
              </w:rPr>
              <w:t>对于恢复效力的合同，则为最后一次效力恢复日</w:t>
            </w:r>
            <w:r>
              <w:rPr>
                <w:spacing w:val="-56"/>
                <w:sz w:val="21"/>
              </w:rPr>
              <w:t>）</w:t>
            </w:r>
            <w:r>
              <w:rPr>
                <w:spacing w:val="-20"/>
                <w:sz w:val="21"/>
              </w:rPr>
              <w:t>起 </w:t>
            </w:r>
            <w:r>
              <w:rPr>
                <w:sz w:val="21"/>
              </w:rPr>
              <w:t>90</w:t>
            </w:r>
            <w:r>
              <w:rPr>
                <w:spacing w:val="-8"/>
                <w:sz w:val="21"/>
              </w:rPr>
              <w:t> 日后初次发病并经医院确诊患本合同所定义</w:t>
            </w:r>
            <w:r>
              <w:rPr>
                <w:spacing w:val="-6"/>
                <w:sz w:val="21"/>
              </w:rPr>
              <w:t>的重大疾病</w:t>
            </w:r>
            <w:r>
              <w:rPr>
                <w:sz w:val="21"/>
              </w:rPr>
              <w:t>（</w:t>
            </w:r>
            <w:r>
              <w:rPr>
                <w:spacing w:val="-3"/>
                <w:sz w:val="21"/>
              </w:rPr>
              <w:t>无论一种或多种</w:t>
            </w:r>
            <w:r>
              <w:rPr>
                <w:sz w:val="21"/>
              </w:rPr>
              <w:t>）</w:t>
            </w:r>
            <w:r>
              <w:rPr>
                <w:spacing w:val="-3"/>
                <w:sz w:val="21"/>
              </w:rPr>
              <w:t>，本公司按该被保险人的保险金额给付重大疾病保险金，本合同对该被保险人的保险责任终止。</w:t>
            </w:r>
            <w:r>
              <w:rPr>
                <w:spacing w:val="-4"/>
                <w:sz w:val="21"/>
              </w:rPr>
              <w:t>但因本合同有效期内发生的意外伤害导致重大疾病不受上述 </w:t>
            </w:r>
            <w:r>
              <w:rPr>
                <w:spacing w:val="-3"/>
                <w:sz w:val="21"/>
              </w:rPr>
              <w:t>90 </w:t>
            </w:r>
            <w:r>
              <w:rPr>
                <w:spacing w:val="-1"/>
                <w:sz w:val="21"/>
              </w:rPr>
              <w:t>日的限制。</w:t>
            </w:r>
          </w:p>
          <w:p>
            <w:pPr>
              <w:pStyle w:val="TableParagraph"/>
              <w:spacing w:line="300" w:lineRule="auto" w:before="16"/>
              <w:ind w:left="196" w:right="101"/>
              <w:jc w:val="both"/>
              <w:rPr>
                <w:sz w:val="21"/>
              </w:rPr>
            </w:pPr>
            <w:r>
              <w:rPr>
                <w:spacing w:val="-6"/>
                <w:sz w:val="21"/>
              </w:rPr>
              <w:t>若被保险人于本合同生效日</w:t>
            </w:r>
            <w:r>
              <w:rPr>
                <w:sz w:val="21"/>
              </w:rPr>
              <w:t>（</w:t>
            </w:r>
            <w:r>
              <w:rPr>
                <w:spacing w:val="-3"/>
                <w:sz w:val="21"/>
              </w:rPr>
              <w:t>或效力恢复日</w:t>
            </w:r>
            <w:r>
              <w:rPr>
                <w:spacing w:val="-29"/>
                <w:sz w:val="21"/>
              </w:rPr>
              <w:t>）</w:t>
            </w:r>
            <w:r>
              <w:rPr>
                <w:spacing w:val="-20"/>
                <w:sz w:val="21"/>
              </w:rPr>
              <w:t>起 </w:t>
            </w:r>
            <w:r>
              <w:rPr>
                <w:sz w:val="21"/>
              </w:rPr>
              <w:t>90</w:t>
            </w:r>
            <w:r>
              <w:rPr>
                <w:spacing w:val="-8"/>
                <w:sz w:val="21"/>
              </w:rPr>
              <w:t> 日内发病并经</w:t>
            </w:r>
            <w:r>
              <w:rPr>
                <w:spacing w:val="-5"/>
                <w:sz w:val="21"/>
              </w:rPr>
              <w:t>医院确诊患本合同所定义的重大疾病，本公司按该被保险人对应</w:t>
            </w:r>
            <w:r>
              <w:rPr>
                <w:spacing w:val="-4"/>
                <w:sz w:val="21"/>
              </w:rPr>
              <w:t>的所交保险费给付重大疾病保险金，本合同对该被保险人的保险</w:t>
            </w:r>
            <w:r>
              <w:rPr>
                <w:spacing w:val="-3"/>
                <w:sz w:val="21"/>
              </w:rPr>
              <w:t>责任终止。</w:t>
            </w:r>
          </w:p>
          <w:p>
            <w:pPr>
              <w:pStyle w:val="TableParagraph"/>
              <w:spacing w:before="16"/>
              <w:ind w:left="196"/>
              <w:rPr>
                <w:sz w:val="21"/>
              </w:rPr>
            </w:pPr>
            <w:r>
              <w:rPr>
                <w:sz w:val="21"/>
              </w:rPr>
              <w:t>二、身故保险金</w:t>
            </w:r>
          </w:p>
          <w:p>
            <w:pPr>
              <w:pStyle w:val="TableParagraph"/>
              <w:spacing w:line="300" w:lineRule="auto" w:before="68"/>
              <w:ind w:left="196" w:right="100"/>
              <w:jc w:val="both"/>
              <w:rPr>
                <w:sz w:val="21"/>
              </w:rPr>
            </w:pPr>
            <w:r>
              <w:rPr>
                <w:sz w:val="21"/>
              </w:rPr>
              <w:t>若被保险人于本合同生效日（对于恢复效力的合同，则为最后一</w:t>
            </w:r>
            <w:r>
              <w:rPr>
                <w:spacing w:val="-2"/>
                <w:sz w:val="21"/>
              </w:rPr>
              <w:t>次效力恢复日</w:t>
            </w:r>
            <w:r>
              <w:rPr>
                <w:spacing w:val="-32"/>
                <w:sz w:val="21"/>
              </w:rPr>
              <w:t>）</w:t>
            </w:r>
            <w:r>
              <w:rPr>
                <w:spacing w:val="-19"/>
                <w:sz w:val="21"/>
              </w:rPr>
              <w:t>起 </w:t>
            </w:r>
            <w:r>
              <w:rPr>
                <w:sz w:val="21"/>
              </w:rPr>
              <w:t>90</w:t>
            </w:r>
            <w:r>
              <w:rPr>
                <w:spacing w:val="-10"/>
                <w:sz w:val="21"/>
              </w:rPr>
              <w:t> 日后因疾病身故，本公司按该被保险人的保险金额给付身故保险金，本合同对该被保险人的保险责任终止。</w:t>
            </w:r>
            <w:r>
              <w:rPr>
                <w:spacing w:val="-9"/>
                <w:sz w:val="21"/>
              </w:rPr>
              <w:t>但因本合同有效期内发生的意外伤害导致身故不受上述 </w:t>
            </w:r>
            <w:r>
              <w:rPr>
                <w:sz w:val="21"/>
              </w:rPr>
              <w:t>90</w:t>
            </w:r>
            <w:r>
              <w:rPr>
                <w:spacing w:val="5"/>
                <w:sz w:val="21"/>
              </w:rPr>
              <w:t> 日的限制。</w:t>
            </w:r>
          </w:p>
          <w:p>
            <w:pPr>
              <w:pStyle w:val="TableParagraph"/>
              <w:spacing w:line="300" w:lineRule="auto" w:before="15"/>
              <w:ind w:left="196" w:right="98"/>
              <w:jc w:val="both"/>
              <w:rPr>
                <w:sz w:val="21"/>
              </w:rPr>
            </w:pPr>
            <w:r>
              <w:rPr>
                <w:spacing w:val="-3"/>
                <w:sz w:val="21"/>
              </w:rPr>
              <w:t>若被保险人于本合同生效日(或效力恢复日）</w:t>
            </w:r>
            <w:r>
              <w:rPr>
                <w:spacing w:val="-8"/>
                <w:sz w:val="21"/>
              </w:rPr>
              <w:t>起 </w:t>
            </w:r>
            <w:r>
              <w:rPr>
                <w:sz w:val="21"/>
              </w:rPr>
              <w:t>90</w:t>
            </w:r>
            <w:r>
              <w:rPr>
                <w:spacing w:val="-5"/>
                <w:sz w:val="21"/>
              </w:rPr>
              <w:t> 日内因疾病身故，本公司按该被保险人对应的所交保险费给付身故保险金，本</w:t>
            </w:r>
            <w:r>
              <w:rPr>
                <w:spacing w:val="-4"/>
                <w:sz w:val="21"/>
              </w:rPr>
              <w:t>合同对该被保险人的保险责任终止。</w:t>
            </w:r>
          </w:p>
          <w:p>
            <w:pPr>
              <w:pStyle w:val="TableParagraph"/>
              <w:spacing w:line="255" w:lineRule="exact" w:before="1"/>
              <w:ind w:left="196"/>
              <w:jc w:val="both"/>
              <w:rPr>
                <w:sz w:val="21"/>
              </w:rPr>
            </w:pPr>
            <w:r>
              <w:rPr>
                <w:sz w:val="21"/>
              </w:rPr>
              <w:t>本公司对每一被保险人承担的重大疾病及身故保险责任以本合同</w:t>
            </w:r>
          </w:p>
        </w:tc>
      </w:tr>
    </w:tbl>
    <w:p>
      <w:pPr>
        <w:spacing w:after="0" w:line="255" w:lineRule="exac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868"/>
        <w:gridCol w:w="6230"/>
      </w:tblGrid>
      <w:tr>
        <w:trPr>
          <w:trHeight w:val="417" w:hRule="atLeast"/>
        </w:trPr>
        <w:tc>
          <w:tcPr>
            <w:tcW w:w="1154" w:type="dxa"/>
          </w:tcPr>
          <w:p>
            <w:pPr>
              <w:pStyle w:val="TableParagraph"/>
              <w:ind w:left="0"/>
              <w:rPr>
                <w:rFonts w:ascii="Times New Roman"/>
                <w:sz w:val="20"/>
              </w:rPr>
            </w:pPr>
          </w:p>
        </w:tc>
        <w:tc>
          <w:tcPr>
            <w:tcW w:w="1868" w:type="dxa"/>
          </w:tcPr>
          <w:p>
            <w:pPr>
              <w:pStyle w:val="TableParagraph"/>
              <w:ind w:left="0"/>
              <w:rPr>
                <w:rFonts w:ascii="Times New Roman"/>
                <w:sz w:val="20"/>
              </w:rPr>
            </w:pPr>
          </w:p>
        </w:tc>
        <w:tc>
          <w:tcPr>
            <w:tcW w:w="6230" w:type="dxa"/>
          </w:tcPr>
          <w:p>
            <w:pPr>
              <w:pStyle w:val="TableParagraph"/>
              <w:spacing w:line="211" w:lineRule="exact"/>
              <w:ind w:left="194"/>
              <w:rPr>
                <w:sz w:val="21"/>
              </w:rPr>
            </w:pPr>
            <w:r>
              <w:rPr>
                <w:sz w:val="21"/>
              </w:rPr>
              <w:t>约定的该被保险人保险金额为限。</w:t>
            </w:r>
          </w:p>
        </w:tc>
      </w:tr>
      <w:tr>
        <w:trPr>
          <w:trHeight w:val="6988" w:hRule="atLeast"/>
        </w:trPr>
        <w:tc>
          <w:tcPr>
            <w:tcW w:w="1154" w:type="dxa"/>
          </w:tcPr>
          <w:p>
            <w:pPr>
              <w:pStyle w:val="TableParagraph"/>
              <w:spacing w:before="142"/>
              <w:rPr>
                <w:sz w:val="21"/>
              </w:rPr>
            </w:pPr>
            <w:r>
              <w:rPr>
                <w:sz w:val="21"/>
              </w:rPr>
              <w:t>第四条</w:t>
            </w:r>
          </w:p>
        </w:tc>
        <w:tc>
          <w:tcPr>
            <w:tcW w:w="1868" w:type="dxa"/>
          </w:tcPr>
          <w:p>
            <w:pPr>
              <w:pStyle w:val="TableParagraph"/>
              <w:spacing w:before="142"/>
              <w:ind w:left="413"/>
              <w:rPr>
                <w:sz w:val="21"/>
              </w:rPr>
            </w:pPr>
            <w:r>
              <w:rPr>
                <w:sz w:val="21"/>
              </w:rPr>
              <w:t>责任免除</w:t>
            </w:r>
          </w:p>
        </w:tc>
        <w:tc>
          <w:tcPr>
            <w:tcW w:w="6230" w:type="dxa"/>
          </w:tcPr>
          <w:p>
            <w:pPr>
              <w:pStyle w:val="TableParagraph"/>
              <w:spacing w:line="273" w:lineRule="auto" w:before="142"/>
              <w:ind w:left="194" w:right="101"/>
              <w:jc w:val="both"/>
              <w:rPr>
                <w:sz w:val="21"/>
              </w:rPr>
            </w:pPr>
            <w:r>
              <w:rPr>
                <w:sz w:val="21"/>
              </w:rPr>
              <w:t>因下列情形之一被保险人身故、患重大疾病、达到疾病状态或进行手术的，本公司不承担保险责任：</w:t>
            </w:r>
          </w:p>
          <w:p>
            <w:pPr>
              <w:pStyle w:val="TableParagraph"/>
              <w:spacing w:before="7"/>
              <w:ind w:left="194"/>
              <w:rPr>
                <w:sz w:val="21"/>
              </w:rPr>
            </w:pPr>
            <w:r>
              <w:rPr>
                <w:sz w:val="21"/>
              </w:rPr>
              <w:t>一、 投保人对被保险人的故意杀害、故意伤害；</w:t>
            </w:r>
          </w:p>
          <w:p>
            <w:pPr>
              <w:pStyle w:val="TableParagraph"/>
              <w:spacing w:line="273" w:lineRule="auto" w:before="37"/>
              <w:ind w:left="756" w:right="35" w:hanging="562"/>
              <w:rPr>
                <w:sz w:val="21"/>
              </w:rPr>
            </w:pPr>
            <w:r>
              <w:rPr>
                <w:sz w:val="21"/>
              </w:rPr>
              <w:t>二、 被保险人故意自伤、故意犯罪或者抗拒依法采取的刑事强制措施；</w:t>
            </w:r>
          </w:p>
          <w:p>
            <w:pPr>
              <w:pStyle w:val="TableParagraph"/>
              <w:spacing w:before="7"/>
              <w:ind w:left="194"/>
              <w:rPr>
                <w:sz w:val="21"/>
              </w:rPr>
            </w:pPr>
            <w:r>
              <w:rPr>
                <w:sz w:val="21"/>
              </w:rPr>
              <w:t>三、 被保险人主动吸食或注射毒品；</w:t>
            </w:r>
          </w:p>
          <w:p>
            <w:pPr>
              <w:pStyle w:val="TableParagraph"/>
              <w:spacing w:line="273" w:lineRule="auto" w:before="36"/>
              <w:ind w:left="756" w:right="36" w:hanging="562"/>
              <w:rPr>
                <w:sz w:val="21"/>
              </w:rPr>
            </w:pPr>
            <w:r>
              <w:rPr>
                <w:sz w:val="21"/>
              </w:rPr>
              <w:t>四、 被保险人酒后驾驶、无合法有效驾驶证驾驶，或驾驶无有效行驶证的机动车；</w:t>
            </w:r>
          </w:p>
          <w:p>
            <w:pPr>
              <w:pStyle w:val="TableParagraph"/>
              <w:spacing w:line="273" w:lineRule="auto" w:before="7"/>
              <w:ind w:left="756" w:right="36" w:hanging="562"/>
              <w:rPr>
                <w:sz w:val="21"/>
              </w:rPr>
            </w:pPr>
            <w:r>
              <w:rPr>
                <w:sz w:val="21"/>
              </w:rPr>
              <w:t>五、 战争、军事冲突、暴乱或武装叛乱；核爆炸、核辐射或核污染；</w:t>
            </w:r>
          </w:p>
          <w:p>
            <w:pPr>
              <w:pStyle w:val="TableParagraph"/>
              <w:spacing w:before="8"/>
              <w:ind w:left="194"/>
              <w:rPr>
                <w:sz w:val="21"/>
              </w:rPr>
            </w:pPr>
            <w:r>
              <w:rPr>
                <w:sz w:val="21"/>
              </w:rPr>
              <w:t>六、 先天性畸形、变形或染色体异常。</w:t>
            </w:r>
          </w:p>
          <w:p>
            <w:pPr>
              <w:pStyle w:val="TableParagraph"/>
              <w:spacing w:line="300" w:lineRule="auto" w:before="51"/>
              <w:ind w:left="194" w:right="147"/>
              <w:jc w:val="both"/>
              <w:rPr>
                <w:sz w:val="21"/>
              </w:rPr>
            </w:pPr>
            <w:r>
              <w:rPr>
                <w:spacing w:val="-5"/>
                <w:sz w:val="21"/>
              </w:rPr>
              <w:t>被保险人自本合同成立或者本合同最后效力恢复之日起 </w:t>
            </w:r>
            <w:r>
              <w:rPr>
                <w:sz w:val="21"/>
              </w:rPr>
              <w:t>2</w:t>
            </w:r>
            <w:r>
              <w:rPr>
                <w:spacing w:val="-12"/>
                <w:sz w:val="21"/>
              </w:rPr>
              <w:t> 年内自</w:t>
            </w:r>
            <w:r>
              <w:rPr>
                <w:spacing w:val="-6"/>
                <w:sz w:val="21"/>
              </w:rPr>
              <w:t>杀导致身故，本公司不承担保险责任，但被保险人自杀时为无民</w:t>
            </w:r>
            <w:r>
              <w:rPr>
                <w:spacing w:val="-4"/>
                <w:sz w:val="21"/>
              </w:rPr>
              <w:t>事行为能力人的除外。</w:t>
            </w:r>
          </w:p>
          <w:p>
            <w:pPr>
              <w:pStyle w:val="TableParagraph"/>
              <w:spacing w:line="300" w:lineRule="auto" w:before="15"/>
              <w:ind w:left="194" w:right="147"/>
              <w:jc w:val="both"/>
              <w:rPr>
                <w:sz w:val="21"/>
              </w:rPr>
            </w:pPr>
            <w:r>
              <w:rPr>
                <w:sz w:val="21"/>
              </w:rPr>
              <w:t>发生上述第一项情形导致被保险人身故、患重大疾病、达到疾病状态或进行手术的，本合同对该被保险人的保险责任终止，本公司向其他权利人退还该被保险人的现金价值。</w:t>
            </w:r>
          </w:p>
          <w:p>
            <w:pPr>
              <w:pStyle w:val="TableParagraph"/>
              <w:spacing w:line="300" w:lineRule="auto" w:before="15"/>
              <w:ind w:left="194" w:right="147"/>
              <w:jc w:val="both"/>
              <w:rPr>
                <w:sz w:val="21"/>
              </w:rPr>
            </w:pPr>
            <w:r>
              <w:rPr>
                <w:sz w:val="21"/>
              </w:rPr>
              <w:t>发生上述其他情形导致被保险人身故、患重大疾病、达到疾病状态或进行手术的，本合同对该被保险人的保险责任终止，本公司向投保人退还该被保险人的现金价值。</w:t>
            </w:r>
          </w:p>
        </w:tc>
      </w:tr>
      <w:tr>
        <w:trPr>
          <w:trHeight w:val="312" w:hRule="atLeast"/>
        </w:trPr>
        <w:tc>
          <w:tcPr>
            <w:tcW w:w="1154" w:type="dxa"/>
            <w:shd w:val="clear" w:color="auto" w:fill="C5C5C5"/>
          </w:tcPr>
          <w:p>
            <w:pPr>
              <w:pStyle w:val="TableParagraph"/>
              <w:spacing w:line="262" w:lineRule="exact"/>
              <w:rPr>
                <w:b/>
                <w:sz w:val="21"/>
              </w:rPr>
            </w:pPr>
            <w:r>
              <w:rPr>
                <w:b/>
                <w:sz w:val="21"/>
              </w:rPr>
              <w:t>第三章</w:t>
            </w:r>
          </w:p>
        </w:tc>
        <w:tc>
          <w:tcPr>
            <w:tcW w:w="8098" w:type="dxa"/>
            <w:gridSpan w:val="2"/>
            <w:shd w:val="clear" w:color="auto" w:fill="C5C5C5"/>
          </w:tcPr>
          <w:p>
            <w:pPr>
              <w:pStyle w:val="TableParagraph"/>
              <w:spacing w:line="262" w:lineRule="exact"/>
              <w:ind w:left="413"/>
              <w:rPr>
                <w:b/>
                <w:sz w:val="21"/>
              </w:rPr>
            </w:pPr>
            <w:r>
              <w:rPr>
                <w:b/>
                <w:sz w:val="21"/>
              </w:rPr>
              <w:t>保险金额与保险费</w:t>
            </w:r>
          </w:p>
        </w:tc>
      </w:tr>
      <w:tr>
        <w:trPr>
          <w:trHeight w:val="780" w:hRule="atLeast"/>
        </w:trPr>
        <w:tc>
          <w:tcPr>
            <w:tcW w:w="1154" w:type="dxa"/>
          </w:tcPr>
          <w:p>
            <w:pPr>
              <w:pStyle w:val="TableParagraph"/>
              <w:spacing w:line="262" w:lineRule="exact"/>
              <w:rPr>
                <w:sz w:val="21"/>
              </w:rPr>
            </w:pPr>
            <w:r>
              <w:rPr>
                <w:sz w:val="21"/>
              </w:rPr>
              <w:t>第五条</w:t>
            </w:r>
          </w:p>
        </w:tc>
        <w:tc>
          <w:tcPr>
            <w:tcW w:w="1868" w:type="dxa"/>
          </w:tcPr>
          <w:p>
            <w:pPr>
              <w:pStyle w:val="TableParagraph"/>
              <w:spacing w:line="262" w:lineRule="exact"/>
              <w:ind w:left="413"/>
              <w:rPr>
                <w:sz w:val="21"/>
              </w:rPr>
            </w:pPr>
            <w:r>
              <w:rPr>
                <w:sz w:val="21"/>
              </w:rPr>
              <w:t>保险金额</w:t>
            </w:r>
          </w:p>
        </w:tc>
        <w:tc>
          <w:tcPr>
            <w:tcW w:w="6230" w:type="dxa"/>
          </w:tcPr>
          <w:p>
            <w:pPr>
              <w:pStyle w:val="TableParagraph"/>
              <w:spacing w:line="273" w:lineRule="auto"/>
              <w:ind w:left="194" w:right="147"/>
              <w:rPr>
                <w:sz w:val="21"/>
              </w:rPr>
            </w:pPr>
            <w:r>
              <w:rPr>
                <w:sz w:val="21"/>
              </w:rPr>
              <w:t>保险金额由投保人、本公司双方约定，并在保险单或其他保险凭证中载明。</w:t>
            </w:r>
          </w:p>
        </w:tc>
      </w:tr>
      <w:tr>
        <w:trPr>
          <w:trHeight w:val="2870" w:hRule="atLeast"/>
        </w:trPr>
        <w:tc>
          <w:tcPr>
            <w:tcW w:w="1154" w:type="dxa"/>
          </w:tcPr>
          <w:p>
            <w:pPr>
              <w:pStyle w:val="TableParagraph"/>
              <w:spacing w:before="142"/>
              <w:rPr>
                <w:sz w:val="21"/>
              </w:rPr>
            </w:pPr>
            <w:r>
              <w:rPr>
                <w:sz w:val="21"/>
              </w:rPr>
              <w:t>第六条</w:t>
            </w:r>
          </w:p>
        </w:tc>
        <w:tc>
          <w:tcPr>
            <w:tcW w:w="1868" w:type="dxa"/>
          </w:tcPr>
          <w:p>
            <w:pPr>
              <w:pStyle w:val="TableParagraph"/>
              <w:spacing w:line="273" w:lineRule="auto" w:before="142"/>
              <w:ind w:left="413" w:right="190"/>
              <w:rPr>
                <w:sz w:val="21"/>
              </w:rPr>
            </w:pPr>
            <w:r>
              <w:rPr>
                <w:sz w:val="21"/>
              </w:rPr>
              <w:t>保险费及宽限期间</w:t>
            </w:r>
          </w:p>
        </w:tc>
        <w:tc>
          <w:tcPr>
            <w:tcW w:w="6230" w:type="dxa"/>
          </w:tcPr>
          <w:p>
            <w:pPr>
              <w:pStyle w:val="TableParagraph"/>
              <w:spacing w:line="300" w:lineRule="auto" w:before="157"/>
              <w:ind w:left="194" w:right="147"/>
              <w:jc w:val="both"/>
              <w:rPr>
                <w:sz w:val="21"/>
              </w:rPr>
            </w:pPr>
            <w:r>
              <w:rPr>
                <w:sz w:val="21"/>
              </w:rPr>
              <w:t>投保人应按本合同约定的保险费交费金额、交费期间、应付日等交付本合同的保险费。</w:t>
            </w:r>
          </w:p>
          <w:p>
            <w:pPr>
              <w:pStyle w:val="TableParagraph"/>
              <w:spacing w:line="300" w:lineRule="auto" w:before="16"/>
              <w:ind w:left="194" w:right="147"/>
              <w:jc w:val="both"/>
              <w:rPr>
                <w:sz w:val="21"/>
              </w:rPr>
            </w:pPr>
            <w:r>
              <w:rPr>
                <w:sz w:val="21"/>
              </w:rPr>
              <w:t>第二期及以后各期的保险费应在保险费应付日或应付日前交付。若到期未交付保险费，自保险费应付日起 60 日为宽限期间。</w:t>
            </w:r>
          </w:p>
          <w:p>
            <w:pPr>
              <w:pStyle w:val="TableParagraph"/>
              <w:spacing w:line="300" w:lineRule="auto" w:before="16"/>
              <w:ind w:left="194" w:right="102"/>
              <w:jc w:val="both"/>
              <w:rPr>
                <w:sz w:val="21"/>
              </w:rPr>
            </w:pPr>
            <w:r>
              <w:rPr>
                <w:sz w:val="21"/>
              </w:rPr>
              <w:t>宽限期间内本合同继续有效，若被保险人发生保险事故，本公司仍负保险责任，但给付保险金时须扣减投保人欠交的该被保险人的保险费。</w:t>
            </w:r>
          </w:p>
        </w:tc>
      </w:tr>
      <w:tr>
        <w:trPr>
          <w:trHeight w:val="312" w:hRule="atLeast"/>
        </w:trPr>
        <w:tc>
          <w:tcPr>
            <w:tcW w:w="1154" w:type="dxa"/>
            <w:shd w:val="clear" w:color="auto" w:fill="C5C5C5"/>
          </w:tcPr>
          <w:p>
            <w:pPr>
              <w:pStyle w:val="TableParagraph"/>
              <w:spacing w:line="262" w:lineRule="exact"/>
              <w:rPr>
                <w:b/>
                <w:sz w:val="21"/>
              </w:rPr>
            </w:pPr>
            <w:r>
              <w:rPr>
                <w:b/>
                <w:sz w:val="21"/>
              </w:rPr>
              <w:t>第四章</w:t>
            </w:r>
          </w:p>
        </w:tc>
        <w:tc>
          <w:tcPr>
            <w:tcW w:w="8098" w:type="dxa"/>
            <w:gridSpan w:val="2"/>
            <w:shd w:val="clear" w:color="auto" w:fill="C5C5C5"/>
          </w:tcPr>
          <w:p>
            <w:pPr>
              <w:pStyle w:val="TableParagraph"/>
              <w:spacing w:line="262" w:lineRule="exact"/>
              <w:ind w:left="413"/>
              <w:rPr>
                <w:b/>
                <w:sz w:val="21"/>
              </w:rPr>
            </w:pPr>
            <w:r>
              <w:rPr>
                <w:b/>
                <w:sz w:val="21"/>
              </w:rPr>
              <w:t>保险合同成立与生效、保险期间</w:t>
            </w:r>
          </w:p>
        </w:tc>
      </w:tr>
      <w:tr>
        <w:trPr>
          <w:trHeight w:val="1198" w:hRule="atLeast"/>
        </w:trPr>
        <w:tc>
          <w:tcPr>
            <w:tcW w:w="1154" w:type="dxa"/>
          </w:tcPr>
          <w:p>
            <w:pPr>
              <w:pStyle w:val="TableParagraph"/>
              <w:spacing w:line="262" w:lineRule="exact"/>
              <w:rPr>
                <w:sz w:val="21"/>
              </w:rPr>
            </w:pPr>
            <w:r>
              <w:rPr>
                <w:sz w:val="21"/>
              </w:rPr>
              <w:t>第七条</w:t>
            </w:r>
          </w:p>
        </w:tc>
        <w:tc>
          <w:tcPr>
            <w:tcW w:w="1868" w:type="dxa"/>
          </w:tcPr>
          <w:p>
            <w:pPr>
              <w:pStyle w:val="TableParagraph"/>
              <w:spacing w:line="273" w:lineRule="auto"/>
              <w:ind w:left="413" w:right="190"/>
              <w:rPr>
                <w:sz w:val="21"/>
              </w:rPr>
            </w:pPr>
            <w:r>
              <w:rPr>
                <w:sz w:val="21"/>
              </w:rPr>
              <w:t>保险合同成立与生效</w:t>
            </w:r>
          </w:p>
        </w:tc>
        <w:tc>
          <w:tcPr>
            <w:tcW w:w="6230" w:type="dxa"/>
          </w:tcPr>
          <w:p>
            <w:pPr>
              <w:pStyle w:val="TableParagraph"/>
              <w:spacing w:line="273" w:lineRule="auto"/>
              <w:ind w:left="194" w:right="147"/>
              <w:rPr>
                <w:sz w:val="21"/>
              </w:rPr>
            </w:pPr>
            <w:r>
              <w:rPr>
                <w:sz w:val="21"/>
              </w:rPr>
              <w:t>投保人提出保险申请、本公司与投保人就承保条件达成一致，本合同成立，合同成立日期载明于保险单上。</w:t>
            </w:r>
          </w:p>
          <w:p>
            <w:pPr>
              <w:pStyle w:val="TableParagraph"/>
              <w:spacing w:line="312" w:lineRule="exact" w:before="16"/>
              <w:ind w:left="194" w:right="147"/>
              <w:rPr>
                <w:sz w:val="21"/>
              </w:rPr>
            </w:pPr>
            <w:r>
              <w:rPr>
                <w:sz w:val="21"/>
              </w:rPr>
              <w:t>除另有约定外，若本合同成立且投保人已交付保险费，本合同自生效日零时开始生效。本合同的生效日载明于保险单上。</w:t>
            </w:r>
          </w:p>
        </w:tc>
      </w:tr>
    </w:tbl>
    <w:p>
      <w:pPr>
        <w:spacing w:after="0" w:line="312" w:lineRule="exact"/>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765"/>
        <w:gridCol w:w="6231"/>
      </w:tblGrid>
      <w:tr>
        <w:trPr>
          <w:trHeight w:val="729" w:hRule="atLeast"/>
        </w:trPr>
        <w:tc>
          <w:tcPr>
            <w:tcW w:w="1259" w:type="dxa"/>
          </w:tcPr>
          <w:p>
            <w:pPr>
              <w:pStyle w:val="TableParagraph"/>
              <w:ind w:left="0"/>
              <w:rPr>
                <w:rFonts w:ascii="Times New Roman"/>
                <w:sz w:val="20"/>
              </w:rPr>
            </w:pPr>
          </w:p>
        </w:tc>
        <w:tc>
          <w:tcPr>
            <w:tcW w:w="1765" w:type="dxa"/>
          </w:tcPr>
          <w:p>
            <w:pPr>
              <w:pStyle w:val="TableParagraph"/>
              <w:ind w:left="0"/>
              <w:rPr>
                <w:rFonts w:ascii="Times New Roman"/>
                <w:sz w:val="20"/>
              </w:rPr>
            </w:pPr>
          </w:p>
        </w:tc>
        <w:tc>
          <w:tcPr>
            <w:tcW w:w="6231" w:type="dxa"/>
          </w:tcPr>
          <w:p>
            <w:pPr>
              <w:pStyle w:val="TableParagraph"/>
              <w:spacing w:line="211" w:lineRule="exact"/>
              <w:ind w:left="192"/>
              <w:rPr>
                <w:sz w:val="21"/>
              </w:rPr>
            </w:pPr>
            <w:r>
              <w:rPr>
                <w:sz w:val="21"/>
              </w:rPr>
              <w:t>除另有约定外，本公司对每一位被保险人自本合同生效时开始承</w:t>
            </w:r>
          </w:p>
          <w:p>
            <w:pPr>
              <w:pStyle w:val="TableParagraph"/>
              <w:spacing w:before="37"/>
              <w:ind w:left="192"/>
              <w:rPr>
                <w:sz w:val="21"/>
              </w:rPr>
            </w:pPr>
            <w:r>
              <w:rPr>
                <w:sz w:val="21"/>
              </w:rPr>
              <w:t>担保险责任。</w:t>
            </w:r>
          </w:p>
        </w:tc>
      </w:tr>
      <w:tr>
        <w:trPr>
          <w:trHeight w:val="639" w:hRule="atLeast"/>
        </w:trPr>
        <w:tc>
          <w:tcPr>
            <w:tcW w:w="1259" w:type="dxa"/>
          </w:tcPr>
          <w:p>
            <w:pPr>
              <w:pStyle w:val="TableParagraph"/>
              <w:spacing w:before="142"/>
              <w:rPr>
                <w:sz w:val="21"/>
              </w:rPr>
            </w:pPr>
            <w:r>
              <w:rPr>
                <w:sz w:val="21"/>
              </w:rPr>
              <w:t>第八条</w:t>
            </w:r>
          </w:p>
        </w:tc>
        <w:tc>
          <w:tcPr>
            <w:tcW w:w="1765" w:type="dxa"/>
          </w:tcPr>
          <w:p>
            <w:pPr>
              <w:pStyle w:val="TableParagraph"/>
              <w:spacing w:before="142"/>
              <w:ind w:left="308"/>
              <w:rPr>
                <w:sz w:val="21"/>
              </w:rPr>
            </w:pPr>
            <w:r>
              <w:rPr>
                <w:sz w:val="21"/>
              </w:rPr>
              <w:t>保险期间</w:t>
            </w:r>
          </w:p>
        </w:tc>
        <w:tc>
          <w:tcPr>
            <w:tcW w:w="6231" w:type="dxa"/>
          </w:tcPr>
          <w:p>
            <w:pPr>
              <w:pStyle w:val="TableParagraph"/>
              <w:spacing w:before="142"/>
              <w:ind w:left="192"/>
              <w:rPr>
                <w:sz w:val="21"/>
              </w:rPr>
            </w:pPr>
            <w:r>
              <w:rPr>
                <w:sz w:val="21"/>
              </w:rPr>
              <w:t>本合同的保险期间为被保险人终身，自本合同生效时起算。</w:t>
            </w:r>
          </w:p>
        </w:tc>
      </w:tr>
      <w:tr>
        <w:trPr>
          <w:trHeight w:val="1707" w:hRule="atLeast"/>
        </w:trPr>
        <w:tc>
          <w:tcPr>
            <w:tcW w:w="1259" w:type="dxa"/>
          </w:tcPr>
          <w:p>
            <w:pPr>
              <w:pStyle w:val="TableParagraph"/>
              <w:spacing w:before="158"/>
              <w:rPr>
                <w:sz w:val="21"/>
              </w:rPr>
            </w:pPr>
            <w:r>
              <w:rPr>
                <w:sz w:val="21"/>
              </w:rPr>
              <w:t>第九条</w:t>
            </w:r>
          </w:p>
        </w:tc>
        <w:tc>
          <w:tcPr>
            <w:tcW w:w="1765" w:type="dxa"/>
          </w:tcPr>
          <w:p>
            <w:pPr>
              <w:pStyle w:val="TableParagraph"/>
              <w:spacing w:before="172"/>
              <w:ind w:left="308"/>
              <w:rPr>
                <w:sz w:val="21"/>
              </w:rPr>
            </w:pPr>
            <w:r>
              <w:rPr>
                <w:sz w:val="21"/>
              </w:rPr>
              <w:t>效力中止</w:t>
            </w:r>
          </w:p>
        </w:tc>
        <w:tc>
          <w:tcPr>
            <w:tcW w:w="6231" w:type="dxa"/>
          </w:tcPr>
          <w:p>
            <w:pPr>
              <w:pStyle w:val="TableParagraph"/>
              <w:spacing w:line="300" w:lineRule="auto" w:before="172"/>
              <w:ind w:left="192" w:right="150"/>
              <w:rPr>
                <w:sz w:val="21"/>
              </w:rPr>
            </w:pPr>
            <w:r>
              <w:rPr>
                <w:sz w:val="21"/>
              </w:rPr>
              <w:t>除另有约定外，宽限期间期满日保险费仍未交付的，本合同自宽限期间期满日的次日零时起效力中止。</w:t>
            </w:r>
          </w:p>
          <w:p>
            <w:pPr>
              <w:pStyle w:val="TableParagraph"/>
              <w:spacing w:line="300" w:lineRule="auto" w:before="15"/>
              <w:ind w:left="192" w:right="150"/>
              <w:rPr>
                <w:sz w:val="21"/>
              </w:rPr>
            </w:pPr>
            <w:r>
              <w:rPr>
                <w:sz w:val="21"/>
              </w:rPr>
              <w:t>本合同效力中止期间，本公司对所发生的保险事故不承担保险责任。</w:t>
            </w:r>
          </w:p>
        </w:tc>
      </w:tr>
      <w:tr>
        <w:trPr>
          <w:trHeight w:val="2582" w:hRule="atLeast"/>
        </w:trPr>
        <w:tc>
          <w:tcPr>
            <w:tcW w:w="1259" w:type="dxa"/>
          </w:tcPr>
          <w:p>
            <w:pPr>
              <w:pStyle w:val="TableParagraph"/>
              <w:spacing w:before="166"/>
              <w:rPr>
                <w:sz w:val="21"/>
              </w:rPr>
            </w:pPr>
            <w:r>
              <w:rPr>
                <w:sz w:val="21"/>
              </w:rPr>
              <w:t>第十条</w:t>
            </w:r>
          </w:p>
        </w:tc>
        <w:tc>
          <w:tcPr>
            <w:tcW w:w="1765" w:type="dxa"/>
          </w:tcPr>
          <w:p>
            <w:pPr>
              <w:pStyle w:val="TableParagraph"/>
              <w:spacing w:before="8"/>
              <w:ind w:left="0"/>
              <w:rPr>
                <w:rFonts w:ascii="Times New Roman"/>
                <w:sz w:val="15"/>
              </w:rPr>
            </w:pPr>
          </w:p>
          <w:p>
            <w:pPr>
              <w:pStyle w:val="TableParagraph"/>
              <w:ind w:left="308"/>
              <w:rPr>
                <w:sz w:val="21"/>
              </w:rPr>
            </w:pPr>
            <w:r>
              <w:rPr>
                <w:sz w:val="21"/>
              </w:rPr>
              <w:t>合同效力恢复</w:t>
            </w:r>
          </w:p>
        </w:tc>
        <w:tc>
          <w:tcPr>
            <w:tcW w:w="6231" w:type="dxa"/>
          </w:tcPr>
          <w:p>
            <w:pPr>
              <w:pStyle w:val="TableParagraph"/>
              <w:spacing w:before="8"/>
              <w:ind w:left="0"/>
              <w:rPr>
                <w:rFonts w:ascii="Times New Roman"/>
                <w:sz w:val="15"/>
              </w:rPr>
            </w:pPr>
          </w:p>
          <w:p>
            <w:pPr>
              <w:pStyle w:val="TableParagraph"/>
              <w:spacing w:line="300" w:lineRule="auto"/>
              <w:ind w:left="192" w:right="150"/>
              <w:jc w:val="both"/>
              <w:rPr>
                <w:sz w:val="21"/>
              </w:rPr>
            </w:pPr>
            <w:r>
              <w:rPr>
                <w:spacing w:val="-7"/>
                <w:sz w:val="21"/>
              </w:rPr>
              <w:t>自本合同效力中止之日起 </w:t>
            </w:r>
            <w:r>
              <w:rPr>
                <w:sz w:val="21"/>
              </w:rPr>
              <w:t>2</w:t>
            </w:r>
            <w:r>
              <w:rPr>
                <w:spacing w:val="-8"/>
                <w:sz w:val="21"/>
              </w:rPr>
              <w:t> 年内，投保人可书面申请恢复合同效</w:t>
            </w:r>
            <w:r>
              <w:rPr>
                <w:spacing w:val="-5"/>
                <w:sz w:val="21"/>
              </w:rPr>
              <w:t>力。经本公司审核同意，双方达成复效协议，投保人交清所欠交</w:t>
            </w:r>
            <w:r>
              <w:rPr>
                <w:spacing w:val="-4"/>
                <w:sz w:val="21"/>
              </w:rPr>
              <w:t>的保险费及利息后，本合同自批单载明的日期恢复效力。</w:t>
            </w:r>
          </w:p>
          <w:p>
            <w:pPr>
              <w:pStyle w:val="TableParagraph"/>
              <w:spacing w:line="300" w:lineRule="auto" w:before="15"/>
              <w:ind w:left="192" w:right="102"/>
              <w:jc w:val="both"/>
              <w:rPr>
                <w:sz w:val="21"/>
              </w:rPr>
            </w:pPr>
            <w:r>
              <w:rPr>
                <w:spacing w:val="-4"/>
                <w:sz w:val="21"/>
              </w:rPr>
              <w:t>自本合同效力中止之日起满 </w:t>
            </w:r>
            <w:r>
              <w:rPr>
                <w:sz w:val="21"/>
              </w:rPr>
              <w:t>2</w:t>
            </w:r>
            <w:r>
              <w:rPr>
                <w:spacing w:val="-5"/>
                <w:sz w:val="21"/>
              </w:rPr>
              <w:t> 年投保人和本公司未达成复效协议的，本公司有权解除合同。本公司解除合同的，向投保人退还合</w:t>
            </w:r>
            <w:r>
              <w:rPr>
                <w:spacing w:val="-4"/>
                <w:sz w:val="21"/>
              </w:rPr>
              <w:t>同效力中止时本合同的现金价值。</w:t>
            </w:r>
          </w:p>
        </w:tc>
      </w:tr>
      <w:tr>
        <w:trPr>
          <w:trHeight w:val="312" w:hRule="atLeast"/>
        </w:trPr>
        <w:tc>
          <w:tcPr>
            <w:tcW w:w="1259" w:type="dxa"/>
            <w:shd w:val="clear" w:color="auto" w:fill="C5C5C5"/>
          </w:tcPr>
          <w:p>
            <w:pPr>
              <w:pStyle w:val="TableParagraph"/>
              <w:spacing w:line="262" w:lineRule="exact"/>
              <w:rPr>
                <w:b/>
                <w:sz w:val="21"/>
              </w:rPr>
            </w:pPr>
            <w:r>
              <w:rPr>
                <w:b/>
                <w:sz w:val="21"/>
              </w:rPr>
              <w:t>第五章</w:t>
            </w:r>
          </w:p>
        </w:tc>
        <w:tc>
          <w:tcPr>
            <w:tcW w:w="1765" w:type="dxa"/>
            <w:shd w:val="clear" w:color="auto" w:fill="C5C5C5"/>
          </w:tcPr>
          <w:p>
            <w:pPr>
              <w:pStyle w:val="TableParagraph"/>
              <w:spacing w:line="262" w:lineRule="exact"/>
              <w:ind w:left="308"/>
              <w:rPr>
                <w:b/>
                <w:sz w:val="21"/>
              </w:rPr>
            </w:pPr>
            <w:r>
              <w:rPr>
                <w:b/>
                <w:sz w:val="21"/>
              </w:rPr>
              <w:t>保险金申请</w:t>
            </w:r>
          </w:p>
        </w:tc>
        <w:tc>
          <w:tcPr>
            <w:tcW w:w="6231" w:type="dxa"/>
            <w:shd w:val="clear" w:color="auto" w:fill="C5C5C5"/>
          </w:tcPr>
          <w:p>
            <w:pPr>
              <w:pStyle w:val="TableParagraph"/>
              <w:ind w:left="0"/>
              <w:rPr>
                <w:rFonts w:ascii="Times New Roman"/>
                <w:sz w:val="20"/>
              </w:rPr>
            </w:pPr>
          </w:p>
        </w:tc>
      </w:tr>
      <w:tr>
        <w:trPr>
          <w:trHeight w:val="2029" w:hRule="atLeast"/>
        </w:trPr>
        <w:tc>
          <w:tcPr>
            <w:tcW w:w="1259" w:type="dxa"/>
          </w:tcPr>
          <w:p>
            <w:pPr>
              <w:pStyle w:val="TableParagraph"/>
              <w:spacing w:line="262" w:lineRule="exact"/>
              <w:rPr>
                <w:sz w:val="21"/>
              </w:rPr>
            </w:pPr>
            <w:r>
              <w:rPr>
                <w:sz w:val="21"/>
              </w:rPr>
              <w:t>第十一条</w:t>
            </w:r>
          </w:p>
        </w:tc>
        <w:tc>
          <w:tcPr>
            <w:tcW w:w="1765" w:type="dxa"/>
          </w:tcPr>
          <w:p>
            <w:pPr>
              <w:pStyle w:val="TableParagraph"/>
              <w:spacing w:line="262" w:lineRule="exact"/>
              <w:ind w:left="308"/>
              <w:rPr>
                <w:sz w:val="21"/>
              </w:rPr>
            </w:pPr>
            <w:r>
              <w:rPr>
                <w:sz w:val="21"/>
              </w:rPr>
              <w:t>保险事故通知</w:t>
            </w:r>
          </w:p>
        </w:tc>
        <w:tc>
          <w:tcPr>
            <w:tcW w:w="6231" w:type="dxa"/>
          </w:tcPr>
          <w:p>
            <w:pPr>
              <w:pStyle w:val="TableParagraph"/>
              <w:spacing w:line="262" w:lineRule="exact"/>
              <w:ind w:left="192"/>
              <w:rPr>
                <w:sz w:val="21"/>
              </w:rPr>
            </w:pPr>
            <w:r>
              <w:rPr>
                <w:sz w:val="21"/>
              </w:rPr>
              <w:t>投保人或受益人知道保险事故后应当在 10 日内通知本公司。</w:t>
            </w:r>
          </w:p>
          <w:p>
            <w:pPr>
              <w:pStyle w:val="TableParagraph"/>
              <w:spacing w:line="273" w:lineRule="auto" w:before="37"/>
              <w:ind w:left="192" w:right="105"/>
              <w:jc w:val="both"/>
              <w:rPr>
                <w:sz w:val="21"/>
              </w:rPr>
            </w:pPr>
            <w:r>
              <w:rPr>
                <w:sz w:val="21"/>
              </w:rPr>
              <w:t>如果投保人和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1676" w:hRule="atLeast"/>
        </w:trPr>
        <w:tc>
          <w:tcPr>
            <w:tcW w:w="1259" w:type="dxa"/>
          </w:tcPr>
          <w:p>
            <w:pPr>
              <w:pStyle w:val="TableParagraph"/>
              <w:spacing w:before="142"/>
              <w:rPr>
                <w:sz w:val="21"/>
              </w:rPr>
            </w:pPr>
            <w:r>
              <w:rPr>
                <w:sz w:val="21"/>
              </w:rPr>
              <w:t>第十二条</w:t>
            </w:r>
          </w:p>
        </w:tc>
        <w:tc>
          <w:tcPr>
            <w:tcW w:w="1765" w:type="dxa"/>
          </w:tcPr>
          <w:p>
            <w:pPr>
              <w:pStyle w:val="TableParagraph"/>
              <w:spacing w:before="142"/>
              <w:ind w:left="308"/>
              <w:rPr>
                <w:sz w:val="21"/>
              </w:rPr>
            </w:pPr>
            <w:r>
              <w:rPr>
                <w:sz w:val="21"/>
              </w:rPr>
              <w:t>诉讼时效</w:t>
            </w:r>
          </w:p>
        </w:tc>
        <w:tc>
          <w:tcPr>
            <w:tcW w:w="6231" w:type="dxa"/>
          </w:tcPr>
          <w:p>
            <w:pPr>
              <w:pStyle w:val="TableParagraph"/>
              <w:spacing w:line="300" w:lineRule="auto" w:before="157"/>
              <w:ind w:left="192" w:right="150"/>
              <w:rPr>
                <w:sz w:val="21"/>
              </w:rPr>
            </w:pPr>
            <w:r>
              <w:rPr>
                <w:spacing w:val="-3"/>
                <w:sz w:val="21"/>
              </w:rPr>
              <w:t>被保险人或受益人向本公司请求给付重大疾病保险金的诉讼时效</w:t>
            </w:r>
            <w:r>
              <w:rPr>
                <w:spacing w:val="-11"/>
                <w:sz w:val="21"/>
              </w:rPr>
              <w:t>期间为 </w:t>
            </w:r>
            <w:r>
              <w:rPr>
                <w:sz w:val="21"/>
              </w:rPr>
              <w:t>2</w:t>
            </w:r>
            <w:r>
              <w:rPr>
                <w:spacing w:val="-8"/>
                <w:sz w:val="21"/>
              </w:rPr>
              <w:t> 年，自其知道或者应当知道保险事故发生之日起计算。</w:t>
            </w:r>
          </w:p>
          <w:p>
            <w:pPr>
              <w:pStyle w:val="TableParagraph"/>
              <w:spacing w:line="300" w:lineRule="auto" w:before="16"/>
              <w:ind w:left="192" w:right="150"/>
              <w:rPr>
                <w:sz w:val="21"/>
              </w:rPr>
            </w:pPr>
            <w:r>
              <w:rPr>
                <w:spacing w:val="-5"/>
                <w:sz w:val="21"/>
              </w:rPr>
              <w:t>受益人向本公司请求给付身故保险金的诉讼时效期间为 </w:t>
            </w:r>
            <w:r>
              <w:rPr>
                <w:sz w:val="21"/>
              </w:rPr>
              <w:t>5</w:t>
            </w:r>
            <w:r>
              <w:rPr>
                <w:spacing w:val="-12"/>
                <w:sz w:val="21"/>
              </w:rPr>
              <w:t> 年，自</w:t>
            </w:r>
            <w:r>
              <w:rPr>
                <w:spacing w:val="-6"/>
                <w:sz w:val="21"/>
              </w:rPr>
              <w:t>其知道或者应当知道保险事故发生之日起计算。</w:t>
            </w:r>
          </w:p>
        </w:tc>
      </w:tr>
      <w:tr>
        <w:trPr>
          <w:trHeight w:val="3092" w:hRule="atLeast"/>
        </w:trPr>
        <w:tc>
          <w:tcPr>
            <w:tcW w:w="1259" w:type="dxa"/>
          </w:tcPr>
          <w:p>
            <w:pPr>
              <w:pStyle w:val="TableParagraph"/>
              <w:spacing w:before="151"/>
              <w:rPr>
                <w:sz w:val="21"/>
              </w:rPr>
            </w:pPr>
            <w:r>
              <w:rPr>
                <w:sz w:val="21"/>
              </w:rPr>
              <w:t>第十三条</w:t>
            </w:r>
          </w:p>
        </w:tc>
        <w:tc>
          <w:tcPr>
            <w:tcW w:w="1765" w:type="dxa"/>
          </w:tcPr>
          <w:p>
            <w:pPr>
              <w:pStyle w:val="TableParagraph"/>
              <w:spacing w:before="151"/>
              <w:ind w:left="308"/>
              <w:rPr>
                <w:sz w:val="21"/>
              </w:rPr>
            </w:pPr>
            <w:r>
              <w:rPr>
                <w:sz w:val="21"/>
              </w:rPr>
              <w:t>保险金申请</w:t>
            </w:r>
          </w:p>
        </w:tc>
        <w:tc>
          <w:tcPr>
            <w:tcW w:w="6231" w:type="dxa"/>
          </w:tcPr>
          <w:p>
            <w:pPr>
              <w:pStyle w:val="TableParagraph"/>
              <w:spacing w:before="151"/>
              <w:ind w:left="192"/>
              <w:rPr>
                <w:sz w:val="21"/>
              </w:rPr>
            </w:pPr>
            <w:r>
              <w:rPr>
                <w:sz w:val="21"/>
              </w:rPr>
              <w:t>一、重大疾病保险金</w:t>
            </w:r>
          </w:p>
          <w:p>
            <w:pPr>
              <w:pStyle w:val="TableParagraph"/>
              <w:spacing w:line="273" w:lineRule="auto" w:before="37"/>
              <w:ind w:left="192" w:right="150"/>
              <w:rPr>
                <w:sz w:val="21"/>
              </w:rPr>
            </w:pPr>
            <w:r>
              <w:rPr>
                <w:sz w:val="21"/>
              </w:rPr>
              <w:t>在申请重大疾病保险金时，重大疾病保险金受益人须填写保险金给付申请书，并提供下列证明和资料：</w:t>
            </w:r>
          </w:p>
          <w:p>
            <w:pPr>
              <w:pStyle w:val="TableParagraph"/>
              <w:numPr>
                <w:ilvl w:val="0"/>
                <w:numId w:val="1"/>
              </w:numPr>
              <w:tabs>
                <w:tab w:pos="553" w:val="left" w:leader="none"/>
              </w:tabs>
              <w:spacing w:line="240" w:lineRule="auto" w:before="22" w:after="0"/>
              <w:ind w:left="552" w:right="0" w:hanging="360"/>
              <w:jc w:val="left"/>
              <w:rPr>
                <w:sz w:val="21"/>
              </w:rPr>
            </w:pPr>
            <w:r>
              <w:rPr>
                <w:spacing w:val="-3"/>
                <w:sz w:val="21"/>
              </w:rPr>
              <w:t>保险单及其他保险凭证；</w:t>
            </w:r>
          </w:p>
          <w:p>
            <w:pPr>
              <w:pStyle w:val="TableParagraph"/>
              <w:numPr>
                <w:ilvl w:val="0"/>
                <w:numId w:val="1"/>
              </w:numPr>
              <w:tabs>
                <w:tab w:pos="553" w:val="left" w:leader="none"/>
              </w:tabs>
              <w:spacing w:line="240" w:lineRule="auto" w:before="69" w:after="0"/>
              <w:ind w:left="552" w:right="0" w:hanging="360"/>
              <w:jc w:val="left"/>
              <w:rPr>
                <w:sz w:val="21"/>
              </w:rPr>
            </w:pPr>
            <w:r>
              <w:rPr>
                <w:spacing w:val="-3"/>
                <w:sz w:val="21"/>
              </w:rPr>
              <w:t>重大疾病保险金受益人的有效身份证件；</w:t>
            </w:r>
          </w:p>
          <w:p>
            <w:pPr>
              <w:pStyle w:val="TableParagraph"/>
              <w:numPr>
                <w:ilvl w:val="0"/>
                <w:numId w:val="1"/>
              </w:numPr>
              <w:tabs>
                <w:tab w:pos="553" w:val="left" w:leader="none"/>
              </w:tabs>
              <w:spacing w:line="300" w:lineRule="auto" w:before="68" w:after="0"/>
              <w:ind w:left="552" w:right="102" w:hanging="360"/>
              <w:jc w:val="left"/>
              <w:rPr>
                <w:sz w:val="21"/>
              </w:rPr>
            </w:pPr>
            <w:r>
              <w:rPr>
                <w:spacing w:val="-10"/>
                <w:sz w:val="21"/>
              </w:rPr>
              <w:t>医院出具的被保险人病历资料，诊断证明，病理、血液及其他</w:t>
            </w:r>
            <w:r>
              <w:rPr>
                <w:spacing w:val="-5"/>
                <w:sz w:val="21"/>
              </w:rPr>
              <w:t>科学检验方法的检验报告；</w:t>
            </w:r>
          </w:p>
          <w:p>
            <w:pPr>
              <w:pStyle w:val="TableParagraph"/>
              <w:numPr>
                <w:ilvl w:val="0"/>
                <w:numId w:val="1"/>
              </w:numPr>
              <w:tabs>
                <w:tab w:pos="553" w:val="left" w:leader="none"/>
              </w:tabs>
              <w:spacing w:line="240" w:lineRule="auto" w:before="15" w:after="0"/>
              <w:ind w:left="552" w:right="0" w:hanging="360"/>
              <w:jc w:val="left"/>
              <w:rPr>
                <w:sz w:val="21"/>
              </w:rPr>
            </w:pPr>
            <w:r>
              <w:rPr>
                <w:spacing w:val="-7"/>
                <w:sz w:val="21"/>
              </w:rPr>
              <w:t>重大疾病保险金受益人所能提供的与确认保险事故的时间、性</w:t>
            </w:r>
          </w:p>
          <w:p>
            <w:pPr>
              <w:pStyle w:val="TableParagraph"/>
              <w:spacing w:line="255" w:lineRule="exact" w:before="68"/>
              <w:ind w:left="552"/>
              <w:rPr>
                <w:sz w:val="21"/>
              </w:rPr>
            </w:pPr>
            <w:r>
              <w:rPr>
                <w:sz w:val="21"/>
              </w:rPr>
              <w:t>质、原因、损失程度等相关的其他证明和资料。</w:t>
            </w:r>
          </w:p>
        </w:tc>
      </w:tr>
    </w:tbl>
    <w:p>
      <w:pPr>
        <w:spacing w:after="0" w:line="255" w:lineRule="exact"/>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628"/>
        <w:gridCol w:w="6368"/>
      </w:tblGrid>
      <w:tr>
        <w:trPr>
          <w:trHeight w:val="5520" w:hRule="atLeast"/>
        </w:trPr>
        <w:tc>
          <w:tcPr>
            <w:tcW w:w="1259" w:type="dxa"/>
          </w:tcPr>
          <w:p>
            <w:pPr>
              <w:pStyle w:val="TableParagraph"/>
              <w:ind w:left="0"/>
              <w:rPr>
                <w:rFonts w:ascii="Times New Roman"/>
                <w:sz w:val="20"/>
              </w:rPr>
            </w:pPr>
          </w:p>
        </w:tc>
        <w:tc>
          <w:tcPr>
            <w:tcW w:w="1628" w:type="dxa"/>
          </w:tcPr>
          <w:p>
            <w:pPr>
              <w:pStyle w:val="TableParagraph"/>
              <w:ind w:left="0"/>
              <w:rPr>
                <w:rFonts w:ascii="Times New Roman"/>
                <w:sz w:val="20"/>
              </w:rPr>
            </w:pPr>
          </w:p>
        </w:tc>
        <w:tc>
          <w:tcPr>
            <w:tcW w:w="6368" w:type="dxa"/>
          </w:tcPr>
          <w:p>
            <w:pPr>
              <w:pStyle w:val="TableParagraph"/>
              <w:spacing w:line="211" w:lineRule="exact"/>
              <w:ind w:left="329"/>
              <w:rPr>
                <w:sz w:val="21"/>
              </w:rPr>
            </w:pPr>
            <w:r>
              <w:rPr>
                <w:sz w:val="21"/>
              </w:rPr>
              <w:t>二、身故保险金</w:t>
            </w:r>
          </w:p>
          <w:p>
            <w:pPr>
              <w:pStyle w:val="TableParagraph"/>
              <w:spacing w:line="300" w:lineRule="auto" w:before="68"/>
              <w:ind w:left="329" w:right="150"/>
              <w:rPr>
                <w:sz w:val="21"/>
              </w:rPr>
            </w:pPr>
            <w:r>
              <w:rPr>
                <w:sz w:val="21"/>
              </w:rPr>
              <w:t>在申请身故保险金时，身故保险金受益人须填写保险金给付申请书，并提供下列证明和资料：</w:t>
            </w:r>
          </w:p>
          <w:p>
            <w:pPr>
              <w:pStyle w:val="TableParagraph"/>
              <w:numPr>
                <w:ilvl w:val="0"/>
                <w:numId w:val="2"/>
              </w:numPr>
              <w:tabs>
                <w:tab w:pos="690" w:val="left" w:leader="none"/>
              </w:tabs>
              <w:spacing w:line="240" w:lineRule="auto" w:before="15" w:after="0"/>
              <w:ind w:left="689" w:right="0" w:hanging="360"/>
              <w:jc w:val="left"/>
              <w:rPr>
                <w:sz w:val="21"/>
              </w:rPr>
            </w:pPr>
            <w:r>
              <w:rPr>
                <w:spacing w:val="-3"/>
                <w:sz w:val="21"/>
              </w:rPr>
              <w:t>保险单及其他保险凭证；</w:t>
            </w:r>
          </w:p>
          <w:p>
            <w:pPr>
              <w:pStyle w:val="TableParagraph"/>
              <w:numPr>
                <w:ilvl w:val="0"/>
                <w:numId w:val="2"/>
              </w:numPr>
              <w:tabs>
                <w:tab w:pos="690" w:val="left" w:leader="none"/>
              </w:tabs>
              <w:spacing w:line="300" w:lineRule="auto" w:before="68" w:after="0"/>
              <w:ind w:left="689" w:right="102" w:hanging="360"/>
              <w:jc w:val="left"/>
              <w:rPr>
                <w:sz w:val="21"/>
              </w:rPr>
            </w:pPr>
            <w:r>
              <w:rPr>
                <w:spacing w:val="-10"/>
                <w:sz w:val="21"/>
              </w:rPr>
              <w:t>身故保险金受益人的有效身份证件，以及与被保险人身份关系证明；</w:t>
            </w:r>
          </w:p>
          <w:p>
            <w:pPr>
              <w:pStyle w:val="TableParagraph"/>
              <w:numPr>
                <w:ilvl w:val="0"/>
                <w:numId w:val="2"/>
              </w:numPr>
              <w:tabs>
                <w:tab w:pos="690" w:val="left" w:leader="none"/>
              </w:tabs>
              <w:spacing w:line="300" w:lineRule="auto" w:before="16" w:after="0"/>
              <w:ind w:left="689" w:right="102" w:hanging="360"/>
              <w:jc w:val="left"/>
              <w:rPr>
                <w:sz w:val="21"/>
              </w:rPr>
            </w:pPr>
            <w:r>
              <w:rPr>
                <w:spacing w:val="-10"/>
                <w:sz w:val="21"/>
              </w:rPr>
              <w:t>国家卫生行政部门认定的医疗机构、公安部门或其他相关机构</w:t>
            </w:r>
            <w:r>
              <w:rPr>
                <w:spacing w:val="-3"/>
                <w:sz w:val="21"/>
              </w:rPr>
              <w:t>出具的被保险人的死亡证明及户口注销证明；</w:t>
            </w:r>
          </w:p>
          <w:p>
            <w:pPr>
              <w:pStyle w:val="TableParagraph"/>
              <w:numPr>
                <w:ilvl w:val="0"/>
                <w:numId w:val="2"/>
              </w:numPr>
              <w:tabs>
                <w:tab w:pos="690" w:val="left" w:leader="none"/>
              </w:tabs>
              <w:spacing w:line="300" w:lineRule="auto" w:before="16" w:after="0"/>
              <w:ind w:left="689" w:right="102" w:hanging="360"/>
              <w:jc w:val="left"/>
              <w:rPr>
                <w:sz w:val="21"/>
              </w:rPr>
            </w:pPr>
            <w:r>
              <w:rPr>
                <w:spacing w:val="-12"/>
                <w:sz w:val="21"/>
              </w:rPr>
              <w:t>如被保险人为宣告死亡，身故保险金受益人须提供人民法院出</w:t>
            </w:r>
            <w:r>
              <w:rPr>
                <w:spacing w:val="-6"/>
                <w:sz w:val="21"/>
              </w:rPr>
              <w:t>具的宣告死亡证明文件；</w:t>
            </w:r>
          </w:p>
          <w:p>
            <w:pPr>
              <w:pStyle w:val="TableParagraph"/>
              <w:numPr>
                <w:ilvl w:val="0"/>
                <w:numId w:val="2"/>
              </w:numPr>
              <w:tabs>
                <w:tab w:pos="690" w:val="left" w:leader="none"/>
              </w:tabs>
              <w:spacing w:line="300" w:lineRule="auto" w:before="16" w:after="0"/>
              <w:ind w:left="689" w:right="1" w:hanging="360"/>
              <w:jc w:val="left"/>
              <w:rPr>
                <w:sz w:val="21"/>
              </w:rPr>
            </w:pPr>
            <w:r>
              <w:rPr>
                <w:spacing w:val="-3"/>
                <w:sz w:val="21"/>
              </w:rPr>
              <w:t>身故保险金受益人所能提供的与确认保险事故的时间、性质、原因等相关的其他证明和资料。</w:t>
            </w:r>
          </w:p>
          <w:p>
            <w:pPr>
              <w:pStyle w:val="TableParagraph"/>
              <w:spacing w:line="300" w:lineRule="auto" w:before="15"/>
              <w:ind w:left="329" w:right="98"/>
              <w:rPr>
                <w:sz w:val="21"/>
              </w:rPr>
            </w:pPr>
            <w:r>
              <w:rPr>
                <w:sz w:val="21"/>
              </w:rPr>
              <w:t>保险金作为被保险人遗产时,必须提供可证明合法继承权的相关权利文件。</w:t>
            </w:r>
          </w:p>
          <w:p>
            <w:pPr>
              <w:pStyle w:val="TableParagraph"/>
              <w:spacing w:line="273" w:lineRule="auto" w:before="1"/>
              <w:ind w:left="329" w:right="150"/>
              <w:rPr>
                <w:sz w:val="21"/>
              </w:rPr>
            </w:pPr>
            <w:r>
              <w:rPr>
                <w:sz w:val="21"/>
              </w:rPr>
              <w:t>以上证明和资料不完整的，本公司将及时一次性通知申请人补充提供有关证明和资料。</w:t>
            </w:r>
          </w:p>
        </w:tc>
      </w:tr>
      <w:tr>
        <w:trPr>
          <w:trHeight w:val="4056" w:hRule="atLeast"/>
        </w:trPr>
        <w:tc>
          <w:tcPr>
            <w:tcW w:w="1259" w:type="dxa"/>
          </w:tcPr>
          <w:p>
            <w:pPr>
              <w:pStyle w:val="TableParagraph"/>
              <w:spacing w:before="142"/>
              <w:rPr>
                <w:sz w:val="21"/>
              </w:rPr>
            </w:pPr>
            <w:r>
              <w:rPr>
                <w:sz w:val="21"/>
              </w:rPr>
              <w:t>第十四条</w:t>
            </w:r>
          </w:p>
        </w:tc>
        <w:tc>
          <w:tcPr>
            <w:tcW w:w="1628" w:type="dxa"/>
          </w:tcPr>
          <w:p>
            <w:pPr>
              <w:pStyle w:val="TableParagraph"/>
              <w:spacing w:before="142"/>
              <w:ind w:left="308"/>
              <w:rPr>
                <w:sz w:val="21"/>
              </w:rPr>
            </w:pPr>
            <w:r>
              <w:rPr>
                <w:sz w:val="21"/>
              </w:rPr>
              <w:t>保险金给付</w:t>
            </w:r>
          </w:p>
        </w:tc>
        <w:tc>
          <w:tcPr>
            <w:tcW w:w="6368" w:type="dxa"/>
          </w:tcPr>
          <w:p>
            <w:pPr>
              <w:pStyle w:val="TableParagraph"/>
              <w:spacing w:line="273" w:lineRule="auto" w:before="142"/>
              <w:ind w:left="329" w:right="150"/>
              <w:jc w:val="both"/>
              <w:rPr>
                <w:sz w:val="21"/>
              </w:rPr>
            </w:pPr>
            <w:r>
              <w:rPr>
                <w:sz w:val="21"/>
              </w:rPr>
              <w:t>本公司在收到保险金给付申请书及合同约定的证明和资料后，将及时作出核定；情形复杂的，在 30 日内作出核定。</w:t>
            </w:r>
          </w:p>
          <w:p>
            <w:pPr>
              <w:pStyle w:val="TableParagraph"/>
              <w:spacing w:before="7"/>
              <w:ind w:left="329"/>
              <w:rPr>
                <w:sz w:val="21"/>
              </w:rPr>
            </w:pPr>
            <w:r>
              <w:rPr>
                <w:sz w:val="21"/>
              </w:rPr>
              <w:t>对属于保险责任的，本公司在与受益人达成给付保险金的协议后</w:t>
            </w:r>
          </w:p>
          <w:p>
            <w:pPr>
              <w:pStyle w:val="TableParagraph"/>
              <w:spacing w:before="37"/>
              <w:ind w:left="329"/>
              <w:rPr>
                <w:sz w:val="21"/>
              </w:rPr>
            </w:pPr>
            <w:r>
              <w:rPr>
                <w:sz w:val="21"/>
              </w:rPr>
              <w:t>10 日内，履行给付保险金义务。</w:t>
            </w:r>
          </w:p>
          <w:p>
            <w:pPr>
              <w:pStyle w:val="TableParagraph"/>
              <w:spacing w:line="273" w:lineRule="auto" w:before="37"/>
              <w:ind w:left="329" w:right="150"/>
              <w:jc w:val="both"/>
              <w:rPr>
                <w:sz w:val="21"/>
              </w:rPr>
            </w:pPr>
            <w:r>
              <w:rPr>
                <w:sz w:val="21"/>
              </w:rPr>
              <w:t>本公司未及时履行前款规定义务的，除支付保险金外，应当赔偿受益人因此受到的损失。</w:t>
            </w:r>
          </w:p>
          <w:p>
            <w:pPr>
              <w:pStyle w:val="TableParagraph"/>
              <w:spacing w:line="273" w:lineRule="auto" w:before="7"/>
              <w:ind w:left="329" w:right="151"/>
              <w:jc w:val="both"/>
              <w:rPr>
                <w:sz w:val="21"/>
              </w:rPr>
            </w:pPr>
            <w:r>
              <w:rPr>
                <w:spacing w:val="-5"/>
                <w:sz w:val="21"/>
              </w:rPr>
              <w:t>对不属于保险责任的，本公司自作出核定之日起 </w:t>
            </w:r>
            <w:r>
              <w:rPr>
                <w:sz w:val="21"/>
              </w:rPr>
              <w:t>3</w:t>
            </w:r>
            <w:r>
              <w:rPr>
                <w:spacing w:val="-8"/>
                <w:sz w:val="21"/>
              </w:rPr>
              <w:t> 日内向受益人</w:t>
            </w:r>
            <w:r>
              <w:rPr>
                <w:spacing w:val="-5"/>
                <w:sz w:val="21"/>
              </w:rPr>
              <w:t>发出拒绝给付保险金通知书并说明理由。</w:t>
            </w:r>
          </w:p>
          <w:p>
            <w:pPr>
              <w:pStyle w:val="TableParagraph"/>
              <w:spacing w:line="273" w:lineRule="auto" w:before="7"/>
              <w:ind w:left="329" w:right="103"/>
              <w:jc w:val="both"/>
              <w:rPr>
                <w:sz w:val="21"/>
              </w:rPr>
            </w:pPr>
            <w:r>
              <w:rPr>
                <w:spacing w:val="-6"/>
                <w:sz w:val="21"/>
              </w:rPr>
              <w:t>本公司自收到有关证明和资料之日起 </w:t>
            </w:r>
            <w:r>
              <w:rPr>
                <w:sz w:val="21"/>
              </w:rPr>
              <w:t>60</w:t>
            </w:r>
            <w:r>
              <w:rPr>
                <w:spacing w:val="-11"/>
                <w:sz w:val="21"/>
              </w:rPr>
              <w:t> 日内，对属于保险责任而</w:t>
            </w:r>
            <w:r>
              <w:rPr>
                <w:spacing w:val="-6"/>
                <w:sz w:val="21"/>
              </w:rPr>
              <w:t>给付保险金的数额不能确定的，根据已有证明和资料可以确定的</w:t>
            </w:r>
            <w:r>
              <w:rPr>
                <w:spacing w:val="-4"/>
                <w:sz w:val="21"/>
              </w:rPr>
              <w:t>数额先予支付，本公司最终确定给付保险金的数额后，将支付相</w:t>
            </w:r>
            <w:r>
              <w:rPr>
                <w:spacing w:val="-3"/>
                <w:sz w:val="21"/>
              </w:rPr>
              <w:t>应的差额。</w:t>
            </w:r>
          </w:p>
        </w:tc>
      </w:tr>
      <w:tr>
        <w:trPr>
          <w:trHeight w:val="2027" w:hRule="atLeast"/>
        </w:trPr>
        <w:tc>
          <w:tcPr>
            <w:tcW w:w="1259" w:type="dxa"/>
          </w:tcPr>
          <w:p>
            <w:pPr>
              <w:pStyle w:val="TableParagraph"/>
              <w:spacing w:before="142"/>
              <w:rPr>
                <w:sz w:val="21"/>
              </w:rPr>
            </w:pPr>
            <w:r>
              <w:rPr>
                <w:sz w:val="21"/>
              </w:rPr>
              <w:t>第十五条</w:t>
            </w:r>
          </w:p>
        </w:tc>
        <w:tc>
          <w:tcPr>
            <w:tcW w:w="1628" w:type="dxa"/>
          </w:tcPr>
          <w:p>
            <w:pPr>
              <w:pStyle w:val="TableParagraph"/>
              <w:spacing w:before="142"/>
              <w:ind w:left="308"/>
              <w:rPr>
                <w:sz w:val="21"/>
              </w:rPr>
            </w:pPr>
            <w:r>
              <w:rPr>
                <w:sz w:val="21"/>
              </w:rPr>
              <w:t>宣告死亡处理</w:t>
            </w:r>
          </w:p>
        </w:tc>
        <w:tc>
          <w:tcPr>
            <w:tcW w:w="6368" w:type="dxa"/>
          </w:tcPr>
          <w:p>
            <w:pPr>
              <w:pStyle w:val="TableParagraph"/>
              <w:spacing w:line="273" w:lineRule="auto" w:before="142"/>
              <w:ind w:left="329" w:right="105"/>
              <w:jc w:val="both"/>
              <w:rPr>
                <w:sz w:val="21"/>
              </w:rPr>
            </w:pPr>
            <w:r>
              <w:rPr>
                <w:sz w:val="21"/>
              </w:rPr>
              <w:t>在本合同有效期内被保险人下落不明，且被人民法院宣告死亡， 本公司将以判决宣告之日为其死亡的日期。</w:t>
            </w:r>
          </w:p>
          <w:p>
            <w:pPr>
              <w:pStyle w:val="TableParagraph"/>
              <w:spacing w:line="273" w:lineRule="auto" w:before="7"/>
              <w:ind w:left="329" w:right="150"/>
              <w:jc w:val="both"/>
              <w:rPr>
                <w:sz w:val="21"/>
              </w:rPr>
            </w:pPr>
            <w:r>
              <w:rPr>
                <w:sz w:val="21"/>
              </w:rPr>
              <w:t>若被保险人在宣告死亡后重新出现或确知其没有死亡，身故保险金的受领人应于知道或应当知道被保险人重新出现或确知其没有死亡之日起 30 日内退还本公司已给付的身故保险金。</w:t>
            </w:r>
          </w:p>
        </w:tc>
      </w:tr>
      <w:tr>
        <w:trPr>
          <w:trHeight w:val="312" w:hRule="atLeast"/>
        </w:trPr>
        <w:tc>
          <w:tcPr>
            <w:tcW w:w="1259" w:type="dxa"/>
            <w:shd w:val="clear" w:color="auto" w:fill="C5C5C5"/>
          </w:tcPr>
          <w:p>
            <w:pPr>
              <w:pStyle w:val="TableParagraph"/>
              <w:spacing w:line="262" w:lineRule="exact"/>
              <w:rPr>
                <w:b/>
                <w:sz w:val="21"/>
              </w:rPr>
            </w:pPr>
            <w:r>
              <w:rPr>
                <w:b/>
                <w:sz w:val="21"/>
              </w:rPr>
              <w:t>第六章</w:t>
            </w:r>
          </w:p>
        </w:tc>
        <w:tc>
          <w:tcPr>
            <w:tcW w:w="1628" w:type="dxa"/>
            <w:shd w:val="clear" w:color="auto" w:fill="C5C5C5"/>
          </w:tcPr>
          <w:p>
            <w:pPr>
              <w:pStyle w:val="TableParagraph"/>
              <w:spacing w:line="262" w:lineRule="exact"/>
              <w:ind w:left="308"/>
              <w:rPr>
                <w:b/>
                <w:sz w:val="21"/>
              </w:rPr>
            </w:pPr>
            <w:r>
              <w:rPr>
                <w:b/>
                <w:sz w:val="21"/>
              </w:rPr>
              <w:t>合同变更事项</w:t>
            </w:r>
          </w:p>
        </w:tc>
        <w:tc>
          <w:tcPr>
            <w:tcW w:w="6368" w:type="dxa"/>
            <w:shd w:val="clear" w:color="auto" w:fill="C5C5C5"/>
          </w:tcPr>
          <w:p>
            <w:pPr>
              <w:pStyle w:val="TableParagraph"/>
              <w:ind w:left="0"/>
              <w:rPr>
                <w:rFonts w:ascii="Times New Roman"/>
                <w:sz w:val="20"/>
              </w:rPr>
            </w:pPr>
          </w:p>
        </w:tc>
      </w:tr>
      <w:tr>
        <w:trPr>
          <w:trHeight w:val="886" w:hRule="atLeast"/>
        </w:trPr>
        <w:tc>
          <w:tcPr>
            <w:tcW w:w="1259" w:type="dxa"/>
          </w:tcPr>
          <w:p>
            <w:pPr>
              <w:pStyle w:val="TableParagraph"/>
              <w:spacing w:line="262" w:lineRule="exact"/>
              <w:rPr>
                <w:sz w:val="21"/>
              </w:rPr>
            </w:pPr>
            <w:r>
              <w:rPr>
                <w:sz w:val="21"/>
              </w:rPr>
              <w:t>第十六条</w:t>
            </w:r>
          </w:p>
        </w:tc>
        <w:tc>
          <w:tcPr>
            <w:tcW w:w="1628" w:type="dxa"/>
          </w:tcPr>
          <w:p>
            <w:pPr>
              <w:pStyle w:val="TableParagraph"/>
              <w:spacing w:line="273" w:lineRule="auto"/>
              <w:ind w:left="308" w:right="264"/>
              <w:rPr>
                <w:sz w:val="21"/>
              </w:rPr>
            </w:pPr>
            <w:r>
              <w:rPr>
                <w:sz w:val="21"/>
              </w:rPr>
              <w:t>被保险人变动</w:t>
            </w:r>
          </w:p>
        </w:tc>
        <w:tc>
          <w:tcPr>
            <w:tcW w:w="6368" w:type="dxa"/>
          </w:tcPr>
          <w:p>
            <w:pPr>
              <w:pStyle w:val="TableParagraph"/>
              <w:spacing w:line="273" w:lineRule="auto"/>
              <w:ind w:left="490" w:right="198" w:hanging="435"/>
              <w:rPr>
                <w:sz w:val="21"/>
              </w:rPr>
            </w:pPr>
            <w:r>
              <w:rPr>
                <w:sz w:val="21"/>
              </w:rPr>
              <w:t>一、投保人因人员变动需要增加被保险人的，应书面通知本公司， 本公司审核同意并收取相应保险费后，签发相应批单作为本合</w:t>
            </w:r>
          </w:p>
          <w:p>
            <w:pPr>
              <w:pStyle w:val="TableParagraph"/>
              <w:spacing w:line="255" w:lineRule="exact" w:before="20"/>
              <w:ind w:left="490"/>
              <w:rPr>
                <w:sz w:val="21"/>
              </w:rPr>
            </w:pPr>
            <w:r>
              <w:rPr>
                <w:sz w:val="21"/>
              </w:rPr>
              <w:t>同附件，并自批单所载明的生效日零时开始对增加的被保险人</w:t>
            </w:r>
          </w:p>
        </w:tc>
      </w:tr>
    </w:tbl>
    <w:p>
      <w:pPr>
        <w:spacing w:after="0" w:line="255" w:lineRule="exact"/>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494"/>
        <w:gridCol w:w="6500"/>
      </w:tblGrid>
      <w:tr>
        <w:trPr>
          <w:trHeight w:val="4162" w:hRule="atLeast"/>
        </w:trPr>
        <w:tc>
          <w:tcPr>
            <w:tcW w:w="1259" w:type="dxa"/>
          </w:tcPr>
          <w:p>
            <w:pPr>
              <w:pStyle w:val="TableParagraph"/>
              <w:ind w:left="0"/>
              <w:rPr>
                <w:rFonts w:ascii="Times New Roman"/>
                <w:sz w:val="20"/>
              </w:rPr>
            </w:pPr>
          </w:p>
        </w:tc>
        <w:tc>
          <w:tcPr>
            <w:tcW w:w="1494" w:type="dxa"/>
          </w:tcPr>
          <w:p>
            <w:pPr>
              <w:pStyle w:val="TableParagraph"/>
              <w:ind w:left="0"/>
              <w:rPr>
                <w:rFonts w:ascii="Times New Roman"/>
                <w:sz w:val="20"/>
              </w:rPr>
            </w:pPr>
          </w:p>
        </w:tc>
        <w:tc>
          <w:tcPr>
            <w:tcW w:w="6500" w:type="dxa"/>
          </w:tcPr>
          <w:p>
            <w:pPr>
              <w:pStyle w:val="TableParagraph"/>
              <w:spacing w:line="211" w:lineRule="exact"/>
              <w:ind w:left="624"/>
              <w:rPr>
                <w:sz w:val="21"/>
              </w:rPr>
            </w:pPr>
            <w:r>
              <w:rPr>
                <w:sz w:val="21"/>
              </w:rPr>
              <w:t>承担保险责任。</w:t>
            </w:r>
          </w:p>
          <w:p>
            <w:pPr>
              <w:pStyle w:val="TableParagraph"/>
              <w:spacing w:line="273" w:lineRule="auto" w:before="37"/>
              <w:ind w:left="624" w:right="95" w:hanging="476"/>
              <w:jc w:val="both"/>
              <w:rPr>
                <w:sz w:val="21"/>
              </w:rPr>
            </w:pPr>
            <w:r>
              <w:rPr>
                <w:sz w:val="21"/>
              </w:rPr>
              <w:t>二、 投保人因被保险人离职或其它原因需要减少被保险人的，应以书面形式通知本公司，除另有约定外，本合同对该被保险人所承担的保险责任自通知到达次日零时起终止。如投保人要求的减少被保险人的日期在通知到达日之后，则本合同对该被保险人的保险责任自通知注明的减少被保险人的日期零时起终止。若未发生对减保人员的保险金给付，犹豫期内减少被保险人， 本公司向投保人无息退还该被保险人对应的全额保险费，犹豫期后减少被保险人，本公司向投保人退还该被保险人的现金价值；若已发生对减保人员的保险金给付，则本公司不予退还该被保险人的保险费或现金价值。</w:t>
            </w:r>
          </w:p>
          <w:p>
            <w:pPr>
              <w:pStyle w:val="TableParagraph"/>
              <w:spacing w:line="273" w:lineRule="auto" w:before="7"/>
              <w:ind w:left="624" w:right="100" w:hanging="476"/>
              <w:jc w:val="both"/>
              <w:rPr>
                <w:sz w:val="21"/>
              </w:rPr>
            </w:pPr>
            <w:r>
              <w:rPr>
                <w:spacing w:val="-12"/>
                <w:sz w:val="21"/>
              </w:rPr>
              <w:t>三、 若被保险人少于 </w:t>
            </w:r>
            <w:r>
              <w:rPr>
                <w:sz w:val="21"/>
              </w:rPr>
              <w:t>5</w:t>
            </w:r>
            <w:r>
              <w:rPr>
                <w:spacing w:val="-12"/>
                <w:sz w:val="21"/>
              </w:rPr>
              <w:t> 人或参保比例不足 </w:t>
            </w:r>
            <w:r>
              <w:rPr>
                <w:sz w:val="21"/>
              </w:rPr>
              <w:t>75</w:t>
            </w:r>
            <w:r>
              <w:rPr>
                <w:spacing w:val="-10"/>
                <w:sz w:val="21"/>
              </w:rPr>
              <w:t>%投保的，本公司有权解</w:t>
            </w:r>
            <w:r>
              <w:rPr>
                <w:spacing w:val="-5"/>
                <w:sz w:val="21"/>
              </w:rPr>
              <w:t>除本合同，并向投保人退还本合同的现金价值。</w:t>
            </w:r>
          </w:p>
        </w:tc>
      </w:tr>
      <w:tr>
        <w:trPr>
          <w:trHeight w:val="1248" w:hRule="atLeast"/>
        </w:trPr>
        <w:tc>
          <w:tcPr>
            <w:tcW w:w="1259" w:type="dxa"/>
          </w:tcPr>
          <w:p>
            <w:pPr>
              <w:pStyle w:val="TableParagraph"/>
              <w:spacing w:before="142"/>
              <w:rPr>
                <w:sz w:val="21"/>
              </w:rPr>
            </w:pPr>
            <w:r>
              <w:rPr>
                <w:sz w:val="21"/>
              </w:rPr>
              <w:t>第十七条</w:t>
            </w:r>
          </w:p>
        </w:tc>
        <w:tc>
          <w:tcPr>
            <w:tcW w:w="1494" w:type="dxa"/>
          </w:tcPr>
          <w:p>
            <w:pPr>
              <w:pStyle w:val="TableParagraph"/>
              <w:spacing w:before="142"/>
              <w:ind w:left="287" w:right="320"/>
              <w:jc w:val="center"/>
              <w:rPr>
                <w:sz w:val="21"/>
              </w:rPr>
            </w:pPr>
            <w:r>
              <w:rPr>
                <w:sz w:val="21"/>
              </w:rPr>
              <w:t>地址变更</w:t>
            </w:r>
          </w:p>
        </w:tc>
        <w:tc>
          <w:tcPr>
            <w:tcW w:w="6500" w:type="dxa"/>
          </w:tcPr>
          <w:p>
            <w:pPr>
              <w:pStyle w:val="TableParagraph"/>
              <w:spacing w:line="273" w:lineRule="auto" w:before="142"/>
              <w:ind w:left="139" w:right="100"/>
              <w:jc w:val="both"/>
              <w:rPr>
                <w:sz w:val="21"/>
              </w:rPr>
            </w:pPr>
            <w:r>
              <w:rPr>
                <w:spacing w:val="-6"/>
                <w:sz w:val="21"/>
              </w:rPr>
              <w:t>投保人住所或通讯地址变更时，应及时以书面形式通知本公司，投保</w:t>
            </w:r>
            <w:r>
              <w:rPr>
                <w:spacing w:val="-9"/>
                <w:sz w:val="21"/>
              </w:rPr>
              <w:t>人未以书面形式通知的，本公司将按本合同注明的最后住所或通讯地</w:t>
            </w:r>
            <w:r>
              <w:rPr>
                <w:spacing w:val="-5"/>
                <w:sz w:val="21"/>
              </w:rPr>
              <w:t>址发送有关通知，并视为已送达投保人。</w:t>
            </w:r>
          </w:p>
        </w:tc>
      </w:tr>
      <w:tr>
        <w:trPr>
          <w:trHeight w:val="1247" w:hRule="atLeast"/>
        </w:trPr>
        <w:tc>
          <w:tcPr>
            <w:tcW w:w="1259" w:type="dxa"/>
          </w:tcPr>
          <w:p>
            <w:pPr>
              <w:pStyle w:val="TableParagraph"/>
              <w:spacing w:before="142"/>
              <w:rPr>
                <w:sz w:val="21"/>
              </w:rPr>
            </w:pPr>
            <w:r>
              <w:rPr>
                <w:sz w:val="21"/>
              </w:rPr>
              <w:t>第十八条</w:t>
            </w:r>
          </w:p>
        </w:tc>
        <w:tc>
          <w:tcPr>
            <w:tcW w:w="1494" w:type="dxa"/>
          </w:tcPr>
          <w:p>
            <w:pPr>
              <w:pStyle w:val="TableParagraph"/>
              <w:spacing w:line="273" w:lineRule="auto" w:before="142"/>
              <w:ind w:left="308" w:right="130"/>
              <w:rPr>
                <w:sz w:val="21"/>
              </w:rPr>
            </w:pPr>
            <w:r>
              <w:rPr>
                <w:sz w:val="21"/>
              </w:rPr>
              <w:t>合同内容变更</w:t>
            </w:r>
          </w:p>
        </w:tc>
        <w:tc>
          <w:tcPr>
            <w:tcW w:w="6500" w:type="dxa"/>
          </w:tcPr>
          <w:p>
            <w:pPr>
              <w:pStyle w:val="TableParagraph"/>
              <w:spacing w:line="273" w:lineRule="auto" w:before="142"/>
              <w:ind w:left="139" w:right="52"/>
              <w:jc w:val="both"/>
              <w:rPr>
                <w:sz w:val="21"/>
              </w:rPr>
            </w:pPr>
            <w:r>
              <w:rPr>
                <w:sz w:val="21"/>
              </w:rPr>
              <w:t>投保人变更本合同的，应填写变更合同申请书，经本公司审核同意， 并在本合同的保险单或其它保险凭证上加以批注，或由投保人和本公司订立合同变更的书面协议后生效。</w:t>
            </w:r>
          </w:p>
        </w:tc>
      </w:tr>
      <w:tr>
        <w:trPr>
          <w:trHeight w:val="2963" w:hRule="atLeast"/>
        </w:trPr>
        <w:tc>
          <w:tcPr>
            <w:tcW w:w="1259" w:type="dxa"/>
          </w:tcPr>
          <w:p>
            <w:pPr>
              <w:pStyle w:val="TableParagraph"/>
              <w:spacing w:before="142"/>
              <w:rPr>
                <w:sz w:val="21"/>
              </w:rPr>
            </w:pPr>
            <w:r>
              <w:rPr>
                <w:sz w:val="21"/>
              </w:rPr>
              <w:t>第十九条</w:t>
            </w:r>
          </w:p>
        </w:tc>
        <w:tc>
          <w:tcPr>
            <w:tcW w:w="1494" w:type="dxa"/>
          </w:tcPr>
          <w:p>
            <w:pPr>
              <w:pStyle w:val="TableParagraph"/>
              <w:spacing w:line="273" w:lineRule="auto" w:before="142"/>
              <w:ind w:left="308" w:right="130"/>
              <w:jc w:val="both"/>
              <w:rPr>
                <w:sz w:val="21"/>
              </w:rPr>
            </w:pPr>
            <w:r>
              <w:rPr>
                <w:sz w:val="21"/>
              </w:rPr>
              <w:t>投保人解除合同的手续及风险</w:t>
            </w:r>
          </w:p>
        </w:tc>
        <w:tc>
          <w:tcPr>
            <w:tcW w:w="6500" w:type="dxa"/>
          </w:tcPr>
          <w:p>
            <w:pPr>
              <w:pStyle w:val="TableParagraph"/>
              <w:spacing w:line="273" w:lineRule="auto" w:before="142"/>
              <w:ind w:left="139" w:right="100"/>
              <w:jc w:val="both"/>
              <w:rPr>
                <w:sz w:val="21"/>
              </w:rPr>
            </w:pPr>
            <w:r>
              <w:rPr>
                <w:spacing w:val="-5"/>
                <w:sz w:val="21"/>
              </w:rPr>
              <w:t>在本合同有效期内，且在投保人自本合同签收日起 </w:t>
            </w:r>
            <w:r>
              <w:rPr>
                <w:sz w:val="21"/>
              </w:rPr>
              <w:t>10</w:t>
            </w:r>
            <w:r>
              <w:rPr>
                <w:spacing w:val="-8"/>
                <w:sz w:val="21"/>
              </w:rPr>
              <w:t> 日后，如未发</w:t>
            </w:r>
            <w:r>
              <w:rPr>
                <w:spacing w:val="-10"/>
                <w:sz w:val="21"/>
              </w:rPr>
              <w:t>生保险金给付，投保人申请解除本合同，应填写解除合同申请书并向</w:t>
            </w:r>
            <w:r>
              <w:rPr>
                <w:spacing w:val="-5"/>
                <w:sz w:val="21"/>
              </w:rPr>
              <w:t>本公司提供下列资料：</w:t>
            </w:r>
          </w:p>
          <w:p>
            <w:pPr>
              <w:pStyle w:val="TableParagraph"/>
              <w:spacing w:before="7"/>
              <w:ind w:left="132"/>
              <w:rPr>
                <w:sz w:val="21"/>
              </w:rPr>
            </w:pPr>
            <w:r>
              <w:rPr>
                <w:sz w:val="21"/>
              </w:rPr>
              <w:t>一、保险单及其它保险凭证；</w:t>
            </w:r>
          </w:p>
          <w:p>
            <w:pPr>
              <w:pStyle w:val="TableParagraph"/>
              <w:spacing w:before="37"/>
              <w:ind w:left="132"/>
              <w:rPr>
                <w:sz w:val="21"/>
              </w:rPr>
            </w:pPr>
            <w:r>
              <w:rPr>
                <w:sz w:val="21"/>
              </w:rPr>
              <w:t>二、表明被保险人已知悉解除本合同事宜的证明文件。</w:t>
            </w:r>
          </w:p>
          <w:p>
            <w:pPr>
              <w:pStyle w:val="TableParagraph"/>
              <w:spacing w:line="273" w:lineRule="auto" w:before="37"/>
              <w:ind w:left="139" w:right="47"/>
              <w:rPr>
                <w:sz w:val="21"/>
              </w:rPr>
            </w:pPr>
            <w:r>
              <w:rPr>
                <w:sz w:val="21"/>
              </w:rPr>
              <w:t>自本公司收到解除合同申请书及上述文件时起，本合同终止。本公司于收到上述文件之日起 30 日内向投保人退还本合同的现金价值。投保人解除合同会遭受一定损失。</w:t>
            </w:r>
          </w:p>
        </w:tc>
      </w:tr>
      <w:tr>
        <w:trPr>
          <w:trHeight w:val="312" w:hRule="atLeast"/>
        </w:trPr>
        <w:tc>
          <w:tcPr>
            <w:tcW w:w="1259" w:type="dxa"/>
            <w:shd w:val="clear" w:color="auto" w:fill="C5C5C5"/>
          </w:tcPr>
          <w:p>
            <w:pPr>
              <w:pStyle w:val="TableParagraph"/>
              <w:spacing w:line="262" w:lineRule="exact"/>
              <w:rPr>
                <w:b/>
                <w:sz w:val="21"/>
              </w:rPr>
            </w:pPr>
            <w:r>
              <w:rPr>
                <w:b/>
                <w:sz w:val="21"/>
              </w:rPr>
              <w:t>第七章</w:t>
            </w:r>
          </w:p>
        </w:tc>
        <w:tc>
          <w:tcPr>
            <w:tcW w:w="1494" w:type="dxa"/>
            <w:shd w:val="clear" w:color="auto" w:fill="C5C5C5"/>
          </w:tcPr>
          <w:p>
            <w:pPr>
              <w:pStyle w:val="TableParagraph"/>
              <w:spacing w:line="262" w:lineRule="exact"/>
              <w:ind w:left="290" w:right="320"/>
              <w:jc w:val="center"/>
              <w:rPr>
                <w:b/>
                <w:sz w:val="21"/>
              </w:rPr>
            </w:pPr>
            <w:r>
              <w:rPr>
                <w:b/>
                <w:sz w:val="21"/>
              </w:rPr>
              <w:t>一般条款</w:t>
            </w:r>
          </w:p>
        </w:tc>
        <w:tc>
          <w:tcPr>
            <w:tcW w:w="6500" w:type="dxa"/>
            <w:shd w:val="clear" w:color="auto" w:fill="C5C5C5"/>
          </w:tcPr>
          <w:p>
            <w:pPr>
              <w:pStyle w:val="TableParagraph"/>
              <w:ind w:left="0"/>
              <w:rPr>
                <w:rFonts w:ascii="Times New Roman"/>
                <w:sz w:val="20"/>
              </w:rPr>
            </w:pPr>
          </w:p>
        </w:tc>
      </w:tr>
      <w:tr>
        <w:trPr>
          <w:trHeight w:val="2759" w:hRule="atLeast"/>
        </w:trPr>
        <w:tc>
          <w:tcPr>
            <w:tcW w:w="1259" w:type="dxa"/>
          </w:tcPr>
          <w:p>
            <w:pPr>
              <w:pStyle w:val="TableParagraph"/>
              <w:spacing w:line="262" w:lineRule="exact"/>
              <w:rPr>
                <w:sz w:val="21"/>
              </w:rPr>
            </w:pPr>
            <w:r>
              <w:rPr>
                <w:sz w:val="21"/>
              </w:rPr>
              <w:t>第二十条</w:t>
            </w:r>
          </w:p>
        </w:tc>
        <w:tc>
          <w:tcPr>
            <w:tcW w:w="1494" w:type="dxa"/>
          </w:tcPr>
          <w:p>
            <w:pPr>
              <w:pStyle w:val="TableParagraph"/>
              <w:spacing w:line="273" w:lineRule="auto"/>
              <w:ind w:left="308" w:right="130"/>
              <w:rPr>
                <w:sz w:val="21"/>
              </w:rPr>
            </w:pPr>
            <w:r>
              <w:rPr>
                <w:sz w:val="21"/>
              </w:rPr>
              <w:t>明确说明与如实告知</w:t>
            </w:r>
          </w:p>
        </w:tc>
        <w:tc>
          <w:tcPr>
            <w:tcW w:w="6500" w:type="dxa"/>
          </w:tcPr>
          <w:p>
            <w:pPr>
              <w:pStyle w:val="TableParagraph"/>
              <w:spacing w:line="262" w:lineRule="exact"/>
              <w:ind w:left="139"/>
              <w:rPr>
                <w:sz w:val="21"/>
              </w:rPr>
            </w:pPr>
            <w:r>
              <w:rPr>
                <w:sz w:val="21"/>
              </w:rPr>
              <w:t>订立本合同时，本公司应向投保人说明本合同的内容。</w:t>
            </w:r>
          </w:p>
          <w:p>
            <w:pPr>
              <w:pStyle w:val="TableParagraph"/>
              <w:spacing w:line="273" w:lineRule="auto" w:before="37"/>
              <w:ind w:left="139" w:right="52"/>
              <w:jc w:val="both"/>
              <w:rPr>
                <w:sz w:val="21"/>
              </w:rPr>
            </w:pPr>
            <w:r>
              <w:rPr>
                <w:sz w:val="21"/>
              </w:rPr>
              <w:t>对保险条款中免除本公司责任的条款，本公司在订立合同时应当在投保单、保险单或者其他保险凭证上作出足以引起投保人注意的提示， 并对该条款的内容以书面或者口头形式向投保人作出明确说明，未作提示或者明确说明的，该条款不产生效力。</w:t>
            </w:r>
          </w:p>
          <w:p>
            <w:pPr>
              <w:pStyle w:val="TableParagraph"/>
              <w:spacing w:line="273" w:lineRule="auto" w:before="7"/>
              <w:ind w:left="139" w:right="100"/>
              <w:jc w:val="both"/>
              <w:rPr>
                <w:sz w:val="21"/>
              </w:rPr>
            </w:pPr>
            <w:r>
              <w:rPr>
                <w:spacing w:val="-6"/>
                <w:sz w:val="21"/>
              </w:rPr>
              <w:t>本公司就投保人和被保险人的有关情况提出询问，投保人应当如实告知。</w:t>
            </w:r>
          </w:p>
          <w:p>
            <w:pPr>
              <w:pStyle w:val="TableParagraph"/>
              <w:spacing w:line="312" w:lineRule="exact" w:before="3"/>
              <w:ind w:left="139" w:right="100"/>
              <w:jc w:val="both"/>
              <w:rPr>
                <w:sz w:val="21"/>
              </w:rPr>
            </w:pPr>
            <w:r>
              <w:rPr>
                <w:spacing w:val="-5"/>
                <w:sz w:val="21"/>
              </w:rPr>
              <w:t>如果投保人故意或者因重大过失未履行前款规定的如实告知义务，足</w:t>
            </w:r>
            <w:r>
              <w:rPr>
                <w:spacing w:val="-6"/>
                <w:sz w:val="21"/>
              </w:rPr>
              <w:t>以影响本公司决定是否同意承保或者提高保险费率的，本公司有权解</w:t>
            </w:r>
          </w:p>
        </w:tc>
      </w:tr>
    </w:tbl>
    <w:p>
      <w:pPr>
        <w:spacing w:after="0" w:line="312" w:lineRule="exact"/>
        <w:jc w:val="both"/>
        <w:rPr>
          <w:sz w:val="21"/>
        </w:rPr>
        <w:sectPr>
          <w:pgSz w:w="11910" w:h="16840"/>
          <w:pgMar w:header="0" w:footer="919" w:top="1580" w:bottom="1100" w:left="1240" w:right="11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6"/>
        <w:gridCol w:w="1392"/>
        <w:gridCol w:w="6697"/>
      </w:tblGrid>
      <w:tr>
        <w:trPr>
          <w:trHeight w:val="2601" w:hRule="atLeast"/>
        </w:trPr>
        <w:tc>
          <w:tcPr>
            <w:tcW w:w="1456" w:type="dxa"/>
          </w:tcPr>
          <w:p>
            <w:pPr>
              <w:pStyle w:val="TableParagraph"/>
              <w:ind w:left="0"/>
              <w:rPr>
                <w:rFonts w:ascii="Times New Roman"/>
                <w:sz w:val="20"/>
              </w:rPr>
            </w:pPr>
          </w:p>
        </w:tc>
        <w:tc>
          <w:tcPr>
            <w:tcW w:w="1392" w:type="dxa"/>
          </w:tcPr>
          <w:p>
            <w:pPr>
              <w:pStyle w:val="TableParagraph"/>
              <w:ind w:left="0"/>
              <w:rPr>
                <w:rFonts w:ascii="Times New Roman"/>
                <w:sz w:val="20"/>
              </w:rPr>
            </w:pPr>
          </w:p>
        </w:tc>
        <w:tc>
          <w:tcPr>
            <w:tcW w:w="6697" w:type="dxa"/>
          </w:tcPr>
          <w:p>
            <w:pPr>
              <w:pStyle w:val="TableParagraph"/>
              <w:spacing w:line="211" w:lineRule="exact"/>
              <w:ind w:left="136"/>
              <w:rPr>
                <w:sz w:val="21"/>
              </w:rPr>
            </w:pPr>
            <w:r>
              <w:rPr>
                <w:sz w:val="21"/>
              </w:rPr>
              <w:t>除本合同。</w:t>
            </w:r>
          </w:p>
          <w:p>
            <w:pPr>
              <w:pStyle w:val="TableParagraph"/>
              <w:spacing w:line="273" w:lineRule="auto" w:before="37"/>
              <w:ind w:left="136" w:right="300"/>
              <w:jc w:val="both"/>
              <w:rPr>
                <w:sz w:val="21"/>
              </w:rPr>
            </w:pPr>
            <w:r>
              <w:rPr>
                <w:spacing w:val="-6"/>
                <w:sz w:val="21"/>
              </w:rPr>
              <w:t>如果投保人故意不履行如实告知义务，对于本合同解除前发生的保险</w:t>
            </w:r>
            <w:r>
              <w:rPr>
                <w:spacing w:val="-4"/>
                <w:sz w:val="21"/>
              </w:rPr>
              <w:t>事故，本公司不承担给付保险金的责任，并不退还保险费。</w:t>
            </w:r>
          </w:p>
          <w:p>
            <w:pPr>
              <w:pStyle w:val="TableParagraph"/>
              <w:spacing w:line="273" w:lineRule="auto" w:before="7"/>
              <w:ind w:left="136" w:right="300"/>
              <w:jc w:val="both"/>
              <w:rPr>
                <w:sz w:val="21"/>
              </w:rPr>
            </w:pPr>
            <w:r>
              <w:rPr>
                <w:spacing w:val="-6"/>
                <w:sz w:val="21"/>
              </w:rPr>
              <w:t>如果投保人因重大过失未履行如实告知义务，对保险事故的发生有严</w:t>
            </w:r>
            <w:r>
              <w:rPr>
                <w:spacing w:val="-8"/>
                <w:sz w:val="21"/>
              </w:rPr>
              <w:t>重影响的，对于本合同解除前发生的保险事故，本公司不承担给付保</w:t>
            </w:r>
            <w:r>
              <w:rPr>
                <w:spacing w:val="-5"/>
                <w:sz w:val="21"/>
              </w:rPr>
              <w:t>险金的责任，但会无息退还保险费。</w:t>
            </w:r>
          </w:p>
          <w:p>
            <w:pPr>
              <w:pStyle w:val="TableParagraph"/>
              <w:spacing w:line="273" w:lineRule="auto" w:before="7"/>
              <w:ind w:left="136" w:right="300"/>
              <w:jc w:val="both"/>
              <w:rPr>
                <w:sz w:val="21"/>
              </w:rPr>
            </w:pPr>
            <w:r>
              <w:rPr>
                <w:spacing w:val="-5"/>
                <w:sz w:val="21"/>
              </w:rPr>
              <w:t>本公司在合同订立时已经知道投保人未如实告知情况的，本公司不得</w:t>
            </w:r>
            <w:r>
              <w:rPr>
                <w:spacing w:val="-4"/>
                <w:sz w:val="21"/>
              </w:rPr>
              <w:t>解除合同；发生保险事故的，本公司承担给付保险金的责任。</w:t>
            </w:r>
          </w:p>
        </w:tc>
      </w:tr>
      <w:tr>
        <w:trPr>
          <w:trHeight w:val="1248" w:hRule="atLeast"/>
        </w:trPr>
        <w:tc>
          <w:tcPr>
            <w:tcW w:w="1456" w:type="dxa"/>
          </w:tcPr>
          <w:p>
            <w:pPr>
              <w:pStyle w:val="TableParagraph"/>
              <w:spacing w:before="142"/>
              <w:ind w:left="200"/>
              <w:rPr>
                <w:sz w:val="21"/>
              </w:rPr>
            </w:pPr>
            <w:r>
              <w:rPr>
                <w:sz w:val="21"/>
              </w:rPr>
              <w:t>第二十一条</w:t>
            </w:r>
          </w:p>
        </w:tc>
        <w:tc>
          <w:tcPr>
            <w:tcW w:w="1392" w:type="dxa"/>
          </w:tcPr>
          <w:p>
            <w:pPr>
              <w:pStyle w:val="TableParagraph"/>
              <w:spacing w:line="273" w:lineRule="auto" w:before="142"/>
              <w:ind w:left="203" w:right="133"/>
              <w:jc w:val="both"/>
              <w:rPr>
                <w:sz w:val="21"/>
              </w:rPr>
            </w:pPr>
            <w:r>
              <w:rPr>
                <w:sz w:val="21"/>
              </w:rPr>
              <w:t>本公司合同解除权的限制</w:t>
            </w:r>
          </w:p>
        </w:tc>
        <w:tc>
          <w:tcPr>
            <w:tcW w:w="6697" w:type="dxa"/>
          </w:tcPr>
          <w:p>
            <w:pPr>
              <w:pStyle w:val="TableParagraph"/>
              <w:spacing w:before="142"/>
              <w:ind w:left="136"/>
              <w:rPr>
                <w:sz w:val="21"/>
              </w:rPr>
            </w:pPr>
            <w:r>
              <w:rPr>
                <w:sz w:val="21"/>
              </w:rPr>
              <w:t>前条规定的合同解除权，自本公司知道有解除事由之日起，超过 30</w:t>
            </w:r>
          </w:p>
          <w:p>
            <w:pPr>
              <w:pStyle w:val="TableParagraph"/>
              <w:spacing w:line="273" w:lineRule="auto" w:before="36"/>
              <w:ind w:left="136" w:right="301"/>
              <w:rPr>
                <w:sz w:val="21"/>
              </w:rPr>
            </w:pPr>
            <w:r>
              <w:rPr>
                <w:spacing w:val="-8"/>
                <w:sz w:val="21"/>
              </w:rPr>
              <w:t>日不行使而消灭。自本合同成立之日起超过 </w:t>
            </w:r>
            <w:r>
              <w:rPr>
                <w:sz w:val="21"/>
              </w:rPr>
              <w:t>2</w:t>
            </w:r>
            <w:r>
              <w:rPr>
                <w:spacing w:val="-10"/>
                <w:sz w:val="21"/>
              </w:rPr>
              <w:t> 年的，本公司不得解除</w:t>
            </w:r>
            <w:r>
              <w:rPr>
                <w:spacing w:val="-5"/>
                <w:sz w:val="21"/>
              </w:rPr>
              <w:t>本合同；发生保险事故的，本公司承担给付保险金的责任。</w:t>
            </w:r>
          </w:p>
        </w:tc>
      </w:tr>
      <w:tr>
        <w:trPr>
          <w:trHeight w:val="4368" w:hRule="atLeast"/>
        </w:trPr>
        <w:tc>
          <w:tcPr>
            <w:tcW w:w="1456" w:type="dxa"/>
          </w:tcPr>
          <w:p>
            <w:pPr>
              <w:pStyle w:val="TableParagraph"/>
              <w:spacing w:before="143"/>
              <w:ind w:left="200"/>
              <w:rPr>
                <w:sz w:val="21"/>
              </w:rPr>
            </w:pPr>
            <w:r>
              <w:rPr>
                <w:sz w:val="21"/>
              </w:rPr>
              <w:t>第二十二条</w:t>
            </w:r>
          </w:p>
        </w:tc>
        <w:tc>
          <w:tcPr>
            <w:tcW w:w="1392" w:type="dxa"/>
          </w:tcPr>
          <w:p>
            <w:pPr>
              <w:pStyle w:val="TableParagraph"/>
              <w:spacing w:before="143"/>
              <w:ind w:left="203"/>
              <w:rPr>
                <w:sz w:val="21"/>
              </w:rPr>
            </w:pPr>
            <w:r>
              <w:rPr>
                <w:sz w:val="21"/>
              </w:rPr>
              <w:t>年龄错误</w:t>
            </w:r>
          </w:p>
        </w:tc>
        <w:tc>
          <w:tcPr>
            <w:tcW w:w="6697" w:type="dxa"/>
          </w:tcPr>
          <w:p>
            <w:pPr>
              <w:pStyle w:val="TableParagraph"/>
              <w:spacing w:line="273" w:lineRule="auto" w:before="143"/>
              <w:ind w:left="136" w:right="300"/>
              <w:rPr>
                <w:sz w:val="21"/>
              </w:rPr>
            </w:pPr>
            <w:r>
              <w:rPr>
                <w:spacing w:val="-8"/>
                <w:sz w:val="21"/>
              </w:rPr>
              <w:t>投保人在申请投保时，应将与有效身份证件相符的被保险人的出生日</w:t>
            </w:r>
            <w:r>
              <w:rPr>
                <w:spacing w:val="-5"/>
                <w:sz w:val="21"/>
              </w:rPr>
              <w:t>期在投保单上填明，如果发生错误按照下列方式办理：</w:t>
            </w:r>
          </w:p>
          <w:p>
            <w:pPr>
              <w:pStyle w:val="TableParagraph"/>
              <w:spacing w:line="273" w:lineRule="auto" w:before="8"/>
              <w:ind w:left="698" w:right="124" w:hanging="538"/>
              <w:rPr>
                <w:sz w:val="21"/>
              </w:rPr>
            </w:pPr>
            <w:r>
              <w:rPr>
                <w:sz w:val="21"/>
              </w:rPr>
              <w:t>一、 投保人申报的被保险人年龄不真实，致使投保人实付保险费多于应付保险费的，本公司会将多收的保险费无息退还给投保人。</w:t>
            </w:r>
          </w:p>
          <w:p>
            <w:pPr>
              <w:pStyle w:val="TableParagraph"/>
              <w:spacing w:line="273" w:lineRule="auto" w:before="8"/>
              <w:ind w:left="698" w:right="320" w:hanging="538"/>
              <w:jc w:val="both"/>
              <w:rPr>
                <w:sz w:val="21"/>
              </w:rPr>
            </w:pPr>
            <w:r>
              <w:rPr>
                <w:sz w:val="21"/>
              </w:rPr>
              <w:t>二、 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TableParagraph"/>
              <w:spacing w:line="273" w:lineRule="auto" w:before="8"/>
              <w:ind w:left="698" w:right="301" w:hanging="538"/>
              <w:jc w:val="both"/>
              <w:rPr>
                <w:sz w:val="21"/>
              </w:rPr>
            </w:pPr>
            <w:r>
              <w:rPr>
                <w:spacing w:val="-3"/>
                <w:sz w:val="21"/>
              </w:rPr>
              <w:t>三、 投保人申报的被保险人年龄不真实，并且其真实年龄不符合本公司规定的投保年龄限制的，本公司有权解除本合同。本公司行使合同解除权适用“本公司合同解除权的限制”的规定。对</w:t>
            </w:r>
            <w:r>
              <w:rPr>
                <w:spacing w:val="-7"/>
                <w:sz w:val="21"/>
              </w:rPr>
              <w:t>于解除合同的,本公司向投保人退还该被保险人的现金价值；对</w:t>
            </w:r>
            <w:r>
              <w:rPr>
                <w:spacing w:val="-5"/>
                <w:sz w:val="21"/>
              </w:rPr>
              <w:t>于不得解除合同的，按第一、二项处理。</w:t>
            </w:r>
          </w:p>
        </w:tc>
      </w:tr>
      <w:tr>
        <w:trPr>
          <w:trHeight w:val="1559" w:hRule="atLeast"/>
        </w:trPr>
        <w:tc>
          <w:tcPr>
            <w:tcW w:w="1456" w:type="dxa"/>
          </w:tcPr>
          <w:p>
            <w:pPr>
              <w:pStyle w:val="TableParagraph"/>
              <w:spacing w:before="142"/>
              <w:ind w:left="200"/>
              <w:rPr>
                <w:sz w:val="21"/>
              </w:rPr>
            </w:pPr>
            <w:r>
              <w:rPr>
                <w:sz w:val="21"/>
              </w:rPr>
              <w:t>第二十三条</w:t>
            </w:r>
          </w:p>
        </w:tc>
        <w:tc>
          <w:tcPr>
            <w:tcW w:w="1392" w:type="dxa"/>
          </w:tcPr>
          <w:p>
            <w:pPr>
              <w:pStyle w:val="TableParagraph"/>
              <w:spacing w:before="142"/>
              <w:ind w:left="203"/>
              <w:rPr>
                <w:sz w:val="21"/>
              </w:rPr>
            </w:pPr>
            <w:r>
              <w:rPr>
                <w:sz w:val="21"/>
              </w:rPr>
              <w:t>犹豫期</w:t>
            </w:r>
          </w:p>
        </w:tc>
        <w:tc>
          <w:tcPr>
            <w:tcW w:w="6697" w:type="dxa"/>
          </w:tcPr>
          <w:p>
            <w:pPr>
              <w:pStyle w:val="TableParagraph"/>
              <w:spacing w:line="273" w:lineRule="auto" w:before="142"/>
              <w:ind w:left="136" w:right="299"/>
              <w:jc w:val="both"/>
              <w:rPr>
                <w:sz w:val="21"/>
              </w:rPr>
            </w:pPr>
            <w:r>
              <w:rPr>
                <w:spacing w:val="-4"/>
                <w:sz w:val="21"/>
              </w:rPr>
              <w:t>若未发生保险金给付，投保人自本合同签收日起 </w:t>
            </w:r>
            <w:r>
              <w:rPr>
                <w:sz w:val="21"/>
              </w:rPr>
              <w:t>10</w:t>
            </w:r>
            <w:r>
              <w:rPr>
                <w:spacing w:val="-4"/>
                <w:sz w:val="21"/>
              </w:rPr>
              <w:t> 日内可以书面申</w:t>
            </w:r>
            <w:r>
              <w:rPr>
                <w:spacing w:val="-7"/>
                <w:sz w:val="21"/>
              </w:rPr>
              <w:t>请解除本合同。自本公司收到解除申请时起，本合同自始无效。投保</w:t>
            </w:r>
            <w:r>
              <w:rPr>
                <w:spacing w:val="0"/>
                <w:sz w:val="21"/>
              </w:rPr>
              <w:t>人向本公司退回保险合同，本公司无息向投保人退还已收到的保险</w:t>
            </w:r>
            <w:r>
              <w:rPr>
                <w:sz w:val="21"/>
              </w:rPr>
              <w:t>费。</w:t>
            </w:r>
          </w:p>
        </w:tc>
      </w:tr>
      <w:tr>
        <w:trPr>
          <w:trHeight w:val="2914" w:hRule="atLeast"/>
        </w:trPr>
        <w:tc>
          <w:tcPr>
            <w:tcW w:w="1456" w:type="dxa"/>
          </w:tcPr>
          <w:p>
            <w:pPr>
              <w:pStyle w:val="TableParagraph"/>
              <w:spacing w:before="142"/>
              <w:ind w:left="200"/>
              <w:rPr>
                <w:sz w:val="21"/>
              </w:rPr>
            </w:pPr>
            <w:r>
              <w:rPr>
                <w:sz w:val="21"/>
              </w:rPr>
              <w:t>第二十四条</w:t>
            </w:r>
          </w:p>
        </w:tc>
        <w:tc>
          <w:tcPr>
            <w:tcW w:w="1392" w:type="dxa"/>
          </w:tcPr>
          <w:p>
            <w:pPr>
              <w:pStyle w:val="TableParagraph"/>
              <w:spacing w:before="142"/>
              <w:ind w:left="203"/>
              <w:rPr>
                <w:sz w:val="21"/>
              </w:rPr>
            </w:pPr>
            <w:r>
              <w:rPr>
                <w:sz w:val="21"/>
              </w:rPr>
              <w:t>受益人</w:t>
            </w:r>
          </w:p>
        </w:tc>
        <w:tc>
          <w:tcPr>
            <w:tcW w:w="6697" w:type="dxa"/>
          </w:tcPr>
          <w:p>
            <w:pPr>
              <w:pStyle w:val="TableParagraph"/>
              <w:spacing w:line="273" w:lineRule="auto" w:before="142"/>
              <w:ind w:left="136" w:right="252"/>
              <w:jc w:val="both"/>
              <w:rPr>
                <w:sz w:val="21"/>
              </w:rPr>
            </w:pPr>
            <w:r>
              <w:rPr>
                <w:sz w:val="21"/>
              </w:rPr>
              <w:t>投保人或者被保险人可以指定一人或多人为受益人。除另有约定外， 重大疾病保险金的受益人为每一被保险人本人。</w:t>
            </w:r>
          </w:p>
          <w:p>
            <w:pPr>
              <w:pStyle w:val="TableParagraph"/>
              <w:spacing w:line="273" w:lineRule="auto" w:before="7"/>
              <w:ind w:left="136" w:right="300"/>
              <w:jc w:val="both"/>
              <w:rPr>
                <w:sz w:val="21"/>
              </w:rPr>
            </w:pPr>
            <w:r>
              <w:rPr>
                <w:spacing w:val="-6"/>
                <w:sz w:val="21"/>
              </w:rPr>
              <w:t>同一被保险人的受益人为多人时，可以确定受益顺序和受益份额；如</w:t>
            </w:r>
            <w:r>
              <w:rPr>
                <w:spacing w:val="-4"/>
                <w:sz w:val="21"/>
              </w:rPr>
              <w:t>果没有确定份额，各受益人按照相等份额享有受益权。</w:t>
            </w:r>
          </w:p>
          <w:p>
            <w:pPr>
              <w:pStyle w:val="TableParagraph"/>
              <w:spacing w:line="273" w:lineRule="auto" w:before="8"/>
              <w:ind w:left="136" w:right="300"/>
              <w:jc w:val="both"/>
              <w:rPr>
                <w:sz w:val="21"/>
              </w:rPr>
            </w:pPr>
            <w:r>
              <w:rPr>
                <w:spacing w:val="-5"/>
                <w:sz w:val="21"/>
              </w:rPr>
              <w:t>被保险人为无民事行为能力人或限制民事行为能力人的，可以由其监</w:t>
            </w:r>
            <w:r>
              <w:rPr>
                <w:spacing w:val="-4"/>
                <w:sz w:val="21"/>
              </w:rPr>
              <w:t>护人指定受益人。</w:t>
            </w:r>
          </w:p>
          <w:p>
            <w:pPr>
              <w:pStyle w:val="TableParagraph"/>
              <w:spacing w:line="312" w:lineRule="exact" w:before="3"/>
              <w:ind w:left="136" w:right="300"/>
              <w:jc w:val="both"/>
              <w:rPr>
                <w:sz w:val="21"/>
              </w:rPr>
            </w:pPr>
            <w:r>
              <w:rPr>
                <w:spacing w:val="-5"/>
                <w:sz w:val="21"/>
              </w:rPr>
              <w:t>投保人或者被保险人可以变更受益人并书面通知本公司。本公司收到</w:t>
            </w:r>
            <w:r>
              <w:rPr>
                <w:spacing w:val="-8"/>
                <w:sz w:val="21"/>
              </w:rPr>
              <w:t>变更受益人的书面通知后，在保险单或其他保险凭证上批注或者附贴批单。</w:t>
            </w:r>
          </w:p>
        </w:tc>
      </w:tr>
    </w:tbl>
    <w:p>
      <w:pPr>
        <w:spacing w:after="0" w:line="312" w:lineRule="exact"/>
        <w:jc w:val="both"/>
        <w:rPr>
          <w:sz w:val="21"/>
        </w:rPr>
        <w:sectPr>
          <w:pgSz w:w="11910" w:h="16840"/>
          <w:pgMar w:header="0" w:footer="919" w:top="1580" w:bottom="1100" w:left="1160" w:right="9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4"/>
        <w:gridCol w:w="1286"/>
        <w:gridCol w:w="6602"/>
      </w:tblGrid>
      <w:tr>
        <w:trPr>
          <w:trHeight w:val="4162" w:hRule="atLeast"/>
        </w:trPr>
        <w:tc>
          <w:tcPr>
            <w:tcW w:w="1364" w:type="dxa"/>
          </w:tcPr>
          <w:p>
            <w:pPr>
              <w:pStyle w:val="TableParagraph"/>
              <w:ind w:left="0"/>
              <w:rPr>
                <w:rFonts w:ascii="Times New Roman"/>
                <w:sz w:val="20"/>
              </w:rPr>
            </w:pPr>
          </w:p>
        </w:tc>
        <w:tc>
          <w:tcPr>
            <w:tcW w:w="1286" w:type="dxa"/>
          </w:tcPr>
          <w:p>
            <w:pPr>
              <w:pStyle w:val="TableParagraph"/>
              <w:ind w:left="0"/>
              <w:rPr>
                <w:rFonts w:ascii="Times New Roman"/>
                <w:sz w:val="20"/>
              </w:rPr>
            </w:pPr>
          </w:p>
        </w:tc>
        <w:tc>
          <w:tcPr>
            <w:tcW w:w="6602" w:type="dxa"/>
          </w:tcPr>
          <w:p>
            <w:pPr>
              <w:pStyle w:val="TableParagraph"/>
              <w:spacing w:line="211" w:lineRule="exact"/>
              <w:ind w:left="242"/>
              <w:rPr>
                <w:sz w:val="21"/>
              </w:rPr>
            </w:pPr>
            <w:r>
              <w:rPr>
                <w:sz w:val="21"/>
              </w:rPr>
              <w:t>投保人指定和变更受益人时须经被保险人同意，投保人为与其有劳动</w:t>
            </w:r>
          </w:p>
          <w:p>
            <w:pPr>
              <w:pStyle w:val="TableParagraph"/>
              <w:spacing w:line="273" w:lineRule="auto" w:before="37"/>
              <w:ind w:left="242" w:right="99"/>
              <w:rPr>
                <w:sz w:val="21"/>
              </w:rPr>
            </w:pPr>
            <w:r>
              <w:rPr>
                <w:spacing w:val="-7"/>
                <w:sz w:val="21"/>
              </w:rPr>
              <w:t>关系的劳动者投保人身保险，不得指定被保险人及其近亲属以外的人</w:t>
            </w:r>
            <w:r>
              <w:rPr>
                <w:spacing w:val="-4"/>
                <w:sz w:val="21"/>
              </w:rPr>
              <w:t>为受益人。</w:t>
            </w:r>
          </w:p>
          <w:p>
            <w:pPr>
              <w:pStyle w:val="TableParagraph"/>
              <w:spacing w:line="273" w:lineRule="auto" w:before="7"/>
              <w:ind w:left="242" w:right="51"/>
              <w:jc w:val="both"/>
              <w:rPr>
                <w:sz w:val="21"/>
              </w:rPr>
            </w:pPr>
            <w:r>
              <w:rPr>
                <w:spacing w:val="-3"/>
                <w:sz w:val="21"/>
              </w:rPr>
              <w:t>被保险人身故后，有下列情形之一的，保险金作为被保险人的遗产， </w:t>
            </w:r>
            <w:r>
              <w:rPr>
                <w:spacing w:val="-9"/>
                <w:sz w:val="21"/>
              </w:rPr>
              <w:t>由本公司依照《中华人民共和国继承法》的规定履行给付保险金的义务：</w:t>
            </w:r>
          </w:p>
          <w:p>
            <w:pPr>
              <w:pStyle w:val="TableParagraph"/>
              <w:spacing w:line="273" w:lineRule="auto" w:before="7"/>
              <w:ind w:left="242" w:right="1100"/>
              <w:rPr>
                <w:sz w:val="21"/>
              </w:rPr>
            </w:pPr>
            <w:r>
              <w:rPr>
                <w:sz w:val="21"/>
              </w:rPr>
              <w:t>一、没有指定受益人，或者受益人指定不明无法确定的； 二、受益人先于被保险人死亡，没有其他受益人的；</w:t>
            </w:r>
          </w:p>
          <w:p>
            <w:pPr>
              <w:pStyle w:val="TableParagraph"/>
              <w:spacing w:line="273" w:lineRule="auto" w:before="7"/>
              <w:ind w:left="242" w:right="45"/>
              <w:rPr>
                <w:sz w:val="21"/>
              </w:rPr>
            </w:pPr>
            <w:r>
              <w:rPr>
                <w:sz w:val="21"/>
              </w:rPr>
              <w:t>三、受益人依法丧失受益权或者放弃受益权，没有其他受益人的。受益人与被保险人在同一事件中身故，且不能确定身故顺序的，推定受益人身故在先。</w:t>
            </w:r>
          </w:p>
          <w:p>
            <w:pPr>
              <w:pStyle w:val="TableParagraph"/>
              <w:spacing w:line="273" w:lineRule="auto" w:before="7"/>
              <w:ind w:left="242" w:right="100"/>
              <w:rPr>
                <w:sz w:val="21"/>
              </w:rPr>
            </w:pPr>
            <w:r>
              <w:rPr>
                <w:spacing w:val="-7"/>
                <w:sz w:val="21"/>
              </w:rPr>
              <w:t>受益人故意造成被保险人身故、伤残、疾病的，或者故意杀害被保险</w:t>
            </w:r>
            <w:r>
              <w:rPr>
                <w:spacing w:val="-5"/>
                <w:sz w:val="21"/>
              </w:rPr>
              <w:t>人未遂的，该受益人丧失受益权。</w:t>
            </w:r>
          </w:p>
        </w:tc>
      </w:tr>
      <w:tr>
        <w:trPr>
          <w:trHeight w:val="1248" w:hRule="atLeast"/>
        </w:trPr>
        <w:tc>
          <w:tcPr>
            <w:tcW w:w="1364" w:type="dxa"/>
          </w:tcPr>
          <w:p>
            <w:pPr>
              <w:pStyle w:val="TableParagraph"/>
              <w:spacing w:before="142"/>
              <w:rPr>
                <w:sz w:val="21"/>
              </w:rPr>
            </w:pPr>
            <w:r>
              <w:rPr>
                <w:sz w:val="21"/>
              </w:rPr>
              <w:t>第二十五条</w:t>
            </w:r>
          </w:p>
        </w:tc>
        <w:tc>
          <w:tcPr>
            <w:tcW w:w="1286" w:type="dxa"/>
          </w:tcPr>
          <w:p>
            <w:pPr>
              <w:pStyle w:val="TableParagraph"/>
              <w:spacing w:before="142"/>
              <w:ind w:left="203"/>
              <w:rPr>
                <w:sz w:val="21"/>
              </w:rPr>
            </w:pPr>
            <w:r>
              <w:rPr>
                <w:sz w:val="21"/>
              </w:rPr>
              <w:t>资料提供</w:t>
            </w:r>
          </w:p>
        </w:tc>
        <w:tc>
          <w:tcPr>
            <w:tcW w:w="6602" w:type="dxa"/>
          </w:tcPr>
          <w:p>
            <w:pPr>
              <w:pStyle w:val="TableParagraph"/>
              <w:spacing w:line="273" w:lineRule="auto" w:before="142"/>
              <w:ind w:left="242" w:right="100"/>
              <w:jc w:val="both"/>
              <w:rPr>
                <w:sz w:val="21"/>
              </w:rPr>
            </w:pPr>
            <w:r>
              <w:rPr>
                <w:spacing w:val="-6"/>
                <w:sz w:val="21"/>
              </w:rPr>
              <w:t>投保人应保存每一被保险人的个人资料，详细记录其姓名、性别、年</w:t>
            </w:r>
            <w:r>
              <w:rPr>
                <w:spacing w:val="-8"/>
                <w:sz w:val="21"/>
              </w:rPr>
              <w:t>龄、出生日期、交费金额以及其它与本合同有关的一切资料。必要时</w:t>
            </w:r>
            <w:r>
              <w:rPr>
                <w:spacing w:val="-5"/>
                <w:sz w:val="21"/>
              </w:rPr>
              <w:t>投保人应按本公司的要求提供上述资料。</w:t>
            </w:r>
          </w:p>
        </w:tc>
      </w:tr>
      <w:tr>
        <w:trPr>
          <w:trHeight w:val="623" w:hRule="atLeast"/>
        </w:trPr>
        <w:tc>
          <w:tcPr>
            <w:tcW w:w="1364" w:type="dxa"/>
          </w:tcPr>
          <w:p>
            <w:pPr>
              <w:pStyle w:val="TableParagraph"/>
              <w:spacing w:before="142"/>
              <w:rPr>
                <w:sz w:val="21"/>
              </w:rPr>
            </w:pPr>
            <w:r>
              <w:rPr>
                <w:sz w:val="21"/>
              </w:rPr>
              <w:t>第二十六条</w:t>
            </w:r>
          </w:p>
        </w:tc>
        <w:tc>
          <w:tcPr>
            <w:tcW w:w="1286" w:type="dxa"/>
          </w:tcPr>
          <w:p>
            <w:pPr>
              <w:pStyle w:val="TableParagraph"/>
              <w:spacing w:before="142"/>
              <w:ind w:left="203"/>
              <w:rPr>
                <w:sz w:val="21"/>
              </w:rPr>
            </w:pPr>
            <w:r>
              <w:rPr>
                <w:sz w:val="21"/>
              </w:rPr>
              <w:t>司法鉴定</w:t>
            </w:r>
          </w:p>
        </w:tc>
        <w:tc>
          <w:tcPr>
            <w:tcW w:w="6602" w:type="dxa"/>
          </w:tcPr>
          <w:p>
            <w:pPr>
              <w:pStyle w:val="TableParagraph"/>
              <w:spacing w:before="142"/>
              <w:ind w:left="242"/>
              <w:rPr>
                <w:sz w:val="21"/>
              </w:rPr>
            </w:pPr>
            <w:r>
              <w:rPr>
                <w:sz w:val="21"/>
              </w:rPr>
              <w:t>本公司有权要求通过司法鉴定机构对保险事故进行鉴定。</w:t>
            </w:r>
          </w:p>
        </w:tc>
      </w:tr>
      <w:tr>
        <w:trPr>
          <w:trHeight w:val="2027" w:hRule="atLeast"/>
        </w:trPr>
        <w:tc>
          <w:tcPr>
            <w:tcW w:w="1364" w:type="dxa"/>
          </w:tcPr>
          <w:p>
            <w:pPr>
              <w:pStyle w:val="TableParagraph"/>
              <w:spacing w:before="142"/>
              <w:rPr>
                <w:sz w:val="21"/>
              </w:rPr>
            </w:pPr>
            <w:r>
              <w:rPr>
                <w:sz w:val="21"/>
              </w:rPr>
              <w:t>第二十七条</w:t>
            </w:r>
          </w:p>
        </w:tc>
        <w:tc>
          <w:tcPr>
            <w:tcW w:w="1286" w:type="dxa"/>
          </w:tcPr>
          <w:p>
            <w:pPr>
              <w:pStyle w:val="TableParagraph"/>
              <w:spacing w:before="142"/>
              <w:ind w:left="203"/>
              <w:rPr>
                <w:sz w:val="21"/>
              </w:rPr>
            </w:pPr>
            <w:r>
              <w:rPr>
                <w:sz w:val="21"/>
              </w:rPr>
              <w:t>争议处理</w:t>
            </w:r>
          </w:p>
        </w:tc>
        <w:tc>
          <w:tcPr>
            <w:tcW w:w="6602" w:type="dxa"/>
          </w:tcPr>
          <w:p>
            <w:pPr>
              <w:pStyle w:val="TableParagraph"/>
              <w:spacing w:line="273" w:lineRule="auto" w:before="142"/>
              <w:ind w:left="242" w:right="54"/>
              <w:rPr>
                <w:sz w:val="21"/>
              </w:rPr>
            </w:pPr>
            <w:r>
              <w:rPr>
                <w:sz w:val="21"/>
              </w:rPr>
              <w:t>合同争议解决方式由当事人在合同约定从下列两种方式中选择一种： 一、因履行本合同发生的争议，由当事人协商解决，协商不成的，提</w:t>
            </w:r>
          </w:p>
          <w:p>
            <w:pPr>
              <w:pStyle w:val="TableParagraph"/>
              <w:spacing w:before="7"/>
              <w:ind w:left="662"/>
              <w:rPr>
                <w:sz w:val="21"/>
              </w:rPr>
            </w:pPr>
            <w:r>
              <w:rPr>
                <w:sz w:val="21"/>
              </w:rPr>
              <w:t>交×××仲裁委员会仲裁；</w:t>
            </w:r>
          </w:p>
          <w:p>
            <w:pPr>
              <w:pStyle w:val="TableParagraph"/>
              <w:spacing w:line="273" w:lineRule="auto" w:before="37"/>
              <w:ind w:left="662" w:right="46" w:hanging="420"/>
              <w:rPr>
                <w:sz w:val="21"/>
              </w:rPr>
            </w:pPr>
            <w:r>
              <w:rPr>
                <w:sz w:val="21"/>
              </w:rPr>
              <w:t>二、因履行本合同发生的争议，由当事人协商解决，协商不成的，依法向人民法院起诉。</w:t>
            </w:r>
          </w:p>
        </w:tc>
      </w:tr>
      <w:tr>
        <w:trPr>
          <w:trHeight w:val="312" w:hRule="atLeast"/>
        </w:trPr>
        <w:tc>
          <w:tcPr>
            <w:tcW w:w="1364" w:type="dxa"/>
            <w:shd w:val="clear" w:color="auto" w:fill="BEBEBE"/>
          </w:tcPr>
          <w:p>
            <w:pPr>
              <w:pStyle w:val="TableParagraph"/>
              <w:spacing w:line="262" w:lineRule="exact"/>
              <w:rPr>
                <w:b/>
                <w:sz w:val="21"/>
              </w:rPr>
            </w:pPr>
            <w:r>
              <w:rPr>
                <w:b/>
                <w:sz w:val="21"/>
              </w:rPr>
              <w:t>第八章</w:t>
            </w:r>
          </w:p>
        </w:tc>
        <w:tc>
          <w:tcPr>
            <w:tcW w:w="1286" w:type="dxa"/>
            <w:shd w:val="clear" w:color="auto" w:fill="BEBEBE"/>
          </w:tcPr>
          <w:p>
            <w:pPr>
              <w:pStyle w:val="TableParagraph"/>
              <w:spacing w:line="262" w:lineRule="exact"/>
              <w:ind w:left="203"/>
              <w:rPr>
                <w:b/>
                <w:sz w:val="21"/>
              </w:rPr>
            </w:pPr>
            <w:r>
              <w:rPr>
                <w:b/>
                <w:sz w:val="21"/>
              </w:rPr>
              <w:t>释义</w:t>
            </w:r>
          </w:p>
        </w:tc>
        <w:tc>
          <w:tcPr>
            <w:tcW w:w="6602" w:type="dxa"/>
            <w:shd w:val="clear" w:color="auto" w:fill="BEBEBE"/>
          </w:tcPr>
          <w:p>
            <w:pPr>
              <w:pStyle w:val="TableParagraph"/>
              <w:ind w:left="0"/>
              <w:rPr>
                <w:rFonts w:ascii="Times New Roman"/>
                <w:sz w:val="20"/>
              </w:rPr>
            </w:pPr>
          </w:p>
        </w:tc>
      </w:tr>
      <w:tr>
        <w:trPr>
          <w:trHeight w:val="312" w:hRule="atLeast"/>
        </w:trPr>
        <w:tc>
          <w:tcPr>
            <w:tcW w:w="1364" w:type="dxa"/>
          </w:tcPr>
          <w:p>
            <w:pPr>
              <w:pStyle w:val="TableParagraph"/>
              <w:spacing w:line="262" w:lineRule="exact"/>
              <w:rPr>
                <w:sz w:val="21"/>
              </w:rPr>
            </w:pPr>
            <w:r>
              <w:rPr>
                <w:sz w:val="21"/>
              </w:rPr>
              <w:t>第二十八条</w:t>
            </w:r>
          </w:p>
        </w:tc>
        <w:tc>
          <w:tcPr>
            <w:tcW w:w="1286" w:type="dxa"/>
          </w:tcPr>
          <w:p>
            <w:pPr>
              <w:pStyle w:val="TableParagraph"/>
              <w:spacing w:line="262" w:lineRule="exact"/>
              <w:ind w:left="203"/>
              <w:rPr>
                <w:sz w:val="21"/>
              </w:rPr>
            </w:pPr>
            <w:r>
              <w:rPr>
                <w:sz w:val="21"/>
              </w:rPr>
              <w:t>释义</w:t>
            </w:r>
          </w:p>
        </w:tc>
        <w:tc>
          <w:tcPr>
            <w:tcW w:w="6602" w:type="dxa"/>
          </w:tcPr>
          <w:p>
            <w:pPr>
              <w:pStyle w:val="TableParagraph"/>
              <w:ind w:left="0"/>
              <w:rPr>
                <w:rFonts w:ascii="Times New Roman"/>
                <w:sz w:val="20"/>
              </w:rPr>
            </w:pPr>
          </w:p>
        </w:tc>
      </w:tr>
      <w:tr>
        <w:trPr>
          <w:trHeight w:val="467" w:hRule="atLeast"/>
        </w:trPr>
        <w:tc>
          <w:tcPr>
            <w:tcW w:w="1364" w:type="dxa"/>
          </w:tcPr>
          <w:p>
            <w:pPr>
              <w:pStyle w:val="TableParagraph"/>
              <w:spacing w:line="261" w:lineRule="exact"/>
              <w:ind w:left="95"/>
              <w:jc w:val="center"/>
              <w:rPr>
                <w:sz w:val="21"/>
              </w:rPr>
            </w:pPr>
            <w:r>
              <w:rPr>
                <w:w w:val="100"/>
                <w:sz w:val="21"/>
              </w:rPr>
              <w:t>一</w:t>
            </w:r>
          </w:p>
        </w:tc>
        <w:tc>
          <w:tcPr>
            <w:tcW w:w="1286" w:type="dxa"/>
          </w:tcPr>
          <w:p>
            <w:pPr>
              <w:pStyle w:val="TableParagraph"/>
              <w:spacing w:line="261" w:lineRule="exact"/>
              <w:ind w:left="203"/>
              <w:rPr>
                <w:sz w:val="21"/>
              </w:rPr>
            </w:pPr>
            <w:r>
              <w:rPr>
                <w:sz w:val="21"/>
              </w:rPr>
              <w:t>本公司</w:t>
            </w:r>
          </w:p>
        </w:tc>
        <w:tc>
          <w:tcPr>
            <w:tcW w:w="6602" w:type="dxa"/>
          </w:tcPr>
          <w:p>
            <w:pPr>
              <w:pStyle w:val="TableParagraph"/>
              <w:spacing w:line="261" w:lineRule="exact"/>
              <w:ind w:left="242"/>
              <w:rPr>
                <w:sz w:val="21"/>
              </w:rPr>
            </w:pPr>
            <w:r>
              <w:rPr>
                <w:sz w:val="21"/>
              </w:rPr>
              <w:t>指中航三星人寿保险有限公司。</w:t>
            </w:r>
          </w:p>
        </w:tc>
      </w:tr>
      <w:tr>
        <w:trPr>
          <w:trHeight w:val="936" w:hRule="atLeast"/>
        </w:trPr>
        <w:tc>
          <w:tcPr>
            <w:tcW w:w="1364" w:type="dxa"/>
          </w:tcPr>
          <w:p>
            <w:pPr>
              <w:pStyle w:val="TableParagraph"/>
              <w:spacing w:before="142"/>
              <w:ind w:left="95"/>
              <w:jc w:val="center"/>
              <w:rPr>
                <w:sz w:val="21"/>
              </w:rPr>
            </w:pPr>
            <w:r>
              <w:rPr>
                <w:w w:val="100"/>
                <w:sz w:val="21"/>
              </w:rPr>
              <w:t>二</w:t>
            </w:r>
          </w:p>
        </w:tc>
        <w:tc>
          <w:tcPr>
            <w:tcW w:w="1286" w:type="dxa"/>
          </w:tcPr>
          <w:p>
            <w:pPr>
              <w:pStyle w:val="TableParagraph"/>
              <w:spacing w:before="142"/>
              <w:ind w:left="203"/>
              <w:rPr>
                <w:sz w:val="21"/>
              </w:rPr>
            </w:pPr>
            <w:r>
              <w:rPr>
                <w:sz w:val="21"/>
              </w:rPr>
              <w:t>团体</w:t>
            </w:r>
          </w:p>
        </w:tc>
        <w:tc>
          <w:tcPr>
            <w:tcW w:w="6602" w:type="dxa"/>
          </w:tcPr>
          <w:p>
            <w:pPr>
              <w:pStyle w:val="TableParagraph"/>
              <w:spacing w:line="273" w:lineRule="auto" w:before="142"/>
              <w:ind w:left="242" w:right="39"/>
              <w:rPr>
                <w:sz w:val="21"/>
              </w:rPr>
            </w:pPr>
            <w:r>
              <w:rPr>
                <w:sz w:val="21"/>
              </w:rPr>
              <w:t>指中国境内具有五人以上且非因购买保险而组织的合法团体。包括国家机关、院校、企事业单位、行业组织、职业工会等。</w:t>
            </w:r>
          </w:p>
        </w:tc>
      </w:tr>
      <w:tr>
        <w:trPr>
          <w:trHeight w:val="1248" w:hRule="atLeast"/>
        </w:trPr>
        <w:tc>
          <w:tcPr>
            <w:tcW w:w="1364" w:type="dxa"/>
          </w:tcPr>
          <w:p>
            <w:pPr>
              <w:pStyle w:val="TableParagraph"/>
              <w:spacing w:before="142"/>
              <w:ind w:left="95"/>
              <w:jc w:val="center"/>
              <w:rPr>
                <w:sz w:val="21"/>
              </w:rPr>
            </w:pPr>
            <w:r>
              <w:rPr>
                <w:w w:val="100"/>
                <w:sz w:val="21"/>
              </w:rPr>
              <w:t>三</w:t>
            </w:r>
          </w:p>
        </w:tc>
        <w:tc>
          <w:tcPr>
            <w:tcW w:w="1286" w:type="dxa"/>
          </w:tcPr>
          <w:p>
            <w:pPr>
              <w:pStyle w:val="TableParagraph"/>
              <w:spacing w:before="142"/>
              <w:ind w:left="203"/>
              <w:rPr>
                <w:sz w:val="21"/>
              </w:rPr>
            </w:pPr>
            <w:r>
              <w:rPr>
                <w:sz w:val="21"/>
              </w:rPr>
              <w:t>医院</w:t>
            </w:r>
          </w:p>
        </w:tc>
        <w:tc>
          <w:tcPr>
            <w:tcW w:w="6602" w:type="dxa"/>
          </w:tcPr>
          <w:p>
            <w:pPr>
              <w:pStyle w:val="TableParagraph"/>
              <w:spacing w:line="273" w:lineRule="auto" w:before="142"/>
              <w:ind w:left="242" w:right="-15"/>
              <w:rPr>
                <w:sz w:val="21"/>
              </w:rPr>
            </w:pPr>
            <w:r>
              <w:rPr>
                <w:spacing w:val="-7"/>
                <w:sz w:val="21"/>
              </w:rPr>
              <w:t>指在本合同中列明的医院。本合同未列明的，则指国家卫生行政部门</w:t>
            </w:r>
            <w:r>
              <w:rPr>
                <w:spacing w:val="-14"/>
                <w:sz w:val="21"/>
              </w:rPr>
              <w:t>评定的二级或二级以上公立医院，但不包括康复、护理、疗养、戒酒、</w:t>
            </w:r>
            <w:r>
              <w:rPr>
                <w:spacing w:val="-7"/>
                <w:sz w:val="21"/>
              </w:rPr>
              <w:t>戒毒或类似性质的医疗机构。</w:t>
            </w:r>
          </w:p>
        </w:tc>
      </w:tr>
      <w:tr>
        <w:trPr>
          <w:trHeight w:val="1353" w:hRule="atLeast"/>
        </w:trPr>
        <w:tc>
          <w:tcPr>
            <w:tcW w:w="1364" w:type="dxa"/>
          </w:tcPr>
          <w:p>
            <w:pPr>
              <w:pStyle w:val="TableParagraph"/>
              <w:spacing w:before="143"/>
              <w:ind w:left="95"/>
              <w:jc w:val="center"/>
              <w:rPr>
                <w:sz w:val="21"/>
              </w:rPr>
            </w:pPr>
            <w:r>
              <w:rPr>
                <w:w w:val="100"/>
                <w:sz w:val="21"/>
              </w:rPr>
              <w:t>四</w:t>
            </w:r>
          </w:p>
        </w:tc>
        <w:tc>
          <w:tcPr>
            <w:tcW w:w="1286" w:type="dxa"/>
          </w:tcPr>
          <w:p>
            <w:pPr>
              <w:pStyle w:val="TableParagraph"/>
              <w:spacing w:before="143"/>
              <w:ind w:left="203"/>
              <w:rPr>
                <w:sz w:val="21"/>
              </w:rPr>
            </w:pPr>
            <w:r>
              <w:rPr>
                <w:sz w:val="21"/>
              </w:rPr>
              <w:t>重大疾病</w:t>
            </w:r>
          </w:p>
        </w:tc>
        <w:tc>
          <w:tcPr>
            <w:tcW w:w="6602" w:type="dxa"/>
          </w:tcPr>
          <w:p>
            <w:pPr>
              <w:pStyle w:val="TableParagraph"/>
              <w:spacing w:line="310" w:lineRule="atLeast" w:before="107"/>
              <w:ind w:left="242" w:right="-15"/>
              <w:rPr>
                <w:sz w:val="21"/>
              </w:rPr>
            </w:pPr>
            <w:r>
              <w:rPr>
                <w:spacing w:val="-7"/>
                <w:sz w:val="21"/>
              </w:rPr>
              <w:t>本合同所称的重大疾病共包含 </w:t>
            </w:r>
            <w:r>
              <w:rPr>
                <w:sz w:val="21"/>
              </w:rPr>
              <w:t>30</w:t>
            </w:r>
            <w:r>
              <w:rPr>
                <w:spacing w:val="-17"/>
                <w:sz w:val="21"/>
              </w:rPr>
              <w:t> 种重大疾病，其中 </w:t>
            </w:r>
            <w:r>
              <w:rPr>
                <w:sz w:val="21"/>
              </w:rPr>
              <w:t>24</w:t>
            </w:r>
            <w:r>
              <w:rPr>
                <w:spacing w:val="-10"/>
                <w:sz w:val="21"/>
              </w:rPr>
              <w:t> 种为中国保险</w:t>
            </w:r>
            <w:r>
              <w:rPr>
                <w:spacing w:val="-15"/>
                <w:w w:val="100"/>
                <w:sz w:val="21"/>
              </w:rPr>
              <w:t>行业协会推荐的疾病，</w:t>
            </w:r>
            <w:r>
              <w:rPr>
                <w:w w:val="100"/>
                <w:sz w:val="21"/>
              </w:rPr>
              <w:t>6</w:t>
            </w:r>
            <w:r>
              <w:rPr>
                <w:spacing w:val="-53"/>
                <w:sz w:val="21"/>
              </w:rPr>
              <w:t> </w:t>
            </w:r>
            <w:r>
              <w:rPr>
                <w:spacing w:val="-3"/>
                <w:w w:val="100"/>
                <w:sz w:val="21"/>
              </w:rPr>
              <w:t>种为中国保险行业协会推荐范围以外的疾病。</w:t>
            </w:r>
            <w:r>
              <w:rPr>
                <w:spacing w:val="-6"/>
                <w:sz w:val="21"/>
              </w:rPr>
              <w:t>被保险人发生符合以下疾病定义所述条件的疾病，须由专科医生明确诊断。</w:t>
            </w:r>
          </w:p>
        </w:tc>
      </w:tr>
    </w:tbl>
    <w:p>
      <w:pPr>
        <w:spacing w:after="0" w:line="310" w:lineRule="atLeast"/>
        <w:rPr>
          <w:sz w:val="21"/>
        </w:rPr>
        <w:sectPr>
          <w:pgSz w:w="11910" w:h="16840"/>
          <w:pgMar w:header="0" w:footer="919" w:top="1580" w:bottom="1100" w:left="1240" w:right="1180"/>
        </w:sectPr>
      </w:pPr>
    </w:p>
    <w:p>
      <w:pPr>
        <w:pStyle w:val="BodyText"/>
        <w:spacing w:before="0"/>
        <w:rPr>
          <w:rFonts w:ascii="Times New Roman"/>
          <w:sz w:val="20"/>
        </w:rPr>
      </w:pPr>
    </w:p>
    <w:p>
      <w:pPr>
        <w:pStyle w:val="ListParagraph"/>
        <w:numPr>
          <w:ilvl w:val="0"/>
          <w:numId w:val="3"/>
        </w:numPr>
        <w:tabs>
          <w:tab w:pos="3108" w:val="left" w:leader="none"/>
          <w:tab w:pos="3109" w:val="left" w:leader="none"/>
        </w:tabs>
        <w:spacing w:line="240" w:lineRule="auto" w:before="158" w:after="0"/>
        <w:ind w:left="3149" w:right="0" w:hanging="460"/>
        <w:jc w:val="left"/>
        <w:rPr>
          <w:sz w:val="21"/>
        </w:rPr>
      </w:pPr>
      <w:r>
        <w:rPr>
          <w:sz w:val="21"/>
        </w:rPr>
        <w:t>24</w:t>
      </w:r>
      <w:r>
        <w:rPr>
          <w:spacing w:val="-6"/>
          <w:sz w:val="21"/>
        </w:rPr>
        <w:t> 种由中国保险行业协会推荐的疾病是指符合下列条件的疾病：</w:t>
      </w:r>
    </w:p>
    <w:p>
      <w:pPr>
        <w:pStyle w:val="BodyText"/>
        <w:spacing w:before="0"/>
        <w:rPr>
          <w:sz w:val="20"/>
        </w:rPr>
      </w:pPr>
    </w:p>
    <w:p>
      <w:pPr>
        <w:pStyle w:val="ListParagraph"/>
        <w:numPr>
          <w:ilvl w:val="0"/>
          <w:numId w:val="4"/>
        </w:numPr>
        <w:tabs>
          <w:tab w:pos="3109" w:val="left" w:leader="none"/>
        </w:tabs>
        <w:spacing w:line="240" w:lineRule="auto" w:before="149" w:after="0"/>
        <w:ind w:left="3109" w:right="0" w:hanging="420"/>
        <w:jc w:val="left"/>
        <w:rPr>
          <w:sz w:val="21"/>
        </w:rPr>
      </w:pPr>
      <w:r>
        <w:rPr>
          <w:spacing w:val="-1"/>
          <w:sz w:val="21"/>
        </w:rPr>
        <w:t>恶性肿瘤</w:t>
      </w:r>
    </w:p>
    <w:p>
      <w:pPr>
        <w:pStyle w:val="BodyText"/>
        <w:spacing w:line="300" w:lineRule="auto"/>
        <w:ind w:left="2689" w:right="197"/>
      </w:pPr>
      <w:r>
        <w:rPr>
          <w:spacing w:val="-3"/>
        </w:rPr>
        <w:t>指恶性细胞不受控制的进行性增长和扩散，浸润和破坏周围正常组</w:t>
      </w:r>
      <w:r>
        <w:rPr>
          <w:spacing w:val="-8"/>
        </w:rPr>
        <w:t>织，可以经血管、淋巴管和体腔扩散转移到身体其它部位的疾病。经病理学检查结果明确诊断，临床诊断属于世界卫生组织《疾病和有关</w:t>
      </w:r>
      <w:r>
        <w:rPr>
          <w:spacing w:val="-12"/>
        </w:rPr>
        <w:t>健康问题的国际统计分类》</w:t>
      </w:r>
      <w:r>
        <w:rPr>
          <w:spacing w:val="-1"/>
        </w:rPr>
        <w:t>（ICD-10）</w:t>
      </w:r>
      <w:r>
        <w:rPr>
          <w:spacing w:val="-3"/>
        </w:rPr>
        <w:t>的恶性肿瘤范畴。</w:t>
      </w:r>
    </w:p>
    <w:p>
      <w:pPr>
        <w:pStyle w:val="BodyText"/>
        <w:spacing w:before="15"/>
        <w:ind w:left="2689"/>
      </w:pPr>
      <w:r>
        <w:rPr/>
        <w:t>下列疾病不在保障范围内：</w:t>
      </w:r>
    </w:p>
    <w:p>
      <w:pPr>
        <w:pStyle w:val="BodyText"/>
        <w:spacing w:before="67"/>
        <w:ind w:left="2689"/>
      </w:pPr>
      <w:r>
        <w:rPr/>
        <w:t>① 原位癌；</w:t>
      </w:r>
    </w:p>
    <w:p>
      <w:pPr>
        <w:pStyle w:val="BodyText"/>
        <w:spacing w:before="67"/>
        <w:ind w:left="2689"/>
      </w:pPr>
      <w:r>
        <w:rPr/>
        <w:t>② 相当于 Binet 分期方案 A 期程度的慢性淋巴细胞白血病；</w:t>
      </w:r>
    </w:p>
    <w:p>
      <w:pPr>
        <w:pStyle w:val="BodyText"/>
        <w:ind w:left="2689"/>
      </w:pPr>
      <w:r>
        <w:rPr/>
        <w:t>③ 相当于 Ann Arbor 分期方案 I 期程度的何杰金氏病；</w:t>
      </w:r>
    </w:p>
    <w:p>
      <w:pPr>
        <w:pStyle w:val="BodyText"/>
        <w:ind w:left="2689"/>
      </w:pPr>
      <w:r>
        <w:rPr>
          <w:w w:val="100"/>
        </w:rPr>
        <w:t>④</w:t>
      </w:r>
      <w:r>
        <w:rPr>
          <w:spacing w:val="42"/>
        </w:rPr>
        <w:t> </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ind w:left="2689"/>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ind w:left="2689"/>
      </w:pPr>
      <w:r>
        <w:rPr/>
        <w:t>⑥ 感染艾滋病病毒或患艾滋病期间所患恶性肿瘤。</w:t>
      </w:r>
    </w:p>
    <w:p>
      <w:pPr>
        <w:pStyle w:val="BodyText"/>
        <w:spacing w:before="0"/>
        <w:rPr>
          <w:sz w:val="20"/>
        </w:rPr>
      </w:pPr>
    </w:p>
    <w:p>
      <w:pPr>
        <w:pStyle w:val="ListParagraph"/>
        <w:numPr>
          <w:ilvl w:val="0"/>
          <w:numId w:val="4"/>
        </w:numPr>
        <w:tabs>
          <w:tab w:pos="3109" w:val="left" w:leader="none"/>
        </w:tabs>
        <w:spacing w:line="240" w:lineRule="auto" w:before="150" w:after="0"/>
        <w:ind w:left="3109" w:right="0" w:hanging="420"/>
        <w:jc w:val="left"/>
        <w:rPr>
          <w:sz w:val="21"/>
        </w:rPr>
      </w:pPr>
      <w:r>
        <w:rPr>
          <w:spacing w:val="-2"/>
          <w:sz w:val="21"/>
        </w:rPr>
        <w:t>急性心肌梗塞</w:t>
      </w:r>
    </w:p>
    <w:p>
      <w:pPr>
        <w:pStyle w:val="BodyText"/>
        <w:spacing w:line="300" w:lineRule="auto"/>
        <w:ind w:left="2689" w:right="139"/>
      </w:pPr>
      <w:r>
        <w:rPr/>
        <w:t>指因冠状动脉阻塞导致的相应区域供血不足造成部分心肌坏死。须满足下列至少三项条件：</w:t>
      </w:r>
    </w:p>
    <w:p>
      <w:pPr>
        <w:pStyle w:val="BodyText"/>
        <w:spacing w:before="15"/>
        <w:ind w:left="2689"/>
      </w:pPr>
      <w:r>
        <w:rPr/>
        <w:t>① 典型临床表现，例如急性胸痛等；</w:t>
      </w:r>
    </w:p>
    <w:p>
      <w:pPr>
        <w:pStyle w:val="BodyText"/>
        <w:ind w:left="2689"/>
      </w:pPr>
      <w:r>
        <w:rPr/>
        <w:t>② 新近的心电图改变提示急性心肌梗塞；</w:t>
      </w:r>
    </w:p>
    <w:p>
      <w:pPr>
        <w:pStyle w:val="BodyText"/>
        <w:spacing w:line="300" w:lineRule="auto"/>
        <w:ind w:left="3049" w:right="209" w:hanging="360"/>
      </w:pPr>
      <w:r>
        <w:rPr/>
        <w:t>③ 心肌酶或肌钙蛋白有诊断意义的升高，或呈符合急性心肌梗塞的动态性变化；</w:t>
      </w:r>
    </w:p>
    <w:p>
      <w:pPr>
        <w:pStyle w:val="BodyText"/>
        <w:spacing w:line="300" w:lineRule="auto" w:before="15"/>
        <w:ind w:left="3049" w:right="200" w:hanging="360"/>
      </w:pPr>
      <w:r>
        <w:rPr>
          <w:spacing w:val="1"/>
        </w:rPr>
        <w:t>④ 发病 </w:t>
      </w:r>
      <w:r>
        <w:rPr/>
        <w:t>90</w:t>
      </w:r>
      <w:r>
        <w:rPr>
          <w:spacing w:val="-15"/>
        </w:rPr>
        <w:t> 天后，经检查证实左心室功能降低，如左心室射血分数低</w:t>
      </w:r>
      <w:r>
        <w:rPr>
          <w:spacing w:val="-34"/>
        </w:rPr>
        <w:t>于 </w:t>
      </w:r>
      <w:r>
        <w:rPr/>
        <w:t>50%。</w:t>
      </w:r>
    </w:p>
    <w:p>
      <w:pPr>
        <w:pStyle w:val="BodyText"/>
        <w:spacing w:before="5"/>
        <w:rPr>
          <w:sz w:val="27"/>
        </w:rPr>
      </w:pPr>
    </w:p>
    <w:p>
      <w:pPr>
        <w:pStyle w:val="ListParagraph"/>
        <w:numPr>
          <w:ilvl w:val="0"/>
          <w:numId w:val="4"/>
        </w:numPr>
        <w:tabs>
          <w:tab w:pos="3109" w:val="left" w:leader="none"/>
        </w:tabs>
        <w:spacing w:line="240" w:lineRule="auto" w:before="0" w:after="0"/>
        <w:ind w:left="3109" w:right="0" w:hanging="420"/>
        <w:jc w:val="left"/>
        <w:rPr>
          <w:sz w:val="21"/>
        </w:rPr>
      </w:pPr>
      <w:r>
        <w:rPr>
          <w:spacing w:val="-2"/>
          <w:sz w:val="21"/>
        </w:rPr>
        <w:t>脑中风后遗症</w:t>
      </w:r>
    </w:p>
    <w:p>
      <w:pPr>
        <w:pStyle w:val="BodyText"/>
        <w:spacing w:line="300" w:lineRule="auto"/>
        <w:ind w:left="2689" w:right="197"/>
        <w:jc w:val="both"/>
      </w:pPr>
      <w:r>
        <w:rPr>
          <w:spacing w:val="-6"/>
        </w:rPr>
        <w:t>指因脑血管的突发病变引起脑血管出血、栓塞或梗塞，并导致神经系</w:t>
      </w:r>
      <w:r>
        <w:rPr>
          <w:spacing w:val="-5"/>
        </w:rPr>
        <w:t>统永久性的功能障碍。神经系统永久性的功能障碍，指疾病确诊 </w:t>
      </w:r>
      <w:r>
        <w:rPr/>
        <w:t>180 </w:t>
      </w:r>
      <w:r>
        <w:rPr>
          <w:spacing w:val="-3"/>
        </w:rPr>
        <w:t>天后，仍遗留下列一种或一种以上障碍：</w:t>
      </w:r>
    </w:p>
    <w:p>
      <w:pPr>
        <w:pStyle w:val="BodyText"/>
        <w:spacing w:before="15"/>
        <w:ind w:left="2689"/>
      </w:pPr>
      <w:r>
        <w:rPr/>
        <w:t>① 一肢或一肢以上肢体机能完全丧失；</w:t>
      </w:r>
    </w:p>
    <w:p>
      <w:pPr>
        <w:pStyle w:val="BodyText"/>
        <w:spacing w:before="67"/>
        <w:ind w:left="2689"/>
      </w:pPr>
      <w:r>
        <w:rPr/>
        <w:t>② 语言能力或咀嚼吞咽能力完全丧失；</w:t>
      </w:r>
    </w:p>
    <w:p>
      <w:pPr>
        <w:pStyle w:val="BodyText"/>
        <w:spacing w:line="300" w:lineRule="auto" w:before="67"/>
        <w:ind w:left="3049" w:right="20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109" w:val="left" w:leader="none"/>
        </w:tabs>
        <w:spacing w:line="240" w:lineRule="auto" w:before="0" w:after="0"/>
        <w:ind w:left="3109" w:right="0" w:hanging="420"/>
        <w:jc w:val="left"/>
        <w:rPr>
          <w:sz w:val="21"/>
        </w:rPr>
      </w:pPr>
      <w:r>
        <w:rPr>
          <w:spacing w:val="-3"/>
          <w:sz w:val="21"/>
        </w:rPr>
        <w:t>重大器官移植术或造血干细胞移植术</w:t>
      </w:r>
    </w:p>
    <w:p>
      <w:pPr>
        <w:pStyle w:val="BodyText"/>
        <w:spacing w:line="300" w:lineRule="auto"/>
        <w:ind w:left="2689" w:right="149"/>
      </w:pPr>
      <w:r>
        <w:rPr/>
        <w:t>重大器官移植术，指因相应器官功能衰竭，已经实施了肾脏、肝脏、心脏或肺脏的异体移植手术。</w:t>
      </w:r>
    </w:p>
    <w:p>
      <w:pPr>
        <w:spacing w:after="0" w:line="300" w:lineRule="auto"/>
        <w:sectPr>
          <w:pgSz w:w="11910" w:h="16840"/>
          <w:pgMar w:header="0" w:footer="919" w:top="1580" w:bottom="1100" w:left="1560" w:right="1200"/>
        </w:sectPr>
      </w:pPr>
    </w:p>
    <w:p>
      <w:pPr>
        <w:pStyle w:val="BodyText"/>
        <w:spacing w:before="12"/>
        <w:rPr>
          <w:sz w:val="26"/>
        </w:rPr>
      </w:pPr>
    </w:p>
    <w:p>
      <w:pPr>
        <w:pStyle w:val="BodyText"/>
        <w:spacing w:line="300" w:lineRule="auto" w:before="36"/>
        <w:ind w:left="2729" w:right="217"/>
        <w:jc w:val="both"/>
      </w:pPr>
      <w:r>
        <w:rPr>
          <w:spacing w:val="-7"/>
        </w:rPr>
        <w:t>造血干细胞移植术，指因造血功能损害或造血系统恶性肿瘤，已经实</w:t>
      </w:r>
      <w:r>
        <w:rPr>
          <w:spacing w:val="-9"/>
        </w:rPr>
        <w:t>施了造血干细胞</w:t>
      </w:r>
      <w:r>
        <w:rPr/>
        <w:t>（</w:t>
      </w:r>
      <w:r>
        <w:rPr>
          <w:spacing w:val="-6"/>
        </w:rPr>
        <w:t>包括骨髓造血干细胞、外周血造血干细胞和脐血造</w:t>
      </w:r>
      <w:r>
        <w:rPr>
          <w:spacing w:val="-4"/>
        </w:rPr>
        <w:t>血干细胞</w:t>
      </w:r>
      <w:r>
        <w:rPr>
          <w:spacing w:val="-3"/>
        </w:rPr>
        <w:t>）的异体移植手术。</w:t>
      </w:r>
    </w:p>
    <w:p>
      <w:pPr>
        <w:pStyle w:val="BodyText"/>
        <w:spacing w:before="5"/>
        <w:rPr>
          <w:sz w:val="27"/>
        </w:rPr>
      </w:pPr>
    </w:p>
    <w:p>
      <w:pPr>
        <w:pStyle w:val="ListParagraph"/>
        <w:numPr>
          <w:ilvl w:val="0"/>
          <w:numId w:val="4"/>
        </w:numPr>
        <w:tabs>
          <w:tab w:pos="3149" w:val="left" w:leader="none"/>
        </w:tabs>
        <w:spacing w:line="240" w:lineRule="auto" w:before="0" w:after="0"/>
        <w:ind w:left="3149" w:right="0" w:hanging="420"/>
        <w:jc w:val="left"/>
        <w:rPr>
          <w:sz w:val="21"/>
        </w:rPr>
      </w:pPr>
      <w:r>
        <w:rPr>
          <w:spacing w:val="-2"/>
          <w:sz w:val="21"/>
        </w:rPr>
        <w:t>冠状动脉搭桥术</w:t>
      </w:r>
    </w:p>
    <w:p>
      <w:pPr>
        <w:pStyle w:val="BodyText"/>
        <w:spacing w:line="300" w:lineRule="auto"/>
        <w:ind w:left="2729" w:right="218"/>
      </w:pPr>
      <w:r>
        <w:rPr>
          <w:spacing w:val="-8"/>
        </w:rPr>
        <w:t>指为治疗严重的冠心病，实际实施了开胸进行的冠状动脉血管旁路移</w:t>
      </w:r>
      <w:r>
        <w:rPr>
          <w:spacing w:val="-5"/>
        </w:rPr>
        <w:t>植的手术。</w:t>
      </w:r>
    </w:p>
    <w:p>
      <w:pPr>
        <w:pStyle w:val="BodyText"/>
        <w:spacing w:line="300" w:lineRule="auto" w:before="15"/>
        <w:ind w:left="2729" w:right="217"/>
      </w:pPr>
      <w:r>
        <w:rPr>
          <w:spacing w:val="-7"/>
        </w:rPr>
        <w:t>冠状动脉支架植入术、心导管球囊扩张术、激光射频技术及其它非开</w:t>
      </w:r>
      <w:r>
        <w:rPr>
          <w:spacing w:val="-5"/>
        </w:rPr>
        <w:t>胸的介入手术、腔镜手术不在保障范围内。</w:t>
      </w:r>
    </w:p>
    <w:p>
      <w:pPr>
        <w:pStyle w:val="BodyText"/>
        <w:spacing w:before="5"/>
        <w:rPr>
          <w:sz w:val="27"/>
        </w:rPr>
      </w:pPr>
    </w:p>
    <w:p>
      <w:pPr>
        <w:pStyle w:val="ListParagraph"/>
        <w:numPr>
          <w:ilvl w:val="0"/>
          <w:numId w:val="4"/>
        </w:numPr>
        <w:tabs>
          <w:tab w:pos="3149" w:val="left" w:leader="none"/>
        </w:tabs>
        <w:spacing w:line="240" w:lineRule="auto" w:before="0" w:after="0"/>
        <w:ind w:left="3149" w:right="0" w:hanging="420"/>
        <w:jc w:val="left"/>
        <w:rPr>
          <w:sz w:val="21"/>
        </w:rPr>
      </w:pPr>
      <w:r>
        <w:rPr>
          <w:spacing w:val="-1"/>
          <w:sz w:val="21"/>
        </w:rPr>
        <w:t>终末期肾病</w:t>
      </w:r>
    </w:p>
    <w:p>
      <w:pPr>
        <w:pStyle w:val="BodyText"/>
        <w:spacing w:line="300" w:lineRule="auto"/>
        <w:ind w:left="2729" w:right="174"/>
      </w:pPr>
      <w:r>
        <w:rPr/>
        <w:t>指双肾功能慢性不可逆性衰竭，达到尿毒症期，经诊断后已经进行了至少 90 天的规律性透析治疗或实施了肾脏移植手术。</w:t>
      </w:r>
    </w:p>
    <w:p>
      <w:pPr>
        <w:pStyle w:val="BodyText"/>
        <w:spacing w:before="5"/>
        <w:rPr>
          <w:sz w:val="27"/>
        </w:rPr>
      </w:pPr>
    </w:p>
    <w:p>
      <w:pPr>
        <w:pStyle w:val="ListParagraph"/>
        <w:numPr>
          <w:ilvl w:val="0"/>
          <w:numId w:val="4"/>
        </w:numPr>
        <w:tabs>
          <w:tab w:pos="3149" w:val="left" w:leader="none"/>
        </w:tabs>
        <w:spacing w:line="240" w:lineRule="auto" w:before="1" w:after="0"/>
        <w:ind w:left="3149" w:right="0" w:hanging="420"/>
        <w:jc w:val="left"/>
        <w:rPr>
          <w:sz w:val="21"/>
        </w:rPr>
      </w:pPr>
      <w:r>
        <w:rPr>
          <w:spacing w:val="-2"/>
          <w:sz w:val="21"/>
        </w:rPr>
        <w:t>多个肢体缺失</w:t>
      </w:r>
    </w:p>
    <w:p>
      <w:pPr>
        <w:pStyle w:val="BodyText"/>
        <w:spacing w:line="300" w:lineRule="auto"/>
        <w:ind w:left="2729" w:right="378"/>
      </w:pPr>
      <w:r>
        <w:rPr/>
        <w:t>指因疾病或意外伤害导致两个或两个以上肢体自腕关节或踝关节近端（靠近躯干端）以上完全性断离。</w:t>
      </w:r>
    </w:p>
    <w:p>
      <w:pPr>
        <w:pStyle w:val="BodyText"/>
        <w:spacing w:before="5"/>
        <w:rPr>
          <w:sz w:val="27"/>
        </w:rPr>
      </w:pPr>
    </w:p>
    <w:p>
      <w:pPr>
        <w:pStyle w:val="ListParagraph"/>
        <w:numPr>
          <w:ilvl w:val="0"/>
          <w:numId w:val="4"/>
        </w:numPr>
        <w:tabs>
          <w:tab w:pos="3149" w:val="left" w:leader="none"/>
        </w:tabs>
        <w:spacing w:line="240" w:lineRule="auto" w:before="0" w:after="0"/>
        <w:ind w:left="3149" w:right="0" w:hanging="420"/>
        <w:jc w:val="left"/>
        <w:rPr>
          <w:sz w:val="21"/>
        </w:rPr>
      </w:pPr>
      <w:r>
        <w:rPr>
          <w:spacing w:val="-3"/>
          <w:sz w:val="21"/>
        </w:rPr>
        <w:t>急性或亚急性重症肝炎</w:t>
      </w:r>
    </w:p>
    <w:p>
      <w:pPr>
        <w:pStyle w:val="BodyText"/>
        <w:spacing w:line="300" w:lineRule="auto"/>
        <w:ind w:left="2729" w:right="169"/>
      </w:pPr>
      <w:r>
        <w:rPr/>
        <w:t>指因肝炎病毒感染引起肝脏组织弥漫性坏死，导致急性肝功能衰竭， 且经血清学或病毒学检查证实，并须满足下列全部条件：</w:t>
      </w:r>
    </w:p>
    <w:p>
      <w:pPr>
        <w:pStyle w:val="BodyText"/>
        <w:spacing w:before="16"/>
        <w:ind w:left="2729"/>
      </w:pPr>
      <w:r>
        <w:rPr/>
        <w:t>① 重度黄疸或黄疸迅速加重；</w:t>
      </w:r>
    </w:p>
    <w:p>
      <w:pPr>
        <w:pStyle w:val="BodyText"/>
        <w:ind w:left="2729"/>
      </w:pPr>
      <w:r>
        <w:rPr/>
        <w:t>② 肝性脑病；</w:t>
      </w:r>
    </w:p>
    <w:p>
      <w:pPr>
        <w:pStyle w:val="BodyText"/>
        <w:ind w:left="2729"/>
      </w:pPr>
      <w:r>
        <w:rPr/>
        <w:t>③ B 超或其它影像学检查显示肝脏体积急速萎缩；</w:t>
      </w:r>
    </w:p>
    <w:p>
      <w:pPr>
        <w:pStyle w:val="BodyText"/>
        <w:ind w:left="2729"/>
      </w:pPr>
      <w:r>
        <w:rPr/>
        <w:t>④ 肝功能指标进行性恶化。</w:t>
      </w:r>
    </w:p>
    <w:p>
      <w:pPr>
        <w:pStyle w:val="BodyText"/>
        <w:spacing w:before="0"/>
        <w:rPr>
          <w:sz w:val="20"/>
        </w:rPr>
      </w:pPr>
    </w:p>
    <w:p>
      <w:pPr>
        <w:pStyle w:val="ListParagraph"/>
        <w:numPr>
          <w:ilvl w:val="0"/>
          <w:numId w:val="4"/>
        </w:numPr>
        <w:tabs>
          <w:tab w:pos="3149" w:val="left" w:leader="none"/>
        </w:tabs>
        <w:spacing w:line="240" w:lineRule="auto" w:before="149" w:after="0"/>
        <w:ind w:left="3149" w:right="0" w:hanging="420"/>
        <w:jc w:val="left"/>
        <w:rPr>
          <w:sz w:val="21"/>
        </w:rPr>
      </w:pPr>
      <w:r>
        <w:rPr>
          <w:spacing w:val="-1"/>
          <w:sz w:val="21"/>
        </w:rPr>
        <w:t>良性脑肿瘤</w:t>
      </w:r>
    </w:p>
    <w:p>
      <w:pPr>
        <w:pStyle w:val="BodyText"/>
        <w:spacing w:line="300" w:lineRule="auto" w:before="67"/>
        <w:ind w:left="2729" w:right="114"/>
      </w:pPr>
      <w:r>
        <w:rPr>
          <w:spacing w:val="-15"/>
        </w:rPr>
        <w:t>指脑的良性肿瘤，已经引起颅内压增高，临床表现为视神经乳头水肿、</w:t>
      </w:r>
      <w:r>
        <w:rPr>
          <w:spacing w:val="-10"/>
        </w:rPr>
        <w:t>精神症状、癫痫及运动感觉障碍等，并危及生命。须由头颅断层扫描</w:t>
      </w:r>
    </w:p>
    <w:p>
      <w:pPr>
        <w:pStyle w:val="BodyText"/>
        <w:spacing w:line="300" w:lineRule="auto" w:before="15"/>
        <w:ind w:left="2729" w:right="277"/>
      </w:pPr>
      <w:r>
        <w:rPr>
          <w:w w:val="100"/>
        </w:rPr>
        <w:t>（CT</w:t>
      </w:r>
      <w:r>
        <w:rPr>
          <w:spacing w:val="-108"/>
          <w:w w:val="100"/>
        </w:rPr>
        <w:t>）</w:t>
      </w:r>
      <w:r>
        <w:rPr>
          <w:spacing w:val="-3"/>
          <w:w w:val="100"/>
        </w:rPr>
        <w:t>、核磁共振检查</w:t>
      </w:r>
      <w:r>
        <w:rPr>
          <w:spacing w:val="-1"/>
          <w:w w:val="100"/>
        </w:rPr>
        <w:t>（</w:t>
      </w:r>
      <w:r>
        <w:rPr>
          <w:spacing w:val="-3"/>
          <w:w w:val="100"/>
        </w:rPr>
        <w:t>MR</w:t>
      </w:r>
      <w:r>
        <w:rPr>
          <w:w w:val="100"/>
        </w:rPr>
        <w:t>I）</w:t>
      </w:r>
      <w:r>
        <w:rPr>
          <w:spacing w:val="-3"/>
          <w:w w:val="100"/>
        </w:rPr>
        <w:t>或正电子发射断层扫描</w:t>
      </w:r>
      <w:r>
        <w:rPr>
          <w:spacing w:val="-1"/>
          <w:w w:val="100"/>
        </w:rPr>
        <w:t>（</w:t>
      </w:r>
      <w:r>
        <w:rPr>
          <w:w w:val="100"/>
        </w:rPr>
        <w:t>PE</w:t>
      </w:r>
      <w:r>
        <w:rPr>
          <w:spacing w:val="-2"/>
          <w:w w:val="100"/>
        </w:rPr>
        <w:t>T</w:t>
      </w:r>
      <w:r>
        <w:rPr>
          <w:w w:val="100"/>
        </w:rPr>
        <w:t>）</w:t>
      </w:r>
      <w:r>
        <w:rPr>
          <w:spacing w:val="-2"/>
          <w:w w:val="100"/>
        </w:rPr>
        <w:t>等影像</w:t>
      </w:r>
      <w:r>
        <w:rPr>
          <w:spacing w:val="-3"/>
        </w:rPr>
        <w:t>学检查证实，并须满足下列至少一项条件：</w:t>
      </w:r>
    </w:p>
    <w:p>
      <w:pPr>
        <w:pStyle w:val="BodyText"/>
        <w:spacing w:before="15"/>
        <w:ind w:left="2729"/>
      </w:pPr>
      <w:r>
        <w:rPr/>
        <w:t>① 实际实施了开颅进行的脑肿瘤完全切除或部分切除的手术；</w:t>
      </w:r>
    </w:p>
    <w:p>
      <w:pPr>
        <w:pStyle w:val="BodyText"/>
        <w:ind w:left="2729"/>
      </w:pPr>
      <w:r>
        <w:rPr/>
        <w:t>② 实际实施了对脑肿瘤进行的放射治疗。</w:t>
      </w:r>
    </w:p>
    <w:p>
      <w:pPr>
        <w:pStyle w:val="BodyText"/>
        <w:ind w:left="2729"/>
      </w:pPr>
      <w:r>
        <w:rPr/>
        <w:t>脑垂体瘤、脑囊肿、脑血管性疾病不在保障范围内。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3"/>
          <w:sz w:val="21"/>
        </w:rPr>
        <w:t>脑炎后遗症或脑膜炎后遗症</w:t>
      </w:r>
    </w:p>
    <w:p>
      <w:pPr>
        <w:pStyle w:val="BodyText"/>
        <w:ind w:left="2729"/>
      </w:pPr>
      <w:r>
        <w:rPr/>
        <w:t>指因患脑炎或脑膜炎导致的神经系统永久性的功能障碍。神经系统永</w:t>
      </w:r>
    </w:p>
    <w:p>
      <w:pPr>
        <w:spacing w:after="0"/>
        <w:sectPr>
          <w:pgSz w:w="11910" w:h="16840"/>
          <w:pgMar w:header="0" w:footer="919" w:top="1580" w:bottom="1180" w:left="1520" w:right="1180"/>
        </w:sectPr>
      </w:pPr>
    </w:p>
    <w:p>
      <w:pPr>
        <w:pStyle w:val="BodyText"/>
        <w:spacing w:before="12"/>
        <w:rPr>
          <w:sz w:val="26"/>
        </w:rPr>
      </w:pPr>
    </w:p>
    <w:p>
      <w:pPr>
        <w:pStyle w:val="BodyText"/>
        <w:spacing w:line="300" w:lineRule="auto" w:before="36"/>
        <w:ind w:left="2729" w:right="217"/>
      </w:pPr>
      <w:r>
        <w:rPr>
          <w:spacing w:val="-9"/>
        </w:rPr>
        <w:t>久性的功能障碍，指疾病确诊 </w:t>
      </w:r>
      <w:r>
        <w:rPr/>
        <w:t>180</w:t>
      </w:r>
      <w:r>
        <w:rPr>
          <w:spacing w:val="-9"/>
        </w:rPr>
        <w:t> 天后，仍遗留下列一种或一种以上障碍：</w:t>
      </w:r>
    </w:p>
    <w:p>
      <w:pPr>
        <w:pStyle w:val="BodyText"/>
        <w:spacing w:before="15"/>
        <w:ind w:left="2729"/>
      </w:pPr>
      <w:r>
        <w:rPr/>
        <w:t>① 一肢或一肢以上肢体机能完全丧失；</w:t>
      </w:r>
    </w:p>
    <w:p>
      <w:pPr>
        <w:pStyle w:val="BodyText"/>
        <w:ind w:left="2729"/>
      </w:pPr>
      <w:r>
        <w:rPr/>
        <w:t>② 语言能力或咀嚼吞咽能力完全丧失；</w:t>
      </w:r>
    </w:p>
    <w:p>
      <w:pPr>
        <w:pStyle w:val="BodyText"/>
        <w:spacing w:line="300" w:lineRule="auto"/>
        <w:ind w:left="3089" w:right="22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1"/>
          <w:sz w:val="21"/>
        </w:rPr>
        <w:t>深度昏迷</w:t>
      </w:r>
    </w:p>
    <w:p>
      <w:pPr>
        <w:pStyle w:val="BodyText"/>
        <w:spacing w:line="300" w:lineRule="auto"/>
        <w:ind w:left="2729" w:right="217"/>
      </w:pPr>
      <w:r>
        <w:rPr>
          <w:spacing w:val="-3"/>
        </w:rPr>
        <w:t>指因疾病或意外伤害导致意识丧失,对外界刺激和体内需求均无反  应,昏迷程度按照格拉斯哥昏迷分级</w:t>
      </w:r>
      <w:r>
        <w:rPr/>
        <w:t>（Glasgow</w:t>
      </w:r>
      <w:r>
        <w:rPr>
          <w:spacing w:val="-44"/>
        </w:rPr>
        <w:t> </w:t>
      </w:r>
      <w:r>
        <w:rPr/>
        <w:t>coma</w:t>
      </w:r>
      <w:r>
        <w:rPr>
          <w:spacing w:val="-44"/>
        </w:rPr>
        <w:t> </w:t>
      </w:r>
      <w:r>
        <w:rPr/>
        <w:t>scale）</w:t>
      </w:r>
      <w:r>
        <w:rPr>
          <w:spacing w:val="-14"/>
        </w:rPr>
        <w:t>结果为 </w:t>
      </w:r>
      <w:r>
        <w:rPr/>
        <w:t>5 </w:t>
      </w:r>
      <w:r>
        <w:rPr>
          <w:spacing w:val="-16"/>
        </w:rPr>
        <w:t>分或 </w:t>
      </w:r>
      <w:r>
        <w:rPr/>
        <w:t>5</w:t>
      </w:r>
      <w:r>
        <w:rPr>
          <w:spacing w:val="-10"/>
        </w:rPr>
        <w:t> 分以下，且已经持续使用呼吸机及其它生命维持系统 </w:t>
      </w:r>
      <w:r>
        <w:rPr/>
        <w:t>96</w:t>
      </w:r>
      <w:r>
        <w:rPr>
          <w:spacing w:val="-19"/>
        </w:rPr>
        <w:t> 小时</w:t>
      </w:r>
      <w:r>
        <w:rPr/>
        <w:t>以上。</w:t>
      </w:r>
    </w:p>
    <w:p>
      <w:pPr>
        <w:pStyle w:val="BodyText"/>
        <w:spacing w:before="16"/>
        <w:ind w:left="2729"/>
      </w:pPr>
      <w:r>
        <w:rPr/>
        <w:t>因酗酒或药物滥用导致的深度昏迷不在保障范围内。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1"/>
          <w:sz w:val="21"/>
        </w:rPr>
        <w:t>双耳失聪</w:t>
      </w:r>
    </w:p>
    <w:p>
      <w:pPr>
        <w:pStyle w:val="BodyText"/>
        <w:ind w:left="2729"/>
      </w:pPr>
      <w:r>
        <w:rPr/>
        <w:t>指因疾病或意外伤害导致双耳听力永久不可逆性丧失，在 500 赫兹、</w:t>
      </w:r>
    </w:p>
    <w:p>
      <w:pPr>
        <w:pStyle w:val="BodyText"/>
        <w:spacing w:line="300" w:lineRule="auto"/>
        <w:ind w:left="2729" w:right="220"/>
      </w:pPr>
      <w:r>
        <w:rPr/>
        <w:t>1000</w:t>
      </w:r>
      <w:r>
        <w:rPr>
          <w:spacing w:val="-21"/>
        </w:rPr>
        <w:t> 赫兹和 </w:t>
      </w:r>
      <w:r>
        <w:rPr/>
        <w:t>2000</w:t>
      </w:r>
      <w:r>
        <w:rPr>
          <w:spacing w:val="-14"/>
        </w:rPr>
        <w:t> 赫兹语音频率下，平均听阈大于 </w:t>
      </w:r>
      <w:r>
        <w:rPr/>
        <w:t>90</w:t>
      </w:r>
      <w:r>
        <w:rPr>
          <w:spacing w:val="-15"/>
        </w:rPr>
        <w:t> 分贝，且经纯音</w:t>
      </w:r>
      <w:r>
        <w:rPr>
          <w:spacing w:val="-7"/>
        </w:rPr>
        <w:t>听力测试、声导抗检测或听觉诱发电位检测等证实。</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1"/>
          <w:sz w:val="21"/>
        </w:rPr>
        <w:t>双目失明</w:t>
      </w:r>
    </w:p>
    <w:p>
      <w:pPr>
        <w:pStyle w:val="BodyText"/>
        <w:spacing w:line="300" w:lineRule="auto" w:before="67"/>
        <w:ind w:left="2729" w:right="275" w:firstLine="105"/>
      </w:pPr>
      <w:r>
        <w:rPr/>
        <w:t>指因疾病或意外伤害导致双眼视力永久不可逆性丧失，双眼中较好眼须满足下列至少一项条件：</w:t>
      </w:r>
    </w:p>
    <w:p>
      <w:pPr>
        <w:pStyle w:val="BodyText"/>
        <w:spacing w:before="15"/>
        <w:ind w:left="2729"/>
      </w:pPr>
      <w:r>
        <w:rPr/>
        <w:t>① 眼球缺失或摘除；</w:t>
      </w:r>
    </w:p>
    <w:p>
      <w:pPr>
        <w:pStyle w:val="BodyText"/>
        <w:spacing w:line="300" w:lineRule="auto"/>
        <w:ind w:left="3089" w:right="220" w:hanging="360"/>
      </w:pPr>
      <w:r>
        <w:rPr/>
        <w:t>② 矫正视力低于 </w:t>
      </w:r>
      <w:r>
        <w:rPr>
          <w:spacing w:val="-5"/>
        </w:rPr>
        <w:t>0.02（采用国际标准视力表，如果使用其它视力表</w:t>
      </w:r>
      <w:r>
        <w:rPr>
          <w:spacing w:val="-4"/>
          <w:w w:val="100"/>
        </w:rPr>
        <w:t>应进行换算</w:t>
      </w:r>
      <w:r>
        <w:rPr>
          <w:spacing w:val="-106"/>
          <w:w w:val="100"/>
        </w:rPr>
        <w:t>）</w:t>
      </w:r>
      <w:r>
        <w:rPr>
          <w:w w:val="100"/>
        </w:rPr>
        <w:t>；</w:t>
      </w:r>
    </w:p>
    <w:p>
      <w:pPr>
        <w:pStyle w:val="BodyText"/>
        <w:spacing w:before="15"/>
        <w:ind w:left="2729"/>
      </w:pPr>
      <w:r>
        <w:rPr/>
        <w:t>③ 视野半径小于 5 度。</w:t>
      </w:r>
    </w:p>
    <w:p>
      <w:pPr>
        <w:pStyle w:val="BodyText"/>
        <w:spacing w:before="0"/>
        <w:rPr>
          <w:sz w:val="20"/>
        </w:rPr>
      </w:pPr>
    </w:p>
    <w:p>
      <w:pPr>
        <w:pStyle w:val="BodyText"/>
        <w:spacing w:before="7"/>
        <w:rPr>
          <w:sz w:val="20"/>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z w:val="21"/>
        </w:rPr>
        <w:t>瘫痪</w:t>
      </w:r>
    </w:p>
    <w:p>
      <w:pPr>
        <w:pStyle w:val="BodyText"/>
        <w:spacing w:line="300" w:lineRule="auto"/>
        <w:ind w:left="2729" w:right="112"/>
      </w:pPr>
      <w:r>
        <w:rPr>
          <w:spacing w:val="-5"/>
        </w:rPr>
        <w:t>指因疾病或意外伤害导致两肢或两肢以上肢体机能永久完全丧失。肢</w:t>
      </w:r>
      <w:r>
        <w:rPr>
          <w:spacing w:val="-16"/>
        </w:rPr>
        <w:t>体机能永久完全丧失，指疾病确诊 </w:t>
      </w:r>
      <w:r>
        <w:rPr/>
        <w:t>180</w:t>
      </w:r>
      <w:r>
        <w:rPr>
          <w:spacing w:val="-14"/>
        </w:rPr>
        <w:t> 天后或意外伤害发生 </w:t>
      </w:r>
      <w:r>
        <w:rPr/>
        <w:t>180</w:t>
      </w:r>
      <w:r>
        <w:rPr>
          <w:spacing w:val="-15"/>
        </w:rPr>
        <w:t> 天后， </w:t>
      </w:r>
      <w:r>
        <w:rPr>
          <w:spacing w:val="-7"/>
        </w:rPr>
        <w:t>每肢三大关节中的两大关节仍然完全僵硬，或不能随意识活动。</w:t>
      </w:r>
    </w:p>
    <w:p>
      <w:pPr>
        <w:pStyle w:val="BodyText"/>
        <w:spacing w:before="6"/>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心脏瓣膜手术</w:t>
      </w:r>
    </w:p>
    <w:p>
      <w:pPr>
        <w:pStyle w:val="BodyText"/>
        <w:spacing w:line="300" w:lineRule="auto"/>
        <w:ind w:left="2729" w:right="217"/>
      </w:pPr>
      <w:r>
        <w:rPr>
          <w:spacing w:val="-8"/>
        </w:rPr>
        <w:t>指为治疗心脏瓣膜疾病，实际实施了开胸进行的心脏瓣膜置换或修复</w:t>
      </w:r>
      <w:r>
        <w:rPr>
          <w:spacing w:val="-6"/>
        </w:rPr>
        <w:t>的手术。</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3"/>
          <w:sz w:val="21"/>
        </w:rPr>
        <w:t>严重阿尔茨海默病</w:t>
      </w:r>
    </w:p>
    <w:p>
      <w:pPr>
        <w:spacing w:after="0" w:line="240" w:lineRule="auto"/>
        <w:jc w:val="left"/>
        <w:rPr>
          <w:sz w:val="21"/>
        </w:rPr>
        <w:sectPr>
          <w:pgSz w:w="11910" w:h="16840"/>
          <w:pgMar w:header="0" w:footer="919" w:top="1580" w:bottom="1180" w:left="1520" w:right="1180"/>
        </w:sectPr>
      </w:pPr>
    </w:p>
    <w:p>
      <w:pPr>
        <w:pStyle w:val="BodyText"/>
        <w:spacing w:before="12"/>
        <w:rPr>
          <w:sz w:val="26"/>
        </w:rPr>
      </w:pPr>
    </w:p>
    <w:p>
      <w:pPr>
        <w:pStyle w:val="BodyText"/>
        <w:spacing w:line="300" w:lineRule="auto" w:before="36"/>
        <w:ind w:left="2729" w:right="109"/>
      </w:pPr>
      <w:r>
        <w:rPr>
          <w:spacing w:val="-7"/>
        </w:rPr>
        <w:t>指因大脑进行性、不可逆性改变导致智能严重衰退或丧失，临床表现</w:t>
      </w:r>
      <w:r>
        <w:rPr>
          <w:spacing w:val="-8"/>
        </w:rPr>
        <w:t>为明显的认知能力障碍、行为异常和社交能力减退，其日常生活必须</w:t>
      </w:r>
      <w:r>
        <w:rPr>
          <w:spacing w:val="-5"/>
          <w:w w:val="100"/>
        </w:rPr>
        <w:t>持续受到他人监护。须由头颅断层扫描</w:t>
      </w:r>
      <w:r>
        <w:rPr>
          <w:spacing w:val="-3"/>
          <w:w w:val="100"/>
        </w:rPr>
        <w:t>（</w:t>
      </w:r>
      <w:r>
        <w:rPr>
          <w:w w:val="100"/>
        </w:rPr>
        <w:t>CT</w:t>
      </w:r>
      <w:r>
        <w:rPr>
          <w:spacing w:val="-108"/>
          <w:w w:val="100"/>
        </w:rPr>
        <w:t>）</w:t>
      </w:r>
      <w:r>
        <w:rPr>
          <w:spacing w:val="-3"/>
          <w:w w:val="100"/>
        </w:rPr>
        <w:t>、核磁共振检查（</w:t>
      </w:r>
      <w:r>
        <w:rPr>
          <w:w w:val="100"/>
        </w:rPr>
        <w:t>MRI）</w:t>
      </w:r>
      <w:r>
        <w:rPr>
          <w:spacing w:val="-3"/>
        </w:rPr>
        <w:t>或正电子发射断层扫描</w:t>
      </w:r>
      <w:r>
        <w:rPr/>
        <w:t>（PET）</w:t>
      </w:r>
      <w:r>
        <w:rPr>
          <w:spacing w:val="-3"/>
        </w:rPr>
        <w:t>等影像学检查证实，且自主生活能力完全丧失，无法独立完成六项基本日常生活活动中的三项或三项以 上。</w:t>
      </w:r>
    </w:p>
    <w:p>
      <w:pPr>
        <w:pStyle w:val="BodyText"/>
        <w:spacing w:line="300" w:lineRule="auto" w:before="15"/>
        <w:ind w:left="2729" w:right="2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ind w:left="2729"/>
      </w:pPr>
      <w:r>
        <w:rPr/>
        <w:t>神经官能症和精神疾病不在保障范围内。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1"/>
          <w:sz w:val="21"/>
        </w:rPr>
        <w:t>严重脑损伤</w:t>
      </w:r>
    </w:p>
    <w:p>
      <w:pPr>
        <w:pStyle w:val="BodyText"/>
        <w:spacing w:line="300" w:lineRule="auto"/>
        <w:ind w:left="2729" w:right="157"/>
        <w:jc w:val="both"/>
      </w:pPr>
      <w:r>
        <w:rPr>
          <w:spacing w:val="-6"/>
        </w:rPr>
        <w:t>指因头部遭受机械性外力，引起脑重要部位损伤，导致神经系统永久</w:t>
      </w:r>
      <w:r>
        <w:rPr>
          <w:spacing w:val="-7"/>
          <w:w w:val="100"/>
        </w:rPr>
        <w:t>性的功能障碍。须由头颅断层扫描</w:t>
      </w:r>
      <w:r>
        <w:rPr>
          <w:spacing w:val="-3"/>
          <w:w w:val="100"/>
        </w:rPr>
        <w:t>（</w:t>
      </w:r>
      <w:r>
        <w:rPr>
          <w:w w:val="100"/>
        </w:rPr>
        <w:t>CT</w:t>
      </w:r>
      <w:r>
        <w:rPr>
          <w:spacing w:val="-108"/>
          <w:w w:val="100"/>
        </w:rPr>
        <w:t>）</w:t>
      </w:r>
      <w:r>
        <w:rPr>
          <w:spacing w:val="-6"/>
          <w:w w:val="100"/>
        </w:rPr>
        <w:t>、核磁共振检查</w:t>
      </w:r>
      <w:r>
        <w:rPr>
          <w:spacing w:val="-3"/>
          <w:w w:val="100"/>
        </w:rPr>
        <w:t>（</w:t>
      </w:r>
      <w:r>
        <w:rPr>
          <w:w w:val="100"/>
        </w:rPr>
        <w:t>MR</w:t>
      </w:r>
      <w:r>
        <w:rPr>
          <w:spacing w:val="-3"/>
          <w:w w:val="100"/>
        </w:rPr>
        <w:t>I</w:t>
      </w:r>
      <w:r>
        <w:rPr>
          <w:spacing w:val="-10"/>
          <w:w w:val="100"/>
        </w:rPr>
        <w:t>）</w:t>
      </w:r>
      <w:r>
        <w:rPr>
          <w:spacing w:val="-2"/>
          <w:w w:val="100"/>
        </w:rPr>
        <w:t>或正</w:t>
      </w:r>
      <w:r>
        <w:rPr>
          <w:spacing w:val="-3"/>
        </w:rPr>
        <w:t>电子发射断层扫描</w:t>
      </w:r>
      <w:r>
        <w:rPr/>
        <w:t>（PET）</w:t>
      </w:r>
      <w:r>
        <w:rPr>
          <w:spacing w:val="-3"/>
        </w:rPr>
        <w:t>等影像学检查证实。神经系统永久性的功</w:t>
      </w:r>
      <w:r>
        <w:rPr>
          <w:spacing w:val="-7"/>
        </w:rPr>
        <w:t>能障碍，指脑损伤 </w:t>
      </w:r>
      <w:r>
        <w:rPr/>
        <w:t>180</w:t>
      </w:r>
      <w:r>
        <w:rPr>
          <w:spacing w:val="-8"/>
        </w:rPr>
        <w:t> 天后，仍遗留下列一种或一种以上障碍：</w:t>
      </w:r>
    </w:p>
    <w:p>
      <w:pPr>
        <w:pStyle w:val="BodyText"/>
        <w:spacing w:before="15"/>
        <w:ind w:left="2729"/>
      </w:pPr>
      <w:r>
        <w:rPr/>
        <w:t>① 一肢或一肢以上肢体机能完全丧失；</w:t>
      </w:r>
    </w:p>
    <w:p>
      <w:pPr>
        <w:pStyle w:val="BodyText"/>
        <w:ind w:left="2729"/>
      </w:pPr>
      <w:r>
        <w:rPr/>
        <w:t>② 语言能力或咀嚼吞咽能力完全丧失；</w:t>
      </w:r>
    </w:p>
    <w:p>
      <w:pPr>
        <w:pStyle w:val="BodyText"/>
        <w:spacing w:line="300" w:lineRule="auto"/>
        <w:ind w:left="3089" w:right="169" w:hanging="360"/>
      </w:pPr>
      <w:r>
        <w:rPr/>
        <w:t>③ 自主生活能力完全丧失，无法独立完成六项基本日常生活活动中的三项或三项以上。</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严重帕金森病</w:t>
      </w:r>
    </w:p>
    <w:p>
      <w:pPr>
        <w:pStyle w:val="BodyText"/>
        <w:spacing w:line="300" w:lineRule="auto"/>
        <w:ind w:left="2729" w:right="107"/>
      </w:pPr>
      <w:r>
        <w:rPr/>
        <w:t>是指一种中枢神经系统的退行性疾病，临床表现为震颤麻痹、共济失调等。须满足下列全部条件：</w:t>
      </w:r>
    </w:p>
    <w:p>
      <w:pPr>
        <w:pStyle w:val="BodyText"/>
        <w:spacing w:before="15"/>
        <w:ind w:left="2729"/>
      </w:pPr>
      <w:r>
        <w:rPr/>
        <w:t>① 药物治疗无法控制病情；</w:t>
      </w:r>
    </w:p>
    <w:p>
      <w:pPr>
        <w:pStyle w:val="BodyText"/>
        <w:spacing w:line="300" w:lineRule="auto"/>
        <w:ind w:left="3089" w:right="169" w:hanging="360"/>
      </w:pPr>
      <w:r>
        <w:rPr/>
        <w:t>② 自主生活能力完全丧失，无法独立完成六项基本日常生活活动中的三项或三项以上。</w:t>
      </w:r>
    </w:p>
    <w:p>
      <w:pPr>
        <w:pStyle w:val="BodyText"/>
        <w:spacing w:line="300" w:lineRule="auto" w:before="16"/>
        <w:ind w:left="2729" w:right="2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ind w:left="2729"/>
      </w:pPr>
      <w:r>
        <w:rPr/>
        <w:t>继发性帕金森综合征不在保障范围内。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2"/>
          <w:sz w:val="21"/>
        </w:rPr>
        <w:t>严重Ⅲ度烧伤</w:t>
      </w:r>
    </w:p>
    <w:p>
      <w:pPr>
        <w:pStyle w:val="BodyText"/>
        <w:ind w:left="2729"/>
      </w:pPr>
      <w:r>
        <w:rPr/>
        <w:t>指烧伤程度为Ⅲ度，且Ⅲ度烧伤的面积达到全身体表面积的 20％或</w:t>
      </w:r>
    </w:p>
    <w:p>
      <w:pPr>
        <w:pStyle w:val="BodyText"/>
        <w:ind w:left="2729"/>
      </w:pPr>
      <w:r>
        <w:rPr/>
        <w:t>20％以上。体表面积根据《中国新九分法》计算。</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49" w:after="0"/>
        <w:ind w:left="3569" w:right="0" w:hanging="840"/>
        <w:jc w:val="left"/>
        <w:rPr>
          <w:sz w:val="21"/>
        </w:rPr>
      </w:pPr>
      <w:r>
        <w:rPr>
          <w:spacing w:val="-3"/>
          <w:sz w:val="21"/>
        </w:rPr>
        <w:t>严重原发性肺动脉高压</w:t>
      </w:r>
    </w:p>
    <w:p>
      <w:pPr>
        <w:pStyle w:val="BodyText"/>
        <w:spacing w:line="300" w:lineRule="auto"/>
        <w:ind w:left="2729" w:right="98"/>
      </w:pPr>
      <w:r>
        <w:rPr/>
        <w:t>指不明原因的肺动脉压力持续性增高，进行性发展而导致的慢性疾病，已经造成永久不可逆性的体力活动能力受限，达到美国纽约心脏</w:t>
      </w:r>
    </w:p>
    <w:p>
      <w:pPr>
        <w:spacing w:after="0" w:line="300" w:lineRule="auto"/>
        <w:sectPr>
          <w:pgSz w:w="11910" w:h="16840"/>
          <w:pgMar w:header="0" w:footer="919" w:top="1580" w:bottom="1180" w:left="1520" w:right="1240"/>
        </w:sectPr>
      </w:pPr>
    </w:p>
    <w:p>
      <w:pPr>
        <w:pStyle w:val="BodyText"/>
        <w:spacing w:before="12"/>
        <w:rPr>
          <w:sz w:val="26"/>
        </w:rPr>
      </w:pPr>
    </w:p>
    <w:p>
      <w:pPr>
        <w:pStyle w:val="BodyText"/>
        <w:spacing w:before="36"/>
        <w:ind w:left="2729"/>
      </w:pPr>
      <w:r>
        <w:rPr/>
        <w:t>病学会心功能状态分级 IV 级，且静息状态下肺动脉平均压超过</w:t>
      </w:r>
    </w:p>
    <w:p>
      <w:pPr>
        <w:pStyle w:val="BodyText"/>
        <w:ind w:left="2729"/>
      </w:pPr>
      <w:r>
        <w:rPr/>
        <w:t>30mmHg。</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3"/>
          <w:sz w:val="21"/>
        </w:rPr>
        <w:t>严重运动神经元病</w:t>
      </w:r>
    </w:p>
    <w:p>
      <w:pPr>
        <w:pStyle w:val="BodyText"/>
        <w:spacing w:line="300" w:lineRule="auto"/>
        <w:ind w:left="2729" w:right="117"/>
        <w:jc w:val="both"/>
      </w:pPr>
      <w:r>
        <w:rPr>
          <w:spacing w:val="-5"/>
        </w:rPr>
        <w:t>是一组中枢神经系统运动神经元的进行性变性疾病，包括进行性脊肌</w:t>
      </w:r>
      <w:r>
        <w:rPr>
          <w:spacing w:val="-8"/>
        </w:rPr>
        <w:t>萎缩症、进行性延髓麻痹症、原发性侧索硬化症、肌萎缩性侧索硬化</w:t>
      </w:r>
      <w:r>
        <w:rPr>
          <w:spacing w:val="-9"/>
        </w:rPr>
        <w:t>症。须满足自主生活能力完全丧失，无法独立完成六项基本日常生活</w:t>
      </w:r>
      <w:r>
        <w:rPr>
          <w:spacing w:val="-5"/>
        </w:rPr>
        <w:t>活动中的三项或三项以上的条件。</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语言能力丧失</w:t>
      </w:r>
    </w:p>
    <w:p>
      <w:pPr>
        <w:pStyle w:val="BodyText"/>
        <w:spacing w:line="300" w:lineRule="auto"/>
        <w:ind w:left="2729" w:right="175"/>
        <w:jc w:val="both"/>
      </w:pPr>
      <w:r>
        <w:rPr>
          <w:spacing w:val="-5"/>
        </w:rPr>
        <w:t>指因疾病或意外伤害导致完全丧失语言能力，经过积极治疗至少 </w:t>
      </w:r>
      <w:r>
        <w:rPr>
          <w:spacing w:val="-3"/>
        </w:rPr>
        <w:t>12 </w:t>
      </w:r>
      <w:r>
        <w:rPr>
          <w:w w:val="100"/>
        </w:rPr>
        <w:t>个月</w:t>
      </w:r>
      <w:r>
        <w:rPr>
          <w:spacing w:val="-3"/>
          <w:w w:val="100"/>
        </w:rPr>
        <w:t>（声带完全切除不受此时间限制</w:t>
      </w:r>
      <w:r>
        <w:rPr>
          <w:spacing w:val="-106"/>
          <w:w w:val="100"/>
        </w:rPr>
        <w:t>）</w:t>
      </w:r>
      <w:r>
        <w:rPr>
          <w:spacing w:val="-3"/>
          <w:w w:val="100"/>
        </w:rPr>
        <w:t>，仍无法通过现有医疗手段恢</w:t>
      </w:r>
      <w:r>
        <w:rPr>
          <w:spacing w:val="-3"/>
        </w:rPr>
        <w:t>复。</w:t>
      </w:r>
    </w:p>
    <w:p>
      <w:pPr>
        <w:pStyle w:val="BodyText"/>
        <w:spacing w:before="15"/>
        <w:ind w:left="2729"/>
      </w:pPr>
      <w:r>
        <w:rPr/>
        <w:t>精神心理因素所致的语言能力丧失不在保障范围内。</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49" w:after="0"/>
        <w:ind w:left="3569" w:right="0" w:hanging="840"/>
        <w:jc w:val="left"/>
        <w:rPr>
          <w:sz w:val="21"/>
        </w:rPr>
      </w:pPr>
      <w:r>
        <w:rPr>
          <w:spacing w:val="-3"/>
          <w:sz w:val="21"/>
        </w:rPr>
        <w:t>重型再生障碍性贫血</w:t>
      </w:r>
    </w:p>
    <w:p>
      <w:pPr>
        <w:pStyle w:val="BodyText"/>
        <w:spacing w:line="300" w:lineRule="auto" w:before="67"/>
        <w:ind w:left="2729" w:right="67"/>
      </w:pPr>
      <w:r>
        <w:rPr/>
        <w:t>指因骨髓造血功能慢性持续性衰竭导致的贫血、中性粒细胞减少及血小板减少。须满足下列全部条件：</w:t>
      </w:r>
    </w:p>
    <w:p>
      <w:pPr>
        <w:pStyle w:val="BodyText"/>
        <w:spacing w:before="15"/>
        <w:ind w:left="2729"/>
      </w:pPr>
      <w:r>
        <w:rPr/>
        <w:t>① 骨髓穿刺检查或骨髓活检结果支持诊断；</w:t>
      </w:r>
    </w:p>
    <w:p>
      <w:pPr>
        <w:pStyle w:val="BodyText"/>
        <w:ind w:left="2729"/>
      </w:pPr>
      <w:r>
        <w:rPr/>
        <w:t>② 外周血象须具备以下三项条件：</w:t>
      </w:r>
    </w:p>
    <w:p>
      <w:pPr>
        <w:pStyle w:val="ListParagraph"/>
        <w:numPr>
          <w:ilvl w:val="0"/>
          <w:numId w:val="5"/>
        </w:numPr>
        <w:tabs>
          <w:tab w:pos="3148" w:val="left" w:leader="none"/>
          <w:tab w:pos="3149" w:val="left" w:leader="none"/>
        </w:tabs>
        <w:spacing w:line="240" w:lineRule="auto" w:before="68" w:after="0"/>
        <w:ind w:left="314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148" w:val="left" w:leader="none"/>
          <w:tab w:pos="3149" w:val="left" w:leader="none"/>
        </w:tabs>
        <w:spacing w:line="240" w:lineRule="auto" w:before="68" w:after="0"/>
        <w:ind w:left="3149" w:right="0" w:hanging="420"/>
        <w:jc w:val="left"/>
        <w:rPr>
          <w:sz w:val="21"/>
        </w:rPr>
      </w:pPr>
      <w:r>
        <w:rPr>
          <w:spacing w:val="-3"/>
          <w:sz w:val="21"/>
        </w:rPr>
        <w:t>网织红细胞＜</w:t>
      </w:r>
      <w:r>
        <w:rPr>
          <w:spacing w:val="-1"/>
          <w:sz w:val="21"/>
        </w:rPr>
        <w:t>1%；</w:t>
      </w:r>
    </w:p>
    <w:p>
      <w:pPr>
        <w:pStyle w:val="ListParagraph"/>
        <w:numPr>
          <w:ilvl w:val="0"/>
          <w:numId w:val="5"/>
        </w:numPr>
        <w:tabs>
          <w:tab w:pos="3148" w:val="left" w:leader="none"/>
          <w:tab w:pos="3149" w:val="left" w:leader="none"/>
        </w:tabs>
        <w:spacing w:line="240" w:lineRule="auto" w:before="67" w:after="0"/>
        <w:ind w:left="314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rPr>
          <w:sz w:val="31"/>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1"/>
          <w:sz w:val="21"/>
        </w:rPr>
        <w:t>主动脉手术</w:t>
      </w:r>
    </w:p>
    <w:p>
      <w:pPr>
        <w:pStyle w:val="BodyText"/>
        <w:spacing w:line="300" w:lineRule="auto"/>
        <w:ind w:left="2729" w:right="117"/>
        <w:jc w:val="both"/>
      </w:pPr>
      <w:r>
        <w:rPr>
          <w:spacing w:val="-7"/>
        </w:rPr>
        <w:t>指为治疗主动脉疾病，实际实施了开胸或开腹进行的切除、置换、修</w:t>
      </w:r>
      <w:r>
        <w:rPr>
          <w:spacing w:val="-8"/>
        </w:rPr>
        <w:t>补病损主动脉血管的手术。主动脉指胸主动脉和腹主动脉，不包括胸</w:t>
      </w:r>
      <w:r>
        <w:rPr>
          <w:spacing w:val="-5"/>
        </w:rPr>
        <w:t>主动脉和腹主动脉的分支血管。</w:t>
      </w:r>
    </w:p>
    <w:p>
      <w:pPr>
        <w:pStyle w:val="BodyText"/>
        <w:spacing w:before="15"/>
        <w:ind w:left="2729"/>
      </w:pPr>
      <w:r>
        <w:rPr/>
        <w:t>动脉内血管成形术不在保障范围内。</w:t>
      </w:r>
    </w:p>
    <w:p>
      <w:pPr>
        <w:pStyle w:val="BodyText"/>
        <w:spacing w:before="0"/>
        <w:rPr>
          <w:sz w:val="20"/>
        </w:rPr>
      </w:pPr>
    </w:p>
    <w:p>
      <w:pPr>
        <w:pStyle w:val="ListParagraph"/>
        <w:numPr>
          <w:ilvl w:val="0"/>
          <w:numId w:val="3"/>
        </w:numPr>
        <w:tabs>
          <w:tab w:pos="3148" w:val="left" w:leader="none"/>
          <w:tab w:pos="3149" w:val="left" w:leader="none"/>
        </w:tabs>
        <w:spacing w:line="300" w:lineRule="auto" w:before="149" w:after="0"/>
        <w:ind w:left="3149" w:right="122" w:hanging="420"/>
        <w:jc w:val="left"/>
        <w:rPr>
          <w:sz w:val="21"/>
        </w:rPr>
      </w:pPr>
      <w:r>
        <w:rPr>
          <w:sz w:val="21"/>
        </w:rPr>
        <w:t>6</w:t>
      </w:r>
      <w:r>
        <w:rPr>
          <w:spacing w:val="-7"/>
          <w:sz w:val="21"/>
        </w:rPr>
        <w:t> 种中国保险行业协会推荐范围以外的疾病是指符合下列条件的疾病：</w:t>
      </w:r>
    </w:p>
    <w:p>
      <w:pPr>
        <w:pStyle w:val="BodyText"/>
        <w:spacing w:before="6"/>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严重多发性硬化</w:t>
      </w:r>
    </w:p>
    <w:p>
      <w:pPr>
        <w:pStyle w:val="BodyText"/>
        <w:spacing w:line="300" w:lineRule="auto"/>
        <w:ind w:left="2729" w:right="117"/>
      </w:pPr>
      <w:r>
        <w:rPr>
          <w:spacing w:val="-3"/>
        </w:rPr>
        <w:t>指一种中枢神经系统脱髓鞘性疾病而导致的身体部位永久不可逆的</w:t>
      </w:r>
      <w:r>
        <w:rPr>
          <w:spacing w:val="-11"/>
        </w:rPr>
        <w:t>功能障碍。永久性功能障碍是指被保险人 </w:t>
      </w:r>
      <w:r>
        <w:rPr/>
        <w:t>180</w:t>
      </w:r>
      <w:r>
        <w:rPr>
          <w:spacing w:val="-8"/>
        </w:rPr>
        <w:t> 天以上持续性的自主生</w:t>
      </w:r>
      <w:r>
        <w:rPr>
          <w:spacing w:val="-10"/>
        </w:rPr>
        <w:t>活能力完全丧失，从而无法独立完成六项基本日常生活活动的三项或</w:t>
      </w:r>
    </w:p>
    <w:p>
      <w:pPr>
        <w:spacing w:after="0" w:line="300" w:lineRule="auto"/>
        <w:sectPr>
          <w:pgSz w:w="11910" w:h="16840"/>
          <w:pgMar w:header="0" w:footer="919" w:top="1580" w:bottom="1180" w:left="1520" w:right="1280"/>
        </w:sectPr>
      </w:pPr>
    </w:p>
    <w:p>
      <w:pPr>
        <w:pStyle w:val="BodyText"/>
        <w:spacing w:before="12"/>
        <w:rPr>
          <w:sz w:val="26"/>
        </w:rPr>
      </w:pPr>
    </w:p>
    <w:p>
      <w:pPr>
        <w:pStyle w:val="BodyText"/>
        <w:spacing w:before="36"/>
        <w:ind w:left="2729"/>
      </w:pPr>
      <w:r>
        <w:rPr/>
        <w:t>三项以上。</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49" w:after="0"/>
        <w:ind w:left="3569" w:right="0" w:hanging="840"/>
        <w:jc w:val="left"/>
        <w:rPr>
          <w:sz w:val="21"/>
        </w:rPr>
      </w:pPr>
      <w:r>
        <w:rPr>
          <w:spacing w:val="-3"/>
          <w:sz w:val="21"/>
        </w:rPr>
        <w:t>严重肌营养不良症</w:t>
      </w:r>
    </w:p>
    <w:p>
      <w:pPr>
        <w:pStyle w:val="BodyText"/>
        <w:spacing w:line="300" w:lineRule="auto"/>
        <w:ind w:left="2729" w:right="99"/>
      </w:pPr>
      <w:r>
        <w:rPr/>
        <w:t>是一组以与神经系统无关的肌肉无力及萎缩为特征的遗传性疾病，并导致永久性运动功能障碍。须满足下列全部条件：</w:t>
      </w:r>
    </w:p>
    <w:p>
      <w:pPr>
        <w:pStyle w:val="BodyText"/>
        <w:tabs>
          <w:tab w:pos="3148" w:val="left" w:leader="none"/>
        </w:tabs>
        <w:spacing w:before="16"/>
        <w:ind w:left="2729"/>
      </w:pPr>
      <w:r>
        <w:rPr/>
        <w:t>①</w:t>
        <w:tab/>
      </w:r>
      <w:r>
        <w:rPr>
          <w:spacing w:val="-3"/>
        </w:rPr>
        <w:t>肌电图显示肌营养不良症的特征性改变；</w:t>
      </w:r>
    </w:p>
    <w:p>
      <w:pPr>
        <w:pStyle w:val="BodyText"/>
        <w:tabs>
          <w:tab w:pos="3148" w:val="left" w:leader="none"/>
        </w:tabs>
        <w:spacing w:line="300" w:lineRule="auto"/>
        <w:ind w:left="3149" w:right="318" w:hanging="420"/>
      </w:pPr>
      <w:r>
        <w:rPr/>
        <w:t>②</w:t>
        <w:tab/>
      </w:r>
      <w:r>
        <w:rPr>
          <w:spacing w:val="-3"/>
        </w:rPr>
        <w:t>肌肉活体组织检查的病理学诊断符合肌营养不良症的肌肉细胞 变性、坏死等阳性改变；</w:t>
      </w:r>
    </w:p>
    <w:p>
      <w:pPr>
        <w:pStyle w:val="BodyText"/>
        <w:tabs>
          <w:tab w:pos="3148" w:val="left" w:leader="none"/>
        </w:tabs>
        <w:spacing w:line="300" w:lineRule="auto" w:before="15"/>
        <w:ind w:left="3149" w:right="157" w:hanging="420"/>
      </w:pPr>
      <w:r>
        <w:rPr/>
        <w:t>③</w:t>
        <w:tab/>
      </w:r>
      <w:r>
        <w:rPr>
          <w:spacing w:val="-9"/>
        </w:rPr>
        <w:t>被保险人 </w:t>
      </w:r>
      <w:r>
        <w:rPr/>
        <w:t>180</w:t>
      </w:r>
      <w:r>
        <w:rPr>
          <w:spacing w:val="-10"/>
        </w:rPr>
        <w:t> 天以上持续性的自主生活能力完全丧失，从而无法</w:t>
      </w:r>
      <w:r>
        <w:rPr>
          <w:spacing w:val="-5"/>
        </w:rPr>
        <w:t>独立完成六项基本日常生活活动的三项或三项以上。</w:t>
      </w:r>
    </w:p>
    <w:p>
      <w:pPr>
        <w:pStyle w:val="BodyText"/>
        <w:spacing w:before="5"/>
        <w:rPr>
          <w:sz w:val="27"/>
        </w:rPr>
      </w:pPr>
    </w:p>
    <w:p>
      <w:pPr>
        <w:pStyle w:val="ListParagraph"/>
        <w:numPr>
          <w:ilvl w:val="0"/>
          <w:numId w:val="4"/>
        </w:numPr>
        <w:tabs>
          <w:tab w:pos="3568" w:val="left" w:leader="none"/>
          <w:tab w:pos="3569" w:val="left" w:leader="none"/>
        </w:tabs>
        <w:spacing w:line="240" w:lineRule="auto" w:before="1" w:after="0"/>
        <w:ind w:left="356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left="2729" w:right="109"/>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MRI）</w:t>
      </w:r>
      <w:r>
        <w:rPr>
          <w:spacing w:val="-3"/>
        </w:rPr>
        <w:t>或正电子发射断层扫描</w:t>
      </w:r>
      <w:r>
        <w:rPr/>
        <w:t>（PET）</w:t>
      </w:r>
      <w:r>
        <w:rPr>
          <w:spacing w:val="-3"/>
        </w:rPr>
        <w:t>等影像学检查证实。上述情况必须有至少一个月的病历记录加以证实。</w:t>
      </w:r>
    </w:p>
    <w:p>
      <w:pPr>
        <w:pStyle w:val="BodyText"/>
        <w:spacing w:before="5"/>
        <w:rPr>
          <w:sz w:val="27"/>
        </w:rPr>
      </w:pPr>
    </w:p>
    <w:p>
      <w:pPr>
        <w:pStyle w:val="ListParagraph"/>
        <w:numPr>
          <w:ilvl w:val="0"/>
          <w:numId w:val="4"/>
        </w:numPr>
        <w:tabs>
          <w:tab w:pos="3568" w:val="left" w:leader="none"/>
          <w:tab w:pos="3569" w:val="left" w:leader="none"/>
        </w:tabs>
        <w:spacing w:line="240" w:lineRule="auto" w:before="0" w:after="0"/>
        <w:ind w:left="3569" w:right="0" w:hanging="840"/>
        <w:jc w:val="left"/>
        <w:rPr>
          <w:sz w:val="21"/>
        </w:rPr>
      </w:pPr>
      <w:r>
        <w:rPr>
          <w:spacing w:val="-2"/>
          <w:sz w:val="21"/>
        </w:rPr>
        <w:t>系统性红斑狼疮</w:t>
      </w:r>
    </w:p>
    <w:p>
      <w:pPr>
        <w:pStyle w:val="BodyText"/>
        <w:spacing w:line="300" w:lineRule="auto"/>
        <w:ind w:left="2729" w:right="157"/>
      </w:pPr>
      <w:r>
        <w:rPr>
          <w:spacing w:val="-3"/>
        </w:rPr>
        <w:t>系统性红斑狼疮是指由于病理性自身抗体和免疫复合物的沉积破坏</w:t>
      </w:r>
      <w:r>
        <w:rPr>
          <w:spacing w:val="-5"/>
        </w:rPr>
        <w:t>了血管和细胞而导致的累及多系统损害的一种自体免疫性疾病。本疾</w:t>
      </w:r>
      <w:r>
        <w:rPr>
          <w:spacing w:val="-12"/>
        </w:rPr>
        <w:t>病应符合 </w:t>
      </w:r>
      <w:r>
        <w:rPr/>
        <w:t>1997</w:t>
      </w:r>
      <w:r>
        <w:rPr>
          <w:spacing w:val="-8"/>
        </w:rPr>
        <w:t> 年美国风湿病学会修订的系统性红斑狼疮标准，同时</w:t>
      </w:r>
      <w:r>
        <w:rPr>
          <w:spacing w:val="-5"/>
        </w:rPr>
        <w:t>本保障仅限于被保险人因系统性红斑狼疮并发狼疮性肾炎并引起肾</w:t>
      </w:r>
      <w:r>
        <w:rPr>
          <w:spacing w:val="-4"/>
        </w:rPr>
        <w:t>功能损害，且肾脏病理诊断符合以下列明的世界卫生组织</w:t>
      </w:r>
      <w:r>
        <w:rPr/>
        <w:t>（WHO）</w:t>
      </w:r>
      <w:r>
        <w:rPr>
          <w:spacing w:val="-3"/>
        </w:rPr>
        <w:t>对</w:t>
      </w:r>
      <w:r>
        <w:rPr>
          <w:spacing w:val="-7"/>
        </w:rPr>
        <w:t>狼疮性肾炎所分类中的第 </w:t>
      </w:r>
      <w:r>
        <w:rPr/>
        <w:t>III、IV、</w:t>
      </w:r>
      <w:r>
        <w:rPr>
          <w:spacing w:val="-3"/>
        </w:rPr>
        <w:t>V</w:t>
      </w:r>
      <w:r>
        <w:rPr/>
        <w:t>、VI</w:t>
      </w:r>
      <w:r>
        <w:rPr>
          <w:spacing w:val="-8"/>
        </w:rPr>
        <w:t> 型。诊断须由有资格的风</w:t>
      </w:r>
      <w:r>
        <w:rPr>
          <w:spacing w:val="-5"/>
        </w:rPr>
        <w:t>湿和免疫病专科医生确认。</w:t>
      </w:r>
    </w:p>
    <w:p>
      <w:pPr>
        <w:pStyle w:val="BodyText"/>
        <w:spacing w:before="16"/>
        <w:ind w:left="2729"/>
      </w:pPr>
      <w:r>
        <w:rPr/>
        <w:t>世界卫生组织（WHO）对狼疮性肾炎的分类标准：</w:t>
      </w:r>
    </w:p>
    <w:p>
      <w:pPr>
        <w:pStyle w:val="ListParagraph"/>
        <w:numPr>
          <w:ilvl w:val="0"/>
          <w:numId w:val="6"/>
        </w:numPr>
        <w:tabs>
          <w:tab w:pos="2941" w:val="left" w:leader="none"/>
        </w:tabs>
        <w:spacing w:line="240" w:lineRule="auto" w:before="68" w:after="0"/>
        <w:ind w:left="2940" w:right="0" w:hanging="211"/>
        <w:jc w:val="left"/>
        <w:rPr>
          <w:sz w:val="21"/>
        </w:rPr>
      </w:pPr>
      <w:r>
        <w:rPr>
          <w:spacing w:val="-3"/>
          <w:sz w:val="21"/>
        </w:rPr>
        <w:t>型–正常肾小球型；</w:t>
      </w:r>
    </w:p>
    <w:p>
      <w:pPr>
        <w:pStyle w:val="ListParagraph"/>
        <w:numPr>
          <w:ilvl w:val="0"/>
          <w:numId w:val="6"/>
        </w:numPr>
        <w:tabs>
          <w:tab w:pos="2993" w:val="left" w:leader="none"/>
        </w:tabs>
        <w:spacing w:line="240" w:lineRule="auto" w:before="68" w:after="0"/>
        <w:ind w:left="2993" w:right="0" w:hanging="264"/>
        <w:jc w:val="left"/>
        <w:rPr>
          <w:sz w:val="21"/>
        </w:rPr>
      </w:pPr>
      <w:r>
        <w:rPr>
          <w:spacing w:val="-3"/>
          <w:sz w:val="21"/>
        </w:rPr>
        <w:t>型–系膜增生型；</w:t>
      </w:r>
    </w:p>
    <w:p>
      <w:pPr>
        <w:pStyle w:val="ListParagraph"/>
        <w:numPr>
          <w:ilvl w:val="0"/>
          <w:numId w:val="6"/>
        </w:numPr>
        <w:tabs>
          <w:tab w:pos="3099" w:val="left" w:leader="none"/>
        </w:tabs>
        <w:spacing w:line="240" w:lineRule="auto" w:before="68" w:after="0"/>
        <w:ind w:left="3098" w:right="0" w:hanging="369"/>
        <w:jc w:val="left"/>
        <w:rPr>
          <w:sz w:val="21"/>
        </w:rPr>
      </w:pPr>
      <w:r>
        <w:rPr>
          <w:spacing w:val="-3"/>
          <w:sz w:val="21"/>
        </w:rPr>
        <w:t>型–局灶节段增生型；</w:t>
      </w:r>
    </w:p>
    <w:p>
      <w:pPr>
        <w:pStyle w:val="ListParagraph"/>
        <w:numPr>
          <w:ilvl w:val="0"/>
          <w:numId w:val="6"/>
        </w:numPr>
        <w:tabs>
          <w:tab w:pos="2993" w:val="left" w:leader="none"/>
        </w:tabs>
        <w:spacing w:line="240" w:lineRule="auto" w:before="68" w:after="0"/>
        <w:ind w:left="2993" w:right="0" w:hanging="264"/>
        <w:jc w:val="left"/>
        <w:rPr>
          <w:sz w:val="21"/>
        </w:rPr>
      </w:pPr>
      <w:r>
        <w:rPr>
          <w:spacing w:val="-3"/>
          <w:sz w:val="21"/>
        </w:rPr>
        <w:t>型–弥漫增生型；</w:t>
      </w:r>
    </w:p>
    <w:p>
      <w:pPr>
        <w:pStyle w:val="ListParagraph"/>
        <w:numPr>
          <w:ilvl w:val="0"/>
          <w:numId w:val="6"/>
        </w:numPr>
        <w:tabs>
          <w:tab w:pos="2888" w:val="left" w:leader="none"/>
        </w:tabs>
        <w:spacing w:line="240" w:lineRule="auto" w:before="68" w:after="0"/>
        <w:ind w:left="2887" w:right="0" w:hanging="158"/>
        <w:jc w:val="left"/>
        <w:rPr>
          <w:sz w:val="21"/>
        </w:rPr>
      </w:pPr>
      <w:r>
        <w:rPr>
          <w:spacing w:val="-3"/>
          <w:sz w:val="21"/>
        </w:rPr>
        <w:t>型–膜型；</w:t>
      </w:r>
    </w:p>
    <w:p>
      <w:pPr>
        <w:pStyle w:val="ListParagraph"/>
        <w:numPr>
          <w:ilvl w:val="0"/>
          <w:numId w:val="6"/>
        </w:numPr>
        <w:tabs>
          <w:tab w:pos="2993" w:val="left" w:leader="none"/>
        </w:tabs>
        <w:spacing w:line="240" w:lineRule="auto" w:before="68" w:after="0"/>
        <w:ind w:left="2993" w:right="0" w:hanging="264"/>
        <w:jc w:val="left"/>
        <w:rPr>
          <w:sz w:val="21"/>
        </w:rPr>
      </w:pPr>
      <w:r>
        <w:rPr>
          <w:spacing w:val="-3"/>
          <w:sz w:val="21"/>
        </w:rPr>
        <w:t>型–肾小球硬化型。</w:t>
      </w:r>
    </w:p>
    <w:p>
      <w:pPr>
        <w:pStyle w:val="BodyText"/>
        <w:spacing w:before="0"/>
        <w:rPr>
          <w:sz w:val="20"/>
        </w:rPr>
      </w:pPr>
    </w:p>
    <w:p>
      <w:pPr>
        <w:pStyle w:val="ListParagraph"/>
        <w:numPr>
          <w:ilvl w:val="0"/>
          <w:numId w:val="4"/>
        </w:numPr>
        <w:tabs>
          <w:tab w:pos="3568" w:val="left" w:leader="none"/>
          <w:tab w:pos="3569" w:val="left" w:leader="none"/>
        </w:tabs>
        <w:spacing w:line="240" w:lineRule="auto" w:before="150" w:after="0"/>
        <w:ind w:left="3569" w:right="0" w:hanging="840"/>
        <w:jc w:val="left"/>
        <w:rPr>
          <w:sz w:val="21"/>
        </w:rPr>
      </w:pPr>
      <w:r>
        <w:rPr>
          <w:spacing w:val="-3"/>
          <w:sz w:val="21"/>
        </w:rPr>
        <w:t>严重类风湿性关节炎</w:t>
      </w:r>
    </w:p>
    <w:p>
      <w:pPr>
        <w:pStyle w:val="BodyText"/>
        <w:spacing w:line="300" w:lineRule="auto" w:before="67"/>
        <w:ind w:left="2729" w:right="107"/>
      </w:pPr>
      <w:r>
        <w:rPr/>
        <w:t>是指广泛的慢性渐进性的关节损害，伴有明显的关节畸形，必须具有下列所有情况：</w:t>
      </w:r>
    </w:p>
    <w:p>
      <w:pPr>
        <w:pStyle w:val="BodyText"/>
        <w:tabs>
          <w:tab w:pos="3148" w:val="left" w:leader="none"/>
        </w:tabs>
        <w:spacing w:before="15"/>
        <w:ind w:left="2729"/>
      </w:pPr>
      <w:r>
        <w:rPr/>
        <w:t>①</w:t>
        <w:tab/>
      </w:r>
      <w:r>
        <w:rPr>
          <w:spacing w:val="-7"/>
        </w:rPr>
        <w:t>符合美国风湿病学学会的 </w:t>
      </w:r>
      <w:r>
        <w:rPr/>
        <w:t>1987</w:t>
      </w:r>
      <w:r>
        <w:rPr>
          <w:spacing w:val="-9"/>
        </w:rPr>
        <w:t> 年诊断标准；</w:t>
      </w:r>
    </w:p>
    <w:p>
      <w:pPr>
        <w:spacing w:after="0"/>
        <w:sectPr>
          <w:pgSz w:w="11910" w:h="16840"/>
          <w:pgMar w:header="0" w:footer="919" w:top="1580" w:bottom="1180" w:left="1520" w:right="1240"/>
        </w:sectPr>
      </w:pPr>
    </w:p>
    <w:p>
      <w:pPr>
        <w:pStyle w:val="BodyText"/>
        <w:spacing w:before="0"/>
        <w:rPr>
          <w:rFonts w:ascii="Times New Roman"/>
          <w:sz w:val="20"/>
        </w:rPr>
      </w:pPr>
    </w:p>
    <w:p>
      <w:pPr>
        <w:pStyle w:val="BodyText"/>
        <w:spacing w:before="4"/>
        <w:rPr>
          <w:rFonts w:ascii="Times New Roman"/>
          <w:sz w:val="19"/>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582"/>
        <w:gridCol w:w="6669"/>
      </w:tblGrid>
      <w:tr>
        <w:trPr>
          <w:trHeight w:val="5231" w:hRule="atLeast"/>
        </w:trPr>
        <w:tc>
          <w:tcPr>
            <w:tcW w:w="777"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6669" w:type="dxa"/>
          </w:tcPr>
          <w:p>
            <w:pPr>
              <w:pStyle w:val="TableParagraph"/>
              <w:tabs>
                <w:tab w:pos="529" w:val="left" w:leader="none"/>
              </w:tabs>
              <w:spacing w:line="211" w:lineRule="exact"/>
              <w:ind w:left="109"/>
              <w:rPr>
                <w:sz w:val="21"/>
              </w:rPr>
            </w:pPr>
            <w:r>
              <w:rPr>
                <w:sz w:val="21"/>
              </w:rPr>
              <w:t>②</w:t>
              <w:tab/>
              <w:t>广泛性关节损害及下列6</w:t>
            </w:r>
            <w:r>
              <w:rPr>
                <w:spacing w:val="-8"/>
                <w:sz w:val="21"/>
              </w:rPr>
              <w:t> 个关节部位有三个或以上出现严重临床</w:t>
            </w:r>
          </w:p>
          <w:p>
            <w:pPr>
              <w:pStyle w:val="TableParagraph"/>
              <w:spacing w:before="68"/>
              <w:ind w:left="529"/>
              <w:rPr>
                <w:sz w:val="21"/>
              </w:rPr>
            </w:pPr>
            <w:r>
              <w:rPr>
                <w:sz w:val="21"/>
              </w:rPr>
              <w:t>变形: 手、腕、肘、膝、髋、踝；</w:t>
            </w:r>
          </w:p>
          <w:p>
            <w:pPr>
              <w:pStyle w:val="TableParagraph"/>
              <w:tabs>
                <w:tab w:pos="529" w:val="left" w:leader="none"/>
              </w:tabs>
              <w:spacing w:line="300" w:lineRule="auto" w:before="68"/>
              <w:ind w:left="529" w:right="299" w:hanging="420"/>
              <w:rPr>
                <w:sz w:val="21"/>
              </w:rPr>
            </w:pPr>
            <w:r>
              <w:rPr>
                <w:sz w:val="21"/>
              </w:rPr>
              <w:t>③</w:t>
              <w:tab/>
            </w:r>
            <w:r>
              <w:rPr>
                <w:spacing w:val="-8"/>
                <w:sz w:val="21"/>
              </w:rPr>
              <w:t>自主生活能力完全丧失，无法独立完成六项基本日常生活活动中 </w:t>
            </w:r>
            <w:r>
              <w:rPr>
                <w:spacing w:val="-5"/>
                <w:sz w:val="21"/>
              </w:rPr>
              <w:t>的三项或三项以上。</w:t>
            </w:r>
          </w:p>
          <w:p>
            <w:pPr>
              <w:pStyle w:val="TableParagraph"/>
              <w:spacing w:line="300" w:lineRule="auto" w:before="16"/>
              <w:ind w:left="109" w:right="299"/>
              <w:rPr>
                <w:sz w:val="21"/>
              </w:rPr>
            </w:pPr>
            <w:r>
              <w:rPr>
                <w:spacing w:val="-7"/>
                <w:sz w:val="21"/>
              </w:rPr>
              <w:t>上述疾病需由专科医生确诊，并提供相应医疗记录以证实上述病情已</w:t>
            </w:r>
            <w:r>
              <w:rPr>
                <w:spacing w:val="-13"/>
                <w:sz w:val="21"/>
              </w:rPr>
              <w:t>经存在至少 </w:t>
            </w:r>
            <w:r>
              <w:rPr>
                <w:sz w:val="21"/>
              </w:rPr>
              <w:t>3</w:t>
            </w:r>
            <w:r>
              <w:rPr>
                <w:spacing w:val="-14"/>
                <w:sz w:val="21"/>
              </w:rPr>
              <w:t> 个月。</w:t>
            </w:r>
          </w:p>
          <w:p>
            <w:pPr>
              <w:pStyle w:val="TableParagraph"/>
              <w:ind w:left="0"/>
              <w:rPr>
                <w:rFonts w:ascii="Times New Roman"/>
                <w:sz w:val="20"/>
              </w:rPr>
            </w:pPr>
          </w:p>
          <w:p>
            <w:pPr>
              <w:pStyle w:val="TableParagraph"/>
              <w:tabs>
                <w:tab w:pos="949" w:val="left" w:leader="none"/>
              </w:tabs>
              <w:spacing w:before="129"/>
              <w:ind w:left="109"/>
              <w:rPr>
                <w:sz w:val="21"/>
              </w:rPr>
            </w:pPr>
            <w:r>
              <w:rPr>
                <w:sz w:val="21"/>
              </w:rPr>
              <w:t>(30)</w:t>
              <w:tab/>
            </w:r>
            <w:r>
              <w:rPr>
                <w:spacing w:val="-3"/>
                <w:sz w:val="21"/>
              </w:rPr>
              <w:t>全身性重症肌无力</w:t>
            </w:r>
          </w:p>
          <w:p>
            <w:pPr>
              <w:pStyle w:val="TableParagraph"/>
              <w:spacing w:line="300" w:lineRule="auto" w:before="68"/>
              <w:ind w:left="109" w:right="196"/>
              <w:rPr>
                <w:sz w:val="21"/>
              </w:rPr>
            </w:pPr>
            <w:r>
              <w:rPr>
                <w:spacing w:val="-5"/>
                <w:sz w:val="21"/>
              </w:rPr>
              <w:t>是指一种神经与肌肉接头部位传递障碍的自身免疫性疾病。临床特征</w:t>
            </w:r>
            <w:r>
              <w:rPr>
                <w:spacing w:val="-4"/>
                <w:sz w:val="21"/>
              </w:rPr>
              <w:t>是局部或全身横纹肌于活动时易于疲劳无力，颅神经眼外肌最易累 </w:t>
            </w:r>
            <w:r>
              <w:rPr>
                <w:spacing w:val="-14"/>
                <w:sz w:val="21"/>
              </w:rPr>
              <w:t>及，也可涉及呼吸肌、下肢近端肌群乃至全身肌肉，需经腾喜龙试验， </w:t>
            </w:r>
            <w:r>
              <w:rPr>
                <w:spacing w:val="-12"/>
                <w:sz w:val="21"/>
              </w:rPr>
              <w:t>反复刺激神经, </w:t>
            </w:r>
            <w:r>
              <w:rPr>
                <w:sz w:val="21"/>
              </w:rPr>
              <w:t>sf-EMG</w:t>
            </w:r>
            <w:r>
              <w:rPr>
                <w:spacing w:val="-11"/>
                <w:sz w:val="21"/>
              </w:rPr>
              <w:t> 或者血清乙酰胆碱酯酶抗体检查，同时需经神</w:t>
            </w:r>
            <w:r>
              <w:rPr>
                <w:spacing w:val="-10"/>
                <w:sz w:val="21"/>
              </w:rPr>
              <w:t>经专科医师确诊。其诊断必须满足下列情况：经药物、胸腺手术治疗</w:t>
            </w:r>
            <w:r>
              <w:rPr>
                <w:spacing w:val="-8"/>
                <w:sz w:val="21"/>
              </w:rPr>
              <w:t>一年以上无法控制病情，完全丧失自主生活能力，无法独立完成六项</w:t>
            </w:r>
            <w:r>
              <w:rPr>
                <w:spacing w:val="-5"/>
                <w:sz w:val="21"/>
              </w:rPr>
              <w:t>基本日常生活活动中的三项或三项以上。</w:t>
            </w:r>
          </w:p>
        </w:tc>
      </w:tr>
      <w:tr>
        <w:trPr>
          <w:trHeight w:val="632" w:hRule="atLeast"/>
        </w:trPr>
        <w:tc>
          <w:tcPr>
            <w:tcW w:w="777" w:type="dxa"/>
          </w:tcPr>
          <w:p>
            <w:pPr>
              <w:pStyle w:val="TableParagraph"/>
              <w:spacing w:before="151"/>
              <w:ind w:left="200"/>
              <w:rPr>
                <w:sz w:val="21"/>
              </w:rPr>
            </w:pPr>
            <w:r>
              <w:rPr>
                <w:w w:val="100"/>
                <w:sz w:val="21"/>
              </w:rPr>
              <w:t>五</w:t>
            </w:r>
          </w:p>
        </w:tc>
        <w:tc>
          <w:tcPr>
            <w:tcW w:w="1582" w:type="dxa"/>
          </w:tcPr>
          <w:p>
            <w:pPr>
              <w:pStyle w:val="TableParagraph"/>
              <w:spacing w:before="151"/>
              <w:ind w:left="366"/>
              <w:rPr>
                <w:sz w:val="21"/>
              </w:rPr>
            </w:pPr>
            <w:r>
              <w:rPr>
                <w:sz w:val="21"/>
              </w:rPr>
              <w:t>意外伤害</w:t>
            </w:r>
          </w:p>
        </w:tc>
        <w:tc>
          <w:tcPr>
            <w:tcW w:w="6669" w:type="dxa"/>
          </w:tcPr>
          <w:p>
            <w:pPr>
              <w:pStyle w:val="TableParagraph"/>
              <w:spacing w:before="151"/>
              <w:ind w:left="109"/>
              <w:rPr>
                <w:sz w:val="21"/>
              </w:rPr>
            </w:pPr>
            <w:r>
              <w:rPr>
                <w:sz w:val="21"/>
              </w:rPr>
              <w:t>指外来的、突然的、非本意的、非疾病的使身体受到伤害的客观事件。</w:t>
            </w:r>
          </w:p>
        </w:tc>
      </w:tr>
      <w:tr>
        <w:trPr>
          <w:trHeight w:val="1560" w:hRule="atLeast"/>
        </w:trPr>
        <w:tc>
          <w:tcPr>
            <w:tcW w:w="777" w:type="dxa"/>
          </w:tcPr>
          <w:p>
            <w:pPr>
              <w:pStyle w:val="TableParagraph"/>
              <w:spacing w:before="142"/>
              <w:ind w:left="200"/>
              <w:rPr>
                <w:sz w:val="21"/>
              </w:rPr>
            </w:pPr>
            <w:r>
              <w:rPr>
                <w:w w:val="100"/>
                <w:sz w:val="21"/>
              </w:rPr>
              <w:t>六</w:t>
            </w:r>
          </w:p>
        </w:tc>
        <w:tc>
          <w:tcPr>
            <w:tcW w:w="1582" w:type="dxa"/>
          </w:tcPr>
          <w:p>
            <w:pPr>
              <w:pStyle w:val="TableParagraph"/>
              <w:spacing w:before="142"/>
              <w:ind w:left="366"/>
              <w:rPr>
                <w:sz w:val="21"/>
              </w:rPr>
            </w:pPr>
            <w:r>
              <w:rPr>
                <w:sz w:val="21"/>
              </w:rPr>
              <w:t>毒品</w:t>
            </w:r>
          </w:p>
        </w:tc>
        <w:tc>
          <w:tcPr>
            <w:tcW w:w="6669" w:type="dxa"/>
          </w:tcPr>
          <w:p>
            <w:pPr>
              <w:pStyle w:val="TableParagraph"/>
              <w:spacing w:line="273" w:lineRule="auto" w:before="142"/>
              <w:ind w:left="109" w:right="251"/>
              <w:jc w:val="both"/>
              <w:rPr>
                <w:sz w:val="21"/>
              </w:rPr>
            </w:pPr>
            <w:r>
              <w:rPr>
                <w:spacing w:val="-3"/>
                <w:sz w:val="21"/>
              </w:rPr>
              <w:t>指中华人民共和国刑法规定的鸦片、海洛因、甲基苯丙胺</w:t>
            </w:r>
            <w:r>
              <w:rPr>
                <w:sz w:val="21"/>
              </w:rPr>
              <w:t>（</w:t>
            </w:r>
            <w:r>
              <w:rPr>
                <w:spacing w:val="-2"/>
                <w:sz w:val="21"/>
              </w:rPr>
              <w:t>冰毒</w:t>
            </w:r>
            <w:r>
              <w:rPr>
                <w:spacing w:val="-3"/>
                <w:sz w:val="21"/>
              </w:rPr>
              <w:t>）</w:t>
            </w:r>
            <w:r>
              <w:rPr>
                <w:sz w:val="21"/>
              </w:rPr>
              <w:t>、</w:t>
            </w:r>
            <w:r>
              <w:rPr>
                <w:spacing w:val="-8"/>
                <w:sz w:val="21"/>
              </w:rPr>
              <w:t>吗啡、大麻、可卡因以及国家规定管制的其他能够使人形成瘾癖的麻</w:t>
            </w:r>
            <w:r>
              <w:rPr>
                <w:spacing w:val="-10"/>
                <w:sz w:val="21"/>
              </w:rPr>
              <w:t>醉药品和精神药品，但不包括由医生开具并遵医嘱使用的用于治疗疾</w:t>
            </w:r>
            <w:r>
              <w:rPr>
                <w:spacing w:val="-5"/>
                <w:sz w:val="21"/>
              </w:rPr>
              <w:t>病但含有毒品成分的处方药品。</w:t>
            </w:r>
          </w:p>
        </w:tc>
      </w:tr>
      <w:tr>
        <w:trPr>
          <w:trHeight w:val="1248" w:hRule="atLeast"/>
        </w:trPr>
        <w:tc>
          <w:tcPr>
            <w:tcW w:w="777" w:type="dxa"/>
          </w:tcPr>
          <w:p>
            <w:pPr>
              <w:pStyle w:val="TableParagraph"/>
              <w:spacing w:before="143"/>
              <w:ind w:left="200"/>
              <w:rPr>
                <w:sz w:val="21"/>
              </w:rPr>
            </w:pPr>
            <w:r>
              <w:rPr>
                <w:w w:val="100"/>
                <w:sz w:val="21"/>
              </w:rPr>
              <w:t>七</w:t>
            </w:r>
          </w:p>
        </w:tc>
        <w:tc>
          <w:tcPr>
            <w:tcW w:w="1582" w:type="dxa"/>
          </w:tcPr>
          <w:p>
            <w:pPr>
              <w:pStyle w:val="TableParagraph"/>
              <w:spacing w:before="143"/>
              <w:ind w:left="366"/>
              <w:rPr>
                <w:sz w:val="21"/>
              </w:rPr>
            </w:pPr>
            <w:r>
              <w:rPr>
                <w:sz w:val="21"/>
              </w:rPr>
              <w:t>酒后驾驶</w:t>
            </w:r>
          </w:p>
        </w:tc>
        <w:tc>
          <w:tcPr>
            <w:tcW w:w="6669" w:type="dxa"/>
          </w:tcPr>
          <w:p>
            <w:pPr>
              <w:pStyle w:val="TableParagraph"/>
              <w:spacing w:line="273" w:lineRule="auto" w:before="143"/>
              <w:ind w:left="109" w:right="299"/>
              <w:jc w:val="both"/>
              <w:rPr>
                <w:sz w:val="21"/>
              </w:rPr>
            </w:pPr>
            <w:r>
              <w:rPr>
                <w:spacing w:val="-9"/>
                <w:sz w:val="21"/>
              </w:rPr>
              <w:t>指经检测或鉴定，发生事故时车辆驾驶人员每百毫升血液中的酒精含</w:t>
            </w:r>
            <w:r>
              <w:rPr>
                <w:spacing w:val="-8"/>
                <w:sz w:val="21"/>
              </w:rPr>
              <w:t>量达到或超过一定的标准，公安机关交通管理部门依据《道路交通安</w:t>
            </w:r>
            <w:r>
              <w:rPr>
                <w:spacing w:val="-5"/>
                <w:sz w:val="21"/>
              </w:rPr>
              <w:t>全法》的规定认定为饮酒后驾驶或醉酒后驾驶。</w:t>
            </w:r>
          </w:p>
        </w:tc>
      </w:tr>
      <w:tr>
        <w:trPr>
          <w:trHeight w:val="2184" w:hRule="atLeast"/>
        </w:trPr>
        <w:tc>
          <w:tcPr>
            <w:tcW w:w="777" w:type="dxa"/>
          </w:tcPr>
          <w:p>
            <w:pPr>
              <w:pStyle w:val="TableParagraph"/>
              <w:spacing w:before="142"/>
              <w:ind w:left="200"/>
              <w:rPr>
                <w:sz w:val="21"/>
              </w:rPr>
            </w:pPr>
            <w:r>
              <w:rPr>
                <w:w w:val="100"/>
                <w:sz w:val="21"/>
              </w:rPr>
              <w:t>八</w:t>
            </w:r>
          </w:p>
        </w:tc>
        <w:tc>
          <w:tcPr>
            <w:tcW w:w="1582" w:type="dxa"/>
          </w:tcPr>
          <w:p>
            <w:pPr>
              <w:pStyle w:val="TableParagraph"/>
              <w:spacing w:line="273" w:lineRule="auto" w:before="142"/>
              <w:ind w:left="366" w:right="105"/>
              <w:rPr>
                <w:sz w:val="21"/>
              </w:rPr>
            </w:pPr>
            <w:r>
              <w:rPr>
                <w:sz w:val="21"/>
              </w:rPr>
              <w:t>无合法有效驾驶证驾驶</w:t>
            </w:r>
          </w:p>
        </w:tc>
        <w:tc>
          <w:tcPr>
            <w:tcW w:w="6669" w:type="dxa"/>
          </w:tcPr>
          <w:p>
            <w:pPr>
              <w:pStyle w:val="TableParagraph"/>
              <w:spacing w:before="142"/>
              <w:ind w:left="109"/>
              <w:rPr>
                <w:sz w:val="21"/>
              </w:rPr>
            </w:pPr>
            <w:r>
              <w:rPr>
                <w:sz w:val="21"/>
              </w:rPr>
              <w:t>指下列情形之一：</w:t>
            </w:r>
          </w:p>
          <w:p>
            <w:pPr>
              <w:pStyle w:val="TableParagraph"/>
              <w:numPr>
                <w:ilvl w:val="0"/>
                <w:numId w:val="7"/>
              </w:numPr>
              <w:tabs>
                <w:tab w:pos="529" w:val="left" w:leader="none"/>
                <w:tab w:pos="530" w:val="left" w:leader="none"/>
              </w:tabs>
              <w:spacing w:line="240" w:lineRule="auto" w:before="36" w:after="0"/>
              <w:ind w:left="529" w:right="0" w:hanging="420"/>
              <w:jc w:val="left"/>
              <w:rPr>
                <w:sz w:val="21"/>
              </w:rPr>
            </w:pPr>
            <w:r>
              <w:rPr>
                <w:spacing w:val="-3"/>
                <w:sz w:val="21"/>
              </w:rPr>
              <w:t>没有取得驾驶资格；</w:t>
            </w:r>
          </w:p>
          <w:p>
            <w:pPr>
              <w:pStyle w:val="TableParagraph"/>
              <w:numPr>
                <w:ilvl w:val="0"/>
                <w:numId w:val="7"/>
              </w:numPr>
              <w:tabs>
                <w:tab w:pos="529" w:val="left" w:leader="none"/>
                <w:tab w:pos="530" w:val="left" w:leader="none"/>
              </w:tabs>
              <w:spacing w:line="240" w:lineRule="auto" w:before="36" w:after="0"/>
              <w:ind w:left="529" w:right="0" w:hanging="420"/>
              <w:jc w:val="left"/>
              <w:rPr>
                <w:sz w:val="21"/>
              </w:rPr>
            </w:pPr>
            <w:r>
              <w:rPr>
                <w:spacing w:val="-3"/>
                <w:sz w:val="21"/>
              </w:rPr>
              <w:t>驾驶与驾驶证准驾车型不相符合的车辆；</w:t>
            </w:r>
          </w:p>
          <w:p>
            <w:pPr>
              <w:pStyle w:val="TableParagraph"/>
              <w:numPr>
                <w:ilvl w:val="0"/>
                <w:numId w:val="7"/>
              </w:numPr>
              <w:tabs>
                <w:tab w:pos="529" w:val="left" w:leader="none"/>
                <w:tab w:pos="530" w:val="left" w:leader="none"/>
              </w:tabs>
              <w:spacing w:line="240" w:lineRule="auto" w:before="36" w:after="0"/>
              <w:ind w:left="529" w:right="0" w:hanging="420"/>
              <w:jc w:val="left"/>
              <w:rPr>
                <w:sz w:val="21"/>
              </w:rPr>
            </w:pPr>
            <w:r>
              <w:rPr>
                <w:spacing w:val="-3"/>
                <w:sz w:val="21"/>
              </w:rPr>
              <w:t>持审验不合格的驾驶证驾驶；</w:t>
            </w:r>
          </w:p>
          <w:p>
            <w:pPr>
              <w:pStyle w:val="TableParagraph"/>
              <w:numPr>
                <w:ilvl w:val="0"/>
                <w:numId w:val="7"/>
              </w:numPr>
              <w:tabs>
                <w:tab w:pos="529" w:val="left" w:leader="none"/>
                <w:tab w:pos="530" w:val="left" w:leader="none"/>
              </w:tabs>
              <w:spacing w:line="273" w:lineRule="auto" w:before="36" w:after="0"/>
              <w:ind w:left="529" w:right="196" w:hanging="420"/>
              <w:jc w:val="left"/>
              <w:rPr>
                <w:sz w:val="21"/>
              </w:rPr>
            </w:pPr>
            <w:r>
              <w:rPr>
                <w:spacing w:val="-14"/>
                <w:sz w:val="21"/>
              </w:rPr>
              <w:t>持学习驾驶证学习驾车时，无教练员随车指导，或不按指定时间、</w:t>
            </w:r>
            <w:r>
              <w:rPr>
                <w:spacing w:val="-6"/>
                <w:sz w:val="21"/>
              </w:rPr>
              <w:t>路线学习驾车。</w:t>
            </w:r>
          </w:p>
        </w:tc>
      </w:tr>
      <w:tr>
        <w:trPr>
          <w:trHeight w:val="1248" w:hRule="atLeast"/>
        </w:trPr>
        <w:tc>
          <w:tcPr>
            <w:tcW w:w="777" w:type="dxa"/>
          </w:tcPr>
          <w:p>
            <w:pPr>
              <w:pStyle w:val="TableParagraph"/>
              <w:spacing w:before="143"/>
              <w:ind w:left="200"/>
              <w:rPr>
                <w:sz w:val="21"/>
              </w:rPr>
            </w:pPr>
            <w:r>
              <w:rPr>
                <w:w w:val="100"/>
                <w:sz w:val="21"/>
              </w:rPr>
              <w:t>九</w:t>
            </w:r>
          </w:p>
        </w:tc>
        <w:tc>
          <w:tcPr>
            <w:tcW w:w="1582" w:type="dxa"/>
          </w:tcPr>
          <w:p>
            <w:pPr>
              <w:pStyle w:val="TableParagraph"/>
              <w:spacing w:line="273" w:lineRule="auto" w:before="143"/>
              <w:ind w:left="366" w:right="105"/>
              <w:rPr>
                <w:sz w:val="21"/>
              </w:rPr>
            </w:pPr>
            <w:r>
              <w:rPr>
                <w:sz w:val="21"/>
              </w:rPr>
              <w:t>无有效行驶证</w:t>
            </w:r>
          </w:p>
        </w:tc>
        <w:tc>
          <w:tcPr>
            <w:tcW w:w="6669" w:type="dxa"/>
          </w:tcPr>
          <w:p>
            <w:pPr>
              <w:pStyle w:val="TableParagraph"/>
              <w:spacing w:before="143"/>
              <w:ind w:left="109"/>
              <w:rPr>
                <w:sz w:val="21"/>
              </w:rPr>
            </w:pPr>
            <w:r>
              <w:rPr>
                <w:sz w:val="21"/>
              </w:rPr>
              <w:t>指下列情形之一：</w:t>
            </w:r>
          </w:p>
          <w:p>
            <w:pPr>
              <w:pStyle w:val="TableParagraph"/>
              <w:numPr>
                <w:ilvl w:val="0"/>
                <w:numId w:val="8"/>
              </w:numPr>
              <w:tabs>
                <w:tab w:pos="529" w:val="left" w:leader="none"/>
                <w:tab w:pos="530" w:val="left" w:leader="none"/>
              </w:tabs>
              <w:spacing w:line="240" w:lineRule="auto" w:before="37" w:after="0"/>
              <w:ind w:left="529" w:right="0" w:hanging="420"/>
              <w:jc w:val="left"/>
              <w:rPr>
                <w:sz w:val="21"/>
              </w:rPr>
            </w:pPr>
            <w:r>
              <w:rPr>
                <w:spacing w:val="-3"/>
                <w:sz w:val="21"/>
              </w:rPr>
              <w:t>机动车被依法注销登记的；</w:t>
            </w:r>
          </w:p>
          <w:p>
            <w:pPr>
              <w:pStyle w:val="TableParagraph"/>
              <w:numPr>
                <w:ilvl w:val="0"/>
                <w:numId w:val="8"/>
              </w:numPr>
              <w:tabs>
                <w:tab w:pos="529" w:val="left" w:leader="none"/>
                <w:tab w:pos="530" w:val="left" w:leader="none"/>
              </w:tabs>
              <w:spacing w:line="240" w:lineRule="auto" w:before="37" w:after="0"/>
              <w:ind w:left="529" w:right="0" w:hanging="420"/>
              <w:jc w:val="left"/>
              <w:rPr>
                <w:sz w:val="21"/>
              </w:rPr>
            </w:pPr>
            <w:r>
              <w:rPr>
                <w:spacing w:val="-3"/>
                <w:sz w:val="21"/>
              </w:rPr>
              <w:t>未依法按时进行或通过机动车安全技术检验。</w:t>
            </w:r>
          </w:p>
        </w:tc>
      </w:tr>
      <w:tr>
        <w:trPr>
          <w:trHeight w:val="417" w:hRule="atLeast"/>
        </w:trPr>
        <w:tc>
          <w:tcPr>
            <w:tcW w:w="777" w:type="dxa"/>
          </w:tcPr>
          <w:p>
            <w:pPr>
              <w:pStyle w:val="TableParagraph"/>
              <w:spacing w:line="255" w:lineRule="exact" w:before="142"/>
              <w:ind w:left="200"/>
              <w:rPr>
                <w:sz w:val="21"/>
              </w:rPr>
            </w:pPr>
            <w:r>
              <w:rPr>
                <w:w w:val="100"/>
                <w:sz w:val="21"/>
              </w:rPr>
              <w:t>十</w:t>
            </w:r>
          </w:p>
        </w:tc>
        <w:tc>
          <w:tcPr>
            <w:tcW w:w="1582" w:type="dxa"/>
          </w:tcPr>
          <w:p>
            <w:pPr>
              <w:pStyle w:val="TableParagraph"/>
              <w:spacing w:line="255" w:lineRule="exact" w:before="142"/>
              <w:ind w:left="366"/>
              <w:rPr>
                <w:sz w:val="21"/>
              </w:rPr>
            </w:pPr>
            <w:r>
              <w:rPr>
                <w:sz w:val="21"/>
              </w:rPr>
              <w:t>先 天 性 畸</w:t>
            </w:r>
          </w:p>
        </w:tc>
        <w:tc>
          <w:tcPr>
            <w:tcW w:w="6669" w:type="dxa"/>
          </w:tcPr>
          <w:p>
            <w:pPr>
              <w:pStyle w:val="TableParagraph"/>
              <w:spacing w:line="255" w:lineRule="exact" w:before="142"/>
              <w:ind w:left="109"/>
              <w:rPr>
                <w:sz w:val="21"/>
              </w:rPr>
            </w:pPr>
            <w:r>
              <w:rPr>
                <w:sz w:val="21"/>
              </w:rPr>
              <w:t>指被保险人出生时就具有的畸形、变形或染色体异常。先天性畸形、</w:t>
            </w:r>
          </w:p>
        </w:tc>
      </w:tr>
    </w:tbl>
    <w:p>
      <w:pPr>
        <w:spacing w:after="0" w:line="255" w:lineRule="exact"/>
        <w:rPr>
          <w:sz w:val="21"/>
        </w:rPr>
        <w:sectPr>
          <w:pgSz w:w="11910" w:h="16840"/>
          <w:pgMar w:header="0" w:footer="919" w:top="1580" w:bottom="1100" w:left="1520" w:right="980"/>
        </w:sectPr>
      </w:pPr>
    </w:p>
    <w:p>
      <w:pPr>
        <w:pStyle w:val="BodyText"/>
        <w:spacing w:before="0"/>
        <w:rPr>
          <w:rFonts w:ascii="Times New Roman"/>
          <w:sz w:val="20"/>
        </w:rPr>
      </w:pPr>
    </w:p>
    <w:p>
      <w:pPr>
        <w:pStyle w:val="BodyText"/>
        <w:spacing w:before="1"/>
        <w:rPr>
          <w:rFonts w:ascii="Times New Roman"/>
          <w:sz w:val="18"/>
        </w:rPr>
      </w:pP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530"/>
        <w:gridCol w:w="6670"/>
      </w:tblGrid>
      <w:tr>
        <w:trPr>
          <w:trHeight w:val="729" w:hRule="atLeast"/>
        </w:trPr>
        <w:tc>
          <w:tcPr>
            <w:tcW w:w="936" w:type="dxa"/>
          </w:tcPr>
          <w:p>
            <w:pPr>
              <w:pStyle w:val="TableParagraph"/>
              <w:ind w:left="0"/>
              <w:rPr>
                <w:rFonts w:ascii="Times New Roman"/>
                <w:sz w:val="20"/>
              </w:rPr>
            </w:pPr>
          </w:p>
        </w:tc>
        <w:tc>
          <w:tcPr>
            <w:tcW w:w="1530" w:type="dxa"/>
          </w:tcPr>
          <w:p>
            <w:pPr>
              <w:pStyle w:val="TableParagraph"/>
              <w:spacing w:line="211" w:lineRule="exact"/>
              <w:ind w:left="312"/>
              <w:rPr>
                <w:sz w:val="21"/>
              </w:rPr>
            </w:pPr>
            <w:r>
              <w:rPr>
                <w:sz w:val="21"/>
              </w:rPr>
              <w:t>形、变形或</w:t>
            </w:r>
          </w:p>
          <w:p>
            <w:pPr>
              <w:pStyle w:val="TableParagraph"/>
              <w:spacing w:before="37"/>
              <w:ind w:left="312"/>
              <w:rPr>
                <w:sz w:val="21"/>
              </w:rPr>
            </w:pPr>
            <w:r>
              <w:rPr>
                <w:sz w:val="21"/>
              </w:rPr>
              <w:t>染色体异常</w:t>
            </w:r>
          </w:p>
        </w:tc>
        <w:tc>
          <w:tcPr>
            <w:tcW w:w="6670" w:type="dxa"/>
          </w:tcPr>
          <w:p>
            <w:pPr>
              <w:pStyle w:val="TableParagraph"/>
              <w:spacing w:line="211" w:lineRule="exact"/>
              <w:rPr>
                <w:sz w:val="21"/>
              </w:rPr>
            </w:pPr>
            <w:r>
              <w:rPr>
                <w:sz w:val="21"/>
              </w:rPr>
              <w:t>变形和染色体异常依照世界卫生组织《疾病和有关健康问题的国际统</w:t>
            </w:r>
          </w:p>
          <w:p>
            <w:pPr>
              <w:pStyle w:val="TableParagraph"/>
              <w:spacing w:before="37"/>
              <w:rPr>
                <w:sz w:val="21"/>
              </w:rPr>
            </w:pPr>
            <w:r>
              <w:rPr>
                <w:sz w:val="21"/>
              </w:rPr>
              <w:t>计分类》（ICD-10）确定。</w:t>
            </w:r>
          </w:p>
        </w:tc>
      </w:tr>
      <w:tr>
        <w:trPr>
          <w:trHeight w:val="935" w:hRule="atLeast"/>
        </w:trPr>
        <w:tc>
          <w:tcPr>
            <w:tcW w:w="936" w:type="dxa"/>
          </w:tcPr>
          <w:p>
            <w:pPr>
              <w:pStyle w:val="TableParagraph"/>
              <w:spacing w:before="142"/>
              <w:ind w:left="200"/>
              <w:rPr>
                <w:sz w:val="21"/>
              </w:rPr>
            </w:pPr>
            <w:r>
              <w:rPr>
                <w:sz w:val="21"/>
              </w:rPr>
              <w:t>十一</w:t>
            </w:r>
          </w:p>
        </w:tc>
        <w:tc>
          <w:tcPr>
            <w:tcW w:w="1530" w:type="dxa"/>
          </w:tcPr>
          <w:p>
            <w:pPr>
              <w:pStyle w:val="TableParagraph"/>
              <w:spacing w:before="142"/>
              <w:ind w:left="312"/>
              <w:rPr>
                <w:sz w:val="21"/>
              </w:rPr>
            </w:pPr>
            <w:r>
              <w:rPr>
                <w:sz w:val="21"/>
              </w:rPr>
              <w:t>现金价值</w:t>
            </w:r>
          </w:p>
        </w:tc>
        <w:tc>
          <w:tcPr>
            <w:tcW w:w="6670" w:type="dxa"/>
          </w:tcPr>
          <w:p>
            <w:pPr>
              <w:pStyle w:val="TableParagraph"/>
              <w:spacing w:line="273" w:lineRule="auto" w:before="142"/>
              <w:ind w:right="302"/>
              <w:rPr>
                <w:sz w:val="21"/>
              </w:rPr>
            </w:pPr>
            <w:r>
              <w:rPr>
                <w:spacing w:val="-7"/>
                <w:sz w:val="21"/>
              </w:rPr>
              <w:t>指保险单所具有的价值，通常体现为解除合同时，根据精算原理计算</w:t>
            </w:r>
            <w:r>
              <w:rPr>
                <w:spacing w:val="-5"/>
                <w:sz w:val="21"/>
              </w:rPr>
              <w:t>的，由本公司退还的那部分金额。</w:t>
            </w:r>
          </w:p>
        </w:tc>
      </w:tr>
      <w:tr>
        <w:trPr>
          <w:trHeight w:val="990" w:hRule="atLeast"/>
        </w:trPr>
        <w:tc>
          <w:tcPr>
            <w:tcW w:w="936" w:type="dxa"/>
          </w:tcPr>
          <w:p>
            <w:pPr>
              <w:pStyle w:val="TableParagraph"/>
              <w:spacing w:before="142"/>
              <w:ind w:left="200"/>
              <w:rPr>
                <w:sz w:val="21"/>
              </w:rPr>
            </w:pPr>
            <w:r>
              <w:rPr>
                <w:sz w:val="21"/>
              </w:rPr>
              <w:t>十二</w:t>
            </w:r>
          </w:p>
        </w:tc>
        <w:tc>
          <w:tcPr>
            <w:tcW w:w="1530" w:type="dxa"/>
          </w:tcPr>
          <w:p>
            <w:pPr>
              <w:pStyle w:val="TableParagraph"/>
              <w:spacing w:before="142"/>
              <w:ind w:left="312"/>
              <w:rPr>
                <w:sz w:val="21"/>
              </w:rPr>
            </w:pPr>
            <w:r>
              <w:rPr>
                <w:sz w:val="21"/>
              </w:rPr>
              <w:t>利息</w:t>
            </w:r>
          </w:p>
        </w:tc>
        <w:tc>
          <w:tcPr>
            <w:tcW w:w="6670" w:type="dxa"/>
          </w:tcPr>
          <w:p>
            <w:pPr>
              <w:pStyle w:val="TableParagraph"/>
              <w:spacing w:line="300" w:lineRule="auto" w:before="157"/>
              <w:ind w:right="254"/>
              <w:rPr>
                <w:sz w:val="21"/>
              </w:rPr>
            </w:pPr>
            <w:r>
              <w:rPr>
                <w:sz w:val="21"/>
              </w:rPr>
              <w:t>按借款利率计算。借款利率参照一年期流动资金贷款法定利率确定， 但不低于年利率 4%。</w:t>
            </w:r>
          </w:p>
        </w:tc>
      </w:tr>
      <w:tr>
        <w:trPr>
          <w:trHeight w:val="2505" w:hRule="atLeast"/>
        </w:trPr>
        <w:tc>
          <w:tcPr>
            <w:tcW w:w="936" w:type="dxa"/>
          </w:tcPr>
          <w:p>
            <w:pPr>
              <w:pStyle w:val="TableParagraph"/>
              <w:spacing w:before="151"/>
              <w:ind w:left="200"/>
              <w:rPr>
                <w:sz w:val="21"/>
              </w:rPr>
            </w:pPr>
            <w:r>
              <w:rPr>
                <w:sz w:val="21"/>
              </w:rPr>
              <w:t>十三</w:t>
            </w:r>
          </w:p>
        </w:tc>
        <w:tc>
          <w:tcPr>
            <w:tcW w:w="1530" w:type="dxa"/>
          </w:tcPr>
          <w:p>
            <w:pPr>
              <w:pStyle w:val="TableParagraph"/>
              <w:spacing w:before="151"/>
              <w:ind w:left="312"/>
              <w:rPr>
                <w:sz w:val="21"/>
              </w:rPr>
            </w:pPr>
            <w:r>
              <w:rPr>
                <w:sz w:val="21"/>
              </w:rPr>
              <w:t>专科医生</w:t>
            </w:r>
          </w:p>
        </w:tc>
        <w:tc>
          <w:tcPr>
            <w:tcW w:w="6670" w:type="dxa"/>
          </w:tcPr>
          <w:p>
            <w:pPr>
              <w:pStyle w:val="TableParagraph"/>
              <w:spacing w:before="151"/>
              <w:rPr>
                <w:sz w:val="21"/>
              </w:rPr>
            </w:pPr>
            <w:r>
              <w:rPr>
                <w:sz w:val="21"/>
              </w:rPr>
              <w:t>专科医生应当同时满足以下四项资格条件：</w:t>
            </w:r>
          </w:p>
          <w:p>
            <w:pPr>
              <w:pStyle w:val="TableParagraph"/>
              <w:numPr>
                <w:ilvl w:val="0"/>
                <w:numId w:val="9"/>
              </w:numPr>
              <w:tabs>
                <w:tab w:pos="425" w:val="left" w:leader="none"/>
              </w:tabs>
              <w:spacing w:line="240" w:lineRule="auto" w:before="37" w:after="0"/>
              <w:ind w:left="424" w:right="0" w:hanging="316"/>
              <w:jc w:val="left"/>
              <w:rPr>
                <w:sz w:val="21"/>
              </w:rPr>
            </w:pPr>
            <w:r>
              <w:rPr>
                <w:spacing w:val="-3"/>
                <w:sz w:val="21"/>
              </w:rPr>
              <w:t>具有有效的中华人民共和国《医师资格证书》；</w:t>
            </w:r>
          </w:p>
          <w:p>
            <w:pPr>
              <w:pStyle w:val="TableParagraph"/>
              <w:numPr>
                <w:ilvl w:val="0"/>
                <w:numId w:val="9"/>
              </w:numPr>
              <w:tabs>
                <w:tab w:pos="425" w:val="left" w:leader="none"/>
              </w:tabs>
              <w:spacing w:line="273" w:lineRule="auto" w:before="37" w:after="0"/>
              <w:ind w:left="424" w:right="570" w:hanging="316"/>
              <w:jc w:val="left"/>
              <w:rPr>
                <w:sz w:val="21"/>
              </w:rPr>
            </w:pPr>
            <w:r>
              <w:rPr>
                <w:spacing w:val="-3"/>
                <w:sz w:val="21"/>
              </w:rPr>
              <w:t>具有有效的中华人民共和国《医师执业证书》，并按期到相关部门登记注册；</w:t>
            </w:r>
          </w:p>
          <w:p>
            <w:pPr>
              <w:pStyle w:val="TableParagraph"/>
              <w:numPr>
                <w:ilvl w:val="0"/>
                <w:numId w:val="9"/>
              </w:numPr>
              <w:tabs>
                <w:tab w:pos="425" w:val="left" w:leader="none"/>
              </w:tabs>
              <w:spacing w:line="240" w:lineRule="auto" w:before="7" w:after="0"/>
              <w:ind w:left="424" w:right="0" w:hanging="316"/>
              <w:jc w:val="left"/>
              <w:rPr>
                <w:sz w:val="21"/>
              </w:rPr>
            </w:pPr>
            <w:r>
              <w:rPr>
                <w:spacing w:val="-3"/>
                <w:sz w:val="21"/>
              </w:rPr>
              <w:t>具有有效的中华人民共和国主治医师或主治医师以上职称的</w:t>
            </w:r>
          </w:p>
          <w:p>
            <w:pPr>
              <w:pStyle w:val="TableParagraph"/>
              <w:spacing w:before="37"/>
              <w:ind w:left="319"/>
              <w:rPr>
                <w:sz w:val="21"/>
              </w:rPr>
            </w:pPr>
            <w:r>
              <w:rPr>
                <w:sz w:val="21"/>
              </w:rPr>
              <w:t>《医师职称证书》；</w:t>
            </w:r>
          </w:p>
          <w:p>
            <w:pPr>
              <w:pStyle w:val="TableParagraph"/>
              <w:numPr>
                <w:ilvl w:val="0"/>
                <w:numId w:val="9"/>
              </w:numPr>
              <w:tabs>
                <w:tab w:pos="425" w:val="left" w:leader="none"/>
              </w:tabs>
              <w:spacing w:line="240" w:lineRule="auto" w:before="37" w:after="0"/>
              <w:ind w:left="424" w:right="0" w:hanging="316"/>
              <w:jc w:val="left"/>
              <w:rPr>
                <w:sz w:val="21"/>
              </w:rPr>
            </w:pPr>
            <w:r>
              <w:rPr>
                <w:spacing w:val="-3"/>
                <w:sz w:val="21"/>
              </w:rPr>
              <w:t>在二级或二级以上医院的相应科室从事临床工作三年以上。</w:t>
            </w:r>
          </w:p>
        </w:tc>
      </w:tr>
      <w:tr>
        <w:trPr>
          <w:trHeight w:val="936" w:hRule="atLeast"/>
        </w:trPr>
        <w:tc>
          <w:tcPr>
            <w:tcW w:w="936" w:type="dxa"/>
          </w:tcPr>
          <w:p>
            <w:pPr>
              <w:pStyle w:val="TableParagraph"/>
              <w:spacing w:before="142"/>
              <w:ind w:left="200"/>
              <w:rPr>
                <w:sz w:val="21"/>
              </w:rPr>
            </w:pPr>
            <w:r>
              <w:rPr>
                <w:sz w:val="21"/>
              </w:rPr>
              <w:t>十四</w:t>
            </w:r>
          </w:p>
        </w:tc>
        <w:tc>
          <w:tcPr>
            <w:tcW w:w="1530" w:type="dxa"/>
          </w:tcPr>
          <w:p>
            <w:pPr>
              <w:pStyle w:val="TableParagraph"/>
              <w:spacing w:line="273" w:lineRule="auto" w:before="142"/>
              <w:ind w:left="312" w:right="161"/>
              <w:rPr>
                <w:sz w:val="21"/>
              </w:rPr>
            </w:pPr>
            <w:r>
              <w:rPr>
                <w:sz w:val="21"/>
              </w:rPr>
              <w:t>肢体机能完全丧失</w:t>
            </w:r>
          </w:p>
        </w:tc>
        <w:tc>
          <w:tcPr>
            <w:tcW w:w="6670" w:type="dxa"/>
          </w:tcPr>
          <w:p>
            <w:pPr>
              <w:pStyle w:val="TableParagraph"/>
              <w:spacing w:line="273" w:lineRule="auto" w:before="142"/>
              <w:ind w:right="248"/>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936" w:type="dxa"/>
          </w:tcPr>
          <w:p>
            <w:pPr>
              <w:pStyle w:val="TableParagraph"/>
              <w:spacing w:before="142"/>
              <w:ind w:left="200"/>
              <w:rPr>
                <w:sz w:val="21"/>
              </w:rPr>
            </w:pPr>
            <w:r>
              <w:rPr>
                <w:sz w:val="21"/>
              </w:rPr>
              <w:t>十五</w:t>
            </w:r>
          </w:p>
        </w:tc>
        <w:tc>
          <w:tcPr>
            <w:tcW w:w="1530" w:type="dxa"/>
          </w:tcPr>
          <w:p>
            <w:pPr>
              <w:pStyle w:val="TableParagraph"/>
              <w:spacing w:line="273" w:lineRule="auto" w:before="142"/>
              <w:ind w:left="312" w:right="161"/>
              <w:jc w:val="both"/>
              <w:rPr>
                <w:sz w:val="21"/>
              </w:rPr>
            </w:pPr>
            <w:r>
              <w:rPr>
                <w:sz w:val="21"/>
              </w:rPr>
              <w:t>语言能力或咀嚼吞咽能力完全丧失</w:t>
            </w:r>
          </w:p>
        </w:tc>
        <w:tc>
          <w:tcPr>
            <w:tcW w:w="6670" w:type="dxa"/>
          </w:tcPr>
          <w:p>
            <w:pPr>
              <w:pStyle w:val="TableParagraph"/>
              <w:spacing w:line="273" w:lineRule="auto" w:before="142"/>
              <w:ind w:right="302"/>
              <w:jc w:val="both"/>
              <w:rPr>
                <w:sz w:val="21"/>
              </w:rPr>
            </w:pPr>
            <w:r>
              <w:rPr>
                <w:spacing w:val="-6"/>
                <w:sz w:val="21"/>
              </w:rPr>
              <w:t>语言能力完全丧失，指无法发出四种语音</w:t>
            </w:r>
            <w:r>
              <w:rPr>
                <w:sz w:val="21"/>
              </w:rPr>
              <w:t>（</w:t>
            </w:r>
            <w:r>
              <w:rPr>
                <w:spacing w:val="-6"/>
                <w:sz w:val="21"/>
              </w:rPr>
              <w:t>包括口唇音、齿舌音、口</w:t>
            </w:r>
            <w:r>
              <w:rPr>
                <w:spacing w:val="-4"/>
                <w:sz w:val="21"/>
              </w:rPr>
              <w:t>盖音和喉头音</w:t>
            </w:r>
            <w:r>
              <w:rPr>
                <w:spacing w:val="-17"/>
                <w:sz w:val="21"/>
              </w:rPr>
              <w:t>）</w:t>
            </w:r>
            <w:r>
              <w:rPr>
                <w:spacing w:val="-7"/>
                <w:sz w:val="21"/>
              </w:rPr>
              <w:t>中的任何三种、或声带全部切除，或因大脑语言中枢</w:t>
            </w:r>
            <w:r>
              <w:rPr>
                <w:spacing w:val="-5"/>
                <w:sz w:val="21"/>
              </w:rPr>
              <w:t>受伤害而患失语症。</w:t>
            </w:r>
          </w:p>
          <w:p>
            <w:pPr>
              <w:pStyle w:val="TableParagraph"/>
              <w:spacing w:line="273" w:lineRule="auto" w:before="7"/>
              <w:ind w:right="198"/>
              <w:rPr>
                <w:sz w:val="21"/>
              </w:rPr>
            </w:pPr>
            <w:r>
              <w:rPr>
                <w:spacing w:val="-8"/>
                <w:sz w:val="21"/>
              </w:rPr>
              <w:t>咀嚼吞咽能力完全丧失，指因牙齿以外的原因导致器质障碍或机能障</w:t>
            </w:r>
            <w:r>
              <w:rPr>
                <w:spacing w:val="-16"/>
                <w:sz w:val="21"/>
              </w:rPr>
              <w:t>碍，以致不能作咀嚼吞咽运动，除流质食物外不能摄取或吞咽的状态。</w:t>
            </w:r>
          </w:p>
        </w:tc>
      </w:tr>
      <w:tr>
        <w:trPr>
          <w:trHeight w:val="2496" w:hRule="atLeast"/>
        </w:trPr>
        <w:tc>
          <w:tcPr>
            <w:tcW w:w="936" w:type="dxa"/>
          </w:tcPr>
          <w:p>
            <w:pPr>
              <w:pStyle w:val="TableParagraph"/>
              <w:spacing w:before="142"/>
              <w:ind w:left="200"/>
              <w:rPr>
                <w:sz w:val="21"/>
              </w:rPr>
            </w:pPr>
            <w:r>
              <w:rPr>
                <w:sz w:val="21"/>
              </w:rPr>
              <w:t>十六</w:t>
            </w:r>
          </w:p>
        </w:tc>
        <w:tc>
          <w:tcPr>
            <w:tcW w:w="1530" w:type="dxa"/>
          </w:tcPr>
          <w:p>
            <w:pPr>
              <w:pStyle w:val="TableParagraph"/>
              <w:spacing w:line="273" w:lineRule="auto" w:before="142"/>
              <w:ind w:left="312" w:right="107"/>
              <w:rPr>
                <w:sz w:val="21"/>
              </w:rPr>
            </w:pPr>
            <w:r>
              <w:rPr>
                <w:sz w:val="21"/>
              </w:rPr>
              <w:t>六项基本日常生活活动</w:t>
            </w:r>
          </w:p>
        </w:tc>
        <w:tc>
          <w:tcPr>
            <w:tcW w:w="6670" w:type="dxa"/>
          </w:tcPr>
          <w:p>
            <w:pPr>
              <w:pStyle w:val="TableParagraph"/>
              <w:spacing w:before="142"/>
              <w:rPr>
                <w:sz w:val="21"/>
              </w:rPr>
            </w:pPr>
            <w:r>
              <w:rPr>
                <w:sz w:val="21"/>
              </w:rPr>
              <w:t>六项基本日常生活活动是指：</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穿衣：自己能够穿衣及脱衣；</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移动：自己从一个房间到另一个房间；</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行动：自己上下床或上下轮椅；</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如厕：自己控制进行大小便；</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进食：自己从已准备好的碗或碟中取食物放入口中；</w:t>
            </w:r>
          </w:p>
          <w:p>
            <w:pPr>
              <w:pStyle w:val="TableParagraph"/>
              <w:numPr>
                <w:ilvl w:val="0"/>
                <w:numId w:val="10"/>
              </w:numPr>
              <w:tabs>
                <w:tab w:pos="425" w:val="left" w:leader="none"/>
              </w:tabs>
              <w:spacing w:line="240" w:lineRule="auto" w:before="36" w:after="0"/>
              <w:ind w:left="424" w:right="0" w:hanging="316"/>
              <w:jc w:val="left"/>
              <w:rPr>
                <w:sz w:val="21"/>
              </w:rPr>
            </w:pPr>
            <w:r>
              <w:rPr>
                <w:spacing w:val="-3"/>
                <w:sz w:val="21"/>
              </w:rPr>
              <w:t>洗澡：自己进行淋浴或盆浴。</w:t>
            </w:r>
          </w:p>
        </w:tc>
      </w:tr>
      <w:tr>
        <w:trPr>
          <w:trHeight w:val="936" w:hRule="atLeast"/>
        </w:trPr>
        <w:tc>
          <w:tcPr>
            <w:tcW w:w="936" w:type="dxa"/>
          </w:tcPr>
          <w:p>
            <w:pPr>
              <w:pStyle w:val="TableParagraph"/>
              <w:spacing w:before="142"/>
              <w:ind w:left="200"/>
              <w:rPr>
                <w:sz w:val="21"/>
              </w:rPr>
            </w:pPr>
            <w:r>
              <w:rPr>
                <w:sz w:val="21"/>
              </w:rPr>
              <w:t>十七</w:t>
            </w:r>
          </w:p>
        </w:tc>
        <w:tc>
          <w:tcPr>
            <w:tcW w:w="1530" w:type="dxa"/>
          </w:tcPr>
          <w:p>
            <w:pPr>
              <w:pStyle w:val="TableParagraph"/>
              <w:spacing w:before="142"/>
              <w:ind w:left="312"/>
              <w:rPr>
                <w:sz w:val="21"/>
              </w:rPr>
            </w:pPr>
            <w:r>
              <w:rPr>
                <w:sz w:val="21"/>
              </w:rPr>
              <w:t>永久不可逆</w:t>
            </w:r>
          </w:p>
        </w:tc>
        <w:tc>
          <w:tcPr>
            <w:tcW w:w="6670" w:type="dxa"/>
          </w:tcPr>
          <w:p>
            <w:pPr>
              <w:pStyle w:val="TableParagraph"/>
              <w:spacing w:line="273" w:lineRule="auto" w:before="142"/>
              <w:ind w:right="302"/>
              <w:rPr>
                <w:sz w:val="21"/>
              </w:rPr>
            </w:pPr>
            <w:r>
              <w:rPr>
                <w:spacing w:val="-7"/>
                <w:sz w:val="21"/>
              </w:rPr>
              <w:t>指自疾病确诊或意外伤害发生之日起，经过积极治疗 </w:t>
            </w:r>
            <w:r>
              <w:rPr>
                <w:sz w:val="21"/>
              </w:rPr>
              <w:t>180</w:t>
            </w:r>
            <w:r>
              <w:rPr>
                <w:spacing w:val="-13"/>
                <w:sz w:val="21"/>
              </w:rPr>
              <w:t> 天后，仍无</w:t>
            </w:r>
            <w:r>
              <w:rPr>
                <w:spacing w:val="-6"/>
                <w:sz w:val="21"/>
              </w:rPr>
              <w:t>法通过现有医疗手段恢复。</w:t>
            </w:r>
          </w:p>
        </w:tc>
      </w:tr>
      <w:tr>
        <w:trPr>
          <w:trHeight w:val="729" w:hRule="atLeast"/>
        </w:trPr>
        <w:tc>
          <w:tcPr>
            <w:tcW w:w="936" w:type="dxa"/>
          </w:tcPr>
          <w:p>
            <w:pPr>
              <w:pStyle w:val="TableParagraph"/>
              <w:spacing w:before="143"/>
              <w:ind w:left="200"/>
              <w:rPr>
                <w:sz w:val="21"/>
              </w:rPr>
            </w:pPr>
            <w:r>
              <w:rPr>
                <w:sz w:val="21"/>
              </w:rPr>
              <w:t>十八</w:t>
            </w:r>
          </w:p>
        </w:tc>
        <w:tc>
          <w:tcPr>
            <w:tcW w:w="1530" w:type="dxa"/>
          </w:tcPr>
          <w:p>
            <w:pPr>
              <w:pStyle w:val="TableParagraph"/>
              <w:spacing w:before="143"/>
              <w:ind w:left="312"/>
              <w:rPr>
                <w:sz w:val="21"/>
              </w:rPr>
            </w:pPr>
            <w:r>
              <w:rPr>
                <w:sz w:val="21"/>
              </w:rPr>
              <w:t>周岁</w:t>
            </w:r>
          </w:p>
        </w:tc>
        <w:tc>
          <w:tcPr>
            <w:tcW w:w="6670" w:type="dxa"/>
          </w:tcPr>
          <w:p>
            <w:pPr>
              <w:pStyle w:val="TableParagraph"/>
              <w:spacing w:line="310" w:lineRule="atLeast" w:before="107"/>
              <w:ind w:right="302"/>
              <w:rPr>
                <w:sz w:val="21"/>
              </w:rPr>
            </w:pPr>
            <w:r>
              <w:rPr>
                <w:spacing w:val="-8"/>
                <w:sz w:val="21"/>
              </w:rPr>
              <w:t>按照公历的年、月、日计算，从周岁生日的第二天起，为年满××周岁。</w:t>
            </w:r>
          </w:p>
        </w:tc>
      </w:tr>
    </w:tbl>
    <w:sectPr>
      <w:pgSz w:w="11910" w:h="16840"/>
      <w:pgMar w:header="0" w:footer="919" w:top="1580" w:bottom="1100" w:left="15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80.503998pt;margin-top:780.961609pt;width:128pt;height:11pt;mso-position-horizontal-relative:page;mso-position-vertical-relative:page;z-index:-31144" type="#_x0000_t202" filled="false" stroked="false">
          <v:textbox inset="0,0,0,0">
            <w:txbxContent>
              <w:p>
                <w:pPr>
                  <w:spacing w:line="200" w:lineRule="exact" w:before="0"/>
                  <w:ind w:left="20" w:right="0" w:firstLine="0"/>
                  <w:jc w:val="left"/>
                  <w:rPr>
                    <w:sz w:val="18"/>
                  </w:rPr>
                </w:pPr>
                <w:r>
                  <w:rPr>
                    <w:sz w:val="18"/>
                  </w:rPr>
                  <w:t>中航三星终身团体重大疾病保险</w:t>
                </w:r>
              </w:p>
            </w:txbxContent>
          </v:textbox>
          <w10:wrap type="none"/>
        </v:shape>
      </w:pict>
    </w:r>
    <w:r>
      <w:rPr/>
      <w:pict>
        <v:shape style="position:absolute;margin-left:314.529999pt;margin-top:780.961609pt;width:20pt;height:11pt;mso-position-horizontal-relative:page;mso-position-vertical-relative:page;z-index:-3112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0.670013pt;margin-top:780.961609pt;width:74.150pt;height:11pt;mso-position-horizontal-relative:page;mso-position-vertical-relative:page;z-index:-31096"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16</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45" w:hanging="317"/>
      </w:pPr>
      <w:rPr>
        <w:rFonts w:hint="default"/>
      </w:rPr>
    </w:lvl>
    <w:lvl w:ilvl="2">
      <w:start w:val="0"/>
      <w:numFmt w:val="bullet"/>
      <w:lvlText w:val="•"/>
      <w:lvlJc w:val="left"/>
      <w:pPr>
        <w:ind w:left="1670" w:hanging="317"/>
      </w:pPr>
      <w:rPr>
        <w:rFonts w:hint="default"/>
      </w:rPr>
    </w:lvl>
    <w:lvl w:ilvl="3">
      <w:start w:val="0"/>
      <w:numFmt w:val="bullet"/>
      <w:lvlText w:val="•"/>
      <w:lvlJc w:val="left"/>
      <w:pPr>
        <w:ind w:left="2295" w:hanging="317"/>
      </w:pPr>
      <w:rPr>
        <w:rFonts w:hint="default"/>
      </w:rPr>
    </w:lvl>
    <w:lvl w:ilvl="4">
      <w:start w:val="0"/>
      <w:numFmt w:val="bullet"/>
      <w:lvlText w:val="•"/>
      <w:lvlJc w:val="left"/>
      <w:pPr>
        <w:ind w:left="2920" w:hanging="317"/>
      </w:pPr>
      <w:rPr>
        <w:rFonts w:hint="default"/>
      </w:rPr>
    </w:lvl>
    <w:lvl w:ilvl="5">
      <w:start w:val="0"/>
      <w:numFmt w:val="bullet"/>
      <w:lvlText w:val="•"/>
      <w:lvlJc w:val="left"/>
      <w:pPr>
        <w:ind w:left="3545" w:hanging="317"/>
      </w:pPr>
      <w:rPr>
        <w:rFonts w:hint="default"/>
      </w:rPr>
    </w:lvl>
    <w:lvl w:ilvl="6">
      <w:start w:val="0"/>
      <w:numFmt w:val="bullet"/>
      <w:lvlText w:val="•"/>
      <w:lvlJc w:val="left"/>
      <w:pPr>
        <w:ind w:left="4170" w:hanging="317"/>
      </w:pPr>
      <w:rPr>
        <w:rFonts w:hint="default"/>
      </w:rPr>
    </w:lvl>
    <w:lvl w:ilvl="7">
      <w:start w:val="0"/>
      <w:numFmt w:val="bullet"/>
      <w:lvlText w:val="•"/>
      <w:lvlJc w:val="left"/>
      <w:pPr>
        <w:ind w:left="4795" w:hanging="317"/>
      </w:pPr>
      <w:rPr>
        <w:rFonts w:hint="default"/>
      </w:rPr>
    </w:lvl>
    <w:lvl w:ilvl="8">
      <w:start w:val="0"/>
      <w:numFmt w:val="bullet"/>
      <w:lvlText w:val="•"/>
      <w:lvlJc w:val="left"/>
      <w:pPr>
        <w:ind w:left="5420" w:hanging="317"/>
      </w:pPr>
      <w:rPr>
        <w:rFonts w:hint="default"/>
      </w:rPr>
    </w:lvl>
  </w:abstractNum>
  <w:abstractNum w:abstractNumId="8">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45" w:hanging="317"/>
      </w:pPr>
      <w:rPr>
        <w:rFonts w:hint="default"/>
      </w:rPr>
    </w:lvl>
    <w:lvl w:ilvl="2">
      <w:start w:val="0"/>
      <w:numFmt w:val="bullet"/>
      <w:lvlText w:val="•"/>
      <w:lvlJc w:val="left"/>
      <w:pPr>
        <w:ind w:left="1670" w:hanging="317"/>
      </w:pPr>
      <w:rPr>
        <w:rFonts w:hint="default"/>
      </w:rPr>
    </w:lvl>
    <w:lvl w:ilvl="3">
      <w:start w:val="0"/>
      <w:numFmt w:val="bullet"/>
      <w:lvlText w:val="•"/>
      <w:lvlJc w:val="left"/>
      <w:pPr>
        <w:ind w:left="2295" w:hanging="317"/>
      </w:pPr>
      <w:rPr>
        <w:rFonts w:hint="default"/>
      </w:rPr>
    </w:lvl>
    <w:lvl w:ilvl="4">
      <w:start w:val="0"/>
      <w:numFmt w:val="bullet"/>
      <w:lvlText w:val="•"/>
      <w:lvlJc w:val="left"/>
      <w:pPr>
        <w:ind w:left="2920" w:hanging="317"/>
      </w:pPr>
      <w:rPr>
        <w:rFonts w:hint="default"/>
      </w:rPr>
    </w:lvl>
    <w:lvl w:ilvl="5">
      <w:start w:val="0"/>
      <w:numFmt w:val="bullet"/>
      <w:lvlText w:val="•"/>
      <w:lvlJc w:val="left"/>
      <w:pPr>
        <w:ind w:left="3545" w:hanging="317"/>
      </w:pPr>
      <w:rPr>
        <w:rFonts w:hint="default"/>
      </w:rPr>
    </w:lvl>
    <w:lvl w:ilvl="6">
      <w:start w:val="0"/>
      <w:numFmt w:val="bullet"/>
      <w:lvlText w:val="•"/>
      <w:lvlJc w:val="left"/>
      <w:pPr>
        <w:ind w:left="4170" w:hanging="317"/>
      </w:pPr>
      <w:rPr>
        <w:rFonts w:hint="default"/>
      </w:rPr>
    </w:lvl>
    <w:lvl w:ilvl="7">
      <w:start w:val="0"/>
      <w:numFmt w:val="bullet"/>
      <w:lvlText w:val="•"/>
      <w:lvlJc w:val="left"/>
      <w:pPr>
        <w:ind w:left="4795" w:hanging="317"/>
      </w:pPr>
      <w:rPr>
        <w:rFonts w:hint="default"/>
      </w:rPr>
    </w:lvl>
    <w:lvl w:ilvl="8">
      <w:start w:val="0"/>
      <w:numFmt w:val="bullet"/>
      <w:lvlText w:val="•"/>
      <w:lvlJc w:val="left"/>
      <w:pPr>
        <w:ind w:left="5420" w:hanging="317"/>
      </w:pPr>
      <w:rPr>
        <w:rFonts w:hint="default"/>
      </w:rPr>
    </w:lvl>
  </w:abstractNum>
  <w:abstractNum w:abstractNumId="7">
    <w:multiLevelType w:val="hybridMultilevel"/>
    <w:lvl w:ilvl="0">
      <w:start w:val="1"/>
      <w:numFmt w:val="decimal"/>
      <w:lvlText w:val="%1."/>
      <w:lvlJc w:val="left"/>
      <w:pPr>
        <w:ind w:left="529" w:hanging="420"/>
        <w:jc w:val="left"/>
      </w:pPr>
      <w:rPr>
        <w:rFonts w:hint="default" w:ascii="宋体" w:hAnsi="宋体" w:eastAsia="宋体" w:cs="宋体"/>
        <w:w w:val="100"/>
        <w:sz w:val="21"/>
        <w:szCs w:val="21"/>
      </w:rPr>
    </w:lvl>
    <w:lvl w:ilvl="1">
      <w:start w:val="0"/>
      <w:numFmt w:val="bullet"/>
      <w:lvlText w:val="•"/>
      <w:lvlJc w:val="left"/>
      <w:pPr>
        <w:ind w:left="1134" w:hanging="420"/>
      </w:pPr>
      <w:rPr>
        <w:rFonts w:hint="default"/>
      </w:rPr>
    </w:lvl>
    <w:lvl w:ilvl="2">
      <w:start w:val="0"/>
      <w:numFmt w:val="bullet"/>
      <w:lvlText w:val="•"/>
      <w:lvlJc w:val="left"/>
      <w:pPr>
        <w:ind w:left="1749" w:hanging="420"/>
      </w:pPr>
      <w:rPr>
        <w:rFonts w:hint="default"/>
      </w:rPr>
    </w:lvl>
    <w:lvl w:ilvl="3">
      <w:start w:val="0"/>
      <w:numFmt w:val="bullet"/>
      <w:lvlText w:val="•"/>
      <w:lvlJc w:val="left"/>
      <w:pPr>
        <w:ind w:left="2364" w:hanging="420"/>
      </w:pPr>
      <w:rPr>
        <w:rFonts w:hint="default"/>
      </w:rPr>
    </w:lvl>
    <w:lvl w:ilvl="4">
      <w:start w:val="0"/>
      <w:numFmt w:val="bullet"/>
      <w:lvlText w:val="•"/>
      <w:lvlJc w:val="left"/>
      <w:pPr>
        <w:ind w:left="2979" w:hanging="420"/>
      </w:pPr>
      <w:rPr>
        <w:rFonts w:hint="default"/>
      </w:rPr>
    </w:lvl>
    <w:lvl w:ilvl="5">
      <w:start w:val="0"/>
      <w:numFmt w:val="bullet"/>
      <w:lvlText w:val="•"/>
      <w:lvlJc w:val="left"/>
      <w:pPr>
        <w:ind w:left="3594" w:hanging="420"/>
      </w:pPr>
      <w:rPr>
        <w:rFonts w:hint="default"/>
      </w:rPr>
    </w:lvl>
    <w:lvl w:ilvl="6">
      <w:start w:val="0"/>
      <w:numFmt w:val="bullet"/>
      <w:lvlText w:val="•"/>
      <w:lvlJc w:val="left"/>
      <w:pPr>
        <w:ind w:left="4209" w:hanging="420"/>
      </w:pPr>
      <w:rPr>
        <w:rFonts w:hint="default"/>
      </w:rPr>
    </w:lvl>
    <w:lvl w:ilvl="7">
      <w:start w:val="0"/>
      <w:numFmt w:val="bullet"/>
      <w:lvlText w:val="•"/>
      <w:lvlJc w:val="left"/>
      <w:pPr>
        <w:ind w:left="4824" w:hanging="420"/>
      </w:pPr>
      <w:rPr>
        <w:rFonts w:hint="default"/>
      </w:rPr>
    </w:lvl>
    <w:lvl w:ilvl="8">
      <w:start w:val="0"/>
      <w:numFmt w:val="bullet"/>
      <w:lvlText w:val="•"/>
      <w:lvlJc w:val="left"/>
      <w:pPr>
        <w:ind w:left="5439" w:hanging="420"/>
      </w:pPr>
      <w:rPr>
        <w:rFonts w:hint="default"/>
      </w:rPr>
    </w:lvl>
  </w:abstractNum>
  <w:abstractNum w:abstractNumId="6">
    <w:multiLevelType w:val="hybridMultilevel"/>
    <w:lvl w:ilvl="0">
      <w:start w:val="1"/>
      <w:numFmt w:val="decimal"/>
      <w:lvlText w:val="%1."/>
      <w:lvlJc w:val="left"/>
      <w:pPr>
        <w:ind w:left="529" w:hanging="420"/>
        <w:jc w:val="left"/>
      </w:pPr>
      <w:rPr>
        <w:rFonts w:hint="default" w:ascii="宋体" w:hAnsi="宋体" w:eastAsia="宋体" w:cs="宋体"/>
        <w:w w:val="100"/>
        <w:sz w:val="21"/>
        <w:szCs w:val="21"/>
      </w:rPr>
    </w:lvl>
    <w:lvl w:ilvl="1">
      <w:start w:val="0"/>
      <w:numFmt w:val="bullet"/>
      <w:lvlText w:val="•"/>
      <w:lvlJc w:val="left"/>
      <w:pPr>
        <w:ind w:left="1134" w:hanging="420"/>
      </w:pPr>
      <w:rPr>
        <w:rFonts w:hint="default"/>
      </w:rPr>
    </w:lvl>
    <w:lvl w:ilvl="2">
      <w:start w:val="0"/>
      <w:numFmt w:val="bullet"/>
      <w:lvlText w:val="•"/>
      <w:lvlJc w:val="left"/>
      <w:pPr>
        <w:ind w:left="1749" w:hanging="420"/>
      </w:pPr>
      <w:rPr>
        <w:rFonts w:hint="default"/>
      </w:rPr>
    </w:lvl>
    <w:lvl w:ilvl="3">
      <w:start w:val="0"/>
      <w:numFmt w:val="bullet"/>
      <w:lvlText w:val="•"/>
      <w:lvlJc w:val="left"/>
      <w:pPr>
        <w:ind w:left="2364" w:hanging="420"/>
      </w:pPr>
      <w:rPr>
        <w:rFonts w:hint="default"/>
      </w:rPr>
    </w:lvl>
    <w:lvl w:ilvl="4">
      <w:start w:val="0"/>
      <w:numFmt w:val="bullet"/>
      <w:lvlText w:val="•"/>
      <w:lvlJc w:val="left"/>
      <w:pPr>
        <w:ind w:left="2979" w:hanging="420"/>
      </w:pPr>
      <w:rPr>
        <w:rFonts w:hint="default"/>
      </w:rPr>
    </w:lvl>
    <w:lvl w:ilvl="5">
      <w:start w:val="0"/>
      <w:numFmt w:val="bullet"/>
      <w:lvlText w:val="•"/>
      <w:lvlJc w:val="left"/>
      <w:pPr>
        <w:ind w:left="3594" w:hanging="420"/>
      </w:pPr>
      <w:rPr>
        <w:rFonts w:hint="default"/>
      </w:rPr>
    </w:lvl>
    <w:lvl w:ilvl="6">
      <w:start w:val="0"/>
      <w:numFmt w:val="bullet"/>
      <w:lvlText w:val="•"/>
      <w:lvlJc w:val="left"/>
      <w:pPr>
        <w:ind w:left="4209" w:hanging="420"/>
      </w:pPr>
      <w:rPr>
        <w:rFonts w:hint="default"/>
      </w:rPr>
    </w:lvl>
    <w:lvl w:ilvl="7">
      <w:start w:val="0"/>
      <w:numFmt w:val="bullet"/>
      <w:lvlText w:val="•"/>
      <w:lvlJc w:val="left"/>
      <w:pPr>
        <w:ind w:left="4824" w:hanging="420"/>
      </w:pPr>
      <w:rPr>
        <w:rFonts w:hint="default"/>
      </w:rPr>
    </w:lvl>
    <w:lvl w:ilvl="8">
      <w:start w:val="0"/>
      <w:numFmt w:val="bullet"/>
      <w:lvlText w:val="•"/>
      <w:lvlJc w:val="left"/>
      <w:pPr>
        <w:ind w:left="5439" w:hanging="420"/>
      </w:pPr>
      <w:rPr>
        <w:rFonts w:hint="default"/>
      </w:rPr>
    </w:lvl>
  </w:abstractNum>
  <w:abstractNum w:abstractNumId="5">
    <w:multiLevelType w:val="hybridMultilevel"/>
    <w:lvl w:ilvl="0">
      <w:start w:val="1"/>
      <w:numFmt w:val="upperRoman"/>
      <w:lvlText w:val="%1"/>
      <w:lvlJc w:val="left"/>
      <w:pPr>
        <w:ind w:left="2940" w:hanging="212"/>
        <w:jc w:val="left"/>
      </w:pPr>
      <w:rPr>
        <w:rFonts w:hint="default" w:ascii="宋体" w:hAnsi="宋体" w:eastAsia="宋体" w:cs="宋体"/>
        <w:w w:val="100"/>
        <w:sz w:val="21"/>
        <w:szCs w:val="21"/>
      </w:rPr>
    </w:lvl>
    <w:lvl w:ilvl="1">
      <w:start w:val="0"/>
      <w:numFmt w:val="bullet"/>
      <w:lvlText w:val="•"/>
      <w:lvlJc w:val="left"/>
      <w:pPr>
        <w:ind w:left="3560" w:hanging="212"/>
      </w:pPr>
      <w:rPr>
        <w:rFonts w:hint="default"/>
      </w:rPr>
    </w:lvl>
    <w:lvl w:ilvl="2">
      <w:start w:val="0"/>
      <w:numFmt w:val="bullet"/>
      <w:lvlText w:val="•"/>
      <w:lvlJc w:val="left"/>
      <w:pPr>
        <w:ind w:left="4181" w:hanging="212"/>
      </w:pPr>
      <w:rPr>
        <w:rFonts w:hint="default"/>
      </w:rPr>
    </w:lvl>
    <w:lvl w:ilvl="3">
      <w:start w:val="0"/>
      <w:numFmt w:val="bullet"/>
      <w:lvlText w:val="•"/>
      <w:lvlJc w:val="left"/>
      <w:pPr>
        <w:ind w:left="4801" w:hanging="212"/>
      </w:pPr>
      <w:rPr>
        <w:rFonts w:hint="default"/>
      </w:rPr>
    </w:lvl>
    <w:lvl w:ilvl="4">
      <w:start w:val="0"/>
      <w:numFmt w:val="bullet"/>
      <w:lvlText w:val="•"/>
      <w:lvlJc w:val="left"/>
      <w:pPr>
        <w:ind w:left="5422" w:hanging="212"/>
      </w:pPr>
      <w:rPr>
        <w:rFonts w:hint="default"/>
      </w:rPr>
    </w:lvl>
    <w:lvl w:ilvl="5">
      <w:start w:val="0"/>
      <w:numFmt w:val="bullet"/>
      <w:lvlText w:val="•"/>
      <w:lvlJc w:val="left"/>
      <w:pPr>
        <w:ind w:left="6043" w:hanging="212"/>
      </w:pPr>
      <w:rPr>
        <w:rFonts w:hint="default"/>
      </w:rPr>
    </w:lvl>
    <w:lvl w:ilvl="6">
      <w:start w:val="0"/>
      <w:numFmt w:val="bullet"/>
      <w:lvlText w:val="•"/>
      <w:lvlJc w:val="left"/>
      <w:pPr>
        <w:ind w:left="6663" w:hanging="212"/>
      </w:pPr>
      <w:rPr>
        <w:rFonts w:hint="default"/>
      </w:rPr>
    </w:lvl>
    <w:lvl w:ilvl="7">
      <w:start w:val="0"/>
      <w:numFmt w:val="bullet"/>
      <w:lvlText w:val="•"/>
      <w:lvlJc w:val="left"/>
      <w:pPr>
        <w:ind w:left="7284" w:hanging="212"/>
      </w:pPr>
      <w:rPr>
        <w:rFonts w:hint="default"/>
      </w:rPr>
    </w:lvl>
    <w:lvl w:ilvl="8">
      <w:start w:val="0"/>
      <w:numFmt w:val="bullet"/>
      <w:lvlText w:val="•"/>
      <w:lvlJc w:val="left"/>
      <w:pPr>
        <w:ind w:left="7905" w:hanging="212"/>
      </w:pPr>
      <w:rPr>
        <w:rFonts w:hint="default"/>
      </w:rPr>
    </w:lvl>
  </w:abstractNum>
  <w:abstractNum w:abstractNumId="4">
    <w:multiLevelType w:val="hybridMultilevel"/>
    <w:lvl w:ilvl="0">
      <w:start w:val="1"/>
      <w:numFmt w:val="lowerLetter"/>
      <w:lvlText w:val="%1)"/>
      <w:lvlJc w:val="left"/>
      <w:pPr>
        <w:ind w:left="3149" w:hanging="420"/>
        <w:jc w:val="left"/>
      </w:pPr>
      <w:rPr>
        <w:rFonts w:hint="default" w:ascii="宋体" w:hAnsi="宋体" w:eastAsia="宋体" w:cs="宋体"/>
        <w:w w:val="100"/>
        <w:sz w:val="21"/>
        <w:szCs w:val="21"/>
      </w:rPr>
    </w:lvl>
    <w:lvl w:ilvl="1">
      <w:start w:val="0"/>
      <w:numFmt w:val="bullet"/>
      <w:lvlText w:val="•"/>
      <w:lvlJc w:val="left"/>
      <w:pPr>
        <w:ind w:left="3736" w:hanging="420"/>
      </w:pPr>
      <w:rPr>
        <w:rFonts w:hint="default"/>
      </w:rPr>
    </w:lvl>
    <w:lvl w:ilvl="2">
      <w:start w:val="0"/>
      <w:numFmt w:val="bullet"/>
      <w:lvlText w:val="•"/>
      <w:lvlJc w:val="left"/>
      <w:pPr>
        <w:ind w:left="4333" w:hanging="420"/>
      </w:pPr>
      <w:rPr>
        <w:rFonts w:hint="default"/>
      </w:rPr>
    </w:lvl>
    <w:lvl w:ilvl="3">
      <w:start w:val="0"/>
      <w:numFmt w:val="bullet"/>
      <w:lvlText w:val="•"/>
      <w:lvlJc w:val="left"/>
      <w:pPr>
        <w:ind w:left="4929" w:hanging="420"/>
      </w:pPr>
      <w:rPr>
        <w:rFonts w:hint="default"/>
      </w:rPr>
    </w:lvl>
    <w:lvl w:ilvl="4">
      <w:start w:val="0"/>
      <w:numFmt w:val="bullet"/>
      <w:lvlText w:val="•"/>
      <w:lvlJc w:val="left"/>
      <w:pPr>
        <w:ind w:left="5526" w:hanging="420"/>
      </w:pPr>
      <w:rPr>
        <w:rFonts w:hint="default"/>
      </w:rPr>
    </w:lvl>
    <w:lvl w:ilvl="5">
      <w:start w:val="0"/>
      <w:numFmt w:val="bullet"/>
      <w:lvlText w:val="•"/>
      <w:lvlJc w:val="left"/>
      <w:pPr>
        <w:ind w:left="6123" w:hanging="420"/>
      </w:pPr>
      <w:rPr>
        <w:rFonts w:hint="default"/>
      </w:rPr>
    </w:lvl>
    <w:lvl w:ilvl="6">
      <w:start w:val="0"/>
      <w:numFmt w:val="bullet"/>
      <w:lvlText w:val="•"/>
      <w:lvlJc w:val="left"/>
      <w:pPr>
        <w:ind w:left="6719" w:hanging="420"/>
      </w:pPr>
      <w:rPr>
        <w:rFonts w:hint="default"/>
      </w:rPr>
    </w:lvl>
    <w:lvl w:ilvl="7">
      <w:start w:val="0"/>
      <w:numFmt w:val="bullet"/>
      <w:lvlText w:val="•"/>
      <w:lvlJc w:val="left"/>
      <w:pPr>
        <w:ind w:left="7316" w:hanging="420"/>
      </w:pPr>
      <w:rPr>
        <w:rFonts w:hint="default"/>
      </w:rPr>
    </w:lvl>
    <w:lvl w:ilvl="8">
      <w:start w:val="0"/>
      <w:numFmt w:val="bullet"/>
      <w:lvlText w:val="•"/>
      <w:lvlJc w:val="left"/>
      <w:pPr>
        <w:ind w:left="7913" w:hanging="420"/>
      </w:pPr>
      <w:rPr>
        <w:rFonts w:hint="default"/>
      </w:rPr>
    </w:lvl>
  </w:abstractNum>
  <w:abstractNum w:abstractNumId="3">
    <w:multiLevelType w:val="hybridMultilevel"/>
    <w:lvl w:ilvl="0">
      <w:start w:val="1"/>
      <w:numFmt w:val="decimal"/>
      <w:lvlText w:val="(%1)"/>
      <w:lvlJc w:val="left"/>
      <w:pPr>
        <w:ind w:left="3109" w:hanging="420"/>
        <w:jc w:val="left"/>
      </w:pPr>
      <w:rPr>
        <w:rFonts w:hint="default" w:ascii="宋体" w:hAnsi="宋体" w:eastAsia="宋体" w:cs="宋体"/>
        <w:w w:val="100"/>
        <w:sz w:val="21"/>
        <w:szCs w:val="21"/>
      </w:rPr>
    </w:lvl>
    <w:lvl w:ilvl="1">
      <w:start w:val="0"/>
      <w:numFmt w:val="bullet"/>
      <w:lvlText w:val="•"/>
      <w:lvlJc w:val="left"/>
      <w:pPr>
        <w:ind w:left="3704" w:hanging="420"/>
      </w:pPr>
      <w:rPr>
        <w:rFonts w:hint="default"/>
      </w:rPr>
    </w:lvl>
    <w:lvl w:ilvl="2">
      <w:start w:val="0"/>
      <w:numFmt w:val="bullet"/>
      <w:lvlText w:val="•"/>
      <w:lvlJc w:val="left"/>
      <w:pPr>
        <w:ind w:left="4309" w:hanging="420"/>
      </w:pPr>
      <w:rPr>
        <w:rFonts w:hint="default"/>
      </w:rPr>
    </w:lvl>
    <w:lvl w:ilvl="3">
      <w:start w:val="0"/>
      <w:numFmt w:val="bullet"/>
      <w:lvlText w:val="•"/>
      <w:lvlJc w:val="left"/>
      <w:pPr>
        <w:ind w:left="4913" w:hanging="420"/>
      </w:pPr>
      <w:rPr>
        <w:rFonts w:hint="default"/>
      </w:rPr>
    </w:lvl>
    <w:lvl w:ilvl="4">
      <w:start w:val="0"/>
      <w:numFmt w:val="bullet"/>
      <w:lvlText w:val="•"/>
      <w:lvlJc w:val="left"/>
      <w:pPr>
        <w:ind w:left="5518" w:hanging="420"/>
      </w:pPr>
      <w:rPr>
        <w:rFonts w:hint="default"/>
      </w:rPr>
    </w:lvl>
    <w:lvl w:ilvl="5">
      <w:start w:val="0"/>
      <w:numFmt w:val="bullet"/>
      <w:lvlText w:val="•"/>
      <w:lvlJc w:val="left"/>
      <w:pPr>
        <w:ind w:left="6123" w:hanging="420"/>
      </w:pPr>
      <w:rPr>
        <w:rFonts w:hint="default"/>
      </w:rPr>
    </w:lvl>
    <w:lvl w:ilvl="6">
      <w:start w:val="0"/>
      <w:numFmt w:val="bullet"/>
      <w:lvlText w:val="•"/>
      <w:lvlJc w:val="left"/>
      <w:pPr>
        <w:ind w:left="6727" w:hanging="420"/>
      </w:pPr>
      <w:rPr>
        <w:rFonts w:hint="default"/>
      </w:rPr>
    </w:lvl>
    <w:lvl w:ilvl="7">
      <w:start w:val="0"/>
      <w:numFmt w:val="bullet"/>
      <w:lvlText w:val="•"/>
      <w:lvlJc w:val="left"/>
      <w:pPr>
        <w:ind w:left="7332" w:hanging="420"/>
      </w:pPr>
      <w:rPr>
        <w:rFonts w:hint="default"/>
      </w:rPr>
    </w:lvl>
    <w:lvl w:ilvl="8">
      <w:start w:val="0"/>
      <w:numFmt w:val="bullet"/>
      <w:lvlText w:val="•"/>
      <w:lvlJc w:val="left"/>
      <w:pPr>
        <w:ind w:left="7937" w:hanging="420"/>
      </w:pPr>
      <w:rPr>
        <w:rFonts w:hint="default"/>
      </w:rPr>
    </w:lvl>
  </w:abstractNum>
  <w:abstractNum w:abstractNumId="2">
    <w:multiLevelType w:val="hybridMultilevel"/>
    <w:lvl w:ilvl="0">
      <w:start w:val="1"/>
      <w:numFmt w:val="decimal"/>
      <w:lvlText w:val="%1."/>
      <w:lvlJc w:val="left"/>
      <w:pPr>
        <w:ind w:left="3149" w:hanging="420"/>
        <w:jc w:val="left"/>
      </w:pPr>
      <w:rPr>
        <w:rFonts w:hint="default" w:ascii="宋体" w:hAnsi="宋体" w:eastAsia="宋体" w:cs="宋体"/>
        <w:w w:val="100"/>
        <w:sz w:val="21"/>
        <w:szCs w:val="21"/>
      </w:rPr>
    </w:lvl>
    <w:lvl w:ilvl="1">
      <w:start w:val="0"/>
      <w:numFmt w:val="bullet"/>
      <w:lvlText w:val="•"/>
      <w:lvlJc w:val="left"/>
      <w:pPr>
        <w:ind w:left="3740" w:hanging="420"/>
      </w:pPr>
      <w:rPr>
        <w:rFonts w:hint="default"/>
      </w:rPr>
    </w:lvl>
    <w:lvl w:ilvl="2">
      <w:start w:val="0"/>
      <w:numFmt w:val="bullet"/>
      <w:lvlText w:val="•"/>
      <w:lvlJc w:val="left"/>
      <w:pPr>
        <w:ind w:left="4341" w:hanging="420"/>
      </w:pPr>
      <w:rPr>
        <w:rFonts w:hint="default"/>
      </w:rPr>
    </w:lvl>
    <w:lvl w:ilvl="3">
      <w:start w:val="0"/>
      <w:numFmt w:val="bullet"/>
      <w:lvlText w:val="•"/>
      <w:lvlJc w:val="left"/>
      <w:pPr>
        <w:ind w:left="4941" w:hanging="420"/>
      </w:pPr>
      <w:rPr>
        <w:rFonts w:hint="default"/>
      </w:rPr>
    </w:lvl>
    <w:lvl w:ilvl="4">
      <w:start w:val="0"/>
      <w:numFmt w:val="bullet"/>
      <w:lvlText w:val="•"/>
      <w:lvlJc w:val="left"/>
      <w:pPr>
        <w:ind w:left="5542" w:hanging="420"/>
      </w:pPr>
      <w:rPr>
        <w:rFonts w:hint="default"/>
      </w:rPr>
    </w:lvl>
    <w:lvl w:ilvl="5">
      <w:start w:val="0"/>
      <w:numFmt w:val="bullet"/>
      <w:lvlText w:val="•"/>
      <w:lvlJc w:val="left"/>
      <w:pPr>
        <w:ind w:left="6143" w:hanging="420"/>
      </w:pPr>
      <w:rPr>
        <w:rFonts w:hint="default"/>
      </w:rPr>
    </w:lvl>
    <w:lvl w:ilvl="6">
      <w:start w:val="0"/>
      <w:numFmt w:val="bullet"/>
      <w:lvlText w:val="•"/>
      <w:lvlJc w:val="left"/>
      <w:pPr>
        <w:ind w:left="6743" w:hanging="420"/>
      </w:pPr>
      <w:rPr>
        <w:rFonts w:hint="default"/>
      </w:rPr>
    </w:lvl>
    <w:lvl w:ilvl="7">
      <w:start w:val="0"/>
      <w:numFmt w:val="bullet"/>
      <w:lvlText w:val="•"/>
      <w:lvlJc w:val="left"/>
      <w:pPr>
        <w:ind w:left="7344" w:hanging="420"/>
      </w:pPr>
      <w:rPr>
        <w:rFonts w:hint="default"/>
      </w:rPr>
    </w:lvl>
    <w:lvl w:ilvl="8">
      <w:start w:val="0"/>
      <w:numFmt w:val="bullet"/>
      <w:lvlText w:val="•"/>
      <w:lvlJc w:val="left"/>
      <w:pPr>
        <w:ind w:left="7945" w:hanging="420"/>
      </w:pPr>
      <w:rPr>
        <w:rFonts w:hint="default"/>
      </w:rPr>
    </w:lvl>
  </w:abstractNum>
  <w:abstractNum w:abstractNumId="1">
    <w:multiLevelType w:val="hybridMultilevel"/>
    <w:lvl w:ilvl="0">
      <w:start w:val="1"/>
      <w:numFmt w:val="decimal"/>
      <w:lvlText w:val="%1."/>
      <w:lvlJc w:val="left"/>
      <w:pPr>
        <w:ind w:left="689" w:hanging="360"/>
        <w:jc w:val="left"/>
      </w:pPr>
      <w:rPr>
        <w:rFonts w:hint="default" w:ascii="宋体" w:hAnsi="宋体" w:eastAsia="宋体" w:cs="宋体"/>
        <w:w w:val="100"/>
        <w:sz w:val="21"/>
        <w:szCs w:val="21"/>
      </w:rPr>
    </w:lvl>
    <w:lvl w:ilvl="1">
      <w:start w:val="0"/>
      <w:numFmt w:val="bullet"/>
      <w:lvlText w:val="•"/>
      <w:lvlJc w:val="left"/>
      <w:pPr>
        <w:ind w:left="1248" w:hanging="360"/>
      </w:pPr>
      <w:rPr>
        <w:rFonts w:hint="default"/>
      </w:rPr>
    </w:lvl>
    <w:lvl w:ilvl="2">
      <w:start w:val="0"/>
      <w:numFmt w:val="bullet"/>
      <w:lvlText w:val="•"/>
      <w:lvlJc w:val="left"/>
      <w:pPr>
        <w:ind w:left="1817" w:hanging="360"/>
      </w:pPr>
      <w:rPr>
        <w:rFonts w:hint="default"/>
      </w:rPr>
    </w:lvl>
    <w:lvl w:ilvl="3">
      <w:start w:val="0"/>
      <w:numFmt w:val="bullet"/>
      <w:lvlText w:val="•"/>
      <w:lvlJc w:val="left"/>
      <w:pPr>
        <w:ind w:left="2386" w:hanging="360"/>
      </w:pPr>
      <w:rPr>
        <w:rFonts w:hint="default"/>
      </w:rPr>
    </w:lvl>
    <w:lvl w:ilvl="4">
      <w:start w:val="0"/>
      <w:numFmt w:val="bullet"/>
      <w:lvlText w:val="•"/>
      <w:lvlJc w:val="left"/>
      <w:pPr>
        <w:ind w:left="2955" w:hanging="360"/>
      </w:pPr>
      <w:rPr>
        <w:rFonts w:hint="default"/>
      </w:rPr>
    </w:lvl>
    <w:lvl w:ilvl="5">
      <w:start w:val="0"/>
      <w:numFmt w:val="bullet"/>
      <w:lvlText w:val="•"/>
      <w:lvlJc w:val="left"/>
      <w:pPr>
        <w:ind w:left="3524" w:hanging="360"/>
      </w:pPr>
      <w:rPr>
        <w:rFonts w:hint="default"/>
      </w:rPr>
    </w:lvl>
    <w:lvl w:ilvl="6">
      <w:start w:val="0"/>
      <w:numFmt w:val="bullet"/>
      <w:lvlText w:val="•"/>
      <w:lvlJc w:val="left"/>
      <w:pPr>
        <w:ind w:left="4092" w:hanging="360"/>
      </w:pPr>
      <w:rPr>
        <w:rFonts w:hint="default"/>
      </w:rPr>
    </w:lvl>
    <w:lvl w:ilvl="7">
      <w:start w:val="0"/>
      <w:numFmt w:val="bullet"/>
      <w:lvlText w:val="•"/>
      <w:lvlJc w:val="left"/>
      <w:pPr>
        <w:ind w:left="4661" w:hanging="360"/>
      </w:pPr>
      <w:rPr>
        <w:rFonts w:hint="default"/>
      </w:rPr>
    </w:lvl>
    <w:lvl w:ilvl="8">
      <w:start w:val="0"/>
      <w:numFmt w:val="bullet"/>
      <w:lvlText w:val="•"/>
      <w:lvlJc w:val="left"/>
      <w:pPr>
        <w:ind w:left="5230" w:hanging="360"/>
      </w:pPr>
      <w:rPr>
        <w:rFonts w:hint="default"/>
      </w:rPr>
    </w:lvl>
  </w:abstractNum>
  <w:abstractNum w:abstractNumId="0">
    <w:multiLevelType w:val="hybridMultilevel"/>
    <w:lvl w:ilvl="0">
      <w:start w:val="1"/>
      <w:numFmt w:val="decimal"/>
      <w:lvlText w:val="%1."/>
      <w:lvlJc w:val="left"/>
      <w:pPr>
        <w:ind w:left="552" w:hanging="360"/>
        <w:jc w:val="left"/>
      </w:pPr>
      <w:rPr>
        <w:rFonts w:hint="default" w:ascii="宋体" w:hAnsi="宋体" w:eastAsia="宋体" w:cs="宋体"/>
        <w:w w:val="100"/>
        <w:sz w:val="21"/>
        <w:szCs w:val="21"/>
      </w:rPr>
    </w:lvl>
    <w:lvl w:ilvl="1">
      <w:start w:val="0"/>
      <w:numFmt w:val="bullet"/>
      <w:lvlText w:val="•"/>
      <w:lvlJc w:val="left"/>
      <w:pPr>
        <w:ind w:left="1127" w:hanging="360"/>
      </w:pPr>
      <w:rPr>
        <w:rFonts w:hint="default"/>
      </w:rPr>
    </w:lvl>
    <w:lvl w:ilvl="2">
      <w:start w:val="0"/>
      <w:numFmt w:val="bullet"/>
      <w:lvlText w:val="•"/>
      <w:lvlJc w:val="left"/>
      <w:pPr>
        <w:ind w:left="1694" w:hanging="360"/>
      </w:pPr>
      <w:rPr>
        <w:rFonts w:hint="default"/>
      </w:rPr>
    </w:lvl>
    <w:lvl w:ilvl="3">
      <w:start w:val="0"/>
      <w:numFmt w:val="bullet"/>
      <w:lvlText w:val="•"/>
      <w:lvlJc w:val="left"/>
      <w:pPr>
        <w:ind w:left="2261" w:hanging="360"/>
      </w:pPr>
      <w:rPr>
        <w:rFonts w:hint="default"/>
      </w:rPr>
    </w:lvl>
    <w:lvl w:ilvl="4">
      <w:start w:val="0"/>
      <w:numFmt w:val="bullet"/>
      <w:lvlText w:val="•"/>
      <w:lvlJc w:val="left"/>
      <w:pPr>
        <w:ind w:left="2828" w:hanging="360"/>
      </w:pPr>
      <w:rPr>
        <w:rFonts w:hint="default"/>
      </w:rPr>
    </w:lvl>
    <w:lvl w:ilvl="5">
      <w:start w:val="0"/>
      <w:numFmt w:val="bullet"/>
      <w:lvlText w:val="•"/>
      <w:lvlJc w:val="left"/>
      <w:pPr>
        <w:ind w:left="3395" w:hanging="360"/>
      </w:pPr>
      <w:rPr>
        <w:rFonts w:hint="default"/>
      </w:rPr>
    </w:lvl>
    <w:lvl w:ilvl="6">
      <w:start w:val="0"/>
      <w:numFmt w:val="bullet"/>
      <w:lvlText w:val="•"/>
      <w:lvlJc w:val="left"/>
      <w:pPr>
        <w:ind w:left="3962" w:hanging="360"/>
      </w:pPr>
      <w:rPr>
        <w:rFonts w:hint="default"/>
      </w:rPr>
    </w:lvl>
    <w:lvl w:ilvl="7">
      <w:start w:val="0"/>
      <w:numFmt w:val="bullet"/>
      <w:lvlText w:val="•"/>
      <w:lvlJc w:val="left"/>
      <w:pPr>
        <w:ind w:left="4529" w:hanging="360"/>
      </w:pPr>
      <w:rPr>
        <w:rFonts w:hint="default"/>
      </w:rPr>
    </w:lvl>
    <w:lvl w:ilvl="8">
      <w:start w:val="0"/>
      <w:numFmt w:val="bullet"/>
      <w:lvlText w:val="•"/>
      <w:lvlJc w:val="left"/>
      <w:pPr>
        <w:ind w:left="5096" w:hanging="36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pPr>
    <w:rPr>
      <w:rFonts w:ascii="宋体" w:hAnsi="宋体" w:eastAsia="宋体" w:cs="宋体"/>
      <w:sz w:val="21"/>
      <w:szCs w:val="21"/>
    </w:rPr>
  </w:style>
  <w:style w:styleId="ListParagraph" w:type="paragraph">
    <w:name w:val="List Paragraph"/>
    <w:basedOn w:val="Normal"/>
    <w:uiPriority w:val="1"/>
    <w:qFormat/>
    <w:pPr>
      <w:ind w:left="3569" w:hanging="84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曲娜</dc:creator>
  <dc:title>中航三星人寿保险有限公司</dc:title>
  <dcterms:created xsi:type="dcterms:W3CDTF">2018-10-19T21:33:08Z</dcterms:created>
  <dcterms:modified xsi:type="dcterms:W3CDTF">2018-10-19T21:33:08Z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