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260142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204 号</w:t>
      </w:r>
    </w:p>
    <w:p>
      <w:pPr>
        <w:pStyle w:val="BodyText"/>
        <w:rPr>
          <w:sz w:val="20"/>
        </w:rPr>
      </w:pPr>
    </w:p>
    <w:p>
      <w:pPr>
        <w:pStyle w:val="BodyText"/>
        <w:spacing w:before="3"/>
        <w:rPr>
          <w:sz w:val="22"/>
        </w:rPr>
      </w:pPr>
    </w:p>
    <w:p>
      <w:pPr>
        <w:pStyle w:val="Heading1"/>
      </w:pPr>
      <w:r>
        <w:rPr/>
        <w:t>泰康附加豁免保险费 B 款重大疾病保险条款</w:t>
      </w:r>
    </w:p>
    <w:p>
      <w:pPr>
        <w:spacing w:after="0"/>
        <w:sectPr>
          <w:type w:val="continuous"/>
          <w:pgSz w:w="11910" w:h="16840"/>
          <w:pgMar w:top="840" w:bottom="280" w:left="92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
        <w:rPr>
          <w:rFonts w:ascii="微软雅黑"/>
          <w:b/>
          <w:sz w:val="11"/>
        </w:rPr>
      </w:pPr>
      <w:r>
        <w:rPr/>
        <w:br w:type="column"/>
      </w:r>
      <w:r>
        <w:rPr>
          <w:rFonts w:ascii="微软雅黑"/>
          <w:b/>
          <w:sz w:val="11"/>
        </w:rPr>
      </w:r>
    </w:p>
    <w:p>
      <w:pPr>
        <w:pStyle w:val="BodyText"/>
        <w:ind w:left="2043"/>
      </w:pPr>
      <w:r>
        <w:rPr/>
        <w:t>请扫描以查询验证条款</w:t>
      </w:r>
    </w:p>
    <w:p>
      <w:pPr>
        <w:spacing w:after="0"/>
        <w:sectPr>
          <w:type w:val="continuous"/>
          <w:pgSz w:w="11910" w:h="16840"/>
          <w:pgMar w:top="840" w:bottom="280" w:left="920" w:right="260"/>
          <w:cols w:num="2" w:equalWidth="0">
            <w:col w:w="5914" w:space="40"/>
            <w:col w:w="4776"/>
          </w:cols>
        </w:sectPr>
      </w:pPr>
    </w:p>
    <w:p>
      <w:pPr>
        <w:pStyle w:val="BodyText"/>
        <w:spacing w:before="8"/>
        <w:rPr>
          <w:sz w:val="14"/>
        </w:rPr>
      </w:pPr>
    </w:p>
    <w:p>
      <w:pPr>
        <w:pStyle w:val="BodyText"/>
        <w:spacing w:before="36"/>
        <w:ind w:left="177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30" w:val="left" w:leader="none"/>
        </w:tabs>
        <w:spacing w:before="33"/>
        <w:ind w:left="212" w:right="0" w:firstLine="0"/>
        <w:jc w:val="left"/>
        <w:rPr>
          <w:b/>
          <w:sz w:val="21"/>
        </w:rPr>
      </w:pPr>
      <w:r>
        <w:rPr/>
        <w:pict>
          <v:group style="position:absolute;margin-left:51pt;margin-top:1.797712pt;width:496.8pt;height:586.050pt;mso-position-horizontal-relative:page;mso-position-vertical-relative:paragraph;z-index:-33448" coordorigin="1020,36" coordsize="9936,11721">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747" stroked="true" strokeweight=".48pt" strokecolor="#000000">
              <v:stroke dashstyle="solid"/>
            </v:line>
            <v:rect style="position:absolute;left:1020;top:11747;width:10;height:10" filled="true" fillcolor="#000000" stroked="false">
              <v:fill type="solid"/>
            </v:rect>
            <v:line style="position:absolute" from="1030,11752" to="10946,11752" stroked="true" strokeweight=".47998pt" strokecolor="#000000">
              <v:stroke dashstyle="solid"/>
            </v:line>
            <v:line style="position:absolute" from="10951,46" to="10951,11747" stroked="true" strokeweight=".47998pt" strokecolor="#000000">
              <v:stroke dashstyle="solid"/>
            </v:line>
            <v:rect style="position:absolute;left:10946;top:11747;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s>
        <w:spacing w:line="240" w:lineRule="auto" w:before="25" w:after="0"/>
        <w:ind w:left="1242"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2" w:val="left" w:leader="none"/>
          <w:tab w:pos="1243" w:val="left" w:leader="none"/>
          <w:tab w:pos="9540" w:val="right" w:leader="dot"/>
        </w:tabs>
        <w:spacing w:line="240" w:lineRule="auto" w:before="21"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3" w:val="left" w:leader="none"/>
        </w:tabs>
        <w:spacing w:before="100"/>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6"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同的</w:t>
      </w:r>
      <w:r>
        <w:rPr>
          <w:sz w:val="21"/>
        </w:rPr>
        <w:t>保险</w:t>
      </w:r>
      <w:r>
        <w:rPr>
          <w:spacing w:val="-3"/>
          <w:sz w:val="21"/>
        </w:rPr>
        <w:t>期</w:t>
      </w:r>
      <w:r>
        <w:rPr>
          <w:sz w:val="21"/>
        </w:rPr>
        <w:t>间</w:t>
        <w:tab/>
        <w:t>2.1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合同</w:t>
      </w:r>
      <w:r>
        <w:rPr>
          <w:sz w:val="21"/>
        </w:rPr>
        <w:t>有</w:t>
      </w:r>
      <w:r>
        <w:rPr>
          <w:spacing w:val="-53"/>
          <w:sz w:val="21"/>
        </w:rPr>
        <w:t> </w:t>
      </w:r>
      <w:r>
        <w:rPr>
          <w:sz w:val="21"/>
        </w:rPr>
        <w:t>180</w:t>
      </w:r>
      <w:r>
        <w:rPr>
          <w:spacing w:val="-55"/>
          <w:sz w:val="21"/>
        </w:rPr>
        <w:t> </w:t>
      </w:r>
      <w:r>
        <w:rPr>
          <w:spacing w:val="-3"/>
          <w:sz w:val="21"/>
        </w:rPr>
        <w:t>日</w:t>
      </w:r>
      <w:r>
        <w:rPr>
          <w:sz w:val="21"/>
        </w:rPr>
        <w:t>的等</w:t>
      </w:r>
      <w:r>
        <w:rPr>
          <w:spacing w:val="-3"/>
          <w:sz w:val="21"/>
        </w:rPr>
        <w:t>待</w:t>
      </w:r>
      <w:r>
        <w:rPr>
          <w:sz w:val="21"/>
        </w:rPr>
        <w:t>期</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2" w:val="left" w:leader="none"/>
          <w:tab w:pos="1243" w:val="left" w:leader="none"/>
          <w:tab w:pos="9540" w:val="right" w:leader="dot"/>
        </w:tabs>
        <w:spacing w:line="240" w:lineRule="auto" w:before="22" w:after="0"/>
        <w:ind w:left="124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2" w:val="left" w:leader="none"/>
          <w:tab w:pos="1243" w:val="left" w:leader="none"/>
          <w:tab w:pos="9435"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0" w:val="left" w:leader="none"/>
        </w:tabs>
        <w:spacing w:before="23"/>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3482"/>
        <w:gridCol w:w="861"/>
        <w:gridCol w:w="2676"/>
      </w:tblGrid>
      <w:tr>
        <w:trPr>
          <w:trHeight w:val="261" w:hRule="atLeast"/>
        </w:trPr>
        <w:tc>
          <w:tcPr>
            <w:tcW w:w="2578" w:type="dxa"/>
          </w:tcPr>
          <w:p>
            <w:pPr>
              <w:pStyle w:val="TableParagraph"/>
              <w:spacing w:line="211" w:lineRule="exact"/>
              <w:ind w:left="50"/>
              <w:rPr>
                <w:b/>
                <w:sz w:val="21"/>
              </w:rPr>
            </w:pPr>
            <w:r>
              <w:rPr>
                <w:b/>
                <w:sz w:val="21"/>
              </w:rPr>
              <w:t>1. 您与我们订立的合同</w:t>
            </w:r>
          </w:p>
        </w:tc>
        <w:tc>
          <w:tcPr>
            <w:tcW w:w="3482" w:type="dxa"/>
          </w:tcPr>
          <w:p>
            <w:pPr>
              <w:pStyle w:val="TableParagraph"/>
              <w:spacing w:line="211" w:lineRule="exact"/>
              <w:ind w:left="309"/>
              <w:rPr>
                <w:b/>
                <w:sz w:val="21"/>
              </w:rPr>
            </w:pPr>
            <w:r>
              <w:rPr>
                <w:b/>
                <w:sz w:val="21"/>
              </w:rPr>
              <w:t>5. 现金价值权益</w:t>
            </w:r>
          </w:p>
        </w:tc>
        <w:tc>
          <w:tcPr>
            <w:tcW w:w="861" w:type="dxa"/>
          </w:tcPr>
          <w:p>
            <w:pPr>
              <w:pStyle w:val="TableParagraph"/>
              <w:spacing w:line="211" w:lineRule="exact"/>
              <w:ind w:left="334"/>
              <w:rPr>
                <w:sz w:val="21"/>
              </w:rPr>
            </w:pPr>
            <w:r>
              <w:rPr>
                <w:sz w:val="21"/>
              </w:rPr>
              <w:t>10.6</w:t>
            </w:r>
          </w:p>
        </w:tc>
        <w:tc>
          <w:tcPr>
            <w:tcW w:w="2676" w:type="dxa"/>
          </w:tcPr>
          <w:p>
            <w:pPr>
              <w:pStyle w:val="TableParagraph"/>
              <w:spacing w:line="211" w:lineRule="exact"/>
              <w:ind w:left="-1"/>
              <w:rPr>
                <w:sz w:val="21"/>
              </w:rPr>
            </w:pPr>
            <w:r>
              <w:rPr>
                <w:sz w:val="21"/>
              </w:rPr>
              <w:t>医院</w:t>
            </w:r>
          </w:p>
        </w:tc>
      </w:tr>
      <w:tr>
        <w:trPr>
          <w:trHeight w:val="312" w:hRule="atLeast"/>
        </w:trPr>
        <w:tc>
          <w:tcPr>
            <w:tcW w:w="2578" w:type="dxa"/>
          </w:tcPr>
          <w:p>
            <w:pPr>
              <w:pStyle w:val="TableParagraph"/>
              <w:spacing w:line="261" w:lineRule="exact"/>
              <w:ind w:left="156"/>
              <w:rPr>
                <w:sz w:val="21"/>
              </w:rPr>
            </w:pPr>
            <w:r>
              <w:rPr>
                <w:sz w:val="21"/>
              </w:rPr>
              <w:t>1.1 合同构成</w:t>
            </w:r>
          </w:p>
        </w:tc>
        <w:tc>
          <w:tcPr>
            <w:tcW w:w="3482" w:type="dxa"/>
          </w:tcPr>
          <w:p>
            <w:pPr>
              <w:pStyle w:val="TableParagraph"/>
              <w:spacing w:line="261" w:lineRule="exact"/>
              <w:ind w:left="415"/>
              <w:rPr>
                <w:sz w:val="21"/>
              </w:rPr>
            </w:pPr>
            <w:r>
              <w:rPr>
                <w:sz w:val="21"/>
              </w:rPr>
              <w:t>5.1 现金价值</w:t>
            </w:r>
          </w:p>
        </w:tc>
        <w:tc>
          <w:tcPr>
            <w:tcW w:w="861" w:type="dxa"/>
          </w:tcPr>
          <w:p>
            <w:pPr>
              <w:pStyle w:val="TableParagraph"/>
              <w:spacing w:line="261" w:lineRule="exact"/>
              <w:ind w:left="334"/>
              <w:rPr>
                <w:sz w:val="21"/>
              </w:rPr>
            </w:pPr>
            <w:r>
              <w:rPr>
                <w:sz w:val="21"/>
              </w:rPr>
              <w:t>10.7</w:t>
            </w:r>
          </w:p>
        </w:tc>
        <w:tc>
          <w:tcPr>
            <w:tcW w:w="2676" w:type="dxa"/>
          </w:tcPr>
          <w:p>
            <w:pPr>
              <w:pStyle w:val="TableParagraph"/>
              <w:spacing w:line="261" w:lineRule="exact"/>
              <w:ind w:left="-1"/>
              <w:rPr>
                <w:sz w:val="21"/>
              </w:rPr>
            </w:pPr>
            <w:r>
              <w:rPr>
                <w:sz w:val="21"/>
              </w:rPr>
              <w:t>毒品</w:t>
            </w:r>
          </w:p>
        </w:tc>
      </w:tr>
      <w:tr>
        <w:trPr>
          <w:trHeight w:val="312" w:hRule="atLeast"/>
        </w:trPr>
        <w:tc>
          <w:tcPr>
            <w:tcW w:w="2578" w:type="dxa"/>
          </w:tcPr>
          <w:p>
            <w:pPr>
              <w:pStyle w:val="TableParagraph"/>
              <w:spacing w:line="261" w:lineRule="exact"/>
              <w:ind w:left="156"/>
              <w:rPr>
                <w:sz w:val="21"/>
              </w:rPr>
            </w:pPr>
            <w:r>
              <w:rPr>
                <w:sz w:val="21"/>
              </w:rPr>
              <w:t>1.2 合同成立及生效</w:t>
            </w:r>
          </w:p>
        </w:tc>
        <w:tc>
          <w:tcPr>
            <w:tcW w:w="3482" w:type="dxa"/>
          </w:tcPr>
          <w:p>
            <w:pPr>
              <w:pStyle w:val="TableParagraph"/>
              <w:spacing w:line="261" w:lineRule="exact"/>
              <w:ind w:left="309"/>
              <w:rPr>
                <w:b/>
                <w:sz w:val="21"/>
              </w:rPr>
            </w:pPr>
            <w:r>
              <w:rPr>
                <w:b/>
                <w:sz w:val="21"/>
              </w:rPr>
              <w:t>6. 合同效力的中止及恢复</w:t>
            </w:r>
          </w:p>
        </w:tc>
        <w:tc>
          <w:tcPr>
            <w:tcW w:w="861" w:type="dxa"/>
          </w:tcPr>
          <w:p>
            <w:pPr>
              <w:pStyle w:val="TableParagraph"/>
              <w:spacing w:line="261" w:lineRule="exact"/>
              <w:ind w:left="334"/>
              <w:rPr>
                <w:sz w:val="21"/>
              </w:rPr>
            </w:pPr>
            <w:r>
              <w:rPr>
                <w:sz w:val="21"/>
              </w:rPr>
              <w:t>10.8</w:t>
            </w:r>
          </w:p>
        </w:tc>
        <w:tc>
          <w:tcPr>
            <w:tcW w:w="2676" w:type="dxa"/>
          </w:tcPr>
          <w:p>
            <w:pPr>
              <w:pStyle w:val="TableParagraph"/>
              <w:spacing w:line="261" w:lineRule="exact"/>
              <w:ind w:left="-1"/>
              <w:rPr>
                <w:sz w:val="21"/>
              </w:rPr>
            </w:pPr>
            <w:r>
              <w:rPr>
                <w:sz w:val="21"/>
              </w:rPr>
              <w:t>酒后驾驶</w:t>
            </w:r>
          </w:p>
        </w:tc>
      </w:tr>
      <w:tr>
        <w:trPr>
          <w:trHeight w:val="312" w:hRule="atLeast"/>
        </w:trPr>
        <w:tc>
          <w:tcPr>
            <w:tcW w:w="2578" w:type="dxa"/>
          </w:tcPr>
          <w:p>
            <w:pPr>
              <w:pStyle w:val="TableParagraph"/>
              <w:spacing w:line="261" w:lineRule="exact"/>
              <w:ind w:left="156"/>
              <w:rPr>
                <w:sz w:val="21"/>
              </w:rPr>
            </w:pPr>
            <w:r>
              <w:rPr>
                <w:sz w:val="21"/>
              </w:rPr>
              <w:t>1.3 投保年龄</w:t>
            </w:r>
          </w:p>
        </w:tc>
        <w:tc>
          <w:tcPr>
            <w:tcW w:w="3482" w:type="dxa"/>
          </w:tcPr>
          <w:p>
            <w:pPr>
              <w:pStyle w:val="TableParagraph"/>
              <w:spacing w:line="261" w:lineRule="exact"/>
              <w:ind w:left="415"/>
              <w:rPr>
                <w:sz w:val="21"/>
              </w:rPr>
            </w:pPr>
            <w:r>
              <w:rPr>
                <w:sz w:val="21"/>
              </w:rPr>
              <w:t>6.1 效力中止</w:t>
            </w:r>
          </w:p>
        </w:tc>
        <w:tc>
          <w:tcPr>
            <w:tcW w:w="861" w:type="dxa"/>
          </w:tcPr>
          <w:p>
            <w:pPr>
              <w:pStyle w:val="TableParagraph"/>
              <w:spacing w:line="261" w:lineRule="exact"/>
              <w:ind w:left="334"/>
              <w:rPr>
                <w:sz w:val="21"/>
              </w:rPr>
            </w:pPr>
            <w:r>
              <w:rPr>
                <w:sz w:val="21"/>
              </w:rPr>
              <w:t>10.9</w:t>
            </w:r>
          </w:p>
        </w:tc>
        <w:tc>
          <w:tcPr>
            <w:tcW w:w="2676" w:type="dxa"/>
          </w:tcPr>
          <w:p>
            <w:pPr>
              <w:pStyle w:val="TableParagraph"/>
              <w:spacing w:line="261" w:lineRule="exact"/>
              <w:ind w:left="-1"/>
              <w:rPr>
                <w:sz w:val="21"/>
              </w:rPr>
            </w:pPr>
            <w:r>
              <w:rPr>
                <w:sz w:val="21"/>
              </w:rPr>
              <w:t>无合法有效驾驶证驾驶</w:t>
            </w:r>
          </w:p>
        </w:tc>
      </w:tr>
      <w:tr>
        <w:trPr>
          <w:trHeight w:val="311" w:hRule="atLeast"/>
        </w:trPr>
        <w:tc>
          <w:tcPr>
            <w:tcW w:w="2578" w:type="dxa"/>
          </w:tcPr>
          <w:p>
            <w:pPr>
              <w:pStyle w:val="TableParagraph"/>
              <w:spacing w:line="261" w:lineRule="exact"/>
              <w:ind w:left="156"/>
              <w:rPr>
                <w:sz w:val="21"/>
              </w:rPr>
            </w:pPr>
            <w:r>
              <w:rPr>
                <w:sz w:val="21"/>
              </w:rPr>
              <w:t>1.4 犹豫期</w:t>
            </w:r>
          </w:p>
        </w:tc>
        <w:tc>
          <w:tcPr>
            <w:tcW w:w="3482" w:type="dxa"/>
          </w:tcPr>
          <w:p>
            <w:pPr>
              <w:pStyle w:val="TableParagraph"/>
              <w:spacing w:line="261" w:lineRule="exact"/>
              <w:ind w:left="415"/>
              <w:rPr>
                <w:sz w:val="21"/>
              </w:rPr>
            </w:pPr>
            <w:r>
              <w:rPr>
                <w:sz w:val="21"/>
              </w:rPr>
              <w:t>6.2 效力恢复</w:t>
            </w:r>
          </w:p>
        </w:tc>
        <w:tc>
          <w:tcPr>
            <w:tcW w:w="861" w:type="dxa"/>
          </w:tcPr>
          <w:p>
            <w:pPr>
              <w:pStyle w:val="TableParagraph"/>
              <w:spacing w:line="261" w:lineRule="exact"/>
              <w:ind w:left="334" w:right="-15"/>
              <w:rPr>
                <w:sz w:val="21"/>
              </w:rPr>
            </w:pPr>
            <w:r>
              <w:rPr>
                <w:sz w:val="21"/>
              </w:rPr>
              <w:t>10.10</w:t>
            </w:r>
          </w:p>
        </w:tc>
        <w:tc>
          <w:tcPr>
            <w:tcW w:w="2676" w:type="dxa"/>
          </w:tcPr>
          <w:p>
            <w:pPr>
              <w:pStyle w:val="TableParagraph"/>
              <w:spacing w:line="261" w:lineRule="exact"/>
              <w:ind w:left="104"/>
              <w:rPr>
                <w:sz w:val="21"/>
              </w:rPr>
            </w:pPr>
            <w:r>
              <w:rPr>
                <w:sz w:val="21"/>
              </w:rPr>
              <w:t>无有效行驶证</w:t>
            </w:r>
          </w:p>
        </w:tc>
      </w:tr>
      <w:tr>
        <w:trPr>
          <w:trHeight w:val="311" w:hRule="atLeast"/>
        </w:trPr>
        <w:tc>
          <w:tcPr>
            <w:tcW w:w="2578" w:type="dxa"/>
          </w:tcPr>
          <w:p>
            <w:pPr>
              <w:pStyle w:val="TableParagraph"/>
              <w:spacing w:line="261" w:lineRule="exact"/>
              <w:ind w:left="50"/>
              <w:rPr>
                <w:b/>
                <w:sz w:val="21"/>
              </w:rPr>
            </w:pPr>
            <w:r>
              <w:rPr>
                <w:b/>
                <w:sz w:val="21"/>
              </w:rPr>
              <w:t>2. 我们提供的保障</w:t>
            </w:r>
          </w:p>
        </w:tc>
        <w:tc>
          <w:tcPr>
            <w:tcW w:w="3482" w:type="dxa"/>
          </w:tcPr>
          <w:p>
            <w:pPr>
              <w:pStyle w:val="TableParagraph"/>
              <w:spacing w:line="261" w:lineRule="exact"/>
              <w:ind w:left="309"/>
              <w:rPr>
                <w:b/>
                <w:sz w:val="21"/>
              </w:rPr>
            </w:pPr>
            <w:r>
              <w:rPr>
                <w:b/>
                <w:sz w:val="21"/>
              </w:rPr>
              <w:t>7. 合同解除</w:t>
            </w:r>
          </w:p>
        </w:tc>
        <w:tc>
          <w:tcPr>
            <w:tcW w:w="861" w:type="dxa"/>
          </w:tcPr>
          <w:p>
            <w:pPr>
              <w:pStyle w:val="TableParagraph"/>
              <w:spacing w:line="261" w:lineRule="exact"/>
              <w:ind w:left="334" w:right="-15"/>
              <w:rPr>
                <w:sz w:val="21"/>
              </w:rPr>
            </w:pPr>
            <w:r>
              <w:rPr>
                <w:sz w:val="21"/>
              </w:rPr>
              <w:t>10.11</w:t>
            </w:r>
          </w:p>
        </w:tc>
        <w:tc>
          <w:tcPr>
            <w:tcW w:w="2676" w:type="dxa"/>
          </w:tcPr>
          <w:p>
            <w:pPr>
              <w:pStyle w:val="TableParagraph"/>
              <w:spacing w:line="261" w:lineRule="exact"/>
              <w:ind w:left="104"/>
              <w:rPr>
                <w:sz w:val="21"/>
              </w:rPr>
            </w:pPr>
            <w:r>
              <w:rPr>
                <w:sz w:val="21"/>
              </w:rPr>
              <w:t>机动车</w:t>
            </w:r>
          </w:p>
        </w:tc>
      </w:tr>
      <w:tr>
        <w:trPr>
          <w:trHeight w:val="312" w:hRule="atLeast"/>
        </w:trPr>
        <w:tc>
          <w:tcPr>
            <w:tcW w:w="2578" w:type="dxa"/>
          </w:tcPr>
          <w:p>
            <w:pPr>
              <w:pStyle w:val="TableParagraph"/>
              <w:spacing w:line="261" w:lineRule="exact"/>
              <w:ind w:left="156"/>
              <w:rPr>
                <w:sz w:val="21"/>
              </w:rPr>
            </w:pPr>
            <w:r>
              <w:rPr>
                <w:sz w:val="21"/>
              </w:rPr>
              <w:t>2.1 保险期间</w:t>
            </w:r>
          </w:p>
        </w:tc>
        <w:tc>
          <w:tcPr>
            <w:tcW w:w="3482" w:type="dxa"/>
          </w:tcPr>
          <w:p>
            <w:pPr>
              <w:pStyle w:val="TableParagraph"/>
              <w:spacing w:line="261" w:lineRule="exact"/>
              <w:ind w:left="415"/>
              <w:rPr>
                <w:sz w:val="21"/>
              </w:rPr>
            </w:pPr>
            <w:r>
              <w:rPr>
                <w:sz w:val="21"/>
              </w:rPr>
              <w:t>7.1 您解除合同的手续及风险</w:t>
            </w:r>
          </w:p>
        </w:tc>
        <w:tc>
          <w:tcPr>
            <w:tcW w:w="861" w:type="dxa"/>
          </w:tcPr>
          <w:p>
            <w:pPr>
              <w:pStyle w:val="TableParagraph"/>
              <w:spacing w:line="261" w:lineRule="exact"/>
              <w:ind w:left="334" w:right="-15"/>
              <w:rPr>
                <w:sz w:val="21"/>
              </w:rPr>
            </w:pPr>
            <w:r>
              <w:rPr>
                <w:sz w:val="21"/>
              </w:rPr>
              <w:t>10.12</w:t>
            </w:r>
          </w:p>
        </w:tc>
        <w:tc>
          <w:tcPr>
            <w:tcW w:w="2676" w:type="dxa"/>
          </w:tcPr>
          <w:p>
            <w:pPr>
              <w:pStyle w:val="TableParagraph"/>
              <w:spacing w:line="261" w:lineRule="exact"/>
              <w:ind w:left="0" w:right="48"/>
              <w:jc w:val="right"/>
              <w:rPr>
                <w:sz w:val="21"/>
              </w:rPr>
            </w:pPr>
            <w:r>
              <w:rPr>
                <w:sz w:val="21"/>
              </w:rPr>
              <w:t>感染艾滋病病毒或患艾滋病</w:t>
            </w:r>
          </w:p>
        </w:tc>
      </w:tr>
      <w:tr>
        <w:trPr>
          <w:trHeight w:val="312" w:hRule="atLeast"/>
        </w:trPr>
        <w:tc>
          <w:tcPr>
            <w:tcW w:w="2578" w:type="dxa"/>
          </w:tcPr>
          <w:p>
            <w:pPr>
              <w:pStyle w:val="TableParagraph"/>
              <w:spacing w:line="261" w:lineRule="exact"/>
              <w:ind w:left="156"/>
              <w:rPr>
                <w:sz w:val="21"/>
              </w:rPr>
            </w:pPr>
            <w:r>
              <w:rPr>
                <w:sz w:val="21"/>
              </w:rPr>
              <w:t>2.2 等待期</w:t>
            </w:r>
          </w:p>
        </w:tc>
        <w:tc>
          <w:tcPr>
            <w:tcW w:w="3482" w:type="dxa"/>
          </w:tcPr>
          <w:p>
            <w:pPr>
              <w:pStyle w:val="TableParagraph"/>
              <w:spacing w:line="261" w:lineRule="exact"/>
              <w:ind w:left="309"/>
              <w:rPr>
                <w:b/>
                <w:sz w:val="21"/>
              </w:rPr>
            </w:pPr>
            <w:r>
              <w:rPr>
                <w:b/>
                <w:sz w:val="21"/>
              </w:rPr>
              <w:t>8. 其它需要关注的事项</w:t>
            </w:r>
          </w:p>
        </w:tc>
        <w:tc>
          <w:tcPr>
            <w:tcW w:w="861" w:type="dxa"/>
          </w:tcPr>
          <w:p>
            <w:pPr>
              <w:pStyle w:val="TableParagraph"/>
              <w:spacing w:line="261" w:lineRule="exact"/>
              <w:ind w:left="334" w:right="-15"/>
              <w:rPr>
                <w:sz w:val="21"/>
              </w:rPr>
            </w:pPr>
            <w:r>
              <w:rPr>
                <w:sz w:val="21"/>
              </w:rPr>
              <w:t>10.13</w:t>
            </w:r>
          </w:p>
        </w:tc>
        <w:tc>
          <w:tcPr>
            <w:tcW w:w="2676" w:type="dxa"/>
          </w:tcPr>
          <w:p>
            <w:pPr>
              <w:pStyle w:val="TableParagraph"/>
              <w:spacing w:line="261" w:lineRule="exact"/>
              <w:ind w:left="104"/>
              <w:rPr>
                <w:sz w:val="21"/>
              </w:rPr>
            </w:pPr>
            <w:r>
              <w:rPr>
                <w:sz w:val="21"/>
              </w:rPr>
              <w:t>遗传性疾病</w:t>
            </w:r>
          </w:p>
        </w:tc>
      </w:tr>
      <w:tr>
        <w:trPr>
          <w:trHeight w:val="311" w:hRule="atLeast"/>
        </w:trPr>
        <w:tc>
          <w:tcPr>
            <w:tcW w:w="2578" w:type="dxa"/>
          </w:tcPr>
          <w:p>
            <w:pPr>
              <w:pStyle w:val="TableParagraph"/>
              <w:spacing w:line="261" w:lineRule="exact"/>
              <w:ind w:left="156"/>
              <w:rPr>
                <w:sz w:val="21"/>
              </w:rPr>
            </w:pPr>
            <w:r>
              <w:rPr>
                <w:sz w:val="21"/>
              </w:rPr>
              <w:t>2.3 保险责任</w:t>
            </w:r>
          </w:p>
        </w:tc>
        <w:tc>
          <w:tcPr>
            <w:tcW w:w="3482" w:type="dxa"/>
          </w:tcPr>
          <w:p>
            <w:pPr>
              <w:pStyle w:val="TableParagraph"/>
              <w:spacing w:line="261" w:lineRule="exact"/>
              <w:ind w:left="415"/>
              <w:rPr>
                <w:sz w:val="21"/>
              </w:rPr>
            </w:pPr>
            <w:r>
              <w:rPr>
                <w:sz w:val="21"/>
              </w:rPr>
              <w:t>8.1 效力终止</w:t>
            </w:r>
          </w:p>
        </w:tc>
        <w:tc>
          <w:tcPr>
            <w:tcW w:w="861" w:type="dxa"/>
          </w:tcPr>
          <w:p>
            <w:pPr>
              <w:pStyle w:val="TableParagraph"/>
              <w:spacing w:line="261" w:lineRule="exact"/>
              <w:ind w:left="334" w:right="-15"/>
              <w:rPr>
                <w:sz w:val="21"/>
              </w:rPr>
            </w:pPr>
            <w:r>
              <w:rPr>
                <w:sz w:val="21"/>
              </w:rPr>
              <w:t>10.14</w:t>
            </w:r>
          </w:p>
        </w:tc>
        <w:tc>
          <w:tcPr>
            <w:tcW w:w="2676" w:type="dxa"/>
          </w:tcPr>
          <w:p>
            <w:pPr>
              <w:pStyle w:val="TableParagraph"/>
              <w:spacing w:line="261" w:lineRule="exact"/>
              <w:ind w:left="0" w:right="48"/>
              <w:jc w:val="right"/>
              <w:rPr>
                <w:sz w:val="21"/>
              </w:rPr>
            </w:pPr>
            <w:r>
              <w:rPr>
                <w:sz w:val="21"/>
              </w:rPr>
              <w:t>先天性畸形、变形或染色体</w:t>
            </w:r>
          </w:p>
        </w:tc>
      </w:tr>
      <w:tr>
        <w:trPr>
          <w:trHeight w:val="312" w:hRule="atLeast"/>
        </w:trPr>
        <w:tc>
          <w:tcPr>
            <w:tcW w:w="2578" w:type="dxa"/>
          </w:tcPr>
          <w:p>
            <w:pPr>
              <w:pStyle w:val="TableParagraph"/>
              <w:spacing w:line="261" w:lineRule="exact"/>
              <w:ind w:left="156"/>
              <w:rPr>
                <w:sz w:val="21"/>
              </w:rPr>
            </w:pPr>
            <w:r>
              <w:rPr>
                <w:sz w:val="21"/>
              </w:rPr>
              <w:t>2.4 责任免除</w:t>
            </w:r>
          </w:p>
        </w:tc>
        <w:tc>
          <w:tcPr>
            <w:tcW w:w="3482" w:type="dxa"/>
          </w:tcPr>
          <w:p>
            <w:pPr>
              <w:pStyle w:val="TableParagraph"/>
              <w:spacing w:line="261" w:lineRule="exact"/>
              <w:ind w:left="415"/>
              <w:rPr>
                <w:sz w:val="21"/>
              </w:rPr>
            </w:pPr>
            <w:r>
              <w:rPr>
                <w:sz w:val="21"/>
              </w:rPr>
              <w:t>8.2 适用主合同条款</w:t>
            </w:r>
          </w:p>
        </w:tc>
        <w:tc>
          <w:tcPr>
            <w:tcW w:w="861" w:type="dxa"/>
          </w:tcPr>
          <w:p>
            <w:pPr>
              <w:pStyle w:val="TableParagraph"/>
              <w:ind w:left="0"/>
              <w:rPr>
                <w:rFonts w:ascii="Times New Roman"/>
                <w:sz w:val="20"/>
              </w:rPr>
            </w:pPr>
          </w:p>
        </w:tc>
        <w:tc>
          <w:tcPr>
            <w:tcW w:w="2676" w:type="dxa"/>
          </w:tcPr>
          <w:p>
            <w:pPr>
              <w:pStyle w:val="TableParagraph"/>
              <w:spacing w:line="261" w:lineRule="exact"/>
              <w:ind w:left="102"/>
              <w:rPr>
                <w:sz w:val="21"/>
              </w:rPr>
            </w:pPr>
            <w:r>
              <w:rPr>
                <w:sz w:val="21"/>
              </w:rPr>
              <w:t>异常</w:t>
            </w:r>
          </w:p>
        </w:tc>
      </w:tr>
      <w:tr>
        <w:trPr>
          <w:trHeight w:val="312" w:hRule="atLeast"/>
        </w:trPr>
        <w:tc>
          <w:tcPr>
            <w:tcW w:w="2578" w:type="dxa"/>
          </w:tcPr>
          <w:p>
            <w:pPr>
              <w:pStyle w:val="TableParagraph"/>
              <w:spacing w:line="261" w:lineRule="exact"/>
              <w:ind w:left="50"/>
              <w:rPr>
                <w:b/>
                <w:sz w:val="21"/>
              </w:rPr>
            </w:pPr>
            <w:r>
              <w:rPr>
                <w:b/>
                <w:sz w:val="21"/>
              </w:rPr>
              <w:t>3. 豁免保险费的申请</w:t>
            </w:r>
          </w:p>
        </w:tc>
        <w:tc>
          <w:tcPr>
            <w:tcW w:w="3482" w:type="dxa"/>
          </w:tcPr>
          <w:p>
            <w:pPr>
              <w:pStyle w:val="TableParagraph"/>
              <w:spacing w:line="261" w:lineRule="exact"/>
              <w:ind w:left="309"/>
              <w:rPr>
                <w:b/>
                <w:sz w:val="21"/>
              </w:rPr>
            </w:pPr>
            <w:r>
              <w:rPr>
                <w:b/>
                <w:sz w:val="21"/>
              </w:rPr>
              <w:t>9. 重大疾病定义</w:t>
            </w:r>
          </w:p>
        </w:tc>
        <w:tc>
          <w:tcPr>
            <w:tcW w:w="861" w:type="dxa"/>
          </w:tcPr>
          <w:p>
            <w:pPr>
              <w:pStyle w:val="TableParagraph"/>
              <w:spacing w:line="261" w:lineRule="exact"/>
              <w:ind w:left="334" w:right="-15"/>
              <w:rPr>
                <w:sz w:val="21"/>
              </w:rPr>
            </w:pPr>
            <w:r>
              <w:rPr>
                <w:sz w:val="21"/>
              </w:rPr>
              <w:t>10.15</w:t>
            </w:r>
          </w:p>
        </w:tc>
        <w:tc>
          <w:tcPr>
            <w:tcW w:w="2676" w:type="dxa"/>
          </w:tcPr>
          <w:p>
            <w:pPr>
              <w:pStyle w:val="TableParagraph"/>
              <w:spacing w:line="261" w:lineRule="exact"/>
              <w:ind w:left="104"/>
              <w:rPr>
                <w:sz w:val="21"/>
              </w:rPr>
            </w:pPr>
            <w:r>
              <w:rPr>
                <w:sz w:val="21"/>
              </w:rPr>
              <w:t>现金价值</w:t>
            </w:r>
          </w:p>
        </w:tc>
      </w:tr>
      <w:tr>
        <w:trPr>
          <w:trHeight w:val="312" w:hRule="atLeast"/>
        </w:trPr>
        <w:tc>
          <w:tcPr>
            <w:tcW w:w="2578" w:type="dxa"/>
          </w:tcPr>
          <w:p>
            <w:pPr>
              <w:pStyle w:val="TableParagraph"/>
              <w:spacing w:line="262" w:lineRule="exact"/>
              <w:ind w:left="156"/>
              <w:rPr>
                <w:sz w:val="21"/>
              </w:rPr>
            </w:pPr>
            <w:r>
              <w:rPr>
                <w:sz w:val="21"/>
              </w:rPr>
              <w:t>3.1 保险事故通知</w:t>
            </w:r>
          </w:p>
        </w:tc>
        <w:tc>
          <w:tcPr>
            <w:tcW w:w="3482" w:type="dxa"/>
          </w:tcPr>
          <w:p>
            <w:pPr>
              <w:pStyle w:val="TableParagraph"/>
              <w:spacing w:line="262" w:lineRule="exact"/>
              <w:ind w:left="309"/>
              <w:rPr>
                <w:b/>
                <w:sz w:val="21"/>
              </w:rPr>
            </w:pPr>
            <w:r>
              <w:rPr>
                <w:b/>
                <w:sz w:val="21"/>
              </w:rPr>
              <w:t>10. 释义</w:t>
            </w:r>
          </w:p>
        </w:tc>
        <w:tc>
          <w:tcPr>
            <w:tcW w:w="861" w:type="dxa"/>
          </w:tcPr>
          <w:p>
            <w:pPr>
              <w:pStyle w:val="TableParagraph"/>
              <w:spacing w:line="262" w:lineRule="exact"/>
              <w:ind w:left="334" w:right="-15"/>
              <w:rPr>
                <w:sz w:val="21"/>
              </w:rPr>
            </w:pPr>
            <w:r>
              <w:rPr>
                <w:sz w:val="21"/>
              </w:rPr>
              <w:t>10.16</w:t>
            </w:r>
          </w:p>
        </w:tc>
        <w:tc>
          <w:tcPr>
            <w:tcW w:w="2676" w:type="dxa"/>
          </w:tcPr>
          <w:p>
            <w:pPr>
              <w:pStyle w:val="TableParagraph"/>
              <w:spacing w:line="262" w:lineRule="exact"/>
              <w:ind w:left="104"/>
              <w:rPr>
                <w:sz w:val="21"/>
              </w:rPr>
            </w:pPr>
            <w:r>
              <w:rPr>
                <w:sz w:val="21"/>
              </w:rPr>
              <w:t>专科医生</w:t>
            </w:r>
          </w:p>
        </w:tc>
      </w:tr>
      <w:tr>
        <w:trPr>
          <w:trHeight w:val="311" w:hRule="atLeast"/>
        </w:trPr>
        <w:tc>
          <w:tcPr>
            <w:tcW w:w="2578" w:type="dxa"/>
          </w:tcPr>
          <w:p>
            <w:pPr>
              <w:pStyle w:val="TableParagraph"/>
              <w:spacing w:line="261" w:lineRule="exact"/>
              <w:ind w:left="156"/>
              <w:rPr>
                <w:sz w:val="21"/>
              </w:rPr>
            </w:pPr>
            <w:r>
              <w:rPr>
                <w:sz w:val="21"/>
              </w:rPr>
              <w:t>3.2 豁免保险费申请</w:t>
            </w:r>
          </w:p>
        </w:tc>
        <w:tc>
          <w:tcPr>
            <w:tcW w:w="3482" w:type="dxa"/>
          </w:tcPr>
          <w:p>
            <w:pPr>
              <w:pStyle w:val="TableParagraph"/>
              <w:spacing w:line="261" w:lineRule="exact"/>
              <w:ind w:left="415"/>
              <w:rPr>
                <w:sz w:val="21"/>
              </w:rPr>
            </w:pPr>
            <w:r>
              <w:rPr>
                <w:sz w:val="21"/>
              </w:rPr>
              <w:t>10.1 保单年度</w:t>
            </w:r>
          </w:p>
        </w:tc>
        <w:tc>
          <w:tcPr>
            <w:tcW w:w="861" w:type="dxa"/>
          </w:tcPr>
          <w:p>
            <w:pPr>
              <w:pStyle w:val="TableParagraph"/>
              <w:spacing w:line="261" w:lineRule="exact"/>
              <w:ind w:left="334" w:right="-15"/>
              <w:rPr>
                <w:sz w:val="21"/>
              </w:rPr>
            </w:pPr>
            <w:r>
              <w:rPr>
                <w:sz w:val="21"/>
              </w:rPr>
              <w:t>10.17</w:t>
            </w:r>
          </w:p>
        </w:tc>
        <w:tc>
          <w:tcPr>
            <w:tcW w:w="2676" w:type="dxa"/>
          </w:tcPr>
          <w:p>
            <w:pPr>
              <w:pStyle w:val="TableParagraph"/>
              <w:spacing w:line="261" w:lineRule="exact"/>
              <w:ind w:left="104"/>
              <w:rPr>
                <w:sz w:val="21"/>
              </w:rPr>
            </w:pPr>
            <w:r>
              <w:rPr>
                <w:sz w:val="21"/>
              </w:rPr>
              <w:t>肢体机能完全丧失</w:t>
            </w:r>
          </w:p>
        </w:tc>
      </w:tr>
      <w:tr>
        <w:trPr>
          <w:trHeight w:val="312" w:hRule="atLeast"/>
        </w:trPr>
        <w:tc>
          <w:tcPr>
            <w:tcW w:w="2578" w:type="dxa"/>
          </w:tcPr>
          <w:p>
            <w:pPr>
              <w:pStyle w:val="TableParagraph"/>
              <w:spacing w:line="261" w:lineRule="exact"/>
              <w:ind w:left="156"/>
              <w:rPr>
                <w:sz w:val="21"/>
              </w:rPr>
            </w:pPr>
            <w:r>
              <w:rPr>
                <w:sz w:val="21"/>
              </w:rPr>
              <w:t>3.3 诉讼时效</w:t>
            </w:r>
          </w:p>
        </w:tc>
        <w:tc>
          <w:tcPr>
            <w:tcW w:w="3482" w:type="dxa"/>
          </w:tcPr>
          <w:p>
            <w:pPr>
              <w:pStyle w:val="TableParagraph"/>
              <w:spacing w:line="261" w:lineRule="exact"/>
              <w:ind w:left="415"/>
              <w:rPr>
                <w:sz w:val="21"/>
              </w:rPr>
            </w:pPr>
            <w:r>
              <w:rPr>
                <w:sz w:val="21"/>
              </w:rPr>
              <w:t>10.2 保险费约定交纳日</w:t>
            </w:r>
          </w:p>
        </w:tc>
        <w:tc>
          <w:tcPr>
            <w:tcW w:w="861" w:type="dxa"/>
          </w:tcPr>
          <w:p>
            <w:pPr>
              <w:pStyle w:val="TableParagraph"/>
              <w:spacing w:line="261" w:lineRule="exact"/>
              <w:ind w:left="334" w:right="-15"/>
              <w:rPr>
                <w:sz w:val="21"/>
              </w:rPr>
            </w:pPr>
            <w:r>
              <w:rPr>
                <w:sz w:val="21"/>
              </w:rPr>
              <w:t>10.18</w:t>
            </w:r>
          </w:p>
        </w:tc>
        <w:tc>
          <w:tcPr>
            <w:tcW w:w="2676" w:type="dxa"/>
          </w:tcPr>
          <w:p>
            <w:pPr>
              <w:pStyle w:val="TableParagraph"/>
              <w:spacing w:line="261" w:lineRule="exact"/>
              <w:ind w:left="0" w:right="48"/>
              <w:jc w:val="right"/>
              <w:rPr>
                <w:sz w:val="21"/>
              </w:rPr>
            </w:pPr>
            <w:r>
              <w:rPr>
                <w:sz w:val="21"/>
              </w:rPr>
              <w:t>语言能力或咀嚼吞咽能力完</w:t>
            </w:r>
          </w:p>
        </w:tc>
      </w:tr>
      <w:tr>
        <w:trPr>
          <w:trHeight w:val="311" w:hRule="atLeast"/>
        </w:trPr>
        <w:tc>
          <w:tcPr>
            <w:tcW w:w="2578" w:type="dxa"/>
          </w:tcPr>
          <w:p>
            <w:pPr>
              <w:pStyle w:val="TableParagraph"/>
              <w:spacing w:line="261" w:lineRule="exact"/>
              <w:ind w:left="50"/>
              <w:rPr>
                <w:b/>
                <w:sz w:val="21"/>
              </w:rPr>
            </w:pPr>
            <w:r>
              <w:rPr>
                <w:b/>
                <w:sz w:val="21"/>
              </w:rPr>
              <w:t>4. 保险费的交纳</w:t>
            </w:r>
          </w:p>
        </w:tc>
        <w:tc>
          <w:tcPr>
            <w:tcW w:w="3482" w:type="dxa"/>
          </w:tcPr>
          <w:p>
            <w:pPr>
              <w:pStyle w:val="TableParagraph"/>
              <w:spacing w:line="261" w:lineRule="exact"/>
              <w:ind w:left="415"/>
              <w:rPr>
                <w:sz w:val="21"/>
              </w:rPr>
            </w:pPr>
            <w:r>
              <w:rPr>
                <w:sz w:val="21"/>
              </w:rPr>
              <w:t>10.3 周岁</w:t>
            </w:r>
          </w:p>
        </w:tc>
        <w:tc>
          <w:tcPr>
            <w:tcW w:w="861" w:type="dxa"/>
          </w:tcPr>
          <w:p>
            <w:pPr>
              <w:pStyle w:val="TableParagraph"/>
              <w:ind w:left="0"/>
              <w:rPr>
                <w:rFonts w:ascii="Times New Roman"/>
                <w:sz w:val="20"/>
              </w:rPr>
            </w:pPr>
          </w:p>
        </w:tc>
        <w:tc>
          <w:tcPr>
            <w:tcW w:w="2676" w:type="dxa"/>
          </w:tcPr>
          <w:p>
            <w:pPr>
              <w:pStyle w:val="TableParagraph"/>
              <w:spacing w:line="261" w:lineRule="exact"/>
              <w:ind w:left="102"/>
              <w:rPr>
                <w:sz w:val="21"/>
              </w:rPr>
            </w:pPr>
            <w:r>
              <w:rPr>
                <w:sz w:val="21"/>
              </w:rPr>
              <w:t>全丧失</w:t>
            </w:r>
          </w:p>
        </w:tc>
      </w:tr>
      <w:tr>
        <w:trPr>
          <w:trHeight w:val="311" w:hRule="atLeast"/>
        </w:trPr>
        <w:tc>
          <w:tcPr>
            <w:tcW w:w="2578" w:type="dxa"/>
          </w:tcPr>
          <w:p>
            <w:pPr>
              <w:pStyle w:val="TableParagraph"/>
              <w:spacing w:line="261" w:lineRule="exact"/>
              <w:ind w:left="156"/>
              <w:rPr>
                <w:sz w:val="21"/>
              </w:rPr>
            </w:pPr>
            <w:r>
              <w:rPr>
                <w:sz w:val="21"/>
              </w:rPr>
              <w:t>4.1 保险费的交纳</w:t>
            </w:r>
          </w:p>
        </w:tc>
        <w:tc>
          <w:tcPr>
            <w:tcW w:w="3482" w:type="dxa"/>
          </w:tcPr>
          <w:p>
            <w:pPr>
              <w:pStyle w:val="TableParagraph"/>
              <w:spacing w:line="261" w:lineRule="exact"/>
              <w:ind w:left="415"/>
              <w:rPr>
                <w:sz w:val="21"/>
              </w:rPr>
            </w:pPr>
            <w:r>
              <w:rPr>
                <w:sz w:val="21"/>
              </w:rPr>
              <w:t>10.4 有效身份证件</w:t>
            </w:r>
          </w:p>
        </w:tc>
        <w:tc>
          <w:tcPr>
            <w:tcW w:w="861" w:type="dxa"/>
          </w:tcPr>
          <w:p>
            <w:pPr>
              <w:pStyle w:val="TableParagraph"/>
              <w:spacing w:line="261" w:lineRule="exact"/>
              <w:ind w:left="334" w:right="-15"/>
              <w:rPr>
                <w:sz w:val="21"/>
              </w:rPr>
            </w:pPr>
            <w:r>
              <w:rPr>
                <w:sz w:val="21"/>
              </w:rPr>
              <w:t>10.19</w:t>
            </w:r>
          </w:p>
        </w:tc>
        <w:tc>
          <w:tcPr>
            <w:tcW w:w="2676" w:type="dxa"/>
          </w:tcPr>
          <w:p>
            <w:pPr>
              <w:pStyle w:val="TableParagraph"/>
              <w:spacing w:line="261" w:lineRule="exact"/>
              <w:ind w:left="104"/>
              <w:rPr>
                <w:sz w:val="21"/>
              </w:rPr>
            </w:pPr>
            <w:r>
              <w:rPr>
                <w:sz w:val="21"/>
              </w:rPr>
              <w:t>六项基本日常生活活动</w:t>
            </w:r>
          </w:p>
        </w:tc>
      </w:tr>
      <w:tr>
        <w:trPr>
          <w:trHeight w:val="315" w:hRule="atLeast"/>
        </w:trPr>
        <w:tc>
          <w:tcPr>
            <w:tcW w:w="2578" w:type="dxa"/>
          </w:tcPr>
          <w:p>
            <w:pPr>
              <w:pStyle w:val="TableParagraph"/>
              <w:spacing w:line="261" w:lineRule="exact"/>
              <w:ind w:left="156"/>
              <w:rPr>
                <w:sz w:val="21"/>
              </w:rPr>
            </w:pPr>
            <w:r>
              <w:rPr>
                <w:sz w:val="21"/>
              </w:rPr>
              <w:t>4.2 宽限期</w:t>
            </w:r>
          </w:p>
        </w:tc>
        <w:tc>
          <w:tcPr>
            <w:tcW w:w="3482" w:type="dxa"/>
          </w:tcPr>
          <w:p>
            <w:pPr>
              <w:pStyle w:val="TableParagraph"/>
              <w:spacing w:line="261" w:lineRule="exact"/>
              <w:ind w:left="415"/>
              <w:rPr>
                <w:sz w:val="21"/>
              </w:rPr>
            </w:pPr>
            <w:r>
              <w:rPr>
                <w:sz w:val="21"/>
              </w:rPr>
              <w:t>10.5 意外伤害</w:t>
            </w:r>
          </w:p>
        </w:tc>
        <w:tc>
          <w:tcPr>
            <w:tcW w:w="861" w:type="dxa"/>
          </w:tcPr>
          <w:p>
            <w:pPr>
              <w:pStyle w:val="TableParagraph"/>
              <w:spacing w:line="261" w:lineRule="exact"/>
              <w:ind w:left="334" w:right="-15"/>
              <w:rPr>
                <w:sz w:val="21"/>
              </w:rPr>
            </w:pPr>
            <w:r>
              <w:rPr>
                <w:sz w:val="21"/>
              </w:rPr>
              <w:t>10.20</w:t>
            </w:r>
          </w:p>
        </w:tc>
        <w:tc>
          <w:tcPr>
            <w:tcW w:w="2676" w:type="dxa"/>
          </w:tcPr>
          <w:p>
            <w:pPr>
              <w:pStyle w:val="TableParagraph"/>
              <w:spacing w:line="261" w:lineRule="exact"/>
              <w:ind w:left="104"/>
              <w:rPr>
                <w:sz w:val="21"/>
              </w:rPr>
            </w:pPr>
            <w:r>
              <w:rPr>
                <w:sz w:val="21"/>
              </w:rPr>
              <w:t>永久不可逆</w:t>
            </w:r>
          </w:p>
        </w:tc>
      </w:tr>
    </w:tbl>
    <w:p>
      <w:pPr>
        <w:spacing w:after="0" w:line="261" w:lineRule="exact"/>
        <w:rPr>
          <w:sz w:val="21"/>
        </w:rPr>
        <w:sectPr>
          <w:type w:val="continuous"/>
          <w:pgSz w:w="11910" w:h="16840"/>
          <w:pgMar w:top="840" w:bottom="280" w:left="920" w:right="260"/>
        </w:sectPr>
      </w:pPr>
    </w:p>
    <w:p>
      <w:pPr>
        <w:pStyle w:val="Heading1"/>
        <w:spacing w:line="478" w:lineRule="exact"/>
        <w:ind w:left="3110"/>
      </w:pPr>
      <w:r>
        <w:rPr/>
        <w:t>泰康人寿保险股份有限公司</w:t>
      </w:r>
    </w:p>
    <w:p>
      <w:pPr>
        <w:spacing w:before="71"/>
        <w:ind w:left="1950" w:right="0" w:firstLine="0"/>
        <w:jc w:val="left"/>
        <w:rPr>
          <w:rFonts w:ascii="微软雅黑" w:eastAsia="微软雅黑" w:hint="eastAsia"/>
          <w:b/>
          <w:sz w:val="32"/>
        </w:rPr>
      </w:pPr>
      <w:r>
        <w:rPr>
          <w:rFonts w:ascii="微软雅黑" w:eastAsia="微软雅黑" w:hint="eastAsia"/>
          <w:b/>
          <w:sz w:val="32"/>
        </w:rPr>
        <w:t>泰康附加豁免保险费 B 款重大疾病保险条款</w:t>
      </w:r>
    </w:p>
    <w:p>
      <w:pPr>
        <w:pStyle w:val="BodyText"/>
        <w:spacing w:before="107"/>
        <w:ind w:left="2747"/>
      </w:pPr>
      <w:r>
        <w:rPr/>
        <w:t>（2009 年 11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0"/>
        </w:rPr>
        <w:t>的分公司，“本附加合同”指您与我们之间订立的“泰康附加豁免保险费 </w:t>
      </w:r>
      <w:r>
        <w:rPr/>
        <w:t>B</w:t>
      </w:r>
      <w:r>
        <w:rPr>
          <w:spacing w:val="-6"/>
        </w:rPr>
        <w:t> 款重大疾病保险合同”，“被</w:t>
      </w:r>
      <w:r>
        <w:rPr>
          <w:spacing w:val="-8"/>
        </w:rPr>
        <w:t>保险人”指本附加合同的被保险人，本附加合同的投保人和被保险人，及本附加合同所豁免保险费的保险</w:t>
      </w:r>
      <w:r>
        <w:rPr>
          <w:spacing w:val="-5"/>
        </w:rPr>
        <w:t>合同的投保人为同一人，其姓名在保险单上载明。</w:t>
      </w:r>
    </w:p>
    <w:p>
      <w:pPr>
        <w:pStyle w:val="BodyText"/>
        <w:rPr>
          <w:sz w:val="1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z w:val="21"/>
              </w:rPr>
              <w:t>本附加合同由主保险合同（以下简称“主合同”）的投保人申请，经我们同意， 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4" w:type="dxa"/>
          </w:tcPr>
          <w:p>
            <w:pPr>
              <w:pStyle w:val="TableParagraph"/>
              <w:spacing w:line="273"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73"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38" w:hRule="atLeast"/>
        </w:trPr>
        <w:tc>
          <w:tcPr>
            <w:tcW w:w="664" w:type="dxa"/>
          </w:tcPr>
          <w:p>
            <w:pPr>
              <w:pStyle w:val="TableParagraph"/>
              <w:spacing w:before="123"/>
              <w:ind w:left="107"/>
              <w:rPr>
                <w:b/>
                <w:sz w:val="21"/>
              </w:rPr>
            </w:pPr>
            <w:r>
              <w:rPr>
                <w:b/>
                <w:sz w:val="21"/>
              </w:rPr>
              <w:t>1.4</w:t>
            </w:r>
          </w:p>
        </w:tc>
        <w:tc>
          <w:tcPr>
            <w:tcW w:w="1638" w:type="dxa"/>
          </w:tcPr>
          <w:p>
            <w:pPr>
              <w:pStyle w:val="TableParagraph"/>
              <w:spacing w:before="123"/>
              <w:ind w:left="238"/>
              <w:rPr>
                <w:b/>
                <w:sz w:val="21"/>
              </w:rPr>
            </w:pPr>
            <w:r>
              <w:rPr>
                <w:b/>
                <w:sz w:val="21"/>
              </w:rPr>
              <w:t>犹豫期</w:t>
            </w:r>
          </w:p>
        </w:tc>
        <w:tc>
          <w:tcPr>
            <w:tcW w:w="7624" w:type="dxa"/>
          </w:tcPr>
          <w:p>
            <w:pPr>
              <w:pStyle w:val="TableParagraph"/>
              <w:spacing w:line="271" w:lineRule="auto" w:before="123"/>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3" w:lineRule="auto" w:before="88"/>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的保险事故，我们不承担保险责任。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2"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2335"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等待期</w:t>
            </w:r>
          </w:p>
        </w:tc>
        <w:tc>
          <w:tcPr>
            <w:tcW w:w="7624" w:type="dxa"/>
          </w:tcPr>
          <w:p>
            <w:pPr>
              <w:pStyle w:val="TableParagraph"/>
              <w:spacing w:line="273" w:lineRule="auto" w:before="111"/>
              <w:ind w:right="101"/>
              <w:jc w:val="both"/>
              <w:rPr>
                <w:rFonts w:ascii="黑体" w:eastAsia="黑体" w:hint="eastAsia"/>
                <w:sz w:val="21"/>
              </w:rPr>
            </w:pPr>
            <w:r>
              <w:rPr>
                <w:rFonts w:ascii="黑体" w:eastAsia="黑体" w:hint="eastAsia"/>
                <w:spacing w:val="-3"/>
                <w:sz w:val="21"/>
              </w:rPr>
              <w:t>被保险人于本附加合同</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z w:val="21"/>
              </w:rPr>
              <w:t>）</w:t>
            </w:r>
            <w:r>
              <w:rPr>
                <w:rFonts w:ascii="黑体" w:eastAsia="黑体" w:hint="eastAsia"/>
                <w:spacing w:val="-13"/>
                <w:sz w:val="21"/>
              </w:rPr>
              <w:t>之日起 </w:t>
            </w:r>
            <w:r>
              <w:rPr>
                <w:rFonts w:ascii="黑体" w:eastAsia="黑体" w:hint="eastAsia"/>
                <w:sz w:val="21"/>
              </w:rPr>
              <w:t>180 </w:t>
            </w:r>
            <w:r>
              <w:rPr>
                <w:rFonts w:ascii="黑体" w:eastAsia="黑体" w:hint="eastAsia"/>
                <w:spacing w:val="-1"/>
                <w:sz w:val="21"/>
              </w:rPr>
              <w:t>日内,非因</w:t>
            </w:r>
            <w:r>
              <w:rPr>
                <w:rFonts w:ascii="黑体" w:eastAsia="黑体" w:hint="eastAsia"/>
                <w:b/>
                <w:sz w:val="21"/>
              </w:rPr>
              <w:t>意外伤害</w:t>
            </w:r>
            <w:r>
              <w:rPr>
                <w:rFonts w:ascii="黑体" w:eastAsia="黑体" w:hint="eastAsia"/>
                <w:spacing w:val="-3"/>
                <w:sz w:val="21"/>
              </w:rPr>
              <w:t>（</w:t>
            </w:r>
            <w:r>
              <w:rPr>
                <w:rFonts w:ascii="黑体" w:eastAsia="黑体" w:hint="eastAsia"/>
                <w:spacing w:val="-23"/>
                <w:sz w:val="21"/>
              </w:rPr>
              <w:t>见 </w:t>
            </w:r>
            <w:r>
              <w:rPr>
                <w:rFonts w:ascii="黑体" w:eastAsia="黑体" w:hint="eastAsia"/>
                <w:sz w:val="21"/>
              </w:rPr>
              <w:t>10.5）</w:t>
            </w:r>
            <w:r>
              <w:rPr>
                <w:rFonts w:ascii="黑体" w:eastAsia="黑体" w:hint="eastAsia"/>
                <w:spacing w:val="-3"/>
                <w:sz w:val="21"/>
              </w:rPr>
              <w:t>导致身故或经</w:t>
            </w:r>
            <w:r>
              <w:rPr>
                <w:rFonts w:ascii="黑体" w:eastAsia="黑体" w:hint="eastAsia"/>
                <w:b/>
                <w:sz w:val="21"/>
              </w:rPr>
              <w:t>医院</w:t>
            </w:r>
            <w:r>
              <w:rPr>
                <w:rFonts w:ascii="黑体" w:eastAsia="黑体" w:hint="eastAsia"/>
                <w:spacing w:val="-17"/>
                <w:sz w:val="21"/>
              </w:rPr>
              <w:t>(见 </w:t>
            </w:r>
            <w:r>
              <w:rPr>
                <w:rFonts w:ascii="黑体" w:eastAsia="黑体" w:hint="eastAsia"/>
                <w:sz w:val="21"/>
              </w:rPr>
              <w:t>10.6)</w:t>
            </w:r>
            <w:r>
              <w:rPr>
                <w:rFonts w:ascii="黑体" w:eastAsia="黑体" w:hint="eastAsia"/>
                <w:spacing w:val="-3"/>
                <w:sz w:val="21"/>
              </w:rPr>
              <w:t>初次确诊罹患本附加</w:t>
            </w:r>
            <w:r>
              <w:rPr>
                <w:rFonts w:ascii="黑体" w:eastAsia="黑体" w:hint="eastAsia"/>
                <w:spacing w:val="-7"/>
                <w:sz w:val="21"/>
              </w:rPr>
              <w:t>合同所定义的重大疾病</w:t>
            </w:r>
            <w:r>
              <w:rPr>
                <w:rFonts w:ascii="黑体" w:eastAsia="黑体" w:hint="eastAsia"/>
                <w:spacing w:val="-3"/>
                <w:sz w:val="21"/>
              </w:rPr>
              <w:t>（无论一种或多种</w:t>
            </w:r>
            <w:r>
              <w:rPr>
                <w:rFonts w:ascii="黑体" w:eastAsia="黑体" w:hint="eastAsia"/>
                <w:spacing w:val="-73"/>
                <w:sz w:val="21"/>
              </w:rPr>
              <w:t>）</w:t>
            </w:r>
            <w:r>
              <w:rPr>
                <w:rFonts w:ascii="黑体" w:eastAsia="黑体" w:hint="eastAsia"/>
                <w:spacing w:val="-11"/>
                <w:sz w:val="21"/>
              </w:rPr>
              <w:t>，我们不承担本附加合同约定的保险责</w:t>
            </w:r>
            <w:r>
              <w:rPr>
                <w:rFonts w:ascii="黑体" w:eastAsia="黑体" w:hint="eastAsia"/>
                <w:spacing w:val="-13"/>
                <w:sz w:val="21"/>
              </w:rPr>
              <w:t>任，并将向您无息退还您已交纳的本附加合同的保险费，本附加合同终止。这 </w:t>
            </w:r>
            <w:r>
              <w:rPr>
                <w:rFonts w:ascii="黑体" w:eastAsia="黑体" w:hint="eastAsia"/>
                <w:sz w:val="21"/>
              </w:rPr>
              <w:t>180 </w:t>
            </w:r>
            <w:r>
              <w:rPr>
                <w:rFonts w:ascii="黑体" w:eastAsia="黑体" w:hint="eastAsia"/>
                <w:spacing w:val="-3"/>
                <w:sz w:val="21"/>
              </w:rPr>
              <w:t>日称为保险责任等待期。</w:t>
            </w:r>
          </w:p>
          <w:p>
            <w:pPr>
              <w:pStyle w:val="TableParagraph"/>
              <w:spacing w:line="310" w:lineRule="atLeast" w:before="51"/>
              <w:ind w:right="132"/>
              <w:jc w:val="both"/>
              <w:rPr>
                <w:rFonts w:ascii="黑体" w:eastAsia="黑体" w:hint="eastAsia"/>
                <w:sz w:val="21"/>
              </w:rPr>
            </w:pPr>
            <w:r>
              <w:rPr>
                <w:rFonts w:ascii="黑体" w:eastAsia="黑体" w:hint="eastAsia"/>
                <w:spacing w:val="-3"/>
                <w:sz w:val="21"/>
              </w:rPr>
              <w:t>被保险人因意外伤害导致身故或罹患本附加合同所定义的重大疾病</w:t>
            </w:r>
            <w:r>
              <w:rPr>
                <w:rFonts w:ascii="黑体" w:eastAsia="黑体" w:hint="eastAsia"/>
                <w:sz w:val="21"/>
              </w:rPr>
              <w:t>（</w:t>
            </w:r>
            <w:r>
              <w:rPr>
                <w:rFonts w:ascii="黑体" w:eastAsia="黑体" w:hint="eastAsia"/>
                <w:spacing w:val="-3"/>
                <w:sz w:val="21"/>
              </w:rPr>
              <w:t>无论一种或</w:t>
            </w:r>
            <w:r>
              <w:rPr>
                <w:rFonts w:ascii="黑体" w:eastAsia="黑体" w:hint="eastAsia"/>
                <w:spacing w:val="-3"/>
                <w:w w:val="100"/>
                <w:sz w:val="21"/>
              </w:rPr>
              <w:t>多种</w:t>
            </w:r>
            <w:r>
              <w:rPr>
                <w:rFonts w:ascii="黑体" w:eastAsia="黑体" w:hint="eastAsia"/>
                <w:spacing w:val="-108"/>
                <w:w w:val="100"/>
                <w:sz w:val="21"/>
              </w:rPr>
              <w:t>）</w:t>
            </w:r>
            <w:r>
              <w:rPr>
                <w:rFonts w:ascii="黑体" w:eastAsia="黑体" w:hint="eastAsia"/>
                <w:spacing w:val="-3"/>
                <w:w w:val="100"/>
                <w:sz w:val="21"/>
              </w:rPr>
              <w:t>，保险责任无等待期。</w:t>
            </w:r>
          </w:p>
        </w:tc>
      </w:tr>
    </w:tbl>
    <w:p>
      <w:pPr>
        <w:spacing w:after="0" w:line="310" w:lineRule="atLeast"/>
        <w:jc w:val="both"/>
        <w:rPr>
          <w:rFonts w:asci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8"/>
      </w:tblGrid>
      <w:tr>
        <w:trPr>
          <w:trHeight w:val="386" w:hRule="atLeast"/>
        </w:trPr>
        <w:tc>
          <w:tcPr>
            <w:tcW w:w="664" w:type="dxa"/>
          </w:tcPr>
          <w:p>
            <w:pPr>
              <w:pStyle w:val="TableParagraph"/>
              <w:spacing w:line="206" w:lineRule="exact"/>
              <w:ind w:left="107"/>
              <w:rPr>
                <w:b/>
                <w:sz w:val="21"/>
              </w:rPr>
            </w:pPr>
            <w:r>
              <w:rPr>
                <w:b/>
                <w:sz w:val="21"/>
              </w:rPr>
              <w:t>2.3</w:t>
            </w:r>
          </w:p>
        </w:tc>
        <w:tc>
          <w:tcPr>
            <w:tcW w:w="1635" w:type="dxa"/>
          </w:tcPr>
          <w:p>
            <w:pPr>
              <w:pStyle w:val="TableParagraph"/>
              <w:spacing w:line="206" w:lineRule="exact"/>
              <w:ind w:left="238"/>
              <w:rPr>
                <w:b/>
                <w:sz w:val="21"/>
              </w:rPr>
            </w:pPr>
            <w:r>
              <w:rPr>
                <w:b/>
                <w:sz w:val="21"/>
              </w:rPr>
              <w:t>保险责任</w:t>
            </w:r>
          </w:p>
        </w:tc>
        <w:tc>
          <w:tcPr>
            <w:tcW w:w="7628" w:type="dxa"/>
          </w:tcPr>
          <w:p>
            <w:pPr>
              <w:pStyle w:val="TableParagraph"/>
              <w:spacing w:line="206" w:lineRule="exact"/>
              <w:ind w:left="135"/>
              <w:rPr>
                <w:sz w:val="21"/>
              </w:rPr>
            </w:pPr>
            <w:r>
              <w:rPr>
                <w:sz w:val="21"/>
              </w:rPr>
              <w:t>在本附加合同保险期间内，我们承担下列保险责任：</w:t>
            </w:r>
          </w:p>
        </w:tc>
      </w:tr>
      <w:tr>
        <w:trPr>
          <w:trHeight w:val="2509" w:hRule="atLeast"/>
        </w:trPr>
        <w:tc>
          <w:tcPr>
            <w:tcW w:w="664" w:type="dxa"/>
          </w:tcPr>
          <w:p>
            <w:pPr>
              <w:pStyle w:val="TableParagraph"/>
              <w:ind w:left="0"/>
              <w:rPr>
                <w:rFonts w:ascii="Times New Roman"/>
                <w:sz w:val="20"/>
              </w:rPr>
            </w:pPr>
          </w:p>
        </w:tc>
        <w:tc>
          <w:tcPr>
            <w:tcW w:w="1635" w:type="dxa"/>
          </w:tcPr>
          <w:p>
            <w:pPr>
              <w:pStyle w:val="TableParagraph"/>
              <w:spacing w:line="204" w:lineRule="auto" w:before="95"/>
              <w:ind w:left="238" w:right="126"/>
              <w:rPr>
                <w:rFonts w:ascii="Microsoft JhengHei" w:eastAsia="Microsoft JhengHei" w:hint="eastAsia"/>
                <w:b/>
                <w:sz w:val="21"/>
              </w:rPr>
            </w:pPr>
            <w:r>
              <w:rPr>
                <w:rFonts w:ascii="Microsoft JhengHei" w:eastAsia="Microsoft JhengHei" w:hint="eastAsia"/>
                <w:b/>
                <w:sz w:val="21"/>
              </w:rPr>
              <w:t>重大疾病豁免保险费</w:t>
            </w:r>
          </w:p>
        </w:tc>
        <w:tc>
          <w:tcPr>
            <w:tcW w:w="7628" w:type="dxa"/>
          </w:tcPr>
          <w:p>
            <w:pPr>
              <w:pStyle w:val="TableParagraph"/>
              <w:spacing w:line="271" w:lineRule="auto" w:before="107"/>
              <w:ind w:left="135" w:right="102"/>
              <w:jc w:val="both"/>
              <w:rPr>
                <w:sz w:val="21"/>
              </w:rPr>
            </w:pPr>
            <w:r>
              <w:rPr>
                <w:spacing w:val="-3"/>
                <w:sz w:val="21"/>
              </w:rPr>
              <w:t>被保险人经医院初次确诊因意外伤害导致罹患本附加合同所定义的重大疾病</w:t>
            </w:r>
            <w:r>
              <w:rPr>
                <w:sz w:val="21"/>
              </w:rPr>
              <w:t>（无</w:t>
            </w:r>
            <w:r>
              <w:rPr>
                <w:spacing w:val="-2"/>
                <w:sz w:val="21"/>
              </w:rPr>
              <w:t>论一种或多种</w:t>
            </w:r>
            <w:r>
              <w:rPr>
                <w:spacing w:val="-92"/>
                <w:sz w:val="21"/>
              </w:rPr>
              <w:t>）</w:t>
            </w:r>
            <w:r>
              <w:rPr>
                <w:spacing w:val="-11"/>
                <w:sz w:val="21"/>
              </w:rPr>
              <w:t>，或在等待期后非因意外伤害导致罹患本附加合同所定义的重大疾</w:t>
            </w:r>
            <w:r>
              <w:rPr>
                <w:spacing w:val="-36"/>
                <w:sz w:val="21"/>
              </w:rPr>
              <w:t>病</w:t>
            </w:r>
            <w:r>
              <w:rPr>
                <w:spacing w:val="-3"/>
                <w:sz w:val="21"/>
              </w:rPr>
              <w:t>（无论一种或多种</w:t>
            </w:r>
            <w:r>
              <w:rPr>
                <w:spacing w:val="-72"/>
                <w:sz w:val="21"/>
              </w:rPr>
              <w:t>）</w:t>
            </w:r>
            <w:r>
              <w:rPr>
                <w:spacing w:val="-11"/>
                <w:sz w:val="21"/>
              </w:rPr>
              <w:t>，则自确诊日后首个被豁免合同的保险费约定交纳日开始至</w:t>
            </w:r>
            <w:r>
              <w:rPr>
                <w:spacing w:val="-5"/>
                <w:sz w:val="21"/>
              </w:rPr>
              <w:t>被豁免合同最后一次保险费约定交纳日止，我们豁免前述期间内您应交纳的被豁免合同的保险费。我们视豁免的保险费为您已交纳的保险费。被豁免合同继续有</w:t>
            </w:r>
            <w:r>
              <w:rPr>
                <w:spacing w:val="-4"/>
                <w:sz w:val="21"/>
              </w:rPr>
              <w:t>效，本附加合同终止。</w:t>
            </w:r>
          </w:p>
          <w:p>
            <w:pPr>
              <w:pStyle w:val="TableParagraph"/>
              <w:spacing w:before="89"/>
              <w:ind w:left="135"/>
              <w:jc w:val="both"/>
              <w:rPr>
                <w:rFonts w:ascii="黑体" w:hAnsi="黑体" w:eastAsia="黑体" w:hint="eastAsia"/>
                <w:sz w:val="21"/>
              </w:rPr>
            </w:pPr>
            <w:r>
              <w:rPr>
                <w:rFonts w:ascii="黑体" w:hAnsi="黑体" w:eastAsia="黑体" w:hint="eastAsia"/>
                <w:sz w:val="21"/>
              </w:rPr>
              <w:t>本附加合同所定义的重大疾病见“9.重大疾病定义”。</w:t>
            </w:r>
          </w:p>
        </w:tc>
      </w:tr>
      <w:tr>
        <w:trPr>
          <w:trHeight w:val="1496" w:hRule="atLeast"/>
        </w:trPr>
        <w:tc>
          <w:tcPr>
            <w:tcW w:w="664" w:type="dxa"/>
          </w:tcPr>
          <w:p>
            <w:pPr>
              <w:pStyle w:val="TableParagraph"/>
              <w:ind w:left="0"/>
              <w:rPr>
                <w:rFonts w:ascii="Times New Roman"/>
                <w:sz w:val="20"/>
              </w:rPr>
            </w:pPr>
          </w:p>
        </w:tc>
        <w:tc>
          <w:tcPr>
            <w:tcW w:w="1635" w:type="dxa"/>
          </w:tcPr>
          <w:p>
            <w:pPr>
              <w:pStyle w:val="TableParagraph"/>
              <w:spacing w:line="204" w:lineRule="auto" w:before="93"/>
              <w:ind w:left="238" w:right="126"/>
              <w:rPr>
                <w:rFonts w:ascii="Microsoft JhengHei" w:eastAsia="Microsoft JhengHei" w:hint="eastAsia"/>
                <w:b/>
                <w:sz w:val="21"/>
              </w:rPr>
            </w:pPr>
            <w:r>
              <w:rPr>
                <w:rFonts w:ascii="Microsoft JhengHei" w:eastAsia="Microsoft JhengHei" w:hint="eastAsia"/>
                <w:b/>
                <w:sz w:val="21"/>
              </w:rPr>
              <w:t>身故豁免保险费</w:t>
            </w:r>
          </w:p>
        </w:tc>
        <w:tc>
          <w:tcPr>
            <w:tcW w:w="7628" w:type="dxa"/>
          </w:tcPr>
          <w:p>
            <w:pPr>
              <w:pStyle w:val="TableParagraph"/>
              <w:spacing w:line="273" w:lineRule="auto" w:before="105"/>
              <w:ind w:left="135" w:right="133"/>
              <w:jc w:val="both"/>
              <w:rPr>
                <w:sz w:val="21"/>
              </w:rPr>
            </w:pPr>
            <w:r>
              <w:rPr>
                <w:sz w:val="21"/>
              </w:rPr>
              <w:t>被保险人因意外伤害导致身故，或在等待期后非因意外伤害导致身故，则自被保险人身故后首个被豁免合同的保险费约定交纳日开始至被豁免合同最后一次保险费约定交纳日止，我们豁免前述期间内您应交纳的被豁免合同的保险费，我们视豁免的保险费为您已交纳的保险费。被豁免合同继续有效，本附加合同终止。</w:t>
            </w:r>
          </w:p>
        </w:tc>
      </w:tr>
      <w:tr>
        <w:trPr>
          <w:trHeight w:val="540"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628" w:type="dxa"/>
          </w:tcPr>
          <w:p>
            <w:pPr>
              <w:pStyle w:val="TableParagraph"/>
              <w:spacing w:before="107"/>
              <w:ind w:left="135"/>
              <w:rPr>
                <w:sz w:val="21"/>
              </w:rPr>
            </w:pPr>
            <w:r>
              <w:rPr>
                <w:sz w:val="21"/>
              </w:rPr>
              <w:t>本附加合同所豁免保险费的保险合同在保险单上载明。</w:t>
            </w:r>
          </w:p>
        </w:tc>
      </w:tr>
      <w:tr>
        <w:trPr>
          <w:trHeight w:val="5624" w:hRule="atLeast"/>
        </w:trPr>
        <w:tc>
          <w:tcPr>
            <w:tcW w:w="664" w:type="dxa"/>
          </w:tcPr>
          <w:p>
            <w:pPr>
              <w:pStyle w:val="TableParagraph"/>
              <w:spacing w:before="85"/>
              <w:ind w:left="107"/>
              <w:rPr>
                <w:b/>
                <w:sz w:val="21"/>
              </w:rPr>
            </w:pPr>
            <w:r>
              <w:rPr>
                <w:b/>
                <w:sz w:val="21"/>
              </w:rPr>
              <w:t>2.4</w:t>
            </w:r>
          </w:p>
        </w:tc>
        <w:tc>
          <w:tcPr>
            <w:tcW w:w="1635" w:type="dxa"/>
          </w:tcPr>
          <w:p>
            <w:pPr>
              <w:pStyle w:val="TableParagraph"/>
              <w:spacing w:before="85"/>
              <w:ind w:left="238"/>
              <w:rPr>
                <w:b/>
                <w:sz w:val="21"/>
              </w:rPr>
            </w:pPr>
            <w:r>
              <w:rPr>
                <w:b/>
                <w:sz w:val="21"/>
              </w:rPr>
              <w:t>责任免除</w:t>
            </w:r>
          </w:p>
        </w:tc>
        <w:tc>
          <w:tcPr>
            <w:tcW w:w="7628" w:type="dxa"/>
          </w:tcPr>
          <w:p>
            <w:pPr>
              <w:pStyle w:val="TableParagraph"/>
              <w:spacing w:line="271" w:lineRule="auto" w:before="85"/>
              <w:ind w:left="135" w:right="133"/>
              <w:rPr>
                <w:rFonts w:ascii="黑体" w:eastAsia="黑体" w:hint="eastAsia"/>
                <w:sz w:val="21"/>
              </w:rPr>
            </w:pPr>
            <w:r>
              <w:rPr>
                <w:rFonts w:ascii="黑体" w:eastAsia="黑体" w:hint="eastAsia"/>
                <w:sz w:val="21"/>
              </w:rPr>
              <w:t>因下列情形之一导致被保险人发Th本附加合同定义的重大疾病或身故的，我们不承担本附加合同约定的保险责任：</w:t>
            </w:r>
          </w:p>
          <w:p>
            <w:pPr>
              <w:pStyle w:val="TableParagraph"/>
              <w:numPr>
                <w:ilvl w:val="0"/>
                <w:numId w:val="2"/>
              </w:numPr>
              <w:tabs>
                <w:tab w:pos="848" w:val="left" w:leader="none"/>
                <w:tab w:pos="849" w:val="left" w:leader="none"/>
              </w:tabs>
              <w:spacing w:line="240" w:lineRule="auto" w:before="89" w:after="0"/>
              <w:ind w:left="848"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48" w:val="left" w:leader="none"/>
                <w:tab w:pos="849" w:val="left" w:leader="none"/>
              </w:tabs>
              <w:spacing w:line="240" w:lineRule="auto" w:before="116" w:after="0"/>
              <w:ind w:left="848" w:right="0" w:hanging="721"/>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10.7)；</w:t>
            </w:r>
          </w:p>
          <w:p>
            <w:pPr>
              <w:pStyle w:val="TableParagraph"/>
              <w:numPr>
                <w:ilvl w:val="0"/>
                <w:numId w:val="2"/>
              </w:numPr>
              <w:tabs>
                <w:tab w:pos="848" w:val="left" w:leader="none"/>
                <w:tab w:pos="849" w:val="left" w:leader="none"/>
              </w:tabs>
              <w:spacing w:line="273" w:lineRule="auto" w:before="113" w:after="0"/>
              <w:ind w:left="848" w:right="0" w:hanging="721"/>
              <w:jc w:val="left"/>
              <w:rPr>
                <w:rFonts w:ascii="黑体" w:eastAsia="黑体" w:hint="eastAsia"/>
                <w:sz w:val="21"/>
              </w:rPr>
            </w:pPr>
            <w:r>
              <w:rPr>
                <w:rFonts w:ascii="黑体" w:eastAsia="黑体" w:hint="eastAsia"/>
                <w:spacing w:val="-5"/>
                <w:sz w:val="21"/>
              </w:rPr>
              <w:t>被保险人在本附加合同成立</w:t>
            </w:r>
            <w:r>
              <w:rPr>
                <w:rFonts w:ascii="黑体" w:eastAsia="黑体" w:hint="eastAsia"/>
                <w:spacing w:val="-3"/>
                <w:sz w:val="21"/>
              </w:rPr>
              <w:t>（</w:t>
            </w:r>
            <w:r>
              <w:rPr>
                <w:rFonts w:ascii="黑体" w:eastAsia="黑体" w:hint="eastAsia"/>
                <w:spacing w:val="-6"/>
                <w:sz w:val="21"/>
              </w:rPr>
              <w:t>若曾复效，则自本附加合同最后复效</w:t>
            </w:r>
            <w:r>
              <w:rPr>
                <w:rFonts w:ascii="黑体" w:eastAsia="黑体" w:hint="eastAsia"/>
                <w:spacing w:val="-20"/>
                <w:sz w:val="21"/>
              </w:rPr>
              <w:t>）</w:t>
            </w:r>
            <w:r>
              <w:rPr>
                <w:rFonts w:ascii="黑体" w:eastAsia="黑体" w:hint="eastAsia"/>
                <w:sz w:val="21"/>
              </w:rPr>
              <w:t>之日</w:t>
            </w:r>
            <w:r>
              <w:rPr>
                <w:rFonts w:ascii="黑体" w:eastAsia="黑体" w:hint="eastAsia"/>
                <w:spacing w:val="25"/>
                <w:sz w:val="21"/>
              </w:rPr>
              <w:t>起</w:t>
            </w:r>
            <w:r>
              <w:rPr>
                <w:rFonts w:ascii="黑体" w:eastAsia="黑体" w:hint="eastAsia"/>
                <w:sz w:val="21"/>
              </w:rPr>
              <w:t>2</w:t>
            </w:r>
            <w:r>
              <w:rPr>
                <w:rFonts w:ascii="黑体" w:eastAsia="黑体" w:hint="eastAsia"/>
                <w:spacing w:val="-15"/>
                <w:sz w:val="21"/>
              </w:rPr>
              <w:t> 年内自杀导致身故的，但被保险人自杀时为无民事行为能力人的除外；</w:t>
            </w:r>
          </w:p>
          <w:p>
            <w:pPr>
              <w:pStyle w:val="TableParagraph"/>
              <w:numPr>
                <w:ilvl w:val="0"/>
                <w:numId w:val="2"/>
              </w:numPr>
              <w:tabs>
                <w:tab w:pos="848" w:val="left" w:leader="none"/>
                <w:tab w:pos="849" w:val="left" w:leader="none"/>
              </w:tabs>
              <w:spacing w:line="271" w:lineRule="auto" w:before="86" w:after="0"/>
              <w:ind w:left="848" w:right="145" w:hanging="721"/>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10.9</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9"/>
                <w:sz w:val="21"/>
              </w:rPr>
              <w:t>(见 </w:t>
            </w:r>
            <w:r>
              <w:rPr>
                <w:rFonts w:ascii="黑体" w:eastAsia="黑体" w:hint="eastAsia"/>
                <w:sz w:val="21"/>
              </w:rPr>
              <w:t>10.10</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10.11)；</w:t>
            </w:r>
          </w:p>
          <w:p>
            <w:pPr>
              <w:pStyle w:val="TableParagraph"/>
              <w:numPr>
                <w:ilvl w:val="0"/>
                <w:numId w:val="2"/>
              </w:numPr>
              <w:tabs>
                <w:tab w:pos="848" w:val="left" w:leader="none"/>
                <w:tab w:pos="849" w:val="left" w:leader="none"/>
              </w:tabs>
              <w:spacing w:line="240" w:lineRule="auto" w:before="89" w:after="0"/>
              <w:ind w:left="848"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10.12)；</w:t>
            </w:r>
          </w:p>
          <w:p>
            <w:pPr>
              <w:pStyle w:val="TableParagraph"/>
              <w:numPr>
                <w:ilvl w:val="0"/>
                <w:numId w:val="2"/>
              </w:numPr>
              <w:tabs>
                <w:tab w:pos="848" w:val="left" w:leader="none"/>
                <w:tab w:pos="849" w:val="left" w:leader="none"/>
              </w:tabs>
              <w:spacing w:line="240" w:lineRule="auto" w:before="116" w:after="0"/>
              <w:ind w:left="848"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48" w:val="left" w:leader="none"/>
                <w:tab w:pos="849" w:val="left" w:leader="none"/>
              </w:tabs>
              <w:spacing w:line="240" w:lineRule="auto" w:before="113" w:after="0"/>
              <w:ind w:left="848"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48" w:val="left" w:leader="none"/>
                <w:tab w:pos="849" w:val="left" w:leader="none"/>
              </w:tabs>
              <w:spacing w:line="271" w:lineRule="auto" w:before="115" w:after="0"/>
              <w:ind w:left="848" w:right="109" w:hanging="721"/>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pacing w:val="-7"/>
                <w:sz w:val="21"/>
              </w:rPr>
              <w:t>10.13)，</w:t>
            </w:r>
            <w:r>
              <w:rPr>
                <w:rFonts w:ascii="黑体" w:eastAsia="黑体" w:hint="eastAsia"/>
                <w:b/>
                <w:spacing w:val="-6"/>
                <w:sz w:val="21"/>
              </w:rPr>
              <w:t>先天性畸形、变形或染色体异常</w:t>
            </w:r>
            <w:r>
              <w:rPr>
                <w:rFonts w:ascii="黑体" w:eastAsia="黑体" w:hint="eastAsia"/>
                <w:spacing w:val="-17"/>
                <w:sz w:val="21"/>
              </w:rPr>
              <w:t>(见 </w:t>
            </w:r>
            <w:r>
              <w:rPr>
                <w:rFonts w:ascii="黑体" w:eastAsia="黑体" w:hint="eastAsia"/>
                <w:sz w:val="21"/>
              </w:rPr>
              <w:t>10.14) 导致发Th</w:t>
            </w:r>
            <w:r>
              <w:rPr>
                <w:rFonts w:ascii="黑体" w:eastAsia="黑体" w:hint="eastAsia"/>
                <w:spacing w:val="-3"/>
                <w:sz w:val="21"/>
              </w:rPr>
              <w:t>本附加合同定义的重大疾病的，但本附加合同有特别约定的除外。</w:t>
            </w:r>
          </w:p>
          <w:p>
            <w:pPr>
              <w:pStyle w:val="TableParagraph"/>
              <w:spacing w:line="273" w:lineRule="auto" w:before="88"/>
              <w:ind w:left="135" w:right="133"/>
              <w:rPr>
                <w:rFonts w:ascii="黑体" w:eastAsia="黑体" w:hint="eastAsia"/>
                <w:sz w:val="21"/>
              </w:rPr>
            </w:pPr>
            <w:r>
              <w:rPr>
                <w:rFonts w:ascii="黑体" w:eastAsia="黑体" w:hint="eastAsia"/>
                <w:sz w:val="21"/>
              </w:rPr>
              <w:t>因上述情形之一导致被保险人发Th本附加合同定义的重大疾病或身故的，本附加合同终止，我们向您退还本附加合同终止时的</w:t>
            </w:r>
            <w:r>
              <w:rPr>
                <w:rFonts w:ascii="黑体" w:eastAsia="黑体" w:hint="eastAsia"/>
                <w:b/>
                <w:sz w:val="21"/>
              </w:rPr>
              <w:t>现金价值</w:t>
            </w:r>
            <w:r>
              <w:rPr>
                <w:rFonts w:ascii="黑体" w:eastAsia="黑体" w:hint="eastAsia"/>
                <w:sz w:val="21"/>
              </w:rPr>
              <w:t>(见 10.15)。</w:t>
            </w:r>
          </w:p>
        </w:tc>
      </w:tr>
      <w:tr>
        <w:trPr>
          <w:trHeight w:val="595" w:hRule="atLeast"/>
        </w:trPr>
        <w:tc>
          <w:tcPr>
            <w:tcW w:w="664" w:type="dxa"/>
            <w:tcBorders>
              <w:bottom w:val="single" w:sz="8" w:space="0" w:color="000000"/>
            </w:tcBorders>
          </w:tcPr>
          <w:p>
            <w:pPr>
              <w:pStyle w:val="TableParagraph"/>
              <w:spacing w:before="111"/>
              <w:ind w:left="107"/>
              <w:rPr>
                <w:b/>
                <w:sz w:val="24"/>
              </w:rPr>
            </w:pPr>
            <w:r>
              <w:rPr>
                <w:b/>
                <w:sz w:val="24"/>
              </w:rPr>
              <w:t>3.</w:t>
            </w:r>
          </w:p>
        </w:tc>
        <w:tc>
          <w:tcPr>
            <w:tcW w:w="9263" w:type="dxa"/>
            <w:gridSpan w:val="2"/>
            <w:tcBorders>
              <w:bottom w:val="single" w:sz="8" w:space="0" w:color="000000"/>
            </w:tcBorders>
          </w:tcPr>
          <w:p>
            <w:pPr>
              <w:pStyle w:val="TableParagraph"/>
              <w:spacing w:before="111"/>
              <w:ind w:left="238"/>
              <w:rPr>
                <w:b/>
                <w:sz w:val="24"/>
              </w:rPr>
            </w:pPr>
            <w:r>
              <w:rPr>
                <w:b/>
                <w:w w:val="95"/>
                <w:sz w:val="24"/>
              </w:rPr>
              <w:t>豁免保险费的申请</w:t>
            </w:r>
          </w:p>
        </w:tc>
      </w:tr>
      <w:tr>
        <w:trPr>
          <w:trHeight w:val="1913" w:hRule="atLeast"/>
        </w:trPr>
        <w:tc>
          <w:tcPr>
            <w:tcW w:w="664"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3.1</w:t>
            </w:r>
          </w:p>
        </w:tc>
        <w:tc>
          <w:tcPr>
            <w:tcW w:w="1635" w:type="dxa"/>
            <w:tcBorders>
              <w:top w:val="single" w:sz="8" w:space="0" w:color="000000"/>
            </w:tcBorders>
          </w:tcPr>
          <w:p>
            <w:pPr>
              <w:pStyle w:val="TableParagraph"/>
              <w:spacing w:before="3"/>
              <w:ind w:left="0"/>
              <w:rPr>
                <w:sz w:val="16"/>
              </w:rPr>
            </w:pPr>
          </w:p>
          <w:p>
            <w:pPr>
              <w:pStyle w:val="TableParagraph"/>
              <w:ind w:left="238"/>
              <w:rPr>
                <w:b/>
                <w:sz w:val="21"/>
              </w:rPr>
            </w:pPr>
            <w:r>
              <w:rPr>
                <w:b/>
                <w:sz w:val="21"/>
              </w:rPr>
              <w:t>保险事故通知</w:t>
            </w:r>
          </w:p>
        </w:tc>
        <w:tc>
          <w:tcPr>
            <w:tcW w:w="7628" w:type="dxa"/>
            <w:tcBorders>
              <w:top w:val="single" w:sz="8" w:space="0" w:color="000000"/>
            </w:tcBorders>
          </w:tcPr>
          <w:p>
            <w:pPr>
              <w:pStyle w:val="TableParagraph"/>
              <w:spacing w:before="3"/>
              <w:ind w:left="0"/>
              <w:rPr>
                <w:sz w:val="16"/>
              </w:rPr>
            </w:pPr>
          </w:p>
          <w:p>
            <w:pPr>
              <w:pStyle w:val="TableParagraph"/>
              <w:spacing w:line="271" w:lineRule="auto"/>
              <w:ind w:left="135" w:right="104"/>
              <w:jc w:val="both"/>
              <w:rPr>
                <w:sz w:val="21"/>
              </w:rPr>
            </w:pPr>
            <w:r>
              <w:rPr>
                <w:rFonts w:ascii="黑体" w:eastAsia="黑体" w:hint="eastAsia"/>
                <w:spacing w:val="-3"/>
                <w:sz w:val="21"/>
              </w:rPr>
              <w:t>豁免保险费申请人在知道保险事故发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2"/>
                <w:sz w:val="21"/>
              </w:rPr>
              <w:t> 日内通知我们。故意或者因重</w:t>
            </w:r>
            <w:r>
              <w:rPr>
                <w:rFonts w:ascii="黑体" w:eastAsia="黑体" w:hint="eastAsia"/>
                <w:spacing w:val="-6"/>
                <w:sz w:val="21"/>
              </w:rPr>
              <w:t>大过失未及时通知，致使保险事故的性质、原因、损失程度等难以确定的，我们</w:t>
            </w:r>
            <w:r>
              <w:rPr>
                <w:rFonts w:ascii="黑体" w:eastAsia="黑体" w:hint="eastAsia"/>
                <w:spacing w:val="-4"/>
                <w:sz w:val="21"/>
              </w:rPr>
              <w:t>对无法确定的部分，不承担赔偿或者给付保险金的责任，但我们通过其他途径已</w:t>
            </w:r>
            <w:r>
              <w:rPr>
                <w:rFonts w:ascii="黑体" w:eastAsia="黑体" w:hint="eastAsia"/>
                <w:spacing w:val="-3"/>
                <w:sz w:val="21"/>
              </w:rPr>
              <w:t>经及时知道或者应当及时知道保险事故发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r>
              <w:rPr>
                <w:sz w:val="21"/>
              </w:rPr>
              <w:t>。</w:t>
            </w:r>
          </w:p>
        </w:tc>
      </w:tr>
      <w:tr>
        <w:trPr>
          <w:trHeight w:val="695" w:hRule="atLeast"/>
        </w:trPr>
        <w:tc>
          <w:tcPr>
            <w:tcW w:w="664" w:type="dxa"/>
          </w:tcPr>
          <w:p>
            <w:pPr>
              <w:pStyle w:val="TableParagraph"/>
              <w:spacing w:before="106"/>
              <w:ind w:left="107"/>
              <w:rPr>
                <w:b/>
                <w:sz w:val="21"/>
              </w:rPr>
            </w:pPr>
            <w:r>
              <w:rPr>
                <w:b/>
                <w:sz w:val="21"/>
              </w:rPr>
              <w:t>3.2</w:t>
            </w:r>
          </w:p>
        </w:tc>
        <w:tc>
          <w:tcPr>
            <w:tcW w:w="1635" w:type="dxa"/>
          </w:tcPr>
          <w:p>
            <w:pPr>
              <w:pStyle w:val="TableParagraph"/>
              <w:spacing w:line="310" w:lineRule="atLeast" w:before="71"/>
              <w:ind w:left="238" w:right="126"/>
              <w:rPr>
                <w:b/>
                <w:sz w:val="21"/>
              </w:rPr>
            </w:pPr>
            <w:r>
              <w:rPr>
                <w:b/>
                <w:sz w:val="21"/>
              </w:rPr>
              <w:t>豁免保险费申请</w:t>
            </w:r>
          </w:p>
        </w:tc>
        <w:tc>
          <w:tcPr>
            <w:tcW w:w="7628" w:type="dxa"/>
          </w:tcPr>
          <w:p>
            <w:pPr>
              <w:pStyle w:val="TableParagraph"/>
              <w:spacing w:before="106"/>
              <w:ind w:left="135"/>
              <w:rPr>
                <w:sz w:val="21"/>
              </w:rPr>
            </w:pPr>
            <w:r>
              <w:rPr>
                <w:sz w:val="21"/>
              </w:rPr>
              <w:t>在申请豁免保险费时，请按照下列方式办理：</w:t>
            </w:r>
          </w:p>
        </w:tc>
      </w:tr>
    </w:tbl>
    <w:p>
      <w:pPr>
        <w:spacing w:after="0"/>
        <w:rPr>
          <w:sz w:val="21"/>
        </w:rPr>
        <w:sectPr>
          <w:pgSz w:w="11910" w:h="16840"/>
          <w:pgMar w:top="1420" w:bottom="280" w:left="920" w:right="8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638"/>
        <w:gridCol w:w="7625"/>
      </w:tblGrid>
      <w:tr>
        <w:trPr>
          <w:trHeight w:val="2882" w:hRule="atLeast"/>
        </w:trPr>
        <w:tc>
          <w:tcPr>
            <w:tcW w:w="678" w:type="dxa"/>
          </w:tcPr>
          <w:p>
            <w:pPr>
              <w:pStyle w:val="TableParagraph"/>
              <w:ind w:left="0"/>
              <w:rPr>
                <w:rFonts w:ascii="Times New Roman"/>
                <w:sz w:val="20"/>
              </w:rPr>
            </w:pPr>
          </w:p>
        </w:tc>
        <w:tc>
          <w:tcPr>
            <w:tcW w:w="1638" w:type="dxa"/>
          </w:tcPr>
          <w:p>
            <w:pPr>
              <w:pStyle w:val="TableParagraph"/>
              <w:spacing w:line="208" w:lineRule="exact"/>
              <w:ind w:left="239"/>
              <w:rPr>
                <w:rFonts w:ascii="Microsoft JhengHei" w:eastAsia="Microsoft JhengHei" w:hint="eastAsia"/>
                <w:b/>
                <w:sz w:val="21"/>
              </w:rPr>
            </w:pPr>
            <w:r>
              <w:rPr>
                <w:rFonts w:ascii="Microsoft JhengHei" w:eastAsia="Microsoft JhengHei" w:hint="eastAsia"/>
                <w:b/>
                <w:sz w:val="21"/>
              </w:rPr>
              <w:t>重大疾病豁免</w:t>
            </w:r>
          </w:p>
          <w:p>
            <w:pPr>
              <w:pStyle w:val="TableParagraph"/>
              <w:spacing w:line="339" w:lineRule="exact"/>
              <w:ind w:left="239"/>
              <w:rPr>
                <w:rFonts w:ascii="Microsoft JhengHei" w:eastAsia="Microsoft JhengHei" w:hint="eastAsia"/>
                <w:b/>
                <w:sz w:val="21"/>
              </w:rPr>
            </w:pPr>
            <w:r>
              <w:rPr>
                <w:rFonts w:ascii="Microsoft JhengHei" w:eastAsia="Microsoft JhengHei" w:hint="eastAsia"/>
                <w:b/>
                <w:sz w:val="21"/>
              </w:rPr>
              <w:t>保险费申请</w:t>
            </w:r>
          </w:p>
        </w:tc>
        <w:tc>
          <w:tcPr>
            <w:tcW w:w="7625" w:type="dxa"/>
          </w:tcPr>
          <w:p>
            <w:pPr>
              <w:pStyle w:val="TableParagraph"/>
              <w:spacing w:line="211" w:lineRule="exact"/>
              <w:ind w:left="132"/>
              <w:rPr>
                <w:sz w:val="21"/>
              </w:rPr>
            </w:pPr>
            <w:r>
              <w:rPr>
                <w:sz w:val="21"/>
              </w:rPr>
              <w:t>在申请重大疾病豁免保险费时，被保险人作为申请人须填写豁免保险费申请书，</w:t>
            </w:r>
          </w:p>
          <w:p>
            <w:pPr>
              <w:pStyle w:val="TableParagraph"/>
              <w:spacing w:before="37"/>
              <w:ind w:left="132"/>
              <w:rPr>
                <w:sz w:val="21"/>
              </w:rPr>
            </w:pPr>
            <w:r>
              <w:rPr>
                <w:sz w:val="21"/>
              </w:rPr>
              <w:t>并须提供下列证明和资料的原件：</w:t>
            </w:r>
          </w:p>
          <w:p>
            <w:pPr>
              <w:pStyle w:val="TableParagraph"/>
              <w:numPr>
                <w:ilvl w:val="0"/>
                <w:numId w:val="3"/>
              </w:numPr>
              <w:tabs>
                <w:tab w:pos="869" w:val="left" w:leader="none"/>
                <w:tab w:pos="870" w:val="left" w:leader="none"/>
              </w:tabs>
              <w:spacing w:line="240" w:lineRule="auto" w:before="116" w:after="0"/>
              <w:ind w:left="853" w:right="0" w:hanging="721"/>
              <w:jc w:val="left"/>
              <w:rPr>
                <w:sz w:val="21"/>
              </w:rPr>
            </w:pPr>
            <w:r>
              <w:rPr>
                <w:spacing w:val="-3"/>
                <w:sz w:val="21"/>
              </w:rPr>
              <w:t>本附加合同；</w:t>
            </w:r>
          </w:p>
          <w:p>
            <w:pPr>
              <w:pStyle w:val="TableParagraph"/>
              <w:numPr>
                <w:ilvl w:val="0"/>
                <w:numId w:val="3"/>
              </w:numPr>
              <w:tabs>
                <w:tab w:pos="869" w:val="left" w:leader="none"/>
                <w:tab w:pos="870" w:val="left" w:leader="none"/>
              </w:tabs>
              <w:spacing w:line="240" w:lineRule="auto" w:before="113" w:after="0"/>
              <w:ind w:left="853" w:right="0" w:hanging="721"/>
              <w:jc w:val="left"/>
              <w:rPr>
                <w:sz w:val="21"/>
              </w:rPr>
            </w:pPr>
            <w:r>
              <w:rPr>
                <w:spacing w:val="-3"/>
                <w:sz w:val="21"/>
              </w:rPr>
              <w:t>申请人的有效身份证件；</w:t>
            </w:r>
          </w:p>
          <w:p>
            <w:pPr>
              <w:pStyle w:val="TableParagraph"/>
              <w:numPr>
                <w:ilvl w:val="0"/>
                <w:numId w:val="3"/>
              </w:numPr>
              <w:tabs>
                <w:tab w:pos="858" w:val="left" w:leader="none"/>
              </w:tabs>
              <w:spacing w:line="271" w:lineRule="auto" w:before="116" w:after="0"/>
              <w:ind w:left="853" w:right="101" w:hanging="721"/>
              <w:jc w:val="both"/>
              <w:rPr>
                <w:sz w:val="21"/>
              </w:rPr>
            </w:pPr>
            <w:r>
              <w:rPr>
                <w:spacing w:val="-3"/>
                <w:sz w:val="21"/>
              </w:rPr>
              <w:t>由医院</w:t>
            </w:r>
            <w:r>
              <w:rPr>
                <w:b/>
                <w:sz w:val="21"/>
              </w:rPr>
              <w:t>专科医生</w:t>
            </w:r>
            <w:r>
              <w:rPr>
                <w:spacing w:val="-13"/>
                <w:sz w:val="21"/>
              </w:rPr>
              <w:t>(见 </w:t>
            </w:r>
            <w:r>
              <w:rPr>
                <w:sz w:val="21"/>
              </w:rPr>
              <w:t>10.16</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3"/>
              </w:numPr>
              <w:tabs>
                <w:tab w:pos="869" w:val="left" w:leader="none"/>
                <w:tab w:pos="870" w:val="left" w:leader="none"/>
              </w:tabs>
              <w:spacing w:line="240" w:lineRule="auto" w:before="89" w:after="0"/>
              <w:ind w:left="853" w:right="0" w:hanging="721"/>
              <w:jc w:val="left"/>
              <w:rPr>
                <w:sz w:val="21"/>
              </w:rPr>
            </w:pPr>
            <w:r>
              <w:rPr>
                <w:spacing w:val="-3"/>
                <w:sz w:val="21"/>
              </w:rPr>
              <w:t>所能提供的与确认保险事故的性质、原因等有关的其他证明和资料。</w:t>
            </w:r>
          </w:p>
        </w:tc>
      </w:tr>
      <w:tr>
        <w:trPr>
          <w:trHeight w:val="2745" w:hRule="atLeast"/>
        </w:trPr>
        <w:tc>
          <w:tcPr>
            <w:tcW w:w="678" w:type="dxa"/>
          </w:tcPr>
          <w:p>
            <w:pPr>
              <w:pStyle w:val="TableParagraph"/>
              <w:ind w:left="0"/>
              <w:rPr>
                <w:rFonts w:ascii="Times New Roman"/>
                <w:sz w:val="20"/>
              </w:rPr>
            </w:pPr>
          </w:p>
        </w:tc>
        <w:tc>
          <w:tcPr>
            <w:tcW w:w="1638" w:type="dxa"/>
          </w:tcPr>
          <w:p>
            <w:pPr>
              <w:pStyle w:val="TableParagraph"/>
              <w:spacing w:line="204" w:lineRule="auto" w:before="99"/>
              <w:ind w:left="239" w:right="129"/>
              <w:rPr>
                <w:rFonts w:ascii="Microsoft JhengHei" w:eastAsia="Microsoft JhengHei" w:hint="eastAsia"/>
                <w:b/>
                <w:sz w:val="21"/>
              </w:rPr>
            </w:pPr>
            <w:r>
              <w:rPr>
                <w:rFonts w:ascii="Microsoft JhengHei" w:eastAsia="Microsoft JhengHei" w:hint="eastAsia"/>
                <w:b/>
                <w:sz w:val="21"/>
              </w:rPr>
              <w:t>身故豁免保险费申请</w:t>
            </w:r>
          </w:p>
        </w:tc>
        <w:tc>
          <w:tcPr>
            <w:tcW w:w="7625" w:type="dxa"/>
          </w:tcPr>
          <w:p>
            <w:pPr>
              <w:pStyle w:val="TableParagraph"/>
              <w:spacing w:line="271" w:lineRule="auto" w:before="111"/>
              <w:ind w:left="132" w:right="132"/>
              <w:rPr>
                <w:sz w:val="21"/>
              </w:rPr>
            </w:pPr>
            <w:r>
              <w:rPr>
                <w:sz w:val="21"/>
              </w:rPr>
              <w:t>在申请身故豁免保险费时，被豁免合同的被保险人作为申请人须填写豁免保险费申请书，并须提供下列证明和资料的原件：</w:t>
            </w:r>
          </w:p>
          <w:p>
            <w:pPr>
              <w:pStyle w:val="TableParagraph"/>
              <w:numPr>
                <w:ilvl w:val="0"/>
                <w:numId w:val="4"/>
              </w:numPr>
              <w:tabs>
                <w:tab w:pos="853" w:val="left" w:leader="none"/>
              </w:tabs>
              <w:spacing w:line="240" w:lineRule="auto" w:before="88" w:after="0"/>
              <w:ind w:left="853" w:right="0" w:hanging="721"/>
              <w:jc w:val="left"/>
              <w:rPr>
                <w:sz w:val="21"/>
              </w:rPr>
            </w:pPr>
            <w:r>
              <w:rPr>
                <w:spacing w:val="-2"/>
                <w:sz w:val="21"/>
              </w:rPr>
              <w:t>本附加合同；</w:t>
            </w:r>
          </w:p>
          <w:p>
            <w:pPr>
              <w:pStyle w:val="TableParagraph"/>
              <w:numPr>
                <w:ilvl w:val="0"/>
                <w:numId w:val="4"/>
              </w:numPr>
              <w:tabs>
                <w:tab w:pos="853" w:val="left" w:leader="none"/>
              </w:tabs>
              <w:spacing w:line="240" w:lineRule="auto" w:before="115" w:after="0"/>
              <w:ind w:left="853" w:right="0" w:hanging="721"/>
              <w:jc w:val="left"/>
              <w:rPr>
                <w:sz w:val="21"/>
              </w:rPr>
            </w:pPr>
            <w:r>
              <w:rPr>
                <w:spacing w:val="-3"/>
                <w:sz w:val="21"/>
              </w:rPr>
              <w:t>申请人的有效身份证件；</w:t>
            </w:r>
          </w:p>
          <w:p>
            <w:pPr>
              <w:pStyle w:val="TableParagraph"/>
              <w:numPr>
                <w:ilvl w:val="0"/>
                <w:numId w:val="4"/>
              </w:numPr>
              <w:tabs>
                <w:tab w:pos="853" w:val="left" w:leader="none"/>
              </w:tabs>
              <w:spacing w:line="273" w:lineRule="auto" w:before="114" w:after="0"/>
              <w:ind w:left="853" w:right="104" w:hanging="721"/>
              <w:jc w:val="left"/>
              <w:rPr>
                <w:sz w:val="21"/>
              </w:rPr>
            </w:pPr>
            <w:r>
              <w:rPr>
                <w:spacing w:val="-7"/>
                <w:sz w:val="21"/>
              </w:rPr>
              <w:t>国务院卫生行政部门规定的医疗机构、公安部门或其他有权机构出具的被</w:t>
            </w:r>
            <w:r>
              <w:rPr>
                <w:spacing w:val="-5"/>
                <w:sz w:val="21"/>
              </w:rPr>
              <w:t>保险人的死亡证明；</w:t>
            </w:r>
          </w:p>
          <w:p>
            <w:pPr>
              <w:pStyle w:val="TableParagraph"/>
              <w:numPr>
                <w:ilvl w:val="0"/>
                <w:numId w:val="4"/>
              </w:numPr>
              <w:tabs>
                <w:tab w:pos="853" w:val="left" w:leader="none"/>
              </w:tabs>
              <w:spacing w:line="240" w:lineRule="auto" w:before="87" w:after="0"/>
              <w:ind w:left="853" w:right="0" w:hanging="721"/>
              <w:jc w:val="left"/>
              <w:rPr>
                <w:sz w:val="21"/>
              </w:rPr>
            </w:pPr>
            <w:r>
              <w:rPr>
                <w:spacing w:val="-3"/>
                <w:sz w:val="21"/>
              </w:rPr>
              <w:t>所能提供的与确认保险事故的性质、原因等有关的其他证明和资料。</w:t>
            </w:r>
          </w:p>
        </w:tc>
      </w:tr>
      <w:tr>
        <w:trPr>
          <w:trHeight w:val="3289" w:hRule="atLeast"/>
        </w:trPr>
        <w:tc>
          <w:tcPr>
            <w:tcW w:w="678" w:type="dxa"/>
          </w:tcPr>
          <w:p>
            <w:pPr>
              <w:pStyle w:val="TableParagraph"/>
              <w:ind w:left="0"/>
              <w:rPr>
                <w:rFonts w:ascii="Times New Roman"/>
                <w:sz w:val="20"/>
              </w:rPr>
            </w:pPr>
          </w:p>
        </w:tc>
        <w:tc>
          <w:tcPr>
            <w:tcW w:w="1638" w:type="dxa"/>
          </w:tcPr>
          <w:p>
            <w:pPr>
              <w:pStyle w:val="TableParagraph"/>
              <w:spacing w:before="43"/>
              <w:ind w:left="239"/>
              <w:rPr>
                <w:rFonts w:ascii="Microsoft JhengHei" w:eastAsia="Microsoft JhengHei" w:hint="eastAsia"/>
                <w:b/>
                <w:sz w:val="21"/>
              </w:rPr>
            </w:pPr>
            <w:r>
              <w:rPr>
                <w:rFonts w:ascii="Microsoft JhengHei" w:eastAsia="Microsoft JhengHei" w:hint="eastAsia"/>
                <w:b/>
                <w:sz w:val="21"/>
              </w:rPr>
              <w:t>特别注意事项</w:t>
            </w:r>
          </w:p>
        </w:tc>
        <w:tc>
          <w:tcPr>
            <w:tcW w:w="7625" w:type="dxa"/>
          </w:tcPr>
          <w:p>
            <w:pPr>
              <w:pStyle w:val="TableParagraph"/>
              <w:spacing w:line="273" w:lineRule="auto" w:before="110"/>
              <w:ind w:left="132" w:right="132"/>
              <w:rPr>
                <w:sz w:val="21"/>
              </w:rPr>
            </w:pPr>
            <w:r>
              <w:rPr>
                <w:sz w:val="21"/>
              </w:rPr>
              <w:t>以上证明和资料不完整的，我们将及时一次性通知豁免保险费申请人补充提供有关的证明和资料。</w:t>
            </w:r>
          </w:p>
          <w:p>
            <w:pPr>
              <w:pStyle w:val="TableParagraph"/>
              <w:spacing w:line="271" w:lineRule="auto" w:before="86"/>
              <w:ind w:left="132" w:right="133"/>
              <w:rPr>
                <w:sz w:val="21"/>
              </w:rPr>
            </w:pPr>
            <w:r>
              <w:rPr>
                <w:sz w:val="21"/>
              </w:rPr>
              <w:t>委托他人申请豁免保险费时，受托人还必须提供本人的有效身份证件及委托人亲笔签名的授权委托书。</w:t>
            </w:r>
          </w:p>
          <w:p>
            <w:pPr>
              <w:pStyle w:val="TableParagraph"/>
              <w:spacing w:line="273" w:lineRule="auto" w:before="88"/>
              <w:ind w:left="132" w:right="132"/>
              <w:rPr>
                <w:sz w:val="21"/>
              </w:rPr>
            </w:pPr>
            <w:r>
              <w:rPr>
                <w:sz w:val="21"/>
              </w:rPr>
              <w:t>如果申请重大疾病豁免保险费时被保险人已身故，则由被豁免合同的被保险人作为申请人。</w:t>
            </w:r>
          </w:p>
          <w:p>
            <w:pPr>
              <w:pStyle w:val="TableParagraph"/>
              <w:spacing w:line="271" w:lineRule="auto" w:before="86"/>
              <w:ind w:left="132" w:right="-15"/>
              <w:rPr>
                <w:sz w:val="21"/>
              </w:rPr>
            </w:pPr>
            <w:r>
              <w:rPr>
                <w:spacing w:val="-7"/>
                <w:sz w:val="21"/>
              </w:rPr>
              <w:t>申请人为未成年人或无民事行为能力人时，由其合法监护人代其申请豁免保险费， </w:t>
            </w:r>
            <w:r>
              <w:rPr>
                <w:spacing w:val="-5"/>
                <w:sz w:val="21"/>
              </w:rPr>
              <w:t>其合法监护人还必须提供申请人为未成年人或无民事行为能力人的证明和监护人</w:t>
            </w:r>
            <w:r>
              <w:rPr>
                <w:spacing w:val="-4"/>
                <w:sz w:val="21"/>
              </w:rPr>
              <w:t>具有合法监护权的证明。</w:t>
            </w:r>
          </w:p>
        </w:tc>
      </w:tr>
      <w:tr>
        <w:trPr>
          <w:trHeight w:val="886" w:hRule="atLeast"/>
        </w:trPr>
        <w:tc>
          <w:tcPr>
            <w:tcW w:w="678" w:type="dxa"/>
          </w:tcPr>
          <w:p>
            <w:pPr>
              <w:pStyle w:val="TableParagraph"/>
              <w:spacing w:before="111"/>
              <w:ind w:left="122"/>
              <w:rPr>
                <w:b/>
                <w:sz w:val="21"/>
              </w:rPr>
            </w:pPr>
            <w:r>
              <w:rPr>
                <w:b/>
                <w:sz w:val="21"/>
              </w:rPr>
              <w:t>3.3</w:t>
            </w:r>
          </w:p>
        </w:tc>
        <w:tc>
          <w:tcPr>
            <w:tcW w:w="1638" w:type="dxa"/>
          </w:tcPr>
          <w:p>
            <w:pPr>
              <w:pStyle w:val="TableParagraph"/>
              <w:spacing w:before="111"/>
              <w:ind w:left="239"/>
              <w:rPr>
                <w:b/>
                <w:sz w:val="21"/>
              </w:rPr>
            </w:pPr>
            <w:r>
              <w:rPr>
                <w:b/>
                <w:sz w:val="21"/>
              </w:rPr>
              <w:t>诉讼时效</w:t>
            </w:r>
          </w:p>
        </w:tc>
        <w:tc>
          <w:tcPr>
            <w:tcW w:w="7625" w:type="dxa"/>
          </w:tcPr>
          <w:p>
            <w:pPr>
              <w:pStyle w:val="TableParagraph"/>
              <w:spacing w:line="271" w:lineRule="auto" w:before="111"/>
              <w:ind w:left="132" w:right="133"/>
              <w:rPr>
                <w:sz w:val="21"/>
              </w:rPr>
            </w:pPr>
            <w:r>
              <w:rPr>
                <w:spacing w:val="-5"/>
                <w:sz w:val="21"/>
              </w:rPr>
              <w:t>申请人向我们申请豁免保险费的诉讼时效期间为 </w:t>
            </w:r>
            <w:r>
              <w:rPr>
                <w:sz w:val="21"/>
              </w:rPr>
              <w:t>5</w:t>
            </w:r>
            <w:r>
              <w:rPr>
                <w:spacing w:val="-7"/>
                <w:sz w:val="21"/>
              </w:rPr>
              <w:t> 年，自其知道或者应当知道保</w:t>
            </w:r>
            <w:r>
              <w:rPr>
                <w:spacing w:val="-5"/>
                <w:sz w:val="21"/>
              </w:rPr>
              <w:t>险事故发生之日起计算。</w:t>
            </w:r>
          </w:p>
        </w:tc>
      </w:tr>
      <w:tr>
        <w:trPr>
          <w:trHeight w:val="597" w:hRule="atLeast"/>
        </w:trPr>
        <w:tc>
          <w:tcPr>
            <w:tcW w:w="678" w:type="dxa"/>
            <w:tcBorders>
              <w:bottom w:val="single" w:sz="8" w:space="0" w:color="000000"/>
            </w:tcBorders>
          </w:tcPr>
          <w:p>
            <w:pPr>
              <w:pStyle w:val="TableParagraph"/>
              <w:spacing w:before="116"/>
              <w:ind w:left="122"/>
              <w:rPr>
                <w:b/>
                <w:sz w:val="24"/>
              </w:rPr>
            </w:pPr>
            <w:r>
              <w:rPr>
                <w:b/>
                <w:sz w:val="24"/>
              </w:rPr>
              <w:t>4.</w:t>
            </w:r>
          </w:p>
        </w:tc>
        <w:tc>
          <w:tcPr>
            <w:tcW w:w="1638" w:type="dxa"/>
            <w:tcBorders>
              <w:bottom w:val="single" w:sz="8" w:space="0" w:color="000000"/>
            </w:tcBorders>
          </w:tcPr>
          <w:p>
            <w:pPr>
              <w:pStyle w:val="TableParagraph"/>
              <w:spacing w:before="116"/>
              <w:ind w:left="239"/>
              <w:rPr>
                <w:b/>
                <w:sz w:val="24"/>
              </w:rPr>
            </w:pPr>
            <w:r>
              <w:rPr>
                <w:b/>
                <w:w w:val="95"/>
                <w:sz w:val="24"/>
              </w:rPr>
              <w:t>保险费的交</w:t>
            </w:r>
          </w:p>
        </w:tc>
        <w:tc>
          <w:tcPr>
            <w:tcW w:w="7625" w:type="dxa"/>
            <w:tcBorders>
              <w:bottom w:val="single" w:sz="8" w:space="0" w:color="000000"/>
            </w:tcBorders>
          </w:tcPr>
          <w:p>
            <w:pPr>
              <w:pStyle w:val="TableParagraph"/>
              <w:spacing w:before="116"/>
              <w:ind w:left="-195"/>
              <w:rPr>
                <w:b/>
                <w:sz w:val="24"/>
              </w:rPr>
            </w:pPr>
            <w:r>
              <w:rPr>
                <w:b/>
                <w:w w:val="99"/>
                <w:sz w:val="24"/>
              </w:rPr>
              <w:t>纳</w:t>
            </w:r>
          </w:p>
        </w:tc>
      </w:tr>
      <w:tr>
        <w:trPr>
          <w:trHeight w:val="1366" w:hRule="atLeast"/>
        </w:trPr>
        <w:tc>
          <w:tcPr>
            <w:tcW w:w="678" w:type="dxa"/>
            <w:tcBorders>
              <w:top w:val="single" w:sz="8" w:space="0" w:color="000000"/>
            </w:tcBorders>
          </w:tcPr>
          <w:p>
            <w:pPr>
              <w:pStyle w:val="TableParagraph"/>
              <w:spacing w:before="5"/>
              <w:ind w:left="0"/>
              <w:rPr>
                <w:sz w:val="16"/>
              </w:rPr>
            </w:pPr>
          </w:p>
          <w:p>
            <w:pPr>
              <w:pStyle w:val="TableParagraph"/>
              <w:ind w:left="122"/>
              <w:rPr>
                <w:b/>
                <w:sz w:val="21"/>
              </w:rPr>
            </w:pPr>
            <w:r>
              <w:rPr>
                <w:b/>
                <w:sz w:val="21"/>
              </w:rPr>
              <w:t>4.1</w:t>
            </w:r>
          </w:p>
        </w:tc>
        <w:tc>
          <w:tcPr>
            <w:tcW w:w="1638" w:type="dxa"/>
            <w:tcBorders>
              <w:top w:val="single" w:sz="8" w:space="0" w:color="000000"/>
            </w:tcBorders>
          </w:tcPr>
          <w:p>
            <w:pPr>
              <w:pStyle w:val="TableParagraph"/>
              <w:spacing w:before="5"/>
              <w:ind w:left="0"/>
              <w:rPr>
                <w:sz w:val="16"/>
              </w:rPr>
            </w:pPr>
          </w:p>
          <w:p>
            <w:pPr>
              <w:pStyle w:val="TableParagraph"/>
              <w:ind w:left="239"/>
              <w:rPr>
                <w:b/>
                <w:sz w:val="21"/>
              </w:rPr>
            </w:pPr>
            <w:r>
              <w:rPr>
                <w:b/>
                <w:sz w:val="21"/>
              </w:rPr>
              <w:t>保险费的交纳</w:t>
            </w:r>
          </w:p>
        </w:tc>
        <w:tc>
          <w:tcPr>
            <w:tcW w:w="7625" w:type="dxa"/>
            <w:tcBorders>
              <w:top w:val="single" w:sz="8" w:space="0" w:color="000000"/>
            </w:tcBorders>
          </w:tcPr>
          <w:p>
            <w:pPr>
              <w:pStyle w:val="TableParagraph"/>
              <w:spacing w:before="5"/>
              <w:ind w:left="0"/>
              <w:rPr>
                <w:sz w:val="16"/>
              </w:rPr>
            </w:pPr>
          </w:p>
          <w:p>
            <w:pPr>
              <w:pStyle w:val="TableParagraph"/>
              <w:ind w:left="132"/>
              <w:rPr>
                <w:sz w:val="21"/>
              </w:rPr>
            </w:pPr>
            <w:r>
              <w:rPr>
                <w:spacing w:val="-6"/>
                <w:sz w:val="21"/>
              </w:rPr>
              <w:t>本附加合同的交费方式和交费期间由您在投保时与我们约定，并在保险单上载明。</w:t>
            </w:r>
          </w:p>
          <w:p>
            <w:pPr>
              <w:pStyle w:val="TableParagraph"/>
              <w:spacing w:line="271" w:lineRule="auto" w:before="115"/>
              <w:ind w:left="132" w:right="133"/>
              <w:rPr>
                <w:sz w:val="21"/>
              </w:rPr>
            </w:pPr>
            <w:r>
              <w:rPr>
                <w:sz w:val="21"/>
              </w:rPr>
              <w:t>分期支付保险费的，在交纳首期保险费后，您应当在每个保险费约定交纳日交纳其余各期的保险费。</w:t>
            </w:r>
          </w:p>
        </w:tc>
      </w:tr>
      <w:tr>
        <w:trPr>
          <w:trHeight w:val="1901" w:hRule="atLeast"/>
        </w:trPr>
        <w:tc>
          <w:tcPr>
            <w:tcW w:w="678" w:type="dxa"/>
          </w:tcPr>
          <w:p>
            <w:pPr>
              <w:pStyle w:val="TableParagraph"/>
              <w:spacing w:before="111"/>
              <w:ind w:left="122"/>
              <w:rPr>
                <w:b/>
                <w:sz w:val="21"/>
              </w:rPr>
            </w:pPr>
            <w:r>
              <w:rPr>
                <w:b/>
                <w:sz w:val="21"/>
              </w:rPr>
              <w:t>4.2</w:t>
            </w:r>
          </w:p>
        </w:tc>
        <w:tc>
          <w:tcPr>
            <w:tcW w:w="1638" w:type="dxa"/>
          </w:tcPr>
          <w:p>
            <w:pPr>
              <w:pStyle w:val="TableParagraph"/>
              <w:spacing w:before="111"/>
              <w:ind w:left="239"/>
              <w:rPr>
                <w:b/>
                <w:sz w:val="21"/>
              </w:rPr>
            </w:pPr>
            <w:r>
              <w:rPr>
                <w:b/>
                <w:sz w:val="21"/>
              </w:rPr>
              <w:t>宽限期</w:t>
            </w:r>
          </w:p>
        </w:tc>
        <w:tc>
          <w:tcPr>
            <w:tcW w:w="7625" w:type="dxa"/>
          </w:tcPr>
          <w:p>
            <w:pPr>
              <w:pStyle w:val="TableParagraph"/>
              <w:spacing w:line="273" w:lineRule="auto" w:before="111"/>
              <w:ind w:left="132" w:right="104"/>
              <w:jc w:val="both"/>
              <w:rPr>
                <w:sz w:val="21"/>
              </w:rPr>
            </w:pPr>
            <w:r>
              <w:rPr>
                <w:spacing w:val="-8"/>
                <w:sz w:val="21"/>
              </w:rPr>
              <w:t>如果您到期未交纳本附加合同的保险费，自保险费约定交纳日的次日零时起 </w:t>
            </w:r>
            <w:r>
              <w:rPr>
                <w:sz w:val="21"/>
              </w:rPr>
              <w:t>60</w:t>
            </w:r>
            <w:r>
              <w:rPr>
                <w:spacing w:val="-20"/>
                <w:sz w:val="21"/>
              </w:rPr>
              <w:t> 日</w:t>
            </w:r>
            <w:r>
              <w:rPr>
                <w:spacing w:val="-8"/>
                <w:sz w:val="21"/>
              </w:rPr>
              <w:t>为宽限期。宽限期内发生的保险事故，我们会承担保险责任，但您需补交欠交的</w:t>
            </w:r>
            <w:r>
              <w:rPr>
                <w:spacing w:val="-6"/>
                <w:sz w:val="21"/>
              </w:rPr>
              <w:t>保险费。</w:t>
            </w:r>
          </w:p>
          <w:p>
            <w:pPr>
              <w:pStyle w:val="TableParagraph"/>
              <w:spacing w:line="271" w:lineRule="auto" w:before="86"/>
              <w:ind w:left="132" w:right="133"/>
              <w:jc w:val="both"/>
              <w:rPr>
                <w:sz w:val="21"/>
              </w:rPr>
            </w:pPr>
            <w:r>
              <w:rPr>
                <w:sz w:val="21"/>
              </w:rPr>
              <w:t>如果您在宽限期内未交纳保险费，则本附加合同自宽限期满的次日零时起效力中止，但本附加合同另有约定的除外。</w:t>
            </w:r>
          </w:p>
        </w:tc>
      </w:tr>
      <w:tr>
        <w:trPr>
          <w:trHeight w:val="597" w:hRule="atLeast"/>
        </w:trPr>
        <w:tc>
          <w:tcPr>
            <w:tcW w:w="678" w:type="dxa"/>
            <w:tcBorders>
              <w:bottom w:val="single" w:sz="8" w:space="0" w:color="000000"/>
            </w:tcBorders>
          </w:tcPr>
          <w:p>
            <w:pPr>
              <w:pStyle w:val="TableParagraph"/>
              <w:spacing w:before="116"/>
              <w:ind w:left="122"/>
              <w:rPr>
                <w:b/>
                <w:sz w:val="24"/>
              </w:rPr>
            </w:pPr>
            <w:r>
              <w:rPr>
                <w:b/>
                <w:sz w:val="24"/>
              </w:rPr>
              <w:t>5.</w:t>
            </w:r>
          </w:p>
        </w:tc>
        <w:tc>
          <w:tcPr>
            <w:tcW w:w="1638" w:type="dxa"/>
            <w:tcBorders>
              <w:bottom w:val="single" w:sz="8" w:space="0" w:color="000000"/>
            </w:tcBorders>
          </w:tcPr>
          <w:p>
            <w:pPr>
              <w:pStyle w:val="TableParagraph"/>
              <w:spacing w:before="116"/>
              <w:ind w:left="239"/>
              <w:rPr>
                <w:b/>
                <w:sz w:val="24"/>
              </w:rPr>
            </w:pPr>
            <w:r>
              <w:rPr>
                <w:b/>
                <w:w w:val="95"/>
                <w:sz w:val="24"/>
              </w:rPr>
              <w:t>现金价值权</w:t>
            </w:r>
          </w:p>
        </w:tc>
        <w:tc>
          <w:tcPr>
            <w:tcW w:w="7625" w:type="dxa"/>
            <w:tcBorders>
              <w:bottom w:val="single" w:sz="8" w:space="0" w:color="000000"/>
            </w:tcBorders>
          </w:tcPr>
          <w:p>
            <w:pPr>
              <w:pStyle w:val="TableParagraph"/>
              <w:spacing w:before="116"/>
              <w:ind w:left="-195"/>
              <w:rPr>
                <w:b/>
                <w:sz w:val="24"/>
              </w:rPr>
            </w:pPr>
            <w:r>
              <w:rPr>
                <w:b/>
                <w:w w:val="99"/>
                <w:sz w:val="24"/>
              </w:rPr>
              <w:t>益</w:t>
            </w:r>
          </w:p>
        </w:tc>
      </w:tr>
    </w:tbl>
    <w:p>
      <w:pPr>
        <w:spacing w:after="0"/>
        <w:rPr>
          <w:sz w:val="24"/>
        </w:rPr>
        <w:sectPr>
          <w:pgSz w:w="11910" w:h="16840"/>
          <w:pgMar w:top="1240" w:bottom="280" w:left="90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2"/>
        <w:gridCol w:w="7630"/>
      </w:tblGrid>
      <w:tr>
        <w:trPr>
          <w:trHeight w:val="683" w:hRule="atLeast"/>
        </w:trPr>
        <w:tc>
          <w:tcPr>
            <w:tcW w:w="664" w:type="dxa"/>
            <w:tcBorders>
              <w:top w:val="single" w:sz="8" w:space="0" w:color="000000"/>
            </w:tcBorders>
          </w:tcPr>
          <w:p>
            <w:pPr>
              <w:pStyle w:val="TableParagraph"/>
              <w:spacing w:before="2"/>
              <w:ind w:left="0"/>
              <w:rPr>
                <w:sz w:val="16"/>
              </w:rPr>
            </w:pPr>
          </w:p>
          <w:p>
            <w:pPr>
              <w:pStyle w:val="TableParagraph"/>
              <w:ind w:left="107"/>
              <w:rPr>
                <w:b/>
                <w:sz w:val="21"/>
              </w:rPr>
            </w:pPr>
            <w:r>
              <w:rPr>
                <w:b/>
                <w:sz w:val="21"/>
              </w:rPr>
              <w:t>5.1</w:t>
            </w:r>
          </w:p>
        </w:tc>
        <w:tc>
          <w:tcPr>
            <w:tcW w:w="1632" w:type="dxa"/>
            <w:tcBorders>
              <w:top w:val="single" w:sz="8" w:space="0" w:color="000000"/>
            </w:tcBorders>
          </w:tcPr>
          <w:p>
            <w:pPr>
              <w:pStyle w:val="TableParagraph"/>
              <w:spacing w:before="2"/>
              <w:ind w:left="0"/>
              <w:rPr>
                <w:sz w:val="16"/>
              </w:rPr>
            </w:pPr>
          </w:p>
          <w:p>
            <w:pPr>
              <w:pStyle w:val="TableParagraph"/>
              <w:ind w:left="238"/>
              <w:rPr>
                <w:b/>
                <w:sz w:val="21"/>
              </w:rPr>
            </w:pPr>
            <w:r>
              <w:rPr>
                <w:b/>
                <w:sz w:val="21"/>
              </w:rPr>
              <w:t>现金价值</w:t>
            </w:r>
          </w:p>
        </w:tc>
        <w:tc>
          <w:tcPr>
            <w:tcW w:w="7630" w:type="dxa"/>
            <w:tcBorders>
              <w:top w:val="single" w:sz="8" w:space="0" w:color="000000"/>
            </w:tcBorders>
          </w:tcPr>
          <w:p>
            <w:pPr>
              <w:pStyle w:val="TableParagraph"/>
              <w:spacing w:before="2"/>
              <w:ind w:left="0"/>
              <w:rPr>
                <w:sz w:val="16"/>
              </w:rPr>
            </w:pPr>
          </w:p>
          <w:p>
            <w:pPr>
              <w:pStyle w:val="TableParagraph"/>
              <w:ind w:left="138"/>
              <w:rPr>
                <w:sz w:val="21"/>
              </w:rPr>
            </w:pPr>
            <w:r>
              <w:rPr>
                <w:sz w:val="21"/>
              </w:rPr>
              <w:t>本附加合同的现金价值在保险单上载明。</w:t>
            </w:r>
          </w:p>
        </w:tc>
      </w:tr>
      <w:tr>
        <w:trPr>
          <w:trHeight w:val="595" w:hRule="atLeast"/>
        </w:trPr>
        <w:tc>
          <w:tcPr>
            <w:tcW w:w="664" w:type="dxa"/>
            <w:tcBorders>
              <w:bottom w:val="single" w:sz="8" w:space="0" w:color="000000"/>
            </w:tcBorders>
          </w:tcPr>
          <w:p>
            <w:pPr>
              <w:pStyle w:val="TableParagraph"/>
              <w:spacing w:before="111"/>
              <w:ind w:left="107"/>
              <w:rPr>
                <w:b/>
                <w:sz w:val="24"/>
              </w:rPr>
            </w:pPr>
            <w:r>
              <w:rPr>
                <w:b/>
                <w:sz w:val="24"/>
              </w:rPr>
              <w:t>6.</w:t>
            </w:r>
          </w:p>
        </w:tc>
        <w:tc>
          <w:tcPr>
            <w:tcW w:w="9262" w:type="dxa"/>
            <w:gridSpan w:val="2"/>
            <w:tcBorders>
              <w:bottom w:val="single" w:sz="8" w:space="0" w:color="000000"/>
            </w:tcBorders>
          </w:tcPr>
          <w:p>
            <w:pPr>
              <w:pStyle w:val="TableParagraph"/>
              <w:spacing w:before="111"/>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2"/>
              <w:ind w:left="0"/>
              <w:rPr>
                <w:sz w:val="16"/>
              </w:rPr>
            </w:pPr>
          </w:p>
          <w:p>
            <w:pPr>
              <w:pStyle w:val="TableParagraph"/>
              <w:ind w:left="107"/>
              <w:rPr>
                <w:b/>
                <w:sz w:val="21"/>
              </w:rPr>
            </w:pPr>
            <w:r>
              <w:rPr>
                <w:b/>
                <w:sz w:val="21"/>
              </w:rPr>
              <w:t>6.1</w:t>
            </w:r>
          </w:p>
        </w:tc>
        <w:tc>
          <w:tcPr>
            <w:tcW w:w="1632" w:type="dxa"/>
            <w:tcBorders>
              <w:top w:val="single" w:sz="8" w:space="0" w:color="000000"/>
            </w:tcBorders>
          </w:tcPr>
          <w:p>
            <w:pPr>
              <w:pStyle w:val="TableParagraph"/>
              <w:spacing w:before="2"/>
              <w:ind w:left="0"/>
              <w:rPr>
                <w:sz w:val="16"/>
              </w:rPr>
            </w:pPr>
          </w:p>
          <w:p>
            <w:pPr>
              <w:pStyle w:val="TableParagraph"/>
              <w:ind w:left="238"/>
              <w:rPr>
                <w:b/>
                <w:sz w:val="21"/>
              </w:rPr>
            </w:pPr>
            <w:r>
              <w:rPr>
                <w:b/>
                <w:sz w:val="21"/>
              </w:rPr>
              <w:t>效力中止</w:t>
            </w:r>
          </w:p>
        </w:tc>
        <w:tc>
          <w:tcPr>
            <w:tcW w:w="7630" w:type="dxa"/>
            <w:tcBorders>
              <w:top w:val="single" w:sz="8" w:space="0" w:color="000000"/>
            </w:tcBorders>
          </w:tcPr>
          <w:p>
            <w:pPr>
              <w:pStyle w:val="TableParagraph"/>
              <w:spacing w:before="2"/>
              <w:ind w:left="0"/>
              <w:rPr>
                <w:sz w:val="16"/>
              </w:rPr>
            </w:pPr>
          </w:p>
          <w:p>
            <w:pPr>
              <w:pStyle w:val="TableParagraph"/>
              <w:ind w:left="138"/>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664" w:type="dxa"/>
          </w:tcPr>
          <w:p>
            <w:pPr>
              <w:pStyle w:val="TableParagraph"/>
              <w:spacing w:before="104"/>
              <w:ind w:left="107"/>
              <w:rPr>
                <w:b/>
                <w:sz w:val="21"/>
              </w:rPr>
            </w:pPr>
            <w:r>
              <w:rPr>
                <w:b/>
                <w:sz w:val="21"/>
              </w:rPr>
              <w:t>6.2</w:t>
            </w:r>
          </w:p>
        </w:tc>
        <w:tc>
          <w:tcPr>
            <w:tcW w:w="1632" w:type="dxa"/>
          </w:tcPr>
          <w:p>
            <w:pPr>
              <w:pStyle w:val="TableParagraph"/>
              <w:spacing w:before="104"/>
              <w:ind w:left="238"/>
              <w:rPr>
                <w:b/>
                <w:sz w:val="21"/>
              </w:rPr>
            </w:pPr>
            <w:r>
              <w:rPr>
                <w:b/>
                <w:sz w:val="21"/>
              </w:rPr>
              <w:t>效力恢复</w:t>
            </w:r>
          </w:p>
        </w:tc>
        <w:tc>
          <w:tcPr>
            <w:tcW w:w="7630" w:type="dxa"/>
          </w:tcPr>
          <w:p>
            <w:pPr>
              <w:pStyle w:val="TableParagraph"/>
              <w:spacing w:line="273" w:lineRule="auto" w:before="104"/>
              <w:ind w:left="138" w:right="132"/>
              <w:jc w:val="both"/>
              <w:rPr>
                <w:sz w:val="21"/>
              </w:rPr>
            </w:pPr>
            <w:r>
              <w:rPr>
                <w:spacing w:val="-6"/>
                <w:sz w:val="21"/>
              </w:rPr>
              <w:t>本附加合同效力中止后 </w:t>
            </w:r>
            <w:r>
              <w:rPr>
                <w:sz w:val="21"/>
              </w:rPr>
              <w:t>2</w:t>
            </w:r>
            <w:r>
              <w:rPr>
                <w:spacing w:val="-7"/>
                <w:sz w:val="21"/>
              </w:rPr>
              <w:t> 年内，您可以申请恢复合同效力。经您与我们协商并达</w:t>
            </w:r>
            <w:r>
              <w:rPr>
                <w:spacing w:val="-5"/>
                <w:sz w:val="21"/>
              </w:rPr>
              <w:t>成协议，在您补交保险费之日起，本附加合同效力恢复。</w:t>
            </w:r>
          </w:p>
          <w:p>
            <w:pPr>
              <w:pStyle w:val="TableParagraph"/>
              <w:spacing w:line="271" w:lineRule="auto" w:before="86"/>
              <w:ind w:left="138"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95" w:hRule="atLeast"/>
        </w:trPr>
        <w:tc>
          <w:tcPr>
            <w:tcW w:w="664" w:type="dxa"/>
            <w:tcBorders>
              <w:bottom w:val="single" w:sz="8" w:space="0" w:color="000000"/>
            </w:tcBorders>
          </w:tcPr>
          <w:p>
            <w:pPr>
              <w:pStyle w:val="TableParagraph"/>
              <w:spacing w:before="110"/>
              <w:ind w:left="107"/>
              <w:rPr>
                <w:b/>
                <w:sz w:val="24"/>
              </w:rPr>
            </w:pPr>
            <w:r>
              <w:rPr>
                <w:b/>
                <w:sz w:val="24"/>
              </w:rPr>
              <w:t>7.</w:t>
            </w:r>
          </w:p>
        </w:tc>
        <w:tc>
          <w:tcPr>
            <w:tcW w:w="1632" w:type="dxa"/>
            <w:tcBorders>
              <w:bottom w:val="single" w:sz="8" w:space="0" w:color="000000"/>
            </w:tcBorders>
          </w:tcPr>
          <w:p>
            <w:pPr>
              <w:pStyle w:val="TableParagraph"/>
              <w:spacing w:before="110"/>
              <w:ind w:left="238"/>
              <w:rPr>
                <w:b/>
                <w:sz w:val="24"/>
              </w:rPr>
            </w:pPr>
            <w:r>
              <w:rPr>
                <w:b/>
                <w:sz w:val="24"/>
              </w:rPr>
              <w:t>合同解除</w:t>
            </w:r>
          </w:p>
        </w:tc>
        <w:tc>
          <w:tcPr>
            <w:tcW w:w="7630" w:type="dxa"/>
            <w:tcBorders>
              <w:bottom w:val="single" w:sz="8" w:space="0" w:color="000000"/>
            </w:tcBorders>
          </w:tcPr>
          <w:p>
            <w:pPr>
              <w:pStyle w:val="TableParagraph"/>
              <w:ind w:left="0"/>
              <w:rPr>
                <w:rFonts w:ascii="Times New Roman"/>
                <w:sz w:val="20"/>
              </w:rPr>
            </w:pPr>
          </w:p>
        </w:tc>
      </w:tr>
      <w:tr>
        <w:trPr>
          <w:trHeight w:val="2866" w:hRule="atLeast"/>
        </w:trPr>
        <w:tc>
          <w:tcPr>
            <w:tcW w:w="664"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7.1</w:t>
            </w:r>
          </w:p>
        </w:tc>
        <w:tc>
          <w:tcPr>
            <w:tcW w:w="1632" w:type="dxa"/>
            <w:tcBorders>
              <w:top w:val="single" w:sz="8" w:space="0" w:color="000000"/>
            </w:tcBorders>
          </w:tcPr>
          <w:p>
            <w:pPr>
              <w:pStyle w:val="TableParagraph"/>
              <w:spacing w:before="3"/>
              <w:ind w:left="0"/>
              <w:rPr>
                <w:sz w:val="16"/>
              </w:rPr>
            </w:pPr>
          </w:p>
          <w:p>
            <w:pPr>
              <w:pStyle w:val="TableParagraph"/>
              <w:spacing w:line="271" w:lineRule="auto"/>
              <w:ind w:left="238" w:right="123"/>
              <w:rPr>
                <w:b/>
                <w:sz w:val="21"/>
              </w:rPr>
            </w:pPr>
            <w:r>
              <w:rPr>
                <w:b/>
                <w:sz w:val="21"/>
              </w:rPr>
              <w:t>您解除合同的手续及风险</w:t>
            </w:r>
          </w:p>
        </w:tc>
        <w:tc>
          <w:tcPr>
            <w:tcW w:w="7630" w:type="dxa"/>
            <w:tcBorders>
              <w:top w:val="single" w:sz="8" w:space="0" w:color="000000"/>
            </w:tcBorders>
          </w:tcPr>
          <w:p>
            <w:pPr>
              <w:pStyle w:val="TableParagraph"/>
              <w:spacing w:before="3"/>
              <w:ind w:left="0"/>
              <w:rPr>
                <w:sz w:val="16"/>
              </w:rPr>
            </w:pPr>
          </w:p>
          <w:p>
            <w:pPr>
              <w:pStyle w:val="TableParagraph"/>
              <w:spacing w:line="271" w:lineRule="auto"/>
              <w:ind w:left="138" w:right="132"/>
              <w:rPr>
                <w:sz w:val="21"/>
              </w:rPr>
            </w:pPr>
            <w:r>
              <w:rPr>
                <w:sz w:val="21"/>
              </w:rPr>
              <w:t>若被保险人未发生保险事故，且您在犹豫期后要求解除本附加合同，请填写解除合同申请书并向我们提供下列资料的原件：</w:t>
            </w:r>
          </w:p>
          <w:p>
            <w:pPr>
              <w:pStyle w:val="TableParagraph"/>
              <w:numPr>
                <w:ilvl w:val="0"/>
                <w:numId w:val="5"/>
              </w:numPr>
              <w:tabs>
                <w:tab w:pos="875" w:val="left" w:leader="none"/>
                <w:tab w:pos="876" w:val="left" w:leader="none"/>
              </w:tabs>
              <w:spacing w:line="240" w:lineRule="auto" w:before="89" w:after="0"/>
              <w:ind w:left="875" w:right="0" w:hanging="737"/>
              <w:jc w:val="left"/>
              <w:rPr>
                <w:sz w:val="21"/>
              </w:rPr>
            </w:pPr>
            <w:r>
              <w:rPr>
                <w:spacing w:val="-3"/>
                <w:sz w:val="21"/>
              </w:rPr>
              <w:t>本附加合同；</w:t>
            </w:r>
          </w:p>
          <w:p>
            <w:pPr>
              <w:pStyle w:val="TableParagraph"/>
              <w:numPr>
                <w:ilvl w:val="0"/>
                <w:numId w:val="5"/>
              </w:numPr>
              <w:tabs>
                <w:tab w:pos="875" w:val="left" w:leader="none"/>
                <w:tab w:pos="876" w:val="left" w:leader="none"/>
              </w:tabs>
              <w:spacing w:line="240" w:lineRule="auto" w:before="116" w:after="0"/>
              <w:ind w:left="875" w:right="0" w:hanging="737"/>
              <w:jc w:val="left"/>
              <w:rPr>
                <w:sz w:val="21"/>
              </w:rPr>
            </w:pPr>
            <w:r>
              <w:rPr>
                <w:spacing w:val="-3"/>
                <w:sz w:val="21"/>
              </w:rPr>
              <w:t>您的有效身份证件。</w:t>
            </w:r>
          </w:p>
          <w:p>
            <w:pPr>
              <w:pStyle w:val="TableParagraph"/>
              <w:spacing w:line="273" w:lineRule="auto" w:before="113"/>
              <w:ind w:left="138"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6"/>
              <w:ind w:left="138"/>
              <w:rPr>
                <w:sz w:val="21"/>
              </w:rPr>
            </w:pPr>
            <w:r>
              <w:rPr>
                <w:sz w:val="21"/>
              </w:rPr>
              <w:t>您在犹豫期后解除合同会遭受一定损失。</w:t>
            </w:r>
          </w:p>
        </w:tc>
      </w:tr>
      <w:tr>
        <w:trPr>
          <w:trHeight w:val="596" w:hRule="atLeast"/>
        </w:trPr>
        <w:tc>
          <w:tcPr>
            <w:tcW w:w="664" w:type="dxa"/>
            <w:tcBorders>
              <w:bottom w:val="single" w:sz="8" w:space="0" w:color="000000"/>
            </w:tcBorders>
          </w:tcPr>
          <w:p>
            <w:pPr>
              <w:pStyle w:val="TableParagraph"/>
              <w:spacing w:before="109"/>
              <w:ind w:left="107"/>
              <w:rPr>
                <w:b/>
                <w:sz w:val="24"/>
              </w:rPr>
            </w:pPr>
            <w:r>
              <w:rPr>
                <w:b/>
                <w:sz w:val="24"/>
              </w:rPr>
              <w:t>8.</w:t>
            </w:r>
          </w:p>
        </w:tc>
        <w:tc>
          <w:tcPr>
            <w:tcW w:w="9262" w:type="dxa"/>
            <w:gridSpan w:val="2"/>
            <w:tcBorders>
              <w:bottom w:val="single" w:sz="8" w:space="0" w:color="000000"/>
            </w:tcBorders>
          </w:tcPr>
          <w:p>
            <w:pPr>
              <w:pStyle w:val="TableParagraph"/>
              <w:spacing w:before="109"/>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ind w:left="0"/>
              <w:rPr>
                <w:sz w:val="16"/>
              </w:rPr>
            </w:pPr>
          </w:p>
          <w:p>
            <w:pPr>
              <w:pStyle w:val="TableParagraph"/>
              <w:ind w:left="107"/>
              <w:rPr>
                <w:b/>
                <w:sz w:val="21"/>
              </w:rPr>
            </w:pPr>
            <w:r>
              <w:rPr>
                <w:b/>
                <w:sz w:val="21"/>
              </w:rPr>
              <w:t>8.1</w:t>
            </w:r>
          </w:p>
        </w:tc>
        <w:tc>
          <w:tcPr>
            <w:tcW w:w="1632" w:type="dxa"/>
            <w:tcBorders>
              <w:top w:val="single" w:sz="8" w:space="0" w:color="000000"/>
            </w:tcBorders>
          </w:tcPr>
          <w:p>
            <w:pPr>
              <w:pStyle w:val="TableParagraph"/>
              <w:ind w:left="0"/>
              <w:rPr>
                <w:sz w:val="16"/>
              </w:rPr>
            </w:pPr>
          </w:p>
          <w:p>
            <w:pPr>
              <w:pStyle w:val="TableParagraph"/>
              <w:ind w:left="238"/>
              <w:rPr>
                <w:b/>
                <w:sz w:val="21"/>
              </w:rPr>
            </w:pPr>
            <w:r>
              <w:rPr>
                <w:b/>
                <w:sz w:val="21"/>
              </w:rPr>
              <w:t>效力终止</w:t>
            </w:r>
          </w:p>
        </w:tc>
        <w:tc>
          <w:tcPr>
            <w:tcW w:w="7630" w:type="dxa"/>
            <w:tcBorders>
              <w:top w:val="single" w:sz="8" w:space="0" w:color="000000"/>
            </w:tcBorders>
          </w:tcPr>
          <w:p>
            <w:pPr>
              <w:pStyle w:val="TableParagraph"/>
              <w:ind w:left="0"/>
              <w:rPr>
                <w:sz w:val="16"/>
              </w:rPr>
            </w:pPr>
          </w:p>
          <w:p>
            <w:pPr>
              <w:pStyle w:val="TableParagraph"/>
              <w:ind w:left="138"/>
              <w:rPr>
                <w:sz w:val="21"/>
              </w:rPr>
            </w:pPr>
            <w:r>
              <w:rPr>
                <w:sz w:val="21"/>
              </w:rPr>
              <w:t>下列情况之一发生时，本附加合同效力终止：</w:t>
            </w:r>
          </w:p>
          <w:p>
            <w:pPr>
              <w:pStyle w:val="TableParagraph"/>
              <w:numPr>
                <w:ilvl w:val="0"/>
                <w:numId w:val="6"/>
              </w:numPr>
              <w:tabs>
                <w:tab w:pos="875" w:val="left" w:leader="none"/>
                <w:tab w:pos="876" w:val="left" w:leader="none"/>
              </w:tabs>
              <w:spacing w:line="240" w:lineRule="auto" w:before="116" w:after="0"/>
              <w:ind w:left="875" w:right="0" w:hanging="737"/>
              <w:jc w:val="left"/>
              <w:rPr>
                <w:sz w:val="21"/>
              </w:rPr>
            </w:pPr>
            <w:r>
              <w:rPr>
                <w:spacing w:val="-3"/>
                <w:sz w:val="21"/>
              </w:rPr>
              <w:t>被豁免合同效力终止；</w:t>
            </w:r>
          </w:p>
          <w:p>
            <w:pPr>
              <w:pStyle w:val="TableParagraph"/>
              <w:numPr>
                <w:ilvl w:val="0"/>
                <w:numId w:val="6"/>
              </w:numPr>
              <w:tabs>
                <w:tab w:pos="875" w:val="left" w:leader="none"/>
                <w:tab w:pos="876" w:val="left" w:leader="none"/>
              </w:tabs>
              <w:spacing w:line="240" w:lineRule="auto" w:before="114" w:after="0"/>
              <w:ind w:left="875" w:right="0" w:hanging="737"/>
              <w:jc w:val="left"/>
              <w:rPr>
                <w:sz w:val="21"/>
              </w:rPr>
            </w:pPr>
            <w:r>
              <w:rPr>
                <w:spacing w:val="-3"/>
                <w:sz w:val="21"/>
              </w:rPr>
              <w:t>本附加合同约定的合同效力终止情况。</w:t>
            </w:r>
          </w:p>
        </w:tc>
      </w:tr>
      <w:tr>
        <w:trPr>
          <w:trHeight w:val="3696" w:hRule="atLeast"/>
        </w:trPr>
        <w:tc>
          <w:tcPr>
            <w:tcW w:w="664" w:type="dxa"/>
          </w:tcPr>
          <w:p>
            <w:pPr>
              <w:pStyle w:val="TableParagraph"/>
              <w:spacing w:before="106"/>
              <w:ind w:left="107"/>
              <w:rPr>
                <w:b/>
                <w:sz w:val="21"/>
              </w:rPr>
            </w:pPr>
            <w:r>
              <w:rPr>
                <w:b/>
                <w:sz w:val="21"/>
              </w:rPr>
              <w:t>8.2</w:t>
            </w:r>
          </w:p>
        </w:tc>
        <w:tc>
          <w:tcPr>
            <w:tcW w:w="1632" w:type="dxa"/>
          </w:tcPr>
          <w:p>
            <w:pPr>
              <w:pStyle w:val="TableParagraph"/>
              <w:spacing w:line="271" w:lineRule="auto" w:before="106"/>
              <w:ind w:left="238" w:right="123"/>
              <w:rPr>
                <w:b/>
                <w:sz w:val="21"/>
              </w:rPr>
            </w:pPr>
            <w:r>
              <w:rPr>
                <w:b/>
                <w:sz w:val="21"/>
              </w:rPr>
              <w:t>适用主合同条款</w:t>
            </w:r>
          </w:p>
        </w:tc>
        <w:tc>
          <w:tcPr>
            <w:tcW w:w="7630" w:type="dxa"/>
          </w:tcPr>
          <w:p>
            <w:pPr>
              <w:pStyle w:val="TableParagraph"/>
              <w:spacing w:before="106"/>
              <w:ind w:left="138"/>
              <w:rPr>
                <w:sz w:val="21"/>
              </w:rPr>
            </w:pPr>
            <w:r>
              <w:rPr>
                <w:sz w:val="21"/>
              </w:rPr>
              <w:t>主合同订立的下列各项条款适用于本附加合同：</w:t>
            </w:r>
          </w:p>
          <w:p>
            <w:pPr>
              <w:pStyle w:val="TableParagraph"/>
              <w:numPr>
                <w:ilvl w:val="0"/>
                <w:numId w:val="7"/>
              </w:numPr>
              <w:tabs>
                <w:tab w:pos="846" w:val="left" w:leader="none"/>
                <w:tab w:pos="847" w:val="left" w:leader="none"/>
              </w:tabs>
              <w:spacing w:line="240" w:lineRule="auto" w:before="114" w:after="0"/>
              <w:ind w:left="846" w:right="0" w:hanging="720"/>
              <w:jc w:val="left"/>
              <w:rPr>
                <w:sz w:val="21"/>
              </w:rPr>
            </w:pPr>
            <w:r>
              <w:rPr>
                <w:spacing w:val="-3"/>
                <w:sz w:val="21"/>
              </w:rPr>
              <w:t>明确说明与如实告知；</w:t>
            </w:r>
          </w:p>
          <w:p>
            <w:pPr>
              <w:pStyle w:val="TableParagraph"/>
              <w:numPr>
                <w:ilvl w:val="0"/>
                <w:numId w:val="7"/>
              </w:numPr>
              <w:tabs>
                <w:tab w:pos="846" w:val="left" w:leader="none"/>
                <w:tab w:pos="847" w:val="left" w:leader="none"/>
              </w:tabs>
              <w:spacing w:line="240" w:lineRule="auto" w:before="116" w:after="0"/>
              <w:ind w:left="846" w:right="0" w:hanging="720"/>
              <w:jc w:val="left"/>
              <w:rPr>
                <w:sz w:val="21"/>
              </w:rPr>
            </w:pPr>
            <w:r>
              <w:rPr>
                <w:spacing w:val="-3"/>
                <w:sz w:val="21"/>
              </w:rPr>
              <w:t>我们合同解除权的限制；</w:t>
            </w:r>
          </w:p>
          <w:p>
            <w:pPr>
              <w:pStyle w:val="TableParagraph"/>
              <w:numPr>
                <w:ilvl w:val="0"/>
                <w:numId w:val="7"/>
              </w:numPr>
              <w:tabs>
                <w:tab w:pos="846" w:val="left" w:leader="none"/>
                <w:tab w:pos="847" w:val="left" w:leader="none"/>
              </w:tabs>
              <w:spacing w:line="240" w:lineRule="auto" w:before="113" w:after="0"/>
              <w:ind w:left="846" w:right="0" w:hanging="720"/>
              <w:jc w:val="left"/>
              <w:rPr>
                <w:sz w:val="21"/>
              </w:rPr>
            </w:pPr>
            <w:r>
              <w:rPr>
                <w:spacing w:val="-2"/>
                <w:sz w:val="21"/>
              </w:rPr>
              <w:t>年龄性别错误；</w:t>
            </w:r>
          </w:p>
          <w:p>
            <w:pPr>
              <w:pStyle w:val="TableParagraph"/>
              <w:numPr>
                <w:ilvl w:val="0"/>
                <w:numId w:val="7"/>
              </w:numPr>
              <w:tabs>
                <w:tab w:pos="846" w:val="left" w:leader="none"/>
                <w:tab w:pos="847" w:val="left" w:leader="none"/>
              </w:tabs>
              <w:spacing w:line="240" w:lineRule="auto" w:before="115" w:after="0"/>
              <w:ind w:left="846" w:right="0" w:hanging="720"/>
              <w:jc w:val="left"/>
              <w:rPr>
                <w:sz w:val="21"/>
              </w:rPr>
            </w:pPr>
            <w:r>
              <w:rPr>
                <w:spacing w:val="-1"/>
                <w:sz w:val="21"/>
              </w:rPr>
              <w:t>未还款项；</w:t>
            </w:r>
          </w:p>
          <w:p>
            <w:pPr>
              <w:pStyle w:val="TableParagraph"/>
              <w:numPr>
                <w:ilvl w:val="0"/>
                <w:numId w:val="7"/>
              </w:numPr>
              <w:tabs>
                <w:tab w:pos="846" w:val="left" w:leader="none"/>
                <w:tab w:pos="847" w:val="left" w:leader="none"/>
              </w:tabs>
              <w:spacing w:line="240" w:lineRule="auto" w:before="113" w:after="0"/>
              <w:ind w:left="846" w:right="0" w:hanging="720"/>
              <w:jc w:val="left"/>
              <w:rPr>
                <w:sz w:val="21"/>
              </w:rPr>
            </w:pPr>
            <w:r>
              <w:rPr>
                <w:spacing w:val="-2"/>
                <w:sz w:val="21"/>
              </w:rPr>
              <w:t>合同内容变更；</w:t>
            </w:r>
          </w:p>
          <w:p>
            <w:pPr>
              <w:pStyle w:val="TableParagraph"/>
              <w:numPr>
                <w:ilvl w:val="0"/>
                <w:numId w:val="7"/>
              </w:numPr>
              <w:tabs>
                <w:tab w:pos="846" w:val="left" w:leader="none"/>
                <w:tab w:pos="847" w:val="left" w:leader="none"/>
              </w:tabs>
              <w:spacing w:line="240" w:lineRule="auto" w:before="116" w:after="0"/>
              <w:ind w:left="846" w:right="0" w:hanging="720"/>
              <w:jc w:val="left"/>
              <w:rPr>
                <w:sz w:val="21"/>
              </w:rPr>
            </w:pPr>
            <w:r>
              <w:rPr>
                <w:spacing w:val="-2"/>
                <w:sz w:val="21"/>
              </w:rPr>
              <w:t>联系方式变更；</w:t>
            </w:r>
          </w:p>
          <w:p>
            <w:pPr>
              <w:pStyle w:val="TableParagraph"/>
              <w:numPr>
                <w:ilvl w:val="0"/>
                <w:numId w:val="7"/>
              </w:numPr>
              <w:tabs>
                <w:tab w:pos="846" w:val="left" w:leader="none"/>
                <w:tab w:pos="847" w:val="left" w:leader="none"/>
              </w:tabs>
              <w:spacing w:line="240" w:lineRule="auto" w:before="113" w:after="0"/>
              <w:ind w:left="846" w:right="0" w:hanging="720"/>
              <w:jc w:val="left"/>
              <w:rPr>
                <w:sz w:val="21"/>
              </w:rPr>
            </w:pPr>
            <w:r>
              <w:rPr>
                <w:spacing w:val="-2"/>
                <w:sz w:val="21"/>
              </w:rPr>
              <w:t>争议处理；</w:t>
            </w:r>
          </w:p>
          <w:p>
            <w:pPr>
              <w:pStyle w:val="TableParagraph"/>
              <w:numPr>
                <w:ilvl w:val="0"/>
                <w:numId w:val="7"/>
              </w:numPr>
              <w:tabs>
                <w:tab w:pos="846" w:val="left" w:leader="none"/>
                <w:tab w:pos="847" w:val="left" w:leader="none"/>
              </w:tabs>
              <w:spacing w:line="240" w:lineRule="auto" w:before="116" w:after="0"/>
              <w:ind w:left="846" w:right="0" w:hanging="720"/>
              <w:jc w:val="left"/>
              <w:rPr>
                <w:sz w:val="21"/>
              </w:rPr>
            </w:pPr>
            <w:r>
              <w:rPr>
                <w:spacing w:val="-2"/>
                <w:sz w:val="21"/>
              </w:rPr>
              <w:t>保险事故鉴定。</w:t>
            </w:r>
          </w:p>
        </w:tc>
      </w:tr>
      <w:tr>
        <w:trPr>
          <w:trHeight w:val="594" w:hRule="atLeast"/>
        </w:trPr>
        <w:tc>
          <w:tcPr>
            <w:tcW w:w="664" w:type="dxa"/>
            <w:tcBorders>
              <w:bottom w:val="single" w:sz="8" w:space="0" w:color="000000"/>
            </w:tcBorders>
          </w:tcPr>
          <w:p>
            <w:pPr>
              <w:pStyle w:val="TableParagraph"/>
              <w:spacing w:before="109"/>
              <w:ind w:left="107"/>
              <w:rPr>
                <w:b/>
                <w:sz w:val="24"/>
              </w:rPr>
            </w:pPr>
            <w:r>
              <w:rPr>
                <w:b/>
                <w:sz w:val="24"/>
              </w:rPr>
              <w:t>9.</w:t>
            </w:r>
          </w:p>
        </w:tc>
        <w:tc>
          <w:tcPr>
            <w:tcW w:w="9262" w:type="dxa"/>
            <w:gridSpan w:val="2"/>
            <w:tcBorders>
              <w:bottom w:val="single" w:sz="8" w:space="0" w:color="000000"/>
            </w:tcBorders>
          </w:tcPr>
          <w:p>
            <w:pPr>
              <w:pStyle w:val="TableParagraph"/>
              <w:spacing w:before="109"/>
              <w:ind w:left="238"/>
              <w:rPr>
                <w:b/>
                <w:sz w:val="24"/>
              </w:rPr>
            </w:pPr>
            <w:r>
              <w:rPr>
                <w:b/>
                <w:w w:val="95"/>
                <w:sz w:val="24"/>
              </w:rPr>
              <w:t>重大疾病定义</w:t>
            </w:r>
          </w:p>
        </w:tc>
      </w:tr>
      <w:tr>
        <w:trPr>
          <w:trHeight w:val="492" w:hRule="atLeast"/>
        </w:trPr>
        <w:tc>
          <w:tcPr>
            <w:tcW w:w="664" w:type="dxa"/>
            <w:tcBorders>
              <w:top w:val="single" w:sz="8" w:space="0" w:color="000000"/>
            </w:tcBorders>
          </w:tcPr>
          <w:p>
            <w:pPr>
              <w:pStyle w:val="TableParagraph"/>
              <w:ind w:left="0"/>
              <w:rPr>
                <w:rFonts w:ascii="Times New Roman"/>
                <w:sz w:val="20"/>
              </w:rPr>
            </w:pPr>
          </w:p>
        </w:tc>
        <w:tc>
          <w:tcPr>
            <w:tcW w:w="1632" w:type="dxa"/>
            <w:tcBorders>
              <w:top w:val="single" w:sz="8" w:space="0" w:color="000000"/>
            </w:tcBorders>
          </w:tcPr>
          <w:p>
            <w:pPr>
              <w:pStyle w:val="TableParagraph"/>
              <w:ind w:left="0"/>
              <w:rPr>
                <w:rFonts w:ascii="Times New Roman"/>
                <w:sz w:val="20"/>
              </w:rPr>
            </w:pPr>
          </w:p>
        </w:tc>
        <w:tc>
          <w:tcPr>
            <w:tcW w:w="7630" w:type="dxa"/>
            <w:tcBorders>
              <w:top w:val="single" w:sz="8" w:space="0" w:color="000000"/>
            </w:tcBorders>
          </w:tcPr>
          <w:p>
            <w:pPr>
              <w:pStyle w:val="TableParagraph"/>
              <w:spacing w:before="2"/>
              <w:ind w:left="0"/>
              <w:rPr>
                <w:sz w:val="16"/>
              </w:rPr>
            </w:pPr>
          </w:p>
          <w:p>
            <w:pPr>
              <w:pStyle w:val="TableParagraph"/>
              <w:spacing w:line="261" w:lineRule="exact"/>
              <w:ind w:left="138"/>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w:t>
            </w:r>
          </w:p>
        </w:tc>
      </w:tr>
    </w:tbl>
    <w:p>
      <w:pPr>
        <w:spacing w:after="0" w:line="261" w:lineRule="exact"/>
        <w:rPr>
          <w:sz w:val="21"/>
        </w:rPr>
        <w:sectPr>
          <w:pgSz w:w="11910" w:h="16840"/>
          <w:pgMar w:top="112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1010"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824" w:type="dxa"/>
          </w:tcPr>
          <w:p>
            <w:pPr>
              <w:pStyle w:val="TableParagraph"/>
              <w:spacing w:line="211" w:lineRule="exact"/>
              <w:rPr>
                <w:sz w:val="21"/>
              </w:rPr>
            </w:pPr>
            <w:r>
              <w:rPr>
                <w:spacing w:val="-7"/>
                <w:sz w:val="21"/>
              </w:rPr>
              <w:t>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p>
          <w:p>
            <w:pPr>
              <w:pStyle w:val="TableParagraph"/>
              <w:spacing w:line="273" w:lineRule="auto" w:before="37"/>
              <w:ind w:right="332"/>
              <w:rPr>
                <w:sz w:val="21"/>
              </w:rPr>
            </w:pPr>
            <w:r>
              <w:rPr>
                <w:spacing w:val="-5"/>
                <w:sz w:val="21"/>
              </w:rPr>
              <w:t>的疾病，且疾病名称和疾病定义与“规范”一致，第 </w:t>
            </w:r>
            <w:r>
              <w:rPr>
                <w:sz w:val="21"/>
              </w:rPr>
              <w:t>26</w:t>
            </w:r>
            <w:r>
              <w:rPr>
                <w:spacing w:val="-31"/>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756" w:type="dxa"/>
          </w:tcPr>
          <w:p>
            <w:pPr>
              <w:pStyle w:val="TableParagraph"/>
              <w:spacing w:before="111"/>
              <w:ind w:left="200"/>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824" w:type="dxa"/>
          </w:tcPr>
          <w:p>
            <w:pPr>
              <w:pStyle w:val="TableParagraph"/>
              <w:spacing w:line="273" w:lineRule="auto" w:before="111"/>
              <w:ind w:right="198"/>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5"/>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8"/>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8"/>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8"/>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8"/>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8"/>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756" w:type="dxa"/>
          </w:tcPr>
          <w:p>
            <w:pPr>
              <w:pStyle w:val="TableParagraph"/>
              <w:spacing w:before="110"/>
              <w:ind w:left="200"/>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824" w:type="dxa"/>
          </w:tcPr>
          <w:p>
            <w:pPr>
              <w:pStyle w:val="TableParagraph"/>
              <w:spacing w:line="273" w:lineRule="auto" w:before="110"/>
              <w:ind w:right="332"/>
              <w:rPr>
                <w:sz w:val="21"/>
              </w:rPr>
            </w:pPr>
            <w:r>
              <w:rPr>
                <w:sz w:val="21"/>
              </w:rPr>
              <w:t>指因冠状动脉阻塞导致的相应区域供血不足造成部分心肌坏死。须满足下列至少三项条件：</w:t>
            </w:r>
          </w:p>
          <w:p>
            <w:pPr>
              <w:pStyle w:val="TableParagraph"/>
              <w:numPr>
                <w:ilvl w:val="0"/>
                <w:numId w:val="9"/>
              </w:numPr>
              <w:tabs>
                <w:tab w:pos="869" w:val="left" w:leader="none"/>
                <w:tab w:pos="870" w:val="left" w:leader="none"/>
              </w:tabs>
              <w:spacing w:line="240" w:lineRule="auto" w:before="86" w:after="0"/>
              <w:ind w:left="852" w:right="0" w:hanging="720"/>
              <w:jc w:val="left"/>
              <w:rPr>
                <w:sz w:val="21"/>
              </w:rPr>
            </w:pPr>
            <w:r>
              <w:rPr>
                <w:spacing w:val="-3"/>
                <w:sz w:val="21"/>
              </w:rPr>
              <w:t>典型临床表现，例如急性胸痛等；</w:t>
            </w:r>
          </w:p>
          <w:p>
            <w:pPr>
              <w:pStyle w:val="TableParagraph"/>
              <w:numPr>
                <w:ilvl w:val="0"/>
                <w:numId w:val="9"/>
              </w:numPr>
              <w:tabs>
                <w:tab w:pos="869" w:val="left" w:leader="none"/>
                <w:tab w:pos="870" w:val="left" w:leader="none"/>
              </w:tabs>
              <w:spacing w:line="240" w:lineRule="auto" w:before="113" w:after="0"/>
              <w:ind w:left="852" w:right="0" w:hanging="720"/>
              <w:jc w:val="left"/>
              <w:rPr>
                <w:sz w:val="21"/>
              </w:rPr>
            </w:pPr>
            <w:r>
              <w:rPr>
                <w:spacing w:val="-3"/>
                <w:sz w:val="21"/>
              </w:rPr>
              <w:t>新近的心电图改变提示急性心肌梗塞；</w:t>
            </w:r>
          </w:p>
          <w:p>
            <w:pPr>
              <w:pStyle w:val="TableParagraph"/>
              <w:numPr>
                <w:ilvl w:val="0"/>
                <w:numId w:val="9"/>
              </w:numPr>
              <w:tabs>
                <w:tab w:pos="834" w:val="left" w:leader="none"/>
              </w:tabs>
              <w:spacing w:line="271" w:lineRule="auto" w:before="116"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9"/>
              </w:numPr>
              <w:tabs>
                <w:tab w:pos="862" w:val="left" w:leader="none"/>
                <w:tab w:pos="863" w:val="left" w:leader="none"/>
              </w:tabs>
              <w:spacing w:line="240" w:lineRule="auto" w:before="89"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824" w:type="dxa"/>
          </w:tcPr>
          <w:p>
            <w:pPr>
              <w:pStyle w:val="TableParagraph"/>
              <w:spacing w:line="273" w:lineRule="auto" w:before="110"/>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0"/>
              </w:numPr>
              <w:tabs>
                <w:tab w:pos="869" w:val="left" w:leader="none"/>
                <w:tab w:pos="870" w:val="left" w:leader="none"/>
              </w:tabs>
              <w:spacing w:line="240" w:lineRule="auto" w:before="86" w:after="0"/>
              <w:ind w:left="867" w:right="0" w:hanging="735"/>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10"/>
              </w:numPr>
              <w:tabs>
                <w:tab w:pos="866" w:val="left" w:leader="none"/>
                <w:tab w:pos="867" w:val="left" w:leader="none"/>
              </w:tabs>
              <w:spacing w:line="240" w:lineRule="auto" w:before="113" w:after="0"/>
              <w:ind w:left="867"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10"/>
              </w:numPr>
              <w:tabs>
                <w:tab w:pos="855" w:val="left" w:leader="none"/>
              </w:tabs>
              <w:spacing w:line="271" w:lineRule="auto" w:before="116" w:after="0"/>
              <w:ind w:left="867" w:right="307" w:hanging="735"/>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1887" w:hRule="atLeast"/>
        </w:trPr>
        <w:tc>
          <w:tcPr>
            <w:tcW w:w="756" w:type="dxa"/>
          </w:tcPr>
          <w:p>
            <w:pPr>
              <w:pStyle w:val="TableParagraph"/>
              <w:spacing w:before="111"/>
              <w:ind w:left="200"/>
              <w:rPr>
                <w:b/>
                <w:sz w:val="21"/>
              </w:rPr>
            </w:pPr>
            <w:r>
              <w:rPr>
                <w:b/>
                <w:sz w:val="21"/>
              </w:rPr>
              <w:t>9.4</w:t>
            </w:r>
          </w:p>
        </w:tc>
        <w:tc>
          <w:tcPr>
            <w:tcW w:w="1638" w:type="dxa"/>
          </w:tcPr>
          <w:p>
            <w:pPr>
              <w:pStyle w:val="TableParagraph"/>
              <w:spacing w:line="273" w:lineRule="auto" w:before="111"/>
              <w:ind w:left="238" w:right="129"/>
              <w:jc w:val="both"/>
              <w:rPr>
                <w:b/>
                <w:sz w:val="21"/>
              </w:rPr>
            </w:pPr>
            <w:r>
              <w:rPr>
                <w:b/>
                <w:sz w:val="21"/>
              </w:rPr>
              <w:t>重大器官移植术或造血干细胞移植术</w:t>
            </w:r>
          </w:p>
        </w:tc>
        <w:tc>
          <w:tcPr>
            <w:tcW w:w="7824" w:type="dxa"/>
          </w:tcPr>
          <w:p>
            <w:pPr>
              <w:pStyle w:val="TableParagraph"/>
              <w:spacing w:line="273"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1" w:lineRule="auto" w:before="86"/>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22" w:hRule="atLeast"/>
        </w:trPr>
        <w:tc>
          <w:tcPr>
            <w:tcW w:w="756" w:type="dxa"/>
          </w:tcPr>
          <w:p>
            <w:pPr>
              <w:pStyle w:val="TableParagraph"/>
              <w:spacing w:before="111"/>
              <w:ind w:left="200"/>
              <w:rPr>
                <w:b/>
                <w:sz w:val="21"/>
              </w:rPr>
            </w:pPr>
            <w:r>
              <w:rPr>
                <w:b/>
                <w:sz w:val="21"/>
              </w:rPr>
              <w:t>9.5</w:t>
            </w:r>
          </w:p>
        </w:tc>
        <w:tc>
          <w:tcPr>
            <w:tcW w:w="1638" w:type="dxa"/>
          </w:tcPr>
          <w:p>
            <w:pPr>
              <w:pStyle w:val="TableParagraph"/>
              <w:spacing w:line="310" w:lineRule="atLeast" w:before="76"/>
              <w:ind w:left="238" w:right="129"/>
              <w:jc w:val="both"/>
              <w:rPr>
                <w:b/>
                <w:sz w:val="21"/>
              </w:rPr>
            </w:pPr>
            <w:r>
              <w:rPr>
                <w:b/>
                <w:sz w:val="21"/>
              </w:rPr>
              <w:t>冠状动脉搭桥术（或称冠状动脉旁路移植术）</w:t>
            </w:r>
          </w:p>
        </w:tc>
        <w:tc>
          <w:tcPr>
            <w:tcW w:w="7824"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1" w:lineRule="auto" w:before="116"/>
              <w:ind w:right="332"/>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bl>
    <w:p>
      <w:pPr>
        <w:spacing w:after="0" w:line="271" w:lineRule="auto"/>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2"/>
      </w:tblGrid>
      <w:tr>
        <w:trPr>
          <w:trHeight w:val="1322" w:hRule="atLeast"/>
        </w:trPr>
        <w:tc>
          <w:tcPr>
            <w:tcW w:w="809" w:type="dxa"/>
          </w:tcPr>
          <w:p>
            <w:pPr>
              <w:pStyle w:val="TableParagraph"/>
              <w:spacing w:line="211" w:lineRule="exact"/>
              <w:ind w:left="200"/>
              <w:rPr>
                <w:b/>
                <w:sz w:val="21"/>
              </w:rPr>
            </w:pPr>
            <w:r>
              <w:rPr>
                <w:b/>
                <w:sz w:val="21"/>
              </w:rPr>
              <w:t>9.6</w:t>
            </w:r>
          </w:p>
        </w:tc>
        <w:tc>
          <w:tcPr>
            <w:tcW w:w="1586" w:type="dxa"/>
          </w:tcPr>
          <w:p>
            <w:pPr>
              <w:pStyle w:val="TableParagraph"/>
              <w:spacing w:line="211" w:lineRule="exact"/>
              <w:ind w:left="185"/>
              <w:rPr>
                <w:b/>
                <w:sz w:val="21"/>
              </w:rPr>
            </w:pPr>
            <w:r>
              <w:rPr>
                <w:b/>
                <w:sz w:val="21"/>
              </w:rPr>
              <w:t>终末期肾病</w:t>
            </w:r>
          </w:p>
          <w:p>
            <w:pPr>
              <w:pStyle w:val="TableParagraph"/>
              <w:spacing w:line="273" w:lineRule="auto" w:before="37"/>
              <w:ind w:left="185" w:right="130"/>
              <w:jc w:val="both"/>
              <w:rPr>
                <w:b/>
                <w:sz w:val="21"/>
              </w:rPr>
            </w:pPr>
            <w:r>
              <w:rPr>
                <w:b/>
                <w:sz w:val="21"/>
              </w:rPr>
              <w:t>（或称慢性肾功能衰竭尿毒症期）</w:t>
            </w:r>
          </w:p>
        </w:tc>
        <w:tc>
          <w:tcPr>
            <w:tcW w:w="7822" w:type="dxa"/>
          </w:tcPr>
          <w:p>
            <w:pPr>
              <w:pStyle w:val="TableParagraph"/>
              <w:spacing w:line="211" w:lineRule="exact"/>
              <w:rPr>
                <w:sz w:val="21"/>
              </w:rPr>
            </w:pPr>
            <w:r>
              <w:rPr>
                <w:sz w:val="21"/>
              </w:rPr>
              <w:t>指双肾功能慢性不可逆性衰竭，达到尿毒症期，经诊断后已经进行了至少 90 天的</w:t>
            </w:r>
          </w:p>
          <w:p>
            <w:pPr>
              <w:pStyle w:val="TableParagraph"/>
              <w:spacing w:before="37"/>
              <w:rPr>
                <w:sz w:val="21"/>
              </w:rPr>
            </w:pPr>
            <w:r>
              <w:rPr>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9.7</w:t>
            </w:r>
          </w:p>
        </w:tc>
        <w:tc>
          <w:tcPr>
            <w:tcW w:w="1586" w:type="dxa"/>
          </w:tcPr>
          <w:p>
            <w:pPr>
              <w:pStyle w:val="TableParagraph"/>
              <w:spacing w:before="111"/>
              <w:ind w:left="185"/>
              <w:rPr>
                <w:b/>
                <w:sz w:val="21"/>
              </w:rPr>
            </w:pPr>
            <w:r>
              <w:rPr>
                <w:b/>
                <w:sz w:val="21"/>
              </w:rPr>
              <w:t>多个肢体缺失</w:t>
            </w:r>
          </w:p>
        </w:tc>
        <w:tc>
          <w:tcPr>
            <w:tcW w:w="7822" w:type="dxa"/>
          </w:tcPr>
          <w:p>
            <w:pPr>
              <w:pStyle w:val="TableParagraph"/>
              <w:spacing w:line="271" w:lineRule="auto" w:before="111"/>
              <w:ind w:right="331"/>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spacing w:before="111"/>
              <w:ind w:left="200"/>
              <w:rPr>
                <w:b/>
                <w:sz w:val="21"/>
              </w:rPr>
            </w:pPr>
            <w:r>
              <w:rPr>
                <w:b/>
                <w:sz w:val="21"/>
              </w:rPr>
              <w:t>9.8</w:t>
            </w:r>
          </w:p>
        </w:tc>
        <w:tc>
          <w:tcPr>
            <w:tcW w:w="1586" w:type="dxa"/>
          </w:tcPr>
          <w:p>
            <w:pPr>
              <w:pStyle w:val="TableParagraph"/>
              <w:spacing w:line="273" w:lineRule="auto" w:before="111"/>
              <w:ind w:left="185" w:right="130"/>
              <w:rPr>
                <w:b/>
                <w:sz w:val="21"/>
              </w:rPr>
            </w:pPr>
            <w:r>
              <w:rPr>
                <w:b/>
                <w:sz w:val="21"/>
              </w:rPr>
              <w:t>急性或亚急性重症肝炎</w:t>
            </w:r>
          </w:p>
        </w:tc>
        <w:tc>
          <w:tcPr>
            <w:tcW w:w="7822" w:type="dxa"/>
          </w:tcPr>
          <w:p>
            <w:pPr>
              <w:pStyle w:val="TableParagraph"/>
              <w:spacing w:line="273" w:lineRule="auto" w:before="111"/>
              <w:ind w:right="331"/>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1"/>
              </w:numPr>
              <w:tabs>
                <w:tab w:pos="868" w:val="left" w:leader="none"/>
                <w:tab w:pos="869" w:val="left" w:leader="none"/>
              </w:tabs>
              <w:spacing w:line="240" w:lineRule="auto" w:before="86" w:after="0"/>
              <w:ind w:left="868" w:right="0" w:hanging="737"/>
              <w:jc w:val="left"/>
              <w:rPr>
                <w:sz w:val="21"/>
              </w:rPr>
            </w:pPr>
            <w:r>
              <w:rPr>
                <w:spacing w:val="-3"/>
                <w:sz w:val="21"/>
              </w:rPr>
              <w:t>重度黄疸或黄疸迅速加重；</w:t>
            </w:r>
          </w:p>
          <w:p>
            <w:pPr>
              <w:pStyle w:val="TableParagraph"/>
              <w:numPr>
                <w:ilvl w:val="0"/>
                <w:numId w:val="11"/>
              </w:numPr>
              <w:tabs>
                <w:tab w:pos="868" w:val="left" w:leader="none"/>
                <w:tab w:pos="869" w:val="left" w:leader="none"/>
              </w:tabs>
              <w:spacing w:line="240" w:lineRule="auto" w:before="113" w:after="0"/>
              <w:ind w:left="868" w:right="0" w:hanging="737"/>
              <w:jc w:val="left"/>
              <w:rPr>
                <w:sz w:val="21"/>
              </w:rPr>
            </w:pPr>
            <w:r>
              <w:rPr>
                <w:spacing w:val="-3"/>
                <w:sz w:val="21"/>
              </w:rPr>
              <w:t>肝性脑病；</w:t>
            </w:r>
          </w:p>
          <w:p>
            <w:pPr>
              <w:pStyle w:val="TableParagraph"/>
              <w:numPr>
                <w:ilvl w:val="0"/>
                <w:numId w:val="11"/>
              </w:numPr>
              <w:tabs>
                <w:tab w:pos="868" w:val="left" w:leader="none"/>
                <w:tab w:pos="869" w:val="left" w:leader="none"/>
              </w:tabs>
              <w:spacing w:line="240" w:lineRule="auto" w:before="116" w:after="0"/>
              <w:ind w:left="868" w:right="0" w:hanging="737"/>
              <w:jc w:val="left"/>
              <w:rPr>
                <w:sz w:val="21"/>
              </w:rPr>
            </w:pPr>
            <w:r>
              <w:rPr>
                <w:sz w:val="21"/>
              </w:rPr>
              <w:t>B</w:t>
            </w:r>
            <w:r>
              <w:rPr>
                <w:spacing w:val="-7"/>
                <w:sz w:val="21"/>
              </w:rPr>
              <w:t> 超或其它影像学检查显示肝脏体积急速萎缩；</w:t>
            </w:r>
          </w:p>
          <w:p>
            <w:pPr>
              <w:pStyle w:val="TableParagraph"/>
              <w:numPr>
                <w:ilvl w:val="0"/>
                <w:numId w:val="11"/>
              </w:numPr>
              <w:tabs>
                <w:tab w:pos="868" w:val="left" w:leader="none"/>
                <w:tab w:pos="869" w:val="left" w:leader="none"/>
              </w:tabs>
              <w:spacing w:line="240" w:lineRule="auto" w:before="114" w:after="0"/>
              <w:ind w:left="868"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6" w:type="dxa"/>
          </w:tcPr>
          <w:p>
            <w:pPr>
              <w:pStyle w:val="TableParagraph"/>
              <w:spacing w:before="110"/>
              <w:ind w:left="185"/>
              <w:rPr>
                <w:b/>
                <w:sz w:val="21"/>
              </w:rPr>
            </w:pPr>
            <w:r>
              <w:rPr>
                <w:b/>
                <w:sz w:val="21"/>
              </w:rPr>
              <w:t>良性脑肿瘤</w:t>
            </w:r>
          </w:p>
        </w:tc>
        <w:tc>
          <w:tcPr>
            <w:tcW w:w="7822" w:type="dxa"/>
          </w:tcPr>
          <w:p>
            <w:pPr>
              <w:pStyle w:val="TableParagraph"/>
              <w:spacing w:line="273" w:lineRule="auto" w:before="110"/>
              <w:ind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2"/>
              </w:numPr>
              <w:tabs>
                <w:tab w:pos="869" w:val="left" w:leader="none"/>
              </w:tabs>
              <w:spacing w:line="240" w:lineRule="auto" w:before="86" w:after="0"/>
              <w:ind w:left="868" w:right="0" w:hanging="737"/>
              <w:jc w:val="both"/>
              <w:rPr>
                <w:sz w:val="21"/>
              </w:rPr>
            </w:pPr>
            <w:r>
              <w:rPr>
                <w:spacing w:val="-3"/>
                <w:sz w:val="21"/>
              </w:rPr>
              <w:t>实际实施了开颅进行的脑肿瘤完全切除或部分切除的手术；</w:t>
            </w:r>
          </w:p>
          <w:p>
            <w:pPr>
              <w:pStyle w:val="TableParagraph"/>
              <w:numPr>
                <w:ilvl w:val="0"/>
                <w:numId w:val="12"/>
              </w:numPr>
              <w:tabs>
                <w:tab w:pos="869" w:val="left" w:leader="none"/>
              </w:tabs>
              <w:spacing w:line="240" w:lineRule="auto" w:before="113" w:after="0"/>
              <w:ind w:left="868" w:right="0" w:hanging="737"/>
              <w:jc w:val="both"/>
              <w:rPr>
                <w:sz w:val="21"/>
              </w:rPr>
            </w:pPr>
            <w:r>
              <w:rPr>
                <w:spacing w:val="-3"/>
                <w:sz w:val="21"/>
              </w:rPr>
              <w:t>实际实施了对脑肿瘤进行的放射治疗。</w:t>
            </w:r>
          </w:p>
          <w:p>
            <w:pPr>
              <w:pStyle w:val="TableParagraph"/>
              <w:spacing w:before="116"/>
              <w:jc w:val="both"/>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09" w:type="dxa"/>
          </w:tcPr>
          <w:p>
            <w:pPr>
              <w:pStyle w:val="TableParagraph"/>
              <w:spacing w:before="110"/>
              <w:ind w:left="200"/>
              <w:rPr>
                <w:b/>
                <w:sz w:val="21"/>
              </w:rPr>
            </w:pPr>
            <w:r>
              <w:rPr>
                <w:b/>
                <w:sz w:val="21"/>
              </w:rPr>
              <w:t>9.10</w:t>
            </w:r>
          </w:p>
        </w:tc>
        <w:tc>
          <w:tcPr>
            <w:tcW w:w="1586" w:type="dxa"/>
          </w:tcPr>
          <w:p>
            <w:pPr>
              <w:pStyle w:val="TableParagraph"/>
              <w:spacing w:line="273" w:lineRule="auto" w:before="110"/>
              <w:ind w:left="185" w:right="130"/>
              <w:rPr>
                <w:b/>
                <w:sz w:val="21"/>
              </w:rPr>
            </w:pPr>
            <w:r>
              <w:rPr>
                <w:b/>
                <w:sz w:val="21"/>
              </w:rPr>
              <w:t>慢性肝功能衰竭失代偿期</w:t>
            </w:r>
          </w:p>
        </w:tc>
        <w:tc>
          <w:tcPr>
            <w:tcW w:w="7822" w:type="dxa"/>
          </w:tcPr>
          <w:p>
            <w:pPr>
              <w:pStyle w:val="TableParagraph"/>
              <w:spacing w:before="110"/>
              <w:rPr>
                <w:sz w:val="21"/>
              </w:rPr>
            </w:pPr>
            <w:r>
              <w:rPr>
                <w:sz w:val="21"/>
              </w:rPr>
              <w:t>指因慢性肝脏疾病导致肝功能衰竭。须满足下列全部条件：</w:t>
            </w:r>
          </w:p>
          <w:p>
            <w:pPr>
              <w:pStyle w:val="TableParagraph"/>
              <w:numPr>
                <w:ilvl w:val="0"/>
                <w:numId w:val="13"/>
              </w:numPr>
              <w:tabs>
                <w:tab w:pos="868" w:val="left" w:leader="none"/>
                <w:tab w:pos="869" w:val="left" w:leader="none"/>
              </w:tabs>
              <w:spacing w:line="240" w:lineRule="auto" w:before="116" w:after="0"/>
              <w:ind w:left="868" w:right="0" w:hanging="737"/>
              <w:jc w:val="left"/>
              <w:rPr>
                <w:sz w:val="21"/>
              </w:rPr>
            </w:pPr>
            <w:r>
              <w:rPr>
                <w:spacing w:val="-3"/>
                <w:sz w:val="21"/>
              </w:rPr>
              <w:t>持续性黄疸；</w:t>
            </w:r>
          </w:p>
          <w:p>
            <w:pPr>
              <w:pStyle w:val="TableParagraph"/>
              <w:numPr>
                <w:ilvl w:val="0"/>
                <w:numId w:val="13"/>
              </w:numPr>
              <w:tabs>
                <w:tab w:pos="868" w:val="left" w:leader="none"/>
                <w:tab w:pos="869" w:val="left" w:leader="none"/>
              </w:tabs>
              <w:spacing w:line="240" w:lineRule="auto" w:before="114" w:after="0"/>
              <w:ind w:left="868" w:right="0" w:hanging="737"/>
              <w:jc w:val="left"/>
              <w:rPr>
                <w:sz w:val="21"/>
              </w:rPr>
            </w:pPr>
            <w:r>
              <w:rPr>
                <w:spacing w:val="-2"/>
                <w:sz w:val="21"/>
              </w:rPr>
              <w:t>腹水；</w:t>
            </w:r>
          </w:p>
          <w:p>
            <w:pPr>
              <w:pStyle w:val="TableParagraph"/>
              <w:numPr>
                <w:ilvl w:val="0"/>
                <w:numId w:val="13"/>
              </w:numPr>
              <w:tabs>
                <w:tab w:pos="868" w:val="left" w:leader="none"/>
                <w:tab w:pos="869" w:val="left" w:leader="none"/>
              </w:tabs>
              <w:spacing w:line="240" w:lineRule="auto" w:before="117" w:after="0"/>
              <w:ind w:left="868" w:right="0" w:hanging="737"/>
              <w:jc w:val="left"/>
              <w:rPr>
                <w:sz w:val="21"/>
              </w:rPr>
            </w:pPr>
            <w:r>
              <w:rPr>
                <w:spacing w:val="-3"/>
                <w:sz w:val="21"/>
              </w:rPr>
              <w:t>肝性脑病；</w:t>
            </w:r>
          </w:p>
          <w:p>
            <w:pPr>
              <w:pStyle w:val="TableParagraph"/>
              <w:numPr>
                <w:ilvl w:val="0"/>
                <w:numId w:val="13"/>
              </w:numPr>
              <w:tabs>
                <w:tab w:pos="868" w:val="left" w:leader="none"/>
                <w:tab w:pos="869" w:val="left" w:leader="none"/>
              </w:tabs>
              <w:spacing w:line="240" w:lineRule="auto" w:before="114" w:after="0"/>
              <w:ind w:left="868" w:right="0" w:hanging="737"/>
              <w:jc w:val="left"/>
              <w:rPr>
                <w:sz w:val="21"/>
              </w:rPr>
            </w:pPr>
            <w:r>
              <w:rPr>
                <w:spacing w:val="-3"/>
                <w:sz w:val="21"/>
              </w:rPr>
              <w:t>充血性脾肿大伴脾功能亢进或食管胃底静脉曲张。</w:t>
            </w:r>
          </w:p>
          <w:p>
            <w:pPr>
              <w:pStyle w:val="TableParagraph"/>
              <w:spacing w:before="116"/>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586" w:type="dxa"/>
          </w:tcPr>
          <w:p>
            <w:pPr>
              <w:pStyle w:val="TableParagraph"/>
              <w:spacing w:line="273" w:lineRule="auto" w:before="110"/>
              <w:ind w:left="185" w:right="130"/>
              <w:rPr>
                <w:b/>
                <w:sz w:val="21"/>
              </w:rPr>
            </w:pPr>
            <w:r>
              <w:rPr>
                <w:b/>
                <w:sz w:val="21"/>
              </w:rPr>
              <w:t>脑炎后遗症或脑膜炎后遗症</w:t>
            </w:r>
          </w:p>
        </w:tc>
        <w:tc>
          <w:tcPr>
            <w:tcW w:w="7822" w:type="dxa"/>
          </w:tcPr>
          <w:p>
            <w:pPr>
              <w:pStyle w:val="TableParagraph"/>
              <w:spacing w:line="273" w:lineRule="auto" w:before="110"/>
              <w:ind w:right="331"/>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4"/>
              </w:numPr>
              <w:tabs>
                <w:tab w:pos="868" w:val="left" w:leader="none"/>
                <w:tab w:pos="869" w:val="left" w:leader="none"/>
              </w:tabs>
              <w:spacing w:line="240" w:lineRule="auto" w:before="86" w:after="0"/>
              <w:ind w:left="866" w:right="0" w:hanging="735"/>
              <w:jc w:val="left"/>
              <w:rPr>
                <w:sz w:val="21"/>
              </w:rPr>
            </w:pPr>
            <w:r>
              <w:rPr>
                <w:spacing w:val="-3"/>
                <w:sz w:val="21"/>
              </w:rPr>
              <w:t>一肢或一肢以上肢体机能完全丧失；</w:t>
            </w:r>
          </w:p>
          <w:p>
            <w:pPr>
              <w:pStyle w:val="TableParagraph"/>
              <w:numPr>
                <w:ilvl w:val="0"/>
                <w:numId w:val="14"/>
              </w:numPr>
              <w:tabs>
                <w:tab w:pos="868" w:val="left" w:leader="none"/>
                <w:tab w:pos="869" w:val="left" w:leader="none"/>
              </w:tabs>
              <w:spacing w:line="240" w:lineRule="auto" w:before="113" w:after="0"/>
              <w:ind w:left="866" w:right="0" w:hanging="735"/>
              <w:jc w:val="left"/>
              <w:rPr>
                <w:sz w:val="21"/>
              </w:rPr>
            </w:pPr>
            <w:r>
              <w:rPr>
                <w:spacing w:val="-3"/>
                <w:sz w:val="21"/>
              </w:rPr>
              <w:t>语言能力或咀嚼吞咽能力完全丧失；</w:t>
            </w:r>
          </w:p>
          <w:p>
            <w:pPr>
              <w:pStyle w:val="TableParagraph"/>
              <w:numPr>
                <w:ilvl w:val="0"/>
                <w:numId w:val="14"/>
              </w:numPr>
              <w:tabs>
                <w:tab w:pos="833" w:val="left" w:leader="none"/>
              </w:tabs>
              <w:spacing w:line="271" w:lineRule="auto" w:before="116" w:after="0"/>
              <w:ind w:left="866" w:right="302" w:hanging="735"/>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1"/>
              <w:ind w:left="200"/>
              <w:rPr>
                <w:b/>
                <w:sz w:val="21"/>
              </w:rPr>
            </w:pPr>
            <w:r>
              <w:rPr>
                <w:b/>
                <w:sz w:val="21"/>
              </w:rPr>
              <w:t>9.12</w:t>
            </w:r>
          </w:p>
        </w:tc>
        <w:tc>
          <w:tcPr>
            <w:tcW w:w="1586" w:type="dxa"/>
          </w:tcPr>
          <w:p>
            <w:pPr>
              <w:pStyle w:val="TableParagraph"/>
              <w:spacing w:before="111"/>
              <w:ind w:left="185"/>
              <w:rPr>
                <w:b/>
                <w:sz w:val="21"/>
              </w:rPr>
            </w:pPr>
            <w:r>
              <w:rPr>
                <w:b/>
                <w:sz w:val="21"/>
              </w:rPr>
              <w:t>深度昏迷</w:t>
            </w:r>
          </w:p>
        </w:tc>
        <w:tc>
          <w:tcPr>
            <w:tcW w:w="7822" w:type="dxa"/>
          </w:tcPr>
          <w:p>
            <w:pPr>
              <w:pStyle w:val="TableParagraph"/>
              <w:spacing w:line="271" w:lineRule="auto" w:before="111"/>
              <w:ind w:right="33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695" w:hRule="atLeast"/>
        </w:trPr>
        <w:tc>
          <w:tcPr>
            <w:tcW w:w="809" w:type="dxa"/>
          </w:tcPr>
          <w:p>
            <w:pPr>
              <w:pStyle w:val="TableParagraph"/>
              <w:spacing w:before="111"/>
              <w:ind w:left="200"/>
              <w:rPr>
                <w:b/>
                <w:sz w:val="21"/>
              </w:rPr>
            </w:pPr>
            <w:r>
              <w:rPr>
                <w:b/>
                <w:sz w:val="21"/>
              </w:rPr>
              <w:t>9.13</w:t>
            </w:r>
          </w:p>
        </w:tc>
        <w:tc>
          <w:tcPr>
            <w:tcW w:w="1586" w:type="dxa"/>
          </w:tcPr>
          <w:p>
            <w:pPr>
              <w:pStyle w:val="TableParagraph"/>
              <w:spacing w:before="111"/>
              <w:ind w:left="185"/>
              <w:rPr>
                <w:b/>
                <w:sz w:val="21"/>
              </w:rPr>
            </w:pPr>
            <w:r>
              <w:rPr>
                <w:b/>
                <w:sz w:val="21"/>
              </w:rPr>
              <w:t>双耳失聪</w:t>
            </w:r>
          </w:p>
        </w:tc>
        <w:tc>
          <w:tcPr>
            <w:tcW w:w="7822" w:type="dxa"/>
          </w:tcPr>
          <w:p>
            <w:pPr>
              <w:pStyle w:val="TableParagraph"/>
              <w:spacing w:before="111"/>
              <w:rPr>
                <w:sz w:val="21"/>
              </w:rPr>
            </w:pPr>
            <w:r>
              <w:rPr>
                <w:sz w:val="21"/>
              </w:rPr>
              <w:t>指因疾病或意外伤害导致双耳听力</w:t>
            </w:r>
            <w:r>
              <w:rPr>
                <w:b/>
                <w:sz w:val="21"/>
              </w:rPr>
              <w:t>永久不可逆</w:t>
            </w:r>
            <w:r>
              <w:rPr>
                <w:sz w:val="21"/>
              </w:rPr>
              <w:t>(见 10.20)性丧失，在 500 赫兹、</w:t>
            </w:r>
          </w:p>
          <w:p>
            <w:pPr>
              <w:pStyle w:val="TableParagraph"/>
              <w:spacing w:line="255" w:lineRule="exact" w:before="34"/>
              <w:rPr>
                <w:sz w:val="21"/>
              </w:rPr>
            </w:pPr>
            <w:r>
              <w:rPr>
                <w:sz w:val="21"/>
              </w:rPr>
              <w:t>1000 赫兹和 2000 赫兹语音频率下，平均听阈大于 90 分贝，且经纯音听力测试、</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38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5" w:type="dxa"/>
          </w:tcPr>
          <w:p>
            <w:pPr>
              <w:pStyle w:val="TableParagraph"/>
              <w:spacing w:line="211" w:lineRule="exact"/>
              <w:rPr>
                <w:sz w:val="21"/>
              </w:rPr>
            </w:pPr>
            <w:r>
              <w:rPr>
                <w:sz w:val="21"/>
              </w:rPr>
              <w:t>声导抗检测或听觉诱发电位检测等证实。</w:t>
            </w:r>
          </w:p>
        </w:tc>
      </w:tr>
      <w:tr>
        <w:trPr>
          <w:trHeight w:val="2355" w:hRule="atLeast"/>
        </w:trPr>
        <w:tc>
          <w:tcPr>
            <w:tcW w:w="809" w:type="dxa"/>
          </w:tcPr>
          <w:p>
            <w:pPr>
              <w:pStyle w:val="TableParagraph"/>
              <w:spacing w:before="111"/>
              <w:ind w:left="200"/>
              <w:rPr>
                <w:b/>
                <w:sz w:val="21"/>
              </w:rPr>
            </w:pPr>
            <w:r>
              <w:rPr>
                <w:b/>
                <w:sz w:val="21"/>
              </w:rPr>
              <w:t>9.14</w:t>
            </w:r>
          </w:p>
        </w:tc>
        <w:tc>
          <w:tcPr>
            <w:tcW w:w="1586" w:type="dxa"/>
          </w:tcPr>
          <w:p>
            <w:pPr>
              <w:pStyle w:val="TableParagraph"/>
              <w:spacing w:before="111"/>
              <w:ind w:left="185"/>
              <w:rPr>
                <w:b/>
                <w:sz w:val="21"/>
              </w:rPr>
            </w:pPr>
            <w:r>
              <w:rPr>
                <w:b/>
                <w:sz w:val="21"/>
              </w:rPr>
              <w:t>双目失明</w:t>
            </w:r>
          </w:p>
        </w:tc>
        <w:tc>
          <w:tcPr>
            <w:tcW w:w="7825" w:type="dxa"/>
          </w:tcPr>
          <w:p>
            <w:pPr>
              <w:pStyle w:val="TableParagraph"/>
              <w:spacing w:line="273" w:lineRule="auto" w:before="111"/>
              <w:ind w:right="334"/>
              <w:rPr>
                <w:sz w:val="21"/>
              </w:rPr>
            </w:pPr>
            <w:r>
              <w:rPr>
                <w:sz w:val="21"/>
              </w:rPr>
              <w:t>指因疾病或意外伤害导致双眼视力永久不可逆性丧失，双眼中较好眼须满足下列至少一项条件：</w:t>
            </w:r>
          </w:p>
          <w:p>
            <w:pPr>
              <w:pStyle w:val="TableParagraph"/>
              <w:numPr>
                <w:ilvl w:val="0"/>
                <w:numId w:val="15"/>
              </w:numPr>
              <w:tabs>
                <w:tab w:pos="868" w:val="left" w:leader="none"/>
                <w:tab w:pos="869" w:val="left" w:leader="none"/>
              </w:tabs>
              <w:spacing w:line="240" w:lineRule="auto" w:before="86" w:after="0"/>
              <w:ind w:left="851" w:right="0" w:hanging="720"/>
              <w:jc w:val="left"/>
              <w:rPr>
                <w:sz w:val="21"/>
              </w:rPr>
            </w:pPr>
            <w:r>
              <w:rPr>
                <w:spacing w:val="-3"/>
                <w:sz w:val="21"/>
              </w:rPr>
              <w:t>眼球缺失或摘除；</w:t>
            </w:r>
          </w:p>
          <w:p>
            <w:pPr>
              <w:pStyle w:val="TableParagraph"/>
              <w:numPr>
                <w:ilvl w:val="0"/>
                <w:numId w:val="15"/>
              </w:numPr>
              <w:tabs>
                <w:tab w:pos="868" w:val="left" w:leader="none"/>
                <w:tab w:pos="869" w:val="left" w:leader="none"/>
              </w:tabs>
              <w:spacing w:line="273" w:lineRule="auto" w:before="113" w:after="0"/>
              <w:ind w:left="851" w:right="394" w:hanging="720"/>
              <w:jc w:val="left"/>
              <w:rPr>
                <w:sz w:val="21"/>
              </w:rPr>
            </w:pPr>
            <w:r>
              <w:rPr>
                <w:spacing w:val="-7"/>
                <w:sz w:val="21"/>
              </w:rPr>
              <w:t>矫正视力低于 </w:t>
            </w:r>
            <w:r>
              <w:rPr>
                <w:sz w:val="21"/>
              </w:rPr>
              <w:t>0.02（</w:t>
            </w:r>
            <w:r>
              <w:rPr>
                <w:spacing w:val="-3"/>
                <w:sz w:val="21"/>
              </w:rPr>
              <w:t>采用国际标准视力表，如果使用其它视力表应进行</w:t>
            </w:r>
            <w:r>
              <w:rPr>
                <w:w w:val="100"/>
                <w:sz w:val="21"/>
              </w:rPr>
              <w:t>换算</w:t>
            </w:r>
            <w:r>
              <w:rPr>
                <w:spacing w:val="-108"/>
                <w:w w:val="100"/>
                <w:sz w:val="21"/>
              </w:rPr>
              <w:t>）</w:t>
            </w:r>
            <w:r>
              <w:rPr>
                <w:w w:val="100"/>
                <w:sz w:val="21"/>
              </w:rPr>
              <w:t>；</w:t>
            </w:r>
          </w:p>
          <w:p>
            <w:pPr>
              <w:pStyle w:val="TableParagraph"/>
              <w:numPr>
                <w:ilvl w:val="0"/>
                <w:numId w:val="15"/>
              </w:numPr>
              <w:tabs>
                <w:tab w:pos="868" w:val="left" w:leader="none"/>
                <w:tab w:pos="869" w:val="left" w:leader="none"/>
              </w:tabs>
              <w:spacing w:line="240" w:lineRule="auto" w:before="86" w:after="0"/>
              <w:ind w:left="851"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0"/>
              <w:ind w:left="200"/>
              <w:rPr>
                <w:b/>
                <w:sz w:val="21"/>
              </w:rPr>
            </w:pPr>
            <w:r>
              <w:rPr>
                <w:b/>
                <w:sz w:val="21"/>
              </w:rPr>
              <w:t>9.15</w:t>
            </w:r>
          </w:p>
        </w:tc>
        <w:tc>
          <w:tcPr>
            <w:tcW w:w="1586" w:type="dxa"/>
          </w:tcPr>
          <w:p>
            <w:pPr>
              <w:pStyle w:val="TableParagraph"/>
              <w:spacing w:before="110"/>
              <w:ind w:left="185"/>
              <w:rPr>
                <w:b/>
                <w:sz w:val="21"/>
              </w:rPr>
            </w:pPr>
            <w:r>
              <w:rPr>
                <w:b/>
                <w:sz w:val="21"/>
              </w:rPr>
              <w:t>瘫痪</w:t>
            </w:r>
          </w:p>
        </w:tc>
        <w:tc>
          <w:tcPr>
            <w:tcW w:w="7825" w:type="dxa"/>
          </w:tcPr>
          <w:p>
            <w:pPr>
              <w:pStyle w:val="TableParagraph"/>
              <w:spacing w:line="273" w:lineRule="auto" w:before="110"/>
              <w:ind w:right="334"/>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0"/>
              <w:ind w:left="200"/>
              <w:rPr>
                <w:b/>
                <w:sz w:val="21"/>
              </w:rPr>
            </w:pPr>
            <w:r>
              <w:rPr>
                <w:b/>
                <w:sz w:val="21"/>
              </w:rPr>
              <w:t>9.16</w:t>
            </w:r>
          </w:p>
        </w:tc>
        <w:tc>
          <w:tcPr>
            <w:tcW w:w="1586" w:type="dxa"/>
          </w:tcPr>
          <w:p>
            <w:pPr>
              <w:pStyle w:val="TableParagraph"/>
              <w:spacing w:before="110"/>
              <w:ind w:left="185"/>
              <w:rPr>
                <w:b/>
                <w:sz w:val="21"/>
              </w:rPr>
            </w:pPr>
            <w:r>
              <w:rPr>
                <w:b/>
                <w:sz w:val="21"/>
              </w:rPr>
              <w:t>心脏瓣膜手术</w:t>
            </w:r>
          </w:p>
        </w:tc>
        <w:tc>
          <w:tcPr>
            <w:tcW w:w="7825" w:type="dxa"/>
          </w:tcPr>
          <w:p>
            <w:pPr>
              <w:pStyle w:val="TableParagraph"/>
              <w:spacing w:before="110"/>
              <w:rPr>
                <w:sz w:val="21"/>
              </w:rPr>
            </w:pPr>
            <w:r>
              <w:rPr>
                <w:sz w:val="21"/>
              </w:rPr>
              <w:t>指为治疗心脏瓣膜疾病，实际实施了开胸进行的心脏瓣膜置换或修复的手术。</w:t>
            </w:r>
          </w:p>
        </w:tc>
      </w:tr>
      <w:tr>
        <w:trPr>
          <w:trHeight w:val="2588" w:hRule="atLeast"/>
        </w:trPr>
        <w:tc>
          <w:tcPr>
            <w:tcW w:w="809" w:type="dxa"/>
          </w:tcPr>
          <w:p>
            <w:pPr>
              <w:pStyle w:val="TableParagraph"/>
              <w:spacing w:before="111"/>
              <w:ind w:left="200"/>
              <w:rPr>
                <w:b/>
                <w:sz w:val="21"/>
              </w:rPr>
            </w:pPr>
            <w:r>
              <w:rPr>
                <w:b/>
                <w:sz w:val="21"/>
              </w:rPr>
              <w:t>9.17</w:t>
            </w:r>
          </w:p>
        </w:tc>
        <w:tc>
          <w:tcPr>
            <w:tcW w:w="1586" w:type="dxa"/>
          </w:tcPr>
          <w:p>
            <w:pPr>
              <w:pStyle w:val="TableParagraph"/>
              <w:spacing w:line="271" w:lineRule="auto" w:before="111"/>
              <w:ind w:left="185" w:right="130"/>
              <w:rPr>
                <w:b/>
                <w:sz w:val="21"/>
              </w:rPr>
            </w:pPr>
            <w:r>
              <w:rPr>
                <w:b/>
                <w:sz w:val="21"/>
              </w:rPr>
              <w:t>严重阿尔茨海默病</w:t>
            </w:r>
          </w:p>
        </w:tc>
        <w:tc>
          <w:tcPr>
            <w:tcW w:w="7825" w:type="dxa"/>
          </w:tcPr>
          <w:p>
            <w:pPr>
              <w:pStyle w:val="TableParagraph"/>
              <w:spacing w:line="271" w:lineRule="auto" w:before="111"/>
              <w:ind w:right="307"/>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sz w:val="21"/>
              </w:rPr>
            </w:pPr>
            <w:r>
              <w:rPr>
                <w:rFonts w:ascii="黑体" w:eastAsia="黑体" w:hint="eastAsia"/>
                <w:sz w:val="21"/>
              </w:rPr>
              <w:t>我们只对被保险人在 65 周岁前被确诊患有本病承担保险责任</w:t>
            </w:r>
            <w:r>
              <w:rPr>
                <w:sz w:val="21"/>
              </w:rPr>
              <w:t>。</w:t>
            </w:r>
          </w:p>
        </w:tc>
      </w:tr>
      <w:tr>
        <w:trPr>
          <w:trHeight w:val="2977" w:hRule="atLeast"/>
        </w:trPr>
        <w:tc>
          <w:tcPr>
            <w:tcW w:w="809" w:type="dxa"/>
          </w:tcPr>
          <w:p>
            <w:pPr>
              <w:pStyle w:val="TableParagraph"/>
              <w:spacing w:before="110"/>
              <w:ind w:left="200"/>
              <w:rPr>
                <w:b/>
                <w:sz w:val="21"/>
              </w:rPr>
            </w:pPr>
            <w:r>
              <w:rPr>
                <w:b/>
                <w:sz w:val="21"/>
              </w:rPr>
              <w:t>9.18</w:t>
            </w:r>
          </w:p>
        </w:tc>
        <w:tc>
          <w:tcPr>
            <w:tcW w:w="1586" w:type="dxa"/>
          </w:tcPr>
          <w:p>
            <w:pPr>
              <w:pStyle w:val="TableParagraph"/>
              <w:spacing w:before="110"/>
              <w:ind w:left="185"/>
              <w:rPr>
                <w:b/>
                <w:sz w:val="21"/>
              </w:rPr>
            </w:pPr>
            <w:r>
              <w:rPr>
                <w:b/>
                <w:sz w:val="21"/>
              </w:rPr>
              <w:t>严重脑损伤</w:t>
            </w:r>
          </w:p>
        </w:tc>
        <w:tc>
          <w:tcPr>
            <w:tcW w:w="7825" w:type="dxa"/>
          </w:tcPr>
          <w:p>
            <w:pPr>
              <w:pStyle w:val="TableParagraph"/>
              <w:spacing w:line="273" w:lineRule="auto" w:before="110"/>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6"/>
              </w:numPr>
              <w:tabs>
                <w:tab w:pos="868" w:val="left" w:leader="none"/>
                <w:tab w:pos="869" w:val="left" w:leader="none"/>
              </w:tabs>
              <w:spacing w:line="240" w:lineRule="auto" w:before="86" w:after="0"/>
              <w:ind w:left="866" w:right="0" w:hanging="735"/>
              <w:jc w:val="left"/>
              <w:rPr>
                <w:sz w:val="21"/>
              </w:rPr>
            </w:pPr>
            <w:r>
              <w:rPr>
                <w:spacing w:val="-3"/>
                <w:sz w:val="21"/>
              </w:rPr>
              <w:t>一肢或一肢以上肢体机能完全丧失；</w:t>
            </w:r>
          </w:p>
          <w:p>
            <w:pPr>
              <w:pStyle w:val="TableParagraph"/>
              <w:numPr>
                <w:ilvl w:val="0"/>
                <w:numId w:val="16"/>
              </w:numPr>
              <w:tabs>
                <w:tab w:pos="868" w:val="left" w:leader="none"/>
                <w:tab w:pos="869" w:val="left" w:leader="none"/>
              </w:tabs>
              <w:spacing w:line="240" w:lineRule="auto" w:before="113" w:after="0"/>
              <w:ind w:left="866" w:right="0" w:hanging="735"/>
              <w:jc w:val="left"/>
              <w:rPr>
                <w:sz w:val="21"/>
              </w:rPr>
            </w:pPr>
            <w:r>
              <w:rPr>
                <w:spacing w:val="-3"/>
                <w:sz w:val="21"/>
              </w:rPr>
              <w:t>语言能力或咀嚼吞咽能力完全丧失；</w:t>
            </w:r>
          </w:p>
          <w:p>
            <w:pPr>
              <w:pStyle w:val="TableParagraph"/>
              <w:numPr>
                <w:ilvl w:val="0"/>
                <w:numId w:val="16"/>
              </w:numPr>
              <w:tabs>
                <w:tab w:pos="833" w:val="left" w:leader="none"/>
              </w:tabs>
              <w:spacing w:line="271" w:lineRule="auto" w:before="116" w:after="0"/>
              <w:ind w:left="866" w:right="305" w:hanging="735"/>
              <w:jc w:val="left"/>
              <w:rPr>
                <w:sz w:val="21"/>
              </w:rPr>
            </w:pPr>
            <w:r>
              <w:rPr>
                <w:spacing w:val="-6"/>
                <w:sz w:val="21"/>
              </w:rPr>
              <w:t>自主生活能力完全丧失，无法独立完成六项基本日常生活活动中的三项或</w:t>
            </w:r>
            <w:r>
              <w:rPr>
                <w:spacing w:val="-4"/>
                <w:sz w:val="21"/>
              </w:rPr>
              <w:t>三项以上。</w:t>
            </w:r>
          </w:p>
        </w:tc>
      </w:tr>
      <w:tr>
        <w:trPr>
          <w:trHeight w:val="2745" w:hRule="atLeast"/>
        </w:trPr>
        <w:tc>
          <w:tcPr>
            <w:tcW w:w="809" w:type="dxa"/>
          </w:tcPr>
          <w:p>
            <w:pPr>
              <w:pStyle w:val="TableParagraph"/>
              <w:spacing w:before="111"/>
              <w:ind w:left="200"/>
              <w:rPr>
                <w:b/>
                <w:sz w:val="21"/>
              </w:rPr>
            </w:pPr>
            <w:r>
              <w:rPr>
                <w:b/>
                <w:sz w:val="21"/>
              </w:rPr>
              <w:t>9.19</w:t>
            </w:r>
          </w:p>
        </w:tc>
        <w:tc>
          <w:tcPr>
            <w:tcW w:w="1586" w:type="dxa"/>
          </w:tcPr>
          <w:p>
            <w:pPr>
              <w:pStyle w:val="TableParagraph"/>
              <w:spacing w:before="111"/>
              <w:ind w:left="185"/>
              <w:rPr>
                <w:b/>
                <w:sz w:val="21"/>
              </w:rPr>
            </w:pPr>
            <w:r>
              <w:rPr>
                <w:b/>
                <w:sz w:val="21"/>
              </w:rPr>
              <w:t>严重帕金森病</w:t>
            </w:r>
          </w:p>
        </w:tc>
        <w:tc>
          <w:tcPr>
            <w:tcW w:w="7825" w:type="dxa"/>
          </w:tcPr>
          <w:p>
            <w:pPr>
              <w:pStyle w:val="TableParagraph"/>
              <w:spacing w:line="271" w:lineRule="auto" w:before="111"/>
              <w:ind w:right="334"/>
              <w:rPr>
                <w:sz w:val="21"/>
              </w:rPr>
            </w:pPr>
            <w:r>
              <w:rPr>
                <w:sz w:val="21"/>
              </w:rPr>
              <w:t>是一种中枢神经系统的退行性疾病，临床表现为震颤麻痹、共济失调等。须满足下列全部条件：</w:t>
            </w:r>
          </w:p>
          <w:p>
            <w:pPr>
              <w:pStyle w:val="TableParagraph"/>
              <w:numPr>
                <w:ilvl w:val="0"/>
                <w:numId w:val="17"/>
              </w:numPr>
              <w:tabs>
                <w:tab w:pos="868" w:val="left" w:leader="none"/>
                <w:tab w:pos="869" w:val="left" w:leader="none"/>
              </w:tabs>
              <w:spacing w:line="240" w:lineRule="auto" w:before="88" w:after="0"/>
              <w:ind w:left="851" w:right="0" w:hanging="720"/>
              <w:jc w:val="left"/>
              <w:rPr>
                <w:sz w:val="21"/>
              </w:rPr>
            </w:pPr>
            <w:r>
              <w:rPr>
                <w:spacing w:val="-3"/>
                <w:sz w:val="21"/>
              </w:rPr>
              <w:t>药物治疗无法控制病情；</w:t>
            </w:r>
          </w:p>
          <w:p>
            <w:pPr>
              <w:pStyle w:val="TableParagraph"/>
              <w:numPr>
                <w:ilvl w:val="0"/>
                <w:numId w:val="17"/>
              </w:numPr>
              <w:tabs>
                <w:tab w:pos="833" w:val="left" w:leader="none"/>
              </w:tabs>
              <w:spacing w:line="271" w:lineRule="auto" w:before="115"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9"/>
              <w:rPr>
                <w:rFonts w:ascii="黑体" w:eastAsia="黑体" w:hint="eastAsia"/>
                <w:sz w:val="21"/>
              </w:rPr>
            </w:pPr>
            <w:r>
              <w:rPr>
                <w:rFonts w:ascii="黑体" w:eastAsia="黑体" w:hint="eastAsia"/>
                <w:sz w:val="21"/>
              </w:rPr>
              <w:t>继发性帕金森综合征不在保障范围内。</w:t>
            </w:r>
          </w:p>
          <w:p>
            <w:pPr>
              <w:pStyle w:val="TableParagraph"/>
              <w:spacing w:before="116"/>
              <w:rPr>
                <w:sz w:val="21"/>
              </w:rPr>
            </w:pPr>
            <w:r>
              <w:rPr>
                <w:rFonts w:ascii="黑体" w:eastAsia="黑体" w:hint="eastAsia"/>
                <w:sz w:val="21"/>
              </w:rPr>
              <w:t>我们只对被保险人在 65 周岁前被确诊患有本病承担保险责任</w:t>
            </w:r>
            <w:r>
              <w:rPr>
                <w:sz w:val="21"/>
              </w:rPr>
              <w:t>。</w:t>
            </w:r>
          </w:p>
        </w:tc>
      </w:tr>
      <w:tr>
        <w:trPr>
          <w:trHeight w:val="872" w:hRule="atLeast"/>
        </w:trPr>
        <w:tc>
          <w:tcPr>
            <w:tcW w:w="809" w:type="dxa"/>
          </w:tcPr>
          <w:p>
            <w:pPr>
              <w:pStyle w:val="TableParagraph"/>
              <w:spacing w:before="110"/>
              <w:ind w:left="200"/>
              <w:rPr>
                <w:b/>
                <w:sz w:val="21"/>
              </w:rPr>
            </w:pPr>
            <w:r>
              <w:rPr>
                <w:b/>
                <w:sz w:val="21"/>
              </w:rPr>
              <w:t>9.20</w:t>
            </w:r>
          </w:p>
        </w:tc>
        <w:tc>
          <w:tcPr>
            <w:tcW w:w="1586" w:type="dxa"/>
          </w:tcPr>
          <w:p>
            <w:pPr>
              <w:pStyle w:val="TableParagraph"/>
              <w:spacing w:before="110"/>
              <w:ind w:left="185"/>
              <w:rPr>
                <w:b/>
                <w:sz w:val="21"/>
              </w:rPr>
            </w:pPr>
            <w:r>
              <w:rPr>
                <w:b/>
                <w:sz w:val="21"/>
              </w:rPr>
              <w:t>严重Ⅲ度烧伤</w:t>
            </w:r>
          </w:p>
        </w:tc>
        <w:tc>
          <w:tcPr>
            <w:tcW w:w="7825" w:type="dxa"/>
          </w:tcPr>
          <w:p>
            <w:pPr>
              <w:pStyle w:val="TableParagraph"/>
              <w:spacing w:line="273" w:lineRule="auto" w:before="110"/>
              <w:ind w:right="305"/>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695" w:hRule="atLeast"/>
        </w:trPr>
        <w:tc>
          <w:tcPr>
            <w:tcW w:w="809" w:type="dxa"/>
          </w:tcPr>
          <w:p>
            <w:pPr>
              <w:pStyle w:val="TableParagraph"/>
              <w:spacing w:before="111"/>
              <w:ind w:left="200"/>
              <w:rPr>
                <w:b/>
                <w:sz w:val="21"/>
              </w:rPr>
            </w:pPr>
            <w:r>
              <w:rPr>
                <w:b/>
                <w:sz w:val="21"/>
              </w:rPr>
              <w:t>9.21</w:t>
            </w:r>
          </w:p>
        </w:tc>
        <w:tc>
          <w:tcPr>
            <w:tcW w:w="1586" w:type="dxa"/>
          </w:tcPr>
          <w:p>
            <w:pPr>
              <w:pStyle w:val="TableParagraph"/>
              <w:spacing w:line="310" w:lineRule="atLeast" w:before="76"/>
              <w:ind w:left="185" w:right="130"/>
              <w:rPr>
                <w:b/>
                <w:sz w:val="21"/>
              </w:rPr>
            </w:pPr>
            <w:r>
              <w:rPr>
                <w:b/>
                <w:sz w:val="21"/>
              </w:rPr>
              <w:t>严重原发性肺动脉高压</w:t>
            </w:r>
          </w:p>
        </w:tc>
        <w:tc>
          <w:tcPr>
            <w:tcW w:w="7825" w:type="dxa"/>
          </w:tcPr>
          <w:p>
            <w:pPr>
              <w:pStyle w:val="TableParagraph"/>
              <w:spacing w:line="310" w:lineRule="atLeast" w:before="76"/>
              <w:ind w:right="303"/>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788"/>
      </w:tblGrid>
      <w:tr>
        <w:trPr>
          <w:trHeight w:val="38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788" w:type="dxa"/>
          </w:tcPr>
          <w:p>
            <w:pPr>
              <w:pStyle w:val="TableParagraph"/>
              <w:spacing w:line="211" w:lineRule="exact"/>
              <w:rPr>
                <w:sz w:val="21"/>
              </w:rPr>
            </w:pPr>
            <w:r>
              <w:rPr>
                <w:sz w:val="21"/>
              </w:rPr>
              <w:t>级，且静息状态下肺动脉平均压超过 30mmHg。</w:t>
            </w:r>
          </w:p>
        </w:tc>
      </w:tr>
      <w:tr>
        <w:trPr>
          <w:trHeight w:val="1156" w:hRule="atLeast"/>
        </w:trPr>
        <w:tc>
          <w:tcPr>
            <w:tcW w:w="809" w:type="dxa"/>
          </w:tcPr>
          <w:p>
            <w:pPr>
              <w:pStyle w:val="TableParagraph"/>
              <w:spacing w:before="111"/>
              <w:ind w:left="200"/>
              <w:rPr>
                <w:b/>
                <w:sz w:val="21"/>
              </w:rPr>
            </w:pPr>
            <w:r>
              <w:rPr>
                <w:b/>
                <w:sz w:val="21"/>
              </w:rPr>
              <w:t>9.22</w:t>
            </w:r>
          </w:p>
        </w:tc>
        <w:tc>
          <w:tcPr>
            <w:tcW w:w="1586" w:type="dxa"/>
          </w:tcPr>
          <w:p>
            <w:pPr>
              <w:pStyle w:val="TableParagraph"/>
              <w:spacing w:line="273" w:lineRule="auto" w:before="111"/>
              <w:ind w:left="185" w:right="130"/>
              <w:rPr>
                <w:b/>
                <w:sz w:val="21"/>
              </w:rPr>
            </w:pPr>
            <w:r>
              <w:rPr>
                <w:b/>
                <w:sz w:val="21"/>
              </w:rPr>
              <w:t>严重运动神经元病</w:t>
            </w:r>
          </w:p>
        </w:tc>
        <w:tc>
          <w:tcPr>
            <w:tcW w:w="7788" w:type="dxa"/>
          </w:tcPr>
          <w:p>
            <w:pPr>
              <w:pStyle w:val="TableParagraph"/>
              <w:spacing w:line="273" w:lineRule="auto" w:before="111"/>
              <w:ind w:right="29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33" w:hRule="atLeast"/>
        </w:trPr>
        <w:tc>
          <w:tcPr>
            <w:tcW w:w="809" w:type="dxa"/>
          </w:tcPr>
          <w:p>
            <w:pPr>
              <w:pStyle w:val="TableParagraph"/>
              <w:spacing w:before="82"/>
              <w:ind w:left="200"/>
              <w:rPr>
                <w:b/>
                <w:sz w:val="21"/>
              </w:rPr>
            </w:pPr>
            <w:r>
              <w:rPr>
                <w:b/>
                <w:sz w:val="21"/>
              </w:rPr>
              <w:t>9.23</w:t>
            </w:r>
          </w:p>
        </w:tc>
        <w:tc>
          <w:tcPr>
            <w:tcW w:w="1586" w:type="dxa"/>
          </w:tcPr>
          <w:p>
            <w:pPr>
              <w:pStyle w:val="TableParagraph"/>
              <w:spacing w:before="82"/>
              <w:ind w:left="185"/>
              <w:rPr>
                <w:b/>
                <w:sz w:val="21"/>
              </w:rPr>
            </w:pPr>
            <w:r>
              <w:rPr>
                <w:b/>
                <w:sz w:val="21"/>
              </w:rPr>
              <w:t>语言能力丧失</w:t>
            </w:r>
          </w:p>
        </w:tc>
        <w:tc>
          <w:tcPr>
            <w:tcW w:w="7788" w:type="dxa"/>
          </w:tcPr>
          <w:p>
            <w:pPr>
              <w:pStyle w:val="TableParagraph"/>
              <w:spacing w:line="271" w:lineRule="auto" w:before="82"/>
              <w:ind w:right="268"/>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1"/>
              <w:ind w:left="200"/>
              <w:rPr>
                <w:b/>
                <w:sz w:val="21"/>
              </w:rPr>
            </w:pPr>
            <w:r>
              <w:rPr>
                <w:b/>
                <w:sz w:val="21"/>
              </w:rPr>
              <w:t>9.24</w:t>
            </w:r>
          </w:p>
        </w:tc>
        <w:tc>
          <w:tcPr>
            <w:tcW w:w="1586" w:type="dxa"/>
          </w:tcPr>
          <w:p>
            <w:pPr>
              <w:pStyle w:val="TableParagraph"/>
              <w:spacing w:line="271" w:lineRule="auto" w:before="111"/>
              <w:ind w:left="185" w:right="130"/>
              <w:rPr>
                <w:b/>
                <w:sz w:val="21"/>
              </w:rPr>
            </w:pPr>
            <w:r>
              <w:rPr>
                <w:b/>
                <w:sz w:val="21"/>
              </w:rPr>
              <w:t>重型再生障碍性贫血</w:t>
            </w:r>
          </w:p>
        </w:tc>
        <w:tc>
          <w:tcPr>
            <w:tcW w:w="7788" w:type="dxa"/>
          </w:tcPr>
          <w:p>
            <w:pPr>
              <w:pStyle w:val="TableParagraph"/>
              <w:spacing w:line="271" w:lineRule="auto" w:before="111"/>
              <w:ind w:right="297"/>
              <w:rPr>
                <w:sz w:val="21"/>
              </w:rPr>
            </w:pPr>
            <w:r>
              <w:rPr>
                <w:sz w:val="21"/>
              </w:rPr>
              <w:t>指因骨髓造血功能慢性持续性衰竭导致的贫血、中性粒细胞减少及血小板减少。须满足下列全部条件：</w:t>
            </w:r>
          </w:p>
          <w:p>
            <w:pPr>
              <w:pStyle w:val="TableParagraph"/>
              <w:numPr>
                <w:ilvl w:val="0"/>
                <w:numId w:val="18"/>
              </w:numPr>
              <w:tabs>
                <w:tab w:pos="868" w:val="left" w:leader="none"/>
                <w:tab w:pos="869" w:val="left" w:leader="none"/>
              </w:tabs>
              <w:spacing w:line="240" w:lineRule="auto" w:before="88" w:after="0"/>
              <w:ind w:left="868" w:right="0" w:hanging="737"/>
              <w:jc w:val="left"/>
              <w:rPr>
                <w:sz w:val="21"/>
              </w:rPr>
            </w:pPr>
            <w:r>
              <w:rPr>
                <w:spacing w:val="-3"/>
                <w:sz w:val="21"/>
              </w:rPr>
              <w:t>骨髓穿刺检查或骨髓活检结果支持诊断；</w:t>
            </w:r>
          </w:p>
          <w:p>
            <w:pPr>
              <w:pStyle w:val="TableParagraph"/>
              <w:numPr>
                <w:ilvl w:val="0"/>
                <w:numId w:val="18"/>
              </w:numPr>
              <w:tabs>
                <w:tab w:pos="868" w:val="left" w:leader="none"/>
                <w:tab w:pos="869" w:val="left" w:leader="none"/>
              </w:tabs>
              <w:spacing w:line="240" w:lineRule="auto" w:before="115" w:after="0"/>
              <w:ind w:left="868" w:right="0" w:hanging="737"/>
              <w:jc w:val="left"/>
              <w:rPr>
                <w:sz w:val="21"/>
              </w:rPr>
            </w:pPr>
            <w:r>
              <w:rPr>
                <w:spacing w:val="-3"/>
                <w:sz w:val="21"/>
              </w:rPr>
              <w:t>外周血象须具备以下三项条件：</w:t>
            </w:r>
          </w:p>
          <w:p>
            <w:pPr>
              <w:pStyle w:val="TableParagraph"/>
              <w:spacing w:before="114"/>
              <w:ind w:left="844"/>
              <w:rPr>
                <w:sz w:val="21"/>
              </w:rPr>
            </w:pPr>
            <w:r>
              <w:rPr>
                <w:sz w:val="21"/>
              </w:rPr>
              <w:t>① 中性粒细胞绝对值≤0.5×10</w:t>
            </w:r>
            <w:r>
              <w:rPr>
                <w:position w:val="11"/>
                <w:sz w:val="11"/>
              </w:rPr>
              <w:t>9</w:t>
            </w:r>
            <w:r>
              <w:rPr>
                <w:sz w:val="21"/>
              </w:rPr>
              <w:t>/L ；</w:t>
            </w:r>
          </w:p>
          <w:p>
            <w:pPr>
              <w:pStyle w:val="TableParagraph"/>
              <w:spacing w:before="116"/>
              <w:ind w:left="844"/>
              <w:rPr>
                <w:sz w:val="21"/>
              </w:rPr>
            </w:pPr>
            <w:r>
              <w:rPr>
                <w:sz w:val="21"/>
              </w:rPr>
              <w:t>② 网织红细胞＜</w:t>
            </w:r>
            <w:r>
              <w:rPr>
                <w:rFonts w:ascii="Times New Roman" w:hAnsi="Times New Roman" w:eastAsia="Times New Roman"/>
                <w:sz w:val="21"/>
              </w:rPr>
              <w:t>1%</w:t>
            </w:r>
            <w:r>
              <w:rPr>
                <w:sz w:val="21"/>
              </w:rPr>
              <w:t>；</w:t>
            </w:r>
          </w:p>
          <w:p>
            <w:pPr>
              <w:pStyle w:val="TableParagraph"/>
              <w:spacing w:before="97"/>
              <w:ind w:left="866"/>
              <w:rPr>
                <w:sz w:val="21"/>
              </w:rPr>
            </w:pPr>
            <w:r>
              <w:rPr>
                <w:sz w:val="21"/>
              </w:rPr>
              <w:t>③ 血小板绝对值≤20×10</w:t>
            </w:r>
            <w:r>
              <w:rPr>
                <w:position w:val="11"/>
                <w:sz w:val="11"/>
              </w:rPr>
              <w:t>9</w:t>
            </w:r>
            <w:r>
              <w:rPr>
                <w:sz w:val="21"/>
              </w:rPr>
              <w:t>/L。</w:t>
            </w:r>
          </w:p>
        </w:tc>
      </w:tr>
      <w:tr>
        <w:trPr>
          <w:trHeight w:val="1573" w:hRule="atLeast"/>
        </w:trPr>
        <w:tc>
          <w:tcPr>
            <w:tcW w:w="809" w:type="dxa"/>
          </w:tcPr>
          <w:p>
            <w:pPr>
              <w:pStyle w:val="TableParagraph"/>
              <w:spacing w:before="111"/>
              <w:ind w:left="200"/>
              <w:rPr>
                <w:b/>
                <w:sz w:val="21"/>
              </w:rPr>
            </w:pPr>
            <w:r>
              <w:rPr>
                <w:b/>
                <w:sz w:val="21"/>
              </w:rPr>
              <w:t>9.25</w:t>
            </w:r>
          </w:p>
        </w:tc>
        <w:tc>
          <w:tcPr>
            <w:tcW w:w="1586" w:type="dxa"/>
          </w:tcPr>
          <w:p>
            <w:pPr>
              <w:pStyle w:val="TableParagraph"/>
              <w:spacing w:before="111"/>
              <w:ind w:left="185"/>
              <w:rPr>
                <w:b/>
                <w:sz w:val="21"/>
              </w:rPr>
            </w:pPr>
            <w:r>
              <w:rPr>
                <w:b/>
                <w:sz w:val="21"/>
              </w:rPr>
              <w:t>主动脉手术</w:t>
            </w:r>
          </w:p>
        </w:tc>
        <w:tc>
          <w:tcPr>
            <w:tcW w:w="7788" w:type="dxa"/>
          </w:tcPr>
          <w:p>
            <w:pPr>
              <w:pStyle w:val="TableParagraph"/>
              <w:spacing w:line="271" w:lineRule="auto" w:before="111"/>
              <w:ind w:right="29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sz w:val="21"/>
              </w:rPr>
            </w:pPr>
            <w:r>
              <w:rPr>
                <w:rFonts w:ascii="黑体" w:eastAsia="黑体" w:hint="eastAsia"/>
                <w:sz w:val="21"/>
              </w:rPr>
              <w:t>动脉内血管成形术不在保障范围内</w:t>
            </w:r>
            <w:r>
              <w:rPr>
                <w:sz w:val="21"/>
              </w:rPr>
              <w:t>。</w:t>
            </w:r>
          </w:p>
        </w:tc>
      </w:tr>
      <w:tr>
        <w:trPr>
          <w:trHeight w:val="1808" w:hRule="atLeast"/>
        </w:trPr>
        <w:tc>
          <w:tcPr>
            <w:tcW w:w="809" w:type="dxa"/>
          </w:tcPr>
          <w:p>
            <w:pPr>
              <w:pStyle w:val="TableParagraph"/>
              <w:spacing w:before="110"/>
              <w:ind w:left="200"/>
              <w:rPr>
                <w:b/>
                <w:sz w:val="21"/>
              </w:rPr>
            </w:pPr>
            <w:r>
              <w:rPr>
                <w:b/>
                <w:sz w:val="21"/>
              </w:rPr>
              <w:t>9.26</w:t>
            </w:r>
          </w:p>
        </w:tc>
        <w:tc>
          <w:tcPr>
            <w:tcW w:w="1586" w:type="dxa"/>
          </w:tcPr>
          <w:p>
            <w:pPr>
              <w:pStyle w:val="TableParagraph"/>
              <w:spacing w:before="110"/>
              <w:ind w:left="185"/>
              <w:rPr>
                <w:b/>
                <w:sz w:val="21"/>
              </w:rPr>
            </w:pPr>
            <w:r>
              <w:rPr>
                <w:b/>
                <w:sz w:val="21"/>
              </w:rPr>
              <w:t>多发性硬化</w:t>
            </w:r>
          </w:p>
        </w:tc>
        <w:tc>
          <w:tcPr>
            <w:tcW w:w="7788" w:type="dxa"/>
          </w:tcPr>
          <w:p>
            <w:pPr>
              <w:pStyle w:val="TableParagraph"/>
              <w:spacing w:line="273" w:lineRule="auto" w:before="110"/>
              <w:ind w:right="266"/>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sz w:val="21"/>
              </w:rPr>
              <w:t>6</w:t>
            </w:r>
            <w:r>
              <w:rPr>
                <w:spacing w:val="-7"/>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73" w:lineRule="auto" w:before="7"/>
              <w:ind w:right="199"/>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sz w:val="21"/>
              </w:rPr>
              <w:t>180</w:t>
            </w:r>
            <w:r>
              <w:rPr>
                <w:spacing w:val="-17"/>
                <w:sz w:val="21"/>
              </w:rPr>
              <w:t> 天。</w:t>
            </w:r>
          </w:p>
        </w:tc>
      </w:tr>
      <w:tr>
        <w:trPr>
          <w:trHeight w:val="2120" w:hRule="atLeast"/>
        </w:trPr>
        <w:tc>
          <w:tcPr>
            <w:tcW w:w="809" w:type="dxa"/>
          </w:tcPr>
          <w:p>
            <w:pPr>
              <w:pStyle w:val="TableParagraph"/>
              <w:spacing w:before="111"/>
              <w:ind w:left="200"/>
              <w:rPr>
                <w:b/>
                <w:sz w:val="21"/>
              </w:rPr>
            </w:pPr>
            <w:r>
              <w:rPr>
                <w:b/>
                <w:sz w:val="21"/>
              </w:rPr>
              <w:t>9.27</w:t>
            </w:r>
          </w:p>
        </w:tc>
        <w:tc>
          <w:tcPr>
            <w:tcW w:w="1586" w:type="dxa"/>
          </w:tcPr>
          <w:p>
            <w:pPr>
              <w:pStyle w:val="TableParagraph"/>
              <w:spacing w:before="111"/>
              <w:ind w:left="185"/>
              <w:rPr>
                <w:b/>
                <w:sz w:val="21"/>
              </w:rPr>
            </w:pPr>
            <w:r>
              <w:rPr>
                <w:b/>
                <w:sz w:val="21"/>
              </w:rPr>
              <w:t>终末期肺病</w:t>
            </w:r>
          </w:p>
        </w:tc>
        <w:tc>
          <w:tcPr>
            <w:tcW w:w="7788" w:type="dxa"/>
          </w:tcPr>
          <w:p>
            <w:pPr>
              <w:pStyle w:val="TableParagraph"/>
              <w:spacing w:before="111"/>
              <w:rPr>
                <w:sz w:val="21"/>
              </w:rPr>
            </w:pPr>
            <w:r>
              <w:rPr>
                <w:sz w:val="21"/>
              </w:rPr>
              <w:t>被保险人患有终末期肺病而出现慢性呼吸功能衰竭，须满足下列全部条件：</w:t>
            </w:r>
          </w:p>
          <w:p>
            <w:pPr>
              <w:pStyle w:val="TableParagraph"/>
              <w:numPr>
                <w:ilvl w:val="0"/>
                <w:numId w:val="19"/>
              </w:numPr>
              <w:tabs>
                <w:tab w:pos="868" w:val="left" w:leader="none"/>
                <w:tab w:pos="869" w:val="left" w:leader="none"/>
              </w:tabs>
              <w:spacing w:line="240" w:lineRule="auto" w:before="113" w:after="0"/>
              <w:ind w:left="868"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9"/>
              </w:numPr>
              <w:tabs>
                <w:tab w:pos="868" w:val="left" w:leader="none"/>
                <w:tab w:pos="869" w:val="left" w:leader="none"/>
              </w:tabs>
              <w:spacing w:line="240" w:lineRule="auto" w:before="116" w:after="0"/>
              <w:ind w:left="868" w:right="0" w:hanging="737"/>
              <w:jc w:val="left"/>
              <w:rPr>
                <w:sz w:val="21"/>
              </w:rPr>
            </w:pPr>
            <w:r>
              <w:rPr>
                <w:spacing w:val="-3"/>
                <w:sz w:val="21"/>
              </w:rPr>
              <w:t>病人缺氧必须广泛而持续地进行输氧治疗；</w:t>
            </w:r>
          </w:p>
          <w:p>
            <w:pPr>
              <w:pStyle w:val="TableParagraph"/>
              <w:numPr>
                <w:ilvl w:val="0"/>
                <w:numId w:val="19"/>
              </w:numPr>
              <w:tabs>
                <w:tab w:pos="868" w:val="left" w:leader="none"/>
                <w:tab w:pos="869" w:val="left" w:leader="none"/>
              </w:tabs>
              <w:spacing w:line="240" w:lineRule="auto" w:before="114" w:after="0"/>
              <w:ind w:left="868" w:right="0" w:hanging="737"/>
              <w:jc w:val="left"/>
              <w:rPr>
                <w:sz w:val="21"/>
              </w:rPr>
            </w:pPr>
            <w:r>
              <w:rPr>
                <w:spacing w:val="-7"/>
                <w:sz w:val="21"/>
              </w:rPr>
              <w:t>动脉血气分析氧分压低于 </w:t>
            </w:r>
            <w:r>
              <w:rPr>
                <w:sz w:val="21"/>
              </w:rPr>
              <w:t>55mmHg。</w:t>
            </w:r>
          </w:p>
          <w:p>
            <w:pPr>
              <w:pStyle w:val="TableParagraph"/>
              <w:spacing w:before="116"/>
              <w:rPr>
                <w:sz w:val="21"/>
              </w:rPr>
            </w:pPr>
            <w:r>
              <w:rPr>
                <w:sz w:val="21"/>
              </w:rPr>
              <w:t>理赔时必须提供以上三项相应的证明文件或检查报告。</w:t>
            </w:r>
          </w:p>
        </w:tc>
      </w:tr>
      <w:tr>
        <w:trPr>
          <w:trHeight w:val="1651" w:hRule="atLeast"/>
        </w:trPr>
        <w:tc>
          <w:tcPr>
            <w:tcW w:w="809" w:type="dxa"/>
          </w:tcPr>
          <w:p>
            <w:pPr>
              <w:pStyle w:val="TableParagraph"/>
              <w:spacing w:before="110"/>
              <w:ind w:left="200"/>
              <w:rPr>
                <w:b/>
                <w:sz w:val="21"/>
              </w:rPr>
            </w:pPr>
            <w:r>
              <w:rPr>
                <w:b/>
                <w:sz w:val="21"/>
              </w:rPr>
              <w:t>9.28</w:t>
            </w:r>
          </w:p>
        </w:tc>
        <w:tc>
          <w:tcPr>
            <w:tcW w:w="1586" w:type="dxa"/>
          </w:tcPr>
          <w:p>
            <w:pPr>
              <w:pStyle w:val="TableParagraph"/>
              <w:spacing w:before="110"/>
              <w:ind w:left="185"/>
              <w:rPr>
                <w:b/>
                <w:sz w:val="21"/>
              </w:rPr>
            </w:pPr>
            <w:r>
              <w:rPr>
                <w:b/>
                <w:sz w:val="21"/>
              </w:rPr>
              <w:t>颅脑手术</w:t>
            </w:r>
          </w:p>
        </w:tc>
        <w:tc>
          <w:tcPr>
            <w:tcW w:w="7788" w:type="dxa"/>
          </w:tcPr>
          <w:p>
            <w:pPr>
              <w:pStyle w:val="TableParagraph"/>
              <w:spacing w:line="273" w:lineRule="auto" w:before="110"/>
              <w:ind w:right="509"/>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7"/>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397" w:hRule="atLeast"/>
        </w:trPr>
        <w:tc>
          <w:tcPr>
            <w:tcW w:w="809" w:type="dxa"/>
          </w:tcPr>
          <w:p>
            <w:pPr>
              <w:pStyle w:val="TableParagraph"/>
              <w:spacing w:before="110"/>
              <w:ind w:left="200"/>
              <w:rPr>
                <w:b/>
                <w:sz w:val="21"/>
              </w:rPr>
            </w:pPr>
            <w:r>
              <w:rPr>
                <w:b/>
                <w:sz w:val="21"/>
              </w:rPr>
              <w:t>9.29</w:t>
            </w:r>
          </w:p>
        </w:tc>
        <w:tc>
          <w:tcPr>
            <w:tcW w:w="1586" w:type="dxa"/>
          </w:tcPr>
          <w:p>
            <w:pPr>
              <w:pStyle w:val="TableParagraph"/>
              <w:spacing w:before="110"/>
              <w:ind w:left="185"/>
              <w:rPr>
                <w:b/>
                <w:sz w:val="21"/>
              </w:rPr>
            </w:pPr>
            <w:r>
              <w:rPr>
                <w:b/>
                <w:sz w:val="21"/>
              </w:rPr>
              <w:t>脊髓灰质炎</w:t>
            </w:r>
          </w:p>
        </w:tc>
        <w:tc>
          <w:tcPr>
            <w:tcW w:w="7788" w:type="dxa"/>
          </w:tcPr>
          <w:p>
            <w:pPr>
              <w:pStyle w:val="TableParagraph"/>
              <w:spacing w:line="273" w:lineRule="auto" w:before="110"/>
              <w:ind w:right="297"/>
              <w:rPr>
                <w:sz w:val="21"/>
              </w:rPr>
            </w:pPr>
            <w:r>
              <w:rPr>
                <w:sz w:val="21"/>
              </w:rPr>
              <w:t>指由我们认可的神经专科医生确认是因脊髓灰质病毒感染以致表现出运动功能障碍或呼吸功能减弱，并造成瘫痪。</w:t>
            </w:r>
          </w:p>
          <w:p>
            <w:pPr>
              <w:pStyle w:val="TableParagraph"/>
              <w:spacing w:line="310" w:lineRule="atLeast" w:before="51"/>
              <w:ind w:right="297"/>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bl>
    <w:p>
      <w:pPr>
        <w:spacing w:after="0" w:line="310" w:lineRule="atLeast"/>
        <w:rPr>
          <w:rFonts w:ascii="黑体" w:eastAsia="黑体" w:hint="eastAsia"/>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790" w:hRule="atLeast"/>
        </w:trPr>
        <w:tc>
          <w:tcPr>
            <w:tcW w:w="717" w:type="dxa"/>
          </w:tcPr>
          <w:p>
            <w:pPr>
              <w:pStyle w:val="TableParagraph"/>
              <w:spacing w:line="211" w:lineRule="exact"/>
              <w:ind w:left="107"/>
              <w:rPr>
                <w:b/>
                <w:sz w:val="21"/>
              </w:rPr>
            </w:pPr>
            <w:r>
              <w:rPr>
                <w:b/>
                <w:sz w:val="21"/>
              </w:rPr>
              <w:t>9.30</w:t>
            </w:r>
          </w:p>
        </w:tc>
        <w:tc>
          <w:tcPr>
            <w:tcW w:w="1585" w:type="dxa"/>
          </w:tcPr>
          <w:p>
            <w:pPr>
              <w:pStyle w:val="TableParagraph"/>
              <w:spacing w:line="211" w:lineRule="exact"/>
              <w:ind w:left="185"/>
              <w:rPr>
                <w:b/>
                <w:sz w:val="21"/>
              </w:rPr>
            </w:pPr>
            <w:r>
              <w:rPr>
                <w:b/>
                <w:sz w:val="21"/>
              </w:rPr>
              <w:t>严重肌营养不</w:t>
            </w:r>
          </w:p>
          <w:p>
            <w:pPr>
              <w:pStyle w:val="TableParagraph"/>
              <w:spacing w:before="37"/>
              <w:ind w:left="185"/>
              <w:rPr>
                <w:b/>
                <w:sz w:val="21"/>
              </w:rPr>
            </w:pPr>
            <w:r>
              <w:rPr>
                <w:b/>
                <w:sz w:val="21"/>
              </w:rPr>
              <w:t>良症</w:t>
            </w:r>
          </w:p>
        </w:tc>
        <w:tc>
          <w:tcPr>
            <w:tcW w:w="7624" w:type="dxa"/>
          </w:tcPr>
          <w:p>
            <w:pPr>
              <w:pStyle w:val="TableParagraph"/>
              <w:spacing w:line="211" w:lineRule="exact"/>
              <w:rPr>
                <w:sz w:val="21"/>
              </w:rPr>
            </w:pPr>
            <w:r>
              <w:rPr>
                <w:sz w:val="21"/>
              </w:rPr>
              <w:t>指一组原发于肌肉的遗传性疾病，临床表现为与神经系统无关的肌肉无力和肌肉</w:t>
            </w:r>
          </w:p>
          <w:p>
            <w:pPr>
              <w:pStyle w:val="TableParagraph"/>
              <w:spacing w:before="37"/>
              <w:rPr>
                <w:sz w:val="21"/>
              </w:rPr>
            </w:pPr>
            <w:r>
              <w:rPr>
                <w:sz w:val="21"/>
              </w:rPr>
              <w:t>萎缩。须满足下列全部条件：</w:t>
            </w:r>
          </w:p>
          <w:p>
            <w:pPr>
              <w:pStyle w:val="TableParagraph"/>
              <w:numPr>
                <w:ilvl w:val="0"/>
                <w:numId w:val="20"/>
              </w:numPr>
              <w:tabs>
                <w:tab w:pos="764" w:val="left" w:leader="none"/>
              </w:tabs>
              <w:spacing w:line="240" w:lineRule="auto" w:before="116" w:after="0"/>
              <w:ind w:left="763" w:right="0" w:hanging="631"/>
              <w:jc w:val="left"/>
              <w:rPr>
                <w:sz w:val="21"/>
              </w:rPr>
            </w:pPr>
            <w:r>
              <w:rPr>
                <w:spacing w:val="-3"/>
                <w:sz w:val="21"/>
              </w:rPr>
              <w:t>肌肉组织活检结果满足肌营养不良症的肌肉细胞变性、坏死等阳性改变；</w:t>
            </w:r>
          </w:p>
          <w:p>
            <w:pPr>
              <w:pStyle w:val="TableParagraph"/>
              <w:numPr>
                <w:ilvl w:val="0"/>
                <w:numId w:val="20"/>
              </w:numPr>
              <w:tabs>
                <w:tab w:pos="764" w:val="left" w:leader="none"/>
              </w:tabs>
              <w:spacing w:line="273" w:lineRule="auto" w:before="113" w:after="0"/>
              <w:ind w:left="763" w:right="132" w:hanging="631"/>
              <w:jc w:val="left"/>
              <w:rPr>
                <w:sz w:val="21"/>
              </w:rPr>
            </w:pPr>
            <w:r>
              <w:rPr>
                <w:spacing w:val="-3"/>
                <w:sz w:val="21"/>
              </w:rPr>
              <w:t>自主生活能力完全丧失，无法独立完成六项基本日常生活活动中的三项或三项以上。</w:t>
            </w:r>
          </w:p>
        </w:tc>
      </w:tr>
      <w:tr>
        <w:trPr>
          <w:trHeight w:val="1183" w:hRule="atLeast"/>
        </w:trPr>
        <w:tc>
          <w:tcPr>
            <w:tcW w:w="717" w:type="dxa"/>
          </w:tcPr>
          <w:p>
            <w:pPr>
              <w:pStyle w:val="TableParagraph"/>
              <w:spacing w:before="111"/>
              <w:ind w:left="107"/>
              <w:rPr>
                <w:b/>
                <w:sz w:val="21"/>
              </w:rPr>
            </w:pPr>
            <w:r>
              <w:rPr>
                <w:b/>
                <w:sz w:val="21"/>
              </w:rPr>
              <w:t>9.31</w:t>
            </w:r>
          </w:p>
        </w:tc>
        <w:tc>
          <w:tcPr>
            <w:tcW w:w="1585" w:type="dxa"/>
          </w:tcPr>
          <w:p>
            <w:pPr>
              <w:pStyle w:val="TableParagraph"/>
              <w:spacing w:line="271" w:lineRule="auto" w:before="111"/>
              <w:ind w:left="185" w:right="129"/>
              <w:rPr>
                <w:b/>
                <w:sz w:val="21"/>
              </w:rPr>
            </w:pPr>
            <w:r>
              <w:rPr>
                <w:b/>
                <w:sz w:val="21"/>
              </w:rPr>
              <w:t>急性出血坏死性胰腺炎</w:t>
            </w:r>
          </w:p>
        </w:tc>
        <w:tc>
          <w:tcPr>
            <w:tcW w:w="7624" w:type="dxa"/>
          </w:tcPr>
          <w:p>
            <w:pPr>
              <w:pStyle w:val="TableParagraph"/>
              <w:spacing w:line="271" w:lineRule="auto" w:before="111"/>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01" w:hRule="atLeast"/>
        </w:trPr>
        <w:tc>
          <w:tcPr>
            <w:tcW w:w="717" w:type="dxa"/>
          </w:tcPr>
          <w:p>
            <w:pPr>
              <w:pStyle w:val="TableParagraph"/>
              <w:spacing w:before="111"/>
              <w:ind w:left="107"/>
              <w:rPr>
                <w:b/>
                <w:sz w:val="21"/>
              </w:rPr>
            </w:pPr>
            <w:r>
              <w:rPr>
                <w:b/>
                <w:sz w:val="21"/>
              </w:rPr>
              <w:t>9.32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6"/>
              <w:ind w:left="185" w:right="131"/>
              <w:rPr>
                <w:b/>
                <w:sz w:val="21"/>
              </w:rPr>
            </w:pPr>
            <w:r>
              <w:rPr>
                <w:b/>
                <w:sz w:val="21"/>
              </w:rPr>
              <w:t>（或称恶性葡萄胎）</w:t>
            </w:r>
          </w:p>
        </w:tc>
        <w:tc>
          <w:tcPr>
            <w:tcW w:w="7624" w:type="dxa"/>
          </w:tcPr>
          <w:p>
            <w:pPr>
              <w:pStyle w:val="TableParagraph"/>
              <w:spacing w:line="273" w:lineRule="auto" w:before="111"/>
              <w:ind w:right="132"/>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17" w:type="dxa"/>
            <w:tcBorders>
              <w:bottom w:val="single" w:sz="8" w:space="0" w:color="000000"/>
            </w:tcBorders>
          </w:tcPr>
          <w:p>
            <w:pPr>
              <w:pStyle w:val="TableParagraph"/>
              <w:spacing w:before="116"/>
              <w:ind w:left="107"/>
              <w:rPr>
                <w:b/>
                <w:sz w:val="24"/>
              </w:rPr>
            </w:pPr>
            <w:r>
              <w:rPr>
                <w:b/>
                <w:sz w:val="24"/>
              </w:rPr>
              <w:t>10.</w:t>
            </w:r>
          </w:p>
        </w:tc>
        <w:tc>
          <w:tcPr>
            <w:tcW w:w="1585" w:type="dxa"/>
            <w:tcBorders>
              <w:bottom w:val="single" w:sz="8" w:space="0" w:color="000000"/>
            </w:tcBorders>
          </w:tcPr>
          <w:p>
            <w:pPr>
              <w:pStyle w:val="TableParagraph"/>
              <w:spacing w:before="11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977"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871" w:hRule="atLeast"/>
        </w:trPr>
        <w:tc>
          <w:tcPr>
            <w:tcW w:w="717" w:type="dxa"/>
          </w:tcPr>
          <w:p>
            <w:pPr>
              <w:pStyle w:val="TableParagraph"/>
              <w:spacing w:before="111"/>
              <w:ind w:left="107"/>
              <w:rPr>
                <w:b/>
                <w:sz w:val="21"/>
              </w:rPr>
            </w:pPr>
            <w:r>
              <w:rPr>
                <w:b/>
                <w:sz w:val="21"/>
              </w:rPr>
              <w:t>10.2</w:t>
            </w:r>
          </w:p>
        </w:tc>
        <w:tc>
          <w:tcPr>
            <w:tcW w:w="1585" w:type="dxa"/>
          </w:tcPr>
          <w:p>
            <w:pPr>
              <w:pStyle w:val="TableParagraph"/>
              <w:spacing w:line="271" w:lineRule="auto" w:before="111"/>
              <w:ind w:left="185" w:right="129"/>
              <w:rPr>
                <w:b/>
                <w:sz w:val="21"/>
              </w:rPr>
            </w:pPr>
            <w:r>
              <w:rPr>
                <w:b/>
                <w:sz w:val="21"/>
              </w:rPr>
              <w:t>保险费约定交纳日</w:t>
            </w:r>
          </w:p>
        </w:tc>
        <w:tc>
          <w:tcPr>
            <w:tcW w:w="7624" w:type="dxa"/>
          </w:tcPr>
          <w:p>
            <w:pPr>
              <w:pStyle w:val="TableParagraph"/>
              <w:spacing w:line="271" w:lineRule="auto" w:before="111"/>
              <w:ind w:right="132"/>
              <w:rPr>
                <w:sz w:val="21"/>
              </w:rPr>
            </w:pPr>
            <w:r>
              <w:rPr>
                <w:sz w:val="21"/>
              </w:rPr>
              <w:t>保险合同生效日在每月、每季、每半年或每年（根据交费方式确定）的对应日。如果当月无对应的同一日，则以该月最后一日为对应日。</w:t>
            </w:r>
          </w:p>
        </w:tc>
      </w:tr>
      <w:tr>
        <w:trPr>
          <w:trHeight w:val="1520" w:hRule="atLeast"/>
        </w:trPr>
        <w:tc>
          <w:tcPr>
            <w:tcW w:w="717" w:type="dxa"/>
          </w:tcPr>
          <w:p>
            <w:pPr>
              <w:pStyle w:val="TableParagraph"/>
              <w:spacing w:before="111"/>
              <w:ind w:left="107"/>
              <w:rPr>
                <w:b/>
                <w:sz w:val="21"/>
              </w:rPr>
            </w:pPr>
            <w:r>
              <w:rPr>
                <w:b/>
                <w:sz w:val="21"/>
              </w:rPr>
              <w:t>10.3</w:t>
            </w:r>
          </w:p>
        </w:tc>
        <w:tc>
          <w:tcPr>
            <w:tcW w:w="1585" w:type="dxa"/>
          </w:tcPr>
          <w:p>
            <w:pPr>
              <w:pStyle w:val="TableParagraph"/>
              <w:spacing w:before="111"/>
              <w:ind w:left="185"/>
              <w:rPr>
                <w:b/>
                <w:sz w:val="21"/>
              </w:rPr>
            </w:pPr>
            <w:r>
              <w:rPr>
                <w:b/>
                <w:sz w:val="21"/>
              </w:rPr>
              <w:t>周岁</w:t>
            </w:r>
          </w:p>
        </w:tc>
        <w:tc>
          <w:tcPr>
            <w:tcW w:w="7624" w:type="dxa"/>
          </w:tcPr>
          <w:p>
            <w:pPr>
              <w:pStyle w:val="TableParagraph"/>
              <w:spacing w:line="273" w:lineRule="auto" w:before="111"/>
              <w:ind w:right="10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7"/>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7"/>
              <w:rPr>
                <w:sz w:val="21"/>
              </w:rPr>
            </w:pPr>
            <w:r>
              <w:rPr>
                <w:sz w:val="21"/>
              </w:rPr>
              <w:t>8 月 31 日期间为 1 周岁，依此类推。</w:t>
            </w:r>
          </w:p>
        </w:tc>
      </w:tr>
      <w:tr>
        <w:trPr>
          <w:trHeight w:val="894" w:hRule="atLeast"/>
        </w:trPr>
        <w:tc>
          <w:tcPr>
            <w:tcW w:w="717" w:type="dxa"/>
          </w:tcPr>
          <w:p>
            <w:pPr>
              <w:pStyle w:val="TableParagraph"/>
              <w:spacing w:before="134"/>
              <w:ind w:left="107"/>
              <w:rPr>
                <w:b/>
                <w:sz w:val="21"/>
              </w:rPr>
            </w:pPr>
            <w:r>
              <w:rPr>
                <w:b/>
                <w:sz w:val="21"/>
              </w:rPr>
              <w:t>10.4</w:t>
            </w:r>
          </w:p>
        </w:tc>
        <w:tc>
          <w:tcPr>
            <w:tcW w:w="1585" w:type="dxa"/>
          </w:tcPr>
          <w:p>
            <w:pPr>
              <w:pStyle w:val="TableParagraph"/>
              <w:spacing w:before="134"/>
              <w:ind w:left="185"/>
              <w:rPr>
                <w:b/>
                <w:sz w:val="21"/>
              </w:rPr>
            </w:pPr>
            <w:r>
              <w:rPr>
                <w:b/>
                <w:sz w:val="21"/>
              </w:rPr>
              <w:t>有效身份证件</w:t>
            </w:r>
          </w:p>
        </w:tc>
        <w:tc>
          <w:tcPr>
            <w:tcW w:w="7624" w:type="dxa"/>
          </w:tcPr>
          <w:p>
            <w:pPr>
              <w:pStyle w:val="TableParagraph"/>
              <w:spacing w:line="271" w:lineRule="auto" w:before="134"/>
              <w:ind w:right="132"/>
              <w:rPr>
                <w:sz w:val="21"/>
              </w:rPr>
            </w:pPr>
            <w:r>
              <w:rPr>
                <w:sz w:val="21"/>
              </w:rPr>
              <w:t>指由政府主管部门规定的证明其身份的证件，如：居民身份证、按规定可使用的有效护照、军官证、警官证、士兵证、户口簿等证件。</w:t>
            </w:r>
          </w:p>
        </w:tc>
      </w:tr>
      <w:tr>
        <w:trPr>
          <w:trHeight w:val="1184" w:hRule="atLeast"/>
        </w:trPr>
        <w:tc>
          <w:tcPr>
            <w:tcW w:w="717" w:type="dxa"/>
          </w:tcPr>
          <w:p>
            <w:pPr>
              <w:pStyle w:val="TableParagraph"/>
              <w:spacing w:before="111"/>
              <w:ind w:left="107"/>
              <w:rPr>
                <w:b/>
                <w:sz w:val="21"/>
              </w:rPr>
            </w:pPr>
            <w:r>
              <w:rPr>
                <w:b/>
                <w:sz w:val="21"/>
              </w:rPr>
              <w:t>10.5</w:t>
            </w:r>
          </w:p>
        </w:tc>
        <w:tc>
          <w:tcPr>
            <w:tcW w:w="1585" w:type="dxa"/>
          </w:tcPr>
          <w:p>
            <w:pPr>
              <w:pStyle w:val="TableParagraph"/>
              <w:spacing w:before="111"/>
              <w:ind w:left="185"/>
              <w:rPr>
                <w:b/>
                <w:sz w:val="21"/>
              </w:rPr>
            </w:pPr>
            <w:r>
              <w:rPr>
                <w:b/>
                <w:sz w:val="21"/>
              </w:rPr>
              <w:t>意外伤害</w:t>
            </w:r>
          </w:p>
        </w:tc>
        <w:tc>
          <w:tcPr>
            <w:tcW w:w="7624" w:type="dxa"/>
          </w:tcPr>
          <w:p>
            <w:pPr>
              <w:pStyle w:val="TableParagraph"/>
              <w:spacing w:line="273" w:lineRule="auto" w:before="111"/>
              <w:ind w:right="132"/>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872" w:hRule="atLeast"/>
        </w:trPr>
        <w:tc>
          <w:tcPr>
            <w:tcW w:w="717" w:type="dxa"/>
          </w:tcPr>
          <w:p>
            <w:pPr>
              <w:pStyle w:val="TableParagraph"/>
              <w:spacing w:before="110"/>
              <w:ind w:left="107"/>
              <w:rPr>
                <w:b/>
                <w:sz w:val="21"/>
              </w:rPr>
            </w:pPr>
            <w:r>
              <w:rPr>
                <w:b/>
                <w:sz w:val="21"/>
              </w:rPr>
              <w:t>10.6</w:t>
            </w:r>
          </w:p>
        </w:tc>
        <w:tc>
          <w:tcPr>
            <w:tcW w:w="1585" w:type="dxa"/>
          </w:tcPr>
          <w:p>
            <w:pPr>
              <w:pStyle w:val="TableParagraph"/>
              <w:spacing w:before="110"/>
              <w:ind w:left="185"/>
              <w:rPr>
                <w:b/>
                <w:sz w:val="21"/>
              </w:rPr>
            </w:pPr>
            <w:r>
              <w:rPr>
                <w:b/>
                <w:sz w:val="21"/>
              </w:rPr>
              <w:t>医院</w:t>
            </w:r>
          </w:p>
        </w:tc>
        <w:tc>
          <w:tcPr>
            <w:tcW w:w="7624" w:type="dxa"/>
          </w:tcPr>
          <w:p>
            <w:pPr>
              <w:pStyle w:val="TableParagraph"/>
              <w:spacing w:line="273" w:lineRule="auto" w:before="110"/>
              <w:ind w:right="132"/>
              <w:rPr>
                <w:sz w:val="21"/>
              </w:rPr>
            </w:pPr>
            <w:r>
              <w:rPr>
                <w:sz w:val="21"/>
              </w:rPr>
              <w:t>指国家卫生部医院等级分类中的二级合格或二级合格以上的医院，但不包括主要作为康复、护理、疗养、戒酒、戒毒或相类似的医疗机构。</w:t>
            </w:r>
          </w:p>
        </w:tc>
      </w:tr>
      <w:tr>
        <w:trPr>
          <w:trHeight w:val="1183" w:hRule="atLeast"/>
        </w:trPr>
        <w:tc>
          <w:tcPr>
            <w:tcW w:w="717" w:type="dxa"/>
          </w:tcPr>
          <w:p>
            <w:pPr>
              <w:pStyle w:val="TableParagraph"/>
              <w:spacing w:before="111"/>
              <w:ind w:left="107"/>
              <w:rPr>
                <w:b/>
                <w:sz w:val="21"/>
              </w:rPr>
            </w:pPr>
            <w:r>
              <w:rPr>
                <w:b/>
                <w:sz w:val="21"/>
              </w:rPr>
              <w:t>10.7</w:t>
            </w:r>
          </w:p>
        </w:tc>
        <w:tc>
          <w:tcPr>
            <w:tcW w:w="1585" w:type="dxa"/>
          </w:tcPr>
          <w:p>
            <w:pPr>
              <w:pStyle w:val="TableParagraph"/>
              <w:spacing w:before="111"/>
              <w:ind w:left="185"/>
              <w:rPr>
                <w:b/>
                <w:sz w:val="21"/>
              </w:rPr>
            </w:pPr>
            <w:r>
              <w:rPr>
                <w:b/>
                <w:sz w:val="21"/>
              </w:rPr>
              <w:t>毒品</w:t>
            </w:r>
          </w:p>
        </w:tc>
        <w:tc>
          <w:tcPr>
            <w:tcW w:w="7624" w:type="dxa"/>
          </w:tcPr>
          <w:p>
            <w:pPr>
              <w:pStyle w:val="TableParagraph"/>
              <w:spacing w:line="271" w:lineRule="auto" w:before="111"/>
              <w:ind w:right="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4" w:hRule="atLeast"/>
        </w:trPr>
        <w:tc>
          <w:tcPr>
            <w:tcW w:w="717" w:type="dxa"/>
          </w:tcPr>
          <w:p>
            <w:pPr>
              <w:pStyle w:val="TableParagraph"/>
              <w:spacing w:before="111"/>
              <w:ind w:left="107"/>
              <w:rPr>
                <w:b/>
                <w:sz w:val="21"/>
              </w:rPr>
            </w:pPr>
            <w:r>
              <w:rPr>
                <w:b/>
                <w:sz w:val="21"/>
              </w:rPr>
              <w:t>10.8</w:t>
            </w:r>
          </w:p>
        </w:tc>
        <w:tc>
          <w:tcPr>
            <w:tcW w:w="1585" w:type="dxa"/>
          </w:tcPr>
          <w:p>
            <w:pPr>
              <w:pStyle w:val="TableParagraph"/>
              <w:spacing w:before="111"/>
              <w:ind w:left="185"/>
              <w:rPr>
                <w:b/>
                <w:sz w:val="21"/>
              </w:rPr>
            </w:pPr>
            <w:r>
              <w:rPr>
                <w:b/>
                <w:sz w:val="21"/>
              </w:rPr>
              <w:t>酒后驾驶</w:t>
            </w:r>
          </w:p>
        </w:tc>
        <w:tc>
          <w:tcPr>
            <w:tcW w:w="7624" w:type="dxa"/>
          </w:tcPr>
          <w:p>
            <w:pPr>
              <w:pStyle w:val="TableParagraph"/>
              <w:spacing w:line="273" w:lineRule="auto" w:before="111"/>
              <w:ind w:right="13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776" w:hRule="atLeast"/>
        </w:trPr>
        <w:tc>
          <w:tcPr>
            <w:tcW w:w="717" w:type="dxa"/>
          </w:tcPr>
          <w:p>
            <w:pPr>
              <w:pStyle w:val="TableParagraph"/>
              <w:spacing w:before="110"/>
              <w:ind w:left="107"/>
              <w:rPr>
                <w:b/>
                <w:sz w:val="21"/>
              </w:rPr>
            </w:pPr>
            <w:r>
              <w:rPr>
                <w:b/>
                <w:sz w:val="21"/>
              </w:rPr>
              <w:t>10.9</w:t>
            </w:r>
          </w:p>
        </w:tc>
        <w:tc>
          <w:tcPr>
            <w:tcW w:w="1585" w:type="dxa"/>
          </w:tcPr>
          <w:p>
            <w:pPr>
              <w:pStyle w:val="TableParagraph"/>
              <w:spacing w:line="273" w:lineRule="auto" w:before="110"/>
              <w:ind w:left="185" w:right="129"/>
              <w:rPr>
                <w:b/>
                <w:sz w:val="21"/>
              </w:rPr>
            </w:pPr>
            <w:r>
              <w:rPr>
                <w:b/>
                <w:sz w:val="21"/>
              </w:rPr>
              <w:t>无合法有效驾驶证驾驶</w:t>
            </w:r>
          </w:p>
        </w:tc>
        <w:tc>
          <w:tcPr>
            <w:tcW w:w="7624" w:type="dxa"/>
          </w:tcPr>
          <w:p>
            <w:pPr>
              <w:pStyle w:val="TableParagraph"/>
              <w:spacing w:before="110"/>
              <w:rPr>
                <w:sz w:val="21"/>
              </w:rPr>
            </w:pPr>
            <w:r>
              <w:rPr>
                <w:sz w:val="21"/>
              </w:rPr>
              <w:t>指下列情形之一：</w:t>
            </w:r>
          </w:p>
          <w:p>
            <w:pPr>
              <w:pStyle w:val="TableParagraph"/>
              <w:tabs>
                <w:tab w:pos="866" w:val="left" w:leader="none"/>
              </w:tabs>
              <w:spacing w:line="255" w:lineRule="exact" w:before="116"/>
              <w:rPr>
                <w:sz w:val="21"/>
              </w:rPr>
            </w:pPr>
            <w:r>
              <w:rPr>
                <w:sz w:val="21"/>
              </w:rPr>
              <w:t>（1）</w:t>
              <w:tab/>
            </w:r>
            <w:r>
              <w:rPr>
                <w:spacing w:val="-3"/>
                <w:sz w:val="21"/>
              </w:rPr>
              <w:t>没有取得驾驶资格；</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1478" w:hRule="atLeast"/>
        </w:trPr>
        <w:tc>
          <w:tcPr>
            <w:tcW w:w="862" w:type="dxa"/>
          </w:tcPr>
          <w:p>
            <w:pPr>
              <w:pStyle w:val="TableParagraph"/>
              <w:ind w:left="0"/>
              <w:rPr>
                <w:rFonts w:ascii="Times New Roman"/>
                <w:sz w:val="20"/>
              </w:rPr>
            </w:pPr>
          </w:p>
        </w:tc>
        <w:tc>
          <w:tcPr>
            <w:tcW w:w="1533" w:type="dxa"/>
          </w:tcPr>
          <w:p>
            <w:pPr>
              <w:pStyle w:val="TableParagraph"/>
              <w:ind w:left="0"/>
              <w:rPr>
                <w:rFonts w:ascii="Times New Roman"/>
                <w:sz w:val="20"/>
              </w:rPr>
            </w:pPr>
          </w:p>
        </w:tc>
        <w:tc>
          <w:tcPr>
            <w:tcW w:w="7827" w:type="dxa"/>
          </w:tcPr>
          <w:p>
            <w:pPr>
              <w:pStyle w:val="TableParagraph"/>
              <w:numPr>
                <w:ilvl w:val="0"/>
                <w:numId w:val="21"/>
              </w:numPr>
              <w:tabs>
                <w:tab w:pos="865" w:val="left" w:leader="none"/>
                <w:tab w:pos="866" w:val="left" w:leader="none"/>
              </w:tabs>
              <w:spacing w:line="211" w:lineRule="exact" w:before="0" w:after="0"/>
              <w:ind w:left="866" w:right="0" w:hanging="735"/>
              <w:jc w:val="left"/>
              <w:rPr>
                <w:sz w:val="21"/>
              </w:rPr>
            </w:pPr>
            <w:r>
              <w:rPr>
                <w:spacing w:val="-3"/>
                <w:sz w:val="21"/>
              </w:rPr>
              <w:t>驾驶与驾驶证准驾车型不相符合的车辆；</w:t>
            </w:r>
          </w:p>
          <w:p>
            <w:pPr>
              <w:pStyle w:val="TableParagraph"/>
              <w:numPr>
                <w:ilvl w:val="0"/>
                <w:numId w:val="21"/>
              </w:numPr>
              <w:tabs>
                <w:tab w:pos="865" w:val="left" w:leader="none"/>
                <w:tab w:pos="866" w:val="left" w:leader="none"/>
              </w:tabs>
              <w:spacing w:line="240" w:lineRule="auto" w:before="116" w:after="0"/>
              <w:ind w:left="866" w:right="0" w:hanging="735"/>
              <w:jc w:val="left"/>
              <w:rPr>
                <w:sz w:val="21"/>
              </w:rPr>
            </w:pPr>
            <w:r>
              <w:rPr>
                <w:spacing w:val="-3"/>
                <w:sz w:val="21"/>
              </w:rPr>
              <w:t>持审验不合格的驾驶证驾驶；</w:t>
            </w:r>
          </w:p>
          <w:p>
            <w:pPr>
              <w:pStyle w:val="TableParagraph"/>
              <w:numPr>
                <w:ilvl w:val="0"/>
                <w:numId w:val="21"/>
              </w:numPr>
              <w:tabs>
                <w:tab w:pos="865" w:val="left" w:leader="none"/>
                <w:tab w:pos="866" w:val="left" w:leader="none"/>
              </w:tabs>
              <w:spacing w:line="273" w:lineRule="auto" w:before="114" w:after="0"/>
              <w:ind w:left="866" w:right="307" w:hanging="735"/>
              <w:jc w:val="left"/>
              <w:rPr>
                <w:sz w:val="21"/>
              </w:rPr>
            </w:pPr>
            <w:r>
              <w:rPr>
                <w:spacing w:val="-8"/>
                <w:sz w:val="21"/>
              </w:rPr>
              <w:t>持学习驾驶证学习驾车时，无教练员随车指导，或不按指定时间、路线学</w:t>
            </w:r>
            <w:r>
              <w:rPr>
                <w:spacing w:val="-6"/>
                <w:sz w:val="21"/>
              </w:rPr>
              <w:t>习驾车。</w:t>
            </w:r>
          </w:p>
        </w:tc>
      </w:tr>
      <w:tr>
        <w:trPr>
          <w:trHeight w:val="1340" w:hRule="atLeast"/>
        </w:trPr>
        <w:tc>
          <w:tcPr>
            <w:tcW w:w="862" w:type="dxa"/>
          </w:tcPr>
          <w:p>
            <w:pPr>
              <w:pStyle w:val="TableParagraph"/>
              <w:spacing w:before="111"/>
              <w:ind w:left="0" w:right="131"/>
              <w:jc w:val="right"/>
              <w:rPr>
                <w:b/>
                <w:sz w:val="21"/>
              </w:rPr>
            </w:pPr>
            <w:r>
              <w:rPr>
                <w:b/>
                <w:w w:val="95"/>
                <w:sz w:val="21"/>
              </w:rPr>
              <w:t>10.10</w:t>
            </w:r>
          </w:p>
        </w:tc>
        <w:tc>
          <w:tcPr>
            <w:tcW w:w="1533" w:type="dxa"/>
          </w:tcPr>
          <w:p>
            <w:pPr>
              <w:pStyle w:val="TableParagraph"/>
              <w:spacing w:before="111"/>
              <w:ind w:left="132"/>
              <w:rPr>
                <w:b/>
                <w:sz w:val="21"/>
              </w:rPr>
            </w:pPr>
            <w:r>
              <w:rPr>
                <w:b/>
                <w:sz w:val="21"/>
              </w:rPr>
              <w:t>无有效行驶证</w:t>
            </w:r>
          </w:p>
        </w:tc>
        <w:tc>
          <w:tcPr>
            <w:tcW w:w="7827" w:type="dxa"/>
          </w:tcPr>
          <w:p>
            <w:pPr>
              <w:pStyle w:val="TableParagraph"/>
              <w:spacing w:before="111"/>
              <w:ind w:left="130"/>
              <w:rPr>
                <w:sz w:val="21"/>
              </w:rPr>
            </w:pPr>
            <w:r>
              <w:rPr>
                <w:sz w:val="21"/>
              </w:rPr>
              <w:t>指下列情形之一：</w:t>
            </w:r>
          </w:p>
          <w:p>
            <w:pPr>
              <w:pStyle w:val="TableParagraph"/>
              <w:numPr>
                <w:ilvl w:val="0"/>
                <w:numId w:val="22"/>
              </w:numPr>
              <w:tabs>
                <w:tab w:pos="971" w:val="left" w:leader="none"/>
                <w:tab w:pos="972" w:val="left" w:leader="none"/>
              </w:tabs>
              <w:spacing w:line="240" w:lineRule="auto" w:before="113" w:after="0"/>
              <w:ind w:left="971" w:right="0" w:hanging="840"/>
              <w:jc w:val="left"/>
              <w:rPr>
                <w:sz w:val="21"/>
              </w:rPr>
            </w:pPr>
            <w:r>
              <w:rPr>
                <w:spacing w:val="-3"/>
                <w:sz w:val="21"/>
              </w:rPr>
              <w:t>机动车被依法注销登记的；</w:t>
            </w:r>
          </w:p>
          <w:p>
            <w:pPr>
              <w:pStyle w:val="TableParagraph"/>
              <w:numPr>
                <w:ilvl w:val="0"/>
                <w:numId w:val="22"/>
              </w:numPr>
              <w:tabs>
                <w:tab w:pos="971" w:val="left" w:leader="none"/>
                <w:tab w:pos="972" w:val="left" w:leader="none"/>
              </w:tabs>
              <w:spacing w:line="240" w:lineRule="auto" w:before="116" w:after="0"/>
              <w:ind w:left="971" w:right="0" w:hanging="840"/>
              <w:jc w:val="left"/>
              <w:rPr>
                <w:sz w:val="21"/>
              </w:rPr>
            </w:pPr>
            <w:r>
              <w:rPr>
                <w:spacing w:val="-3"/>
                <w:sz w:val="21"/>
              </w:rPr>
              <w:t>未依法按时进行或通过机动车安全技术检验。</w:t>
            </w:r>
          </w:p>
        </w:tc>
      </w:tr>
      <w:tr>
        <w:trPr>
          <w:trHeight w:val="871" w:hRule="atLeast"/>
        </w:trPr>
        <w:tc>
          <w:tcPr>
            <w:tcW w:w="862" w:type="dxa"/>
          </w:tcPr>
          <w:p>
            <w:pPr>
              <w:pStyle w:val="TableParagraph"/>
              <w:spacing w:before="110"/>
              <w:ind w:left="0" w:right="131"/>
              <w:jc w:val="right"/>
              <w:rPr>
                <w:b/>
                <w:sz w:val="21"/>
              </w:rPr>
            </w:pPr>
            <w:r>
              <w:rPr>
                <w:b/>
                <w:sz w:val="21"/>
              </w:rPr>
              <w:t>10.11</w:t>
            </w:r>
          </w:p>
        </w:tc>
        <w:tc>
          <w:tcPr>
            <w:tcW w:w="1533" w:type="dxa"/>
          </w:tcPr>
          <w:p>
            <w:pPr>
              <w:pStyle w:val="TableParagraph"/>
              <w:spacing w:before="110"/>
              <w:ind w:left="132"/>
              <w:rPr>
                <w:b/>
                <w:sz w:val="21"/>
              </w:rPr>
            </w:pPr>
            <w:r>
              <w:rPr>
                <w:b/>
                <w:sz w:val="21"/>
              </w:rPr>
              <w:t>机动车</w:t>
            </w:r>
          </w:p>
        </w:tc>
        <w:tc>
          <w:tcPr>
            <w:tcW w:w="7827" w:type="dxa"/>
          </w:tcPr>
          <w:p>
            <w:pPr>
              <w:pStyle w:val="TableParagraph"/>
              <w:spacing w:line="273" w:lineRule="auto" w:before="110"/>
              <w:ind w:left="130" w:right="336"/>
              <w:rPr>
                <w:sz w:val="21"/>
              </w:rPr>
            </w:pPr>
            <w:r>
              <w:rPr>
                <w:sz w:val="21"/>
              </w:rPr>
              <w:t>指以动力装置驱动或者牵引，上道路行驶的供人员乘用或者用于运送物品以及进行工程专项作业的轮式车辆。</w:t>
            </w:r>
          </w:p>
        </w:tc>
      </w:tr>
      <w:tr>
        <w:trPr>
          <w:trHeight w:val="1885" w:hRule="atLeast"/>
        </w:trPr>
        <w:tc>
          <w:tcPr>
            <w:tcW w:w="862" w:type="dxa"/>
          </w:tcPr>
          <w:p>
            <w:pPr>
              <w:pStyle w:val="TableParagraph"/>
              <w:spacing w:before="110"/>
              <w:ind w:left="0" w:right="131"/>
              <w:jc w:val="right"/>
              <w:rPr>
                <w:b/>
                <w:sz w:val="21"/>
              </w:rPr>
            </w:pPr>
            <w:r>
              <w:rPr>
                <w:b/>
                <w:sz w:val="21"/>
              </w:rPr>
              <w:t>10.12</w:t>
            </w:r>
          </w:p>
        </w:tc>
        <w:tc>
          <w:tcPr>
            <w:tcW w:w="1533" w:type="dxa"/>
          </w:tcPr>
          <w:p>
            <w:pPr>
              <w:pStyle w:val="TableParagraph"/>
              <w:spacing w:line="273" w:lineRule="auto" w:before="110"/>
              <w:ind w:left="132" w:right="130"/>
              <w:rPr>
                <w:b/>
                <w:sz w:val="21"/>
              </w:rPr>
            </w:pPr>
            <w:r>
              <w:rPr>
                <w:b/>
                <w:sz w:val="21"/>
              </w:rPr>
              <w:t>感染艾滋病病毒或患艾滋病</w:t>
            </w:r>
          </w:p>
        </w:tc>
        <w:tc>
          <w:tcPr>
            <w:tcW w:w="7827" w:type="dxa"/>
          </w:tcPr>
          <w:p>
            <w:pPr>
              <w:pStyle w:val="TableParagraph"/>
              <w:spacing w:line="273" w:lineRule="auto" w:before="110"/>
              <w:ind w:left="130" w:right="3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7"/>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3" w:hRule="atLeast"/>
        </w:trPr>
        <w:tc>
          <w:tcPr>
            <w:tcW w:w="862" w:type="dxa"/>
          </w:tcPr>
          <w:p>
            <w:pPr>
              <w:pStyle w:val="TableParagraph"/>
              <w:spacing w:before="111"/>
              <w:ind w:left="0" w:right="131"/>
              <w:jc w:val="right"/>
              <w:rPr>
                <w:b/>
                <w:sz w:val="21"/>
              </w:rPr>
            </w:pPr>
            <w:r>
              <w:rPr>
                <w:b/>
                <w:sz w:val="21"/>
              </w:rPr>
              <w:t>10.13</w:t>
            </w:r>
          </w:p>
        </w:tc>
        <w:tc>
          <w:tcPr>
            <w:tcW w:w="1533" w:type="dxa"/>
          </w:tcPr>
          <w:p>
            <w:pPr>
              <w:pStyle w:val="TableParagraph"/>
              <w:spacing w:before="111"/>
              <w:ind w:left="132"/>
              <w:rPr>
                <w:b/>
                <w:sz w:val="21"/>
              </w:rPr>
            </w:pPr>
            <w:r>
              <w:rPr>
                <w:b/>
                <w:sz w:val="21"/>
              </w:rPr>
              <w:t>遗传性疾病</w:t>
            </w:r>
          </w:p>
        </w:tc>
        <w:tc>
          <w:tcPr>
            <w:tcW w:w="7827" w:type="dxa"/>
          </w:tcPr>
          <w:p>
            <w:pPr>
              <w:pStyle w:val="TableParagraph"/>
              <w:spacing w:line="273" w:lineRule="auto" w:before="111"/>
              <w:ind w:left="130" w:right="127"/>
              <w:rPr>
                <w:sz w:val="21"/>
              </w:rPr>
            </w:pPr>
            <w:r>
              <w:rPr>
                <w:sz w:val="21"/>
              </w:rPr>
              <w:t>指生殖细胞或受精卵的遗传物质（染色体和基因）发生突变或畸变所引起的疾病， 通常具有由亲代传至后代的垂直传递的特征。</w:t>
            </w:r>
          </w:p>
        </w:tc>
      </w:tr>
      <w:tr>
        <w:trPr>
          <w:trHeight w:val="1183" w:hRule="atLeast"/>
        </w:trPr>
        <w:tc>
          <w:tcPr>
            <w:tcW w:w="862" w:type="dxa"/>
          </w:tcPr>
          <w:p>
            <w:pPr>
              <w:pStyle w:val="TableParagraph"/>
              <w:spacing w:before="111"/>
              <w:ind w:left="0" w:right="131"/>
              <w:jc w:val="right"/>
              <w:rPr>
                <w:b/>
                <w:sz w:val="21"/>
              </w:rPr>
            </w:pPr>
            <w:r>
              <w:rPr>
                <w:b/>
                <w:sz w:val="21"/>
              </w:rPr>
              <w:t>10.14</w:t>
            </w:r>
          </w:p>
        </w:tc>
        <w:tc>
          <w:tcPr>
            <w:tcW w:w="1533" w:type="dxa"/>
          </w:tcPr>
          <w:p>
            <w:pPr>
              <w:pStyle w:val="TableParagraph"/>
              <w:spacing w:line="271" w:lineRule="auto" w:before="111"/>
              <w:ind w:left="132" w:right="130"/>
              <w:jc w:val="both"/>
              <w:rPr>
                <w:b/>
                <w:sz w:val="21"/>
              </w:rPr>
            </w:pPr>
            <w:r>
              <w:rPr>
                <w:b/>
                <w:sz w:val="21"/>
              </w:rPr>
              <w:t>先天性畸形、变形或染色体异常</w:t>
            </w:r>
          </w:p>
        </w:tc>
        <w:tc>
          <w:tcPr>
            <w:tcW w:w="7827" w:type="dxa"/>
          </w:tcPr>
          <w:p>
            <w:pPr>
              <w:pStyle w:val="TableParagraph"/>
              <w:spacing w:line="271" w:lineRule="auto" w:before="111"/>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1" w:hRule="atLeast"/>
        </w:trPr>
        <w:tc>
          <w:tcPr>
            <w:tcW w:w="862" w:type="dxa"/>
          </w:tcPr>
          <w:p>
            <w:pPr>
              <w:pStyle w:val="TableParagraph"/>
              <w:spacing w:before="111"/>
              <w:ind w:left="0" w:right="131"/>
              <w:jc w:val="right"/>
              <w:rPr>
                <w:b/>
                <w:sz w:val="21"/>
              </w:rPr>
            </w:pPr>
            <w:r>
              <w:rPr>
                <w:b/>
                <w:sz w:val="21"/>
              </w:rPr>
              <w:t>10.15</w:t>
            </w:r>
          </w:p>
        </w:tc>
        <w:tc>
          <w:tcPr>
            <w:tcW w:w="1533" w:type="dxa"/>
          </w:tcPr>
          <w:p>
            <w:pPr>
              <w:pStyle w:val="TableParagraph"/>
              <w:spacing w:before="111"/>
              <w:ind w:left="132"/>
              <w:rPr>
                <w:b/>
                <w:sz w:val="21"/>
              </w:rPr>
            </w:pPr>
            <w:r>
              <w:rPr>
                <w:b/>
                <w:sz w:val="21"/>
              </w:rPr>
              <w:t>现金价值</w:t>
            </w:r>
          </w:p>
        </w:tc>
        <w:tc>
          <w:tcPr>
            <w:tcW w:w="7827" w:type="dxa"/>
          </w:tcPr>
          <w:p>
            <w:pPr>
              <w:pStyle w:val="TableParagraph"/>
              <w:spacing w:line="271" w:lineRule="auto" w:before="111"/>
              <w:ind w:left="130" w:right="336"/>
              <w:rPr>
                <w:sz w:val="21"/>
              </w:rPr>
            </w:pPr>
            <w:r>
              <w:rPr>
                <w:sz w:val="21"/>
              </w:rPr>
              <w:t>指保险合同所具有的价值，通常体现为解除合同时，根据精算原理计算的，由我们退还的那部分金额。</w:t>
            </w:r>
          </w:p>
        </w:tc>
      </w:tr>
      <w:tr>
        <w:trPr>
          <w:trHeight w:val="2745" w:hRule="atLeast"/>
        </w:trPr>
        <w:tc>
          <w:tcPr>
            <w:tcW w:w="862" w:type="dxa"/>
          </w:tcPr>
          <w:p>
            <w:pPr>
              <w:pStyle w:val="TableParagraph"/>
              <w:spacing w:before="111"/>
              <w:ind w:left="0" w:right="131"/>
              <w:jc w:val="right"/>
              <w:rPr>
                <w:b/>
                <w:sz w:val="21"/>
              </w:rPr>
            </w:pPr>
            <w:r>
              <w:rPr>
                <w:b/>
                <w:sz w:val="21"/>
              </w:rPr>
              <w:t>10.16</w:t>
            </w:r>
          </w:p>
        </w:tc>
        <w:tc>
          <w:tcPr>
            <w:tcW w:w="1533" w:type="dxa"/>
          </w:tcPr>
          <w:p>
            <w:pPr>
              <w:pStyle w:val="TableParagraph"/>
              <w:spacing w:before="111"/>
              <w:ind w:left="132"/>
              <w:rPr>
                <w:b/>
                <w:sz w:val="21"/>
              </w:rPr>
            </w:pPr>
            <w:r>
              <w:rPr>
                <w:b/>
                <w:sz w:val="21"/>
              </w:rPr>
              <w:t>专科医生</w:t>
            </w:r>
          </w:p>
        </w:tc>
        <w:tc>
          <w:tcPr>
            <w:tcW w:w="7827" w:type="dxa"/>
          </w:tcPr>
          <w:p>
            <w:pPr>
              <w:pStyle w:val="TableParagraph"/>
              <w:spacing w:before="111"/>
              <w:ind w:left="130"/>
              <w:rPr>
                <w:sz w:val="21"/>
              </w:rPr>
            </w:pPr>
            <w:r>
              <w:rPr>
                <w:sz w:val="21"/>
              </w:rPr>
              <w:t>专科医生应当同时满足以下四项资格条件：</w:t>
            </w:r>
          </w:p>
          <w:p>
            <w:pPr>
              <w:pStyle w:val="TableParagraph"/>
              <w:numPr>
                <w:ilvl w:val="0"/>
                <w:numId w:val="23"/>
              </w:numPr>
              <w:tabs>
                <w:tab w:pos="868" w:val="left" w:leader="none"/>
                <w:tab w:pos="869" w:val="left" w:leader="none"/>
              </w:tabs>
              <w:spacing w:line="240" w:lineRule="auto" w:before="116" w:after="0"/>
              <w:ind w:left="866" w:right="0" w:hanging="735"/>
              <w:jc w:val="left"/>
              <w:rPr>
                <w:sz w:val="21"/>
              </w:rPr>
            </w:pPr>
            <w:r>
              <w:rPr>
                <w:spacing w:val="-9"/>
                <w:sz w:val="21"/>
              </w:rPr>
              <w:t>具有有效的中华人民共和国《医师资格证书》；</w:t>
            </w:r>
          </w:p>
          <w:p>
            <w:pPr>
              <w:pStyle w:val="TableParagraph"/>
              <w:numPr>
                <w:ilvl w:val="0"/>
                <w:numId w:val="23"/>
              </w:numPr>
              <w:tabs>
                <w:tab w:pos="868" w:val="left" w:leader="none"/>
                <w:tab w:pos="869" w:val="left" w:leader="none"/>
              </w:tabs>
              <w:spacing w:line="273" w:lineRule="auto" w:before="114" w:after="0"/>
              <w:ind w:left="866" w:right="340" w:hanging="735"/>
              <w:jc w:val="left"/>
              <w:rPr>
                <w:sz w:val="21"/>
              </w:rPr>
            </w:pPr>
            <w:r>
              <w:rPr>
                <w:spacing w:val="-9"/>
                <w:sz w:val="21"/>
              </w:rPr>
              <w:t>具有有效的中华人民共和国《医师执业证书》，并按期到相关部门登记注册；</w:t>
            </w:r>
          </w:p>
          <w:p>
            <w:pPr>
              <w:pStyle w:val="TableParagraph"/>
              <w:numPr>
                <w:ilvl w:val="0"/>
                <w:numId w:val="23"/>
              </w:numPr>
              <w:tabs>
                <w:tab w:pos="833" w:val="left" w:leader="none"/>
              </w:tabs>
              <w:spacing w:line="271" w:lineRule="auto" w:before="87" w:after="0"/>
              <w:ind w:left="866" w:right="307" w:hanging="735"/>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3"/>
              </w:numPr>
              <w:tabs>
                <w:tab w:pos="868" w:val="left" w:leader="none"/>
                <w:tab w:pos="869" w:val="left" w:leader="none"/>
              </w:tabs>
              <w:spacing w:line="240" w:lineRule="auto" w:before="89" w:after="0"/>
              <w:ind w:left="866" w:right="0" w:hanging="735"/>
              <w:jc w:val="left"/>
              <w:rPr>
                <w:sz w:val="21"/>
              </w:rPr>
            </w:pPr>
            <w:r>
              <w:rPr>
                <w:spacing w:val="-3"/>
                <w:sz w:val="21"/>
              </w:rPr>
              <w:t>在二级或二级以上医院的相应科室从事临床工作三年以上。</w:t>
            </w:r>
          </w:p>
        </w:tc>
      </w:tr>
      <w:tr>
        <w:trPr>
          <w:trHeight w:val="871" w:hRule="atLeast"/>
        </w:trPr>
        <w:tc>
          <w:tcPr>
            <w:tcW w:w="862" w:type="dxa"/>
          </w:tcPr>
          <w:p>
            <w:pPr>
              <w:pStyle w:val="TableParagraph"/>
              <w:spacing w:before="111"/>
              <w:ind w:left="0" w:right="131"/>
              <w:jc w:val="right"/>
              <w:rPr>
                <w:b/>
                <w:sz w:val="21"/>
              </w:rPr>
            </w:pPr>
            <w:r>
              <w:rPr>
                <w:b/>
                <w:sz w:val="21"/>
              </w:rPr>
              <w:t>10.17</w:t>
            </w:r>
          </w:p>
        </w:tc>
        <w:tc>
          <w:tcPr>
            <w:tcW w:w="1533" w:type="dxa"/>
          </w:tcPr>
          <w:p>
            <w:pPr>
              <w:pStyle w:val="TableParagraph"/>
              <w:spacing w:line="271" w:lineRule="auto" w:before="111"/>
              <w:ind w:left="132" w:right="130"/>
              <w:rPr>
                <w:b/>
                <w:sz w:val="21"/>
              </w:rPr>
            </w:pPr>
            <w:r>
              <w:rPr>
                <w:b/>
                <w:sz w:val="21"/>
              </w:rPr>
              <w:t>肢体机能完全丧失</w:t>
            </w:r>
          </w:p>
        </w:tc>
        <w:tc>
          <w:tcPr>
            <w:tcW w:w="7827" w:type="dxa"/>
          </w:tcPr>
          <w:p>
            <w:pPr>
              <w:pStyle w:val="TableParagraph"/>
              <w:spacing w:line="271" w:lineRule="auto" w:before="111"/>
              <w:ind w:left="130" w:right="336"/>
              <w:rPr>
                <w:sz w:val="21"/>
              </w:rPr>
            </w:pPr>
            <w:r>
              <w:rPr>
                <w:sz w:val="21"/>
              </w:rPr>
              <w:t>指肢体的三大关节中的两大关节僵硬，或不能随意识活动。肢体是指包括肩关节的整个上肢或包括髋关节的整个下肢。</w:t>
            </w:r>
          </w:p>
        </w:tc>
      </w:tr>
      <w:tr>
        <w:trPr>
          <w:trHeight w:val="1495" w:hRule="atLeast"/>
        </w:trPr>
        <w:tc>
          <w:tcPr>
            <w:tcW w:w="862" w:type="dxa"/>
          </w:tcPr>
          <w:p>
            <w:pPr>
              <w:pStyle w:val="TableParagraph"/>
              <w:spacing w:before="111"/>
              <w:ind w:left="0" w:right="131"/>
              <w:jc w:val="right"/>
              <w:rPr>
                <w:b/>
                <w:sz w:val="21"/>
              </w:rPr>
            </w:pPr>
            <w:r>
              <w:rPr>
                <w:b/>
                <w:sz w:val="21"/>
              </w:rPr>
              <w:t>10.18</w:t>
            </w:r>
          </w:p>
        </w:tc>
        <w:tc>
          <w:tcPr>
            <w:tcW w:w="1533" w:type="dxa"/>
          </w:tcPr>
          <w:p>
            <w:pPr>
              <w:pStyle w:val="TableParagraph"/>
              <w:spacing w:line="271" w:lineRule="auto" w:before="111"/>
              <w:ind w:left="132" w:right="130"/>
              <w:jc w:val="both"/>
              <w:rPr>
                <w:b/>
                <w:sz w:val="21"/>
              </w:rPr>
            </w:pPr>
            <w:r>
              <w:rPr>
                <w:b/>
                <w:sz w:val="21"/>
              </w:rPr>
              <w:t>语言能力或咀嚼吞咽能力完全丧失</w:t>
            </w:r>
          </w:p>
        </w:tc>
        <w:tc>
          <w:tcPr>
            <w:tcW w:w="7827" w:type="dxa"/>
          </w:tcPr>
          <w:p>
            <w:pPr>
              <w:pStyle w:val="TableParagraph"/>
              <w:spacing w:line="271" w:lineRule="auto" w:before="111"/>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698" w:hRule="atLeast"/>
        </w:trPr>
        <w:tc>
          <w:tcPr>
            <w:tcW w:w="862" w:type="dxa"/>
          </w:tcPr>
          <w:p>
            <w:pPr>
              <w:pStyle w:val="TableParagraph"/>
              <w:spacing w:before="111"/>
              <w:ind w:left="0" w:right="131"/>
              <w:jc w:val="right"/>
              <w:rPr>
                <w:b/>
                <w:sz w:val="21"/>
              </w:rPr>
            </w:pPr>
            <w:r>
              <w:rPr>
                <w:b/>
                <w:sz w:val="21"/>
              </w:rPr>
              <w:t>10.19</w:t>
            </w:r>
          </w:p>
        </w:tc>
        <w:tc>
          <w:tcPr>
            <w:tcW w:w="1533" w:type="dxa"/>
          </w:tcPr>
          <w:p>
            <w:pPr>
              <w:pStyle w:val="TableParagraph"/>
              <w:spacing w:line="310" w:lineRule="atLeast" w:before="76"/>
              <w:ind w:left="132" w:right="130"/>
              <w:rPr>
                <w:b/>
                <w:sz w:val="21"/>
              </w:rPr>
            </w:pPr>
            <w:r>
              <w:rPr>
                <w:b/>
                <w:sz w:val="21"/>
              </w:rPr>
              <w:t>六项基本日常生活活动</w:t>
            </w:r>
          </w:p>
        </w:tc>
        <w:tc>
          <w:tcPr>
            <w:tcW w:w="7827" w:type="dxa"/>
          </w:tcPr>
          <w:p>
            <w:pPr>
              <w:pStyle w:val="TableParagraph"/>
              <w:spacing w:before="111"/>
              <w:ind w:left="130"/>
              <w:rPr>
                <w:sz w:val="21"/>
              </w:rPr>
            </w:pPr>
            <w:r>
              <w:rPr>
                <w:sz w:val="21"/>
              </w:rPr>
              <w:t>六项基本日常生活活动是指：</w:t>
            </w:r>
          </w:p>
        </w:tc>
      </w:tr>
    </w:tbl>
    <w:p>
      <w:pPr>
        <w:spacing w:after="0"/>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2336" w:hRule="atLeast"/>
        </w:trPr>
        <w:tc>
          <w:tcPr>
            <w:tcW w:w="862" w:type="dxa"/>
          </w:tcPr>
          <w:p>
            <w:pPr>
              <w:pStyle w:val="TableParagraph"/>
              <w:ind w:left="0"/>
              <w:rPr>
                <w:rFonts w:ascii="Times New Roman"/>
                <w:sz w:val="20"/>
              </w:rPr>
            </w:pPr>
          </w:p>
        </w:tc>
        <w:tc>
          <w:tcPr>
            <w:tcW w:w="1427" w:type="dxa"/>
          </w:tcPr>
          <w:p>
            <w:pPr>
              <w:pStyle w:val="TableParagraph"/>
              <w:ind w:left="0"/>
              <w:rPr>
                <w:rFonts w:ascii="Times New Roman"/>
                <w:sz w:val="20"/>
              </w:rPr>
            </w:pPr>
          </w:p>
        </w:tc>
        <w:tc>
          <w:tcPr>
            <w:tcW w:w="7795" w:type="dxa"/>
          </w:tcPr>
          <w:p>
            <w:pPr>
              <w:pStyle w:val="TableParagraph"/>
              <w:numPr>
                <w:ilvl w:val="0"/>
                <w:numId w:val="24"/>
              </w:numPr>
              <w:tabs>
                <w:tab w:pos="974" w:val="left" w:leader="none"/>
                <w:tab w:pos="975" w:val="left" w:leader="none"/>
              </w:tabs>
              <w:spacing w:line="211" w:lineRule="exact" w:before="0" w:after="0"/>
              <w:ind w:left="974" w:right="0" w:hanging="737"/>
              <w:jc w:val="left"/>
              <w:rPr>
                <w:sz w:val="21"/>
              </w:rPr>
            </w:pPr>
            <w:r>
              <w:rPr>
                <w:spacing w:val="-3"/>
                <w:sz w:val="21"/>
              </w:rPr>
              <w:t>穿衣：自己能够穿衣及脱衣；</w:t>
            </w:r>
          </w:p>
          <w:p>
            <w:pPr>
              <w:pStyle w:val="TableParagraph"/>
              <w:numPr>
                <w:ilvl w:val="0"/>
                <w:numId w:val="24"/>
              </w:numPr>
              <w:tabs>
                <w:tab w:pos="974" w:val="left" w:leader="none"/>
                <w:tab w:pos="975" w:val="left" w:leader="none"/>
              </w:tabs>
              <w:spacing w:line="240" w:lineRule="auto" w:before="116" w:after="0"/>
              <w:ind w:left="974" w:right="0" w:hanging="737"/>
              <w:jc w:val="left"/>
              <w:rPr>
                <w:sz w:val="21"/>
              </w:rPr>
            </w:pPr>
            <w:r>
              <w:rPr>
                <w:spacing w:val="-3"/>
                <w:sz w:val="21"/>
              </w:rPr>
              <w:t>移动：自己从一个房间到另一个房间；</w:t>
            </w:r>
          </w:p>
          <w:p>
            <w:pPr>
              <w:pStyle w:val="TableParagraph"/>
              <w:numPr>
                <w:ilvl w:val="0"/>
                <w:numId w:val="24"/>
              </w:numPr>
              <w:tabs>
                <w:tab w:pos="974" w:val="left" w:leader="none"/>
                <w:tab w:pos="975" w:val="left" w:leader="none"/>
              </w:tabs>
              <w:spacing w:line="240" w:lineRule="auto" w:before="114" w:after="0"/>
              <w:ind w:left="974" w:right="0" w:hanging="737"/>
              <w:jc w:val="left"/>
              <w:rPr>
                <w:sz w:val="21"/>
              </w:rPr>
            </w:pPr>
            <w:r>
              <w:rPr>
                <w:spacing w:val="-3"/>
                <w:sz w:val="21"/>
              </w:rPr>
              <w:t>行动：自己上下床或上下轮椅；</w:t>
            </w:r>
          </w:p>
          <w:p>
            <w:pPr>
              <w:pStyle w:val="TableParagraph"/>
              <w:numPr>
                <w:ilvl w:val="0"/>
                <w:numId w:val="24"/>
              </w:numPr>
              <w:tabs>
                <w:tab w:pos="974" w:val="left" w:leader="none"/>
                <w:tab w:pos="975" w:val="left" w:leader="none"/>
              </w:tabs>
              <w:spacing w:line="240" w:lineRule="auto" w:before="116" w:after="0"/>
              <w:ind w:left="974" w:right="0" w:hanging="737"/>
              <w:jc w:val="left"/>
              <w:rPr>
                <w:sz w:val="21"/>
              </w:rPr>
            </w:pPr>
            <w:r>
              <w:rPr>
                <w:spacing w:val="-3"/>
                <w:sz w:val="21"/>
              </w:rPr>
              <w:t>如厕：自己控制进行大小便；</w:t>
            </w:r>
          </w:p>
          <w:p>
            <w:pPr>
              <w:pStyle w:val="TableParagraph"/>
              <w:numPr>
                <w:ilvl w:val="0"/>
                <w:numId w:val="24"/>
              </w:numPr>
              <w:tabs>
                <w:tab w:pos="974" w:val="left" w:leader="none"/>
                <w:tab w:pos="975" w:val="left" w:leader="none"/>
              </w:tabs>
              <w:spacing w:line="240" w:lineRule="auto" w:before="113" w:after="0"/>
              <w:ind w:left="974" w:right="0" w:hanging="737"/>
              <w:jc w:val="left"/>
              <w:rPr>
                <w:sz w:val="21"/>
              </w:rPr>
            </w:pPr>
            <w:r>
              <w:rPr>
                <w:spacing w:val="-3"/>
                <w:sz w:val="21"/>
              </w:rPr>
              <w:t>进食：自己从已准备好的碗或碟中取食物放入口中；</w:t>
            </w:r>
          </w:p>
          <w:p>
            <w:pPr>
              <w:pStyle w:val="TableParagraph"/>
              <w:numPr>
                <w:ilvl w:val="0"/>
                <w:numId w:val="24"/>
              </w:numPr>
              <w:tabs>
                <w:tab w:pos="974" w:val="left" w:leader="none"/>
                <w:tab w:pos="975" w:val="left" w:leader="none"/>
              </w:tabs>
              <w:spacing w:line="240" w:lineRule="auto" w:before="115" w:after="0"/>
              <w:ind w:left="974" w:right="0" w:hanging="737"/>
              <w:jc w:val="left"/>
              <w:rPr>
                <w:sz w:val="21"/>
              </w:rPr>
            </w:pPr>
            <w:r>
              <w:rPr>
                <w:spacing w:val="-3"/>
                <w:sz w:val="21"/>
              </w:rPr>
              <w:t>洗澡：自己进行淋浴或盆浴。</w:t>
            </w:r>
          </w:p>
        </w:tc>
      </w:tr>
      <w:tr>
        <w:trPr>
          <w:trHeight w:val="697" w:hRule="atLeast"/>
        </w:trPr>
        <w:tc>
          <w:tcPr>
            <w:tcW w:w="862" w:type="dxa"/>
          </w:tcPr>
          <w:p>
            <w:pPr>
              <w:pStyle w:val="TableParagraph"/>
              <w:spacing w:before="110"/>
              <w:ind w:left="200"/>
              <w:rPr>
                <w:b/>
                <w:sz w:val="21"/>
              </w:rPr>
            </w:pPr>
            <w:r>
              <w:rPr>
                <w:b/>
                <w:sz w:val="21"/>
              </w:rPr>
              <w:t>10.20</w:t>
            </w:r>
          </w:p>
        </w:tc>
        <w:tc>
          <w:tcPr>
            <w:tcW w:w="1427" w:type="dxa"/>
          </w:tcPr>
          <w:p>
            <w:pPr>
              <w:pStyle w:val="TableParagraph"/>
              <w:spacing w:before="110"/>
              <w:ind w:left="132"/>
              <w:rPr>
                <w:b/>
                <w:sz w:val="21"/>
              </w:rPr>
            </w:pPr>
            <w:r>
              <w:rPr>
                <w:b/>
                <w:sz w:val="21"/>
              </w:rPr>
              <w:t>永久不可逆</w:t>
            </w:r>
          </w:p>
        </w:tc>
        <w:tc>
          <w:tcPr>
            <w:tcW w:w="7795" w:type="dxa"/>
          </w:tcPr>
          <w:p>
            <w:pPr>
              <w:pStyle w:val="TableParagraph"/>
              <w:spacing w:line="310" w:lineRule="atLeast" w:before="75"/>
              <w:ind w:left="236" w:right="198"/>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974" w:hanging="738"/>
        <w:jc w:val="left"/>
      </w:pPr>
      <w:rPr>
        <w:rFonts w:hint="default" w:ascii="宋体" w:hAnsi="宋体" w:eastAsia="宋体" w:cs="宋体"/>
        <w:w w:val="100"/>
        <w:sz w:val="21"/>
        <w:szCs w:val="21"/>
      </w:rPr>
    </w:lvl>
    <w:lvl w:ilvl="1">
      <w:start w:val="0"/>
      <w:numFmt w:val="bullet"/>
      <w:lvlText w:val="•"/>
      <w:lvlJc w:val="left"/>
      <w:pPr>
        <w:ind w:left="1661" w:hanging="738"/>
      </w:pPr>
      <w:rPr>
        <w:rFonts w:hint="default"/>
      </w:rPr>
    </w:lvl>
    <w:lvl w:ilvl="2">
      <w:start w:val="0"/>
      <w:numFmt w:val="bullet"/>
      <w:lvlText w:val="•"/>
      <w:lvlJc w:val="left"/>
      <w:pPr>
        <w:ind w:left="2343" w:hanging="738"/>
      </w:pPr>
      <w:rPr>
        <w:rFonts w:hint="default"/>
      </w:rPr>
    </w:lvl>
    <w:lvl w:ilvl="3">
      <w:start w:val="0"/>
      <w:numFmt w:val="bullet"/>
      <w:lvlText w:val="•"/>
      <w:lvlJc w:val="left"/>
      <w:pPr>
        <w:ind w:left="3024" w:hanging="738"/>
      </w:pPr>
      <w:rPr>
        <w:rFonts w:hint="default"/>
      </w:rPr>
    </w:lvl>
    <w:lvl w:ilvl="4">
      <w:start w:val="0"/>
      <w:numFmt w:val="bullet"/>
      <w:lvlText w:val="•"/>
      <w:lvlJc w:val="left"/>
      <w:pPr>
        <w:ind w:left="3706" w:hanging="738"/>
      </w:pPr>
      <w:rPr>
        <w:rFonts w:hint="default"/>
      </w:rPr>
    </w:lvl>
    <w:lvl w:ilvl="5">
      <w:start w:val="0"/>
      <w:numFmt w:val="bullet"/>
      <w:lvlText w:val="•"/>
      <w:lvlJc w:val="left"/>
      <w:pPr>
        <w:ind w:left="4387" w:hanging="738"/>
      </w:pPr>
      <w:rPr>
        <w:rFonts w:hint="default"/>
      </w:rPr>
    </w:lvl>
    <w:lvl w:ilvl="6">
      <w:start w:val="0"/>
      <w:numFmt w:val="bullet"/>
      <w:lvlText w:val="•"/>
      <w:lvlJc w:val="left"/>
      <w:pPr>
        <w:ind w:left="5069" w:hanging="738"/>
      </w:pPr>
      <w:rPr>
        <w:rFonts w:hint="default"/>
      </w:rPr>
    </w:lvl>
    <w:lvl w:ilvl="7">
      <w:start w:val="0"/>
      <w:numFmt w:val="bullet"/>
      <w:lvlText w:val="•"/>
      <w:lvlJc w:val="left"/>
      <w:pPr>
        <w:ind w:left="5750" w:hanging="738"/>
      </w:pPr>
      <w:rPr>
        <w:rFonts w:hint="default"/>
      </w:rPr>
    </w:lvl>
    <w:lvl w:ilvl="8">
      <w:start w:val="0"/>
      <w:numFmt w:val="bullet"/>
      <w:lvlText w:val="•"/>
      <w:lvlJc w:val="left"/>
      <w:pPr>
        <w:ind w:left="6432" w:hanging="738"/>
      </w:pPr>
      <w:rPr>
        <w:rFonts w:hint="default"/>
      </w:rPr>
    </w:lvl>
  </w:abstractNum>
  <w:abstractNum w:abstractNumId="22">
    <w:multiLevelType w:val="hybridMultilevel"/>
    <w:lvl w:ilvl="0">
      <w:start w:val="1"/>
      <w:numFmt w:val="decimal"/>
      <w:lvlText w:val="（%1）"/>
      <w:lvlJc w:val="left"/>
      <w:pPr>
        <w:ind w:left="866"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1">
    <w:multiLevelType w:val="hybridMultilevel"/>
    <w:lvl w:ilvl="0">
      <w:start w:val="1"/>
      <w:numFmt w:val="decimal"/>
      <w:lvlText w:val="（%1）"/>
      <w:lvlJc w:val="left"/>
      <w:pPr>
        <w:ind w:left="971" w:hanging="841"/>
        <w:jc w:val="left"/>
      </w:pPr>
      <w:rPr>
        <w:rFonts w:hint="default" w:ascii="宋体" w:hAnsi="宋体" w:eastAsia="宋体" w:cs="宋体"/>
        <w:w w:val="100"/>
        <w:sz w:val="21"/>
        <w:szCs w:val="21"/>
      </w:rPr>
    </w:lvl>
    <w:lvl w:ilvl="1">
      <w:start w:val="0"/>
      <w:numFmt w:val="bullet"/>
      <w:lvlText w:val="•"/>
      <w:lvlJc w:val="left"/>
      <w:pPr>
        <w:ind w:left="1664" w:hanging="841"/>
      </w:pPr>
      <w:rPr>
        <w:rFonts w:hint="default"/>
      </w:rPr>
    </w:lvl>
    <w:lvl w:ilvl="2">
      <w:start w:val="0"/>
      <w:numFmt w:val="bullet"/>
      <w:lvlText w:val="•"/>
      <w:lvlJc w:val="left"/>
      <w:pPr>
        <w:ind w:left="2349" w:hanging="841"/>
      </w:pPr>
      <w:rPr>
        <w:rFonts w:hint="default"/>
      </w:rPr>
    </w:lvl>
    <w:lvl w:ilvl="3">
      <w:start w:val="0"/>
      <w:numFmt w:val="bullet"/>
      <w:lvlText w:val="•"/>
      <w:lvlJc w:val="left"/>
      <w:pPr>
        <w:ind w:left="3034" w:hanging="841"/>
      </w:pPr>
      <w:rPr>
        <w:rFonts w:hint="default"/>
      </w:rPr>
    </w:lvl>
    <w:lvl w:ilvl="4">
      <w:start w:val="0"/>
      <w:numFmt w:val="bullet"/>
      <w:lvlText w:val="•"/>
      <w:lvlJc w:val="left"/>
      <w:pPr>
        <w:ind w:left="3718" w:hanging="841"/>
      </w:pPr>
      <w:rPr>
        <w:rFonts w:hint="default"/>
      </w:rPr>
    </w:lvl>
    <w:lvl w:ilvl="5">
      <w:start w:val="0"/>
      <w:numFmt w:val="bullet"/>
      <w:lvlText w:val="•"/>
      <w:lvlJc w:val="left"/>
      <w:pPr>
        <w:ind w:left="4403" w:hanging="841"/>
      </w:pPr>
      <w:rPr>
        <w:rFonts w:hint="default"/>
      </w:rPr>
    </w:lvl>
    <w:lvl w:ilvl="6">
      <w:start w:val="0"/>
      <w:numFmt w:val="bullet"/>
      <w:lvlText w:val="•"/>
      <w:lvlJc w:val="left"/>
      <w:pPr>
        <w:ind w:left="5088" w:hanging="841"/>
      </w:pPr>
      <w:rPr>
        <w:rFonts w:hint="default"/>
      </w:rPr>
    </w:lvl>
    <w:lvl w:ilvl="7">
      <w:start w:val="0"/>
      <w:numFmt w:val="bullet"/>
      <w:lvlText w:val="•"/>
      <w:lvlJc w:val="left"/>
      <w:pPr>
        <w:ind w:left="5772" w:hanging="841"/>
      </w:pPr>
      <w:rPr>
        <w:rFonts w:hint="default"/>
      </w:rPr>
    </w:lvl>
    <w:lvl w:ilvl="8">
      <w:start w:val="0"/>
      <w:numFmt w:val="bullet"/>
      <w:lvlText w:val="•"/>
      <w:lvlJc w:val="left"/>
      <w:pPr>
        <w:ind w:left="6457" w:hanging="841"/>
      </w:pPr>
      <w:rPr>
        <w:rFonts w:hint="default"/>
      </w:rPr>
    </w:lvl>
  </w:abstractNum>
  <w:abstractNum w:abstractNumId="20">
    <w:multiLevelType w:val="hybridMultilevel"/>
    <w:lvl w:ilvl="0">
      <w:start w:val="2"/>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40"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3" w:hanging="735"/>
      </w:pPr>
      <w:rPr>
        <w:rFonts w:hint="default"/>
      </w:rPr>
    </w:lvl>
  </w:abstractNum>
  <w:abstractNum w:abstractNumId="19">
    <w:multiLevelType w:val="hybridMultilevel"/>
    <w:lvl w:ilvl="0">
      <w:start w:val="1"/>
      <w:numFmt w:val="decimal"/>
      <w:lvlText w:val="（%1）"/>
      <w:lvlJc w:val="left"/>
      <w:pPr>
        <w:ind w:left="763" w:hanging="632"/>
        <w:jc w:val="left"/>
      </w:pPr>
      <w:rPr>
        <w:rFonts w:hint="default" w:ascii="宋体" w:hAnsi="宋体" w:eastAsia="宋体" w:cs="宋体"/>
        <w:w w:val="100"/>
        <w:sz w:val="21"/>
        <w:szCs w:val="21"/>
      </w:rPr>
    </w:lvl>
    <w:lvl w:ilvl="1">
      <w:start w:val="0"/>
      <w:numFmt w:val="bullet"/>
      <w:lvlText w:val="•"/>
      <w:lvlJc w:val="left"/>
      <w:pPr>
        <w:ind w:left="1446" w:hanging="632"/>
      </w:pPr>
      <w:rPr>
        <w:rFonts w:hint="default"/>
      </w:rPr>
    </w:lvl>
    <w:lvl w:ilvl="2">
      <w:start w:val="0"/>
      <w:numFmt w:val="bullet"/>
      <w:lvlText w:val="•"/>
      <w:lvlJc w:val="left"/>
      <w:pPr>
        <w:ind w:left="2132" w:hanging="632"/>
      </w:pPr>
      <w:rPr>
        <w:rFonts w:hint="default"/>
      </w:rPr>
    </w:lvl>
    <w:lvl w:ilvl="3">
      <w:start w:val="0"/>
      <w:numFmt w:val="bullet"/>
      <w:lvlText w:val="•"/>
      <w:lvlJc w:val="left"/>
      <w:pPr>
        <w:ind w:left="2819" w:hanging="632"/>
      </w:pPr>
      <w:rPr>
        <w:rFonts w:hint="default"/>
      </w:rPr>
    </w:lvl>
    <w:lvl w:ilvl="4">
      <w:start w:val="0"/>
      <w:numFmt w:val="bullet"/>
      <w:lvlText w:val="•"/>
      <w:lvlJc w:val="left"/>
      <w:pPr>
        <w:ind w:left="3505" w:hanging="632"/>
      </w:pPr>
      <w:rPr>
        <w:rFonts w:hint="default"/>
      </w:rPr>
    </w:lvl>
    <w:lvl w:ilvl="5">
      <w:start w:val="0"/>
      <w:numFmt w:val="bullet"/>
      <w:lvlText w:val="•"/>
      <w:lvlJc w:val="left"/>
      <w:pPr>
        <w:ind w:left="4192" w:hanging="632"/>
      </w:pPr>
      <w:rPr>
        <w:rFonts w:hint="default"/>
      </w:rPr>
    </w:lvl>
    <w:lvl w:ilvl="6">
      <w:start w:val="0"/>
      <w:numFmt w:val="bullet"/>
      <w:lvlText w:val="•"/>
      <w:lvlJc w:val="left"/>
      <w:pPr>
        <w:ind w:left="4878" w:hanging="632"/>
      </w:pPr>
      <w:rPr>
        <w:rFonts w:hint="default"/>
      </w:rPr>
    </w:lvl>
    <w:lvl w:ilvl="7">
      <w:start w:val="0"/>
      <w:numFmt w:val="bullet"/>
      <w:lvlText w:val="•"/>
      <w:lvlJc w:val="left"/>
      <w:pPr>
        <w:ind w:left="5564" w:hanging="632"/>
      </w:pPr>
      <w:rPr>
        <w:rFonts w:hint="default"/>
      </w:rPr>
    </w:lvl>
    <w:lvl w:ilvl="8">
      <w:start w:val="0"/>
      <w:numFmt w:val="bullet"/>
      <w:lvlText w:val="•"/>
      <w:lvlJc w:val="left"/>
      <w:pPr>
        <w:ind w:left="6251" w:hanging="632"/>
      </w:pPr>
      <w:rPr>
        <w:rFonts w:hint="default"/>
      </w:rPr>
    </w:lvl>
  </w:abstractNum>
  <w:abstractNum w:abstractNumId="18">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2" w:hanging="738"/>
      </w:pPr>
      <w:rPr>
        <w:rFonts w:hint="default"/>
      </w:rPr>
    </w:lvl>
    <w:lvl w:ilvl="2">
      <w:start w:val="0"/>
      <w:numFmt w:val="bullet"/>
      <w:lvlText w:val="•"/>
      <w:lvlJc w:val="left"/>
      <w:pPr>
        <w:ind w:left="2245" w:hanging="738"/>
      </w:pPr>
      <w:rPr>
        <w:rFonts w:hint="default"/>
      </w:rPr>
    </w:lvl>
    <w:lvl w:ilvl="3">
      <w:start w:val="0"/>
      <w:numFmt w:val="bullet"/>
      <w:lvlText w:val="•"/>
      <w:lvlJc w:val="left"/>
      <w:pPr>
        <w:ind w:left="2938"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24" w:hanging="738"/>
      </w:pPr>
      <w:rPr>
        <w:rFonts w:hint="default"/>
      </w:rPr>
    </w:lvl>
    <w:lvl w:ilvl="6">
      <w:start w:val="0"/>
      <w:numFmt w:val="bullet"/>
      <w:lvlText w:val="•"/>
      <w:lvlJc w:val="left"/>
      <w:pPr>
        <w:ind w:left="5016" w:hanging="738"/>
      </w:pPr>
      <w:rPr>
        <w:rFonts w:hint="default"/>
      </w:rPr>
    </w:lvl>
    <w:lvl w:ilvl="7">
      <w:start w:val="0"/>
      <w:numFmt w:val="bullet"/>
      <w:lvlText w:val="•"/>
      <w:lvlJc w:val="left"/>
      <w:pPr>
        <w:ind w:left="5709" w:hanging="738"/>
      </w:pPr>
      <w:rPr>
        <w:rFonts w:hint="default"/>
      </w:rPr>
    </w:lvl>
    <w:lvl w:ilvl="8">
      <w:start w:val="0"/>
      <w:numFmt w:val="bullet"/>
      <w:lvlText w:val="•"/>
      <w:lvlJc w:val="left"/>
      <w:pPr>
        <w:ind w:left="6402" w:hanging="738"/>
      </w:pPr>
      <w:rPr>
        <w:rFonts w:hint="default"/>
      </w:rPr>
    </w:lvl>
  </w:abstractNum>
  <w:abstractNum w:abstractNumId="17">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2" w:hanging="738"/>
      </w:pPr>
      <w:rPr>
        <w:rFonts w:hint="default"/>
      </w:rPr>
    </w:lvl>
    <w:lvl w:ilvl="2">
      <w:start w:val="0"/>
      <w:numFmt w:val="bullet"/>
      <w:lvlText w:val="•"/>
      <w:lvlJc w:val="left"/>
      <w:pPr>
        <w:ind w:left="2245" w:hanging="738"/>
      </w:pPr>
      <w:rPr>
        <w:rFonts w:hint="default"/>
      </w:rPr>
    </w:lvl>
    <w:lvl w:ilvl="3">
      <w:start w:val="0"/>
      <w:numFmt w:val="bullet"/>
      <w:lvlText w:val="•"/>
      <w:lvlJc w:val="left"/>
      <w:pPr>
        <w:ind w:left="2938"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24" w:hanging="738"/>
      </w:pPr>
      <w:rPr>
        <w:rFonts w:hint="default"/>
      </w:rPr>
    </w:lvl>
    <w:lvl w:ilvl="6">
      <w:start w:val="0"/>
      <w:numFmt w:val="bullet"/>
      <w:lvlText w:val="•"/>
      <w:lvlJc w:val="left"/>
      <w:pPr>
        <w:ind w:left="5016" w:hanging="738"/>
      </w:pPr>
      <w:rPr>
        <w:rFonts w:hint="default"/>
      </w:rPr>
    </w:lvl>
    <w:lvl w:ilvl="7">
      <w:start w:val="0"/>
      <w:numFmt w:val="bullet"/>
      <w:lvlText w:val="•"/>
      <w:lvlJc w:val="left"/>
      <w:pPr>
        <w:ind w:left="5709" w:hanging="738"/>
      </w:pPr>
      <w:rPr>
        <w:rFonts w:hint="default"/>
      </w:rPr>
    </w:lvl>
    <w:lvl w:ilvl="8">
      <w:start w:val="0"/>
      <w:numFmt w:val="bullet"/>
      <w:lvlText w:val="•"/>
      <w:lvlJc w:val="left"/>
      <w:pPr>
        <w:ind w:left="6402" w:hanging="738"/>
      </w:pPr>
      <w:rPr>
        <w:rFonts w:hint="default"/>
      </w:rPr>
    </w:lvl>
  </w:abstractNum>
  <w:abstractNum w:abstractNumId="16">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5">
    <w:multiLevelType w:val="hybridMultilevel"/>
    <w:lvl w:ilvl="0">
      <w:start w:val="1"/>
      <w:numFmt w:val="decimal"/>
      <w:lvlText w:val="（%1）"/>
      <w:lvlJc w:val="left"/>
      <w:pPr>
        <w:ind w:left="866"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4">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3">
    <w:multiLevelType w:val="hybridMultilevel"/>
    <w:lvl w:ilvl="0">
      <w:start w:val="1"/>
      <w:numFmt w:val="decimal"/>
      <w:lvlText w:val="（%1）"/>
      <w:lvlJc w:val="left"/>
      <w:pPr>
        <w:ind w:left="866"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2">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1">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0">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9">
    <w:multiLevelType w:val="hybridMultilevel"/>
    <w:lvl w:ilvl="0">
      <w:start w:val="1"/>
      <w:numFmt w:val="decimal"/>
      <w:lvlText w:val="（%1）"/>
      <w:lvlJc w:val="left"/>
      <w:pPr>
        <w:ind w:left="867"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6">
    <w:multiLevelType w:val="hybridMultilevel"/>
    <w:lvl w:ilvl="0">
      <w:start w:val="1"/>
      <w:numFmt w:val="decimal"/>
      <w:lvlText w:val="（%1）"/>
      <w:lvlJc w:val="left"/>
      <w:pPr>
        <w:ind w:left="846" w:hanging="721"/>
        <w:jc w:val="left"/>
      </w:pPr>
      <w:rPr>
        <w:rFonts w:hint="default" w:ascii="宋体" w:hAnsi="宋体" w:eastAsia="宋体" w:cs="宋体"/>
        <w:w w:val="99"/>
        <w:sz w:val="20"/>
        <w:szCs w:val="20"/>
      </w:rPr>
    </w:lvl>
    <w:lvl w:ilvl="1">
      <w:start w:val="0"/>
      <w:numFmt w:val="bullet"/>
      <w:lvlText w:val="•"/>
      <w:lvlJc w:val="left"/>
      <w:pPr>
        <w:ind w:left="1519" w:hanging="721"/>
      </w:pPr>
      <w:rPr>
        <w:rFonts w:hint="default"/>
      </w:rPr>
    </w:lvl>
    <w:lvl w:ilvl="2">
      <w:start w:val="0"/>
      <w:numFmt w:val="bullet"/>
      <w:lvlText w:val="•"/>
      <w:lvlJc w:val="left"/>
      <w:pPr>
        <w:ind w:left="2198" w:hanging="721"/>
      </w:pPr>
      <w:rPr>
        <w:rFonts w:hint="default"/>
      </w:rPr>
    </w:lvl>
    <w:lvl w:ilvl="3">
      <w:start w:val="0"/>
      <w:numFmt w:val="bullet"/>
      <w:lvlText w:val="•"/>
      <w:lvlJc w:val="left"/>
      <w:pPr>
        <w:ind w:left="2877" w:hanging="721"/>
      </w:pPr>
      <w:rPr>
        <w:rFonts w:hint="default"/>
      </w:rPr>
    </w:lvl>
    <w:lvl w:ilvl="4">
      <w:start w:val="0"/>
      <w:numFmt w:val="bullet"/>
      <w:lvlText w:val="•"/>
      <w:lvlJc w:val="left"/>
      <w:pPr>
        <w:ind w:left="3556" w:hanging="721"/>
      </w:pPr>
      <w:rPr>
        <w:rFonts w:hint="default"/>
      </w:rPr>
    </w:lvl>
    <w:lvl w:ilvl="5">
      <w:start w:val="0"/>
      <w:numFmt w:val="bullet"/>
      <w:lvlText w:val="•"/>
      <w:lvlJc w:val="left"/>
      <w:pPr>
        <w:ind w:left="4235" w:hanging="721"/>
      </w:pPr>
      <w:rPr>
        <w:rFonts w:hint="default"/>
      </w:rPr>
    </w:lvl>
    <w:lvl w:ilvl="6">
      <w:start w:val="0"/>
      <w:numFmt w:val="bullet"/>
      <w:lvlText w:val="•"/>
      <w:lvlJc w:val="left"/>
      <w:pPr>
        <w:ind w:left="4914" w:hanging="721"/>
      </w:pPr>
      <w:rPr>
        <w:rFonts w:hint="default"/>
      </w:rPr>
    </w:lvl>
    <w:lvl w:ilvl="7">
      <w:start w:val="0"/>
      <w:numFmt w:val="bullet"/>
      <w:lvlText w:val="•"/>
      <w:lvlJc w:val="left"/>
      <w:pPr>
        <w:ind w:left="5593" w:hanging="721"/>
      </w:pPr>
      <w:rPr>
        <w:rFonts w:hint="default"/>
      </w:rPr>
    </w:lvl>
    <w:lvl w:ilvl="8">
      <w:start w:val="0"/>
      <w:numFmt w:val="bullet"/>
      <w:lvlText w:val="•"/>
      <w:lvlJc w:val="left"/>
      <w:pPr>
        <w:ind w:left="6272" w:hanging="721"/>
      </w:pPr>
      <w:rPr>
        <w:rFonts w:hint="default"/>
      </w:rPr>
    </w:lvl>
  </w:abstractNum>
  <w:abstractNum w:abstractNumId="5">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4">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3">
    <w:multiLevelType w:val="hybridMultilevel"/>
    <w:lvl w:ilvl="0">
      <w:start w:val="1"/>
      <w:numFmt w:val="decimal"/>
      <w:lvlText w:val="（%1）"/>
      <w:lvlJc w:val="left"/>
      <w:pPr>
        <w:ind w:left="853" w:hanging="721"/>
        <w:jc w:val="left"/>
      </w:pPr>
      <w:rPr>
        <w:rFonts w:hint="default" w:ascii="宋体" w:hAnsi="宋体" w:eastAsia="宋体" w:cs="宋体"/>
        <w:w w:val="100"/>
        <w:sz w:val="21"/>
        <w:szCs w:val="21"/>
      </w:rPr>
    </w:lvl>
    <w:lvl w:ilvl="1">
      <w:start w:val="0"/>
      <w:numFmt w:val="bullet"/>
      <w:lvlText w:val="•"/>
      <w:lvlJc w:val="left"/>
      <w:pPr>
        <w:ind w:left="1536" w:hanging="721"/>
      </w:pPr>
      <w:rPr>
        <w:rFonts w:hint="default"/>
      </w:rPr>
    </w:lvl>
    <w:lvl w:ilvl="2">
      <w:start w:val="0"/>
      <w:numFmt w:val="bullet"/>
      <w:lvlText w:val="•"/>
      <w:lvlJc w:val="left"/>
      <w:pPr>
        <w:ind w:left="2213"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6"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9" w:hanging="721"/>
      </w:pPr>
      <w:rPr>
        <w:rFonts w:hint="default"/>
      </w:rPr>
    </w:lvl>
    <w:lvl w:ilvl="7">
      <w:start w:val="0"/>
      <w:numFmt w:val="bullet"/>
      <w:lvlText w:val="•"/>
      <w:lvlJc w:val="left"/>
      <w:pPr>
        <w:ind w:left="5595" w:hanging="721"/>
      </w:pPr>
      <w:rPr>
        <w:rFonts w:hint="default"/>
      </w:rPr>
    </w:lvl>
    <w:lvl w:ilvl="8">
      <w:start w:val="0"/>
      <w:numFmt w:val="bullet"/>
      <w:lvlText w:val="•"/>
      <w:lvlJc w:val="left"/>
      <w:pPr>
        <w:ind w:left="6272" w:hanging="721"/>
      </w:pPr>
      <w:rPr>
        <w:rFonts w:hint="default"/>
      </w:rPr>
    </w:lvl>
  </w:abstractNum>
  <w:abstractNum w:abstractNumId="2">
    <w:multiLevelType w:val="hybridMultilevel"/>
    <w:lvl w:ilvl="0">
      <w:start w:val="1"/>
      <w:numFmt w:val="decimal"/>
      <w:lvlText w:val="（%1）"/>
      <w:lvlJc w:val="left"/>
      <w:pPr>
        <w:ind w:left="853"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5" w:hanging="738"/>
      </w:pPr>
      <w:rPr>
        <w:rFonts w:hint="default"/>
      </w:rPr>
    </w:lvl>
    <w:lvl w:ilvl="8">
      <w:start w:val="0"/>
      <w:numFmt w:val="bullet"/>
      <w:lvlText w:val="•"/>
      <w:lvlJc w:val="left"/>
      <w:pPr>
        <w:ind w:left="6272" w:hanging="738"/>
      </w:pPr>
      <w:rPr>
        <w:rFonts w:hint="default"/>
      </w:rPr>
    </w:lvl>
  </w:abstractNum>
  <w:abstractNum w:abstractNumId="1">
    <w:multiLevelType w:val="hybridMultilevel"/>
    <w:lvl w:ilvl="0">
      <w:start w:val="1"/>
      <w:numFmt w:val="decimal"/>
      <w:lvlText w:val="（%1）"/>
      <w:lvlJc w:val="left"/>
      <w:pPr>
        <w:ind w:left="848" w:hanging="721"/>
        <w:jc w:val="left"/>
      </w:pPr>
      <w:rPr>
        <w:rFonts w:hint="default" w:ascii="黑体" w:hAnsi="黑体" w:eastAsia="黑体" w:cs="黑体"/>
        <w:w w:val="99"/>
        <w:sz w:val="20"/>
        <w:szCs w:val="20"/>
      </w:rPr>
    </w:lvl>
    <w:lvl w:ilvl="1">
      <w:start w:val="0"/>
      <w:numFmt w:val="bullet"/>
      <w:lvlText w:val="•"/>
      <w:lvlJc w:val="left"/>
      <w:pPr>
        <w:ind w:left="1518" w:hanging="721"/>
      </w:pPr>
      <w:rPr>
        <w:rFonts w:hint="default"/>
      </w:rPr>
    </w:lvl>
    <w:lvl w:ilvl="2">
      <w:start w:val="0"/>
      <w:numFmt w:val="bullet"/>
      <w:lvlText w:val="•"/>
      <w:lvlJc w:val="left"/>
      <w:pPr>
        <w:ind w:left="2197" w:hanging="721"/>
      </w:pPr>
      <w:rPr>
        <w:rFonts w:hint="default"/>
      </w:rPr>
    </w:lvl>
    <w:lvl w:ilvl="3">
      <w:start w:val="0"/>
      <w:numFmt w:val="bullet"/>
      <w:lvlText w:val="•"/>
      <w:lvlJc w:val="left"/>
      <w:pPr>
        <w:ind w:left="2876" w:hanging="721"/>
      </w:pPr>
      <w:rPr>
        <w:rFonts w:hint="default"/>
      </w:rPr>
    </w:lvl>
    <w:lvl w:ilvl="4">
      <w:start w:val="0"/>
      <w:numFmt w:val="bullet"/>
      <w:lvlText w:val="•"/>
      <w:lvlJc w:val="left"/>
      <w:pPr>
        <w:ind w:left="3555" w:hanging="721"/>
      </w:pPr>
      <w:rPr>
        <w:rFonts w:hint="default"/>
      </w:rPr>
    </w:lvl>
    <w:lvl w:ilvl="5">
      <w:start w:val="0"/>
      <w:numFmt w:val="bullet"/>
      <w:lvlText w:val="•"/>
      <w:lvlJc w:val="left"/>
      <w:pPr>
        <w:ind w:left="4234" w:hanging="721"/>
      </w:pPr>
      <w:rPr>
        <w:rFonts w:hint="default"/>
      </w:rPr>
    </w:lvl>
    <w:lvl w:ilvl="6">
      <w:start w:val="0"/>
      <w:numFmt w:val="bullet"/>
      <w:lvlText w:val="•"/>
      <w:lvlJc w:val="left"/>
      <w:pPr>
        <w:ind w:left="4912" w:hanging="721"/>
      </w:pPr>
      <w:rPr>
        <w:rFonts w:hint="default"/>
      </w:rPr>
    </w:lvl>
    <w:lvl w:ilvl="7">
      <w:start w:val="0"/>
      <w:numFmt w:val="bullet"/>
      <w:lvlText w:val="•"/>
      <w:lvlJc w:val="left"/>
      <w:pPr>
        <w:ind w:left="5591" w:hanging="721"/>
      </w:pPr>
      <w:rPr>
        <w:rFonts w:hint="default"/>
      </w:rPr>
    </w:lvl>
    <w:lvl w:ilvl="8">
      <w:start w:val="0"/>
      <w:numFmt w:val="bullet"/>
      <w:lvlText w:val="•"/>
      <w:lvlJc w:val="left"/>
      <w:pPr>
        <w:ind w:left="6270" w:hanging="721"/>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5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xinbo</dc:creator>
  <dc:title>泰康附加豁免保险费A款重大疾病保险条款</dc:title>
  <dcterms:created xsi:type="dcterms:W3CDTF">2018-10-19T21:35:40Z</dcterms:created>
  <dcterms:modified xsi:type="dcterms:W3CDTF">2018-10-19T21:35:40Z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