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9"/>
        </w:rPr>
      </w:pPr>
    </w:p>
    <w:p>
      <w:pPr>
        <w:pStyle w:val="BodyText"/>
        <w:ind w:left="8653"/>
        <w:rPr>
          <w:rFonts w:ascii="Times New Roman"/>
          <w:sz w:val="20"/>
        </w:rPr>
      </w:pPr>
      <w:r>
        <w:rPr>
          <w:rFonts w:ascii="Times New Roman"/>
          <w:sz w:val="20"/>
        </w:rPr>
        <w:drawing>
          <wp:inline distT="0" distB="0" distL="0" distR="0">
            <wp:extent cx="724027"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027" cy="723900"/>
                    </a:xfrm>
                    <a:prstGeom prst="rect">
                      <a:avLst/>
                    </a:prstGeom>
                  </pic:spPr>
                </pic:pic>
              </a:graphicData>
            </a:graphic>
          </wp:inline>
        </w:drawing>
      </w:r>
      <w:r>
        <w:rPr>
          <w:rFonts w:ascii="Times New Roman"/>
          <w:sz w:val="20"/>
        </w:rPr>
      </w:r>
    </w:p>
    <w:p>
      <w:pPr>
        <w:pStyle w:val="Heading1"/>
        <w:spacing w:line="669" w:lineRule="exact"/>
        <w:ind w:left="286" w:right="404"/>
      </w:pPr>
      <w:r>
        <w:rPr/>
        <w:pict>
          <v:shapetype id="_x0000_t202" o:spt="202" coordsize="21600,21600" path="m,l,21600r21600,l21600,xe">
            <v:stroke joinstyle="miter"/>
            <v:path gradientshapeok="t" o:connecttype="rect"/>
          </v:shapetype>
          <v:shape style="position:absolute;margin-left:132.820007pt;margin-top:-68.439377pt;width:414.9pt;height:79.9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8"/>
                  </w:tblGrid>
                  <w:tr>
                    <w:trPr>
                      <w:trHeight w:val="414" w:hRule="atLeast"/>
                    </w:trPr>
                    <w:tc>
                      <w:tcPr>
                        <w:tcW w:w="8298" w:type="dxa"/>
                      </w:tcPr>
                      <w:p>
                        <w:pPr>
                          <w:pStyle w:val="TableParagraph"/>
                          <w:spacing w:line="199" w:lineRule="exact"/>
                          <w:ind w:right="198"/>
                          <w:jc w:val="right"/>
                          <w:rPr>
                            <w:sz w:val="20"/>
                          </w:rPr>
                        </w:pPr>
                        <w:r>
                          <w:rPr>
                            <w:sz w:val="20"/>
                          </w:rPr>
                          <w:t>君龙人寿[2011]疾病保险 023 号</w:t>
                        </w:r>
                      </w:p>
                    </w:tc>
                  </w:tr>
                  <w:tr>
                    <w:trPr>
                      <w:trHeight w:val="865" w:hRule="atLeast"/>
                    </w:trPr>
                    <w:tc>
                      <w:tcPr>
                        <w:tcW w:w="8298" w:type="dxa"/>
                      </w:tcPr>
                      <w:p>
                        <w:pPr>
                          <w:pStyle w:val="TableParagraph"/>
                          <w:spacing w:before="32"/>
                          <w:ind w:left="200"/>
                          <w:rPr>
                            <w:rFonts w:ascii="微软雅黑" w:eastAsia="微软雅黑" w:hint="eastAsia"/>
                            <w:b/>
                            <w:sz w:val="40"/>
                          </w:rPr>
                        </w:pPr>
                        <w:r>
                          <w:rPr>
                            <w:rFonts w:ascii="微软雅黑" w:eastAsia="微软雅黑" w:hint="eastAsia"/>
                            <w:b/>
                            <w:sz w:val="40"/>
                          </w:rPr>
                          <w:t>君龙康祥重大疾病保险条款</w:t>
                        </w:r>
                      </w:p>
                    </w:tc>
                  </w:tr>
                  <w:tr>
                    <w:trPr>
                      <w:trHeight w:val="318" w:hRule="atLeast"/>
                    </w:trPr>
                    <w:tc>
                      <w:tcPr>
                        <w:tcW w:w="8298" w:type="dxa"/>
                      </w:tcPr>
                      <w:p>
                        <w:pPr>
                          <w:pStyle w:val="TableParagraph"/>
                          <w:spacing w:line="242" w:lineRule="exact" w:before="57"/>
                          <w:ind w:right="201"/>
                          <w:jc w:val="right"/>
                          <w:rPr>
                            <w:sz w:val="20"/>
                          </w:rPr>
                        </w:pPr>
                        <w:r>
                          <w:rPr>
                            <w:w w:val="95"/>
                            <w:sz w:val="20"/>
                          </w:rPr>
                          <w:t>请扫描以查询验证条款</w:t>
                        </w:r>
                      </w:p>
                    </w:tc>
                  </w:tr>
                </w:tbl>
                <w:p>
                  <w:pPr>
                    <w:pStyle w:val="BodyText"/>
                  </w:pPr>
                </w:p>
              </w:txbxContent>
            </v:textbox>
            <w10:wrap type="none"/>
          </v:shape>
        </w:pict>
      </w:r>
      <w:r>
        <w:rPr/>
        <w:t>阅 读 指 引</w:t>
      </w:r>
    </w:p>
    <w:p>
      <w:pPr>
        <w:pStyle w:val="BodyText"/>
        <w:spacing w:before="4"/>
        <w:rPr>
          <w:rFonts w:ascii="微软雅黑"/>
          <w:b/>
          <w:sz w:val="20"/>
        </w:rPr>
      </w:pPr>
    </w:p>
    <w:p>
      <w:pPr>
        <w:spacing w:before="26"/>
        <w:ind w:left="293" w:right="404" w:firstLine="0"/>
        <w:jc w:val="center"/>
        <w:rPr>
          <w:sz w:val="24"/>
        </w:rPr>
      </w:pPr>
      <w:r>
        <w:rPr/>
        <w:drawing>
          <wp:anchor distT="0" distB="0" distL="0" distR="0" allowOverlap="1" layoutInCell="1" locked="0" behindDoc="1" simplePos="0" relativeHeight="268401095">
            <wp:simplePos x="0" y="0"/>
            <wp:positionH relativeFrom="page">
              <wp:posOffset>679704</wp:posOffset>
            </wp:positionH>
            <wp:positionV relativeFrom="paragraph">
              <wp:posOffset>241752</wp:posOffset>
            </wp:positionV>
            <wp:extent cx="6197854" cy="67386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97854" cy="6738619"/>
                    </a:xfrm>
                    <a:prstGeom prst="rect">
                      <a:avLst/>
                    </a:prstGeom>
                  </pic:spPr>
                </pic:pic>
              </a:graphicData>
            </a:graphic>
          </wp:anchor>
        </w:drawing>
      </w:r>
      <w:r>
        <w:rPr>
          <w:sz w:val="24"/>
        </w:rPr>
        <w:t>本阅读指引有助于您理解条款，对</w:t>
      </w:r>
      <w:r>
        <w:rPr>
          <w:b/>
          <w:sz w:val="24"/>
        </w:rPr>
        <w:t>《君龙康祥重大疾病保险》</w:t>
      </w:r>
      <w:r>
        <w:rPr>
          <w:sz w:val="24"/>
        </w:rPr>
        <w:t>合同内容的解释以条款为准</w:t>
      </w:r>
    </w:p>
    <w:p>
      <w:pPr>
        <w:pStyle w:val="BodyText"/>
        <w:spacing w:before="1"/>
      </w:pPr>
    </w:p>
    <w:p>
      <w:pPr>
        <w:spacing w:line="580" w:lineRule="exact" w:before="0"/>
        <w:ind w:left="256"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739" w:val="left" w:leader="none"/>
          <w:tab w:pos="9558" w:val="right" w:leader="dot"/>
        </w:tabs>
        <w:spacing w:line="285" w:lineRule="exact" w:before="0" w:after="0"/>
        <w:ind w:left="738" w:right="0" w:hanging="198"/>
        <w:jc w:val="left"/>
        <w:rPr>
          <w:sz w:val="22"/>
        </w:rPr>
      </w:pPr>
      <w:r>
        <w:rPr>
          <w:spacing w:val="-22"/>
          <w:sz w:val="22"/>
        </w:rPr>
        <w:t>签</w:t>
      </w:r>
      <w:r>
        <w:rPr>
          <w:spacing w:val="-20"/>
          <w:sz w:val="22"/>
        </w:rPr>
        <w:t>收</w:t>
      </w:r>
      <w:r>
        <w:rPr>
          <w:spacing w:val="-22"/>
          <w:sz w:val="22"/>
        </w:rPr>
        <w:t>本合</w:t>
      </w:r>
      <w:r>
        <w:rPr>
          <w:spacing w:val="-20"/>
          <w:sz w:val="22"/>
        </w:rPr>
        <w:t>同</w:t>
      </w:r>
      <w:r>
        <w:rPr>
          <w:spacing w:val="-22"/>
          <w:sz w:val="22"/>
        </w:rPr>
        <w:t>次日</w:t>
      </w:r>
      <w:r>
        <w:rPr>
          <w:spacing w:val="30"/>
          <w:sz w:val="22"/>
        </w:rPr>
        <w:t>起</w:t>
      </w:r>
      <w:r>
        <w:rPr>
          <w:spacing w:val="-11"/>
          <w:sz w:val="22"/>
        </w:rPr>
        <w:t>10</w:t>
      </w:r>
      <w:r>
        <w:rPr>
          <w:spacing w:val="-82"/>
          <w:sz w:val="22"/>
        </w:rPr>
        <w:t> </w:t>
      </w:r>
      <w:r>
        <w:rPr>
          <w:spacing w:val="-22"/>
          <w:sz w:val="22"/>
        </w:rPr>
        <w:t>日</w:t>
      </w:r>
      <w:r>
        <w:rPr>
          <w:spacing w:val="-20"/>
          <w:sz w:val="22"/>
        </w:rPr>
        <w:t>〈</w:t>
      </w:r>
      <w:r>
        <w:rPr>
          <w:spacing w:val="-22"/>
          <w:sz w:val="22"/>
        </w:rPr>
        <w:t>即犹</w:t>
      </w:r>
      <w:r>
        <w:rPr>
          <w:spacing w:val="-20"/>
          <w:sz w:val="22"/>
        </w:rPr>
        <w:t>豫</w:t>
      </w:r>
      <w:r>
        <w:rPr>
          <w:spacing w:val="-22"/>
          <w:sz w:val="22"/>
        </w:rPr>
        <w:t>期〉</w:t>
      </w:r>
      <w:r>
        <w:rPr>
          <w:spacing w:val="-20"/>
          <w:sz w:val="22"/>
        </w:rPr>
        <w:t>内</w:t>
      </w:r>
      <w:r>
        <w:rPr>
          <w:spacing w:val="-22"/>
          <w:sz w:val="22"/>
        </w:rPr>
        <w:t>您可</w:t>
      </w:r>
      <w:r>
        <w:rPr>
          <w:spacing w:val="-20"/>
          <w:sz w:val="22"/>
        </w:rPr>
        <w:t>以</w:t>
      </w:r>
      <w:r>
        <w:rPr>
          <w:spacing w:val="-22"/>
          <w:sz w:val="22"/>
        </w:rPr>
        <w:t>要求</w:t>
      </w:r>
      <w:r>
        <w:rPr>
          <w:spacing w:val="-20"/>
          <w:sz w:val="22"/>
        </w:rPr>
        <w:t>退</w:t>
      </w:r>
      <w:r>
        <w:rPr>
          <w:spacing w:val="-22"/>
          <w:sz w:val="22"/>
        </w:rPr>
        <w:t>还扣</w:t>
      </w:r>
      <w:r>
        <w:rPr>
          <w:spacing w:val="-20"/>
          <w:sz w:val="22"/>
        </w:rPr>
        <w:t>除</w:t>
      </w:r>
      <w:r>
        <w:rPr>
          <w:spacing w:val="-22"/>
          <w:sz w:val="22"/>
        </w:rPr>
        <w:t>工本</w:t>
      </w:r>
      <w:r>
        <w:rPr>
          <w:spacing w:val="-20"/>
          <w:sz w:val="22"/>
        </w:rPr>
        <w:t>费</w:t>
      </w:r>
      <w:r>
        <w:rPr>
          <w:spacing w:val="-22"/>
          <w:sz w:val="22"/>
        </w:rPr>
        <w:t>外的</w:t>
      </w:r>
      <w:r>
        <w:rPr>
          <w:spacing w:val="-20"/>
          <w:sz w:val="22"/>
        </w:rPr>
        <w:t>全</w:t>
      </w:r>
      <w:r>
        <w:rPr>
          <w:spacing w:val="-22"/>
          <w:sz w:val="22"/>
        </w:rPr>
        <w:t>部保</w:t>
      </w:r>
      <w:r>
        <w:rPr>
          <w:spacing w:val="-20"/>
          <w:sz w:val="22"/>
        </w:rPr>
        <w:t>险</w:t>
      </w:r>
      <w:r>
        <w:rPr>
          <w:sz w:val="22"/>
        </w:rPr>
        <w:t>费</w:t>
        <w:tab/>
        <w:t>1.4</w:t>
      </w:r>
    </w:p>
    <w:p>
      <w:pPr>
        <w:pStyle w:val="ListParagraph"/>
        <w:numPr>
          <w:ilvl w:val="0"/>
          <w:numId w:val="1"/>
        </w:numPr>
        <w:tabs>
          <w:tab w:pos="739" w:val="left" w:leader="none"/>
          <w:tab w:pos="9537" w:val="right" w:leader="dot"/>
        </w:tabs>
        <w:spacing w:line="240" w:lineRule="auto" w:before="127" w:after="0"/>
        <w:ind w:left="738"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本合</w:t>
      </w:r>
      <w:r>
        <w:rPr>
          <w:sz w:val="22"/>
        </w:rPr>
        <w:t>同提供</w:t>
      </w:r>
      <w:r>
        <w:rPr>
          <w:spacing w:val="-3"/>
          <w:sz w:val="22"/>
        </w:rPr>
        <w:t>的</w:t>
      </w:r>
      <w:r>
        <w:rPr>
          <w:sz w:val="22"/>
        </w:rPr>
        <w:t>保障</w:t>
        <w:tab/>
        <w:t>2.4</w:t>
      </w:r>
    </w:p>
    <w:p>
      <w:pPr>
        <w:pStyle w:val="ListParagraph"/>
        <w:numPr>
          <w:ilvl w:val="0"/>
          <w:numId w:val="1"/>
        </w:numPr>
        <w:tabs>
          <w:tab w:pos="739" w:val="left" w:leader="none"/>
          <w:tab w:pos="9534" w:val="right" w:leader="dot"/>
        </w:tabs>
        <w:spacing w:line="240" w:lineRule="auto" w:before="123" w:after="0"/>
        <w:ind w:left="738" w:right="0" w:hanging="198"/>
        <w:jc w:val="left"/>
        <w:rPr>
          <w:sz w:val="22"/>
        </w:rPr>
      </w:pPr>
      <w:r>
        <w:rPr>
          <w:sz w:val="22"/>
        </w:rPr>
        <w:t>您有</w:t>
      </w:r>
      <w:r>
        <w:rPr>
          <w:spacing w:val="-3"/>
          <w:sz w:val="22"/>
        </w:rPr>
        <w:t>按</w:t>
      </w:r>
      <w:r>
        <w:rPr>
          <w:sz w:val="22"/>
        </w:rPr>
        <w:t>本合</w:t>
      </w:r>
      <w:r>
        <w:rPr>
          <w:spacing w:val="-3"/>
          <w:sz w:val="22"/>
        </w:rPr>
        <w:t>同</w:t>
      </w:r>
      <w:r>
        <w:rPr>
          <w:sz w:val="22"/>
        </w:rPr>
        <w:t>约定</w:t>
      </w:r>
      <w:r>
        <w:rPr>
          <w:spacing w:val="-3"/>
          <w:sz w:val="22"/>
        </w:rPr>
        <w:t>申请</w:t>
      </w:r>
      <w:r>
        <w:rPr>
          <w:sz w:val="22"/>
        </w:rPr>
        <w:t>保单贷</w:t>
      </w:r>
      <w:r>
        <w:rPr>
          <w:spacing w:val="-3"/>
          <w:sz w:val="22"/>
        </w:rPr>
        <w:t>款</w:t>
      </w:r>
      <w:r>
        <w:rPr>
          <w:sz w:val="22"/>
        </w:rPr>
        <w:t>的权利</w:t>
        <w:tab/>
        <w:t>5.2</w:t>
      </w:r>
    </w:p>
    <w:p>
      <w:pPr>
        <w:pStyle w:val="ListParagraph"/>
        <w:numPr>
          <w:ilvl w:val="0"/>
          <w:numId w:val="1"/>
        </w:numPr>
        <w:tabs>
          <w:tab w:pos="739" w:val="left" w:leader="none"/>
          <w:tab w:pos="9534" w:val="right" w:leader="dot"/>
        </w:tabs>
        <w:spacing w:line="240" w:lineRule="auto" w:before="123" w:after="0"/>
        <w:ind w:left="738" w:right="0" w:hanging="198"/>
        <w:jc w:val="left"/>
        <w:rPr>
          <w:sz w:val="22"/>
        </w:rPr>
      </w:pPr>
      <w:r>
        <w:rPr>
          <w:sz w:val="22"/>
        </w:rPr>
        <w:t>您有</w:t>
      </w:r>
      <w:r>
        <w:rPr>
          <w:spacing w:val="-3"/>
          <w:sz w:val="22"/>
        </w:rPr>
        <w:t>退</w:t>
      </w:r>
      <w:r>
        <w:rPr>
          <w:sz w:val="22"/>
        </w:rPr>
        <w:t>保的</w:t>
      </w:r>
      <w:r>
        <w:rPr>
          <w:spacing w:val="-3"/>
          <w:sz w:val="22"/>
        </w:rPr>
        <w:t>权</w:t>
      </w:r>
      <w:r>
        <w:rPr>
          <w:sz w:val="22"/>
        </w:rPr>
        <w:t>利</w:t>
        <w:tab/>
        <w:t>7.1</w:t>
      </w:r>
    </w:p>
    <w:p>
      <w:pPr>
        <w:spacing w:line="580" w:lineRule="exact" w:before="351"/>
        <w:ind w:left="256"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739" w:val="left" w:leader="none"/>
          <w:tab w:pos="9537" w:val="right" w:leader="dot"/>
        </w:tabs>
        <w:spacing w:line="285" w:lineRule="exact" w:before="0" w:after="0"/>
        <w:ind w:left="738"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2.5</w:t>
      </w:r>
    </w:p>
    <w:p>
      <w:pPr>
        <w:pStyle w:val="ListParagraph"/>
        <w:numPr>
          <w:ilvl w:val="0"/>
          <w:numId w:val="1"/>
        </w:numPr>
        <w:tabs>
          <w:tab w:pos="739" w:val="left" w:leader="none"/>
          <w:tab w:pos="9537" w:val="right" w:leader="dot"/>
        </w:tabs>
        <w:spacing w:line="240" w:lineRule="auto" w:before="124" w:after="0"/>
        <w:ind w:left="738" w:right="0" w:hanging="198"/>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您及</w:t>
      </w:r>
      <w:r>
        <w:rPr>
          <w:sz w:val="22"/>
        </w:rPr>
        <w:t>时通知</w:t>
      </w:r>
      <w:r>
        <w:rPr>
          <w:spacing w:val="-3"/>
          <w:sz w:val="22"/>
        </w:rPr>
        <w:t>我</w:t>
      </w:r>
      <w:r>
        <w:rPr>
          <w:sz w:val="22"/>
        </w:rPr>
        <w:t>们</w:t>
        <w:tab/>
        <w:t>3.2</w:t>
      </w:r>
    </w:p>
    <w:p>
      <w:pPr>
        <w:pStyle w:val="ListParagraph"/>
        <w:numPr>
          <w:ilvl w:val="0"/>
          <w:numId w:val="1"/>
        </w:numPr>
        <w:tabs>
          <w:tab w:pos="739" w:val="left" w:leader="none"/>
          <w:tab w:pos="9534" w:val="right" w:leader="dot"/>
        </w:tabs>
        <w:spacing w:line="240" w:lineRule="auto" w:before="126" w:after="0"/>
        <w:ind w:left="738" w:right="0" w:hanging="198"/>
        <w:jc w:val="left"/>
        <w:rPr>
          <w:sz w:val="22"/>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pStyle w:val="ListParagraph"/>
        <w:numPr>
          <w:ilvl w:val="0"/>
          <w:numId w:val="1"/>
        </w:numPr>
        <w:tabs>
          <w:tab w:pos="739" w:val="left" w:leader="none"/>
          <w:tab w:pos="9534" w:val="right" w:leader="dot"/>
        </w:tabs>
        <w:spacing w:line="240" w:lineRule="auto" w:before="123" w:after="0"/>
        <w:ind w:left="738" w:right="0" w:hanging="198"/>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定的</w:t>
      </w:r>
      <w:r>
        <w:rPr>
          <w:sz w:val="22"/>
        </w:rPr>
        <w:t>损失，</w:t>
      </w:r>
      <w:r>
        <w:rPr>
          <w:spacing w:val="-3"/>
          <w:sz w:val="22"/>
        </w:rPr>
        <w:t>请</w:t>
      </w:r>
      <w:r>
        <w:rPr>
          <w:sz w:val="22"/>
        </w:rPr>
        <w:t>您慎</w:t>
      </w:r>
      <w:r>
        <w:rPr>
          <w:spacing w:val="-3"/>
          <w:sz w:val="22"/>
        </w:rPr>
        <w:t>重</w:t>
      </w:r>
      <w:r>
        <w:rPr>
          <w:sz w:val="22"/>
        </w:rPr>
        <w:t>决策</w:t>
        <w:tab/>
        <w:t>7.1</w:t>
      </w:r>
    </w:p>
    <w:p>
      <w:pPr>
        <w:pStyle w:val="ListParagraph"/>
        <w:numPr>
          <w:ilvl w:val="0"/>
          <w:numId w:val="1"/>
        </w:numPr>
        <w:tabs>
          <w:tab w:pos="739" w:val="left" w:leader="none"/>
          <w:tab w:pos="9534" w:val="right" w:leader="dot"/>
        </w:tabs>
        <w:spacing w:line="240" w:lineRule="auto" w:before="123" w:after="0"/>
        <w:ind w:left="738" w:right="0" w:hanging="198"/>
        <w:jc w:val="left"/>
        <w:rPr>
          <w:sz w:val="22"/>
        </w:rPr>
      </w:pPr>
      <w:r>
        <w:rPr>
          <w:sz w:val="22"/>
        </w:rPr>
        <w:t>您有</w:t>
      </w:r>
      <w:r>
        <w:rPr>
          <w:spacing w:val="-3"/>
          <w:sz w:val="22"/>
        </w:rPr>
        <w:t>如</w:t>
      </w:r>
      <w:r>
        <w:rPr>
          <w:sz w:val="22"/>
        </w:rPr>
        <w:t>实告</w:t>
      </w:r>
      <w:r>
        <w:rPr>
          <w:spacing w:val="-3"/>
          <w:sz w:val="22"/>
        </w:rPr>
        <w:t>知</w:t>
      </w:r>
      <w:r>
        <w:rPr>
          <w:sz w:val="22"/>
        </w:rPr>
        <w:t>的义务</w:t>
        <w:tab/>
        <w:t>8.1</w:t>
      </w:r>
    </w:p>
    <w:p>
      <w:pPr>
        <w:pStyle w:val="ListParagraph"/>
        <w:numPr>
          <w:ilvl w:val="0"/>
          <w:numId w:val="1"/>
        </w:numPr>
        <w:tabs>
          <w:tab w:pos="739" w:val="left" w:leader="none"/>
          <w:tab w:pos="9537" w:val="right" w:leader="dot"/>
        </w:tabs>
        <w:spacing w:line="240" w:lineRule="auto" w:before="125" w:after="0"/>
        <w:ind w:left="738"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语行</w:t>
      </w:r>
      <w:r>
        <w:rPr>
          <w:sz w:val="22"/>
        </w:rPr>
        <w:t>了解释</w:t>
      </w:r>
      <w:r>
        <w:rPr>
          <w:spacing w:val="-3"/>
          <w:sz w:val="22"/>
        </w:rPr>
        <w:t>，</w:t>
      </w:r>
      <w:r>
        <w:rPr>
          <w:sz w:val="22"/>
        </w:rPr>
        <w:t>并作</w:t>
      </w:r>
      <w:r>
        <w:rPr>
          <w:spacing w:val="-3"/>
          <w:sz w:val="22"/>
        </w:rPr>
        <w:t>了</w:t>
      </w:r>
      <w:r>
        <w:rPr>
          <w:sz w:val="22"/>
        </w:rPr>
        <w:t>显著</w:t>
      </w:r>
      <w:r>
        <w:rPr>
          <w:spacing w:val="-3"/>
          <w:sz w:val="22"/>
        </w:rPr>
        <w:t>标识</w:t>
      </w:r>
      <w:r>
        <w:rPr>
          <w:sz w:val="22"/>
        </w:rPr>
        <w:t>，请您</w:t>
      </w:r>
      <w:r>
        <w:rPr>
          <w:spacing w:val="-3"/>
          <w:sz w:val="22"/>
        </w:rPr>
        <w:t>注</w:t>
      </w:r>
      <w:r>
        <w:rPr>
          <w:sz w:val="22"/>
        </w:rPr>
        <w:t>意</w:t>
        <w:tab/>
        <w:t>9</w:t>
      </w:r>
    </w:p>
    <w:p>
      <w:pPr>
        <w:spacing w:before="348"/>
        <w:ind w:left="256"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960" w:right="840"/>
        </w:sectPr>
      </w:pPr>
    </w:p>
    <w:p>
      <w:pPr>
        <w:pStyle w:val="Heading1"/>
        <w:spacing w:line="590" w:lineRule="exact"/>
      </w:pPr>
      <w:r>
        <w:rPr/>
        <w:t>君龙康祥重大疾病保险条款</w:t>
      </w:r>
    </w:p>
    <w:p>
      <w:pPr>
        <w:spacing w:before="67"/>
        <w:ind w:left="2675" w:right="2675" w:firstLine="0"/>
        <w:jc w:val="center"/>
        <w:rPr>
          <w:rFonts w:ascii="微软雅黑" w:eastAsia="微软雅黑" w:hint="eastAsia"/>
          <w:b/>
          <w:sz w:val="40"/>
        </w:rPr>
      </w:pPr>
      <w:r>
        <w:rPr/>
        <w:pict>
          <v:group style="position:absolute;margin-left:48pt;margin-top:55.457909pt;width:499.2pt;height:559.050pt;mso-position-horizontal-relative:page;mso-position-vertical-relative:paragraph;z-index:-34312" coordorigin="960,1109" coordsize="9984,11181">
            <v:shape style="position:absolute;left:960;top:1109;width:3227;height:344" type="#_x0000_t75" stroked="false">
              <v:imagedata r:id="rId7" o:title=""/>
            </v:shape>
            <v:shape style="position:absolute;left:960;top:1452;width:3227;height:10838" type="#_x0000_t75" stroked="false">
              <v:imagedata r:id="rId8" o:title=""/>
            </v:shape>
            <v:shape style="position:absolute;left:4186;top:1109;width:6757;height:11181" type="#_x0000_t75" stroked="false">
              <v:imagedata r:id="rId9" o:title=""/>
            </v:shape>
            <w10:wrap type="none"/>
          </v:group>
        </w:pict>
      </w:r>
      <w:r>
        <w:rPr>
          <w:rFonts w:ascii="微软雅黑" w:eastAsia="微软雅黑" w:hint="eastAsia"/>
          <w:b/>
          <w:sz w:val="40"/>
        </w:rPr>
        <w:t>条 款 目 录</w:t>
      </w:r>
    </w:p>
    <w:p>
      <w:pPr>
        <w:pStyle w:val="BodyText"/>
        <w:spacing w:before="13"/>
        <w:rPr>
          <w:rFonts w:ascii="微软雅黑"/>
          <w:b/>
          <w:sz w:val="23"/>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3526"/>
        <w:gridCol w:w="3157"/>
      </w:tblGrid>
      <w:tr>
        <w:trPr>
          <w:trHeight w:val="11060" w:hRule="atLeast"/>
        </w:trPr>
        <w:tc>
          <w:tcPr>
            <w:tcW w:w="3115" w:type="dxa"/>
            <w:tcBorders>
              <w:right w:val="single" w:sz="4" w:space="0" w:color="000000"/>
            </w:tcBorders>
          </w:tcPr>
          <w:p>
            <w:pPr>
              <w:pStyle w:val="TableParagraph"/>
              <w:spacing w:before="5"/>
              <w:rPr>
                <w:rFonts w:ascii="微软雅黑"/>
                <w:b/>
                <w:sz w:val="14"/>
              </w:rPr>
            </w:pPr>
          </w:p>
          <w:p>
            <w:pPr>
              <w:pStyle w:val="TableParagraph"/>
              <w:numPr>
                <w:ilvl w:val="0"/>
                <w:numId w:val="2"/>
              </w:numPr>
              <w:tabs>
                <w:tab w:pos="482" w:val="left" w:leader="none"/>
              </w:tabs>
              <w:spacing w:line="240" w:lineRule="auto" w:before="0" w:after="0"/>
              <w:ind w:left="481" w:right="0" w:hanging="281"/>
              <w:jc w:val="left"/>
              <w:rPr>
                <w:b/>
                <w:sz w:val="22"/>
              </w:rPr>
            </w:pPr>
            <w:r>
              <w:rPr>
                <w:b/>
                <w:w w:val="95"/>
                <w:sz w:val="22"/>
              </w:rPr>
              <w:t>您与我们订立的合同</w:t>
            </w:r>
          </w:p>
          <w:p>
            <w:pPr>
              <w:pStyle w:val="TableParagraph"/>
              <w:numPr>
                <w:ilvl w:val="1"/>
                <w:numId w:val="2"/>
              </w:numPr>
              <w:tabs>
                <w:tab w:pos="1047" w:val="left" w:leader="none"/>
                <w:tab w:pos="1048" w:val="left" w:leader="none"/>
              </w:tabs>
              <w:spacing w:line="240" w:lineRule="auto" w:before="141" w:after="0"/>
              <w:ind w:left="1047" w:right="0" w:hanging="566"/>
              <w:jc w:val="left"/>
              <w:rPr>
                <w:sz w:val="22"/>
              </w:rPr>
            </w:pPr>
            <w:r>
              <w:rPr>
                <w:sz w:val="22"/>
              </w:rPr>
              <w:t>合同构成</w:t>
            </w:r>
          </w:p>
          <w:p>
            <w:pPr>
              <w:pStyle w:val="TableParagraph"/>
              <w:numPr>
                <w:ilvl w:val="1"/>
                <w:numId w:val="2"/>
              </w:numPr>
              <w:tabs>
                <w:tab w:pos="1047" w:val="left" w:leader="none"/>
                <w:tab w:pos="1048" w:val="left" w:leader="none"/>
              </w:tabs>
              <w:spacing w:line="355" w:lineRule="auto" w:before="139" w:after="0"/>
              <w:ind w:left="1047" w:right="298" w:hanging="566"/>
              <w:jc w:val="left"/>
              <w:rPr>
                <w:sz w:val="22"/>
              </w:rPr>
            </w:pPr>
            <w:r>
              <w:rPr>
                <w:spacing w:val="-2"/>
                <w:sz w:val="22"/>
              </w:rPr>
              <w:t>保险合同成立与生效</w:t>
            </w:r>
          </w:p>
          <w:p>
            <w:pPr>
              <w:pStyle w:val="TableParagraph"/>
              <w:numPr>
                <w:ilvl w:val="1"/>
                <w:numId w:val="2"/>
              </w:numPr>
              <w:tabs>
                <w:tab w:pos="1047" w:val="left" w:leader="none"/>
                <w:tab w:pos="1048" w:val="left" w:leader="none"/>
              </w:tabs>
              <w:spacing w:line="240" w:lineRule="auto" w:before="36" w:after="0"/>
              <w:ind w:left="1047" w:right="0" w:hanging="566"/>
              <w:jc w:val="left"/>
              <w:rPr>
                <w:sz w:val="22"/>
              </w:rPr>
            </w:pPr>
            <w:r>
              <w:rPr>
                <w:sz w:val="22"/>
              </w:rPr>
              <w:t>投保年龄</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z w:val="22"/>
              </w:rPr>
              <w:t>犹豫期</w:t>
            </w:r>
          </w:p>
          <w:p>
            <w:pPr>
              <w:pStyle w:val="TableParagraph"/>
              <w:numPr>
                <w:ilvl w:val="0"/>
                <w:numId w:val="2"/>
              </w:numPr>
              <w:tabs>
                <w:tab w:pos="482" w:val="left" w:leader="none"/>
              </w:tabs>
              <w:spacing w:line="240" w:lineRule="auto" w:before="138" w:after="0"/>
              <w:ind w:left="481" w:right="0" w:hanging="281"/>
              <w:jc w:val="left"/>
              <w:rPr>
                <w:b/>
                <w:sz w:val="22"/>
              </w:rPr>
            </w:pPr>
            <w:r>
              <w:rPr>
                <w:b/>
                <w:w w:val="95"/>
                <w:sz w:val="22"/>
              </w:rPr>
              <w:t>我们提供的保障</w:t>
            </w:r>
          </w:p>
          <w:p>
            <w:pPr>
              <w:pStyle w:val="TableParagraph"/>
              <w:numPr>
                <w:ilvl w:val="1"/>
                <w:numId w:val="2"/>
              </w:numPr>
              <w:tabs>
                <w:tab w:pos="1047" w:val="left" w:leader="none"/>
                <w:tab w:pos="1048" w:val="left" w:leader="none"/>
              </w:tabs>
              <w:spacing w:line="240" w:lineRule="auto" w:before="141" w:after="0"/>
              <w:ind w:left="1047" w:right="0" w:hanging="566"/>
              <w:jc w:val="left"/>
              <w:rPr>
                <w:sz w:val="22"/>
              </w:rPr>
            </w:pPr>
            <w:r>
              <w:rPr>
                <w:spacing w:val="-1"/>
                <w:sz w:val="22"/>
              </w:rPr>
              <w:t>基本保险金额</w:t>
            </w:r>
          </w:p>
          <w:p>
            <w:pPr>
              <w:pStyle w:val="TableParagraph"/>
              <w:numPr>
                <w:ilvl w:val="1"/>
                <w:numId w:val="2"/>
              </w:numPr>
              <w:tabs>
                <w:tab w:pos="1047" w:val="left" w:leader="none"/>
                <w:tab w:pos="1048" w:val="left" w:leader="none"/>
              </w:tabs>
              <w:spacing w:line="355" w:lineRule="auto" w:before="139" w:after="0"/>
              <w:ind w:left="1047" w:right="298" w:hanging="566"/>
              <w:jc w:val="left"/>
              <w:rPr>
                <w:sz w:val="22"/>
              </w:rPr>
            </w:pPr>
            <w:r>
              <w:rPr>
                <w:spacing w:val="-2"/>
                <w:sz w:val="22"/>
              </w:rPr>
              <w:t>未成年人身故保险金限制</w:t>
            </w:r>
          </w:p>
          <w:p>
            <w:pPr>
              <w:pStyle w:val="TableParagraph"/>
              <w:numPr>
                <w:ilvl w:val="1"/>
                <w:numId w:val="2"/>
              </w:numPr>
              <w:tabs>
                <w:tab w:pos="1047" w:val="left" w:leader="none"/>
                <w:tab w:pos="1048" w:val="left" w:leader="none"/>
              </w:tabs>
              <w:spacing w:line="240" w:lineRule="auto" w:before="36" w:after="0"/>
              <w:ind w:left="1047" w:right="0" w:hanging="566"/>
              <w:jc w:val="left"/>
              <w:rPr>
                <w:sz w:val="22"/>
              </w:rPr>
            </w:pPr>
            <w:r>
              <w:rPr>
                <w:sz w:val="22"/>
              </w:rPr>
              <w:t>保险期间</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z w:val="22"/>
              </w:rPr>
              <w:t>保险责任</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z w:val="22"/>
              </w:rPr>
              <w:t>责任免除</w:t>
            </w:r>
          </w:p>
          <w:p>
            <w:pPr>
              <w:pStyle w:val="TableParagraph"/>
              <w:numPr>
                <w:ilvl w:val="0"/>
                <w:numId w:val="2"/>
              </w:numPr>
              <w:tabs>
                <w:tab w:pos="482" w:val="left" w:leader="none"/>
              </w:tabs>
              <w:spacing w:line="240" w:lineRule="auto" w:before="142" w:after="0"/>
              <w:ind w:left="481" w:right="0" w:hanging="281"/>
              <w:jc w:val="left"/>
              <w:rPr>
                <w:b/>
                <w:sz w:val="22"/>
              </w:rPr>
            </w:pPr>
            <w:r>
              <w:rPr>
                <w:b/>
                <w:w w:val="95"/>
                <w:sz w:val="22"/>
              </w:rPr>
              <w:t>保险金的申请</w:t>
            </w:r>
          </w:p>
          <w:p>
            <w:pPr>
              <w:pStyle w:val="TableParagraph"/>
              <w:numPr>
                <w:ilvl w:val="1"/>
                <w:numId w:val="2"/>
              </w:numPr>
              <w:tabs>
                <w:tab w:pos="1047" w:val="left" w:leader="none"/>
                <w:tab w:pos="1048" w:val="left" w:leader="none"/>
              </w:tabs>
              <w:spacing w:line="240" w:lineRule="auto" w:before="140" w:after="0"/>
              <w:ind w:left="1047" w:right="0" w:hanging="566"/>
              <w:jc w:val="left"/>
              <w:rPr>
                <w:sz w:val="22"/>
              </w:rPr>
            </w:pPr>
            <w:r>
              <w:rPr>
                <w:sz w:val="22"/>
              </w:rPr>
              <w:t>受益人</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pacing w:val="-1"/>
                <w:sz w:val="22"/>
              </w:rPr>
              <w:t>保险事故通知</w:t>
            </w:r>
          </w:p>
          <w:p>
            <w:pPr>
              <w:pStyle w:val="TableParagraph"/>
              <w:numPr>
                <w:ilvl w:val="1"/>
                <w:numId w:val="2"/>
              </w:numPr>
              <w:tabs>
                <w:tab w:pos="1047" w:val="left" w:leader="none"/>
                <w:tab w:pos="1048" w:val="left" w:leader="none"/>
              </w:tabs>
              <w:spacing w:line="240" w:lineRule="auto" w:before="141" w:after="0"/>
              <w:ind w:left="1047" w:right="0" w:hanging="566"/>
              <w:jc w:val="left"/>
              <w:rPr>
                <w:sz w:val="22"/>
              </w:rPr>
            </w:pPr>
            <w:r>
              <w:rPr>
                <w:spacing w:val="-1"/>
                <w:sz w:val="22"/>
              </w:rPr>
              <w:t>保险金申请</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pacing w:val="-1"/>
                <w:sz w:val="22"/>
              </w:rPr>
              <w:t>保险金给付</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z w:val="22"/>
              </w:rPr>
              <w:t>失踪处理</w:t>
            </w:r>
          </w:p>
          <w:p>
            <w:pPr>
              <w:pStyle w:val="TableParagraph"/>
              <w:numPr>
                <w:ilvl w:val="1"/>
                <w:numId w:val="2"/>
              </w:numPr>
              <w:tabs>
                <w:tab w:pos="1047" w:val="left" w:leader="none"/>
                <w:tab w:pos="1048" w:val="left" w:leader="none"/>
              </w:tabs>
              <w:spacing w:line="240" w:lineRule="auto" w:before="141" w:after="0"/>
              <w:ind w:left="1047" w:right="0" w:hanging="566"/>
              <w:jc w:val="left"/>
              <w:rPr>
                <w:sz w:val="22"/>
              </w:rPr>
            </w:pPr>
            <w:r>
              <w:rPr>
                <w:sz w:val="22"/>
              </w:rPr>
              <w:t>诉讼时效</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保险费的支付</w:t>
            </w:r>
          </w:p>
          <w:p>
            <w:pPr>
              <w:pStyle w:val="TableParagraph"/>
              <w:numPr>
                <w:ilvl w:val="1"/>
                <w:numId w:val="2"/>
              </w:numPr>
              <w:tabs>
                <w:tab w:pos="1047" w:val="left" w:leader="none"/>
                <w:tab w:pos="1048" w:val="left" w:leader="none"/>
              </w:tabs>
              <w:spacing w:line="240" w:lineRule="auto" w:before="139" w:after="0"/>
              <w:ind w:left="1047" w:right="0" w:hanging="566"/>
              <w:jc w:val="left"/>
              <w:rPr>
                <w:sz w:val="22"/>
              </w:rPr>
            </w:pPr>
            <w:r>
              <w:rPr>
                <w:spacing w:val="-1"/>
                <w:sz w:val="22"/>
              </w:rPr>
              <w:t>保险费的支付</w:t>
            </w:r>
          </w:p>
          <w:p>
            <w:pPr>
              <w:pStyle w:val="TableParagraph"/>
              <w:numPr>
                <w:ilvl w:val="1"/>
                <w:numId w:val="2"/>
              </w:numPr>
              <w:tabs>
                <w:tab w:pos="1047" w:val="left" w:leader="none"/>
                <w:tab w:pos="1048" w:val="left" w:leader="none"/>
              </w:tabs>
              <w:spacing w:line="240" w:lineRule="auto" w:before="141" w:after="0"/>
              <w:ind w:left="1047" w:right="0" w:hanging="566"/>
              <w:jc w:val="left"/>
              <w:rPr>
                <w:sz w:val="22"/>
              </w:rPr>
            </w:pPr>
            <w:r>
              <w:rPr>
                <w:sz w:val="22"/>
              </w:rPr>
              <w:t>宽限期</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现金价值权益</w:t>
            </w:r>
          </w:p>
        </w:tc>
        <w:tc>
          <w:tcPr>
            <w:tcW w:w="3526" w:type="dxa"/>
            <w:tcBorders>
              <w:left w:val="single" w:sz="4" w:space="0" w:color="000000"/>
              <w:right w:val="single" w:sz="4" w:space="0" w:color="000000"/>
            </w:tcBorders>
          </w:tcPr>
          <w:p>
            <w:pPr>
              <w:pStyle w:val="TableParagraph"/>
              <w:spacing w:before="5"/>
              <w:rPr>
                <w:rFonts w:ascii="微软雅黑"/>
                <w:b/>
                <w:sz w:val="14"/>
              </w:rPr>
            </w:pPr>
          </w:p>
          <w:p>
            <w:pPr>
              <w:pStyle w:val="TableParagraph"/>
              <w:numPr>
                <w:ilvl w:val="1"/>
                <w:numId w:val="3"/>
              </w:numPr>
              <w:tabs>
                <w:tab w:pos="1127" w:val="left" w:leader="none"/>
                <w:tab w:pos="1128" w:val="left" w:leader="none"/>
              </w:tabs>
              <w:spacing w:line="240" w:lineRule="auto" w:before="0" w:after="0"/>
              <w:ind w:left="1127" w:right="0" w:hanging="566"/>
              <w:jc w:val="left"/>
              <w:rPr>
                <w:sz w:val="22"/>
              </w:rPr>
            </w:pPr>
            <w:r>
              <w:rPr>
                <w:sz w:val="22"/>
              </w:rPr>
              <w:t>现金价值</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z w:val="22"/>
              </w:rPr>
              <w:t>保单贷款</w:t>
            </w:r>
          </w:p>
          <w:p>
            <w:pPr>
              <w:pStyle w:val="TableParagraph"/>
              <w:numPr>
                <w:ilvl w:val="1"/>
                <w:numId w:val="3"/>
              </w:numPr>
              <w:tabs>
                <w:tab w:pos="1127" w:val="left" w:leader="none"/>
                <w:tab w:pos="1128" w:val="left" w:leader="none"/>
              </w:tabs>
              <w:spacing w:line="240" w:lineRule="auto" w:before="139" w:after="0"/>
              <w:ind w:left="1127" w:right="0" w:hanging="566"/>
              <w:jc w:val="left"/>
              <w:rPr>
                <w:sz w:val="22"/>
              </w:rPr>
            </w:pPr>
            <w:r>
              <w:rPr>
                <w:spacing w:val="-1"/>
                <w:sz w:val="22"/>
              </w:rPr>
              <w:t>保费自动垫交</w:t>
            </w:r>
          </w:p>
          <w:p>
            <w:pPr>
              <w:pStyle w:val="TableParagraph"/>
              <w:numPr>
                <w:ilvl w:val="1"/>
                <w:numId w:val="3"/>
              </w:numPr>
              <w:tabs>
                <w:tab w:pos="1127" w:val="left" w:leader="none"/>
                <w:tab w:pos="1128" w:val="left" w:leader="none"/>
              </w:tabs>
              <w:spacing w:line="240" w:lineRule="auto" w:before="139" w:after="0"/>
              <w:ind w:left="1127" w:right="0" w:hanging="566"/>
              <w:jc w:val="left"/>
              <w:rPr>
                <w:sz w:val="22"/>
              </w:rPr>
            </w:pPr>
            <w:r>
              <w:rPr>
                <w:sz w:val="22"/>
              </w:rPr>
              <w:t>减额交清</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pacing w:val="-2"/>
                <w:sz w:val="22"/>
              </w:rPr>
              <w:t>减少基本保险金额</w:t>
            </w:r>
          </w:p>
          <w:p>
            <w:pPr>
              <w:pStyle w:val="TableParagraph"/>
              <w:numPr>
                <w:ilvl w:val="0"/>
                <w:numId w:val="3"/>
              </w:numPr>
              <w:tabs>
                <w:tab w:pos="561" w:val="left" w:leader="none"/>
              </w:tabs>
              <w:spacing w:line="240" w:lineRule="auto" w:before="139" w:after="0"/>
              <w:ind w:left="561" w:right="0" w:hanging="281"/>
              <w:jc w:val="left"/>
              <w:rPr>
                <w:b/>
                <w:sz w:val="22"/>
              </w:rPr>
            </w:pPr>
            <w:r>
              <w:rPr>
                <w:b/>
                <w:w w:val="95"/>
                <w:sz w:val="22"/>
              </w:rPr>
              <w:t>合同效力的中止及恢复</w:t>
            </w:r>
          </w:p>
          <w:p>
            <w:pPr>
              <w:pStyle w:val="TableParagraph"/>
              <w:numPr>
                <w:ilvl w:val="1"/>
                <w:numId w:val="3"/>
              </w:numPr>
              <w:tabs>
                <w:tab w:pos="1127" w:val="left" w:leader="none"/>
                <w:tab w:pos="1128" w:val="left" w:leader="none"/>
              </w:tabs>
              <w:spacing w:line="240" w:lineRule="auto" w:before="138" w:after="0"/>
              <w:ind w:left="1127" w:right="0" w:hanging="566"/>
              <w:jc w:val="left"/>
              <w:rPr>
                <w:sz w:val="22"/>
              </w:rPr>
            </w:pPr>
            <w:r>
              <w:rPr>
                <w:sz w:val="22"/>
              </w:rPr>
              <w:t>效力中止</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pacing w:val="-1"/>
                <w:sz w:val="22"/>
              </w:rPr>
              <w:t>效力恢复(复效)</w:t>
            </w:r>
          </w:p>
          <w:p>
            <w:pPr>
              <w:pStyle w:val="TableParagraph"/>
              <w:numPr>
                <w:ilvl w:val="0"/>
                <w:numId w:val="3"/>
              </w:numPr>
              <w:tabs>
                <w:tab w:pos="561" w:val="left" w:leader="none"/>
              </w:tabs>
              <w:spacing w:line="240" w:lineRule="auto" w:before="139" w:after="0"/>
              <w:ind w:left="561" w:right="0" w:hanging="281"/>
              <w:jc w:val="left"/>
              <w:rPr>
                <w:b/>
                <w:sz w:val="22"/>
              </w:rPr>
            </w:pPr>
            <w:r>
              <w:rPr>
                <w:b/>
                <w:w w:val="95"/>
                <w:sz w:val="22"/>
              </w:rPr>
              <w:t>合同解除</w:t>
            </w:r>
          </w:p>
          <w:p>
            <w:pPr>
              <w:pStyle w:val="TableParagraph"/>
              <w:numPr>
                <w:ilvl w:val="1"/>
                <w:numId w:val="3"/>
              </w:numPr>
              <w:tabs>
                <w:tab w:pos="1127" w:val="left" w:leader="none"/>
                <w:tab w:pos="1128" w:val="left" w:leader="none"/>
              </w:tabs>
              <w:spacing w:line="357" w:lineRule="auto" w:before="139" w:after="0"/>
              <w:ind w:left="1127" w:right="183" w:hanging="566"/>
              <w:jc w:val="left"/>
              <w:rPr>
                <w:sz w:val="22"/>
              </w:rPr>
            </w:pPr>
            <w:r>
              <w:rPr>
                <w:spacing w:val="-2"/>
                <w:sz w:val="22"/>
              </w:rPr>
              <w:t>投保人解除合同的手续及风险</w:t>
            </w:r>
          </w:p>
          <w:p>
            <w:pPr>
              <w:pStyle w:val="TableParagraph"/>
              <w:numPr>
                <w:ilvl w:val="0"/>
                <w:numId w:val="3"/>
              </w:numPr>
              <w:tabs>
                <w:tab w:pos="561" w:val="left" w:leader="none"/>
              </w:tabs>
              <w:spacing w:line="240" w:lineRule="auto" w:before="31" w:after="0"/>
              <w:ind w:left="561" w:right="0" w:hanging="281"/>
              <w:jc w:val="left"/>
              <w:rPr>
                <w:b/>
                <w:sz w:val="22"/>
              </w:rPr>
            </w:pPr>
            <w:r>
              <w:rPr>
                <w:b/>
                <w:w w:val="95"/>
                <w:sz w:val="22"/>
              </w:rPr>
              <w:t>其它需要关注的事项</w:t>
            </w:r>
          </w:p>
          <w:p>
            <w:pPr>
              <w:pStyle w:val="TableParagraph"/>
              <w:numPr>
                <w:ilvl w:val="1"/>
                <w:numId w:val="3"/>
              </w:numPr>
              <w:tabs>
                <w:tab w:pos="1127" w:val="left" w:leader="none"/>
                <w:tab w:pos="1128" w:val="left" w:leader="none"/>
              </w:tabs>
              <w:spacing w:line="240" w:lineRule="auto" w:before="139" w:after="0"/>
              <w:ind w:left="1127" w:right="0" w:hanging="566"/>
              <w:jc w:val="left"/>
              <w:rPr>
                <w:sz w:val="22"/>
              </w:rPr>
            </w:pPr>
            <w:r>
              <w:rPr>
                <w:spacing w:val="-20"/>
                <w:sz w:val="22"/>
              </w:rPr>
              <w:t>明确说明与如实告知</w:t>
            </w:r>
          </w:p>
          <w:p>
            <w:pPr>
              <w:pStyle w:val="TableParagraph"/>
              <w:numPr>
                <w:ilvl w:val="1"/>
                <w:numId w:val="3"/>
              </w:numPr>
              <w:tabs>
                <w:tab w:pos="1127" w:val="left" w:leader="none"/>
                <w:tab w:pos="1128" w:val="left" w:leader="none"/>
              </w:tabs>
              <w:spacing w:line="357" w:lineRule="auto" w:before="142" w:after="0"/>
              <w:ind w:left="1127" w:right="183" w:hanging="566"/>
              <w:jc w:val="left"/>
              <w:rPr>
                <w:sz w:val="22"/>
              </w:rPr>
            </w:pPr>
            <w:r>
              <w:rPr>
                <w:spacing w:val="-2"/>
                <w:sz w:val="22"/>
              </w:rPr>
              <w:t>本公司合同解除权的限制</w:t>
            </w:r>
          </w:p>
          <w:p>
            <w:pPr>
              <w:pStyle w:val="TableParagraph"/>
              <w:numPr>
                <w:ilvl w:val="1"/>
                <w:numId w:val="3"/>
              </w:numPr>
              <w:tabs>
                <w:tab w:pos="1127" w:val="left" w:leader="none"/>
                <w:tab w:pos="1128" w:val="left" w:leader="none"/>
              </w:tabs>
              <w:spacing w:line="240" w:lineRule="auto" w:before="31" w:after="0"/>
              <w:ind w:left="1127" w:right="0" w:hanging="566"/>
              <w:jc w:val="left"/>
              <w:rPr>
                <w:sz w:val="22"/>
              </w:rPr>
            </w:pPr>
            <w:r>
              <w:rPr>
                <w:sz w:val="22"/>
              </w:rPr>
              <w:t>年龄错误</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z w:val="22"/>
              </w:rPr>
              <w:t>未还款项</w:t>
            </w:r>
          </w:p>
          <w:p>
            <w:pPr>
              <w:pStyle w:val="TableParagraph"/>
              <w:numPr>
                <w:ilvl w:val="1"/>
                <w:numId w:val="3"/>
              </w:numPr>
              <w:tabs>
                <w:tab w:pos="1127" w:val="left" w:leader="none"/>
                <w:tab w:pos="1128" w:val="left" w:leader="none"/>
              </w:tabs>
              <w:spacing w:line="240" w:lineRule="auto" w:before="139" w:after="0"/>
              <w:ind w:left="1127" w:right="0" w:hanging="566"/>
              <w:jc w:val="left"/>
              <w:rPr>
                <w:sz w:val="22"/>
              </w:rPr>
            </w:pPr>
            <w:r>
              <w:rPr>
                <w:spacing w:val="-1"/>
                <w:sz w:val="22"/>
              </w:rPr>
              <w:t>合同内容变更</w:t>
            </w:r>
          </w:p>
          <w:p>
            <w:pPr>
              <w:pStyle w:val="TableParagraph"/>
              <w:numPr>
                <w:ilvl w:val="1"/>
                <w:numId w:val="3"/>
              </w:numPr>
              <w:tabs>
                <w:tab w:pos="1127" w:val="left" w:leader="none"/>
                <w:tab w:pos="1128" w:val="left" w:leader="none"/>
              </w:tabs>
              <w:spacing w:line="240" w:lineRule="auto" w:before="139" w:after="0"/>
              <w:ind w:left="1127" w:right="0" w:hanging="566"/>
              <w:jc w:val="left"/>
              <w:rPr>
                <w:sz w:val="22"/>
              </w:rPr>
            </w:pPr>
            <w:r>
              <w:rPr>
                <w:sz w:val="22"/>
              </w:rPr>
              <w:t>地址变更</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z w:val="22"/>
              </w:rPr>
              <w:t>争议处理</w:t>
            </w:r>
          </w:p>
          <w:p>
            <w:pPr>
              <w:pStyle w:val="TableParagraph"/>
              <w:numPr>
                <w:ilvl w:val="0"/>
                <w:numId w:val="3"/>
              </w:numPr>
              <w:tabs>
                <w:tab w:pos="561" w:val="left" w:leader="none"/>
              </w:tabs>
              <w:spacing w:line="240" w:lineRule="auto" w:before="138" w:after="0"/>
              <w:ind w:left="561" w:right="0" w:hanging="281"/>
              <w:jc w:val="left"/>
              <w:rPr>
                <w:b/>
                <w:sz w:val="22"/>
              </w:rPr>
            </w:pPr>
            <w:r>
              <w:rPr>
                <w:b/>
                <w:w w:val="95"/>
                <w:sz w:val="22"/>
              </w:rPr>
              <w:t>释义</w:t>
            </w:r>
          </w:p>
          <w:p>
            <w:pPr>
              <w:pStyle w:val="TableParagraph"/>
              <w:numPr>
                <w:ilvl w:val="1"/>
                <w:numId w:val="3"/>
              </w:numPr>
              <w:tabs>
                <w:tab w:pos="1127" w:val="left" w:leader="none"/>
                <w:tab w:pos="1128" w:val="left" w:leader="none"/>
              </w:tabs>
              <w:spacing w:line="240" w:lineRule="auto" w:before="138" w:after="0"/>
              <w:ind w:left="1127" w:right="0" w:hanging="566"/>
              <w:jc w:val="left"/>
              <w:rPr>
                <w:sz w:val="22"/>
              </w:rPr>
            </w:pPr>
            <w:r>
              <w:rPr>
                <w:sz w:val="22"/>
              </w:rPr>
              <w:t>保单年度</w:t>
            </w:r>
          </w:p>
          <w:p>
            <w:pPr>
              <w:pStyle w:val="TableParagraph"/>
              <w:numPr>
                <w:ilvl w:val="1"/>
                <w:numId w:val="3"/>
              </w:numPr>
              <w:tabs>
                <w:tab w:pos="1127" w:val="left" w:leader="none"/>
                <w:tab w:pos="1128" w:val="left" w:leader="none"/>
              </w:tabs>
              <w:spacing w:line="240" w:lineRule="auto" w:before="141" w:after="0"/>
              <w:ind w:left="1127" w:right="0" w:hanging="566"/>
              <w:jc w:val="left"/>
              <w:rPr>
                <w:sz w:val="22"/>
              </w:rPr>
            </w:pPr>
            <w:r>
              <w:rPr>
                <w:spacing w:val="-2"/>
                <w:sz w:val="22"/>
              </w:rPr>
              <w:t>保险费约定支付日</w:t>
            </w:r>
          </w:p>
          <w:p>
            <w:pPr>
              <w:pStyle w:val="TableParagraph"/>
              <w:numPr>
                <w:ilvl w:val="1"/>
                <w:numId w:val="3"/>
              </w:numPr>
              <w:tabs>
                <w:tab w:pos="1127" w:val="left" w:leader="none"/>
                <w:tab w:pos="1128" w:val="left" w:leader="none"/>
              </w:tabs>
              <w:spacing w:line="240" w:lineRule="auto" w:before="140" w:after="0"/>
              <w:ind w:left="1127" w:right="0" w:hanging="566"/>
              <w:jc w:val="left"/>
              <w:rPr>
                <w:sz w:val="22"/>
              </w:rPr>
            </w:pPr>
            <w:r>
              <w:rPr>
                <w:sz w:val="22"/>
              </w:rPr>
              <w:t>周岁</w:t>
            </w:r>
          </w:p>
        </w:tc>
        <w:tc>
          <w:tcPr>
            <w:tcW w:w="3157" w:type="dxa"/>
            <w:tcBorders>
              <w:left w:val="single" w:sz="4" w:space="0" w:color="000000"/>
            </w:tcBorders>
          </w:tcPr>
          <w:p>
            <w:pPr>
              <w:pStyle w:val="TableParagraph"/>
              <w:spacing w:before="5"/>
              <w:rPr>
                <w:rFonts w:ascii="微软雅黑"/>
                <w:b/>
                <w:sz w:val="14"/>
              </w:rPr>
            </w:pPr>
          </w:p>
          <w:p>
            <w:pPr>
              <w:pStyle w:val="TableParagraph"/>
              <w:numPr>
                <w:ilvl w:val="1"/>
                <w:numId w:val="4"/>
              </w:numPr>
              <w:tabs>
                <w:tab w:pos="1129" w:val="left" w:leader="none"/>
                <w:tab w:pos="1130" w:val="left" w:leader="none"/>
              </w:tabs>
              <w:spacing w:line="240" w:lineRule="auto" w:before="0" w:after="0"/>
              <w:ind w:left="1129" w:right="0" w:hanging="566"/>
              <w:jc w:val="left"/>
              <w:rPr>
                <w:sz w:val="22"/>
              </w:rPr>
            </w:pPr>
            <w:r>
              <w:rPr>
                <w:sz w:val="22"/>
              </w:rPr>
              <w:t>医院</w:t>
            </w:r>
          </w:p>
          <w:p>
            <w:pPr>
              <w:pStyle w:val="TableParagraph"/>
              <w:numPr>
                <w:ilvl w:val="1"/>
                <w:numId w:val="4"/>
              </w:numPr>
              <w:tabs>
                <w:tab w:pos="1129" w:val="left" w:leader="none"/>
                <w:tab w:pos="1130" w:val="left" w:leader="none"/>
              </w:tabs>
              <w:spacing w:line="240" w:lineRule="auto" w:before="141" w:after="0"/>
              <w:ind w:left="1129" w:right="0" w:hanging="566"/>
              <w:jc w:val="left"/>
              <w:rPr>
                <w:sz w:val="22"/>
              </w:rPr>
            </w:pPr>
            <w:r>
              <w:rPr>
                <w:sz w:val="22"/>
              </w:rPr>
              <w:t>专科医生</w:t>
            </w:r>
          </w:p>
          <w:p>
            <w:pPr>
              <w:pStyle w:val="TableParagraph"/>
              <w:numPr>
                <w:ilvl w:val="1"/>
                <w:numId w:val="4"/>
              </w:numPr>
              <w:tabs>
                <w:tab w:pos="1129" w:val="left" w:leader="none"/>
                <w:tab w:pos="1130" w:val="left" w:leader="none"/>
              </w:tabs>
              <w:spacing w:line="240" w:lineRule="auto" w:before="139" w:after="0"/>
              <w:ind w:left="1129" w:right="0" w:hanging="566"/>
              <w:jc w:val="left"/>
              <w:rPr>
                <w:sz w:val="22"/>
              </w:rPr>
            </w:pPr>
            <w:r>
              <w:rPr>
                <w:sz w:val="22"/>
              </w:rPr>
              <w:t>重大疾病</w:t>
            </w:r>
          </w:p>
          <w:p>
            <w:pPr>
              <w:pStyle w:val="TableParagraph"/>
              <w:numPr>
                <w:ilvl w:val="1"/>
                <w:numId w:val="4"/>
              </w:numPr>
              <w:tabs>
                <w:tab w:pos="1129" w:val="left" w:leader="none"/>
                <w:tab w:pos="1130" w:val="left" w:leader="none"/>
              </w:tabs>
              <w:spacing w:line="240" w:lineRule="auto" w:before="139" w:after="0"/>
              <w:ind w:left="1129" w:right="0" w:hanging="566"/>
              <w:jc w:val="left"/>
              <w:rPr>
                <w:sz w:val="22"/>
              </w:rPr>
            </w:pPr>
            <w:r>
              <w:rPr>
                <w:sz w:val="22"/>
              </w:rPr>
              <w:t>毒品</w:t>
            </w:r>
          </w:p>
          <w:p>
            <w:pPr>
              <w:pStyle w:val="TableParagraph"/>
              <w:numPr>
                <w:ilvl w:val="1"/>
                <w:numId w:val="4"/>
              </w:numPr>
              <w:tabs>
                <w:tab w:pos="1129" w:val="left" w:leader="none"/>
                <w:tab w:pos="1130" w:val="left" w:leader="none"/>
              </w:tabs>
              <w:spacing w:line="240" w:lineRule="auto" w:before="141" w:after="0"/>
              <w:ind w:left="1129" w:right="0" w:hanging="566"/>
              <w:jc w:val="left"/>
              <w:rPr>
                <w:sz w:val="22"/>
              </w:rPr>
            </w:pPr>
            <w:r>
              <w:rPr>
                <w:sz w:val="22"/>
              </w:rPr>
              <w:t>酒后驾驶</w:t>
            </w:r>
          </w:p>
          <w:p>
            <w:pPr>
              <w:pStyle w:val="TableParagraph"/>
              <w:numPr>
                <w:ilvl w:val="1"/>
                <w:numId w:val="4"/>
              </w:numPr>
              <w:tabs>
                <w:tab w:pos="1129" w:val="left" w:leader="none"/>
                <w:tab w:pos="1130" w:val="left" w:leader="none"/>
              </w:tabs>
              <w:spacing w:line="355" w:lineRule="auto" w:before="139" w:after="0"/>
              <w:ind w:left="1129" w:right="258" w:hanging="566"/>
              <w:jc w:val="left"/>
              <w:rPr>
                <w:sz w:val="22"/>
              </w:rPr>
            </w:pPr>
            <w:r>
              <w:rPr>
                <w:spacing w:val="-2"/>
                <w:sz w:val="22"/>
              </w:rPr>
              <w:t>无合法有效驾驶证驾驶</w:t>
            </w:r>
          </w:p>
          <w:p>
            <w:pPr>
              <w:pStyle w:val="TableParagraph"/>
              <w:numPr>
                <w:ilvl w:val="1"/>
                <w:numId w:val="4"/>
              </w:numPr>
              <w:tabs>
                <w:tab w:pos="1130" w:val="left" w:leader="none"/>
              </w:tabs>
              <w:spacing w:line="240" w:lineRule="auto" w:before="35" w:after="0"/>
              <w:ind w:left="1129" w:right="0" w:hanging="566"/>
              <w:jc w:val="left"/>
              <w:rPr>
                <w:sz w:val="22"/>
              </w:rPr>
            </w:pPr>
            <w:r>
              <w:rPr>
                <w:spacing w:val="-1"/>
                <w:sz w:val="22"/>
              </w:rPr>
              <w:t>无有效行驶证</w:t>
            </w:r>
          </w:p>
          <w:p>
            <w:pPr>
              <w:pStyle w:val="TableParagraph"/>
              <w:numPr>
                <w:ilvl w:val="1"/>
                <w:numId w:val="4"/>
              </w:numPr>
              <w:tabs>
                <w:tab w:pos="1130" w:val="left" w:leader="none"/>
              </w:tabs>
              <w:spacing w:line="240" w:lineRule="auto" w:before="139" w:after="0"/>
              <w:ind w:left="1129" w:right="0" w:hanging="566"/>
              <w:jc w:val="left"/>
              <w:rPr>
                <w:sz w:val="22"/>
              </w:rPr>
            </w:pPr>
            <w:r>
              <w:rPr>
                <w:sz w:val="22"/>
              </w:rPr>
              <w:t>机动车</w:t>
            </w:r>
          </w:p>
          <w:p>
            <w:pPr>
              <w:pStyle w:val="TableParagraph"/>
              <w:numPr>
                <w:ilvl w:val="1"/>
                <w:numId w:val="4"/>
              </w:numPr>
              <w:tabs>
                <w:tab w:pos="1130" w:val="left" w:leader="none"/>
              </w:tabs>
              <w:spacing w:line="240" w:lineRule="auto" w:before="139" w:after="0"/>
              <w:ind w:left="1129" w:right="0" w:hanging="566"/>
              <w:jc w:val="left"/>
              <w:rPr>
                <w:sz w:val="22"/>
              </w:rPr>
            </w:pPr>
            <w:r>
              <w:rPr>
                <w:spacing w:val="-1"/>
                <w:sz w:val="22"/>
              </w:rPr>
              <w:t>遗传性疾病</w:t>
            </w:r>
          </w:p>
          <w:p>
            <w:pPr>
              <w:pStyle w:val="TableParagraph"/>
              <w:numPr>
                <w:ilvl w:val="1"/>
                <w:numId w:val="4"/>
              </w:numPr>
              <w:tabs>
                <w:tab w:pos="1129" w:val="left" w:leader="none"/>
                <w:tab w:pos="1130" w:val="left" w:leader="none"/>
              </w:tabs>
              <w:spacing w:line="355" w:lineRule="auto" w:before="141" w:after="0"/>
              <w:ind w:left="1129" w:right="198" w:hanging="566"/>
              <w:jc w:val="left"/>
              <w:rPr>
                <w:sz w:val="22"/>
              </w:rPr>
            </w:pPr>
            <w:r>
              <w:rPr>
                <w:spacing w:val="-20"/>
                <w:sz w:val="22"/>
              </w:rPr>
              <w:t>先天性畸形、变形或</w:t>
            </w:r>
            <w:r>
              <w:rPr>
                <w:spacing w:val="-19"/>
                <w:sz w:val="22"/>
              </w:rPr>
              <w:t>者染色体异常</w:t>
            </w:r>
          </w:p>
          <w:p>
            <w:pPr>
              <w:pStyle w:val="TableParagraph"/>
              <w:numPr>
                <w:ilvl w:val="1"/>
                <w:numId w:val="4"/>
              </w:numPr>
              <w:tabs>
                <w:tab w:pos="1130" w:val="left" w:leader="none"/>
              </w:tabs>
              <w:spacing w:line="240" w:lineRule="auto" w:before="33" w:after="0"/>
              <w:ind w:left="1129" w:right="0" w:hanging="566"/>
              <w:jc w:val="left"/>
              <w:rPr>
                <w:sz w:val="22"/>
              </w:rPr>
            </w:pPr>
            <w:r>
              <w:rPr>
                <w:sz w:val="22"/>
              </w:rPr>
              <w:t>现金价值</w:t>
            </w:r>
          </w:p>
          <w:p>
            <w:pPr>
              <w:pStyle w:val="TableParagraph"/>
              <w:numPr>
                <w:ilvl w:val="1"/>
                <w:numId w:val="4"/>
              </w:numPr>
              <w:tabs>
                <w:tab w:pos="1130" w:val="left" w:leader="none"/>
              </w:tabs>
              <w:spacing w:line="240" w:lineRule="auto" w:before="141" w:after="0"/>
              <w:ind w:left="1129" w:right="0" w:hanging="566"/>
              <w:jc w:val="left"/>
              <w:rPr>
                <w:sz w:val="22"/>
              </w:rPr>
            </w:pPr>
            <w:r>
              <w:rPr>
                <w:sz w:val="22"/>
              </w:rPr>
              <w:t>保险事故</w:t>
            </w:r>
          </w:p>
          <w:p>
            <w:pPr>
              <w:pStyle w:val="TableParagraph"/>
              <w:numPr>
                <w:ilvl w:val="1"/>
                <w:numId w:val="4"/>
              </w:numPr>
              <w:tabs>
                <w:tab w:pos="1130" w:val="left" w:leader="none"/>
              </w:tabs>
              <w:spacing w:line="240" w:lineRule="auto" w:before="139" w:after="0"/>
              <w:ind w:left="1129" w:right="0" w:hanging="566"/>
              <w:jc w:val="left"/>
              <w:rPr>
                <w:sz w:val="22"/>
              </w:rPr>
            </w:pPr>
            <w:r>
              <w:rPr>
                <w:spacing w:val="-1"/>
                <w:sz w:val="22"/>
              </w:rPr>
              <w:t>保单贷款利率</w:t>
            </w:r>
          </w:p>
          <w:p>
            <w:pPr>
              <w:pStyle w:val="TableParagraph"/>
              <w:numPr>
                <w:ilvl w:val="1"/>
                <w:numId w:val="4"/>
              </w:numPr>
              <w:tabs>
                <w:tab w:pos="1130" w:val="left" w:leader="none"/>
              </w:tabs>
              <w:spacing w:line="240" w:lineRule="auto" w:before="139" w:after="0"/>
              <w:ind w:left="1129" w:right="0" w:hanging="566"/>
              <w:jc w:val="left"/>
              <w:rPr>
                <w:sz w:val="22"/>
              </w:rPr>
            </w:pPr>
            <w:r>
              <w:rPr>
                <w:sz w:val="22"/>
              </w:rPr>
              <w:t>净保险费</w:t>
            </w:r>
          </w:p>
          <w:p>
            <w:pPr>
              <w:pStyle w:val="TableParagraph"/>
              <w:numPr>
                <w:ilvl w:val="1"/>
                <w:numId w:val="4"/>
              </w:numPr>
              <w:tabs>
                <w:tab w:pos="1130" w:val="left" w:leader="none"/>
              </w:tabs>
              <w:spacing w:line="240" w:lineRule="auto" w:before="142" w:after="0"/>
              <w:ind w:left="1129" w:right="0" w:hanging="566"/>
              <w:jc w:val="left"/>
              <w:rPr>
                <w:sz w:val="22"/>
              </w:rPr>
            </w:pPr>
            <w:r>
              <w:rPr>
                <w:spacing w:val="-1"/>
                <w:sz w:val="22"/>
              </w:rPr>
              <w:t>意外伤害事故</w:t>
            </w:r>
          </w:p>
          <w:p>
            <w:pPr>
              <w:pStyle w:val="TableParagraph"/>
              <w:numPr>
                <w:ilvl w:val="1"/>
                <w:numId w:val="4"/>
              </w:numPr>
              <w:tabs>
                <w:tab w:pos="1129" w:val="left" w:leader="none"/>
                <w:tab w:pos="1130" w:val="left" w:leader="none"/>
              </w:tabs>
              <w:spacing w:line="240" w:lineRule="auto" w:before="139" w:after="0"/>
              <w:ind w:left="1129" w:right="0" w:hanging="566"/>
              <w:jc w:val="left"/>
              <w:rPr>
                <w:sz w:val="22"/>
              </w:rPr>
            </w:pPr>
            <w:r>
              <w:rPr>
                <w:spacing w:val="-20"/>
                <w:sz w:val="22"/>
              </w:rPr>
              <w:t>肢体机能完全丧失</w:t>
            </w:r>
          </w:p>
          <w:p>
            <w:pPr>
              <w:pStyle w:val="TableParagraph"/>
              <w:numPr>
                <w:ilvl w:val="1"/>
                <w:numId w:val="4"/>
              </w:numPr>
              <w:tabs>
                <w:tab w:pos="1129" w:val="left" w:leader="none"/>
                <w:tab w:pos="1130" w:val="left" w:leader="none"/>
              </w:tabs>
              <w:spacing w:line="357" w:lineRule="auto" w:before="139" w:after="0"/>
              <w:ind w:left="1129" w:right="198" w:hanging="566"/>
              <w:jc w:val="left"/>
              <w:rPr>
                <w:sz w:val="22"/>
              </w:rPr>
            </w:pPr>
            <w:r>
              <w:rPr>
                <w:spacing w:val="-20"/>
                <w:sz w:val="22"/>
              </w:rPr>
              <w:t>语言能力或咀嚼吞咽</w:t>
            </w:r>
            <w:r>
              <w:rPr>
                <w:spacing w:val="-19"/>
                <w:sz w:val="22"/>
              </w:rPr>
              <w:t>能力完全丧失</w:t>
            </w:r>
          </w:p>
          <w:p>
            <w:pPr>
              <w:pStyle w:val="TableParagraph"/>
              <w:numPr>
                <w:ilvl w:val="1"/>
                <w:numId w:val="4"/>
              </w:numPr>
              <w:tabs>
                <w:tab w:pos="1130" w:val="left" w:leader="none"/>
              </w:tabs>
              <w:spacing w:line="355" w:lineRule="auto" w:before="31" w:after="0"/>
              <w:ind w:left="1129" w:right="258" w:hanging="566"/>
              <w:jc w:val="left"/>
              <w:rPr>
                <w:sz w:val="22"/>
              </w:rPr>
            </w:pPr>
            <w:r>
              <w:rPr>
                <w:spacing w:val="-2"/>
                <w:sz w:val="22"/>
              </w:rPr>
              <w:t>六项基本日常生活活动</w:t>
            </w:r>
          </w:p>
          <w:p>
            <w:pPr>
              <w:pStyle w:val="TableParagraph"/>
              <w:numPr>
                <w:ilvl w:val="1"/>
                <w:numId w:val="4"/>
              </w:numPr>
              <w:tabs>
                <w:tab w:pos="1130" w:val="left" w:leader="none"/>
              </w:tabs>
              <w:spacing w:line="240" w:lineRule="auto" w:before="35" w:after="0"/>
              <w:ind w:left="1129" w:right="0" w:hanging="566"/>
              <w:jc w:val="left"/>
              <w:rPr>
                <w:sz w:val="22"/>
              </w:rPr>
            </w:pPr>
            <w:r>
              <w:rPr>
                <w:spacing w:val="-1"/>
                <w:sz w:val="22"/>
              </w:rPr>
              <w:t>永久不可逆</w:t>
            </w:r>
          </w:p>
        </w:tc>
      </w:tr>
    </w:tbl>
    <w:p>
      <w:pPr>
        <w:spacing w:after="0" w:line="240" w:lineRule="auto"/>
        <w:jc w:val="left"/>
        <w:rPr>
          <w:sz w:val="22"/>
        </w:rPr>
        <w:sectPr>
          <w:pgSz w:w="11910" w:h="16840"/>
          <w:pgMar w:top="1460" w:bottom="280" w:left="860" w:right="860"/>
        </w:sectPr>
      </w:pPr>
    </w:p>
    <w:p>
      <w:pPr>
        <w:spacing w:line="595" w:lineRule="exact" w:before="0"/>
        <w:ind w:left="2730" w:right="0" w:firstLine="0"/>
        <w:jc w:val="left"/>
        <w:rPr>
          <w:rFonts w:ascii="微软雅黑" w:eastAsia="微软雅黑" w:hint="eastAsia"/>
          <w:b/>
          <w:sz w:val="40"/>
        </w:rPr>
      </w:pPr>
      <w:r>
        <w:rPr>
          <w:rFonts w:ascii="微软雅黑" w:eastAsia="微软雅黑" w:hint="eastAsia"/>
          <w:b/>
          <w:sz w:val="40"/>
        </w:rPr>
        <w:t>君龙康祥重大疾病保险条款</w:t>
      </w:r>
    </w:p>
    <w:p>
      <w:pPr>
        <w:pStyle w:val="Heading3"/>
        <w:spacing w:before="295"/>
        <w:ind w:left="3318"/>
        <w:rPr>
          <w:rFonts w:ascii="微软雅黑" w:eastAsia="微软雅黑" w:hint="eastAsia"/>
        </w:rPr>
      </w:pPr>
      <w:r>
        <w:rPr>
          <w:rFonts w:ascii="微软雅黑" w:eastAsia="微软雅黑" w:hint="eastAsia"/>
        </w:rPr>
        <w:t>（2011 年 10 月向中国保监会备案）</w:t>
      </w:r>
    </w:p>
    <w:p>
      <w:pPr>
        <w:pStyle w:val="BodyText"/>
        <w:spacing w:before="7"/>
        <w:rPr>
          <w:rFonts w:ascii="微软雅黑"/>
          <w:b/>
          <w:sz w:val="23"/>
        </w:rPr>
      </w:pPr>
    </w:p>
    <w:p>
      <w:pPr>
        <w:pStyle w:val="BodyText"/>
        <w:spacing w:line="316" w:lineRule="auto" w:before="1"/>
        <w:ind w:left="454" w:right="569"/>
      </w:pPr>
      <w:r>
        <w:rPr/>
        <w:t>在本条款中，“您”指投保人，“我们”、“本公司”均指君龙人寿保险有限公司，“本合同” 指您与我们之间订立的“君龙康祥重大疾病保险保险合同”。</w:t>
      </w:r>
    </w:p>
    <w:p>
      <w:pPr>
        <w:pStyle w:val="BodyText"/>
        <w:spacing w:before="6"/>
        <w:rPr>
          <w:sz w:val="23"/>
        </w:rPr>
      </w:pPr>
    </w:p>
    <w:p>
      <w:pPr>
        <w:pStyle w:val="ListParagraph"/>
        <w:numPr>
          <w:ilvl w:val="0"/>
          <w:numId w:val="5"/>
        </w:numPr>
        <w:tabs>
          <w:tab w:pos="884" w:val="left" w:leader="none"/>
        </w:tabs>
        <w:spacing w:line="240" w:lineRule="auto" w:before="0" w:after="0"/>
        <w:ind w:left="883" w:right="0" w:hanging="429"/>
        <w:jc w:val="left"/>
        <w:rPr>
          <w:b/>
          <w:sz w:val="30"/>
        </w:rPr>
      </w:pPr>
      <w:r>
        <w:rPr>
          <w:b/>
          <w:w w:val="95"/>
          <w:sz w:val="30"/>
        </w:rPr>
        <w:t>您与我们订立的合同</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0"/>
      </w:tblGrid>
      <w:tr>
        <w:trPr>
          <w:trHeight w:val="1249" w:hRule="atLeast"/>
        </w:trPr>
        <w:tc>
          <w:tcPr>
            <w:tcW w:w="756"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22"/>
              <w:rPr>
                <w:b/>
                <w:sz w:val="22"/>
              </w:rPr>
            </w:pPr>
            <w:r>
              <w:rPr>
                <w:b/>
                <w:w w:val="95"/>
                <w:sz w:val="22"/>
              </w:rPr>
              <w:t>合同构成</w:t>
            </w:r>
          </w:p>
        </w:tc>
        <w:tc>
          <w:tcPr>
            <w:tcW w:w="7630" w:type="dxa"/>
          </w:tcPr>
          <w:p>
            <w:pPr>
              <w:pStyle w:val="TableParagraph"/>
              <w:spacing w:line="221" w:lineRule="exact"/>
              <w:ind w:left="112"/>
              <w:rPr>
                <w:sz w:val="22"/>
              </w:rPr>
            </w:pPr>
            <w:r>
              <w:rPr>
                <w:sz w:val="22"/>
              </w:rPr>
              <w:t>本合同是您与我们约定保险权利义务关系的协议，包括本保险条款、保险单</w:t>
            </w:r>
          </w:p>
          <w:p>
            <w:pPr>
              <w:pStyle w:val="TableParagraph"/>
              <w:spacing w:line="316" w:lineRule="auto" w:before="92"/>
              <w:ind w:left="112" w:right="202"/>
              <w:rPr>
                <w:sz w:val="22"/>
              </w:rPr>
            </w:pPr>
            <w:r>
              <w:rPr>
                <w:sz w:val="22"/>
              </w:rPr>
              <w:t>或其他保险凭证、投保单、与保险合同有关的投保文件、合法有效的声明、批注、批单及其他您与我们共同认可的书面协议。</w:t>
            </w:r>
          </w:p>
        </w:tc>
      </w:tr>
      <w:tr>
        <w:trPr>
          <w:trHeight w:val="1520" w:hRule="atLeast"/>
        </w:trPr>
        <w:tc>
          <w:tcPr>
            <w:tcW w:w="756" w:type="dxa"/>
          </w:tcPr>
          <w:p>
            <w:pPr>
              <w:pStyle w:val="TableParagraph"/>
              <w:spacing w:before="6"/>
              <w:rPr>
                <w:b/>
                <w:sz w:val="15"/>
              </w:rPr>
            </w:pPr>
          </w:p>
          <w:p>
            <w:pPr>
              <w:pStyle w:val="TableParagraph"/>
              <w:ind w:left="200"/>
              <w:rPr>
                <w:b/>
                <w:sz w:val="22"/>
              </w:rPr>
            </w:pPr>
            <w:r>
              <w:rPr>
                <w:b/>
                <w:sz w:val="22"/>
              </w:rPr>
              <w:t>1.2</w:t>
            </w:r>
          </w:p>
        </w:tc>
        <w:tc>
          <w:tcPr>
            <w:tcW w:w="1660" w:type="dxa"/>
          </w:tcPr>
          <w:p>
            <w:pPr>
              <w:pStyle w:val="TableParagraph"/>
              <w:spacing w:before="6"/>
              <w:rPr>
                <w:b/>
                <w:sz w:val="15"/>
              </w:rPr>
            </w:pPr>
          </w:p>
          <w:p>
            <w:pPr>
              <w:pStyle w:val="TableParagraph"/>
              <w:spacing w:line="316" w:lineRule="auto"/>
              <w:ind w:left="222" w:right="111"/>
              <w:rPr>
                <w:b/>
                <w:sz w:val="22"/>
              </w:rPr>
            </w:pPr>
            <w:r>
              <w:rPr>
                <w:b/>
                <w:sz w:val="22"/>
              </w:rPr>
              <w:t>保险合同成立</w:t>
            </w:r>
            <w:r>
              <w:rPr>
                <w:b/>
                <w:w w:val="95"/>
                <w:sz w:val="22"/>
              </w:rPr>
              <w:t>与生效</w:t>
            </w:r>
          </w:p>
        </w:tc>
        <w:tc>
          <w:tcPr>
            <w:tcW w:w="7630" w:type="dxa"/>
          </w:tcPr>
          <w:p>
            <w:pPr>
              <w:pStyle w:val="TableParagraph"/>
              <w:spacing w:before="6"/>
              <w:rPr>
                <w:b/>
                <w:sz w:val="15"/>
              </w:rPr>
            </w:pPr>
          </w:p>
          <w:p>
            <w:pPr>
              <w:pStyle w:val="TableParagraph"/>
              <w:ind w:left="112"/>
              <w:rPr>
                <w:sz w:val="22"/>
              </w:rPr>
            </w:pPr>
            <w:r>
              <w:rPr>
                <w:sz w:val="22"/>
              </w:rPr>
              <w:t>您提出保险申请、我们同意承保，本合同成立。</w:t>
            </w:r>
          </w:p>
          <w:p>
            <w:pPr>
              <w:pStyle w:val="TableParagraph"/>
              <w:spacing w:line="319" w:lineRule="auto" w:before="91"/>
              <w:ind w:left="112" w:right="201"/>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tc>
      </w:tr>
      <w:tr>
        <w:trPr>
          <w:trHeight w:val="1140" w:hRule="atLeast"/>
        </w:trPr>
        <w:tc>
          <w:tcPr>
            <w:tcW w:w="756" w:type="dxa"/>
          </w:tcPr>
          <w:p>
            <w:pPr>
              <w:pStyle w:val="TableParagraph"/>
              <w:spacing w:before="5"/>
              <w:rPr>
                <w:b/>
                <w:sz w:val="15"/>
              </w:rPr>
            </w:pPr>
          </w:p>
          <w:p>
            <w:pPr>
              <w:pStyle w:val="TableParagraph"/>
              <w:ind w:left="200"/>
              <w:rPr>
                <w:b/>
                <w:sz w:val="22"/>
              </w:rPr>
            </w:pPr>
            <w:r>
              <w:rPr>
                <w:b/>
                <w:sz w:val="22"/>
              </w:rPr>
              <w:t>1.3</w:t>
            </w:r>
          </w:p>
        </w:tc>
        <w:tc>
          <w:tcPr>
            <w:tcW w:w="1660" w:type="dxa"/>
          </w:tcPr>
          <w:p>
            <w:pPr>
              <w:pStyle w:val="TableParagraph"/>
              <w:spacing w:before="5"/>
              <w:rPr>
                <w:b/>
                <w:sz w:val="15"/>
              </w:rPr>
            </w:pPr>
          </w:p>
          <w:p>
            <w:pPr>
              <w:pStyle w:val="TableParagraph"/>
              <w:ind w:left="222"/>
              <w:rPr>
                <w:b/>
                <w:sz w:val="22"/>
              </w:rPr>
            </w:pPr>
            <w:r>
              <w:rPr>
                <w:b/>
                <w:w w:val="95"/>
                <w:sz w:val="22"/>
              </w:rPr>
              <w:t>投保年龄</w:t>
            </w:r>
          </w:p>
        </w:tc>
        <w:tc>
          <w:tcPr>
            <w:tcW w:w="7630" w:type="dxa"/>
          </w:tcPr>
          <w:p>
            <w:pPr>
              <w:pStyle w:val="TableParagraph"/>
              <w:spacing w:before="5"/>
              <w:rPr>
                <w:b/>
                <w:sz w:val="15"/>
              </w:rPr>
            </w:pPr>
          </w:p>
          <w:p>
            <w:pPr>
              <w:pStyle w:val="TableParagraph"/>
              <w:spacing w:line="319" w:lineRule="auto"/>
              <w:ind w:left="112" w:right="202"/>
              <w:rPr>
                <w:sz w:val="22"/>
              </w:rPr>
            </w:pPr>
            <w:r>
              <w:rPr>
                <w:sz w:val="22"/>
              </w:rPr>
              <w:t>指您投保时被保险人的年龄，投保年龄以</w:t>
            </w:r>
            <w:r>
              <w:rPr>
                <w:b/>
                <w:sz w:val="22"/>
              </w:rPr>
              <w:t>周岁</w:t>
            </w:r>
            <w:r>
              <w:rPr>
                <w:sz w:val="22"/>
              </w:rPr>
              <w:t>计算。本合同接受的投保年龄为0周岁（指出生满28天且已健康出院的婴儿）至55周岁。</w:t>
            </w:r>
          </w:p>
        </w:tc>
      </w:tr>
      <w:tr>
        <w:trPr>
          <w:trHeight w:val="2390" w:hRule="atLeast"/>
        </w:trPr>
        <w:tc>
          <w:tcPr>
            <w:tcW w:w="756" w:type="dxa"/>
          </w:tcPr>
          <w:p>
            <w:pPr>
              <w:pStyle w:val="TableParagraph"/>
              <w:spacing w:before="5"/>
              <w:rPr>
                <w:b/>
                <w:sz w:val="15"/>
              </w:rPr>
            </w:pPr>
          </w:p>
          <w:p>
            <w:pPr>
              <w:pStyle w:val="TableParagraph"/>
              <w:ind w:left="200"/>
              <w:rPr>
                <w:b/>
                <w:sz w:val="22"/>
              </w:rPr>
            </w:pPr>
            <w:r>
              <w:rPr>
                <w:b/>
                <w:sz w:val="22"/>
              </w:rPr>
              <w:t>1.4</w:t>
            </w:r>
          </w:p>
        </w:tc>
        <w:tc>
          <w:tcPr>
            <w:tcW w:w="1660" w:type="dxa"/>
          </w:tcPr>
          <w:p>
            <w:pPr>
              <w:pStyle w:val="TableParagraph"/>
              <w:spacing w:before="5"/>
              <w:rPr>
                <w:b/>
                <w:sz w:val="15"/>
              </w:rPr>
            </w:pPr>
          </w:p>
          <w:p>
            <w:pPr>
              <w:pStyle w:val="TableParagraph"/>
              <w:ind w:left="222"/>
              <w:rPr>
                <w:b/>
                <w:sz w:val="22"/>
              </w:rPr>
            </w:pPr>
            <w:r>
              <w:rPr>
                <w:b/>
                <w:w w:val="95"/>
                <w:sz w:val="22"/>
              </w:rPr>
              <w:t>犹豫期</w:t>
            </w:r>
          </w:p>
        </w:tc>
        <w:tc>
          <w:tcPr>
            <w:tcW w:w="7630" w:type="dxa"/>
          </w:tcPr>
          <w:p>
            <w:pPr>
              <w:pStyle w:val="TableParagraph"/>
              <w:spacing w:before="5"/>
              <w:rPr>
                <w:b/>
                <w:sz w:val="15"/>
              </w:rPr>
            </w:pPr>
          </w:p>
          <w:p>
            <w:pPr>
              <w:pStyle w:val="TableParagraph"/>
              <w:spacing w:line="316" w:lineRule="auto"/>
              <w:ind w:left="112" w:right="201"/>
              <w:jc w:val="both"/>
              <w:rPr>
                <w:sz w:val="22"/>
              </w:rPr>
            </w:pPr>
            <w:r>
              <w:rPr>
                <w:sz w:val="22"/>
              </w:rPr>
              <w:t>自您签收本合同的次日起，有10日的犹豫期。在此期间，请您认真审视本合同，如果您认为本合同与您的需求不相符，您可以在此期间提出解除本合同，我们将在扣除不超过10元的工本费后无息退还您所交纳的保险费。</w:t>
            </w:r>
          </w:p>
          <w:p>
            <w:pPr>
              <w:pStyle w:val="TableParagraph"/>
              <w:spacing w:before="20"/>
              <w:ind w:left="112"/>
              <w:rPr>
                <w:sz w:val="22"/>
              </w:rPr>
            </w:pPr>
            <w:r>
              <w:rPr>
                <w:sz w:val="22"/>
              </w:rPr>
              <w:t>解除合同时，您需要填写申请书，并提供您的保险合同及有效身份证件。</w:t>
            </w:r>
            <w:r>
              <w:rPr>
                <w:sz w:val="22"/>
                <w:shd w:fill="D9D9D9" w:color="auto" w:val="clear"/>
              </w:rPr>
              <w:t>自</w:t>
            </w:r>
          </w:p>
          <w:p>
            <w:pPr>
              <w:pStyle w:val="TableParagraph"/>
              <w:spacing w:line="380" w:lineRule="atLeast" w:before="1"/>
              <w:ind w:left="112" w:right="202"/>
              <w:jc w:val="both"/>
              <w:rPr>
                <w:sz w:val="22"/>
              </w:rPr>
            </w:pPr>
            <w:r>
              <w:rPr>
                <w:sz w:val="22"/>
                <w:shd w:fill="D9D9D9" w:color="auto" w:val="clear"/>
              </w:rPr>
              <w:t>您书面申请解除合同之日起，本合同即被解除，我们自本合同生效日起自始</w:t>
            </w:r>
            <w:r>
              <w:rPr>
                <w:spacing w:val="-1"/>
                <w:sz w:val="22"/>
                <w:shd w:fill="D9D9D9" w:color="auto" w:val="clear"/>
              </w:rPr>
              <w:t>不承担</w:t>
            </w:r>
            <w:r>
              <w:rPr>
                <w:spacing w:val="-221"/>
                <w:sz w:val="22"/>
                <w:shd w:fill="D9D9D9" w:color="auto" w:val="clear"/>
              </w:rPr>
              <w:t>保</w:t>
            </w:r>
            <w:r>
              <w:rPr>
                <w:sz w:val="22"/>
                <w:shd w:fill="D9D9D9" w:color="auto" w:val="clear"/>
              </w:rPr>
              <w:t>险责任</w:t>
            </w:r>
            <w:r>
              <w:rPr>
                <w:sz w:val="22"/>
              </w:rPr>
              <w:t>。</w:t>
            </w:r>
          </w:p>
        </w:tc>
      </w:tr>
    </w:tbl>
    <w:p>
      <w:pPr>
        <w:pStyle w:val="BodyText"/>
        <w:rPr>
          <w:b/>
          <w:sz w:val="23"/>
        </w:rPr>
      </w:pPr>
    </w:p>
    <w:p>
      <w:pPr>
        <w:pStyle w:val="Heading2"/>
        <w:numPr>
          <w:ilvl w:val="0"/>
          <w:numId w:val="6"/>
        </w:numPr>
        <w:tabs>
          <w:tab w:pos="884" w:val="left" w:leader="none"/>
        </w:tabs>
        <w:spacing w:line="240" w:lineRule="auto" w:before="74" w:after="0"/>
        <w:ind w:left="883" w:right="0" w:hanging="429"/>
        <w:jc w:val="left"/>
      </w:pPr>
      <w:r>
        <w:rPr>
          <w:w w:val="95"/>
        </w:rPr>
        <w:t>我们提供的保障</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6,22" stroked="true" strokeweight="2.16pt" strokecolor="#000000">
              <v:stroke dashstyle="solid"/>
            </v:line>
            <v:rect style="position:absolute;left:775;top:0;width:44;height:44" filled="true" fillcolor="#000000" stroked="false">
              <v:fill type="solid"/>
            </v:rect>
            <v:line style="position:absolute" from="819,22" to="2331,22" stroked="true" strokeweight="2.16pt" strokecolor="#000000">
              <v:stroke dashstyle="solid"/>
            </v:line>
            <v:rect style="position:absolute;left:2330;top:0;width:44;height:44" filled="true" fillcolor="#000000" stroked="false">
              <v:fill type="solid"/>
            </v:rect>
            <v:line style="position:absolute" from="2374,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62"/>
        <w:gridCol w:w="7625"/>
      </w:tblGrid>
      <w:tr>
        <w:trPr>
          <w:trHeight w:val="871" w:hRule="atLeast"/>
        </w:trPr>
        <w:tc>
          <w:tcPr>
            <w:tcW w:w="755" w:type="dxa"/>
          </w:tcPr>
          <w:p>
            <w:pPr>
              <w:pStyle w:val="TableParagraph"/>
              <w:spacing w:line="221" w:lineRule="exact"/>
              <w:ind w:left="200"/>
              <w:rPr>
                <w:b/>
                <w:sz w:val="22"/>
              </w:rPr>
            </w:pPr>
            <w:r>
              <w:rPr>
                <w:b/>
                <w:sz w:val="22"/>
              </w:rPr>
              <w:t>2.1</w:t>
            </w:r>
          </w:p>
        </w:tc>
        <w:tc>
          <w:tcPr>
            <w:tcW w:w="1662" w:type="dxa"/>
          </w:tcPr>
          <w:p>
            <w:pPr>
              <w:pStyle w:val="TableParagraph"/>
              <w:spacing w:line="221" w:lineRule="exact"/>
              <w:ind w:left="220"/>
              <w:rPr>
                <w:b/>
                <w:sz w:val="22"/>
              </w:rPr>
            </w:pPr>
            <w:r>
              <w:rPr>
                <w:b/>
                <w:w w:val="95"/>
                <w:sz w:val="22"/>
              </w:rPr>
              <w:t>基本保险金额</w:t>
            </w:r>
          </w:p>
        </w:tc>
        <w:tc>
          <w:tcPr>
            <w:tcW w:w="7625" w:type="dxa"/>
          </w:tcPr>
          <w:p>
            <w:pPr>
              <w:pStyle w:val="TableParagraph"/>
              <w:spacing w:line="221" w:lineRule="exact"/>
              <w:ind w:left="113"/>
              <w:rPr>
                <w:sz w:val="22"/>
              </w:rPr>
            </w:pPr>
            <w:r>
              <w:rPr>
                <w:sz w:val="22"/>
              </w:rPr>
              <w:t>本合同的基本保险金额由您在投保时与我们约定，并在保险单上载明。如该</w:t>
            </w:r>
          </w:p>
          <w:p>
            <w:pPr>
              <w:pStyle w:val="TableParagraph"/>
              <w:spacing w:before="93"/>
              <w:ind w:left="113"/>
              <w:rPr>
                <w:sz w:val="22"/>
              </w:rPr>
            </w:pPr>
            <w:r>
              <w:rPr>
                <w:sz w:val="22"/>
              </w:rPr>
              <w:t>金额有所变更时，以变更后的基本保险金额为准。</w:t>
            </w:r>
          </w:p>
        </w:tc>
      </w:tr>
      <w:tr>
        <w:trPr>
          <w:trHeight w:val="1250" w:hRule="atLeast"/>
        </w:trPr>
        <w:tc>
          <w:tcPr>
            <w:tcW w:w="755" w:type="dxa"/>
          </w:tcPr>
          <w:p>
            <w:pPr>
              <w:pStyle w:val="TableParagraph"/>
              <w:spacing w:before="5"/>
              <w:rPr>
                <w:b/>
                <w:sz w:val="15"/>
              </w:rPr>
            </w:pPr>
          </w:p>
          <w:p>
            <w:pPr>
              <w:pStyle w:val="TableParagraph"/>
              <w:ind w:left="200"/>
              <w:rPr>
                <w:b/>
                <w:sz w:val="22"/>
              </w:rPr>
            </w:pPr>
            <w:r>
              <w:rPr>
                <w:b/>
                <w:sz w:val="22"/>
              </w:rPr>
              <w:t>2.2</w:t>
            </w:r>
          </w:p>
        </w:tc>
        <w:tc>
          <w:tcPr>
            <w:tcW w:w="1662" w:type="dxa"/>
          </w:tcPr>
          <w:p>
            <w:pPr>
              <w:pStyle w:val="TableParagraph"/>
              <w:spacing w:before="5"/>
              <w:rPr>
                <w:b/>
                <w:sz w:val="15"/>
              </w:rPr>
            </w:pPr>
          </w:p>
          <w:p>
            <w:pPr>
              <w:pStyle w:val="TableParagraph"/>
              <w:spacing w:line="319" w:lineRule="auto"/>
              <w:ind w:left="220" w:right="114"/>
              <w:rPr>
                <w:b/>
                <w:sz w:val="22"/>
              </w:rPr>
            </w:pPr>
            <w:r>
              <w:rPr>
                <w:b/>
                <w:sz w:val="22"/>
              </w:rPr>
              <w:t>未成年人身故</w:t>
            </w:r>
            <w:r>
              <w:rPr>
                <w:b/>
                <w:w w:val="95"/>
                <w:sz w:val="22"/>
              </w:rPr>
              <w:t>保险金限制</w:t>
            </w:r>
          </w:p>
        </w:tc>
        <w:tc>
          <w:tcPr>
            <w:tcW w:w="7625" w:type="dxa"/>
          </w:tcPr>
          <w:p>
            <w:pPr>
              <w:pStyle w:val="TableParagraph"/>
              <w:spacing w:before="5"/>
              <w:rPr>
                <w:b/>
                <w:sz w:val="15"/>
              </w:rPr>
            </w:pPr>
          </w:p>
          <w:p>
            <w:pPr>
              <w:pStyle w:val="TableParagraph"/>
              <w:ind w:left="113"/>
              <w:rPr>
                <w:sz w:val="22"/>
              </w:rPr>
            </w:pPr>
            <w:r>
              <w:rPr>
                <w:sz w:val="22"/>
                <w:shd w:fill="D9D9D9" w:color="auto" w:val="clear"/>
              </w:rPr>
              <w:t>为未成年子女投保的人身保险，因被保险人身故给付的保险金总和不得超过</w:t>
            </w:r>
          </w:p>
          <w:p>
            <w:pPr>
              <w:pStyle w:val="TableParagraph"/>
              <w:spacing w:line="380" w:lineRule="atLeast" w:before="1"/>
              <w:ind w:left="113" w:right="200"/>
              <w:rPr>
                <w:sz w:val="22"/>
              </w:rPr>
            </w:pPr>
            <w:r>
              <w:rPr>
                <w:sz w:val="22"/>
                <w:shd w:fill="D9D9D9" w:color="auto" w:val="clear"/>
              </w:rPr>
              <w:t>国务院保险监督管理机构规定的限额，身故给付的保险金额总和约定也不得超过前</w:t>
            </w:r>
            <w:r>
              <w:rPr>
                <w:spacing w:val="-221"/>
                <w:sz w:val="22"/>
                <w:shd w:fill="D9D9D9" w:color="auto" w:val="clear"/>
              </w:rPr>
              <w:t>述</w:t>
            </w:r>
            <w:r>
              <w:rPr>
                <w:sz w:val="22"/>
                <w:shd w:fill="D9D9D9" w:color="auto" w:val="clear"/>
              </w:rPr>
              <w:t>限额</w:t>
            </w:r>
            <w:r>
              <w:rPr>
                <w:sz w:val="22"/>
              </w:rPr>
              <w:t>。</w:t>
            </w:r>
          </w:p>
        </w:tc>
      </w:tr>
    </w:tbl>
    <w:p>
      <w:pPr>
        <w:spacing w:after="0" w:line="380" w:lineRule="atLeast"/>
        <w:rPr>
          <w:sz w:val="22"/>
        </w:rPr>
        <w:sectPr>
          <w:pgSz w:w="11910" w:h="16840"/>
          <w:pgMar w:top="1580" w:bottom="280" w:left="820" w:right="820"/>
        </w:sectPr>
      </w:pPr>
    </w:p>
    <w:p>
      <w:pPr>
        <w:pStyle w:val="ListParagraph"/>
        <w:numPr>
          <w:ilvl w:val="1"/>
          <w:numId w:val="7"/>
        </w:numPr>
        <w:tabs>
          <w:tab w:pos="888" w:val="left" w:leader="none"/>
          <w:tab w:pos="889" w:val="left" w:leader="none"/>
          <w:tab w:pos="2443" w:val="left" w:leader="none"/>
        </w:tabs>
        <w:spacing w:line="316" w:lineRule="auto" w:before="8" w:after="0"/>
        <w:ind w:left="2443" w:right="110" w:hanging="2331"/>
        <w:jc w:val="left"/>
        <w:rPr>
          <w:sz w:val="22"/>
        </w:rPr>
      </w:pPr>
      <w:r>
        <w:rPr>
          <w:b/>
          <w:sz w:val="22"/>
        </w:rPr>
        <w:t>保险期间</w:t>
        <w:tab/>
      </w:r>
      <w:r>
        <w:rPr>
          <w:sz w:val="22"/>
        </w:rPr>
        <w:t>本合同的保险期间为终身，自保险合同生效日零时起至本合同约定的效力终 止日止。</w:t>
      </w:r>
    </w:p>
    <w:p>
      <w:pPr>
        <w:pStyle w:val="BodyText"/>
        <w:spacing w:before="3"/>
        <w:rPr>
          <w:sz w:val="28"/>
        </w:rPr>
      </w:pPr>
    </w:p>
    <w:p>
      <w:pPr>
        <w:spacing w:after="0"/>
        <w:rPr>
          <w:sz w:val="28"/>
        </w:rPr>
        <w:sectPr>
          <w:pgSz w:w="11910" w:h="16840"/>
          <w:pgMar w:top="1440" w:bottom="280" w:left="1020" w:right="1020"/>
        </w:sectPr>
      </w:pPr>
    </w:p>
    <w:p>
      <w:pPr>
        <w:pStyle w:val="Heading3"/>
        <w:numPr>
          <w:ilvl w:val="1"/>
          <w:numId w:val="7"/>
        </w:numPr>
        <w:tabs>
          <w:tab w:pos="888" w:val="left" w:leader="none"/>
          <w:tab w:pos="889" w:val="left" w:leader="none"/>
        </w:tabs>
        <w:spacing w:line="240" w:lineRule="auto" w:before="33" w:after="0"/>
        <w:ind w:left="2443" w:right="0" w:hanging="2331"/>
        <w:jc w:val="left"/>
      </w:pPr>
      <w:r>
        <w:rPr>
          <w:w w:val="95"/>
        </w:rPr>
        <w:t>保险责任</w:t>
      </w:r>
    </w:p>
    <w:p>
      <w:pPr>
        <w:pStyle w:val="BodyText"/>
        <w:spacing w:before="12"/>
        <w:rPr>
          <w:b/>
          <w:sz w:val="30"/>
        </w:rPr>
      </w:pPr>
    </w:p>
    <w:p>
      <w:pPr>
        <w:spacing w:before="0"/>
        <w:ind w:left="888" w:right="0" w:firstLine="0"/>
        <w:jc w:val="left"/>
        <w:rPr>
          <w:rFonts w:ascii="微软雅黑" w:eastAsia="微软雅黑" w:hint="eastAsia"/>
          <w:b/>
          <w:sz w:val="22"/>
        </w:rPr>
      </w:pPr>
      <w:r>
        <w:rPr>
          <w:rFonts w:ascii="微软雅黑" w:eastAsia="微软雅黑" w:hint="eastAsia"/>
          <w:b/>
          <w:sz w:val="22"/>
        </w:rPr>
        <w:t>等待期</w:t>
      </w: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rPr>
          <w:rFonts w:ascii="微软雅黑"/>
          <w:b/>
          <w:sz w:val="28"/>
        </w:rPr>
      </w:pPr>
    </w:p>
    <w:p>
      <w:pPr>
        <w:pStyle w:val="BodyText"/>
        <w:spacing w:before="2"/>
        <w:rPr>
          <w:rFonts w:ascii="微软雅黑"/>
          <w:b/>
          <w:sz w:val="20"/>
        </w:rPr>
      </w:pPr>
    </w:p>
    <w:p>
      <w:pPr>
        <w:spacing w:before="0"/>
        <w:ind w:left="888" w:right="0" w:firstLine="0"/>
        <w:jc w:val="left"/>
        <w:rPr>
          <w:rFonts w:ascii="微软雅黑" w:eastAsia="微软雅黑" w:hint="eastAsia"/>
          <w:b/>
          <w:sz w:val="22"/>
        </w:rPr>
      </w:pPr>
      <w:r>
        <w:rPr>
          <w:rFonts w:ascii="微软雅黑" w:eastAsia="微软雅黑" w:hint="eastAsia"/>
          <w:b/>
          <w:sz w:val="22"/>
        </w:rPr>
        <w:t>身故保险金</w:t>
      </w:r>
    </w:p>
    <w:p>
      <w:pPr>
        <w:pStyle w:val="BodyText"/>
        <w:rPr>
          <w:rFonts w:ascii="微软雅黑"/>
          <w:b/>
          <w:sz w:val="28"/>
        </w:rPr>
      </w:pPr>
    </w:p>
    <w:p>
      <w:pPr>
        <w:pStyle w:val="BodyText"/>
        <w:spacing w:before="16"/>
        <w:rPr>
          <w:rFonts w:ascii="微软雅黑"/>
          <w:b/>
          <w:sz w:val="37"/>
        </w:rPr>
      </w:pPr>
    </w:p>
    <w:p>
      <w:pPr>
        <w:spacing w:before="0"/>
        <w:ind w:left="888" w:right="0" w:firstLine="0"/>
        <w:jc w:val="left"/>
        <w:rPr>
          <w:rFonts w:ascii="微软雅黑" w:eastAsia="微软雅黑" w:hint="eastAsia"/>
          <w:b/>
          <w:sz w:val="22"/>
        </w:rPr>
      </w:pPr>
      <w:r>
        <w:rPr>
          <w:rFonts w:ascii="微软雅黑" w:eastAsia="微软雅黑" w:hint="eastAsia"/>
          <w:b/>
          <w:sz w:val="22"/>
        </w:rPr>
        <w:t>重大疾病保险金</w:t>
      </w:r>
    </w:p>
    <w:p>
      <w:pPr>
        <w:pStyle w:val="BodyText"/>
        <w:spacing w:before="33"/>
        <w:ind w:left="112"/>
      </w:pPr>
      <w:r>
        <w:rPr/>
        <w:br w:type="column"/>
      </w:r>
      <w:r>
        <w:rPr/>
        <w:t>本合同保险期间内，我们承担下列保险责任：</w:t>
      </w:r>
    </w:p>
    <w:p>
      <w:pPr>
        <w:pStyle w:val="BodyText"/>
      </w:pPr>
    </w:p>
    <w:p>
      <w:pPr>
        <w:pStyle w:val="BodyText"/>
        <w:spacing w:line="316" w:lineRule="auto" w:before="182"/>
        <w:ind w:left="112" w:right="156"/>
        <w:jc w:val="both"/>
      </w:pPr>
      <w:r>
        <w:rPr>
          <w:spacing w:val="2"/>
          <w:shd w:fill="D9D9D9" w:color="auto" w:val="clear"/>
        </w:rPr>
        <w:t>从本合同生效</w:t>
      </w:r>
      <w:r>
        <w:rPr>
          <w:spacing w:val="5"/>
          <w:shd w:fill="D9D9D9" w:color="auto" w:val="clear"/>
        </w:rPr>
        <w:t>（</w:t>
      </w:r>
      <w:r>
        <w:rPr>
          <w:spacing w:val="2"/>
          <w:shd w:fill="D9D9D9" w:color="auto" w:val="clear"/>
        </w:rPr>
        <w:t>或复效</w:t>
      </w:r>
      <w:r>
        <w:rPr>
          <w:spacing w:val="5"/>
          <w:shd w:fill="D9D9D9" w:color="auto" w:val="clear"/>
        </w:rPr>
        <w:t>）</w:t>
      </w:r>
      <w:r>
        <w:rPr>
          <w:spacing w:val="5"/>
          <w:shd w:fill="D9D9D9" w:color="auto" w:val="clear"/>
        </w:rPr>
        <w:t>之日起</w:t>
      </w:r>
      <w:r>
        <w:rPr>
          <w:spacing w:val="2"/>
          <w:shd w:fill="D9D9D9" w:color="auto" w:val="clear"/>
        </w:rPr>
        <w:t>90天内，被保险人发生</w:t>
      </w:r>
      <w:r>
        <w:rPr>
          <w:b/>
          <w:spacing w:val="5"/>
          <w:shd w:fill="D9D9D9" w:color="auto" w:val="clear"/>
        </w:rPr>
        <w:t>重大疾病</w:t>
      </w:r>
      <w:r>
        <w:rPr>
          <w:spacing w:val="1"/>
          <w:shd w:fill="D9D9D9" w:color="auto" w:val="clear"/>
        </w:rPr>
        <w:t>的，我们</w:t>
      </w:r>
      <w:r>
        <w:rPr>
          <w:spacing w:val="-3"/>
          <w:shd w:fill="D9D9D9" w:color="auto" w:val="clear"/>
        </w:rPr>
        <w:t>不承担保险责任，本合同终止，并无息退还保险费</w:t>
      </w:r>
      <w:r>
        <w:rPr>
          <w:spacing w:val="-108"/>
          <w:shd w:fill="D9D9D9" w:color="auto" w:val="clear"/>
        </w:rPr>
        <w:t>。这</w:t>
      </w:r>
      <w:r>
        <w:rPr>
          <w:shd w:fill="D9D9D9" w:color="auto" w:val="clear"/>
        </w:rPr>
        <w:t>90</w:t>
      </w:r>
      <w:r>
        <w:rPr>
          <w:spacing w:val="-3"/>
          <w:shd w:fill="D9D9D9" w:color="auto" w:val="clear"/>
        </w:rPr>
        <w:t>天的时间称为等待期；若您申请增加本合同的基本保险金额，则对于每次增加的基本保险金额也</w:t>
      </w:r>
      <w:r>
        <w:rPr>
          <w:spacing w:val="0"/>
          <w:shd w:fill="D9D9D9" w:color="auto" w:val="clear"/>
        </w:rPr>
        <w:t>适用上述等待期的约定。被保险人因</w:t>
      </w:r>
      <w:r>
        <w:rPr>
          <w:b/>
          <w:spacing w:val="5"/>
          <w:shd w:fill="D9D9D9" w:color="auto" w:val="clear"/>
        </w:rPr>
        <w:t>意外伤害事故</w:t>
      </w:r>
      <w:r>
        <w:rPr>
          <w:spacing w:val="0"/>
          <w:shd w:fill="D9D9D9" w:color="auto" w:val="clear"/>
        </w:rPr>
        <w:t>发生重大疾病的，无等待期</w:t>
      </w:r>
      <w:r>
        <w:rPr>
          <w:spacing w:val="0"/>
        </w:rPr>
        <w:t>。</w:t>
      </w:r>
    </w:p>
    <w:p>
      <w:pPr>
        <w:pStyle w:val="BodyText"/>
        <w:spacing w:before="20"/>
        <w:ind w:left="112"/>
      </w:pPr>
      <w:r>
        <w:rPr/>
        <w:t>如果在等待期后发生</w:t>
      </w:r>
      <w:r>
        <w:rPr>
          <w:b/>
        </w:rPr>
        <w:t>保险事故</w:t>
      </w:r>
      <w:r>
        <w:rPr/>
        <w:t>，我们承担下列保险责任：</w:t>
      </w:r>
    </w:p>
    <w:p>
      <w:pPr>
        <w:pStyle w:val="BodyText"/>
      </w:pPr>
    </w:p>
    <w:p>
      <w:pPr>
        <w:pStyle w:val="BodyText"/>
        <w:spacing w:line="316" w:lineRule="auto" w:before="185"/>
        <w:ind w:left="112" w:right="160"/>
      </w:pPr>
      <w:r>
        <w:rPr/>
        <w:t>被保险人身故，我们按基本保险金额向身故保险金受益人给付“身故保险金”。</w:t>
      </w:r>
    </w:p>
    <w:p>
      <w:pPr>
        <w:pStyle w:val="BodyText"/>
        <w:spacing w:before="21"/>
        <w:ind w:left="112"/>
      </w:pPr>
      <w:r>
        <w:rPr/>
        <w:t>我们依约定给付“身故保险金”后，本合同终止。</w:t>
      </w:r>
    </w:p>
    <w:p>
      <w:pPr>
        <w:pStyle w:val="BodyText"/>
      </w:pPr>
    </w:p>
    <w:p>
      <w:pPr>
        <w:pStyle w:val="BodyText"/>
        <w:spacing w:line="316" w:lineRule="auto" w:before="185"/>
        <w:ind w:left="112" w:right="157"/>
        <w:jc w:val="both"/>
      </w:pPr>
      <w:r>
        <w:rPr/>
        <w:t>被保险人于等待期后初次发生并经</w:t>
      </w:r>
      <w:r>
        <w:rPr>
          <w:b/>
        </w:rPr>
        <w:t>医院专科医生</w:t>
      </w:r>
      <w:r>
        <w:rPr/>
        <w:t>明确诊断确定</w:t>
      </w:r>
      <w:r>
        <w:rPr>
          <w:shd w:fill="D9D9D9" w:color="auto" w:val="clear"/>
        </w:rPr>
        <w:t>罹患本合同约定的重大疾病（无论一种或多种），我们按基本保险金额向重大疾病保险金受益人给付“重大疾病保险金”</w:t>
      </w:r>
      <w:r>
        <w:rPr/>
        <w:t>。</w:t>
      </w:r>
    </w:p>
    <w:p>
      <w:pPr>
        <w:pStyle w:val="BodyText"/>
        <w:spacing w:before="20"/>
        <w:ind w:left="112"/>
        <w:jc w:val="both"/>
      </w:pPr>
      <w:r>
        <w:rPr/>
        <w:t>我们依约定给付“重大疾病保险金”后，本合同终止。</w:t>
      </w:r>
    </w:p>
    <w:p>
      <w:pPr>
        <w:spacing w:after="0"/>
        <w:jc w:val="both"/>
        <w:sectPr>
          <w:type w:val="continuous"/>
          <w:pgSz w:w="11910" w:h="16840"/>
          <w:pgMar w:top="1440" w:bottom="280" w:left="1020" w:right="1020"/>
          <w:cols w:num="2" w:equalWidth="0">
            <w:col w:w="2214" w:space="117"/>
            <w:col w:w="7539"/>
          </w:cols>
        </w:sectPr>
      </w:pPr>
    </w:p>
    <w:p>
      <w:pPr>
        <w:pStyle w:val="BodyText"/>
        <w:rPr>
          <w:sz w:val="20"/>
        </w:rPr>
      </w:pPr>
    </w:p>
    <w:p>
      <w:pPr>
        <w:pStyle w:val="BodyText"/>
        <w:spacing w:before="1"/>
        <w:rPr>
          <w:sz w:val="16"/>
        </w:rPr>
      </w:pPr>
    </w:p>
    <w:p>
      <w:pPr>
        <w:pStyle w:val="ListParagraph"/>
        <w:numPr>
          <w:ilvl w:val="1"/>
          <w:numId w:val="7"/>
        </w:numPr>
        <w:tabs>
          <w:tab w:pos="888" w:val="left" w:leader="none"/>
          <w:tab w:pos="889" w:val="left" w:leader="none"/>
          <w:tab w:pos="2443" w:val="left" w:leader="none"/>
        </w:tabs>
        <w:spacing w:line="316" w:lineRule="auto" w:before="0" w:after="0"/>
        <w:ind w:left="2443" w:right="112" w:hanging="2331"/>
        <w:jc w:val="left"/>
        <w:rPr>
          <w:rFonts w:ascii="黑体" w:eastAsia="黑体" w:hint="eastAsia"/>
          <w:sz w:val="22"/>
        </w:rPr>
      </w:pPr>
      <w:r>
        <w:rPr>
          <w:b/>
          <w:sz w:val="22"/>
        </w:rPr>
        <w:t>责任免除</w:t>
        <w:tab/>
      </w:r>
      <w:r>
        <w:rPr>
          <w:sz w:val="22"/>
          <w:shd w:fill="D9D9D9" w:color="auto" w:val="clear"/>
        </w:rPr>
        <w:t>因下列情形之一，导致被保险人身故或重大疾病的，我们不承担给付身故保 险金或</w:t>
      </w:r>
      <w:r>
        <w:rPr>
          <w:spacing w:val="-3"/>
          <w:sz w:val="22"/>
          <w:shd w:fill="D9D9D9" w:color="auto" w:val="clear"/>
        </w:rPr>
        <w:t>重</w:t>
      </w:r>
      <w:r>
        <w:rPr>
          <w:sz w:val="22"/>
          <w:shd w:fill="D9D9D9" w:color="auto" w:val="clear"/>
        </w:rPr>
        <w:t>大疾</w:t>
      </w:r>
      <w:r>
        <w:rPr>
          <w:spacing w:val="-3"/>
          <w:sz w:val="22"/>
          <w:shd w:fill="D9D9D9" w:color="auto" w:val="clear"/>
        </w:rPr>
        <w:t>病</w:t>
      </w:r>
      <w:r>
        <w:rPr>
          <w:sz w:val="22"/>
          <w:shd w:fill="D9D9D9" w:color="auto" w:val="clear"/>
        </w:rPr>
        <w:t>保险</w:t>
      </w:r>
      <w:r>
        <w:rPr>
          <w:spacing w:val="-3"/>
          <w:sz w:val="22"/>
          <w:shd w:fill="D9D9D9" w:color="auto" w:val="clear"/>
        </w:rPr>
        <w:t>金的</w:t>
      </w:r>
      <w:r>
        <w:rPr>
          <w:sz w:val="22"/>
          <w:shd w:fill="D9D9D9" w:color="auto" w:val="clear"/>
        </w:rPr>
        <w:t>责任：</w:t>
      </w:r>
    </w:p>
    <w:p>
      <w:pPr>
        <w:pStyle w:val="ListParagraph"/>
        <w:numPr>
          <w:ilvl w:val="2"/>
          <w:numId w:val="7"/>
        </w:numPr>
        <w:tabs>
          <w:tab w:pos="2898" w:val="left" w:leader="none"/>
        </w:tabs>
        <w:spacing w:line="240" w:lineRule="auto" w:before="20" w:after="0"/>
        <w:ind w:left="2897" w:right="0" w:hanging="454"/>
        <w:jc w:val="left"/>
        <w:rPr>
          <w:sz w:val="22"/>
        </w:rPr>
      </w:pPr>
      <w:r>
        <w:rPr>
          <w:spacing w:val="-3"/>
          <w:sz w:val="22"/>
          <w:shd w:fill="D9D9D9" w:color="auto" w:val="clear"/>
        </w:rPr>
        <w:t>投保人对被保险人的故意杀害、故意伤害；</w:t>
      </w:r>
    </w:p>
    <w:p>
      <w:pPr>
        <w:pStyle w:val="ListParagraph"/>
        <w:numPr>
          <w:ilvl w:val="2"/>
          <w:numId w:val="7"/>
        </w:numPr>
        <w:tabs>
          <w:tab w:pos="2898" w:val="left" w:leader="none"/>
        </w:tabs>
        <w:spacing w:line="240" w:lineRule="auto" w:before="93" w:after="0"/>
        <w:ind w:left="2897" w:right="0" w:hanging="454"/>
        <w:jc w:val="left"/>
        <w:rPr>
          <w:sz w:val="22"/>
        </w:rPr>
      </w:pPr>
      <w:r>
        <w:rPr>
          <w:spacing w:val="-3"/>
          <w:sz w:val="22"/>
          <w:shd w:fill="D9D9D9" w:color="auto" w:val="clear"/>
        </w:rPr>
        <w:t>被保险人故意犯罪或者抗拒依法采取的刑事强制措施；</w:t>
      </w:r>
    </w:p>
    <w:p>
      <w:pPr>
        <w:pStyle w:val="ListParagraph"/>
        <w:numPr>
          <w:ilvl w:val="2"/>
          <w:numId w:val="7"/>
        </w:numPr>
        <w:tabs>
          <w:tab w:pos="2898" w:val="left" w:leader="none"/>
        </w:tabs>
        <w:spacing w:line="316" w:lineRule="auto" w:before="91" w:after="0"/>
        <w:ind w:left="2897" w:right="253" w:hanging="454"/>
        <w:jc w:val="left"/>
        <w:rPr>
          <w:sz w:val="22"/>
        </w:rPr>
      </w:pPr>
      <w:r>
        <w:rPr>
          <w:spacing w:val="-3"/>
          <w:sz w:val="22"/>
          <w:shd w:fill="D9D9D9" w:color="auto" w:val="clear"/>
        </w:rPr>
        <w:t>被保险人在本合同成立或者合同效力恢复之日起2</w:t>
      </w:r>
      <w:r>
        <w:rPr>
          <w:spacing w:val="-2"/>
          <w:sz w:val="22"/>
          <w:shd w:fill="D9D9D9" w:color="auto" w:val="clear"/>
        </w:rPr>
        <w:t>年内自杀，但被保险</w:t>
      </w:r>
      <w:r>
        <w:rPr>
          <w:spacing w:val="-3"/>
          <w:sz w:val="22"/>
          <w:shd w:fill="D9D9D9" w:color="auto" w:val="clear"/>
        </w:rPr>
        <w:t>人自杀时为无民</w:t>
      </w:r>
      <w:r>
        <w:rPr>
          <w:spacing w:val="-221"/>
          <w:sz w:val="22"/>
          <w:shd w:fill="D9D9D9" w:color="auto" w:val="clear"/>
        </w:rPr>
        <w:t>事</w:t>
      </w:r>
      <w:r>
        <w:rPr>
          <w:spacing w:val="-3"/>
          <w:sz w:val="22"/>
          <w:shd w:fill="D9D9D9" w:color="auto" w:val="clear"/>
        </w:rPr>
        <w:t>行为能力人的除外；</w:t>
      </w:r>
    </w:p>
    <w:p>
      <w:pPr>
        <w:pStyle w:val="ListParagraph"/>
        <w:numPr>
          <w:ilvl w:val="2"/>
          <w:numId w:val="7"/>
        </w:numPr>
        <w:tabs>
          <w:tab w:pos="2898" w:val="left" w:leader="none"/>
        </w:tabs>
        <w:spacing w:line="240" w:lineRule="auto" w:before="23" w:after="0"/>
        <w:ind w:left="2897" w:right="0" w:hanging="454"/>
        <w:jc w:val="left"/>
        <w:rPr>
          <w:sz w:val="22"/>
        </w:rPr>
      </w:pPr>
      <w:r>
        <w:rPr>
          <w:spacing w:val="-3"/>
          <w:sz w:val="22"/>
          <w:shd w:fill="D9D9D9" w:color="auto" w:val="clear"/>
        </w:rPr>
        <w:t>被保险人主动吸食或注射</w:t>
      </w:r>
      <w:r>
        <w:rPr>
          <w:b/>
          <w:sz w:val="22"/>
          <w:shd w:fill="D9D9D9" w:color="auto" w:val="clear"/>
        </w:rPr>
        <w:t>毒品</w:t>
      </w:r>
      <w:r>
        <w:rPr>
          <w:sz w:val="22"/>
          <w:shd w:fill="D9D9D9" w:color="auto" w:val="clear"/>
        </w:rPr>
        <w:t>；</w:t>
      </w:r>
    </w:p>
    <w:p>
      <w:pPr>
        <w:pStyle w:val="ListParagraph"/>
        <w:numPr>
          <w:ilvl w:val="2"/>
          <w:numId w:val="7"/>
        </w:numPr>
        <w:tabs>
          <w:tab w:pos="2898" w:val="left" w:leader="none"/>
        </w:tabs>
        <w:spacing w:line="316" w:lineRule="auto" w:before="91" w:after="0"/>
        <w:ind w:left="2897" w:right="125" w:hanging="454"/>
        <w:jc w:val="left"/>
        <w:rPr>
          <w:sz w:val="22"/>
        </w:rPr>
      </w:pPr>
      <w:r>
        <w:rPr>
          <w:sz w:val="22"/>
          <w:shd w:fill="D9D9D9" w:color="auto" w:val="clear"/>
        </w:rPr>
        <w:t>被保险人</w:t>
      </w:r>
      <w:r>
        <w:rPr>
          <w:b/>
          <w:sz w:val="22"/>
          <w:shd w:fill="D9D9D9" w:color="auto" w:val="clear"/>
        </w:rPr>
        <w:t>酒后驾驶</w:t>
      </w:r>
      <w:r>
        <w:rPr>
          <w:sz w:val="22"/>
          <w:shd w:fill="D9D9D9" w:color="auto" w:val="clear"/>
        </w:rPr>
        <w:t>、</w:t>
      </w:r>
      <w:r>
        <w:rPr>
          <w:b/>
          <w:sz w:val="22"/>
          <w:shd w:fill="D9D9D9" w:color="auto" w:val="clear"/>
        </w:rPr>
        <w:t>无合法有效驾驶证驾驶</w:t>
      </w:r>
      <w:r>
        <w:rPr>
          <w:spacing w:val="-3"/>
          <w:sz w:val="22"/>
          <w:shd w:fill="D9D9D9" w:color="auto" w:val="clear"/>
        </w:rPr>
        <w:t>，或驾驶</w:t>
      </w:r>
      <w:r>
        <w:rPr>
          <w:b/>
          <w:sz w:val="22"/>
          <w:shd w:fill="D9D9D9" w:color="auto" w:val="clear"/>
        </w:rPr>
        <w:t>无有效行驶证</w:t>
      </w:r>
      <w:r>
        <w:rPr>
          <w:spacing w:val="-3"/>
          <w:sz w:val="22"/>
          <w:shd w:fill="D9D9D9" w:color="auto" w:val="clear"/>
        </w:rPr>
        <w:t>的</w:t>
      </w:r>
      <w:r>
        <w:rPr>
          <w:b/>
          <w:sz w:val="22"/>
          <w:shd w:fill="D9D9D9" w:color="auto" w:val="clear"/>
        </w:rPr>
        <w:t>机动车</w:t>
      </w:r>
      <w:r>
        <w:rPr>
          <w:sz w:val="22"/>
          <w:shd w:fill="D9D9D9" w:color="auto" w:val="clear"/>
        </w:rPr>
        <w:t>；</w:t>
      </w:r>
    </w:p>
    <w:p>
      <w:pPr>
        <w:pStyle w:val="ListParagraph"/>
        <w:numPr>
          <w:ilvl w:val="2"/>
          <w:numId w:val="7"/>
        </w:numPr>
        <w:tabs>
          <w:tab w:pos="2898" w:val="left" w:leader="none"/>
        </w:tabs>
        <w:spacing w:line="240" w:lineRule="auto" w:before="23" w:after="0"/>
        <w:ind w:left="2897" w:right="0" w:hanging="454"/>
        <w:jc w:val="left"/>
        <w:rPr>
          <w:sz w:val="22"/>
        </w:rPr>
      </w:pPr>
      <w:r>
        <w:rPr>
          <w:spacing w:val="-3"/>
          <w:sz w:val="22"/>
          <w:shd w:fill="D9D9D9" w:color="auto" w:val="clear"/>
        </w:rPr>
        <w:t>战争、军事冲突、暴乱或武装叛乱；</w:t>
      </w:r>
    </w:p>
    <w:p>
      <w:pPr>
        <w:pStyle w:val="ListParagraph"/>
        <w:numPr>
          <w:ilvl w:val="2"/>
          <w:numId w:val="7"/>
        </w:numPr>
        <w:tabs>
          <w:tab w:pos="2898" w:val="left" w:leader="none"/>
        </w:tabs>
        <w:spacing w:line="240" w:lineRule="auto" w:before="91" w:after="0"/>
        <w:ind w:left="2897" w:right="0" w:hanging="454"/>
        <w:jc w:val="left"/>
        <w:rPr>
          <w:sz w:val="22"/>
        </w:rPr>
      </w:pPr>
      <w:r>
        <w:rPr>
          <w:spacing w:val="-3"/>
          <w:sz w:val="22"/>
          <w:shd w:fill="D9D9D9" w:color="auto" w:val="clear"/>
        </w:rPr>
        <w:t>核爆炸、核辐射或核污染；</w:t>
      </w:r>
    </w:p>
    <w:p>
      <w:pPr>
        <w:pStyle w:val="Heading3"/>
        <w:numPr>
          <w:ilvl w:val="2"/>
          <w:numId w:val="7"/>
        </w:numPr>
        <w:tabs>
          <w:tab w:pos="2898" w:val="left" w:leader="none"/>
        </w:tabs>
        <w:spacing w:line="240" w:lineRule="auto" w:before="90" w:after="0"/>
        <w:ind w:left="2897" w:right="0" w:hanging="454"/>
        <w:jc w:val="left"/>
        <w:rPr>
          <w:b w:val="0"/>
        </w:rPr>
      </w:pPr>
      <w:r>
        <w:rPr>
          <w:shd w:fill="D9D9D9" w:color="auto" w:val="clear"/>
        </w:rPr>
        <w:t>遗传性疾病</w:t>
      </w:r>
      <w:r>
        <w:rPr>
          <w:b w:val="0"/>
          <w:spacing w:val="-3"/>
          <w:shd w:fill="D9D9D9" w:color="auto" w:val="clear"/>
        </w:rPr>
        <w:t>，</w:t>
      </w:r>
      <w:r>
        <w:rPr>
          <w:shd w:fill="D9D9D9" w:color="auto" w:val="clear"/>
        </w:rPr>
        <w:t>先天性畸形、变形或者染色体异常</w:t>
      </w:r>
      <w:r>
        <w:rPr>
          <w:b w:val="0"/>
          <w:shd w:fill="D9D9D9" w:color="auto" w:val="clear"/>
        </w:rPr>
        <w:t>。</w:t>
      </w:r>
    </w:p>
    <w:p>
      <w:pPr>
        <w:pStyle w:val="BodyText"/>
        <w:spacing w:line="316" w:lineRule="auto" w:before="93"/>
        <w:ind w:left="2443" w:right="114"/>
      </w:pPr>
      <w:r>
        <w:rPr>
          <w:spacing w:val="2"/>
          <w:shd w:fill="D9D9D9" w:color="auto" w:val="clear"/>
        </w:rPr>
        <w:t>发生上述第</w:t>
      </w:r>
      <w:r>
        <w:rPr>
          <w:shd w:fill="D9D9D9" w:color="auto" w:val="clear"/>
        </w:rPr>
        <w:t>(1)项情形导致被保险人身故或重大疾病的，本合同终止。我们</w:t>
      </w:r>
      <w:r>
        <w:rPr>
          <w:spacing w:val="-210"/>
          <w:shd w:fill="D9D9D9" w:color="auto" w:val="clear"/>
        </w:rPr>
        <w:t>向</w:t>
      </w:r>
      <w:r>
        <w:rPr>
          <w:spacing w:val="-3"/>
          <w:shd w:fill="D9D9D9" w:color="auto" w:val="clear"/>
        </w:rPr>
        <w:t>其他权利人退还本合同的</w:t>
      </w:r>
      <w:r>
        <w:rPr>
          <w:b/>
          <w:shd w:fill="D9D9D9" w:color="auto" w:val="clear"/>
        </w:rPr>
        <w:t>现金价值</w:t>
      </w:r>
      <w:r>
        <w:rPr>
          <w:shd w:fill="D9D9D9" w:color="auto" w:val="clear"/>
        </w:rPr>
        <w:t>。</w:t>
      </w:r>
    </w:p>
    <w:p>
      <w:pPr>
        <w:pStyle w:val="BodyText"/>
        <w:spacing w:before="21"/>
        <w:ind w:left="2443"/>
      </w:pPr>
      <w:r>
        <w:rPr>
          <w:shd w:fill="D9D9D9" w:color="auto" w:val="clear"/>
        </w:rPr>
        <w:t>发生上述其他情形导致被保险人身故或重大疾病的，本合同终止，我们向您</w:t>
      </w:r>
    </w:p>
    <w:p>
      <w:pPr>
        <w:spacing w:after="0"/>
        <w:sectPr>
          <w:type w:val="continuous"/>
          <w:pgSz w:w="11910" w:h="16840"/>
          <w:pgMar w:top="1440" w:bottom="280" w:left="1020" w:right="1020"/>
        </w:sectPr>
      </w:pPr>
    </w:p>
    <w:p>
      <w:pPr>
        <w:pStyle w:val="BodyText"/>
        <w:spacing w:before="8"/>
        <w:ind w:left="2643"/>
      </w:pPr>
      <w:r>
        <w:rPr>
          <w:shd w:fill="D9D9D9" w:color="auto" w:val="clear"/>
        </w:rPr>
        <w:t>退还本合同的现金价值</w:t>
      </w:r>
      <w:r>
        <w:rPr/>
        <w:t>。</w:t>
      </w:r>
    </w:p>
    <w:p>
      <w:pPr>
        <w:pStyle w:val="BodyText"/>
        <w:spacing w:before="9"/>
        <w:rPr>
          <w:sz w:val="28"/>
        </w:rPr>
      </w:pPr>
    </w:p>
    <w:p>
      <w:pPr>
        <w:pStyle w:val="Heading2"/>
        <w:numPr>
          <w:ilvl w:val="0"/>
          <w:numId w:val="8"/>
        </w:numPr>
        <w:tabs>
          <w:tab w:pos="884" w:val="left" w:leader="none"/>
        </w:tabs>
        <w:spacing w:line="240" w:lineRule="auto" w:before="0" w:after="0"/>
        <w:ind w:left="883" w:right="0" w:hanging="429"/>
        <w:jc w:val="left"/>
      </w:pPr>
      <w:r>
        <w:rPr>
          <w:w w:val="95"/>
        </w:rPr>
        <w:t>保险金的申请</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721"/>
        <w:gridCol w:w="7566"/>
      </w:tblGrid>
      <w:tr>
        <w:trPr>
          <w:trHeight w:val="6951" w:hRule="atLeast"/>
        </w:trPr>
        <w:tc>
          <w:tcPr>
            <w:tcW w:w="756" w:type="dxa"/>
          </w:tcPr>
          <w:p>
            <w:pPr>
              <w:pStyle w:val="TableParagraph"/>
              <w:spacing w:line="221" w:lineRule="exact"/>
              <w:ind w:left="200"/>
              <w:rPr>
                <w:b/>
                <w:sz w:val="22"/>
              </w:rPr>
            </w:pPr>
            <w:r>
              <w:rPr>
                <w:b/>
                <w:sz w:val="22"/>
              </w:rPr>
              <w:t>3.1</w:t>
            </w:r>
          </w:p>
        </w:tc>
        <w:tc>
          <w:tcPr>
            <w:tcW w:w="1721" w:type="dxa"/>
          </w:tcPr>
          <w:p>
            <w:pPr>
              <w:pStyle w:val="TableParagraph"/>
              <w:spacing w:line="221" w:lineRule="exact"/>
              <w:ind w:left="222"/>
              <w:rPr>
                <w:b/>
                <w:sz w:val="22"/>
              </w:rPr>
            </w:pPr>
            <w:r>
              <w:rPr>
                <w:b/>
                <w:w w:val="95"/>
                <w:sz w:val="22"/>
              </w:rPr>
              <w:t>受益人</w:t>
            </w:r>
          </w:p>
        </w:tc>
        <w:tc>
          <w:tcPr>
            <w:tcW w:w="7566" w:type="dxa"/>
          </w:tcPr>
          <w:p>
            <w:pPr>
              <w:pStyle w:val="TableParagraph"/>
              <w:spacing w:line="221" w:lineRule="exact"/>
              <w:ind w:left="51"/>
              <w:rPr>
                <w:sz w:val="22"/>
              </w:rPr>
            </w:pPr>
            <w:r>
              <w:rPr>
                <w:sz w:val="22"/>
              </w:rPr>
              <w:t>您或者被保险人可以指定一人或多人为身故保险金受益人。</w:t>
            </w:r>
          </w:p>
          <w:p>
            <w:pPr>
              <w:pStyle w:val="TableParagraph"/>
              <w:spacing w:line="319" w:lineRule="auto" w:before="91"/>
              <w:ind w:left="51" w:right="199"/>
              <w:rPr>
                <w:sz w:val="22"/>
              </w:rPr>
            </w:pPr>
            <w:r>
              <w:rPr>
                <w:sz w:val="22"/>
              </w:rPr>
              <w:t>身故保险金受益人为多人时，可以确定受益顺序和受益份额；如果没有确定份额，各受益人按照相等份额享有受益权。</w:t>
            </w:r>
          </w:p>
          <w:p>
            <w:pPr>
              <w:pStyle w:val="TableParagraph"/>
              <w:spacing w:line="316" w:lineRule="auto" w:before="18"/>
              <w:ind w:left="51" w:right="199"/>
              <w:rPr>
                <w:sz w:val="22"/>
              </w:rPr>
            </w:pPr>
            <w:r>
              <w:rPr>
                <w:sz w:val="22"/>
              </w:rPr>
              <w:t>被保险人为无民事行为能力人或限制民事行为能力人的，可以由其监护人指定受益人。</w:t>
            </w:r>
          </w:p>
          <w:p>
            <w:pPr>
              <w:pStyle w:val="TableParagraph"/>
              <w:spacing w:line="316" w:lineRule="auto" w:before="23"/>
              <w:ind w:left="51" w:right="199"/>
              <w:rPr>
                <w:sz w:val="22"/>
              </w:rPr>
            </w:pPr>
            <w:r>
              <w:rPr>
                <w:sz w:val="22"/>
              </w:rPr>
              <w:t>您或者被保险人可以变更身故保险金受益人并书面通知我们。我们收到变更受益人的书面通知后，在保险单或其他保险凭证上批注或附贴批单。</w:t>
            </w:r>
          </w:p>
          <w:p>
            <w:pPr>
              <w:pStyle w:val="TableParagraph"/>
              <w:spacing w:before="21"/>
              <w:ind w:left="51"/>
              <w:rPr>
                <w:sz w:val="22"/>
              </w:rPr>
            </w:pPr>
            <w:r>
              <w:rPr>
                <w:sz w:val="22"/>
              </w:rPr>
              <w:t>您在指定和变更身故保险金受益人时，必须经过被保险人同意。</w:t>
            </w:r>
          </w:p>
          <w:p>
            <w:pPr>
              <w:pStyle w:val="TableParagraph"/>
              <w:spacing w:line="316" w:lineRule="auto" w:before="93"/>
              <w:ind w:left="51" w:right="199"/>
              <w:rPr>
                <w:sz w:val="22"/>
              </w:rPr>
            </w:pPr>
            <w:r>
              <w:rPr>
                <w:sz w:val="22"/>
              </w:rPr>
              <w:t>被保险人身故后，有下列情形之一的，保险金作为被保险人的遗产，由我们依照《中华人民共和国继承法》的规定履行给付保险金的义务：</w:t>
            </w:r>
          </w:p>
          <w:p>
            <w:pPr>
              <w:pStyle w:val="TableParagraph"/>
              <w:numPr>
                <w:ilvl w:val="0"/>
                <w:numId w:val="9"/>
              </w:numPr>
              <w:tabs>
                <w:tab w:pos="505" w:val="left" w:leader="none"/>
              </w:tabs>
              <w:spacing w:line="240" w:lineRule="auto" w:before="20" w:after="0"/>
              <w:ind w:left="505" w:right="0" w:hanging="454"/>
              <w:jc w:val="left"/>
              <w:rPr>
                <w:sz w:val="22"/>
              </w:rPr>
            </w:pPr>
            <w:r>
              <w:rPr>
                <w:spacing w:val="-3"/>
                <w:sz w:val="22"/>
              </w:rPr>
              <w:t>没有指定受益人，或者受益人指定不明无法确定的；</w:t>
            </w:r>
          </w:p>
          <w:p>
            <w:pPr>
              <w:pStyle w:val="TableParagraph"/>
              <w:numPr>
                <w:ilvl w:val="0"/>
                <w:numId w:val="9"/>
              </w:numPr>
              <w:tabs>
                <w:tab w:pos="505" w:val="left" w:leader="none"/>
              </w:tabs>
              <w:spacing w:line="240" w:lineRule="auto" w:before="93" w:after="0"/>
              <w:ind w:left="505" w:right="0" w:hanging="454"/>
              <w:jc w:val="left"/>
              <w:rPr>
                <w:sz w:val="22"/>
              </w:rPr>
            </w:pPr>
            <w:r>
              <w:rPr>
                <w:spacing w:val="-3"/>
                <w:sz w:val="22"/>
              </w:rPr>
              <w:t>受益人先于被保险人身故，没有其它受益人的；</w:t>
            </w:r>
          </w:p>
          <w:p>
            <w:pPr>
              <w:pStyle w:val="TableParagraph"/>
              <w:numPr>
                <w:ilvl w:val="0"/>
                <w:numId w:val="9"/>
              </w:numPr>
              <w:tabs>
                <w:tab w:pos="505" w:val="left" w:leader="none"/>
              </w:tabs>
              <w:spacing w:line="240" w:lineRule="auto" w:before="91" w:after="0"/>
              <w:ind w:left="505" w:right="0" w:hanging="454"/>
              <w:jc w:val="left"/>
              <w:rPr>
                <w:sz w:val="22"/>
              </w:rPr>
            </w:pPr>
            <w:r>
              <w:rPr>
                <w:spacing w:val="-3"/>
                <w:sz w:val="22"/>
              </w:rPr>
              <w:t>受益人依法丧失受益权或者放弃受益权，没有其它受益人的。</w:t>
            </w:r>
          </w:p>
          <w:p>
            <w:pPr>
              <w:pStyle w:val="TableParagraph"/>
              <w:spacing w:line="319" w:lineRule="auto" w:before="91"/>
              <w:ind w:left="51" w:right="199"/>
              <w:rPr>
                <w:sz w:val="22"/>
              </w:rPr>
            </w:pPr>
            <w:r>
              <w:rPr>
                <w:sz w:val="22"/>
              </w:rPr>
              <w:t>受益人与被保险人在同一事件中身故，且不能确定身故先后顺序的，推定受益人身故在先。</w:t>
            </w:r>
          </w:p>
          <w:p>
            <w:pPr>
              <w:pStyle w:val="TableParagraph"/>
              <w:spacing w:line="316" w:lineRule="auto" w:before="18"/>
              <w:ind w:left="51" w:right="199"/>
              <w:rPr>
                <w:sz w:val="22"/>
              </w:rPr>
            </w:pPr>
            <w:r>
              <w:rPr>
                <w:sz w:val="22"/>
              </w:rPr>
              <w:t>受益人故意造成被保险人身故、伤残、疾病的，或者故意杀害被保险人未遂的，该受益人丧失受益权。</w:t>
            </w:r>
          </w:p>
          <w:p>
            <w:pPr>
              <w:pStyle w:val="TableParagraph"/>
              <w:spacing w:before="23"/>
              <w:ind w:left="51"/>
              <w:rPr>
                <w:sz w:val="22"/>
              </w:rPr>
            </w:pPr>
            <w:r>
              <w:rPr>
                <w:sz w:val="22"/>
              </w:rPr>
              <w:t>除另有约定外，重大疾病保险金的受益人为被保险人本人。</w:t>
            </w:r>
          </w:p>
        </w:tc>
      </w:tr>
      <w:tr>
        <w:trPr>
          <w:trHeight w:val="2660" w:hRule="atLeast"/>
        </w:trPr>
        <w:tc>
          <w:tcPr>
            <w:tcW w:w="756" w:type="dxa"/>
          </w:tcPr>
          <w:p>
            <w:pPr>
              <w:pStyle w:val="TableParagraph"/>
              <w:spacing w:before="5"/>
              <w:rPr>
                <w:b/>
                <w:sz w:val="15"/>
              </w:rPr>
            </w:pPr>
          </w:p>
          <w:p>
            <w:pPr>
              <w:pStyle w:val="TableParagraph"/>
              <w:ind w:left="200"/>
              <w:rPr>
                <w:b/>
                <w:sz w:val="22"/>
              </w:rPr>
            </w:pPr>
            <w:r>
              <w:rPr>
                <w:b/>
                <w:sz w:val="22"/>
              </w:rPr>
              <w:t>3.2</w:t>
            </w:r>
          </w:p>
        </w:tc>
        <w:tc>
          <w:tcPr>
            <w:tcW w:w="1721" w:type="dxa"/>
          </w:tcPr>
          <w:p>
            <w:pPr>
              <w:pStyle w:val="TableParagraph"/>
              <w:spacing w:before="5"/>
              <w:rPr>
                <w:b/>
                <w:sz w:val="15"/>
              </w:rPr>
            </w:pPr>
          </w:p>
          <w:p>
            <w:pPr>
              <w:pStyle w:val="TableParagraph"/>
              <w:ind w:left="222"/>
              <w:rPr>
                <w:b/>
                <w:sz w:val="22"/>
              </w:rPr>
            </w:pPr>
            <w:r>
              <w:rPr>
                <w:b/>
                <w:w w:val="95"/>
                <w:sz w:val="22"/>
              </w:rPr>
              <w:t>保险事故通知</w:t>
            </w:r>
          </w:p>
        </w:tc>
        <w:tc>
          <w:tcPr>
            <w:tcW w:w="7566" w:type="dxa"/>
          </w:tcPr>
          <w:p>
            <w:pPr>
              <w:pStyle w:val="TableParagraph"/>
              <w:spacing w:before="5"/>
              <w:rPr>
                <w:b/>
                <w:sz w:val="15"/>
              </w:rPr>
            </w:pPr>
          </w:p>
          <w:p>
            <w:pPr>
              <w:pStyle w:val="TableParagraph"/>
              <w:ind w:left="51"/>
              <w:rPr>
                <w:sz w:val="22"/>
              </w:rPr>
            </w:pPr>
            <w:r>
              <w:rPr>
                <w:sz w:val="22"/>
              </w:rPr>
              <w:t>您或受益人在知道</w:t>
            </w:r>
            <w:r>
              <w:rPr>
                <w:b/>
                <w:sz w:val="22"/>
              </w:rPr>
              <w:t>保险事故</w:t>
            </w:r>
            <w:r>
              <w:rPr>
                <w:sz w:val="22"/>
              </w:rPr>
              <w:t>发生后应当在10日内通知我们。</w:t>
            </w:r>
          </w:p>
          <w:p>
            <w:pPr>
              <w:pStyle w:val="TableParagraph"/>
              <w:spacing w:line="316" w:lineRule="auto" w:before="93"/>
              <w:ind w:left="51" w:right="198"/>
              <w:jc w:val="both"/>
              <w:rPr>
                <w:sz w:val="22"/>
              </w:rPr>
            </w:pPr>
            <w:r>
              <w:rPr>
                <w:sz w:val="22"/>
                <w:shd w:fill="D9D9D9" w:color="auto" w:val="clear"/>
              </w:rPr>
              <w:t>如果您或受益人故意或者因重大过失未及时通知，致使保险事故的性质、原因、损失程度等难以确定的，我们对无法确定的部分，不承担给付保险金的责任</w:t>
            </w:r>
            <w:r>
              <w:rPr>
                <w:sz w:val="22"/>
              </w:rPr>
              <w:t>，但我们</w:t>
            </w:r>
            <w:r>
              <w:rPr>
                <w:spacing w:val="-221"/>
                <w:sz w:val="22"/>
              </w:rPr>
              <w:t>通</w:t>
            </w:r>
            <w:r>
              <w:rPr>
                <w:sz w:val="22"/>
              </w:rPr>
              <w:t>过其他途径已经及时知道或者应当及时知道保险事故发生或 </w:t>
            </w:r>
            <w:r>
              <w:rPr>
                <w:spacing w:val="5"/>
                <w:sz w:val="22"/>
              </w:rPr>
              <w:t>者虽未及时通知但不影响我们确定保险事故的性质、原因、损失程度的除外。</w:t>
            </w:r>
          </w:p>
        </w:tc>
      </w:tr>
      <w:tr>
        <w:trPr>
          <w:trHeight w:val="2389" w:hRule="atLeast"/>
        </w:trPr>
        <w:tc>
          <w:tcPr>
            <w:tcW w:w="756" w:type="dxa"/>
          </w:tcPr>
          <w:p>
            <w:pPr>
              <w:pStyle w:val="TableParagraph"/>
              <w:spacing w:before="6"/>
              <w:rPr>
                <w:b/>
                <w:sz w:val="15"/>
              </w:rPr>
            </w:pPr>
          </w:p>
          <w:p>
            <w:pPr>
              <w:pStyle w:val="TableParagraph"/>
              <w:spacing w:before="1"/>
              <w:ind w:left="200"/>
              <w:rPr>
                <w:b/>
                <w:sz w:val="22"/>
              </w:rPr>
            </w:pPr>
            <w:r>
              <w:rPr>
                <w:b/>
                <w:sz w:val="22"/>
              </w:rPr>
              <w:t>3.3</w:t>
            </w:r>
          </w:p>
        </w:tc>
        <w:tc>
          <w:tcPr>
            <w:tcW w:w="1721" w:type="dxa"/>
          </w:tcPr>
          <w:p>
            <w:pPr>
              <w:pStyle w:val="TableParagraph"/>
              <w:spacing w:before="6"/>
              <w:rPr>
                <w:b/>
                <w:sz w:val="15"/>
              </w:rPr>
            </w:pPr>
          </w:p>
          <w:p>
            <w:pPr>
              <w:pStyle w:val="TableParagraph"/>
              <w:spacing w:before="1"/>
              <w:ind w:left="222"/>
              <w:rPr>
                <w:b/>
                <w:sz w:val="22"/>
              </w:rPr>
            </w:pPr>
            <w:r>
              <w:rPr>
                <w:b/>
                <w:w w:val="95"/>
                <w:sz w:val="22"/>
              </w:rPr>
              <w:t>保险金申请</w:t>
            </w:r>
          </w:p>
          <w:p>
            <w:pPr>
              <w:pStyle w:val="TableParagraph"/>
              <w:spacing w:before="12"/>
              <w:rPr>
                <w:b/>
                <w:sz w:val="30"/>
              </w:rPr>
            </w:pPr>
          </w:p>
          <w:p>
            <w:pPr>
              <w:pStyle w:val="TableParagraph"/>
              <w:ind w:left="222" w:right="50"/>
              <w:rPr>
                <w:rFonts w:ascii="微软雅黑" w:eastAsia="微软雅黑" w:hint="eastAsia"/>
                <w:b/>
                <w:sz w:val="22"/>
              </w:rPr>
            </w:pPr>
            <w:r>
              <w:rPr>
                <w:rFonts w:ascii="微软雅黑" w:eastAsia="微软雅黑" w:hint="eastAsia"/>
                <w:b/>
                <w:sz w:val="22"/>
              </w:rPr>
              <w:t>身故保险金的申请</w:t>
            </w:r>
          </w:p>
        </w:tc>
        <w:tc>
          <w:tcPr>
            <w:tcW w:w="7566" w:type="dxa"/>
          </w:tcPr>
          <w:p>
            <w:pPr>
              <w:pStyle w:val="TableParagraph"/>
              <w:spacing w:before="6"/>
              <w:rPr>
                <w:b/>
                <w:sz w:val="15"/>
              </w:rPr>
            </w:pPr>
          </w:p>
          <w:p>
            <w:pPr>
              <w:pStyle w:val="TableParagraph"/>
              <w:spacing w:before="1"/>
              <w:ind w:left="51"/>
              <w:rPr>
                <w:sz w:val="22"/>
              </w:rPr>
            </w:pPr>
            <w:r>
              <w:rPr>
                <w:sz w:val="22"/>
              </w:rPr>
              <w:t>在申请保险金时，请按照下列方式办理：</w:t>
            </w:r>
          </w:p>
          <w:p>
            <w:pPr>
              <w:pStyle w:val="TableParagraph"/>
              <w:rPr>
                <w:b/>
                <w:sz w:val="22"/>
              </w:rPr>
            </w:pPr>
          </w:p>
          <w:p>
            <w:pPr>
              <w:pStyle w:val="TableParagraph"/>
              <w:spacing w:line="319" w:lineRule="auto" w:before="183"/>
              <w:ind w:left="51" w:right="199"/>
              <w:rPr>
                <w:sz w:val="22"/>
              </w:rPr>
            </w:pPr>
            <w:r>
              <w:rPr>
                <w:sz w:val="22"/>
              </w:rPr>
              <w:t>在申请身故保险金时，申请人须填写保险金给付申请书，并提供下列证明和资料：</w:t>
            </w:r>
          </w:p>
          <w:p>
            <w:pPr>
              <w:pStyle w:val="TableParagraph"/>
              <w:numPr>
                <w:ilvl w:val="0"/>
                <w:numId w:val="10"/>
              </w:numPr>
              <w:tabs>
                <w:tab w:pos="505" w:val="left" w:leader="none"/>
              </w:tabs>
              <w:spacing w:line="240" w:lineRule="auto" w:before="19" w:after="0"/>
              <w:ind w:left="505" w:right="0" w:hanging="454"/>
              <w:jc w:val="left"/>
              <w:rPr>
                <w:sz w:val="22"/>
              </w:rPr>
            </w:pPr>
            <w:r>
              <w:rPr>
                <w:spacing w:val="-1"/>
                <w:sz w:val="22"/>
              </w:rPr>
              <w:t>保险合同；</w:t>
            </w:r>
          </w:p>
          <w:p>
            <w:pPr>
              <w:pStyle w:val="TableParagraph"/>
              <w:numPr>
                <w:ilvl w:val="0"/>
                <w:numId w:val="10"/>
              </w:numPr>
              <w:tabs>
                <w:tab w:pos="505" w:val="left" w:leader="none"/>
              </w:tabs>
              <w:spacing w:line="268" w:lineRule="exact" w:before="91" w:after="0"/>
              <w:ind w:left="505" w:right="0" w:hanging="454"/>
              <w:jc w:val="left"/>
              <w:rPr>
                <w:sz w:val="22"/>
              </w:rPr>
            </w:pPr>
            <w:r>
              <w:rPr>
                <w:spacing w:val="-3"/>
                <w:sz w:val="22"/>
              </w:rPr>
              <w:t>申请人的有效身份证件；</w:t>
            </w:r>
          </w:p>
        </w:tc>
      </w:tr>
    </w:tbl>
    <w:p>
      <w:pPr>
        <w:spacing w:after="0" w:line="268" w:lineRule="exact"/>
        <w:jc w:val="left"/>
        <w:rPr>
          <w:sz w:val="22"/>
        </w:rPr>
        <w:sectPr>
          <w:pgSz w:w="11910" w:h="16840"/>
          <w:pgMar w:top="14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721"/>
        <w:gridCol w:w="7574"/>
      </w:tblGrid>
      <w:tr>
        <w:trPr>
          <w:trHeight w:val="1613" w:hRule="atLeast"/>
        </w:trPr>
        <w:tc>
          <w:tcPr>
            <w:tcW w:w="756" w:type="dxa"/>
          </w:tcPr>
          <w:p>
            <w:pPr>
              <w:pStyle w:val="TableParagraph"/>
              <w:rPr>
                <w:rFonts w:ascii="Times New Roman"/>
                <w:sz w:val="22"/>
              </w:rPr>
            </w:pPr>
          </w:p>
        </w:tc>
        <w:tc>
          <w:tcPr>
            <w:tcW w:w="1721" w:type="dxa"/>
          </w:tcPr>
          <w:p>
            <w:pPr>
              <w:pStyle w:val="TableParagraph"/>
              <w:rPr>
                <w:rFonts w:ascii="Times New Roman"/>
                <w:sz w:val="22"/>
              </w:rPr>
            </w:pPr>
          </w:p>
        </w:tc>
        <w:tc>
          <w:tcPr>
            <w:tcW w:w="7574" w:type="dxa"/>
          </w:tcPr>
          <w:p>
            <w:pPr>
              <w:pStyle w:val="TableParagraph"/>
              <w:numPr>
                <w:ilvl w:val="0"/>
                <w:numId w:val="11"/>
              </w:numPr>
              <w:tabs>
                <w:tab w:pos="505" w:val="left" w:leader="none"/>
              </w:tabs>
              <w:spacing w:line="216" w:lineRule="exact" w:before="0" w:after="0"/>
              <w:ind w:left="51" w:right="0" w:firstLine="0"/>
              <w:jc w:val="left"/>
              <w:rPr>
                <w:sz w:val="22"/>
              </w:rPr>
            </w:pPr>
            <w:r>
              <w:rPr>
                <w:sz w:val="22"/>
              </w:rPr>
              <w:t>国家卫生行政部门认定的医疗机构、公安部门或其他相关机构出具的被</w:t>
            </w:r>
          </w:p>
          <w:p>
            <w:pPr>
              <w:pStyle w:val="TableParagraph"/>
              <w:spacing w:before="91"/>
              <w:ind w:left="505"/>
              <w:rPr>
                <w:sz w:val="22"/>
              </w:rPr>
            </w:pPr>
            <w:r>
              <w:rPr>
                <w:sz w:val="22"/>
              </w:rPr>
              <w:t>保险人的死亡证明；</w:t>
            </w:r>
          </w:p>
          <w:p>
            <w:pPr>
              <w:pStyle w:val="TableParagraph"/>
              <w:numPr>
                <w:ilvl w:val="0"/>
                <w:numId w:val="11"/>
              </w:numPr>
              <w:tabs>
                <w:tab w:pos="505" w:val="left" w:leader="none"/>
              </w:tabs>
              <w:spacing w:line="319" w:lineRule="auto" w:before="90" w:after="0"/>
              <w:ind w:left="51" w:right="260" w:firstLine="0"/>
              <w:jc w:val="left"/>
              <w:rPr>
                <w:sz w:val="22"/>
              </w:rPr>
            </w:pPr>
            <w:r>
              <w:rPr>
                <w:spacing w:val="-3"/>
                <w:sz w:val="22"/>
              </w:rPr>
              <w:t>所能提供的与确认保险事故的性质、原因等有关的其它证明和资料。 保险金作为被保险人遗产时，必须提供可证明合法继承权的相关权利文件。</w:t>
            </w:r>
          </w:p>
        </w:tc>
      </w:tr>
      <w:tr>
        <w:trPr>
          <w:trHeight w:val="4576" w:hRule="atLeast"/>
        </w:trPr>
        <w:tc>
          <w:tcPr>
            <w:tcW w:w="756" w:type="dxa"/>
          </w:tcPr>
          <w:p>
            <w:pPr>
              <w:pStyle w:val="TableParagraph"/>
              <w:rPr>
                <w:rFonts w:ascii="Times New Roman"/>
                <w:sz w:val="22"/>
              </w:rPr>
            </w:pPr>
          </w:p>
        </w:tc>
        <w:tc>
          <w:tcPr>
            <w:tcW w:w="1721" w:type="dxa"/>
          </w:tcPr>
          <w:p>
            <w:pPr>
              <w:pStyle w:val="TableParagraph"/>
              <w:spacing w:before="147"/>
              <w:ind w:left="222" w:right="50"/>
              <w:rPr>
                <w:rFonts w:ascii="微软雅黑" w:eastAsia="微软雅黑" w:hint="eastAsia"/>
                <w:b/>
                <w:sz w:val="22"/>
              </w:rPr>
            </w:pPr>
            <w:r>
              <w:rPr>
                <w:rFonts w:ascii="微软雅黑" w:eastAsia="微软雅黑" w:hint="eastAsia"/>
                <w:b/>
                <w:sz w:val="22"/>
              </w:rPr>
              <w:t>重大疾病保险金的申请</w:t>
            </w:r>
          </w:p>
        </w:tc>
        <w:tc>
          <w:tcPr>
            <w:tcW w:w="7574" w:type="dxa"/>
          </w:tcPr>
          <w:p>
            <w:pPr>
              <w:pStyle w:val="TableParagraph"/>
              <w:spacing w:before="3"/>
              <w:rPr>
                <w:b/>
                <w:sz w:val="16"/>
              </w:rPr>
            </w:pPr>
          </w:p>
          <w:p>
            <w:pPr>
              <w:pStyle w:val="TableParagraph"/>
              <w:spacing w:line="319" w:lineRule="auto"/>
              <w:ind w:left="51" w:right="253"/>
              <w:rPr>
                <w:sz w:val="22"/>
              </w:rPr>
            </w:pPr>
            <w:r>
              <w:rPr>
                <w:sz w:val="22"/>
              </w:rPr>
              <w:t>在申请重大疾病保险金时，申请人须填写保险金给付申请书，并须提供下列证明和资料：</w:t>
            </w:r>
          </w:p>
          <w:p>
            <w:pPr>
              <w:pStyle w:val="TableParagraph"/>
              <w:numPr>
                <w:ilvl w:val="0"/>
                <w:numId w:val="12"/>
              </w:numPr>
              <w:tabs>
                <w:tab w:pos="505" w:val="left" w:leader="none"/>
              </w:tabs>
              <w:spacing w:line="240" w:lineRule="auto" w:before="18" w:after="0"/>
              <w:ind w:left="505" w:right="0" w:hanging="454"/>
              <w:jc w:val="left"/>
              <w:rPr>
                <w:sz w:val="22"/>
              </w:rPr>
            </w:pPr>
            <w:r>
              <w:rPr>
                <w:spacing w:val="-1"/>
                <w:sz w:val="22"/>
              </w:rPr>
              <w:t>保险合同；</w:t>
            </w:r>
          </w:p>
          <w:p>
            <w:pPr>
              <w:pStyle w:val="TableParagraph"/>
              <w:numPr>
                <w:ilvl w:val="0"/>
                <w:numId w:val="12"/>
              </w:numPr>
              <w:tabs>
                <w:tab w:pos="505" w:val="left" w:leader="none"/>
              </w:tabs>
              <w:spacing w:line="240" w:lineRule="auto" w:before="91" w:after="0"/>
              <w:ind w:left="505" w:right="0" w:hanging="454"/>
              <w:jc w:val="left"/>
              <w:rPr>
                <w:sz w:val="22"/>
              </w:rPr>
            </w:pPr>
            <w:r>
              <w:rPr>
                <w:spacing w:val="-3"/>
                <w:sz w:val="22"/>
              </w:rPr>
              <w:t>受益人或其他有权领取保险金的人的有效身份证件；</w:t>
            </w:r>
          </w:p>
          <w:p>
            <w:pPr>
              <w:pStyle w:val="TableParagraph"/>
              <w:numPr>
                <w:ilvl w:val="0"/>
                <w:numId w:val="12"/>
              </w:numPr>
              <w:tabs>
                <w:tab w:pos="505" w:val="left" w:leader="none"/>
              </w:tabs>
              <w:spacing w:line="316" w:lineRule="auto" w:before="93" w:after="0"/>
              <w:ind w:left="505" w:right="208"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12"/>
              </w:numPr>
              <w:tabs>
                <w:tab w:pos="505" w:val="left" w:leader="none"/>
              </w:tabs>
              <w:spacing w:line="316" w:lineRule="auto" w:before="21" w:after="0"/>
              <w:ind w:left="51" w:right="253" w:firstLine="0"/>
              <w:jc w:val="left"/>
              <w:rPr>
                <w:sz w:val="22"/>
              </w:rPr>
            </w:pPr>
            <w:r>
              <w:rPr>
                <w:spacing w:val="-3"/>
                <w:sz w:val="22"/>
              </w:rPr>
              <w:t>所能提供的与确认保险事故的性质、原因等有关的其它证明和资料。 受益人申请重大疾病保险金时，我们若有疑义，我们可以委托相关鉴定机构对被保险人的身体予以鉴定，其鉴定费用由我们负担。</w:t>
            </w:r>
          </w:p>
          <w:p>
            <w:pPr>
              <w:pStyle w:val="TableParagraph"/>
              <w:spacing w:line="319" w:lineRule="auto" w:before="21"/>
              <w:ind w:left="51" w:right="260"/>
              <w:rPr>
                <w:sz w:val="22"/>
              </w:rPr>
            </w:pPr>
            <w:r>
              <w:rPr>
                <w:sz w:val="22"/>
              </w:rPr>
              <w:t>以上证明和资料不完整的，我们将及时一次性通知申请人补充提供有关证明和资料。</w:t>
            </w:r>
          </w:p>
        </w:tc>
      </w:tr>
      <w:tr>
        <w:trPr>
          <w:trHeight w:val="5320" w:hRule="atLeast"/>
        </w:trPr>
        <w:tc>
          <w:tcPr>
            <w:tcW w:w="756" w:type="dxa"/>
          </w:tcPr>
          <w:p>
            <w:pPr>
              <w:pStyle w:val="TableParagraph"/>
              <w:spacing w:before="196"/>
              <w:ind w:left="200"/>
              <w:rPr>
                <w:b/>
                <w:sz w:val="22"/>
              </w:rPr>
            </w:pPr>
            <w:r>
              <w:rPr>
                <w:b/>
                <w:sz w:val="22"/>
              </w:rPr>
              <w:t>3.4</w:t>
            </w:r>
          </w:p>
        </w:tc>
        <w:tc>
          <w:tcPr>
            <w:tcW w:w="1721" w:type="dxa"/>
          </w:tcPr>
          <w:p>
            <w:pPr>
              <w:pStyle w:val="TableParagraph"/>
              <w:spacing w:before="196"/>
              <w:ind w:left="222"/>
              <w:rPr>
                <w:b/>
                <w:sz w:val="22"/>
              </w:rPr>
            </w:pPr>
            <w:r>
              <w:rPr>
                <w:b/>
                <w:w w:val="95"/>
                <w:sz w:val="22"/>
              </w:rPr>
              <w:t>保险金给付</w:t>
            </w:r>
          </w:p>
        </w:tc>
        <w:tc>
          <w:tcPr>
            <w:tcW w:w="7574" w:type="dxa"/>
          </w:tcPr>
          <w:p>
            <w:pPr>
              <w:pStyle w:val="TableParagraph"/>
              <w:spacing w:line="316" w:lineRule="auto" w:before="196"/>
              <w:ind w:left="51" w:right="200"/>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9" w:lineRule="auto" w:before="20"/>
              <w:ind w:left="51" w:right="207"/>
              <w:jc w:val="both"/>
              <w:rPr>
                <w:sz w:val="22"/>
              </w:rPr>
            </w:pPr>
            <w:r>
              <w:rPr>
                <w:sz w:val="22"/>
              </w:rPr>
              <w:t>我们未及时履行前款规定义务的，除支付保险金外，应当赔偿受益人因此受到的损失。</w:t>
            </w:r>
          </w:p>
          <w:p>
            <w:pPr>
              <w:pStyle w:val="TableParagraph"/>
              <w:spacing w:line="316" w:lineRule="auto" w:before="18"/>
              <w:ind w:left="51" w:right="259"/>
              <w:jc w:val="both"/>
              <w:rPr>
                <w:sz w:val="22"/>
              </w:rPr>
            </w:pPr>
            <w:r>
              <w:rPr>
                <w:sz w:val="22"/>
              </w:rPr>
              <w:t>赔偿损失范围和损失计算方法：按赔偿当时最近一次中国人民银行公布的金融机构人民币一年期定期存款基准利率以单利方式计算逾期给付保险金的利息损失。</w:t>
            </w:r>
          </w:p>
          <w:p>
            <w:pPr>
              <w:pStyle w:val="TableParagraph"/>
              <w:spacing w:line="316" w:lineRule="auto" w:before="20"/>
              <w:ind w:left="51" w:right="206"/>
              <w:jc w:val="both"/>
              <w:rPr>
                <w:sz w:val="22"/>
              </w:rPr>
            </w:pPr>
            <w:r>
              <w:rPr>
                <w:sz w:val="22"/>
              </w:rPr>
              <w:t>对不属于保险责任的，我们自作出核定之日起3日内向受益人发出拒绝给付保险金通知书并说明理由。</w:t>
            </w:r>
          </w:p>
          <w:p>
            <w:pPr>
              <w:pStyle w:val="TableParagraph"/>
              <w:spacing w:line="316" w:lineRule="auto" w:before="23"/>
              <w:ind w:left="51" w:right="204"/>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2010" w:hRule="atLeast"/>
        </w:trPr>
        <w:tc>
          <w:tcPr>
            <w:tcW w:w="756" w:type="dxa"/>
          </w:tcPr>
          <w:p>
            <w:pPr>
              <w:pStyle w:val="TableParagraph"/>
              <w:spacing w:before="1"/>
              <w:rPr>
                <w:b/>
                <w:sz w:val="15"/>
              </w:rPr>
            </w:pPr>
          </w:p>
          <w:p>
            <w:pPr>
              <w:pStyle w:val="TableParagraph"/>
              <w:spacing w:before="1"/>
              <w:ind w:left="200"/>
              <w:rPr>
                <w:b/>
                <w:sz w:val="22"/>
              </w:rPr>
            </w:pPr>
            <w:r>
              <w:rPr>
                <w:b/>
                <w:sz w:val="22"/>
              </w:rPr>
              <w:t>3.5</w:t>
            </w:r>
          </w:p>
        </w:tc>
        <w:tc>
          <w:tcPr>
            <w:tcW w:w="1721" w:type="dxa"/>
          </w:tcPr>
          <w:p>
            <w:pPr>
              <w:pStyle w:val="TableParagraph"/>
              <w:spacing w:before="1"/>
              <w:rPr>
                <w:b/>
                <w:sz w:val="15"/>
              </w:rPr>
            </w:pPr>
          </w:p>
          <w:p>
            <w:pPr>
              <w:pStyle w:val="TableParagraph"/>
              <w:spacing w:before="1"/>
              <w:ind w:left="222"/>
              <w:rPr>
                <w:b/>
                <w:sz w:val="22"/>
              </w:rPr>
            </w:pPr>
            <w:r>
              <w:rPr>
                <w:b/>
                <w:w w:val="95"/>
                <w:sz w:val="22"/>
              </w:rPr>
              <w:t>失踪处理</w:t>
            </w:r>
          </w:p>
        </w:tc>
        <w:tc>
          <w:tcPr>
            <w:tcW w:w="7574" w:type="dxa"/>
          </w:tcPr>
          <w:p>
            <w:pPr>
              <w:pStyle w:val="TableParagraph"/>
              <w:spacing w:before="1"/>
              <w:rPr>
                <w:b/>
                <w:sz w:val="15"/>
              </w:rPr>
            </w:pPr>
          </w:p>
          <w:p>
            <w:pPr>
              <w:pStyle w:val="TableParagraph"/>
              <w:spacing w:line="316" w:lineRule="auto" w:before="1"/>
              <w:ind w:left="51" w:right="207"/>
              <w:rPr>
                <w:sz w:val="22"/>
              </w:rPr>
            </w:pPr>
            <w:r>
              <w:rPr>
                <w:sz w:val="22"/>
              </w:rPr>
              <w:t>如果被保险人在本合同有效期内失踪，而且被法院宣告死亡，我们以判决书宣告之日为准，按本合同的约定给付身故保险金，本合同终止。</w:t>
            </w:r>
          </w:p>
          <w:p>
            <w:pPr>
              <w:pStyle w:val="TableParagraph"/>
              <w:spacing w:before="23"/>
              <w:ind w:left="51"/>
              <w:rPr>
                <w:sz w:val="22"/>
              </w:rPr>
            </w:pPr>
            <w:r>
              <w:rPr>
                <w:sz w:val="22"/>
              </w:rPr>
              <w:t>如果被保险人在宣告死亡后重新出现或者确知其没有死亡，受益人或者其他</w:t>
            </w:r>
          </w:p>
          <w:p>
            <w:pPr>
              <w:pStyle w:val="TableParagraph"/>
              <w:spacing w:line="380" w:lineRule="atLeast"/>
              <w:ind w:left="51" w:right="206"/>
              <w:rPr>
                <w:sz w:val="22"/>
              </w:rPr>
            </w:pPr>
            <w:r>
              <w:rPr>
                <w:sz w:val="22"/>
              </w:rPr>
              <w:t>领取保险金的人应于知道后30日内向我们退还已给付的保险金，本合同的效力由我们双方依法协商处理。</w:t>
            </w:r>
          </w:p>
        </w:tc>
      </w:tr>
    </w:tbl>
    <w:p>
      <w:pPr>
        <w:spacing w:after="0" w:line="380" w:lineRule="atLeast"/>
        <w:rPr>
          <w:sz w:val="22"/>
        </w:rPr>
        <w:sectPr>
          <w:pgSz w:w="11910" w:h="16840"/>
          <w:pgMar w:top="1520" w:bottom="280" w:left="820" w:right="82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39"/>
        <w:gridCol w:w="7848"/>
      </w:tblGrid>
      <w:tr>
        <w:trPr>
          <w:trHeight w:val="981" w:hRule="atLeast"/>
        </w:trPr>
        <w:tc>
          <w:tcPr>
            <w:tcW w:w="756" w:type="dxa"/>
          </w:tcPr>
          <w:p>
            <w:pPr>
              <w:pStyle w:val="TableParagraph"/>
              <w:spacing w:line="221" w:lineRule="exact"/>
              <w:ind w:left="200"/>
              <w:rPr>
                <w:b/>
                <w:sz w:val="22"/>
              </w:rPr>
            </w:pPr>
            <w:r>
              <w:rPr>
                <w:b/>
                <w:sz w:val="22"/>
              </w:rPr>
              <w:t>3.6</w:t>
            </w:r>
          </w:p>
        </w:tc>
        <w:tc>
          <w:tcPr>
            <w:tcW w:w="1439" w:type="dxa"/>
          </w:tcPr>
          <w:p>
            <w:pPr>
              <w:pStyle w:val="TableParagraph"/>
              <w:spacing w:line="221" w:lineRule="exact"/>
              <w:ind w:left="222"/>
              <w:rPr>
                <w:b/>
                <w:sz w:val="22"/>
              </w:rPr>
            </w:pPr>
            <w:r>
              <w:rPr>
                <w:b/>
                <w:w w:val="95"/>
                <w:sz w:val="22"/>
              </w:rPr>
              <w:t>诉讼时效</w:t>
            </w:r>
          </w:p>
        </w:tc>
        <w:tc>
          <w:tcPr>
            <w:tcW w:w="7848" w:type="dxa"/>
          </w:tcPr>
          <w:p>
            <w:pPr>
              <w:pStyle w:val="TableParagraph"/>
              <w:spacing w:line="221" w:lineRule="exact"/>
              <w:ind w:left="333"/>
              <w:rPr>
                <w:sz w:val="22"/>
              </w:rPr>
            </w:pPr>
            <w:r>
              <w:rPr>
                <w:sz w:val="22"/>
              </w:rPr>
              <w:t>受益人向我们请求给付身故保险金的诉讼时效期间为5年，向我们请求给付</w:t>
            </w:r>
          </w:p>
          <w:p>
            <w:pPr>
              <w:pStyle w:val="TableParagraph"/>
              <w:spacing w:line="382" w:lineRule="exact" w:before="42"/>
              <w:ind w:left="333" w:right="199"/>
              <w:rPr>
                <w:sz w:val="22"/>
              </w:rPr>
            </w:pPr>
            <w:r>
              <w:rPr>
                <w:sz w:val="22"/>
              </w:rPr>
              <w:t>其他保险金的诉讼时效期间为2年，自其知道或者应当知道保险事故发生之日起计算。</w:t>
            </w:r>
          </w:p>
        </w:tc>
      </w:tr>
    </w:tbl>
    <w:p>
      <w:pPr>
        <w:pStyle w:val="BodyText"/>
        <w:rPr>
          <w:b/>
          <w:sz w:val="23"/>
        </w:rPr>
      </w:pPr>
    </w:p>
    <w:p>
      <w:pPr>
        <w:pStyle w:val="Heading2"/>
      </w:pPr>
      <w:r>
        <w:rPr>
          <w:rFonts w:ascii="Wingdings" w:hAnsi="Wingdings" w:eastAsia="Wingdings"/>
          <w:b w:val="0"/>
          <w:w w:val="95"/>
          <w:position w:val="-5"/>
          <w:sz w:val="48"/>
        </w:rPr>
        <w:t></w:t>
      </w:r>
      <w:r>
        <w:rPr>
          <w:w w:val="95"/>
        </w:rPr>
        <w:t>保险费的支付</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9"/>
      </w:tblGrid>
      <w:tr>
        <w:trPr>
          <w:trHeight w:val="1250" w:hRule="atLeast"/>
        </w:trPr>
        <w:tc>
          <w:tcPr>
            <w:tcW w:w="757" w:type="dxa"/>
          </w:tcPr>
          <w:p>
            <w:pPr>
              <w:pStyle w:val="TableParagraph"/>
              <w:spacing w:line="221" w:lineRule="exact"/>
              <w:ind w:left="200"/>
              <w:rPr>
                <w:b/>
                <w:sz w:val="22"/>
              </w:rPr>
            </w:pPr>
            <w:r>
              <w:rPr>
                <w:b/>
                <w:sz w:val="22"/>
              </w:rPr>
              <w:t>4.1</w:t>
            </w:r>
          </w:p>
        </w:tc>
        <w:tc>
          <w:tcPr>
            <w:tcW w:w="1659" w:type="dxa"/>
          </w:tcPr>
          <w:p>
            <w:pPr>
              <w:pStyle w:val="TableParagraph"/>
              <w:spacing w:line="221" w:lineRule="exact"/>
              <w:ind w:left="221"/>
              <w:rPr>
                <w:b/>
                <w:sz w:val="22"/>
              </w:rPr>
            </w:pPr>
            <w:r>
              <w:rPr>
                <w:b/>
                <w:w w:val="95"/>
                <w:sz w:val="22"/>
              </w:rPr>
              <w:t>保险费的支付</w:t>
            </w:r>
          </w:p>
        </w:tc>
        <w:tc>
          <w:tcPr>
            <w:tcW w:w="7629" w:type="dxa"/>
          </w:tcPr>
          <w:p>
            <w:pPr>
              <w:pStyle w:val="TableParagraph"/>
              <w:spacing w:line="221" w:lineRule="exact"/>
              <w:ind w:left="112"/>
              <w:rPr>
                <w:sz w:val="22"/>
              </w:rPr>
            </w:pPr>
            <w:r>
              <w:rPr>
                <w:sz w:val="22"/>
              </w:rPr>
              <w:t>本合同保险费支付方式和支付期限由您和我们约定并在保险单上载明。</w:t>
            </w:r>
          </w:p>
          <w:p>
            <w:pPr>
              <w:pStyle w:val="TableParagraph"/>
              <w:spacing w:line="319" w:lineRule="auto" w:before="91"/>
              <w:ind w:left="112" w:right="254"/>
              <w:rPr>
                <w:sz w:val="22"/>
              </w:rPr>
            </w:pPr>
            <w:r>
              <w:rPr>
                <w:sz w:val="22"/>
              </w:rPr>
              <w:t>分期支付保险费的，在支付首期保险费后，您应当按照约定，在每个保险费约定支付日支付其余各期的保险费。</w:t>
            </w:r>
          </w:p>
        </w:tc>
      </w:tr>
      <w:tr>
        <w:trPr>
          <w:trHeight w:val="2390" w:hRule="atLeast"/>
        </w:trPr>
        <w:tc>
          <w:tcPr>
            <w:tcW w:w="757" w:type="dxa"/>
          </w:tcPr>
          <w:p>
            <w:pPr>
              <w:pStyle w:val="TableParagraph"/>
              <w:spacing w:before="5"/>
              <w:rPr>
                <w:b/>
                <w:sz w:val="15"/>
              </w:rPr>
            </w:pPr>
          </w:p>
          <w:p>
            <w:pPr>
              <w:pStyle w:val="TableParagraph"/>
              <w:ind w:left="200"/>
              <w:rPr>
                <w:b/>
                <w:sz w:val="22"/>
              </w:rPr>
            </w:pPr>
            <w:r>
              <w:rPr>
                <w:b/>
                <w:sz w:val="22"/>
              </w:rPr>
              <w:t>4.2</w:t>
            </w:r>
          </w:p>
        </w:tc>
        <w:tc>
          <w:tcPr>
            <w:tcW w:w="1659" w:type="dxa"/>
          </w:tcPr>
          <w:p>
            <w:pPr>
              <w:pStyle w:val="TableParagraph"/>
              <w:spacing w:before="5"/>
              <w:rPr>
                <w:b/>
                <w:sz w:val="15"/>
              </w:rPr>
            </w:pPr>
          </w:p>
          <w:p>
            <w:pPr>
              <w:pStyle w:val="TableParagraph"/>
              <w:ind w:left="221"/>
              <w:rPr>
                <w:b/>
                <w:sz w:val="22"/>
              </w:rPr>
            </w:pPr>
            <w:r>
              <w:rPr>
                <w:b/>
                <w:w w:val="95"/>
                <w:sz w:val="22"/>
              </w:rPr>
              <w:t>宽限期</w:t>
            </w:r>
          </w:p>
        </w:tc>
        <w:tc>
          <w:tcPr>
            <w:tcW w:w="7629" w:type="dxa"/>
          </w:tcPr>
          <w:p>
            <w:pPr>
              <w:pStyle w:val="TableParagraph"/>
              <w:spacing w:before="5"/>
              <w:rPr>
                <w:b/>
                <w:sz w:val="15"/>
              </w:rPr>
            </w:pPr>
          </w:p>
          <w:p>
            <w:pPr>
              <w:pStyle w:val="TableParagraph"/>
              <w:spacing w:line="316" w:lineRule="auto"/>
              <w:ind w:left="112" w:right="198"/>
              <w:jc w:val="both"/>
              <w:rPr>
                <w:sz w:val="22"/>
              </w:rPr>
            </w:pPr>
            <w:r>
              <w:rPr>
                <w:sz w:val="22"/>
              </w:rPr>
              <w:t>分期支付保险费的，您支付首期保险费后，除本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before="22"/>
              <w:ind w:left="112"/>
              <w:jc w:val="both"/>
              <w:rPr>
                <w:sz w:val="22"/>
              </w:rPr>
            </w:pPr>
            <w:r>
              <w:rPr>
                <w:sz w:val="22"/>
                <w:shd w:fill="D9D9D9" w:color="auto" w:val="clear"/>
              </w:rPr>
              <w:t>如果您宽限期结束之后仍未支付保险费，则本合同自宽限期满的次日零时起</w:t>
            </w:r>
          </w:p>
          <w:p>
            <w:pPr>
              <w:pStyle w:val="TableParagraph"/>
              <w:spacing w:line="268" w:lineRule="exact" w:before="90"/>
              <w:ind w:left="112"/>
              <w:jc w:val="both"/>
              <w:rPr>
                <w:sz w:val="22"/>
              </w:rPr>
            </w:pPr>
            <w:r>
              <w:rPr>
                <w:sz w:val="22"/>
                <w:shd w:fill="D9D9D9" w:color="auto" w:val="clear"/>
              </w:rPr>
              <w:t>效力中止</w:t>
            </w:r>
            <w:r>
              <w:rPr>
                <w:sz w:val="22"/>
              </w:rPr>
              <w:t>。</w:t>
            </w:r>
          </w:p>
        </w:tc>
      </w:tr>
    </w:tbl>
    <w:p>
      <w:pPr>
        <w:pStyle w:val="BodyText"/>
        <w:rPr>
          <w:b/>
          <w:sz w:val="20"/>
        </w:rPr>
      </w:pPr>
    </w:p>
    <w:p>
      <w:pPr>
        <w:pStyle w:val="BodyText"/>
        <w:spacing w:before="6"/>
        <w:rPr>
          <w:b/>
          <w:sz w:val="18"/>
        </w:rPr>
      </w:pPr>
    </w:p>
    <w:p>
      <w:pPr>
        <w:pStyle w:val="Heading2"/>
        <w:spacing w:before="73"/>
      </w:pPr>
      <w:r>
        <w:rPr>
          <w:rFonts w:ascii="Wingdings" w:hAnsi="Wingdings" w:eastAsia="Wingdings"/>
          <w:b w:val="0"/>
          <w:w w:val="95"/>
          <w:position w:val="-5"/>
          <w:sz w:val="48"/>
        </w:rPr>
        <w:t></w:t>
      </w:r>
      <w:r>
        <w:rPr>
          <w:w w:val="95"/>
        </w:rPr>
        <w:t>现金价值权益</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8"/>
      </w:tblGrid>
      <w:tr>
        <w:trPr>
          <w:trHeight w:val="490" w:hRule="atLeast"/>
        </w:trPr>
        <w:tc>
          <w:tcPr>
            <w:tcW w:w="757" w:type="dxa"/>
          </w:tcPr>
          <w:p>
            <w:pPr>
              <w:pStyle w:val="TableParagraph"/>
              <w:spacing w:line="221" w:lineRule="exact"/>
              <w:ind w:left="200"/>
              <w:rPr>
                <w:b/>
                <w:sz w:val="22"/>
              </w:rPr>
            </w:pPr>
            <w:r>
              <w:rPr>
                <w:b/>
                <w:sz w:val="22"/>
              </w:rPr>
              <w:t>5.1</w:t>
            </w:r>
          </w:p>
        </w:tc>
        <w:tc>
          <w:tcPr>
            <w:tcW w:w="1659" w:type="dxa"/>
          </w:tcPr>
          <w:p>
            <w:pPr>
              <w:pStyle w:val="TableParagraph"/>
              <w:spacing w:line="221" w:lineRule="exact"/>
              <w:ind w:left="221"/>
              <w:rPr>
                <w:b/>
                <w:sz w:val="22"/>
              </w:rPr>
            </w:pPr>
            <w:r>
              <w:rPr>
                <w:b/>
                <w:w w:val="95"/>
                <w:sz w:val="22"/>
              </w:rPr>
              <w:t>现金价值</w:t>
            </w:r>
          </w:p>
        </w:tc>
        <w:tc>
          <w:tcPr>
            <w:tcW w:w="7628" w:type="dxa"/>
          </w:tcPr>
          <w:p>
            <w:pPr>
              <w:pStyle w:val="TableParagraph"/>
              <w:spacing w:line="221" w:lineRule="exact"/>
              <w:ind w:left="112"/>
              <w:rPr>
                <w:sz w:val="22"/>
              </w:rPr>
            </w:pPr>
            <w:r>
              <w:rPr>
                <w:sz w:val="22"/>
              </w:rPr>
              <w:t>本合同保单年度末的现金价值会在保险单上载明。</w:t>
            </w:r>
          </w:p>
        </w:tc>
      </w:tr>
      <w:tr>
        <w:trPr>
          <w:trHeight w:val="3041" w:hRule="atLeast"/>
        </w:trPr>
        <w:tc>
          <w:tcPr>
            <w:tcW w:w="757" w:type="dxa"/>
          </w:tcPr>
          <w:p>
            <w:pPr>
              <w:pStyle w:val="TableParagraph"/>
              <w:spacing w:before="6"/>
              <w:rPr>
                <w:b/>
                <w:sz w:val="15"/>
              </w:rPr>
            </w:pPr>
          </w:p>
          <w:p>
            <w:pPr>
              <w:pStyle w:val="TableParagraph"/>
              <w:ind w:left="200"/>
              <w:rPr>
                <w:b/>
                <w:sz w:val="22"/>
              </w:rPr>
            </w:pPr>
            <w:r>
              <w:rPr>
                <w:b/>
                <w:sz w:val="22"/>
              </w:rPr>
              <w:t>5.2</w:t>
            </w:r>
          </w:p>
        </w:tc>
        <w:tc>
          <w:tcPr>
            <w:tcW w:w="1659" w:type="dxa"/>
          </w:tcPr>
          <w:p>
            <w:pPr>
              <w:pStyle w:val="TableParagraph"/>
              <w:spacing w:before="6"/>
              <w:rPr>
                <w:b/>
                <w:sz w:val="15"/>
              </w:rPr>
            </w:pPr>
          </w:p>
          <w:p>
            <w:pPr>
              <w:pStyle w:val="TableParagraph"/>
              <w:ind w:left="221"/>
              <w:rPr>
                <w:b/>
                <w:sz w:val="22"/>
              </w:rPr>
            </w:pPr>
            <w:r>
              <w:rPr>
                <w:b/>
                <w:w w:val="95"/>
                <w:sz w:val="22"/>
              </w:rPr>
              <w:t>保单贷款</w:t>
            </w:r>
          </w:p>
        </w:tc>
        <w:tc>
          <w:tcPr>
            <w:tcW w:w="7628" w:type="dxa"/>
          </w:tcPr>
          <w:p>
            <w:pPr>
              <w:pStyle w:val="TableParagraph"/>
              <w:spacing w:before="6"/>
              <w:rPr>
                <w:b/>
                <w:sz w:val="15"/>
              </w:rPr>
            </w:pPr>
          </w:p>
          <w:p>
            <w:pPr>
              <w:pStyle w:val="TableParagraph"/>
              <w:spacing w:line="316" w:lineRule="auto"/>
              <w:ind w:left="112" w:right="199"/>
              <w:jc w:val="both"/>
              <w:rPr>
                <w:sz w:val="22"/>
              </w:rPr>
            </w:pPr>
            <w:r>
              <w:rPr>
                <w:sz w:val="22"/>
              </w:rPr>
              <w:t>在本合同有效期内，您可以向我们申请贷款。贷款金额不得超过本合同及其附加合同现金价值扣除各项欠款后余额的80%，每次贷款期限最长不超过6个月，</w:t>
            </w:r>
            <w:r>
              <w:rPr>
                <w:b/>
                <w:sz w:val="22"/>
              </w:rPr>
              <w:t>保单贷款利率</w:t>
            </w:r>
            <w:r>
              <w:rPr>
                <w:sz w:val="22"/>
              </w:rPr>
              <w:t>按我们贷款当时确定的利率执行。贷款本息在贷款到期时一并归还。若您到期未能足额偿还贷款本息，则您所欠的贷款本金及利息将作为新的贷款本金计息。</w:t>
            </w:r>
          </w:p>
          <w:p>
            <w:pPr>
              <w:pStyle w:val="TableParagraph"/>
              <w:spacing w:line="316" w:lineRule="auto" w:before="23"/>
              <w:ind w:left="112" w:right="253"/>
              <w:jc w:val="both"/>
              <w:rPr>
                <w:sz w:val="22"/>
              </w:rPr>
            </w:pPr>
            <w:r>
              <w:rPr>
                <w:sz w:val="22"/>
                <w:shd w:fill="D9D9D9" w:color="auto" w:val="clear"/>
              </w:rPr>
              <w:t>自您没还清的贷款本金及利息加上其它各项欠款达到本合同及其附加合同现金价值的次日零时，本合同及附加合同效力中止</w:t>
            </w:r>
            <w:r>
              <w:rPr>
                <w:sz w:val="22"/>
              </w:rPr>
              <w:t>。</w:t>
            </w:r>
          </w:p>
        </w:tc>
      </w:tr>
      <w:tr>
        <w:trPr>
          <w:trHeight w:val="2010" w:hRule="atLeast"/>
        </w:trPr>
        <w:tc>
          <w:tcPr>
            <w:tcW w:w="757" w:type="dxa"/>
          </w:tcPr>
          <w:p>
            <w:pPr>
              <w:pStyle w:val="TableParagraph"/>
              <w:spacing w:before="6"/>
              <w:rPr>
                <w:b/>
                <w:sz w:val="15"/>
              </w:rPr>
            </w:pPr>
          </w:p>
          <w:p>
            <w:pPr>
              <w:pStyle w:val="TableParagraph"/>
              <w:spacing w:before="1"/>
              <w:ind w:left="200"/>
              <w:rPr>
                <w:b/>
                <w:sz w:val="22"/>
              </w:rPr>
            </w:pPr>
            <w:r>
              <w:rPr>
                <w:b/>
                <w:sz w:val="22"/>
              </w:rPr>
              <w:t>5.3</w:t>
            </w:r>
          </w:p>
        </w:tc>
        <w:tc>
          <w:tcPr>
            <w:tcW w:w="1659" w:type="dxa"/>
          </w:tcPr>
          <w:p>
            <w:pPr>
              <w:pStyle w:val="TableParagraph"/>
              <w:spacing w:before="6"/>
              <w:rPr>
                <w:b/>
                <w:sz w:val="15"/>
              </w:rPr>
            </w:pPr>
          </w:p>
          <w:p>
            <w:pPr>
              <w:pStyle w:val="TableParagraph"/>
              <w:spacing w:before="1"/>
              <w:ind w:left="221"/>
              <w:rPr>
                <w:b/>
                <w:sz w:val="22"/>
              </w:rPr>
            </w:pPr>
            <w:r>
              <w:rPr>
                <w:b/>
                <w:w w:val="95"/>
                <w:sz w:val="22"/>
              </w:rPr>
              <w:t>保费自动垫交</w:t>
            </w:r>
          </w:p>
        </w:tc>
        <w:tc>
          <w:tcPr>
            <w:tcW w:w="7628" w:type="dxa"/>
          </w:tcPr>
          <w:p>
            <w:pPr>
              <w:pStyle w:val="TableParagraph"/>
              <w:spacing w:before="6"/>
              <w:rPr>
                <w:b/>
                <w:sz w:val="15"/>
              </w:rPr>
            </w:pPr>
          </w:p>
          <w:p>
            <w:pPr>
              <w:pStyle w:val="TableParagraph"/>
              <w:spacing w:line="316" w:lineRule="auto" w:before="1"/>
              <w:ind w:left="112" w:right="198"/>
              <w:jc w:val="both"/>
              <w:rPr>
                <w:sz w:val="22"/>
              </w:rPr>
            </w:pPr>
            <w:r>
              <w:rPr>
                <w:sz w:val="22"/>
              </w:rPr>
              <w:t>您可以选择保险费自动垫交功能，即如果您在宽限期结束时仍未交纳保险费，我们将以本合同及其附加合同的现金价值扣除您尚未偿还的各项欠款之后的余额自动垫交本合同及其附加合同到期应交的保险费，本合同及其附加合同继续有效。所垫交的保险费视同借款，借款利率按照保单贷款利率执</w:t>
            </w:r>
          </w:p>
          <w:p>
            <w:pPr>
              <w:pStyle w:val="TableParagraph"/>
              <w:spacing w:line="268" w:lineRule="exact" w:before="21"/>
              <w:ind w:left="112"/>
              <w:jc w:val="both"/>
              <w:rPr>
                <w:sz w:val="22"/>
              </w:rPr>
            </w:pPr>
            <w:r>
              <w:rPr>
                <w:sz w:val="22"/>
              </w:rPr>
              <w:t>行。</w:t>
            </w:r>
          </w:p>
        </w:tc>
      </w:tr>
    </w:tbl>
    <w:p>
      <w:pPr>
        <w:spacing w:after="0" w:line="268" w:lineRule="exact"/>
        <w:jc w:val="both"/>
        <w:rPr>
          <w:sz w:val="22"/>
        </w:rPr>
        <w:sectPr>
          <w:pgSz w:w="11910" w:h="16840"/>
          <w:pgMar w:top="15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30"/>
      </w:tblGrid>
      <w:tr>
        <w:trPr>
          <w:trHeight w:val="1630" w:hRule="atLeast"/>
        </w:trPr>
        <w:tc>
          <w:tcPr>
            <w:tcW w:w="757" w:type="dxa"/>
          </w:tcPr>
          <w:p>
            <w:pPr>
              <w:pStyle w:val="TableParagraph"/>
              <w:rPr>
                <w:rFonts w:ascii="Times New Roman"/>
                <w:sz w:val="22"/>
              </w:rPr>
            </w:pPr>
          </w:p>
        </w:tc>
        <w:tc>
          <w:tcPr>
            <w:tcW w:w="1659" w:type="dxa"/>
          </w:tcPr>
          <w:p>
            <w:pPr>
              <w:pStyle w:val="TableParagraph"/>
              <w:rPr>
                <w:rFonts w:ascii="Times New Roman"/>
                <w:sz w:val="22"/>
              </w:rPr>
            </w:pPr>
          </w:p>
        </w:tc>
        <w:tc>
          <w:tcPr>
            <w:tcW w:w="7630" w:type="dxa"/>
          </w:tcPr>
          <w:p>
            <w:pPr>
              <w:pStyle w:val="TableParagraph"/>
              <w:spacing w:line="216" w:lineRule="exact"/>
              <w:ind w:left="112"/>
              <w:rPr>
                <w:sz w:val="22"/>
              </w:rPr>
            </w:pPr>
            <w:r>
              <w:rPr>
                <w:sz w:val="22"/>
              </w:rPr>
              <w:t>当现金价值扣除各项欠款后的余额不足以垫交一期保险费的，我们将根据现</w:t>
            </w:r>
          </w:p>
          <w:p>
            <w:pPr>
              <w:pStyle w:val="TableParagraph"/>
              <w:spacing w:line="316" w:lineRule="auto" w:before="91"/>
              <w:ind w:left="112" w:right="200"/>
              <w:jc w:val="both"/>
              <w:rPr>
                <w:sz w:val="22"/>
              </w:rPr>
            </w:pPr>
            <w:r>
              <w:rPr>
                <w:sz w:val="22"/>
              </w:rPr>
              <w:t>金价值的余额计算本合同及其附加合同可以继续有效的天数，本合同及其附加合同在此期间继续有效。</w:t>
            </w:r>
            <w:r>
              <w:rPr>
                <w:sz w:val="22"/>
                <w:shd w:fill="D9D9D9" w:color="auto" w:val="clear"/>
              </w:rPr>
              <w:t>当现金价值余额为零时，本合同及其附加合同效力中止</w:t>
            </w:r>
            <w:r>
              <w:rPr>
                <w:sz w:val="22"/>
              </w:rPr>
              <w:t>。</w:t>
            </w:r>
          </w:p>
        </w:tc>
      </w:tr>
      <w:tr>
        <w:trPr>
          <w:trHeight w:val="2280" w:hRule="atLeast"/>
        </w:trPr>
        <w:tc>
          <w:tcPr>
            <w:tcW w:w="757" w:type="dxa"/>
          </w:tcPr>
          <w:p>
            <w:pPr>
              <w:pStyle w:val="TableParagraph"/>
              <w:spacing w:before="196"/>
              <w:ind w:left="200"/>
              <w:rPr>
                <w:b/>
                <w:sz w:val="22"/>
              </w:rPr>
            </w:pPr>
            <w:r>
              <w:rPr>
                <w:b/>
                <w:sz w:val="22"/>
              </w:rPr>
              <w:t>5.4</w:t>
            </w:r>
          </w:p>
        </w:tc>
        <w:tc>
          <w:tcPr>
            <w:tcW w:w="1659" w:type="dxa"/>
          </w:tcPr>
          <w:p>
            <w:pPr>
              <w:pStyle w:val="TableParagraph"/>
              <w:spacing w:before="196"/>
              <w:ind w:left="221"/>
              <w:rPr>
                <w:b/>
                <w:sz w:val="22"/>
              </w:rPr>
            </w:pPr>
            <w:r>
              <w:rPr>
                <w:b/>
                <w:w w:val="95"/>
                <w:sz w:val="22"/>
              </w:rPr>
              <w:t>减额交清</w:t>
            </w:r>
          </w:p>
        </w:tc>
        <w:tc>
          <w:tcPr>
            <w:tcW w:w="7630" w:type="dxa"/>
          </w:tcPr>
          <w:p>
            <w:pPr>
              <w:pStyle w:val="TableParagraph"/>
              <w:spacing w:line="316" w:lineRule="auto" w:before="196"/>
              <w:ind w:left="112" w:right="199"/>
              <w:jc w:val="both"/>
              <w:rPr>
                <w:sz w:val="22"/>
              </w:rPr>
            </w:pPr>
            <w:r>
              <w:rPr>
                <w:sz w:val="22"/>
              </w:rPr>
              <w:t>您交足保险费累积有现金价值的，可以书面形式向我们申请将本合同变更为减额交清保险。我们将以变更生效当时本合同的现金价值扣除您尚未偿还的各项欠款之后的余额，作为一次性付清的</w:t>
            </w:r>
            <w:r>
              <w:rPr>
                <w:b/>
                <w:sz w:val="22"/>
              </w:rPr>
              <w:t>净保险费</w:t>
            </w:r>
            <w:r>
              <w:rPr>
                <w:sz w:val="22"/>
              </w:rPr>
              <w:t>，重新计算本合同的保险金额，保险金额会相应减少。</w:t>
            </w:r>
          </w:p>
          <w:p>
            <w:pPr>
              <w:pStyle w:val="TableParagraph"/>
              <w:spacing w:before="22"/>
              <w:ind w:left="112"/>
              <w:jc w:val="both"/>
              <w:rPr>
                <w:sz w:val="22"/>
              </w:rPr>
            </w:pPr>
            <w:r>
              <w:rPr>
                <w:sz w:val="22"/>
              </w:rPr>
              <w:t>减额交清后，您不需要再交纳保险费，本合同继续有效。</w:t>
            </w:r>
          </w:p>
        </w:tc>
      </w:tr>
      <w:tr>
        <w:trPr>
          <w:trHeight w:val="1250" w:hRule="atLeast"/>
        </w:trPr>
        <w:tc>
          <w:tcPr>
            <w:tcW w:w="757" w:type="dxa"/>
          </w:tcPr>
          <w:p>
            <w:pPr>
              <w:pStyle w:val="TableParagraph"/>
              <w:spacing w:before="197"/>
              <w:ind w:left="200"/>
              <w:rPr>
                <w:b/>
                <w:sz w:val="22"/>
              </w:rPr>
            </w:pPr>
            <w:r>
              <w:rPr>
                <w:b/>
                <w:sz w:val="22"/>
              </w:rPr>
              <w:t>5.5</w:t>
            </w:r>
          </w:p>
        </w:tc>
        <w:tc>
          <w:tcPr>
            <w:tcW w:w="1659" w:type="dxa"/>
          </w:tcPr>
          <w:p>
            <w:pPr>
              <w:pStyle w:val="TableParagraph"/>
              <w:spacing w:line="319" w:lineRule="auto" w:before="197"/>
              <w:ind w:left="221" w:right="111"/>
              <w:rPr>
                <w:b/>
                <w:sz w:val="22"/>
              </w:rPr>
            </w:pPr>
            <w:r>
              <w:rPr>
                <w:b/>
                <w:sz w:val="22"/>
              </w:rPr>
              <w:t>减少基本保险</w:t>
            </w:r>
            <w:r>
              <w:rPr>
                <w:b/>
                <w:w w:val="95"/>
                <w:sz w:val="22"/>
              </w:rPr>
              <w:t>金额</w:t>
            </w:r>
          </w:p>
        </w:tc>
        <w:tc>
          <w:tcPr>
            <w:tcW w:w="7630" w:type="dxa"/>
          </w:tcPr>
          <w:p>
            <w:pPr>
              <w:pStyle w:val="TableParagraph"/>
              <w:spacing w:before="197"/>
              <w:ind w:left="112"/>
              <w:rPr>
                <w:sz w:val="22"/>
              </w:rPr>
            </w:pPr>
            <w:r>
              <w:rPr>
                <w:sz w:val="22"/>
              </w:rPr>
              <w:t>在本合同有效期内，您可以书面申请减少基本保险金额，但减少后的基本保</w:t>
            </w:r>
          </w:p>
          <w:p>
            <w:pPr>
              <w:pStyle w:val="TableParagraph"/>
              <w:spacing w:line="380" w:lineRule="atLeast" w:before="1"/>
              <w:ind w:left="112" w:right="199"/>
              <w:rPr>
                <w:sz w:val="22"/>
              </w:rPr>
            </w:pPr>
            <w:r>
              <w:rPr>
                <w:sz w:val="22"/>
              </w:rPr>
              <w:t>险金额，不得低于申请减额时我们规定的最低承保金额，基本保险金额减少的部分依(7.1)解除合同的手续办理。</w:t>
            </w:r>
          </w:p>
        </w:tc>
      </w:tr>
    </w:tbl>
    <w:p>
      <w:pPr>
        <w:pStyle w:val="BodyText"/>
        <w:spacing w:before="8"/>
        <w:rPr>
          <w:b/>
        </w:rPr>
      </w:pPr>
    </w:p>
    <w:p>
      <w:pPr>
        <w:pStyle w:val="Heading2"/>
      </w:pPr>
      <w:r>
        <w:rPr>
          <w:rFonts w:ascii="Wingdings" w:hAnsi="Wingdings" w:eastAsia="Wingdings"/>
          <w:b w:val="0"/>
          <w:w w:val="95"/>
          <w:position w:val="-5"/>
          <w:sz w:val="48"/>
        </w:rPr>
        <w:t></w:t>
      </w:r>
      <w:r>
        <w:rPr>
          <w:w w:val="95"/>
        </w:rPr>
        <w:t>合同效力的中止及恢复</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03"/>
        <w:gridCol w:w="7680"/>
      </w:tblGrid>
      <w:tr>
        <w:trPr>
          <w:trHeight w:val="490" w:hRule="atLeast"/>
        </w:trPr>
        <w:tc>
          <w:tcPr>
            <w:tcW w:w="757" w:type="dxa"/>
          </w:tcPr>
          <w:p>
            <w:pPr>
              <w:pStyle w:val="TableParagraph"/>
              <w:spacing w:line="221" w:lineRule="exact"/>
              <w:ind w:left="200"/>
              <w:rPr>
                <w:b/>
                <w:sz w:val="22"/>
              </w:rPr>
            </w:pPr>
            <w:r>
              <w:rPr>
                <w:b/>
                <w:sz w:val="22"/>
              </w:rPr>
              <w:t>6.1</w:t>
            </w:r>
          </w:p>
        </w:tc>
        <w:tc>
          <w:tcPr>
            <w:tcW w:w="1603" w:type="dxa"/>
          </w:tcPr>
          <w:p>
            <w:pPr>
              <w:pStyle w:val="TableParagraph"/>
              <w:spacing w:line="221" w:lineRule="exact"/>
              <w:ind w:left="221"/>
              <w:rPr>
                <w:b/>
                <w:sz w:val="22"/>
              </w:rPr>
            </w:pPr>
            <w:r>
              <w:rPr>
                <w:b/>
                <w:w w:val="95"/>
                <w:sz w:val="22"/>
              </w:rPr>
              <w:t>效力中止</w:t>
            </w:r>
          </w:p>
        </w:tc>
        <w:tc>
          <w:tcPr>
            <w:tcW w:w="7680" w:type="dxa"/>
          </w:tcPr>
          <w:p>
            <w:pPr>
              <w:pStyle w:val="TableParagraph"/>
              <w:spacing w:line="221" w:lineRule="exact"/>
              <w:ind w:left="168"/>
              <w:rPr>
                <w:rFonts w:ascii="黑体" w:eastAsia="黑体" w:hint="eastAsia"/>
                <w:sz w:val="22"/>
              </w:rPr>
            </w:pPr>
            <w:r>
              <w:rPr>
                <w:sz w:val="22"/>
                <w:shd w:fill="D9D9D9" w:color="auto" w:val="clear"/>
              </w:rPr>
              <w:t>在本合同效力中止期间，我们不承担保险责任</w:t>
            </w:r>
            <w:r>
              <w:rPr>
                <w:rFonts w:ascii="黑体" w:eastAsia="黑体" w:hint="eastAsia"/>
                <w:sz w:val="22"/>
              </w:rPr>
              <w:t>。</w:t>
            </w:r>
          </w:p>
        </w:tc>
      </w:tr>
      <w:tr>
        <w:trPr>
          <w:trHeight w:val="1631" w:hRule="atLeast"/>
        </w:trPr>
        <w:tc>
          <w:tcPr>
            <w:tcW w:w="757" w:type="dxa"/>
          </w:tcPr>
          <w:p>
            <w:pPr>
              <w:pStyle w:val="TableParagraph"/>
              <w:spacing w:before="6"/>
              <w:rPr>
                <w:b/>
                <w:sz w:val="15"/>
              </w:rPr>
            </w:pPr>
          </w:p>
          <w:p>
            <w:pPr>
              <w:pStyle w:val="TableParagraph"/>
              <w:ind w:left="200"/>
              <w:rPr>
                <w:b/>
                <w:sz w:val="22"/>
              </w:rPr>
            </w:pPr>
            <w:r>
              <w:rPr>
                <w:b/>
                <w:sz w:val="22"/>
              </w:rPr>
              <w:t>6.2</w:t>
            </w:r>
          </w:p>
        </w:tc>
        <w:tc>
          <w:tcPr>
            <w:tcW w:w="1603" w:type="dxa"/>
          </w:tcPr>
          <w:p>
            <w:pPr>
              <w:pStyle w:val="TableParagraph"/>
              <w:spacing w:before="6"/>
              <w:rPr>
                <w:b/>
                <w:sz w:val="15"/>
              </w:rPr>
            </w:pPr>
          </w:p>
          <w:p>
            <w:pPr>
              <w:pStyle w:val="TableParagraph"/>
              <w:spacing w:line="316" w:lineRule="auto"/>
              <w:ind w:left="221" w:right="165"/>
              <w:rPr>
                <w:b/>
                <w:sz w:val="22"/>
              </w:rPr>
            </w:pPr>
            <w:r>
              <w:rPr>
                <w:b/>
                <w:sz w:val="22"/>
              </w:rPr>
              <w:t>效力恢复(复</w:t>
            </w:r>
            <w:r>
              <w:rPr>
                <w:b/>
                <w:w w:val="95"/>
                <w:sz w:val="22"/>
              </w:rPr>
              <w:t>效)</w:t>
            </w:r>
          </w:p>
        </w:tc>
        <w:tc>
          <w:tcPr>
            <w:tcW w:w="7680" w:type="dxa"/>
          </w:tcPr>
          <w:p>
            <w:pPr>
              <w:pStyle w:val="TableParagraph"/>
              <w:spacing w:before="6"/>
              <w:rPr>
                <w:b/>
                <w:sz w:val="15"/>
              </w:rPr>
            </w:pPr>
          </w:p>
          <w:p>
            <w:pPr>
              <w:pStyle w:val="TableParagraph"/>
              <w:spacing w:line="316" w:lineRule="auto"/>
              <w:ind w:left="168" w:right="197"/>
              <w:rPr>
                <w:sz w:val="22"/>
              </w:rPr>
            </w:pPr>
            <w:r>
              <w:rPr>
                <w:sz w:val="22"/>
              </w:rPr>
              <w:t>本合同效力中止后2年内，您可以申请恢复合同效力。经我们与您协商并达成协议，在您补交保险费及其它未还款项之日起，合同效力恢复。</w:t>
            </w:r>
          </w:p>
          <w:p>
            <w:pPr>
              <w:pStyle w:val="TableParagraph"/>
              <w:spacing w:before="23"/>
              <w:ind w:left="168"/>
              <w:rPr>
                <w:sz w:val="22"/>
              </w:rPr>
            </w:pPr>
            <w:r>
              <w:rPr>
                <w:sz w:val="22"/>
              </w:rPr>
              <w:t>自本合同效力中止之日起满2年您和我们未达成协议的，我们有权解除合</w:t>
            </w:r>
          </w:p>
          <w:p>
            <w:pPr>
              <w:pStyle w:val="TableParagraph"/>
              <w:spacing w:line="268" w:lineRule="exact" w:before="91"/>
              <w:ind w:left="168"/>
              <w:rPr>
                <w:sz w:val="22"/>
              </w:rPr>
            </w:pPr>
            <w:r>
              <w:rPr>
                <w:sz w:val="22"/>
              </w:rPr>
              <w:t>同。我们解除合同的，向您退还合同效力中止时保险合同的现金价值。</w:t>
            </w:r>
          </w:p>
        </w:tc>
      </w:tr>
    </w:tbl>
    <w:p>
      <w:pPr>
        <w:pStyle w:val="BodyText"/>
        <w:rPr>
          <w:b/>
          <w:sz w:val="20"/>
        </w:rPr>
      </w:pPr>
    </w:p>
    <w:p>
      <w:pPr>
        <w:pStyle w:val="BodyText"/>
        <w:spacing w:before="2"/>
        <w:rPr>
          <w:b/>
          <w:sz w:val="19"/>
        </w:rPr>
      </w:pPr>
    </w:p>
    <w:p>
      <w:pPr>
        <w:pStyle w:val="Heading2"/>
      </w:pPr>
      <w:r>
        <w:rPr>
          <w:rFonts w:ascii="Wingdings" w:hAnsi="Wingdings" w:eastAsia="Wingdings"/>
          <w:b w:val="0"/>
          <w:w w:val="95"/>
          <w:position w:val="-5"/>
          <w:sz w:val="48"/>
        </w:rPr>
        <w:t></w:t>
      </w:r>
      <w:r>
        <w:rPr>
          <w:w w:val="95"/>
        </w:rPr>
        <w:t>合同解除</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6"/>
      </w:tblGrid>
      <w:tr>
        <w:trPr>
          <w:trHeight w:val="2501" w:hRule="atLeast"/>
        </w:trPr>
        <w:tc>
          <w:tcPr>
            <w:tcW w:w="757" w:type="dxa"/>
          </w:tcPr>
          <w:p>
            <w:pPr>
              <w:pStyle w:val="TableParagraph"/>
              <w:spacing w:line="221" w:lineRule="exact"/>
              <w:ind w:left="200"/>
              <w:rPr>
                <w:b/>
                <w:sz w:val="22"/>
              </w:rPr>
            </w:pPr>
            <w:r>
              <w:rPr>
                <w:b/>
                <w:sz w:val="22"/>
              </w:rPr>
              <w:t>7.1</w:t>
            </w:r>
          </w:p>
        </w:tc>
        <w:tc>
          <w:tcPr>
            <w:tcW w:w="1659" w:type="dxa"/>
          </w:tcPr>
          <w:p>
            <w:pPr>
              <w:pStyle w:val="TableParagraph"/>
              <w:spacing w:line="221" w:lineRule="exact"/>
              <w:ind w:left="221"/>
              <w:rPr>
                <w:b/>
                <w:sz w:val="22"/>
              </w:rPr>
            </w:pPr>
            <w:r>
              <w:rPr>
                <w:b/>
                <w:w w:val="95"/>
                <w:sz w:val="22"/>
              </w:rPr>
              <w:t>投保人解除合</w:t>
            </w:r>
          </w:p>
          <w:p>
            <w:pPr>
              <w:pStyle w:val="TableParagraph"/>
              <w:spacing w:line="319" w:lineRule="auto" w:before="91"/>
              <w:ind w:left="221" w:right="111"/>
              <w:rPr>
                <w:b/>
                <w:sz w:val="22"/>
              </w:rPr>
            </w:pPr>
            <w:r>
              <w:rPr>
                <w:b/>
                <w:sz w:val="22"/>
              </w:rPr>
              <w:t>同的手续及风险</w:t>
            </w:r>
          </w:p>
        </w:tc>
        <w:tc>
          <w:tcPr>
            <w:tcW w:w="7626" w:type="dxa"/>
          </w:tcPr>
          <w:p>
            <w:pPr>
              <w:pStyle w:val="TableParagraph"/>
              <w:spacing w:line="221" w:lineRule="exact"/>
              <w:ind w:left="112"/>
              <w:rPr>
                <w:sz w:val="22"/>
              </w:rPr>
            </w:pPr>
            <w:r>
              <w:rPr>
                <w:sz w:val="22"/>
              </w:rPr>
              <w:t>如您在犹豫期后申请解除本合同，请填写解除合同申请书并向我们提供下列</w:t>
            </w:r>
          </w:p>
          <w:p>
            <w:pPr>
              <w:pStyle w:val="TableParagraph"/>
              <w:spacing w:before="91"/>
              <w:ind w:left="112"/>
              <w:rPr>
                <w:sz w:val="22"/>
              </w:rPr>
            </w:pPr>
            <w:r>
              <w:rPr>
                <w:sz w:val="22"/>
              </w:rPr>
              <w:t>资料：</w:t>
            </w:r>
          </w:p>
          <w:p>
            <w:pPr>
              <w:pStyle w:val="TableParagraph"/>
              <w:numPr>
                <w:ilvl w:val="0"/>
                <w:numId w:val="13"/>
              </w:numPr>
              <w:tabs>
                <w:tab w:pos="566" w:val="left" w:leader="none"/>
              </w:tabs>
              <w:spacing w:line="240" w:lineRule="auto" w:before="93" w:after="0"/>
              <w:ind w:left="566" w:right="0" w:hanging="454"/>
              <w:jc w:val="left"/>
              <w:rPr>
                <w:sz w:val="22"/>
              </w:rPr>
            </w:pPr>
            <w:r>
              <w:rPr>
                <w:spacing w:val="-1"/>
                <w:sz w:val="22"/>
              </w:rPr>
              <w:t>保险合同；</w:t>
            </w:r>
          </w:p>
          <w:p>
            <w:pPr>
              <w:pStyle w:val="TableParagraph"/>
              <w:numPr>
                <w:ilvl w:val="0"/>
                <w:numId w:val="13"/>
              </w:numPr>
              <w:tabs>
                <w:tab w:pos="566" w:val="left" w:leader="none"/>
              </w:tabs>
              <w:spacing w:line="240" w:lineRule="auto" w:before="91" w:after="0"/>
              <w:ind w:left="566" w:right="0" w:hanging="454"/>
              <w:jc w:val="left"/>
              <w:rPr>
                <w:sz w:val="22"/>
              </w:rPr>
            </w:pPr>
            <w:r>
              <w:rPr>
                <w:spacing w:val="-2"/>
                <w:sz w:val="22"/>
              </w:rPr>
              <w:t>您的有效身份证件。</w:t>
            </w:r>
          </w:p>
          <w:p>
            <w:pPr>
              <w:pStyle w:val="TableParagraph"/>
              <w:spacing w:line="319" w:lineRule="auto" w:before="90"/>
              <w:ind w:left="112" w:right="198"/>
              <w:rPr>
                <w:sz w:val="22"/>
              </w:rPr>
            </w:pPr>
            <w:r>
              <w:rPr>
                <w:sz w:val="22"/>
              </w:rPr>
              <w:t>自我们收到解除合同申请书之日起，本合同终止。我们自收到解除合同申请书之日起30日内向您退还保险合同的现金价值。</w:t>
            </w:r>
          </w:p>
          <w:p>
            <w:pPr>
              <w:pStyle w:val="TableParagraph"/>
              <w:spacing w:line="268" w:lineRule="exact" w:before="18"/>
              <w:ind w:left="112"/>
              <w:rPr>
                <w:sz w:val="22"/>
              </w:rPr>
            </w:pPr>
            <w:r>
              <w:rPr>
                <w:sz w:val="22"/>
              </w:rPr>
              <w:t>您犹豫期后解除合同会遭受一定损失。</w:t>
            </w:r>
          </w:p>
        </w:tc>
      </w:tr>
    </w:tbl>
    <w:p>
      <w:pPr>
        <w:pStyle w:val="BodyText"/>
        <w:rPr>
          <w:b/>
          <w:sz w:val="23"/>
        </w:rPr>
      </w:pPr>
    </w:p>
    <w:p>
      <w:pPr>
        <w:pStyle w:val="Heading2"/>
      </w:pPr>
      <w:r>
        <w:rPr>
          <w:rFonts w:ascii="Wingdings" w:hAnsi="Wingdings" w:eastAsia="Wingdings"/>
          <w:b w:val="0"/>
          <w:w w:val="95"/>
          <w:position w:val="-5"/>
          <w:sz w:val="48"/>
        </w:rPr>
        <w:t></w:t>
      </w:r>
      <w:r>
        <w:rPr>
          <w:w w:val="95"/>
        </w:rPr>
        <w:t>其它需要关注的事项</w:t>
      </w:r>
    </w:p>
    <w:p>
      <w:pPr>
        <w:spacing w:after="0"/>
        <w:sectPr>
          <w:pgSz w:w="11910" w:h="16840"/>
          <w:pgMar w:top="1520" w:bottom="280" w:left="820" w:right="820"/>
        </w:sectPr>
      </w:pP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32"/>
      </w:tblGrid>
      <w:tr>
        <w:trPr>
          <w:trHeight w:val="5810" w:hRule="atLeast"/>
        </w:trPr>
        <w:tc>
          <w:tcPr>
            <w:tcW w:w="757" w:type="dxa"/>
          </w:tcPr>
          <w:p>
            <w:pPr>
              <w:pStyle w:val="TableParagraph"/>
              <w:spacing w:line="221" w:lineRule="exact"/>
              <w:ind w:left="200"/>
              <w:rPr>
                <w:b/>
                <w:sz w:val="22"/>
              </w:rPr>
            </w:pPr>
            <w:r>
              <w:rPr>
                <w:b/>
                <w:sz w:val="22"/>
              </w:rPr>
              <w:t>8.1</w:t>
            </w:r>
          </w:p>
        </w:tc>
        <w:tc>
          <w:tcPr>
            <w:tcW w:w="1659" w:type="dxa"/>
          </w:tcPr>
          <w:p>
            <w:pPr>
              <w:pStyle w:val="TableParagraph"/>
              <w:spacing w:line="221" w:lineRule="exact"/>
              <w:ind w:left="221"/>
              <w:rPr>
                <w:b/>
                <w:sz w:val="22"/>
              </w:rPr>
            </w:pPr>
            <w:r>
              <w:rPr>
                <w:b/>
                <w:w w:val="95"/>
                <w:sz w:val="22"/>
              </w:rPr>
              <w:t>明确说明与如</w:t>
            </w:r>
          </w:p>
          <w:p>
            <w:pPr>
              <w:pStyle w:val="TableParagraph"/>
              <w:spacing w:before="91"/>
              <w:ind w:left="221"/>
              <w:rPr>
                <w:b/>
                <w:sz w:val="22"/>
              </w:rPr>
            </w:pPr>
            <w:r>
              <w:rPr>
                <w:b/>
                <w:w w:val="95"/>
                <w:sz w:val="22"/>
              </w:rPr>
              <w:t>实告知</w:t>
            </w:r>
          </w:p>
        </w:tc>
        <w:tc>
          <w:tcPr>
            <w:tcW w:w="7632" w:type="dxa"/>
          </w:tcPr>
          <w:p>
            <w:pPr>
              <w:pStyle w:val="TableParagraph"/>
              <w:spacing w:line="221" w:lineRule="exact"/>
              <w:ind w:left="112"/>
              <w:rPr>
                <w:sz w:val="22"/>
              </w:rPr>
            </w:pPr>
            <w:r>
              <w:rPr>
                <w:sz w:val="22"/>
              </w:rPr>
              <w:t>订立本合同时，我们应向您说明本合同的内容。</w:t>
            </w:r>
          </w:p>
          <w:p>
            <w:pPr>
              <w:pStyle w:val="TableParagraph"/>
              <w:spacing w:line="316" w:lineRule="auto" w:before="91"/>
              <w:ind w:left="112" w:right="204"/>
              <w:jc w:val="both"/>
              <w:rPr>
                <w:sz w:val="22"/>
              </w:rPr>
            </w:pPr>
            <w:r>
              <w:rPr>
                <w:sz w:val="22"/>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3"/>
              <w:ind w:left="112"/>
              <w:rPr>
                <w:sz w:val="22"/>
              </w:rPr>
            </w:pPr>
            <w:r>
              <w:rPr>
                <w:sz w:val="22"/>
              </w:rPr>
              <w:t>我们就您或被保险人的有关情况提出书面询问，您应当如实告知。</w:t>
            </w:r>
          </w:p>
          <w:p>
            <w:pPr>
              <w:pStyle w:val="TableParagraph"/>
              <w:spacing w:line="316" w:lineRule="auto" w:before="91"/>
              <w:ind w:left="112" w:right="204"/>
              <w:jc w:val="both"/>
              <w:rPr>
                <w:sz w:val="22"/>
              </w:rPr>
            </w:pPr>
            <w:r>
              <w:rPr>
                <w:sz w:val="22"/>
              </w:rPr>
              <w:t>如果您故意或者因重大过失不履行前款规定的如实告知义务，足以影响我们决定是否同意承保或者提高保险费率的，我们有权解除本合同；</w:t>
            </w:r>
          </w:p>
          <w:p>
            <w:pPr>
              <w:pStyle w:val="TableParagraph"/>
              <w:spacing w:line="316" w:lineRule="auto" w:before="23"/>
              <w:ind w:left="112" w:right="204"/>
              <w:jc w:val="both"/>
              <w:rPr>
                <w:sz w:val="22"/>
              </w:rPr>
            </w:pPr>
            <w:r>
              <w:rPr>
                <w:sz w:val="22"/>
              </w:rPr>
              <w:t>如果您故意不履行如实告知义务，对于本合同解除前发生的保险事故，我们不承担给付保险金的责任，并不退还保险费。</w:t>
            </w:r>
          </w:p>
          <w:p>
            <w:pPr>
              <w:pStyle w:val="TableParagraph"/>
              <w:spacing w:line="316" w:lineRule="auto" w:before="21"/>
              <w:ind w:left="112" w:right="204"/>
              <w:jc w:val="both"/>
              <w:rPr>
                <w:sz w:val="22"/>
              </w:rPr>
            </w:pPr>
            <w:r>
              <w:rPr>
                <w:sz w:val="22"/>
              </w:rPr>
              <w:t>如果您因重大过失未履行如实告知义务，对保险事故的发生有严重影响的， 对于本合同解除前发生的保险事故，我们不承担给付保险金的责任，但应当退还保险费。</w:t>
            </w:r>
          </w:p>
          <w:p>
            <w:pPr>
              <w:pStyle w:val="TableParagraph"/>
              <w:spacing w:line="319" w:lineRule="auto" w:before="20"/>
              <w:ind w:left="112" w:right="256"/>
              <w:jc w:val="both"/>
              <w:rPr>
                <w:sz w:val="22"/>
              </w:rPr>
            </w:pPr>
            <w:r>
              <w:rPr>
                <w:sz w:val="22"/>
              </w:rPr>
              <w:t>我们在合同订立时已经知道您未如实告知的情况的，我们不得解除合同；发生保险事故的，我们承担给付保险金的责任。</w:t>
            </w:r>
          </w:p>
        </w:tc>
      </w:tr>
      <w:tr>
        <w:trPr>
          <w:trHeight w:val="1520" w:hRule="atLeast"/>
        </w:trPr>
        <w:tc>
          <w:tcPr>
            <w:tcW w:w="757" w:type="dxa"/>
          </w:tcPr>
          <w:p>
            <w:pPr>
              <w:pStyle w:val="TableParagraph"/>
              <w:spacing w:before="5"/>
              <w:rPr>
                <w:b/>
                <w:sz w:val="15"/>
              </w:rPr>
            </w:pPr>
          </w:p>
          <w:p>
            <w:pPr>
              <w:pStyle w:val="TableParagraph"/>
              <w:ind w:left="200"/>
              <w:rPr>
                <w:b/>
                <w:sz w:val="22"/>
              </w:rPr>
            </w:pPr>
            <w:r>
              <w:rPr>
                <w:b/>
                <w:sz w:val="22"/>
              </w:rPr>
              <w:t>8.2</w:t>
            </w:r>
          </w:p>
        </w:tc>
        <w:tc>
          <w:tcPr>
            <w:tcW w:w="1659" w:type="dxa"/>
          </w:tcPr>
          <w:p>
            <w:pPr>
              <w:pStyle w:val="TableParagraph"/>
              <w:spacing w:before="5"/>
              <w:rPr>
                <w:b/>
                <w:sz w:val="15"/>
              </w:rPr>
            </w:pPr>
          </w:p>
          <w:p>
            <w:pPr>
              <w:pStyle w:val="TableParagraph"/>
              <w:spacing w:line="319" w:lineRule="auto"/>
              <w:ind w:left="221" w:right="111"/>
              <w:rPr>
                <w:b/>
                <w:sz w:val="22"/>
              </w:rPr>
            </w:pPr>
            <w:r>
              <w:rPr>
                <w:b/>
                <w:sz w:val="22"/>
              </w:rPr>
              <w:t>本公司合同解</w:t>
            </w:r>
            <w:r>
              <w:rPr>
                <w:b/>
                <w:w w:val="95"/>
                <w:sz w:val="22"/>
              </w:rPr>
              <w:t>除权的限制</w:t>
            </w:r>
          </w:p>
        </w:tc>
        <w:tc>
          <w:tcPr>
            <w:tcW w:w="7632" w:type="dxa"/>
          </w:tcPr>
          <w:p>
            <w:pPr>
              <w:pStyle w:val="TableParagraph"/>
              <w:spacing w:before="5"/>
              <w:rPr>
                <w:b/>
                <w:sz w:val="15"/>
              </w:rPr>
            </w:pPr>
          </w:p>
          <w:p>
            <w:pPr>
              <w:pStyle w:val="TableParagraph"/>
              <w:spacing w:line="316" w:lineRule="auto"/>
              <w:ind w:left="112" w:right="201"/>
              <w:jc w:val="both"/>
              <w:rPr>
                <w:sz w:val="22"/>
              </w:rPr>
            </w:pPr>
            <w:r>
              <w:rPr>
                <w:sz w:val="22"/>
              </w:rPr>
              <w:t>前条规定的合同解除权，自我们知道有解除事由之日起，超过30日不行使而消灭。自本合同成立之日起超过2年的，我们不得解除合同；发生保险事故的，我们承担给付保险金的责任。</w:t>
            </w:r>
          </w:p>
        </w:tc>
      </w:tr>
      <w:tr>
        <w:trPr>
          <w:trHeight w:val="4560" w:hRule="atLeast"/>
        </w:trPr>
        <w:tc>
          <w:tcPr>
            <w:tcW w:w="757" w:type="dxa"/>
          </w:tcPr>
          <w:p>
            <w:pPr>
              <w:pStyle w:val="TableParagraph"/>
              <w:spacing w:before="6"/>
              <w:rPr>
                <w:b/>
                <w:sz w:val="15"/>
              </w:rPr>
            </w:pPr>
          </w:p>
          <w:p>
            <w:pPr>
              <w:pStyle w:val="TableParagraph"/>
              <w:ind w:left="200"/>
              <w:rPr>
                <w:b/>
                <w:sz w:val="22"/>
              </w:rPr>
            </w:pPr>
            <w:r>
              <w:rPr>
                <w:b/>
                <w:sz w:val="22"/>
              </w:rPr>
              <w:t>8.3</w:t>
            </w:r>
          </w:p>
        </w:tc>
        <w:tc>
          <w:tcPr>
            <w:tcW w:w="1659" w:type="dxa"/>
          </w:tcPr>
          <w:p>
            <w:pPr>
              <w:pStyle w:val="TableParagraph"/>
              <w:spacing w:before="6"/>
              <w:rPr>
                <w:b/>
                <w:sz w:val="15"/>
              </w:rPr>
            </w:pPr>
          </w:p>
          <w:p>
            <w:pPr>
              <w:pStyle w:val="TableParagraph"/>
              <w:ind w:left="221"/>
              <w:rPr>
                <w:b/>
                <w:sz w:val="22"/>
              </w:rPr>
            </w:pPr>
            <w:r>
              <w:rPr>
                <w:b/>
                <w:w w:val="95"/>
                <w:sz w:val="22"/>
              </w:rPr>
              <w:t>年龄错误</w:t>
            </w:r>
          </w:p>
        </w:tc>
        <w:tc>
          <w:tcPr>
            <w:tcW w:w="7632" w:type="dxa"/>
          </w:tcPr>
          <w:p>
            <w:pPr>
              <w:pStyle w:val="TableParagraph"/>
              <w:spacing w:before="6"/>
              <w:rPr>
                <w:b/>
                <w:sz w:val="15"/>
              </w:rPr>
            </w:pPr>
          </w:p>
          <w:p>
            <w:pPr>
              <w:pStyle w:val="TableParagraph"/>
              <w:spacing w:line="316" w:lineRule="auto"/>
              <w:ind w:left="112" w:right="204"/>
              <w:rPr>
                <w:sz w:val="22"/>
              </w:rPr>
            </w:pPr>
            <w:r>
              <w:rPr>
                <w:sz w:val="22"/>
              </w:rPr>
              <w:t>您在申请投保时，应将与有效身份证件相符的被保险人的出生日期在投保单上填明，如果发生错误按照下列方式办理：</w:t>
            </w:r>
          </w:p>
          <w:p>
            <w:pPr>
              <w:pStyle w:val="TableParagraph"/>
              <w:numPr>
                <w:ilvl w:val="0"/>
                <w:numId w:val="14"/>
              </w:numPr>
              <w:tabs>
                <w:tab w:pos="566" w:val="left" w:leader="none"/>
              </w:tabs>
              <w:spacing w:line="316" w:lineRule="auto" w:before="20" w:after="0"/>
              <w:ind w:left="566" w:right="241" w:hanging="454"/>
              <w:jc w:val="left"/>
              <w:rPr>
                <w:sz w:val="22"/>
              </w:rPr>
            </w:pPr>
            <w:r>
              <w:rPr>
                <w:spacing w:val="-3"/>
                <w:sz w:val="22"/>
              </w:rPr>
              <w:t>您申报的被保险人年龄不真实，并且其真实年龄不符合本合同约定投保年龄限制的，在保险事故发生之前我们有权解除合同，并向您退还保险合同的现金价值。我们行使合同解除权适用 “本公司合同解除权的限制”规定。</w:t>
            </w:r>
          </w:p>
          <w:p>
            <w:pPr>
              <w:pStyle w:val="TableParagraph"/>
              <w:numPr>
                <w:ilvl w:val="0"/>
                <w:numId w:val="14"/>
              </w:numPr>
              <w:tabs>
                <w:tab w:pos="566" w:val="left" w:leader="none"/>
              </w:tabs>
              <w:spacing w:line="316" w:lineRule="auto" w:before="23" w:after="0"/>
              <w:ind w:left="566" w:right="242" w:hanging="454"/>
              <w:jc w:val="both"/>
              <w:rPr>
                <w:sz w:val="22"/>
              </w:rPr>
            </w:pPr>
            <w:r>
              <w:rPr>
                <w:spacing w:val="-3"/>
                <w:sz w:val="22"/>
              </w:rPr>
              <w:t>您申报的被保险人年龄不真实，致使您实付保险费少于应付保险费的， 我们有权更正并要求您补交保险费。</w:t>
            </w:r>
            <w:r>
              <w:rPr>
                <w:spacing w:val="-3"/>
                <w:sz w:val="22"/>
                <w:shd w:fill="D9D9D9" w:color="auto" w:val="clear"/>
              </w:rPr>
              <w:t>若已经发生保险事故，在给付保险</w:t>
            </w:r>
            <w:r>
              <w:rPr>
                <w:spacing w:val="-221"/>
                <w:sz w:val="22"/>
                <w:shd w:fill="D9D9D9" w:color="auto" w:val="clear"/>
              </w:rPr>
              <w:t>金</w:t>
            </w:r>
            <w:r>
              <w:rPr>
                <w:spacing w:val="-3"/>
                <w:sz w:val="22"/>
                <w:shd w:fill="D9D9D9" w:color="auto" w:val="clear"/>
              </w:rPr>
              <w:t>时按实付保险费和应付保险费的比例给付</w:t>
            </w:r>
            <w:r>
              <w:rPr>
                <w:sz w:val="22"/>
              </w:rPr>
              <w:t>。</w:t>
            </w:r>
          </w:p>
          <w:p>
            <w:pPr>
              <w:pStyle w:val="TableParagraph"/>
              <w:numPr>
                <w:ilvl w:val="0"/>
                <w:numId w:val="14"/>
              </w:numPr>
              <w:tabs>
                <w:tab w:pos="566" w:val="left" w:leader="none"/>
              </w:tabs>
              <w:spacing w:line="316" w:lineRule="auto" w:before="23" w:after="0"/>
              <w:ind w:left="566" w:right="243" w:hanging="454"/>
              <w:jc w:val="left"/>
              <w:rPr>
                <w:sz w:val="22"/>
              </w:rPr>
            </w:pPr>
            <w:r>
              <w:rPr>
                <w:spacing w:val="-3"/>
                <w:sz w:val="22"/>
              </w:rPr>
              <w:t>您申报的被保险人年龄不真实，致使您实付保险费多于应付保险费的， 我们会将多收的保险费退还给您。</w:t>
            </w:r>
          </w:p>
        </w:tc>
      </w:tr>
      <w:tr>
        <w:trPr>
          <w:trHeight w:val="1249" w:hRule="atLeast"/>
        </w:trPr>
        <w:tc>
          <w:tcPr>
            <w:tcW w:w="757" w:type="dxa"/>
          </w:tcPr>
          <w:p>
            <w:pPr>
              <w:pStyle w:val="TableParagraph"/>
              <w:spacing w:before="6"/>
              <w:rPr>
                <w:b/>
                <w:sz w:val="15"/>
              </w:rPr>
            </w:pPr>
          </w:p>
          <w:p>
            <w:pPr>
              <w:pStyle w:val="TableParagraph"/>
              <w:ind w:left="200"/>
              <w:rPr>
                <w:b/>
                <w:sz w:val="22"/>
              </w:rPr>
            </w:pPr>
            <w:r>
              <w:rPr>
                <w:b/>
                <w:sz w:val="22"/>
              </w:rPr>
              <w:t>8.4</w:t>
            </w:r>
          </w:p>
        </w:tc>
        <w:tc>
          <w:tcPr>
            <w:tcW w:w="1659" w:type="dxa"/>
          </w:tcPr>
          <w:p>
            <w:pPr>
              <w:pStyle w:val="TableParagraph"/>
              <w:spacing w:before="6"/>
              <w:rPr>
                <w:b/>
                <w:sz w:val="15"/>
              </w:rPr>
            </w:pPr>
          </w:p>
          <w:p>
            <w:pPr>
              <w:pStyle w:val="TableParagraph"/>
              <w:ind w:left="221"/>
              <w:rPr>
                <w:b/>
                <w:sz w:val="22"/>
              </w:rPr>
            </w:pPr>
            <w:r>
              <w:rPr>
                <w:b/>
                <w:w w:val="95"/>
                <w:sz w:val="22"/>
              </w:rPr>
              <w:t>未还款项</w:t>
            </w:r>
          </w:p>
        </w:tc>
        <w:tc>
          <w:tcPr>
            <w:tcW w:w="7632" w:type="dxa"/>
          </w:tcPr>
          <w:p>
            <w:pPr>
              <w:pStyle w:val="TableParagraph"/>
              <w:spacing w:line="380" w:lineRule="atLeast" w:before="110"/>
              <w:ind w:left="112" w:right="198"/>
              <w:jc w:val="both"/>
              <w:rPr>
                <w:sz w:val="22"/>
              </w:rPr>
            </w:pPr>
            <w:r>
              <w:rPr>
                <w:sz w:val="22"/>
              </w:rPr>
              <w:t>我们在给付各项保险金、退还现金价值或返还保险费时，如果您有欠交的保险费、保单贷款及利息或其他未还清款项，我们会在扣除上述未还款项后给付。</w:t>
            </w:r>
          </w:p>
        </w:tc>
      </w:tr>
    </w:tbl>
    <w:p>
      <w:pPr>
        <w:spacing w:after="0" w:line="380" w:lineRule="atLeast"/>
        <w:jc w:val="both"/>
        <w:rPr>
          <w:sz w:val="22"/>
        </w:rPr>
        <w:sectPr>
          <w:pgSz w:w="11910" w:h="16840"/>
          <w:pgMar w:top="1400" w:bottom="280" w:left="820" w:right="82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25"/>
      </w:tblGrid>
      <w:tr>
        <w:trPr>
          <w:trHeight w:val="870" w:hRule="atLeast"/>
        </w:trPr>
        <w:tc>
          <w:tcPr>
            <w:tcW w:w="756" w:type="dxa"/>
          </w:tcPr>
          <w:p>
            <w:pPr>
              <w:pStyle w:val="TableParagraph"/>
              <w:spacing w:line="221" w:lineRule="exact"/>
              <w:ind w:left="200"/>
              <w:rPr>
                <w:b/>
                <w:sz w:val="22"/>
              </w:rPr>
            </w:pPr>
            <w:r>
              <w:rPr>
                <w:b/>
                <w:sz w:val="22"/>
              </w:rPr>
              <w:t>8.5</w:t>
            </w:r>
          </w:p>
        </w:tc>
        <w:tc>
          <w:tcPr>
            <w:tcW w:w="1659" w:type="dxa"/>
          </w:tcPr>
          <w:p>
            <w:pPr>
              <w:pStyle w:val="TableParagraph"/>
              <w:spacing w:line="221" w:lineRule="exact"/>
              <w:ind w:left="222"/>
              <w:rPr>
                <w:b/>
                <w:sz w:val="22"/>
              </w:rPr>
            </w:pPr>
            <w:r>
              <w:rPr>
                <w:b/>
                <w:w w:val="95"/>
                <w:sz w:val="22"/>
              </w:rPr>
              <w:t>合同内容变更</w:t>
            </w:r>
          </w:p>
        </w:tc>
        <w:tc>
          <w:tcPr>
            <w:tcW w:w="7625" w:type="dxa"/>
          </w:tcPr>
          <w:p>
            <w:pPr>
              <w:pStyle w:val="TableParagraph"/>
              <w:spacing w:line="221" w:lineRule="exact"/>
              <w:ind w:left="113"/>
              <w:rPr>
                <w:sz w:val="22"/>
              </w:rPr>
            </w:pPr>
            <w:r>
              <w:rPr>
                <w:sz w:val="22"/>
              </w:rPr>
              <w:t>在本合同有效期内，经您与我们协商一致，可以变更本合同的有关内容。变</w:t>
            </w:r>
          </w:p>
          <w:p>
            <w:pPr>
              <w:pStyle w:val="TableParagraph"/>
              <w:spacing w:before="91"/>
              <w:ind w:left="113"/>
              <w:rPr>
                <w:sz w:val="22"/>
              </w:rPr>
            </w:pPr>
            <w:r>
              <w:rPr>
                <w:sz w:val="22"/>
              </w:rPr>
              <w:t>更本合同的，应当由我们在保险单或者其他保险凭证上批注或者附贴批单。</w:t>
            </w:r>
          </w:p>
        </w:tc>
      </w:tr>
      <w:tr>
        <w:trPr>
          <w:trHeight w:val="1900" w:hRule="atLeast"/>
        </w:trPr>
        <w:tc>
          <w:tcPr>
            <w:tcW w:w="756" w:type="dxa"/>
          </w:tcPr>
          <w:p>
            <w:pPr>
              <w:pStyle w:val="TableParagraph"/>
              <w:spacing w:before="6"/>
              <w:rPr>
                <w:b/>
                <w:sz w:val="15"/>
              </w:rPr>
            </w:pPr>
          </w:p>
          <w:p>
            <w:pPr>
              <w:pStyle w:val="TableParagraph"/>
              <w:ind w:left="200"/>
              <w:rPr>
                <w:b/>
                <w:sz w:val="22"/>
              </w:rPr>
            </w:pPr>
            <w:r>
              <w:rPr>
                <w:b/>
                <w:sz w:val="22"/>
              </w:rPr>
              <w:t>8.6</w:t>
            </w:r>
          </w:p>
        </w:tc>
        <w:tc>
          <w:tcPr>
            <w:tcW w:w="1659" w:type="dxa"/>
          </w:tcPr>
          <w:p>
            <w:pPr>
              <w:pStyle w:val="TableParagraph"/>
              <w:spacing w:before="6"/>
              <w:rPr>
                <w:b/>
                <w:sz w:val="15"/>
              </w:rPr>
            </w:pPr>
          </w:p>
          <w:p>
            <w:pPr>
              <w:pStyle w:val="TableParagraph"/>
              <w:ind w:left="222"/>
              <w:rPr>
                <w:b/>
                <w:sz w:val="22"/>
              </w:rPr>
            </w:pPr>
            <w:r>
              <w:rPr>
                <w:b/>
                <w:w w:val="95"/>
                <w:sz w:val="22"/>
              </w:rPr>
              <w:t>地址变更</w:t>
            </w:r>
          </w:p>
        </w:tc>
        <w:tc>
          <w:tcPr>
            <w:tcW w:w="7625" w:type="dxa"/>
          </w:tcPr>
          <w:p>
            <w:pPr>
              <w:pStyle w:val="TableParagraph"/>
              <w:spacing w:before="6"/>
              <w:rPr>
                <w:b/>
                <w:sz w:val="15"/>
              </w:rPr>
            </w:pPr>
          </w:p>
          <w:p>
            <w:pPr>
              <w:pStyle w:val="TableParagraph"/>
              <w:spacing w:line="316" w:lineRule="auto"/>
              <w:ind w:left="113" w:right="196"/>
              <w:jc w:val="both"/>
              <w:rPr>
                <w:sz w:val="22"/>
              </w:rPr>
            </w:pPr>
            <w:r>
              <w:rPr>
                <w:sz w:val="22"/>
              </w:rPr>
              <w:t>为了保障您的合法权益，您的住所或通讯地址变更时，请及时以书面形式或双方认可的其他形式通知我们。若您未以书面形式或双方认可的其他形式通知我们，我们按本合同载明的最后住所或通讯地址发送的有关通知，均视为已送达给您。</w:t>
            </w:r>
          </w:p>
        </w:tc>
      </w:tr>
      <w:tr>
        <w:trPr>
          <w:trHeight w:val="1249" w:hRule="atLeast"/>
        </w:trPr>
        <w:tc>
          <w:tcPr>
            <w:tcW w:w="756" w:type="dxa"/>
          </w:tcPr>
          <w:p>
            <w:pPr>
              <w:pStyle w:val="TableParagraph"/>
              <w:spacing w:before="6"/>
              <w:rPr>
                <w:b/>
                <w:sz w:val="15"/>
              </w:rPr>
            </w:pPr>
          </w:p>
          <w:p>
            <w:pPr>
              <w:pStyle w:val="TableParagraph"/>
              <w:ind w:left="200"/>
              <w:rPr>
                <w:b/>
                <w:sz w:val="22"/>
              </w:rPr>
            </w:pPr>
            <w:r>
              <w:rPr>
                <w:b/>
                <w:sz w:val="22"/>
              </w:rPr>
              <w:t>8.7</w:t>
            </w:r>
          </w:p>
        </w:tc>
        <w:tc>
          <w:tcPr>
            <w:tcW w:w="1659" w:type="dxa"/>
          </w:tcPr>
          <w:p>
            <w:pPr>
              <w:pStyle w:val="TableParagraph"/>
              <w:spacing w:before="6"/>
              <w:rPr>
                <w:b/>
                <w:sz w:val="15"/>
              </w:rPr>
            </w:pPr>
          </w:p>
          <w:p>
            <w:pPr>
              <w:pStyle w:val="TableParagraph"/>
              <w:ind w:left="222"/>
              <w:rPr>
                <w:b/>
                <w:sz w:val="22"/>
              </w:rPr>
            </w:pPr>
            <w:r>
              <w:rPr>
                <w:b/>
                <w:w w:val="95"/>
                <w:sz w:val="22"/>
              </w:rPr>
              <w:t>争议处理</w:t>
            </w:r>
          </w:p>
        </w:tc>
        <w:tc>
          <w:tcPr>
            <w:tcW w:w="7625" w:type="dxa"/>
          </w:tcPr>
          <w:p>
            <w:pPr>
              <w:pStyle w:val="TableParagraph"/>
              <w:spacing w:before="6"/>
              <w:rPr>
                <w:b/>
                <w:sz w:val="15"/>
              </w:rPr>
            </w:pPr>
          </w:p>
          <w:p>
            <w:pPr>
              <w:pStyle w:val="TableParagraph"/>
              <w:spacing w:line="316" w:lineRule="auto"/>
              <w:ind w:left="113" w:right="196"/>
              <w:rPr>
                <w:sz w:val="22"/>
              </w:rPr>
            </w:pPr>
            <w:r>
              <w:rPr>
                <w:sz w:val="22"/>
              </w:rPr>
              <w:t>本合同履行过程中，双方发生争议时，由当事人协商解决，协商不成的，当事人可依达成的仲裁协议通过仲裁解决。无仲裁协议或者仲裁协议无效的，</w:t>
            </w:r>
          </w:p>
          <w:p>
            <w:pPr>
              <w:pStyle w:val="TableParagraph"/>
              <w:spacing w:line="268" w:lineRule="exact" w:before="21"/>
              <w:ind w:left="113"/>
              <w:rPr>
                <w:sz w:val="22"/>
              </w:rPr>
            </w:pPr>
            <w:r>
              <w:rPr>
                <w:sz w:val="22"/>
              </w:rPr>
              <w:t>可依法向人民法院提起诉讼。</w:t>
            </w:r>
          </w:p>
        </w:tc>
      </w:tr>
    </w:tbl>
    <w:p>
      <w:pPr>
        <w:pStyle w:val="BodyText"/>
        <w:spacing w:before="3"/>
        <w:rPr>
          <w:b/>
          <w:sz w:val="23"/>
        </w:rPr>
      </w:pPr>
    </w:p>
    <w:p>
      <w:pPr>
        <w:spacing w:before="73"/>
        <w:ind w:left="454" w:right="0" w:firstLine="0"/>
        <w:jc w:val="left"/>
        <w:rPr>
          <w:b/>
          <w:sz w:val="30"/>
        </w:rPr>
      </w:pPr>
      <w:r>
        <w:rPr>
          <w:rFonts w:ascii="Wingdings" w:hAnsi="Wingdings" w:eastAsia="Wingdings"/>
          <w:w w:val="130"/>
          <w:position w:val="-5"/>
          <w:sz w:val="48"/>
        </w:rPr>
        <w:t></w:t>
      </w:r>
      <w:r>
        <w:rPr>
          <w:b/>
          <w:w w:val="115"/>
          <w:sz w:val="30"/>
        </w:rPr>
        <w:t>释义</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45,22" stroked="true" strokeweight="2.16pt" strokecolor="#000000">
              <v:stroke dashstyle="solid"/>
            </v:line>
            <v:rect style="position:absolute;left:2345;top:0;width:44;height:44" filled="true" fillcolor="#000000" stroked="false">
              <v:fill type="solid"/>
            </v:rect>
            <v:line style="position:absolute" from="2388,22" to="9698,22" stroked="true" strokeweight="2.16pt" strokecolor="#000000">
              <v:stroke dashstyle="solid"/>
            </v:line>
          </v:group>
        </w:pict>
      </w:r>
      <w:r>
        <w:rPr>
          <w:spacing w:val="11"/>
          <w:position w:val="0"/>
          <w:sz w:val="4"/>
        </w:rPr>
      </w:r>
    </w:p>
    <w:p>
      <w:pPr>
        <w:pStyle w:val="BodyText"/>
        <w:rPr>
          <w:b/>
          <w:sz w:val="20"/>
        </w:rPr>
      </w:pPr>
    </w:p>
    <w:p>
      <w:pPr>
        <w:pStyle w:val="ListParagraph"/>
        <w:numPr>
          <w:ilvl w:val="1"/>
          <w:numId w:val="15"/>
        </w:numPr>
        <w:tabs>
          <w:tab w:pos="1091" w:val="left" w:leader="none"/>
        </w:tabs>
        <w:spacing w:line="316" w:lineRule="auto" w:before="167" w:after="0"/>
        <w:ind w:left="2658" w:right="314" w:hanging="2346"/>
        <w:jc w:val="both"/>
        <w:rPr>
          <w:sz w:val="22"/>
        </w:rPr>
      </w:pPr>
      <w:r>
        <w:rPr>
          <w:b/>
          <w:spacing w:val="5"/>
          <w:sz w:val="22"/>
        </w:rPr>
        <w:t>保单年度     </w:t>
      </w:r>
      <w:r>
        <w:rPr>
          <w:sz w:val="22"/>
        </w:rPr>
        <w:t>从保险合同生效日或生效对应日零时起至下一年度保险合同生效对应日零时止为一个保单年度。此处生效对应日是指保险合同生效日在每年的对应日， </w:t>
      </w:r>
      <w:r>
        <w:rPr>
          <w:spacing w:val="-3"/>
          <w:sz w:val="22"/>
        </w:rPr>
        <w:t>如果该保单年度末无对应的同一日，则以该保单年度末最后一日为对应日。</w:t>
      </w:r>
    </w:p>
    <w:p>
      <w:pPr>
        <w:pStyle w:val="BodyText"/>
        <w:spacing w:before="2"/>
        <w:rPr>
          <w:sz w:val="28"/>
        </w:rPr>
      </w:pPr>
    </w:p>
    <w:p>
      <w:pPr>
        <w:spacing w:after="0"/>
        <w:rPr>
          <w:sz w:val="28"/>
        </w:rPr>
        <w:sectPr>
          <w:pgSz w:w="11910" w:h="16840"/>
          <w:pgMar w:top="1580" w:bottom="280" w:left="820" w:right="820"/>
        </w:sectPr>
      </w:pPr>
    </w:p>
    <w:p>
      <w:pPr>
        <w:pStyle w:val="Heading3"/>
        <w:numPr>
          <w:ilvl w:val="1"/>
          <w:numId w:val="15"/>
        </w:numPr>
        <w:tabs>
          <w:tab w:pos="1090" w:val="left" w:leader="none"/>
          <w:tab w:pos="1091" w:val="left" w:leader="none"/>
        </w:tabs>
        <w:spacing w:line="316" w:lineRule="auto" w:before="33" w:after="0"/>
        <w:ind w:left="1090" w:right="0" w:hanging="778"/>
        <w:jc w:val="left"/>
      </w:pPr>
      <w:r>
        <w:rPr/>
        <w:t>保险费约定支</w:t>
      </w:r>
      <w:r>
        <w:rPr>
          <w:spacing w:val="-1"/>
          <w:w w:val="95"/>
        </w:rPr>
        <w:t>付日</w:t>
      </w:r>
    </w:p>
    <w:p>
      <w:pPr>
        <w:pStyle w:val="BodyText"/>
        <w:spacing w:line="316" w:lineRule="auto" w:before="33"/>
        <w:ind w:left="202" w:right="314"/>
      </w:pPr>
      <w:r>
        <w:rPr/>
        <w:br w:type="column"/>
      </w:r>
      <w:r>
        <w:rPr/>
        <w:t>保险合同生效日在每月、每季、每半年或每年（根据支付方式确定）的对应日。如果当月无对应的同一日，则以该月最后一日为对应日。</w:t>
      </w:r>
    </w:p>
    <w:p>
      <w:pPr>
        <w:spacing w:after="0" w:line="316" w:lineRule="auto"/>
        <w:sectPr>
          <w:type w:val="continuous"/>
          <w:pgSz w:w="11910" w:h="16840"/>
          <w:pgMar w:top="1440" w:bottom="280" w:left="820" w:right="820"/>
          <w:cols w:num="2" w:equalWidth="0">
            <w:col w:w="2416" w:space="40"/>
            <w:col w:w="7814"/>
          </w:cols>
        </w:sectPr>
      </w:pPr>
    </w:p>
    <w:p>
      <w:pPr>
        <w:pStyle w:val="BodyText"/>
        <w:spacing w:before="2"/>
        <w:rPr>
          <w:sz w:val="28"/>
        </w:rPr>
      </w:pPr>
    </w:p>
    <w:p>
      <w:pPr>
        <w:pStyle w:val="ListParagraph"/>
        <w:numPr>
          <w:ilvl w:val="1"/>
          <w:numId w:val="15"/>
        </w:numPr>
        <w:tabs>
          <w:tab w:pos="1091" w:val="left" w:leader="none"/>
        </w:tabs>
        <w:spacing w:line="316" w:lineRule="auto" w:before="33" w:after="0"/>
        <w:ind w:left="2658" w:right="314" w:hanging="2346"/>
        <w:jc w:val="both"/>
        <w:rPr>
          <w:sz w:val="22"/>
        </w:rPr>
      </w:pPr>
      <w:r>
        <w:rPr>
          <w:b/>
          <w:spacing w:val="3"/>
          <w:sz w:val="22"/>
        </w:rPr>
        <w:t>周岁         </w:t>
      </w:r>
      <w:r>
        <w:rPr>
          <w:sz w:val="22"/>
        </w:rPr>
        <w:t>指按法定身份证件中记载的出生日期计算的年龄，自出生之日起为零周岁， </w:t>
      </w:r>
      <w:r>
        <w:rPr>
          <w:spacing w:val="-3"/>
          <w:sz w:val="22"/>
        </w:rPr>
        <w:t>每经过一年增加一岁，不足一年的不计。</w:t>
      </w:r>
    </w:p>
    <w:p>
      <w:pPr>
        <w:pStyle w:val="BodyText"/>
        <w:spacing w:before="9"/>
        <w:rPr>
          <w:sz w:val="30"/>
        </w:rPr>
      </w:pPr>
    </w:p>
    <w:p>
      <w:pPr>
        <w:pStyle w:val="ListParagraph"/>
        <w:numPr>
          <w:ilvl w:val="1"/>
          <w:numId w:val="15"/>
        </w:numPr>
        <w:tabs>
          <w:tab w:pos="1091" w:val="left" w:leader="none"/>
        </w:tabs>
        <w:spacing w:line="316" w:lineRule="auto" w:before="0" w:after="0"/>
        <w:ind w:left="2658" w:right="310" w:hanging="2346"/>
        <w:jc w:val="both"/>
        <w:rPr>
          <w:sz w:val="22"/>
        </w:rPr>
      </w:pPr>
      <w:r>
        <w:rPr>
          <w:b/>
          <w:spacing w:val="3"/>
          <w:sz w:val="22"/>
        </w:rPr>
        <w:t>医院         </w:t>
      </w:r>
      <w:r>
        <w:rPr>
          <w:sz w:val="22"/>
        </w:rPr>
        <w:t>指经中华人民共和国卫生行政部门评审确定的二级或以上的公立医院，</w:t>
      </w:r>
      <w:r>
        <w:rPr>
          <w:sz w:val="22"/>
          <w:shd w:fill="D9D9D9" w:color="auto" w:val="clear"/>
        </w:rPr>
        <w:t>但不包括精神病院及专供康复、护理、疗养、戒酒、戒毒、养老等非以直接诊治</w:t>
      </w:r>
      <w:r>
        <w:rPr>
          <w:spacing w:val="-221"/>
          <w:sz w:val="22"/>
          <w:shd w:fill="D9D9D9" w:color="auto" w:val="clear"/>
        </w:rPr>
        <w:t>病</w:t>
      </w:r>
      <w:r>
        <w:rPr>
          <w:sz w:val="22"/>
          <w:shd w:fill="D9D9D9" w:color="auto" w:val="clear"/>
        </w:rPr>
        <w:t>人为目的的医疗机构</w:t>
      </w:r>
      <w:r>
        <w:rPr>
          <w:sz w:val="22"/>
        </w:rPr>
        <w:t>，该医院必须具有符合国家有关医院管理规则设置标准的医疗设施，且全天</w:t>
      </w:r>
      <w:r>
        <w:rPr>
          <w:spacing w:val="2"/>
          <w:sz w:val="22"/>
        </w:rPr>
        <w:t>24</w:t>
      </w:r>
      <w:r>
        <w:rPr>
          <w:spacing w:val="3"/>
          <w:sz w:val="22"/>
        </w:rPr>
        <w:t>小时有合格的医师和护士驻院提供医疗和护理服务。</w:t>
      </w:r>
    </w:p>
    <w:p>
      <w:pPr>
        <w:pStyle w:val="BodyText"/>
        <w:spacing w:before="9"/>
        <w:rPr>
          <w:sz w:val="30"/>
        </w:rPr>
      </w:pPr>
    </w:p>
    <w:p>
      <w:pPr>
        <w:pStyle w:val="ListParagraph"/>
        <w:numPr>
          <w:ilvl w:val="1"/>
          <w:numId w:val="15"/>
        </w:numPr>
        <w:tabs>
          <w:tab w:pos="1090" w:val="left" w:leader="none"/>
          <w:tab w:pos="1091" w:val="left" w:leader="none"/>
          <w:tab w:pos="2657" w:val="left" w:leader="none"/>
        </w:tabs>
        <w:spacing w:line="240" w:lineRule="auto" w:before="1" w:after="0"/>
        <w:ind w:left="2658" w:right="0" w:hanging="2346"/>
        <w:jc w:val="left"/>
        <w:rPr>
          <w:sz w:val="22"/>
        </w:rPr>
      </w:pPr>
      <w:r>
        <w:rPr>
          <w:b/>
          <w:sz w:val="22"/>
        </w:rPr>
        <w:t>专科医生</w:t>
        <w:tab/>
      </w:r>
      <w:r>
        <w:rPr>
          <w:spacing w:val="-1"/>
          <w:sz w:val="22"/>
        </w:rPr>
        <w:t>专科</w:t>
      </w:r>
      <w:r>
        <w:rPr>
          <w:sz w:val="22"/>
        </w:rPr>
        <w:t>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件：（1）具</w:t>
      </w:r>
      <w:r>
        <w:rPr>
          <w:spacing w:val="-3"/>
          <w:sz w:val="22"/>
        </w:rPr>
        <w:t>有</w:t>
      </w:r>
      <w:r>
        <w:rPr>
          <w:sz w:val="22"/>
        </w:rPr>
        <w:t>有效的</w:t>
      </w:r>
      <w:r>
        <w:rPr>
          <w:spacing w:val="-3"/>
          <w:sz w:val="22"/>
        </w:rPr>
        <w:t>中</w:t>
      </w:r>
      <w:r>
        <w:rPr>
          <w:sz w:val="22"/>
        </w:rPr>
        <w:t>华人</w:t>
      </w:r>
      <w:r>
        <w:rPr>
          <w:spacing w:val="-3"/>
          <w:sz w:val="22"/>
        </w:rPr>
        <w:t>民</w:t>
      </w:r>
      <w:r>
        <w:rPr>
          <w:sz w:val="22"/>
        </w:rPr>
        <w:t>共和国</w:t>
      </w:r>
    </w:p>
    <w:p>
      <w:pPr>
        <w:pStyle w:val="BodyText"/>
        <w:spacing w:line="316" w:lineRule="auto" w:before="91"/>
        <w:ind w:left="2658" w:right="453"/>
        <w:jc w:val="both"/>
      </w:pPr>
      <w:r>
        <w:rPr/>
        <w:t>《医师资格证书》；（2）具有有效的中华人民共和国《医师执业证书》， 并按期到相关部门登记注册；（3）具有有效的中华人民共和国主治医师或主治医师以上的职称的《医师职称证书》；（4）在二级或二级以上医院的相应科室从事临床工作三年以上。</w:t>
      </w:r>
    </w:p>
    <w:p>
      <w:pPr>
        <w:spacing w:after="0" w:line="316" w:lineRule="auto"/>
        <w:jc w:val="both"/>
        <w:sectPr>
          <w:type w:val="continuous"/>
          <w:pgSz w:w="11910" w:h="16840"/>
          <w:pgMar w:top="1440" w:bottom="280" w:left="820" w:right="820"/>
        </w:sectPr>
      </w:pPr>
    </w:p>
    <w:p>
      <w:pPr>
        <w:pStyle w:val="ListParagraph"/>
        <w:numPr>
          <w:ilvl w:val="1"/>
          <w:numId w:val="15"/>
        </w:numPr>
        <w:tabs>
          <w:tab w:pos="891" w:val="left" w:leader="none"/>
        </w:tabs>
        <w:spacing w:line="316" w:lineRule="auto" w:before="8" w:after="0"/>
        <w:ind w:left="2458" w:right="133" w:hanging="2346"/>
        <w:jc w:val="both"/>
        <w:rPr>
          <w:sz w:val="22"/>
        </w:rPr>
      </w:pPr>
      <w:r>
        <w:rPr>
          <w:b/>
          <w:spacing w:val="5"/>
          <w:sz w:val="22"/>
        </w:rPr>
        <w:t>重大疾病     </w:t>
      </w:r>
      <w:r>
        <w:rPr>
          <w:sz w:val="22"/>
        </w:rPr>
        <w:t>指被保险人自本合同生效日90天以后初次经医院专科医生明确诊断符合下列定义的重大疾病，但因意外伤害事故导致下列重大疾病的，不受前述90天的限制：</w:t>
      </w:r>
    </w:p>
    <w:p>
      <w:pPr>
        <w:pStyle w:val="BodyText"/>
        <w:spacing w:before="10"/>
        <w:rPr>
          <w:sz w:val="30"/>
        </w:rPr>
      </w:pPr>
    </w:p>
    <w:p>
      <w:pPr>
        <w:pStyle w:val="BodyText"/>
        <w:spacing w:line="316" w:lineRule="auto"/>
        <w:ind w:left="2458" w:right="135" w:hanging="1568"/>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21"/>
        <w:ind w:left="2458"/>
      </w:pPr>
      <w:r>
        <w:rPr>
          <w:shd w:fill="D9D9D9" w:color="auto" w:val="clear"/>
        </w:rPr>
        <w:t>下列疾病不在保障范围内：</w:t>
      </w:r>
    </w:p>
    <w:p>
      <w:pPr>
        <w:pStyle w:val="ListParagraph"/>
        <w:numPr>
          <w:ilvl w:val="2"/>
          <w:numId w:val="15"/>
        </w:numPr>
        <w:tabs>
          <w:tab w:pos="2878" w:val="left" w:leader="none"/>
        </w:tabs>
        <w:spacing w:line="240" w:lineRule="auto" w:before="94" w:after="0"/>
        <w:ind w:left="2458" w:right="0" w:firstLine="0"/>
        <w:jc w:val="left"/>
        <w:rPr>
          <w:sz w:val="22"/>
        </w:rPr>
      </w:pPr>
      <w:r>
        <w:rPr>
          <w:sz w:val="22"/>
          <w:shd w:fill="D9D9D9" w:color="auto" w:val="clear"/>
        </w:rPr>
        <w:t>原位癌；</w:t>
      </w:r>
    </w:p>
    <w:p>
      <w:pPr>
        <w:pStyle w:val="ListParagraph"/>
        <w:numPr>
          <w:ilvl w:val="2"/>
          <w:numId w:val="15"/>
        </w:numPr>
        <w:tabs>
          <w:tab w:pos="2878" w:val="left" w:leader="none"/>
        </w:tabs>
        <w:spacing w:line="240" w:lineRule="auto" w:before="91" w:after="0"/>
        <w:ind w:left="2458" w:right="0" w:firstLine="0"/>
        <w:jc w:val="left"/>
        <w:rPr>
          <w:sz w:val="22"/>
        </w:rPr>
      </w:pPr>
      <w:r>
        <w:rPr>
          <w:spacing w:val="-13"/>
          <w:sz w:val="22"/>
          <w:shd w:fill="D9D9D9" w:color="auto" w:val="clear"/>
        </w:rPr>
        <w:t>相当于 </w:t>
      </w:r>
      <w:r>
        <w:rPr>
          <w:sz w:val="22"/>
          <w:shd w:fill="D9D9D9" w:color="auto" w:val="clear"/>
        </w:rPr>
        <w:t>Binet</w:t>
      </w:r>
      <w:r>
        <w:rPr>
          <w:spacing w:val="-20"/>
          <w:sz w:val="22"/>
          <w:shd w:fill="D9D9D9" w:color="auto" w:val="clear"/>
        </w:rPr>
        <w:t> 分期方案 </w:t>
      </w:r>
      <w:r>
        <w:rPr>
          <w:sz w:val="22"/>
          <w:shd w:fill="D9D9D9" w:color="auto" w:val="clear"/>
        </w:rPr>
        <w:t>A</w:t>
      </w:r>
      <w:r>
        <w:rPr>
          <w:spacing w:val="-9"/>
          <w:sz w:val="22"/>
          <w:shd w:fill="D9D9D9" w:color="auto" w:val="clear"/>
        </w:rPr>
        <w:t> 期程度的慢性淋巴细胞白血病；</w:t>
      </w:r>
    </w:p>
    <w:p>
      <w:pPr>
        <w:pStyle w:val="ListParagraph"/>
        <w:numPr>
          <w:ilvl w:val="2"/>
          <w:numId w:val="15"/>
        </w:numPr>
        <w:tabs>
          <w:tab w:pos="2878" w:val="left" w:leader="none"/>
        </w:tabs>
        <w:spacing w:line="240" w:lineRule="auto" w:before="91" w:after="0"/>
        <w:ind w:left="2458" w:right="0" w:firstLine="0"/>
        <w:jc w:val="left"/>
        <w:rPr>
          <w:sz w:val="22"/>
        </w:rPr>
      </w:pPr>
      <w:r>
        <w:rPr>
          <w:spacing w:val="-14"/>
          <w:sz w:val="22"/>
          <w:shd w:fill="D9D9D9" w:color="auto" w:val="clear"/>
        </w:rPr>
        <w:t>相当于 </w:t>
      </w:r>
      <w:r>
        <w:rPr>
          <w:sz w:val="22"/>
          <w:shd w:fill="D9D9D9" w:color="auto" w:val="clear"/>
        </w:rPr>
        <w:t>Ann</w:t>
      </w:r>
      <w:r>
        <w:rPr>
          <w:spacing w:val="2"/>
          <w:sz w:val="22"/>
          <w:shd w:fill="D9D9D9" w:color="auto" w:val="clear"/>
        </w:rPr>
        <w:t> </w:t>
      </w:r>
      <w:r>
        <w:rPr>
          <w:sz w:val="22"/>
          <w:shd w:fill="D9D9D9" w:color="auto" w:val="clear"/>
        </w:rPr>
        <w:t>Arbor</w:t>
      </w:r>
      <w:r>
        <w:rPr>
          <w:spacing w:val="-19"/>
          <w:sz w:val="22"/>
          <w:shd w:fill="D9D9D9" w:color="auto" w:val="clear"/>
        </w:rPr>
        <w:t> 分期方案 </w:t>
      </w:r>
      <w:r>
        <w:rPr>
          <w:sz w:val="22"/>
          <w:shd w:fill="D9D9D9" w:color="auto" w:val="clear"/>
        </w:rPr>
        <w:t>I</w:t>
      </w:r>
      <w:r>
        <w:rPr>
          <w:spacing w:val="-9"/>
          <w:sz w:val="22"/>
          <w:shd w:fill="D9D9D9" w:color="auto" w:val="clear"/>
        </w:rPr>
        <w:t> 期程度的何杰金氏病；</w:t>
      </w:r>
    </w:p>
    <w:p>
      <w:pPr>
        <w:pStyle w:val="ListParagraph"/>
        <w:numPr>
          <w:ilvl w:val="2"/>
          <w:numId w:val="15"/>
        </w:numPr>
        <w:tabs>
          <w:tab w:pos="2878" w:val="left" w:leader="none"/>
        </w:tabs>
        <w:spacing w:line="240" w:lineRule="auto" w:before="93" w:after="0"/>
        <w:ind w:left="2458" w:right="0" w:firstLine="0"/>
        <w:jc w:val="left"/>
        <w:rPr>
          <w:sz w:val="22"/>
        </w:rPr>
      </w:pPr>
      <w:r>
        <w:rPr>
          <w:sz w:val="22"/>
          <w:shd w:fill="D9D9D9" w:color="auto" w:val="clear"/>
        </w:rPr>
        <w:t>皮肤癌</w:t>
      </w:r>
      <w:r>
        <w:rPr>
          <w:spacing w:val="-3"/>
          <w:sz w:val="22"/>
          <w:shd w:fill="D9D9D9" w:color="auto" w:val="clear"/>
        </w:rPr>
        <w:t>（不包括恶性黑色素瘤及已发生转移的皮肤癌</w:t>
      </w:r>
      <w:r>
        <w:rPr>
          <w:sz w:val="22"/>
          <w:shd w:fill="D9D9D9" w:color="auto" w:val="clear"/>
        </w:rPr>
        <w:t>）；</w:t>
      </w:r>
    </w:p>
    <w:p>
      <w:pPr>
        <w:pStyle w:val="ListParagraph"/>
        <w:numPr>
          <w:ilvl w:val="2"/>
          <w:numId w:val="15"/>
        </w:numPr>
        <w:tabs>
          <w:tab w:pos="2878" w:val="left" w:leader="none"/>
        </w:tabs>
        <w:spacing w:line="240" w:lineRule="auto" w:before="90" w:after="0"/>
        <w:ind w:left="2458" w:right="0" w:firstLine="0"/>
        <w:jc w:val="left"/>
        <w:rPr>
          <w:sz w:val="22"/>
        </w:rPr>
      </w:pPr>
      <w:r>
        <w:rPr>
          <w:position w:val="1"/>
          <w:sz w:val="22"/>
          <w:shd w:fill="D9D9D9" w:color="auto" w:val="clear"/>
        </w:rPr>
        <w:t>TNM</w:t>
      </w:r>
      <w:r>
        <w:rPr>
          <w:spacing w:val="-22"/>
          <w:position w:val="1"/>
          <w:sz w:val="22"/>
          <w:shd w:fill="D9D9D9" w:color="auto" w:val="clear"/>
        </w:rPr>
        <w:t> 分期为 </w:t>
      </w:r>
      <w:r>
        <w:rPr>
          <w:position w:val="1"/>
          <w:sz w:val="22"/>
          <w:shd w:fill="D9D9D9" w:color="auto" w:val="clear"/>
        </w:rPr>
        <w:t>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spacing w:val="-27"/>
          <w:position w:val="1"/>
          <w:sz w:val="11"/>
        </w:rPr>
        <w:t> </w:t>
      </w:r>
      <w:r>
        <w:rPr>
          <w:spacing w:val="-3"/>
          <w:position w:val="1"/>
          <w:sz w:val="22"/>
          <w:shd w:fill="D9D9D9" w:color="auto" w:val="clear"/>
        </w:rPr>
        <w:t>期或更轻分期的前列腺癌</w:t>
      </w:r>
      <w:r>
        <w:rPr>
          <w:position w:val="1"/>
          <w:sz w:val="22"/>
          <w:shd w:fill="D9D9D9" w:color="auto" w:val="clear"/>
        </w:rPr>
        <w:t>（</w:t>
      </w:r>
      <w:r>
        <w:rPr>
          <w:spacing w:val="-3"/>
          <w:position w:val="1"/>
          <w:sz w:val="22"/>
          <w:shd w:fill="D9D9D9" w:color="auto" w:val="clear"/>
        </w:rPr>
        <w:t>注</w:t>
      </w:r>
      <w:r>
        <w:rPr>
          <w:position w:val="1"/>
          <w:sz w:val="22"/>
          <w:shd w:fill="D9D9D9" w:color="auto" w:val="clear"/>
        </w:rPr>
        <w:t>）；</w:t>
      </w:r>
    </w:p>
    <w:p>
      <w:pPr>
        <w:pStyle w:val="ListParagraph"/>
        <w:numPr>
          <w:ilvl w:val="2"/>
          <w:numId w:val="15"/>
        </w:numPr>
        <w:tabs>
          <w:tab w:pos="2878" w:val="left" w:leader="none"/>
        </w:tabs>
        <w:spacing w:line="319" w:lineRule="auto" w:before="91" w:after="0"/>
        <w:ind w:left="2458" w:right="2383" w:firstLine="0"/>
        <w:jc w:val="left"/>
        <w:rPr>
          <w:sz w:val="22"/>
        </w:rPr>
      </w:pPr>
      <w:r>
        <w:rPr>
          <w:spacing w:val="-3"/>
          <w:sz w:val="22"/>
          <w:shd w:fill="D9D9D9" w:color="auto" w:val="clear"/>
        </w:rPr>
        <w:t>感染艾滋病病毒或患艾滋病期间所患恶性肿瘤。注：如果为女性重大疾病保险，</w:t>
      </w:r>
      <w:r>
        <w:rPr>
          <w:spacing w:val="-221"/>
          <w:sz w:val="22"/>
          <w:shd w:fill="D9D9D9" w:color="auto" w:val="clear"/>
        </w:rPr>
        <w:t>则</w:t>
      </w:r>
      <w:r>
        <w:rPr>
          <w:spacing w:val="-1"/>
          <w:sz w:val="22"/>
          <w:shd w:fill="D9D9D9" w:color="auto" w:val="clear"/>
        </w:rPr>
        <w:t>不包括此项。</w:t>
      </w:r>
    </w:p>
    <w:p>
      <w:pPr>
        <w:pStyle w:val="BodyText"/>
        <w:spacing w:before="5"/>
        <w:rPr>
          <w:sz w:val="30"/>
        </w:rPr>
      </w:pPr>
    </w:p>
    <w:p>
      <w:pPr>
        <w:pStyle w:val="BodyText"/>
        <w:spacing w:line="319" w:lineRule="auto"/>
        <w:ind w:left="2458" w:right="135" w:hanging="1568"/>
        <w:jc w:val="both"/>
      </w:pPr>
      <w:r>
        <w:rPr>
          <w:b/>
        </w:rPr>
        <w:t>急性心肌梗塞 </w:t>
      </w:r>
      <w:r>
        <w:rPr/>
        <w:t>指因冠状动脉阻塞导致的相应区域供血不足造成部分心肌坏死。须满足下列至少三项条件：</w:t>
      </w:r>
    </w:p>
    <w:p>
      <w:pPr>
        <w:pStyle w:val="ListParagraph"/>
        <w:numPr>
          <w:ilvl w:val="0"/>
          <w:numId w:val="16"/>
        </w:numPr>
        <w:tabs>
          <w:tab w:pos="2878" w:val="left" w:leader="none"/>
        </w:tabs>
        <w:spacing w:line="240" w:lineRule="auto" w:before="18" w:after="0"/>
        <w:ind w:left="2878" w:right="0" w:hanging="420"/>
        <w:jc w:val="left"/>
        <w:rPr>
          <w:sz w:val="22"/>
        </w:rPr>
      </w:pPr>
      <w:r>
        <w:rPr>
          <w:spacing w:val="-3"/>
          <w:sz w:val="22"/>
        </w:rPr>
        <w:t>典型临床表现，例如急性胸痛等；</w:t>
      </w:r>
    </w:p>
    <w:p>
      <w:pPr>
        <w:pStyle w:val="ListParagraph"/>
        <w:numPr>
          <w:ilvl w:val="0"/>
          <w:numId w:val="16"/>
        </w:numPr>
        <w:tabs>
          <w:tab w:pos="2878" w:val="left" w:leader="none"/>
        </w:tabs>
        <w:spacing w:line="240" w:lineRule="auto" w:before="91" w:after="0"/>
        <w:ind w:left="2878" w:right="0" w:hanging="420"/>
        <w:jc w:val="left"/>
        <w:rPr>
          <w:sz w:val="22"/>
        </w:rPr>
      </w:pPr>
      <w:r>
        <w:rPr>
          <w:spacing w:val="-3"/>
          <w:sz w:val="22"/>
        </w:rPr>
        <w:t>新近的心电图改变提示急性心肌梗塞；</w:t>
      </w:r>
    </w:p>
    <w:p>
      <w:pPr>
        <w:pStyle w:val="ListParagraph"/>
        <w:numPr>
          <w:ilvl w:val="0"/>
          <w:numId w:val="16"/>
        </w:numPr>
        <w:tabs>
          <w:tab w:pos="2878" w:val="left" w:leader="none"/>
        </w:tabs>
        <w:spacing w:line="316" w:lineRule="auto" w:before="94" w:after="0"/>
        <w:ind w:left="2878" w:right="130" w:hanging="420"/>
        <w:jc w:val="left"/>
        <w:rPr>
          <w:sz w:val="22"/>
        </w:rPr>
      </w:pPr>
      <w:r>
        <w:rPr>
          <w:sz w:val="22"/>
        </w:rPr>
        <w:t>心肌酶或肌钙蛋白有诊断意义的升高，或呈符合急性心肌梗塞的动态性变化；</w:t>
      </w:r>
    </w:p>
    <w:p>
      <w:pPr>
        <w:pStyle w:val="ListParagraph"/>
        <w:numPr>
          <w:ilvl w:val="0"/>
          <w:numId w:val="16"/>
        </w:numPr>
        <w:tabs>
          <w:tab w:pos="2878" w:val="left" w:leader="none"/>
        </w:tabs>
        <w:spacing w:line="240" w:lineRule="auto" w:before="20" w:after="0"/>
        <w:ind w:left="2878" w:right="0" w:hanging="420"/>
        <w:jc w:val="left"/>
        <w:rPr>
          <w:sz w:val="22"/>
        </w:rPr>
      </w:pPr>
      <w:r>
        <w:rPr>
          <w:spacing w:val="15"/>
          <w:sz w:val="22"/>
        </w:rPr>
        <w:t>发病</w:t>
      </w:r>
      <w:r>
        <w:rPr>
          <w:spacing w:val="6"/>
          <w:sz w:val="22"/>
        </w:rPr>
        <w:t>90</w:t>
      </w:r>
      <w:r>
        <w:rPr>
          <w:spacing w:val="15"/>
          <w:sz w:val="22"/>
        </w:rPr>
        <w:t>天后，经检查证实左心室功能降低，如左心室射血分数低于</w:t>
      </w:r>
    </w:p>
    <w:p>
      <w:pPr>
        <w:pStyle w:val="BodyText"/>
        <w:spacing w:before="93"/>
        <w:ind w:left="2878"/>
      </w:pPr>
      <w:r>
        <w:rPr/>
        <w:t>50%。</w:t>
      </w:r>
    </w:p>
    <w:p>
      <w:pPr>
        <w:pStyle w:val="BodyText"/>
      </w:pPr>
    </w:p>
    <w:p>
      <w:pPr>
        <w:pStyle w:val="BodyText"/>
        <w:spacing w:line="316" w:lineRule="auto" w:before="182"/>
        <w:ind w:left="2458" w:right="128" w:hanging="1568"/>
        <w:jc w:val="both"/>
      </w:pPr>
      <w:r>
        <w:rPr>
          <w:b/>
          <w:spacing w:val="5"/>
        </w:rPr>
        <w:t>脑中风后遗症 </w:t>
      </w:r>
      <w:r>
        <w:rPr/>
        <w:t>指因脑血管的突发病变引起脑血管出血、栓塞或梗塞，并导致神经系统永久</w:t>
      </w:r>
      <w:r>
        <w:rPr>
          <w:spacing w:val="-4"/>
        </w:rPr>
        <w:t>性的功能障碍。神经系统永久性的功能障碍，指疾病确诊 </w:t>
      </w:r>
      <w:r>
        <w:rPr/>
        <w:t>180</w:t>
      </w:r>
      <w:r>
        <w:rPr>
          <w:spacing w:val="-6"/>
        </w:rPr>
        <w:t> 天后，仍遗留</w:t>
      </w:r>
      <w:r>
        <w:rPr>
          <w:spacing w:val="-5"/>
        </w:rPr>
        <w:t>下列一种或一种以上障碍：</w:t>
      </w:r>
    </w:p>
    <w:p>
      <w:pPr>
        <w:pStyle w:val="ListParagraph"/>
        <w:numPr>
          <w:ilvl w:val="0"/>
          <w:numId w:val="17"/>
        </w:numPr>
        <w:tabs>
          <w:tab w:pos="2878" w:val="left" w:leader="none"/>
        </w:tabs>
        <w:spacing w:line="240" w:lineRule="auto" w:before="20" w:after="0"/>
        <w:ind w:left="2878" w:right="0" w:hanging="420"/>
        <w:jc w:val="left"/>
        <w:rPr>
          <w:sz w:val="22"/>
        </w:rPr>
      </w:pPr>
      <w:r>
        <w:rPr>
          <w:spacing w:val="-1"/>
          <w:sz w:val="22"/>
        </w:rPr>
        <w:t>一肢或一肢以上</w:t>
      </w:r>
      <w:r>
        <w:rPr>
          <w:b/>
          <w:sz w:val="22"/>
        </w:rPr>
        <w:t>肢体机能完全丧失</w:t>
      </w:r>
      <w:r>
        <w:rPr>
          <w:sz w:val="22"/>
        </w:rPr>
        <w:t>；</w:t>
      </w:r>
    </w:p>
    <w:p>
      <w:pPr>
        <w:pStyle w:val="Heading3"/>
        <w:numPr>
          <w:ilvl w:val="0"/>
          <w:numId w:val="17"/>
        </w:numPr>
        <w:tabs>
          <w:tab w:pos="2878" w:val="left" w:leader="none"/>
        </w:tabs>
        <w:spacing w:line="240" w:lineRule="auto" w:before="93" w:after="0"/>
        <w:ind w:left="2878" w:right="0" w:hanging="420"/>
        <w:jc w:val="left"/>
        <w:rPr>
          <w:b w:val="0"/>
        </w:rPr>
      </w:pPr>
      <w:r>
        <w:rPr/>
        <w:t>语言能力或咀嚼吞咽能力完全丧失</w:t>
      </w:r>
      <w:r>
        <w:rPr>
          <w:b w:val="0"/>
        </w:rPr>
        <w:t>；</w:t>
      </w:r>
    </w:p>
    <w:p>
      <w:pPr>
        <w:pStyle w:val="ListParagraph"/>
        <w:numPr>
          <w:ilvl w:val="0"/>
          <w:numId w:val="17"/>
        </w:numPr>
        <w:tabs>
          <w:tab w:pos="2878" w:val="left" w:leader="none"/>
        </w:tabs>
        <w:spacing w:line="316" w:lineRule="auto" w:before="91" w:after="0"/>
        <w:ind w:left="2878" w:right="174" w:hanging="420"/>
        <w:jc w:val="left"/>
        <w:rPr>
          <w:sz w:val="22"/>
        </w:rPr>
      </w:pPr>
      <w:r>
        <w:rPr>
          <w:spacing w:val="-3"/>
          <w:sz w:val="22"/>
        </w:rPr>
        <w:t>自主生活能力完全丧失，无法独立完成</w:t>
      </w:r>
      <w:r>
        <w:rPr>
          <w:b/>
          <w:sz w:val="22"/>
        </w:rPr>
        <w:t>六项基本日常生活活动</w:t>
      </w:r>
      <w:r>
        <w:rPr>
          <w:spacing w:val="-2"/>
          <w:sz w:val="22"/>
        </w:rPr>
        <w:t>中的三项</w:t>
      </w:r>
      <w:r>
        <w:rPr>
          <w:spacing w:val="-3"/>
          <w:sz w:val="22"/>
        </w:rPr>
        <w:t>或三项以上。</w:t>
      </w:r>
    </w:p>
    <w:p>
      <w:pPr>
        <w:spacing w:after="0" w:line="316" w:lineRule="auto"/>
        <w:jc w:val="left"/>
        <w:rPr>
          <w:sz w:val="22"/>
        </w:rPr>
        <w:sectPr>
          <w:pgSz w:w="11910" w:h="16840"/>
          <w:pgMar w:top="1440" w:bottom="280" w:left="1020" w:right="1000"/>
        </w:sectPr>
      </w:pPr>
    </w:p>
    <w:p>
      <w:pPr>
        <w:pStyle w:val="Heading3"/>
        <w:spacing w:line="316" w:lineRule="auto" w:before="23"/>
        <w:ind w:left="890"/>
        <w:jc w:val="both"/>
      </w:pPr>
      <w:r>
        <w:rPr/>
        <w:t>重大器官移植术或造血干细</w:t>
      </w:r>
      <w:r>
        <w:rPr>
          <w:w w:val="95"/>
        </w:rPr>
        <w:t>胞移植术</w:t>
      </w:r>
    </w:p>
    <w:p>
      <w:pPr>
        <w:pStyle w:val="BodyText"/>
        <w:spacing w:line="316" w:lineRule="auto" w:before="23"/>
        <w:ind w:left="115" w:right="166"/>
      </w:pPr>
      <w:r>
        <w:rPr/>
        <w:br w:type="column"/>
      </w:r>
      <w:r>
        <w:rPr/>
        <w:t>重大器官移植术，指因相应器官功能衰竭，已经实施了肾脏、肝脏、心脏或肺脏的异体移植手术。</w:t>
      </w:r>
    </w:p>
    <w:p>
      <w:pPr>
        <w:pStyle w:val="BodyText"/>
        <w:spacing w:before="21"/>
        <w:ind w:left="115"/>
      </w:pPr>
      <w:r>
        <w:rPr/>
        <w:t>造血干细胞移植术，指因造血功能损害或造血系统恶性肿瘤，已经实施了造</w:t>
      </w:r>
    </w:p>
    <w:p>
      <w:pPr>
        <w:spacing w:after="0"/>
        <w:sectPr>
          <w:type w:val="continuous"/>
          <w:pgSz w:w="11910" w:h="16840"/>
          <w:pgMar w:top="1440" w:bottom="280" w:left="1020" w:right="1000"/>
          <w:cols w:num="2" w:equalWidth="0">
            <w:col w:w="2303" w:space="40"/>
            <w:col w:w="7547"/>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7569"/>
      </w:tblGrid>
      <w:tr>
        <w:trPr>
          <w:trHeight w:val="870" w:hRule="atLeast"/>
        </w:trPr>
        <w:tc>
          <w:tcPr>
            <w:tcW w:w="1692" w:type="dxa"/>
          </w:tcPr>
          <w:p>
            <w:pPr>
              <w:pStyle w:val="TableParagraph"/>
              <w:rPr>
                <w:rFonts w:ascii="Times New Roman"/>
                <w:sz w:val="22"/>
              </w:rPr>
            </w:pPr>
          </w:p>
        </w:tc>
        <w:tc>
          <w:tcPr>
            <w:tcW w:w="7569" w:type="dxa"/>
          </w:tcPr>
          <w:p>
            <w:pPr>
              <w:pStyle w:val="TableParagraph"/>
              <w:spacing w:line="216" w:lineRule="exact"/>
              <w:ind w:left="75"/>
              <w:rPr>
                <w:sz w:val="22"/>
              </w:rPr>
            </w:pPr>
            <w:r>
              <w:rPr>
                <w:sz w:val="22"/>
              </w:rPr>
              <w:t>血干细胞（包括骨髓造血干细胞、外周血造血干细胞和脐血造血干细胞）的</w:t>
            </w:r>
          </w:p>
          <w:p>
            <w:pPr>
              <w:pStyle w:val="TableParagraph"/>
              <w:spacing w:before="91"/>
              <w:ind w:left="75"/>
              <w:rPr>
                <w:sz w:val="22"/>
              </w:rPr>
            </w:pPr>
            <w:r>
              <w:rPr>
                <w:sz w:val="22"/>
              </w:rPr>
              <w:t>异体移植手术。</w:t>
            </w:r>
          </w:p>
        </w:tc>
      </w:tr>
      <w:tr>
        <w:trPr>
          <w:trHeight w:val="1899" w:hRule="atLeast"/>
        </w:trPr>
        <w:tc>
          <w:tcPr>
            <w:tcW w:w="1692" w:type="dxa"/>
          </w:tcPr>
          <w:p>
            <w:pPr>
              <w:pStyle w:val="TableParagraph"/>
              <w:spacing w:line="316" w:lineRule="auto" w:before="198"/>
              <w:ind w:left="200" w:right="78"/>
              <w:jc w:val="both"/>
              <w:rPr>
                <w:b/>
                <w:sz w:val="22"/>
              </w:rPr>
            </w:pPr>
            <w:r>
              <w:rPr>
                <w:b/>
                <w:sz w:val="22"/>
              </w:rPr>
              <w:t>冠状动脉搭桥术（或称冠状动脉旁路移植</w:t>
            </w:r>
            <w:r>
              <w:rPr>
                <w:b/>
                <w:w w:val="95"/>
                <w:sz w:val="22"/>
              </w:rPr>
              <w:t>术）</w:t>
            </w:r>
          </w:p>
        </w:tc>
        <w:tc>
          <w:tcPr>
            <w:tcW w:w="7569" w:type="dxa"/>
          </w:tcPr>
          <w:p>
            <w:pPr>
              <w:pStyle w:val="TableParagraph"/>
              <w:spacing w:line="316" w:lineRule="auto" w:before="198"/>
              <w:ind w:left="75" w:right="201"/>
              <w:rPr>
                <w:sz w:val="22"/>
              </w:rPr>
            </w:pPr>
            <w:r>
              <w:rPr>
                <w:sz w:val="22"/>
              </w:rPr>
              <w:t>指为治疗严重的冠心病，实际实施了开胸进行的冠状动脉血管旁路移植的手术。</w:t>
            </w:r>
          </w:p>
          <w:p>
            <w:pPr>
              <w:pStyle w:val="TableParagraph"/>
              <w:spacing w:line="319" w:lineRule="auto" w:before="21"/>
              <w:ind w:left="75" w:right="232"/>
              <w:rPr>
                <w:sz w:val="22"/>
              </w:rPr>
            </w:pPr>
            <w:r>
              <w:rPr>
                <w:spacing w:val="-3"/>
                <w:sz w:val="22"/>
                <w:shd w:fill="D9D9D9" w:color="auto" w:val="clear"/>
              </w:rPr>
              <w:t>冠状动脉支架植入术、心导管球囊扩张术、激光射频技术及其它非开胸的介</w:t>
            </w:r>
            <w:r>
              <w:rPr>
                <w:spacing w:val="-221"/>
                <w:sz w:val="22"/>
                <w:shd w:fill="D9D9D9" w:color="auto" w:val="clear"/>
              </w:rPr>
              <w:t>入</w:t>
            </w:r>
            <w:r>
              <w:rPr>
                <w:spacing w:val="-3"/>
                <w:sz w:val="22"/>
                <w:shd w:fill="D9D9D9" w:color="auto" w:val="clear"/>
              </w:rPr>
              <w:t>手术、腔镜手术不在保障范围内</w:t>
            </w:r>
            <w:r>
              <w:rPr>
                <w:sz w:val="22"/>
              </w:rPr>
              <w:t>。</w:t>
            </w:r>
          </w:p>
        </w:tc>
      </w:tr>
      <w:tr>
        <w:trPr>
          <w:trHeight w:val="1900" w:hRule="atLeast"/>
        </w:trPr>
        <w:tc>
          <w:tcPr>
            <w:tcW w:w="1692" w:type="dxa"/>
          </w:tcPr>
          <w:p>
            <w:pPr>
              <w:pStyle w:val="TableParagraph"/>
              <w:spacing w:line="316" w:lineRule="auto" w:before="196"/>
              <w:ind w:left="200" w:right="72"/>
              <w:jc w:val="both"/>
              <w:rPr>
                <w:b/>
                <w:sz w:val="22"/>
              </w:rPr>
            </w:pPr>
            <w:r>
              <w:rPr>
                <w:b/>
                <w:sz w:val="22"/>
              </w:rPr>
              <w:t>终末期肾病（ 或称慢性肾功能衰竭尿毒症</w:t>
            </w:r>
            <w:r>
              <w:rPr>
                <w:b/>
                <w:w w:val="95"/>
                <w:sz w:val="22"/>
              </w:rPr>
              <w:t>期）</w:t>
            </w:r>
          </w:p>
        </w:tc>
        <w:tc>
          <w:tcPr>
            <w:tcW w:w="7569" w:type="dxa"/>
          </w:tcPr>
          <w:p>
            <w:pPr>
              <w:pStyle w:val="TableParagraph"/>
              <w:spacing w:before="196"/>
              <w:ind w:left="75"/>
              <w:rPr>
                <w:sz w:val="22"/>
              </w:rPr>
            </w:pPr>
            <w:r>
              <w:rPr>
                <w:sz w:val="22"/>
              </w:rPr>
              <w:t>指双肾功能慢性不可逆性衰竭，达到尿毒症期，经诊断后已经进行了至少</w:t>
            </w:r>
          </w:p>
          <w:p>
            <w:pPr>
              <w:pStyle w:val="TableParagraph"/>
              <w:spacing w:before="93"/>
              <w:ind w:left="75"/>
              <w:rPr>
                <w:sz w:val="22"/>
              </w:rPr>
            </w:pPr>
            <w:r>
              <w:rPr>
                <w:sz w:val="22"/>
              </w:rPr>
              <w:t>90 天的规律性透析治疗或实施了肾脏移植手术。</w:t>
            </w:r>
          </w:p>
        </w:tc>
      </w:tr>
      <w:tr>
        <w:trPr>
          <w:trHeight w:val="1139" w:hRule="atLeast"/>
        </w:trPr>
        <w:tc>
          <w:tcPr>
            <w:tcW w:w="1692" w:type="dxa"/>
          </w:tcPr>
          <w:p>
            <w:pPr>
              <w:pStyle w:val="TableParagraph"/>
              <w:spacing w:before="198"/>
              <w:ind w:left="200"/>
              <w:rPr>
                <w:b/>
                <w:sz w:val="22"/>
              </w:rPr>
            </w:pPr>
            <w:r>
              <w:rPr>
                <w:b/>
                <w:w w:val="95"/>
                <w:sz w:val="22"/>
              </w:rPr>
              <w:t>多个肢体缺失</w:t>
            </w:r>
          </w:p>
        </w:tc>
        <w:tc>
          <w:tcPr>
            <w:tcW w:w="7569" w:type="dxa"/>
          </w:tcPr>
          <w:p>
            <w:pPr>
              <w:pStyle w:val="TableParagraph"/>
              <w:spacing w:line="316" w:lineRule="auto" w:before="198"/>
              <w:ind w:left="75" w:right="232"/>
              <w:rPr>
                <w:sz w:val="22"/>
              </w:rPr>
            </w:pPr>
            <w:r>
              <w:rPr>
                <w:sz w:val="22"/>
              </w:rPr>
              <w:t>指因疾病或意外伤害导致两个或两个以上肢体自腕关节或踝关节近端（靠近躯干端）以上完全性断离。</w:t>
            </w:r>
          </w:p>
        </w:tc>
      </w:tr>
      <w:tr>
        <w:trPr>
          <w:trHeight w:val="2660" w:hRule="atLeast"/>
        </w:trPr>
        <w:tc>
          <w:tcPr>
            <w:tcW w:w="1692" w:type="dxa"/>
          </w:tcPr>
          <w:p>
            <w:pPr>
              <w:pStyle w:val="TableParagraph"/>
              <w:spacing w:line="316" w:lineRule="auto" w:before="198"/>
              <w:ind w:left="200" w:right="78"/>
              <w:rPr>
                <w:b/>
                <w:sz w:val="22"/>
              </w:rPr>
            </w:pPr>
            <w:r>
              <w:rPr>
                <w:b/>
                <w:sz w:val="22"/>
              </w:rPr>
              <w:t>急性或亚急性</w:t>
            </w:r>
            <w:r>
              <w:rPr>
                <w:b/>
                <w:w w:val="95"/>
                <w:sz w:val="22"/>
              </w:rPr>
              <w:t>重症肝炎</w:t>
            </w:r>
          </w:p>
        </w:tc>
        <w:tc>
          <w:tcPr>
            <w:tcW w:w="7569" w:type="dxa"/>
          </w:tcPr>
          <w:p>
            <w:pPr>
              <w:pStyle w:val="TableParagraph"/>
              <w:spacing w:line="316" w:lineRule="auto" w:before="198"/>
              <w:ind w:left="75" w:right="201"/>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8"/>
              </w:numPr>
              <w:tabs>
                <w:tab w:pos="496" w:val="left" w:leader="none"/>
              </w:tabs>
              <w:spacing w:line="240" w:lineRule="auto" w:before="23" w:after="0"/>
              <w:ind w:left="495" w:right="0" w:hanging="420"/>
              <w:jc w:val="left"/>
              <w:rPr>
                <w:sz w:val="22"/>
              </w:rPr>
            </w:pPr>
            <w:r>
              <w:rPr>
                <w:spacing w:val="-3"/>
                <w:sz w:val="22"/>
              </w:rPr>
              <w:t>重度黄疸或黄疸迅速加重；</w:t>
            </w:r>
          </w:p>
          <w:p>
            <w:pPr>
              <w:pStyle w:val="TableParagraph"/>
              <w:numPr>
                <w:ilvl w:val="0"/>
                <w:numId w:val="18"/>
              </w:numPr>
              <w:tabs>
                <w:tab w:pos="496" w:val="left" w:leader="none"/>
              </w:tabs>
              <w:spacing w:line="240" w:lineRule="auto" w:before="91" w:after="0"/>
              <w:ind w:left="495" w:right="0" w:hanging="420"/>
              <w:jc w:val="left"/>
              <w:rPr>
                <w:sz w:val="22"/>
              </w:rPr>
            </w:pPr>
            <w:r>
              <w:rPr>
                <w:spacing w:val="-1"/>
                <w:sz w:val="22"/>
              </w:rPr>
              <w:t>肝性脑病；</w:t>
            </w:r>
          </w:p>
          <w:p>
            <w:pPr>
              <w:pStyle w:val="TableParagraph"/>
              <w:numPr>
                <w:ilvl w:val="0"/>
                <w:numId w:val="18"/>
              </w:numPr>
              <w:tabs>
                <w:tab w:pos="496" w:val="left" w:leader="none"/>
              </w:tabs>
              <w:spacing w:line="240" w:lineRule="auto" w:before="91" w:after="0"/>
              <w:ind w:left="495" w:right="0" w:hanging="420"/>
              <w:jc w:val="left"/>
              <w:rPr>
                <w:sz w:val="22"/>
              </w:rPr>
            </w:pPr>
            <w:r>
              <w:rPr>
                <w:sz w:val="22"/>
              </w:rPr>
              <w:t>B</w:t>
            </w:r>
            <w:r>
              <w:rPr>
                <w:spacing w:val="-8"/>
                <w:sz w:val="22"/>
              </w:rPr>
              <w:t> 超或其它影像学检查显示肝脏体积急速萎缩；</w:t>
            </w:r>
          </w:p>
          <w:p>
            <w:pPr>
              <w:pStyle w:val="TableParagraph"/>
              <w:numPr>
                <w:ilvl w:val="0"/>
                <w:numId w:val="18"/>
              </w:numPr>
              <w:tabs>
                <w:tab w:pos="496" w:val="left" w:leader="none"/>
              </w:tabs>
              <w:spacing w:line="240" w:lineRule="auto" w:before="93" w:after="0"/>
              <w:ind w:left="495" w:right="0" w:hanging="420"/>
              <w:jc w:val="left"/>
              <w:rPr>
                <w:sz w:val="22"/>
              </w:rPr>
            </w:pPr>
            <w:r>
              <w:rPr>
                <w:spacing w:val="-3"/>
                <w:sz w:val="22"/>
              </w:rPr>
              <w:t>肝功能指标进行性恶化。</w:t>
            </w:r>
          </w:p>
        </w:tc>
      </w:tr>
      <w:tr>
        <w:trPr>
          <w:trHeight w:val="3039" w:hRule="atLeast"/>
        </w:trPr>
        <w:tc>
          <w:tcPr>
            <w:tcW w:w="1692" w:type="dxa"/>
          </w:tcPr>
          <w:p>
            <w:pPr>
              <w:pStyle w:val="TableParagraph"/>
              <w:spacing w:before="196"/>
              <w:ind w:left="200"/>
              <w:rPr>
                <w:b/>
                <w:sz w:val="22"/>
              </w:rPr>
            </w:pPr>
            <w:r>
              <w:rPr>
                <w:b/>
                <w:w w:val="95"/>
                <w:sz w:val="22"/>
              </w:rPr>
              <w:t>良性脑肿瘤</w:t>
            </w:r>
          </w:p>
        </w:tc>
        <w:tc>
          <w:tcPr>
            <w:tcW w:w="7569" w:type="dxa"/>
          </w:tcPr>
          <w:p>
            <w:pPr>
              <w:pStyle w:val="TableParagraph"/>
              <w:spacing w:line="316" w:lineRule="auto" w:before="196"/>
              <w:ind w:left="75" w:right="197"/>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9"/>
              </w:numPr>
              <w:tabs>
                <w:tab w:pos="496" w:val="left" w:leader="none"/>
              </w:tabs>
              <w:spacing w:line="240" w:lineRule="auto" w:before="22" w:after="0"/>
              <w:ind w:left="495" w:right="0" w:hanging="420"/>
              <w:jc w:val="both"/>
              <w:rPr>
                <w:sz w:val="22"/>
              </w:rPr>
            </w:pPr>
            <w:r>
              <w:rPr>
                <w:spacing w:val="-3"/>
                <w:sz w:val="22"/>
              </w:rPr>
              <w:t>实际实施了开颅进行的脑肿瘤完全切除或部分切除的手术；</w:t>
            </w:r>
          </w:p>
          <w:p>
            <w:pPr>
              <w:pStyle w:val="TableParagraph"/>
              <w:numPr>
                <w:ilvl w:val="0"/>
                <w:numId w:val="19"/>
              </w:numPr>
              <w:tabs>
                <w:tab w:pos="496" w:val="left" w:leader="none"/>
              </w:tabs>
              <w:spacing w:line="240" w:lineRule="auto" w:before="90" w:after="0"/>
              <w:ind w:left="495" w:right="0" w:hanging="420"/>
              <w:jc w:val="both"/>
              <w:rPr>
                <w:sz w:val="22"/>
              </w:rPr>
            </w:pPr>
            <w:r>
              <w:rPr>
                <w:spacing w:val="-3"/>
                <w:sz w:val="22"/>
              </w:rPr>
              <w:t>实际实施了对脑肿瘤进行的放射治疗。</w:t>
            </w:r>
          </w:p>
          <w:p>
            <w:pPr>
              <w:pStyle w:val="TableParagraph"/>
              <w:spacing w:before="90"/>
              <w:ind w:left="75"/>
              <w:jc w:val="both"/>
              <w:rPr>
                <w:sz w:val="22"/>
              </w:rPr>
            </w:pPr>
            <w:r>
              <w:rPr>
                <w:sz w:val="22"/>
                <w:shd w:fill="D9D9D9" w:color="auto" w:val="clear"/>
              </w:rPr>
              <w:t>脑垂体瘤、脑囊肿、脑血管性疾病不在保障范围内</w:t>
            </w:r>
            <w:r>
              <w:rPr>
                <w:sz w:val="22"/>
              </w:rPr>
              <w:t>。</w:t>
            </w:r>
          </w:p>
        </w:tc>
      </w:tr>
      <w:tr>
        <w:trPr>
          <w:trHeight w:val="2010" w:hRule="atLeast"/>
        </w:trPr>
        <w:tc>
          <w:tcPr>
            <w:tcW w:w="1692" w:type="dxa"/>
          </w:tcPr>
          <w:p>
            <w:pPr>
              <w:pStyle w:val="TableParagraph"/>
              <w:spacing w:before="1"/>
              <w:rPr>
                <w:sz w:val="15"/>
              </w:rPr>
            </w:pPr>
          </w:p>
          <w:p>
            <w:pPr>
              <w:pStyle w:val="TableParagraph"/>
              <w:spacing w:line="316" w:lineRule="auto" w:before="1"/>
              <w:ind w:left="200" w:right="78"/>
              <w:rPr>
                <w:b/>
                <w:sz w:val="22"/>
              </w:rPr>
            </w:pPr>
            <w:r>
              <w:rPr>
                <w:b/>
                <w:sz w:val="22"/>
              </w:rPr>
              <w:t>慢性肝功能衰</w:t>
            </w:r>
            <w:r>
              <w:rPr>
                <w:b/>
                <w:w w:val="95"/>
                <w:sz w:val="22"/>
              </w:rPr>
              <w:t>竭失代偿期</w:t>
            </w:r>
          </w:p>
        </w:tc>
        <w:tc>
          <w:tcPr>
            <w:tcW w:w="7569" w:type="dxa"/>
          </w:tcPr>
          <w:p>
            <w:pPr>
              <w:pStyle w:val="TableParagraph"/>
              <w:spacing w:before="1"/>
              <w:rPr>
                <w:sz w:val="15"/>
              </w:rPr>
            </w:pPr>
          </w:p>
          <w:p>
            <w:pPr>
              <w:pStyle w:val="TableParagraph"/>
              <w:spacing w:before="1"/>
              <w:ind w:left="75"/>
              <w:rPr>
                <w:sz w:val="22"/>
              </w:rPr>
            </w:pPr>
            <w:r>
              <w:rPr>
                <w:sz w:val="22"/>
              </w:rPr>
              <w:t>指因慢性肝脏疾病导致肝功能衰竭。须满足下列全部条件：</w:t>
            </w:r>
          </w:p>
          <w:p>
            <w:pPr>
              <w:pStyle w:val="TableParagraph"/>
              <w:numPr>
                <w:ilvl w:val="0"/>
                <w:numId w:val="20"/>
              </w:numPr>
              <w:tabs>
                <w:tab w:pos="496" w:val="left" w:leader="none"/>
              </w:tabs>
              <w:spacing w:line="240" w:lineRule="auto" w:before="91" w:after="0"/>
              <w:ind w:left="495" w:right="0" w:hanging="420"/>
              <w:jc w:val="left"/>
              <w:rPr>
                <w:sz w:val="22"/>
              </w:rPr>
            </w:pPr>
            <w:r>
              <w:rPr>
                <w:spacing w:val="-1"/>
                <w:sz w:val="22"/>
              </w:rPr>
              <w:t>持续性黄疸；</w:t>
            </w:r>
          </w:p>
          <w:p>
            <w:pPr>
              <w:pStyle w:val="TableParagraph"/>
              <w:numPr>
                <w:ilvl w:val="0"/>
                <w:numId w:val="20"/>
              </w:numPr>
              <w:tabs>
                <w:tab w:pos="496" w:val="left" w:leader="none"/>
              </w:tabs>
              <w:spacing w:line="240" w:lineRule="auto" w:before="93" w:after="0"/>
              <w:ind w:left="495" w:right="0" w:hanging="420"/>
              <w:jc w:val="left"/>
              <w:rPr>
                <w:sz w:val="22"/>
              </w:rPr>
            </w:pPr>
            <w:r>
              <w:rPr>
                <w:sz w:val="22"/>
              </w:rPr>
              <w:t>腹水；</w:t>
            </w:r>
          </w:p>
          <w:p>
            <w:pPr>
              <w:pStyle w:val="TableParagraph"/>
              <w:numPr>
                <w:ilvl w:val="0"/>
                <w:numId w:val="20"/>
              </w:numPr>
              <w:tabs>
                <w:tab w:pos="496" w:val="left" w:leader="none"/>
              </w:tabs>
              <w:spacing w:line="240" w:lineRule="auto" w:before="91" w:after="0"/>
              <w:ind w:left="495" w:right="0" w:hanging="420"/>
              <w:jc w:val="left"/>
              <w:rPr>
                <w:sz w:val="22"/>
              </w:rPr>
            </w:pPr>
            <w:r>
              <w:rPr>
                <w:spacing w:val="-1"/>
                <w:sz w:val="22"/>
              </w:rPr>
              <w:t>肝性脑病；</w:t>
            </w:r>
          </w:p>
          <w:p>
            <w:pPr>
              <w:pStyle w:val="TableParagraph"/>
              <w:spacing w:line="273" w:lineRule="exact" w:before="91"/>
              <w:ind w:left="75"/>
              <w:rPr>
                <w:sz w:val="22"/>
              </w:rPr>
            </w:pPr>
            <w:r>
              <w:rPr>
                <w:sz w:val="22"/>
              </w:rPr>
              <w:t>(4)充血性脾肿大伴脾功能亢进或食管胃底静脉曲张。</w:t>
            </w:r>
          </w:p>
        </w:tc>
      </w:tr>
    </w:tbl>
    <w:p>
      <w:pPr>
        <w:spacing w:after="0" w:line="273" w:lineRule="exac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7580"/>
      </w:tblGrid>
      <w:tr>
        <w:trPr>
          <w:trHeight w:val="489" w:hRule="atLeast"/>
        </w:trPr>
        <w:tc>
          <w:tcPr>
            <w:tcW w:w="1689" w:type="dxa"/>
          </w:tcPr>
          <w:p>
            <w:pPr>
              <w:pStyle w:val="TableParagraph"/>
              <w:rPr>
                <w:rFonts w:ascii="Times New Roman"/>
                <w:sz w:val="22"/>
              </w:rPr>
            </w:pPr>
          </w:p>
        </w:tc>
        <w:tc>
          <w:tcPr>
            <w:tcW w:w="7580" w:type="dxa"/>
          </w:tcPr>
          <w:p>
            <w:pPr>
              <w:pStyle w:val="TableParagraph"/>
              <w:spacing w:line="216" w:lineRule="exact"/>
              <w:ind w:left="78"/>
              <w:rPr>
                <w:sz w:val="22"/>
              </w:rPr>
            </w:pPr>
            <w:r>
              <w:rPr>
                <w:sz w:val="22"/>
                <w:shd w:fill="D9D9D9" w:color="auto" w:val="clear"/>
              </w:rPr>
              <w:t>因酗酒或药物滥用导致的肝功能衰竭不在保障范围内</w:t>
            </w:r>
            <w:r>
              <w:rPr>
                <w:sz w:val="22"/>
              </w:rPr>
              <w:t>。</w:t>
            </w:r>
          </w:p>
        </w:tc>
      </w:tr>
      <w:tr>
        <w:trPr>
          <w:trHeight w:val="2660" w:hRule="atLeast"/>
        </w:trPr>
        <w:tc>
          <w:tcPr>
            <w:tcW w:w="1689" w:type="dxa"/>
          </w:tcPr>
          <w:p>
            <w:pPr>
              <w:pStyle w:val="TableParagraph"/>
              <w:spacing w:line="319" w:lineRule="auto" w:before="197"/>
              <w:ind w:left="200" w:right="75"/>
              <w:rPr>
                <w:b/>
                <w:sz w:val="22"/>
              </w:rPr>
            </w:pPr>
            <w:r>
              <w:rPr>
                <w:b/>
                <w:sz w:val="22"/>
              </w:rPr>
              <w:t>脑炎后遗症或</w:t>
            </w:r>
            <w:r>
              <w:rPr>
                <w:b/>
                <w:w w:val="95"/>
                <w:sz w:val="22"/>
              </w:rPr>
              <w:t>脑膜炎后遗症</w:t>
            </w:r>
          </w:p>
        </w:tc>
        <w:tc>
          <w:tcPr>
            <w:tcW w:w="7580" w:type="dxa"/>
          </w:tcPr>
          <w:p>
            <w:pPr>
              <w:pStyle w:val="TableParagraph"/>
              <w:spacing w:line="319" w:lineRule="auto" w:before="197"/>
              <w:ind w:left="78" w:right="209"/>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499" w:val="left" w:leader="none"/>
              </w:tabs>
              <w:spacing w:line="240" w:lineRule="auto" w:before="19" w:after="0"/>
              <w:ind w:left="498" w:right="0" w:hanging="420"/>
              <w:jc w:val="left"/>
              <w:rPr>
                <w:sz w:val="22"/>
              </w:rPr>
            </w:pPr>
            <w:r>
              <w:rPr>
                <w:spacing w:val="-3"/>
                <w:sz w:val="22"/>
              </w:rPr>
              <w:t>一肢或一肢以上肢体机能完全丧失；</w:t>
            </w:r>
          </w:p>
          <w:p>
            <w:pPr>
              <w:pStyle w:val="TableParagraph"/>
              <w:numPr>
                <w:ilvl w:val="0"/>
                <w:numId w:val="21"/>
              </w:numPr>
              <w:tabs>
                <w:tab w:pos="499" w:val="left" w:leader="none"/>
              </w:tabs>
              <w:spacing w:line="240" w:lineRule="auto" w:before="91" w:after="0"/>
              <w:ind w:left="498" w:right="0" w:hanging="420"/>
              <w:jc w:val="left"/>
              <w:rPr>
                <w:sz w:val="22"/>
              </w:rPr>
            </w:pPr>
            <w:r>
              <w:rPr>
                <w:spacing w:val="-3"/>
                <w:sz w:val="22"/>
              </w:rPr>
              <w:t>语言能力或咀嚼吞咽能力完全丧失；</w:t>
            </w:r>
          </w:p>
          <w:p>
            <w:pPr>
              <w:pStyle w:val="TableParagraph"/>
              <w:numPr>
                <w:ilvl w:val="0"/>
                <w:numId w:val="21"/>
              </w:numPr>
              <w:tabs>
                <w:tab w:pos="499" w:val="left" w:leader="none"/>
              </w:tabs>
              <w:spacing w:line="316" w:lineRule="auto" w:before="93" w:after="0"/>
              <w:ind w:left="498" w:right="259" w:hanging="420"/>
              <w:jc w:val="left"/>
              <w:rPr>
                <w:sz w:val="22"/>
              </w:rPr>
            </w:pPr>
            <w:r>
              <w:rPr>
                <w:spacing w:val="-3"/>
                <w:sz w:val="22"/>
              </w:rPr>
              <w:t>自主生活能力完全丧失，无法独立完成六项基本日常生活活动中的三项或三项以上。</w:t>
            </w:r>
          </w:p>
        </w:tc>
      </w:tr>
      <w:tr>
        <w:trPr>
          <w:trHeight w:val="1900" w:hRule="atLeast"/>
        </w:trPr>
        <w:tc>
          <w:tcPr>
            <w:tcW w:w="1689" w:type="dxa"/>
          </w:tcPr>
          <w:p>
            <w:pPr>
              <w:pStyle w:val="TableParagraph"/>
              <w:spacing w:before="198"/>
              <w:ind w:left="200"/>
              <w:rPr>
                <w:b/>
                <w:sz w:val="22"/>
              </w:rPr>
            </w:pPr>
            <w:r>
              <w:rPr>
                <w:b/>
                <w:w w:val="95"/>
                <w:sz w:val="22"/>
              </w:rPr>
              <w:t>深度昏迷</w:t>
            </w:r>
          </w:p>
        </w:tc>
        <w:tc>
          <w:tcPr>
            <w:tcW w:w="7580" w:type="dxa"/>
          </w:tcPr>
          <w:p>
            <w:pPr>
              <w:pStyle w:val="TableParagraph"/>
              <w:spacing w:line="316" w:lineRule="auto" w:before="198"/>
              <w:ind w:left="78" w:right="240"/>
              <w:rPr>
                <w:sz w:val="22"/>
              </w:rPr>
            </w:pPr>
            <w:r>
              <w:rPr>
                <w:spacing w:val="-3"/>
                <w:sz w:val="22"/>
              </w:rPr>
              <w:t>指因疾病或意外伤害导致意识丧失，对外界刺激和体内需求均无反应，昏迷程度按照格拉斯哥昏迷分级</w:t>
            </w:r>
            <w:r>
              <w:rPr>
                <w:sz w:val="22"/>
              </w:rPr>
              <w:t>（Glasgow</w:t>
            </w:r>
            <w:r>
              <w:rPr>
                <w:spacing w:val="3"/>
                <w:sz w:val="22"/>
              </w:rPr>
              <w:t> </w:t>
            </w:r>
            <w:r>
              <w:rPr>
                <w:sz w:val="22"/>
              </w:rPr>
              <w:t>coma</w:t>
            </w:r>
            <w:r>
              <w:rPr>
                <w:spacing w:val="3"/>
                <w:sz w:val="22"/>
              </w:rPr>
              <w:t> </w:t>
            </w:r>
            <w:r>
              <w:rPr>
                <w:sz w:val="22"/>
              </w:rPr>
              <w:t>scale）</w:t>
            </w:r>
            <w:r>
              <w:rPr>
                <w:spacing w:val="-14"/>
                <w:sz w:val="22"/>
              </w:rPr>
              <w:t>结果为 </w:t>
            </w:r>
            <w:r>
              <w:rPr>
                <w:sz w:val="22"/>
              </w:rPr>
              <w:t>5</w:t>
            </w:r>
            <w:r>
              <w:rPr>
                <w:spacing w:val="-28"/>
                <w:sz w:val="22"/>
              </w:rPr>
              <w:t> 分或 </w:t>
            </w:r>
            <w:r>
              <w:rPr>
                <w:sz w:val="22"/>
              </w:rPr>
              <w:t>5</w:t>
            </w:r>
            <w:r>
              <w:rPr>
                <w:spacing w:val="-18"/>
                <w:sz w:val="22"/>
              </w:rPr>
              <w:t> 分以 </w:t>
            </w:r>
            <w:r>
              <w:rPr>
                <w:spacing w:val="-10"/>
                <w:sz w:val="22"/>
              </w:rPr>
              <w:t>下，且已经持续使用呼吸机及其它生命维持系统 </w:t>
            </w:r>
            <w:r>
              <w:rPr>
                <w:sz w:val="22"/>
              </w:rPr>
              <w:t>96</w:t>
            </w:r>
            <w:r>
              <w:rPr>
                <w:spacing w:val="-10"/>
                <w:sz w:val="22"/>
              </w:rPr>
              <w:t> 小时以上。</w:t>
            </w:r>
          </w:p>
          <w:p>
            <w:pPr>
              <w:pStyle w:val="TableParagraph"/>
              <w:spacing w:before="23"/>
              <w:ind w:left="78"/>
              <w:rPr>
                <w:sz w:val="22"/>
              </w:rPr>
            </w:pPr>
            <w:r>
              <w:rPr>
                <w:sz w:val="22"/>
                <w:shd w:fill="D9D9D9" w:color="auto" w:val="clear"/>
              </w:rPr>
              <w:t>因酗酒或药物滥用导致的深度昏迷不在保障范围内</w:t>
            </w:r>
            <w:r>
              <w:rPr>
                <w:sz w:val="22"/>
              </w:rPr>
              <w:t>。</w:t>
            </w:r>
          </w:p>
        </w:tc>
      </w:tr>
      <w:tr>
        <w:trPr>
          <w:trHeight w:val="1899" w:hRule="atLeast"/>
        </w:trPr>
        <w:tc>
          <w:tcPr>
            <w:tcW w:w="1689" w:type="dxa"/>
          </w:tcPr>
          <w:p>
            <w:pPr>
              <w:pStyle w:val="TableParagraph"/>
              <w:spacing w:before="196"/>
              <w:ind w:left="200"/>
              <w:rPr>
                <w:b/>
                <w:sz w:val="22"/>
              </w:rPr>
            </w:pPr>
            <w:r>
              <w:rPr>
                <w:b/>
                <w:w w:val="95"/>
                <w:sz w:val="22"/>
              </w:rPr>
              <w:t>双耳失聪</w:t>
            </w:r>
          </w:p>
        </w:tc>
        <w:tc>
          <w:tcPr>
            <w:tcW w:w="7580" w:type="dxa"/>
          </w:tcPr>
          <w:p>
            <w:pPr>
              <w:pStyle w:val="TableParagraph"/>
              <w:spacing w:before="196"/>
              <w:ind w:left="78"/>
              <w:rPr>
                <w:sz w:val="22"/>
              </w:rPr>
            </w:pPr>
            <w:r>
              <w:rPr>
                <w:sz w:val="22"/>
              </w:rPr>
              <w:t>指因疾病或意外伤害导致双耳听力</w:t>
            </w:r>
            <w:r>
              <w:rPr>
                <w:b/>
                <w:sz w:val="22"/>
              </w:rPr>
              <w:t>永久不可逆</w:t>
            </w:r>
            <w:r>
              <w:rPr>
                <w:sz w:val="22"/>
              </w:rPr>
              <w:t>性丧失，在 500 赫兹、1000</w:t>
            </w:r>
          </w:p>
          <w:p>
            <w:pPr>
              <w:pStyle w:val="TableParagraph"/>
              <w:spacing w:line="316" w:lineRule="auto" w:before="93"/>
              <w:ind w:left="78" w:right="236"/>
              <w:rPr>
                <w:sz w:val="22"/>
              </w:rPr>
            </w:pPr>
            <w:r>
              <w:rPr>
                <w:spacing w:val="-13"/>
                <w:sz w:val="22"/>
              </w:rPr>
              <w:t>赫兹和 </w:t>
            </w:r>
            <w:r>
              <w:rPr>
                <w:sz w:val="22"/>
              </w:rPr>
              <w:t>2000</w:t>
            </w:r>
            <w:r>
              <w:rPr>
                <w:spacing w:val="-11"/>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before="21"/>
              <w:ind w:left="78"/>
              <w:rPr>
                <w:sz w:val="22"/>
              </w:rPr>
            </w:pPr>
            <w:r>
              <w:rPr>
                <w:sz w:val="22"/>
                <w:shd w:fill="D9D9D9" w:color="auto" w:val="clear"/>
              </w:rPr>
              <w:t>在 0 至 3 周岁保单周年日期间，被保险人双耳失聪不在保障范围内</w:t>
            </w:r>
            <w:r>
              <w:rPr>
                <w:sz w:val="22"/>
              </w:rPr>
              <w:t>。</w:t>
            </w:r>
          </w:p>
        </w:tc>
      </w:tr>
      <w:tr>
        <w:trPr>
          <w:trHeight w:val="2660" w:hRule="atLeast"/>
        </w:trPr>
        <w:tc>
          <w:tcPr>
            <w:tcW w:w="1689" w:type="dxa"/>
          </w:tcPr>
          <w:p>
            <w:pPr>
              <w:pStyle w:val="TableParagraph"/>
              <w:spacing w:before="198"/>
              <w:ind w:left="200"/>
              <w:rPr>
                <w:b/>
                <w:sz w:val="22"/>
              </w:rPr>
            </w:pPr>
            <w:r>
              <w:rPr>
                <w:b/>
                <w:w w:val="95"/>
                <w:sz w:val="22"/>
              </w:rPr>
              <w:t>双目失明</w:t>
            </w:r>
          </w:p>
        </w:tc>
        <w:tc>
          <w:tcPr>
            <w:tcW w:w="7580" w:type="dxa"/>
          </w:tcPr>
          <w:p>
            <w:pPr>
              <w:pStyle w:val="TableParagraph"/>
              <w:spacing w:line="316" w:lineRule="auto" w:before="198"/>
              <w:ind w:left="78" w:right="209"/>
              <w:rPr>
                <w:sz w:val="22"/>
              </w:rPr>
            </w:pPr>
            <w:r>
              <w:rPr>
                <w:sz w:val="22"/>
              </w:rPr>
              <w:t>指因疾病或意外伤害导致双眼视力永久不可逆性丧失，双眼中较好眼须满足下列至少一项条件：</w:t>
            </w:r>
          </w:p>
          <w:p>
            <w:pPr>
              <w:pStyle w:val="TableParagraph"/>
              <w:numPr>
                <w:ilvl w:val="0"/>
                <w:numId w:val="22"/>
              </w:numPr>
              <w:tabs>
                <w:tab w:pos="499" w:val="left" w:leader="none"/>
              </w:tabs>
              <w:spacing w:line="240" w:lineRule="auto" w:before="24" w:after="0"/>
              <w:ind w:left="498" w:right="0" w:hanging="420"/>
              <w:jc w:val="left"/>
              <w:rPr>
                <w:sz w:val="22"/>
              </w:rPr>
            </w:pPr>
            <w:r>
              <w:rPr>
                <w:spacing w:val="-2"/>
                <w:sz w:val="22"/>
              </w:rPr>
              <w:t>眼球缺失或摘除；</w:t>
            </w:r>
          </w:p>
          <w:p>
            <w:pPr>
              <w:pStyle w:val="TableParagraph"/>
              <w:numPr>
                <w:ilvl w:val="0"/>
                <w:numId w:val="22"/>
              </w:numPr>
              <w:tabs>
                <w:tab w:pos="499" w:val="left" w:leader="none"/>
              </w:tabs>
              <w:spacing w:line="316" w:lineRule="auto" w:before="91" w:after="0"/>
              <w:ind w:left="498" w:right="209" w:hanging="420"/>
              <w:jc w:val="left"/>
              <w:rPr>
                <w:sz w:val="22"/>
              </w:rPr>
            </w:pPr>
            <w:r>
              <w:rPr>
                <w:spacing w:val="8"/>
                <w:sz w:val="22"/>
              </w:rPr>
              <w:t>矫正视力低于 </w:t>
            </w:r>
            <w:r>
              <w:rPr>
                <w:sz w:val="22"/>
              </w:rPr>
              <w:t>0.02（</w:t>
            </w:r>
            <w:r>
              <w:rPr>
                <w:spacing w:val="1"/>
                <w:sz w:val="22"/>
              </w:rPr>
              <w:t>采用国际标准视力表，如果使用其它视力表应进</w:t>
            </w:r>
            <w:r>
              <w:rPr>
                <w:spacing w:val="-1"/>
                <w:sz w:val="22"/>
              </w:rPr>
              <w:t>行换算</w:t>
            </w:r>
            <w:r>
              <w:rPr>
                <w:sz w:val="22"/>
              </w:rPr>
              <w:t>）；</w:t>
            </w:r>
          </w:p>
          <w:p>
            <w:pPr>
              <w:pStyle w:val="TableParagraph"/>
              <w:numPr>
                <w:ilvl w:val="0"/>
                <w:numId w:val="22"/>
              </w:numPr>
              <w:tabs>
                <w:tab w:pos="499" w:val="left" w:leader="none"/>
              </w:tabs>
              <w:spacing w:line="240" w:lineRule="auto" w:before="23" w:after="0"/>
              <w:ind w:left="498" w:right="0" w:hanging="420"/>
              <w:jc w:val="left"/>
              <w:rPr>
                <w:sz w:val="22"/>
              </w:rPr>
            </w:pPr>
            <w:r>
              <w:rPr>
                <w:spacing w:val="-9"/>
                <w:sz w:val="22"/>
              </w:rPr>
              <w:t>视野半径小于 </w:t>
            </w:r>
            <w:r>
              <w:rPr>
                <w:sz w:val="22"/>
              </w:rPr>
              <w:t>5</w:t>
            </w:r>
            <w:r>
              <w:rPr>
                <w:spacing w:val="-19"/>
                <w:sz w:val="22"/>
              </w:rPr>
              <w:t> 度。</w:t>
            </w:r>
          </w:p>
        </w:tc>
      </w:tr>
      <w:tr>
        <w:trPr>
          <w:trHeight w:val="1520" w:hRule="atLeast"/>
        </w:trPr>
        <w:tc>
          <w:tcPr>
            <w:tcW w:w="1689" w:type="dxa"/>
          </w:tcPr>
          <w:p>
            <w:pPr>
              <w:pStyle w:val="TableParagraph"/>
              <w:spacing w:before="196"/>
              <w:ind w:left="200"/>
              <w:rPr>
                <w:b/>
                <w:sz w:val="22"/>
              </w:rPr>
            </w:pPr>
            <w:r>
              <w:rPr>
                <w:b/>
                <w:w w:val="95"/>
                <w:sz w:val="22"/>
              </w:rPr>
              <w:t>瘫痪</w:t>
            </w:r>
          </w:p>
        </w:tc>
        <w:tc>
          <w:tcPr>
            <w:tcW w:w="7580" w:type="dxa"/>
          </w:tcPr>
          <w:p>
            <w:pPr>
              <w:pStyle w:val="TableParagraph"/>
              <w:spacing w:line="316" w:lineRule="auto" w:before="196"/>
              <w:ind w:left="78" w:right="205"/>
              <w:jc w:val="both"/>
              <w:rPr>
                <w:sz w:val="22"/>
              </w:rPr>
            </w:pPr>
            <w:r>
              <w:rPr>
                <w:sz w:val="22"/>
              </w:rPr>
              <w:t>指因疾病或意外伤害导致两肢或两肢以上肢体机能永久完全丧失。肢体机能</w:t>
            </w:r>
            <w:r>
              <w:rPr>
                <w:spacing w:val="-6"/>
                <w:sz w:val="22"/>
              </w:rPr>
              <w:t>永久完全丧失，指疾病确诊 </w:t>
            </w:r>
            <w:r>
              <w:rPr>
                <w:sz w:val="22"/>
              </w:rPr>
              <w:t>180</w:t>
            </w:r>
            <w:r>
              <w:rPr>
                <w:spacing w:val="-12"/>
                <w:sz w:val="22"/>
              </w:rPr>
              <w:t> 天后或意外伤害发生 </w:t>
            </w:r>
            <w:r>
              <w:rPr>
                <w:sz w:val="22"/>
              </w:rPr>
              <w:t>180</w:t>
            </w:r>
            <w:r>
              <w:rPr>
                <w:spacing w:val="-8"/>
                <w:sz w:val="22"/>
              </w:rPr>
              <w:t> 天后，每肢三大关</w:t>
            </w:r>
            <w:r>
              <w:rPr>
                <w:spacing w:val="-5"/>
                <w:sz w:val="22"/>
              </w:rPr>
              <w:t>节中的两大关节仍然完全僵硬，或不能随意识活动。</w:t>
            </w:r>
          </w:p>
        </w:tc>
      </w:tr>
      <w:tr>
        <w:trPr>
          <w:trHeight w:val="1140" w:hRule="atLeast"/>
        </w:trPr>
        <w:tc>
          <w:tcPr>
            <w:tcW w:w="1689" w:type="dxa"/>
          </w:tcPr>
          <w:p>
            <w:pPr>
              <w:pStyle w:val="TableParagraph"/>
              <w:spacing w:before="198"/>
              <w:ind w:left="200"/>
              <w:rPr>
                <w:b/>
                <w:sz w:val="22"/>
              </w:rPr>
            </w:pPr>
            <w:r>
              <w:rPr>
                <w:b/>
                <w:w w:val="95"/>
                <w:sz w:val="22"/>
              </w:rPr>
              <w:t>心脏瓣膜手术</w:t>
            </w:r>
          </w:p>
        </w:tc>
        <w:tc>
          <w:tcPr>
            <w:tcW w:w="7580" w:type="dxa"/>
          </w:tcPr>
          <w:p>
            <w:pPr>
              <w:pStyle w:val="TableParagraph"/>
              <w:spacing w:line="316" w:lineRule="auto" w:before="198"/>
              <w:ind w:left="78" w:right="197"/>
              <w:rPr>
                <w:sz w:val="22"/>
              </w:rPr>
            </w:pPr>
            <w:r>
              <w:rPr>
                <w:sz w:val="22"/>
              </w:rPr>
              <w:t>指为治疗心脏瓣膜疾病，实际实施了开胸进行的心脏瓣膜置换或修复的手术。</w:t>
            </w:r>
          </w:p>
        </w:tc>
      </w:tr>
      <w:tr>
        <w:trPr>
          <w:trHeight w:val="1249" w:hRule="atLeast"/>
        </w:trPr>
        <w:tc>
          <w:tcPr>
            <w:tcW w:w="1689" w:type="dxa"/>
          </w:tcPr>
          <w:p>
            <w:pPr>
              <w:pStyle w:val="TableParagraph"/>
              <w:spacing w:line="316" w:lineRule="auto" w:before="198"/>
              <w:ind w:left="200" w:right="75"/>
              <w:rPr>
                <w:b/>
                <w:sz w:val="22"/>
              </w:rPr>
            </w:pPr>
            <w:r>
              <w:rPr>
                <w:b/>
                <w:sz w:val="22"/>
              </w:rPr>
              <w:t>严重阿尔茨海</w:t>
            </w:r>
            <w:r>
              <w:rPr>
                <w:b/>
                <w:w w:val="95"/>
                <w:sz w:val="22"/>
              </w:rPr>
              <w:t>默病</w:t>
            </w:r>
          </w:p>
        </w:tc>
        <w:tc>
          <w:tcPr>
            <w:tcW w:w="7580" w:type="dxa"/>
          </w:tcPr>
          <w:p>
            <w:pPr>
              <w:pStyle w:val="TableParagraph"/>
              <w:spacing w:line="380" w:lineRule="atLeast" w:before="105"/>
              <w:ind w:left="78" w:right="204"/>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w:t>
            </w:r>
          </w:p>
        </w:tc>
      </w:tr>
    </w:tbl>
    <w:p>
      <w:pPr>
        <w:spacing w:after="0" w:line="380" w:lineRule="atLeast"/>
        <w:jc w:val="both"/>
        <w:rPr>
          <w:sz w:val="22"/>
        </w:rPr>
        <w:sectPr>
          <w:pgSz w:w="11910" w:h="16840"/>
          <w:pgMar w:top="1520" w:bottom="280" w:left="1600" w:right="820"/>
        </w:sectPr>
      </w:pPr>
    </w:p>
    <w:p>
      <w:pPr>
        <w:pStyle w:val="BodyText"/>
        <w:spacing w:line="316" w:lineRule="auto" w:before="8"/>
        <w:ind w:left="1798" w:right="114"/>
      </w:pPr>
      <w:r>
        <w:rPr/>
        <w:t>扫描（PET）等影像学检查证实，且自主生活能力完全丧失，无法独立完成六项基本日常生活活动中的三项或三项以上。</w:t>
      </w:r>
    </w:p>
    <w:p>
      <w:pPr>
        <w:pStyle w:val="BodyText"/>
        <w:spacing w:before="21"/>
        <w:ind w:left="1798"/>
      </w:pPr>
      <w:r>
        <w:rPr>
          <w:shd w:fill="D9D9D9" w:color="auto" w:val="clear"/>
        </w:rPr>
        <w:t>神经官能症和精神疾病不在保障范围内。</w:t>
      </w:r>
    </w:p>
    <w:p>
      <w:pPr>
        <w:pStyle w:val="BodyText"/>
        <w:spacing w:line="316" w:lineRule="auto" w:before="93"/>
        <w:ind w:left="1798" w:right="146"/>
      </w:pPr>
      <w:r>
        <w:rPr>
          <w:spacing w:val="-25"/>
          <w:shd w:fill="D9D9D9" w:color="auto" w:val="clear"/>
        </w:rPr>
        <w:t>在 </w:t>
      </w:r>
      <w:r>
        <w:rPr>
          <w:shd w:fill="D9D9D9" w:color="auto" w:val="clear"/>
        </w:rPr>
        <w:t>70</w:t>
      </w:r>
      <w:r>
        <w:rPr>
          <w:spacing w:val="-12"/>
          <w:shd w:fill="D9D9D9" w:color="auto" w:val="clear"/>
        </w:rPr>
        <w:t> 周岁以上</w:t>
      </w:r>
      <w:r>
        <w:rPr>
          <w:spacing w:val="-3"/>
          <w:shd w:fill="D9D9D9" w:color="auto" w:val="clear"/>
        </w:rPr>
        <w:t>（</w:t>
      </w:r>
      <w:r>
        <w:rPr>
          <w:spacing w:val="-25"/>
          <w:shd w:fill="D9D9D9" w:color="auto" w:val="clear"/>
        </w:rPr>
        <w:t>含 </w:t>
      </w:r>
      <w:r>
        <w:rPr>
          <w:shd w:fill="D9D9D9" w:color="auto" w:val="clear"/>
        </w:rPr>
        <w:t>70</w:t>
      </w:r>
      <w:r>
        <w:rPr>
          <w:spacing w:val="-19"/>
          <w:shd w:fill="D9D9D9" w:color="auto" w:val="clear"/>
        </w:rPr>
        <w:t> 周岁</w:t>
      </w:r>
      <w:r>
        <w:rPr>
          <w:shd w:fill="D9D9D9" w:color="auto" w:val="clear"/>
        </w:rPr>
        <w:t>），</w:t>
      </w:r>
      <w:r>
        <w:rPr>
          <w:spacing w:val="-3"/>
          <w:shd w:fill="D9D9D9" w:color="auto" w:val="clear"/>
        </w:rPr>
        <w:t>被保险人罹患严重阿尔茨海默病不在保障范围内</w:t>
      </w:r>
      <w:r>
        <w:rPr>
          <w:spacing w:val="-3"/>
        </w:rPr>
        <w:t>。</w:t>
      </w:r>
    </w:p>
    <w:p>
      <w:pPr>
        <w:pStyle w:val="BodyText"/>
        <w:spacing w:before="9"/>
        <w:rPr>
          <w:sz w:val="30"/>
        </w:rPr>
      </w:pPr>
    </w:p>
    <w:p>
      <w:pPr>
        <w:pStyle w:val="BodyText"/>
        <w:tabs>
          <w:tab w:pos="1797" w:val="left" w:leader="none"/>
        </w:tabs>
        <w:spacing w:line="316" w:lineRule="auto"/>
        <w:ind w:left="1798" w:right="146" w:hanging="1568"/>
      </w:pPr>
      <w:r>
        <w:rPr>
          <w:b/>
        </w:rPr>
        <w:t>严重脑损伤</w:t>
        <w:tab/>
      </w:r>
      <w:r>
        <w:rPr/>
        <w:t>指因头</w:t>
      </w:r>
      <w:r>
        <w:rPr>
          <w:spacing w:val="-3"/>
        </w:rPr>
        <w:t>部</w:t>
      </w:r>
      <w:r>
        <w:rPr/>
        <w:t>遭受</w:t>
      </w:r>
      <w:r>
        <w:rPr>
          <w:spacing w:val="-3"/>
        </w:rPr>
        <w:t>机</w:t>
      </w:r>
      <w:r>
        <w:rPr/>
        <w:t>械性</w:t>
      </w:r>
      <w:r>
        <w:rPr>
          <w:spacing w:val="-3"/>
        </w:rPr>
        <w:t>外力</w:t>
      </w:r>
      <w:r>
        <w:rPr/>
        <w:t>，引起</w:t>
      </w:r>
      <w:r>
        <w:rPr>
          <w:spacing w:val="-3"/>
        </w:rPr>
        <w:t>脑</w:t>
      </w:r>
      <w:r>
        <w:rPr/>
        <w:t>重要</w:t>
      </w:r>
      <w:r>
        <w:rPr>
          <w:spacing w:val="-3"/>
        </w:rPr>
        <w:t>部</w:t>
      </w:r>
      <w:r>
        <w:rPr/>
        <w:t>位损</w:t>
      </w:r>
      <w:r>
        <w:rPr>
          <w:spacing w:val="-3"/>
        </w:rPr>
        <w:t>伤，</w:t>
      </w:r>
      <w:r>
        <w:rPr/>
        <w:t>导致神</w:t>
      </w:r>
      <w:r>
        <w:rPr>
          <w:spacing w:val="-3"/>
        </w:rPr>
        <w:t>经</w:t>
      </w:r>
      <w:r>
        <w:rPr/>
        <w:t>系统</w:t>
      </w:r>
      <w:r>
        <w:rPr>
          <w:spacing w:val="-3"/>
        </w:rPr>
        <w:t>永</w:t>
      </w:r>
      <w:r>
        <w:rPr/>
        <w:t>久性</w:t>
      </w:r>
      <w:r>
        <w:rPr>
          <w:spacing w:val="-3"/>
        </w:rPr>
        <w:t>的</w:t>
      </w:r>
      <w:r>
        <w:rPr/>
        <w:t>功 能障碍</w:t>
      </w:r>
      <w:r>
        <w:rPr>
          <w:spacing w:val="-3"/>
        </w:rPr>
        <w:t>。</w:t>
      </w:r>
      <w:r>
        <w:rPr/>
        <w:t>须由</w:t>
      </w:r>
      <w:r>
        <w:rPr>
          <w:spacing w:val="-3"/>
        </w:rPr>
        <w:t>头</w:t>
      </w:r>
      <w:r>
        <w:rPr/>
        <w:t>颅断</w:t>
      </w:r>
      <w:r>
        <w:rPr>
          <w:spacing w:val="-3"/>
        </w:rPr>
        <w:t>层扫</w:t>
      </w:r>
      <w:r>
        <w:rPr/>
        <w:t>描（CT）、核</w:t>
      </w:r>
      <w:r>
        <w:rPr>
          <w:spacing w:val="-3"/>
        </w:rPr>
        <w:t>磁</w:t>
      </w:r>
      <w:r>
        <w:rPr/>
        <w:t>共振</w:t>
      </w:r>
      <w:r>
        <w:rPr>
          <w:spacing w:val="-3"/>
        </w:rPr>
        <w:t>检查</w:t>
      </w:r>
      <w:r>
        <w:rPr/>
        <w:t>（MRI）</w:t>
      </w:r>
      <w:r>
        <w:rPr>
          <w:spacing w:val="-3"/>
        </w:rPr>
        <w:t>或</w:t>
      </w:r>
      <w:r>
        <w:rPr/>
        <w:t>正电</w:t>
      </w:r>
      <w:r>
        <w:rPr>
          <w:spacing w:val="-3"/>
        </w:rPr>
        <w:t>子</w:t>
      </w:r>
      <w:r>
        <w:rPr/>
        <w:t>发射断</w:t>
      </w:r>
      <w:r>
        <w:rPr>
          <w:spacing w:val="-1"/>
        </w:rPr>
        <w:t>层扫描</w:t>
      </w:r>
      <w:r>
        <w:rPr/>
        <w:t>（PET）</w:t>
      </w:r>
      <w:r>
        <w:rPr>
          <w:spacing w:val="-3"/>
        </w:rPr>
        <w:t>等</w:t>
      </w:r>
      <w:r>
        <w:rPr/>
        <w:t>影像</w:t>
      </w:r>
      <w:r>
        <w:rPr>
          <w:spacing w:val="-3"/>
        </w:rPr>
        <w:t>学</w:t>
      </w:r>
      <w:r>
        <w:rPr/>
        <w:t>检查证</w:t>
      </w:r>
      <w:r>
        <w:rPr>
          <w:spacing w:val="-3"/>
        </w:rPr>
        <w:t>实</w:t>
      </w:r>
      <w:r>
        <w:rPr/>
        <w:t>。神</w:t>
      </w:r>
      <w:r>
        <w:rPr>
          <w:spacing w:val="-3"/>
        </w:rPr>
        <w:t>经</w:t>
      </w:r>
      <w:r>
        <w:rPr/>
        <w:t>系统</w:t>
      </w:r>
      <w:r>
        <w:rPr>
          <w:spacing w:val="-3"/>
        </w:rPr>
        <w:t>永久</w:t>
      </w:r>
      <w:r>
        <w:rPr/>
        <w:t>性的功</w:t>
      </w:r>
      <w:r>
        <w:rPr>
          <w:spacing w:val="-3"/>
        </w:rPr>
        <w:t>能</w:t>
      </w:r>
      <w:r>
        <w:rPr/>
        <w:t>障碍</w:t>
      </w:r>
      <w:r>
        <w:rPr>
          <w:spacing w:val="-3"/>
        </w:rPr>
        <w:t>，</w:t>
      </w:r>
      <w:r>
        <w:rPr/>
        <w:t>指脑</w:t>
      </w:r>
      <w:r>
        <w:rPr>
          <w:spacing w:val="-3"/>
        </w:rPr>
        <w:t>损</w:t>
      </w:r>
      <w:r>
        <w:rPr/>
        <w:t>伤</w:t>
      </w:r>
    </w:p>
    <w:p>
      <w:pPr>
        <w:pStyle w:val="BodyText"/>
        <w:spacing w:before="23"/>
        <w:ind w:left="1798"/>
      </w:pPr>
      <w:r>
        <w:rPr/>
        <w:t>180 天后，仍遗留下列一种或一种以上障碍：</w:t>
      </w:r>
    </w:p>
    <w:p>
      <w:pPr>
        <w:pStyle w:val="ListParagraph"/>
        <w:numPr>
          <w:ilvl w:val="0"/>
          <w:numId w:val="23"/>
        </w:numPr>
        <w:tabs>
          <w:tab w:pos="2218" w:val="left" w:leader="none"/>
        </w:tabs>
        <w:spacing w:line="240" w:lineRule="auto" w:before="91" w:after="0"/>
        <w:ind w:left="2218" w:right="0" w:hanging="420"/>
        <w:jc w:val="left"/>
        <w:rPr>
          <w:sz w:val="22"/>
        </w:rPr>
      </w:pPr>
      <w:r>
        <w:rPr>
          <w:spacing w:val="-3"/>
          <w:sz w:val="22"/>
        </w:rPr>
        <w:t>一肢或一肢以上肢体机能完全丧失；</w:t>
      </w:r>
    </w:p>
    <w:p>
      <w:pPr>
        <w:pStyle w:val="ListParagraph"/>
        <w:numPr>
          <w:ilvl w:val="0"/>
          <w:numId w:val="23"/>
        </w:numPr>
        <w:tabs>
          <w:tab w:pos="2218" w:val="left" w:leader="none"/>
        </w:tabs>
        <w:spacing w:line="240" w:lineRule="auto" w:before="91" w:after="0"/>
        <w:ind w:left="2218" w:right="0" w:hanging="420"/>
        <w:jc w:val="left"/>
        <w:rPr>
          <w:sz w:val="22"/>
        </w:rPr>
      </w:pPr>
      <w:r>
        <w:rPr>
          <w:spacing w:val="-3"/>
          <w:sz w:val="22"/>
        </w:rPr>
        <w:t>语言能力或咀嚼吞咽能力完全丧失；</w:t>
      </w:r>
    </w:p>
    <w:p>
      <w:pPr>
        <w:pStyle w:val="ListParagraph"/>
        <w:numPr>
          <w:ilvl w:val="0"/>
          <w:numId w:val="23"/>
        </w:numPr>
        <w:tabs>
          <w:tab w:pos="2218" w:val="left" w:leader="none"/>
        </w:tabs>
        <w:spacing w:line="316" w:lineRule="auto" w:before="93" w:after="0"/>
        <w:ind w:left="2218" w:right="110" w:hanging="420"/>
        <w:jc w:val="left"/>
        <w:rPr>
          <w:sz w:val="22"/>
        </w:rPr>
      </w:pPr>
      <w:r>
        <w:rPr>
          <w:sz w:val="22"/>
        </w:rPr>
        <w:t>自主生活能力完全丧失，无法独立完成六项基本日常生活活动中的三项</w:t>
      </w:r>
      <w:r>
        <w:rPr>
          <w:spacing w:val="-1"/>
          <w:sz w:val="22"/>
        </w:rPr>
        <w:t>或三项以上。</w:t>
      </w:r>
    </w:p>
    <w:p>
      <w:pPr>
        <w:pStyle w:val="BodyText"/>
        <w:spacing w:before="9"/>
        <w:rPr>
          <w:sz w:val="30"/>
        </w:rPr>
      </w:pPr>
    </w:p>
    <w:p>
      <w:pPr>
        <w:pStyle w:val="BodyText"/>
        <w:tabs>
          <w:tab w:pos="1797" w:val="left" w:leader="none"/>
        </w:tabs>
        <w:spacing w:line="316" w:lineRule="auto" w:before="1"/>
        <w:ind w:left="1798" w:right="144" w:hanging="1568"/>
      </w:pPr>
      <w:r>
        <w:rPr>
          <w:b/>
        </w:rPr>
        <w:t>严重帕金森病</w:t>
        <w:tab/>
      </w:r>
      <w:r>
        <w:rPr>
          <w:spacing w:val="-1"/>
        </w:rPr>
        <w:t>是</w:t>
      </w:r>
      <w:r>
        <w:rPr/>
        <w:t>一种</w:t>
      </w:r>
      <w:r>
        <w:rPr>
          <w:spacing w:val="-3"/>
        </w:rPr>
        <w:t>中</w:t>
      </w:r>
      <w:r>
        <w:rPr/>
        <w:t>枢神</w:t>
      </w:r>
      <w:r>
        <w:rPr>
          <w:spacing w:val="-3"/>
        </w:rPr>
        <w:t>经</w:t>
      </w:r>
      <w:r>
        <w:rPr/>
        <w:t>系统</w:t>
      </w:r>
      <w:r>
        <w:rPr>
          <w:spacing w:val="-3"/>
        </w:rPr>
        <w:t>的退</w:t>
      </w:r>
      <w:r>
        <w:rPr/>
        <w:t>行性疾</w:t>
      </w:r>
      <w:r>
        <w:rPr>
          <w:spacing w:val="-3"/>
        </w:rPr>
        <w:t>病</w:t>
      </w:r>
      <w:r>
        <w:rPr/>
        <w:t>，临</w:t>
      </w:r>
      <w:r>
        <w:rPr>
          <w:spacing w:val="-3"/>
        </w:rPr>
        <w:t>床</w:t>
      </w:r>
      <w:r>
        <w:rPr/>
        <w:t>表现</w:t>
      </w:r>
      <w:r>
        <w:rPr>
          <w:spacing w:val="-3"/>
        </w:rPr>
        <w:t>为震</w:t>
      </w:r>
      <w:r>
        <w:rPr/>
        <w:t>颤麻痹</w:t>
      </w:r>
      <w:r>
        <w:rPr>
          <w:spacing w:val="-3"/>
        </w:rPr>
        <w:t>、</w:t>
      </w:r>
      <w:r>
        <w:rPr/>
        <w:t>共济</w:t>
      </w:r>
      <w:r>
        <w:rPr>
          <w:spacing w:val="-3"/>
        </w:rPr>
        <w:t>失</w:t>
      </w:r>
      <w:r>
        <w:rPr/>
        <w:t>调等。须 满足下</w:t>
      </w:r>
      <w:r>
        <w:rPr>
          <w:spacing w:val="-3"/>
        </w:rPr>
        <w:t>列</w:t>
      </w:r>
      <w:r>
        <w:rPr/>
        <w:t>全部</w:t>
      </w:r>
      <w:r>
        <w:rPr>
          <w:spacing w:val="-3"/>
        </w:rPr>
        <w:t>条</w:t>
      </w:r>
      <w:r>
        <w:rPr/>
        <w:t>件：</w:t>
      </w:r>
    </w:p>
    <w:p>
      <w:pPr>
        <w:pStyle w:val="ListParagraph"/>
        <w:numPr>
          <w:ilvl w:val="0"/>
          <w:numId w:val="24"/>
        </w:numPr>
        <w:tabs>
          <w:tab w:pos="2218" w:val="left" w:leader="none"/>
        </w:tabs>
        <w:spacing w:line="240" w:lineRule="auto" w:before="21" w:after="0"/>
        <w:ind w:left="2218" w:right="0" w:hanging="420"/>
        <w:jc w:val="left"/>
        <w:rPr>
          <w:sz w:val="22"/>
        </w:rPr>
      </w:pPr>
      <w:r>
        <w:rPr>
          <w:spacing w:val="-3"/>
          <w:sz w:val="22"/>
        </w:rPr>
        <w:t>药物治疗无法控制病情；</w:t>
      </w:r>
    </w:p>
    <w:p>
      <w:pPr>
        <w:pStyle w:val="ListParagraph"/>
        <w:numPr>
          <w:ilvl w:val="0"/>
          <w:numId w:val="24"/>
        </w:numPr>
        <w:tabs>
          <w:tab w:pos="2218" w:val="left" w:leader="none"/>
        </w:tabs>
        <w:spacing w:line="316" w:lineRule="auto" w:before="93" w:after="0"/>
        <w:ind w:left="2218" w:right="165" w:hanging="420"/>
        <w:jc w:val="left"/>
        <w:rPr>
          <w:sz w:val="22"/>
        </w:rPr>
      </w:pPr>
      <w:r>
        <w:rPr>
          <w:spacing w:val="-3"/>
          <w:sz w:val="22"/>
        </w:rPr>
        <w:t>自主生活能力完全丧失，无法独立完成六项基本日常生活活动中的三项或三项以上。</w:t>
      </w:r>
    </w:p>
    <w:p>
      <w:pPr>
        <w:pStyle w:val="BodyText"/>
        <w:spacing w:before="20"/>
        <w:ind w:left="1798"/>
      </w:pPr>
      <w:r>
        <w:rPr>
          <w:shd w:fill="D9D9D9" w:color="auto" w:val="clear"/>
        </w:rPr>
        <w:t>继发性帕金森综合征不在保障范围内</w:t>
      </w:r>
      <w:r>
        <w:rPr/>
        <w:t>。</w:t>
      </w:r>
    </w:p>
    <w:p>
      <w:pPr>
        <w:pStyle w:val="BodyText"/>
        <w:spacing w:before="94"/>
        <w:ind w:left="1798"/>
      </w:pPr>
      <w:r>
        <w:rPr>
          <w:spacing w:val="-31"/>
          <w:shd w:fill="D9D9D9" w:color="auto" w:val="clear"/>
        </w:rPr>
        <w:t>在 </w:t>
      </w:r>
      <w:r>
        <w:rPr>
          <w:spacing w:val="-5"/>
          <w:shd w:fill="D9D9D9" w:color="auto" w:val="clear"/>
        </w:rPr>
        <w:t>70</w:t>
      </w:r>
      <w:r>
        <w:rPr>
          <w:spacing w:val="-23"/>
          <w:shd w:fill="D9D9D9" w:color="auto" w:val="clear"/>
        </w:rPr>
        <w:t> 周岁以上</w:t>
      </w:r>
      <w:r>
        <w:rPr>
          <w:spacing w:val="-10"/>
          <w:shd w:fill="D9D9D9" w:color="auto" w:val="clear"/>
        </w:rPr>
        <w:t>（</w:t>
      </w:r>
      <w:r>
        <w:rPr>
          <w:spacing w:val="-32"/>
          <w:shd w:fill="D9D9D9" w:color="auto" w:val="clear"/>
        </w:rPr>
        <w:t>含 </w:t>
      </w:r>
      <w:r>
        <w:rPr>
          <w:spacing w:val="-5"/>
          <w:shd w:fill="D9D9D9" w:color="auto" w:val="clear"/>
        </w:rPr>
        <w:t>70</w:t>
      </w:r>
      <w:r>
        <w:rPr>
          <w:spacing w:val="-29"/>
          <w:shd w:fill="D9D9D9" w:color="auto" w:val="clear"/>
        </w:rPr>
        <w:t> 周岁</w:t>
      </w:r>
      <w:r>
        <w:rPr>
          <w:spacing w:val="-11"/>
          <w:shd w:fill="D9D9D9" w:color="auto" w:val="clear"/>
        </w:rPr>
        <w:t>）</w:t>
      </w:r>
      <w:r>
        <w:rPr>
          <w:spacing w:val="-13"/>
          <w:shd w:fill="D9D9D9" w:color="auto" w:val="clear"/>
        </w:rPr>
        <w:t>，被保险人罹患严重帕金森病不在保障范围内</w:t>
      </w:r>
      <w:r>
        <w:rPr/>
        <w:t>。</w:t>
      </w:r>
    </w:p>
    <w:p>
      <w:pPr>
        <w:pStyle w:val="BodyText"/>
      </w:pPr>
    </w:p>
    <w:p>
      <w:pPr>
        <w:pStyle w:val="BodyText"/>
        <w:tabs>
          <w:tab w:pos="1797" w:val="left" w:leader="none"/>
        </w:tabs>
        <w:spacing w:line="319" w:lineRule="auto" w:before="182"/>
        <w:ind w:left="1798" w:right="106" w:hanging="1568"/>
      </w:pPr>
      <w:r>
        <w:rPr>
          <w:b/>
        </w:rPr>
        <w:t>严重Ⅲ度烧伤</w:t>
        <w:tab/>
      </w:r>
      <w:r>
        <w:rPr>
          <w:spacing w:val="2"/>
        </w:rPr>
        <w:t>指烧伤</w:t>
      </w:r>
      <w:r>
        <w:rPr/>
        <w:t>程</w:t>
      </w:r>
      <w:r>
        <w:rPr>
          <w:spacing w:val="2"/>
        </w:rPr>
        <w:t>度为</w:t>
      </w:r>
      <w:r>
        <w:rPr/>
        <w:t>Ⅲ</w:t>
      </w:r>
      <w:r>
        <w:rPr>
          <w:spacing w:val="2"/>
        </w:rPr>
        <w:t>度，</w:t>
      </w:r>
      <w:r>
        <w:rPr/>
        <w:t>且</w:t>
      </w:r>
      <w:r>
        <w:rPr>
          <w:spacing w:val="2"/>
        </w:rPr>
        <w:t>Ⅲ度烧</w:t>
      </w:r>
      <w:r>
        <w:rPr/>
        <w:t>伤</w:t>
      </w:r>
      <w:r>
        <w:rPr>
          <w:spacing w:val="2"/>
        </w:rPr>
        <w:t>的面</w:t>
      </w:r>
      <w:r>
        <w:rPr/>
        <w:t>积</w:t>
      </w:r>
      <w:r>
        <w:rPr>
          <w:spacing w:val="2"/>
        </w:rPr>
        <w:t>达到</w:t>
      </w:r>
      <w:r>
        <w:rPr/>
        <w:t>全</w:t>
      </w:r>
      <w:r>
        <w:rPr>
          <w:spacing w:val="2"/>
        </w:rPr>
        <w:t>身体表</w:t>
      </w:r>
      <w:r>
        <w:rPr/>
        <w:t>面</w:t>
      </w:r>
      <w:r>
        <w:rPr>
          <w:spacing w:val="2"/>
        </w:rPr>
        <w:t>积</w:t>
      </w:r>
      <w:r>
        <w:rPr/>
        <w:t>的</w:t>
      </w:r>
      <w:r>
        <w:rPr>
          <w:spacing w:val="42"/>
        </w:rPr>
        <w:t> </w:t>
      </w:r>
      <w:r>
        <w:rPr/>
        <w:t>20％或</w:t>
      </w:r>
      <w:r>
        <w:rPr>
          <w:spacing w:val="35"/>
        </w:rPr>
        <w:t> </w:t>
      </w:r>
      <w:r>
        <w:rPr/>
        <w:t>20%以上。体</w:t>
      </w:r>
      <w:r>
        <w:rPr>
          <w:spacing w:val="-3"/>
        </w:rPr>
        <w:t>表</w:t>
      </w:r>
      <w:r>
        <w:rPr/>
        <w:t>面积</w:t>
      </w:r>
      <w:r>
        <w:rPr>
          <w:spacing w:val="-3"/>
        </w:rPr>
        <w:t>根</w:t>
      </w:r>
      <w:r>
        <w:rPr/>
        <w:t>据《</w:t>
      </w:r>
      <w:r>
        <w:rPr>
          <w:spacing w:val="-3"/>
        </w:rPr>
        <w:t>中国</w:t>
      </w:r>
      <w:r>
        <w:rPr/>
        <w:t>新九分</w:t>
      </w:r>
      <w:r>
        <w:rPr>
          <w:spacing w:val="-3"/>
        </w:rPr>
        <w:t>法</w:t>
      </w:r>
      <w:r>
        <w:rPr/>
        <w:t>》计</w:t>
      </w:r>
      <w:r>
        <w:rPr>
          <w:spacing w:val="-3"/>
        </w:rPr>
        <w:t>算</w:t>
      </w:r>
      <w:r>
        <w:rPr/>
        <w:t>。</w:t>
      </w:r>
    </w:p>
    <w:p>
      <w:pPr>
        <w:pStyle w:val="BodyText"/>
        <w:spacing w:before="11"/>
        <w:rPr>
          <w:sz w:val="27"/>
        </w:rPr>
      </w:pPr>
    </w:p>
    <w:p>
      <w:pPr>
        <w:spacing w:after="0"/>
        <w:rPr>
          <w:sz w:val="27"/>
        </w:rPr>
        <w:sectPr>
          <w:pgSz w:w="11910" w:h="16840"/>
          <w:pgMar w:top="1440" w:bottom="280" w:left="1680" w:right="1020"/>
        </w:sectPr>
      </w:pPr>
    </w:p>
    <w:p>
      <w:pPr>
        <w:pStyle w:val="Heading3"/>
        <w:spacing w:line="319" w:lineRule="auto"/>
      </w:pPr>
      <w:r>
        <w:rPr/>
        <w:t>严重原发性肺</w:t>
      </w:r>
      <w:r>
        <w:rPr>
          <w:w w:val="95"/>
        </w:rPr>
        <w:t>动脉高压</w:t>
      </w:r>
    </w:p>
    <w:p>
      <w:pPr>
        <w:pStyle w:val="BodyText"/>
        <w:spacing w:line="316" w:lineRule="auto" w:before="33"/>
        <w:ind w:left="115" w:right="115"/>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1440" w:bottom="280" w:left="1680" w:right="1020"/>
          <w:cols w:num="2" w:equalWidth="0">
            <w:col w:w="1643" w:space="40"/>
            <w:col w:w="7527"/>
          </w:cols>
        </w:sectPr>
      </w:pP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pPr>
      <w:r>
        <w:rPr/>
        <w:t>严重运动神经</w:t>
      </w:r>
      <w:r>
        <w:rPr>
          <w:w w:val="95"/>
        </w:rPr>
        <w:t>元病</w:t>
      </w:r>
    </w:p>
    <w:p>
      <w:pPr>
        <w:pStyle w:val="BodyText"/>
        <w:spacing w:line="316" w:lineRule="auto" w:before="33"/>
        <w:ind w:left="115" w:right="10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643" w:space="40"/>
            <w:col w:w="7527"/>
          </w:cols>
        </w:sectPr>
      </w:pPr>
    </w:p>
    <w:p>
      <w:pPr>
        <w:pStyle w:val="BodyText"/>
        <w:rPr>
          <w:sz w:val="28"/>
        </w:rPr>
      </w:pPr>
    </w:p>
    <w:p>
      <w:pPr>
        <w:pStyle w:val="BodyText"/>
        <w:tabs>
          <w:tab w:pos="1797" w:val="left" w:leader="none"/>
        </w:tabs>
        <w:spacing w:before="33"/>
        <w:ind w:left="230"/>
      </w:pPr>
      <w:r>
        <w:rPr>
          <w:b/>
        </w:rPr>
        <w:t>语言能力丧失</w:t>
        <w:tab/>
      </w:r>
      <w:r>
        <w:rPr/>
        <w:t>指因疾</w:t>
      </w:r>
      <w:r>
        <w:rPr>
          <w:spacing w:val="-3"/>
        </w:rPr>
        <w:t>病</w:t>
      </w:r>
      <w:r>
        <w:rPr/>
        <w:t>或意</w:t>
      </w:r>
      <w:r>
        <w:rPr>
          <w:spacing w:val="-3"/>
        </w:rPr>
        <w:t>外</w:t>
      </w:r>
      <w:r>
        <w:rPr/>
        <w:t>伤害</w:t>
      </w:r>
      <w:r>
        <w:rPr>
          <w:spacing w:val="-3"/>
        </w:rPr>
        <w:t>导致</w:t>
      </w:r>
      <w:r>
        <w:rPr/>
        <w:t>完全丧</w:t>
      </w:r>
      <w:r>
        <w:rPr>
          <w:spacing w:val="-3"/>
        </w:rPr>
        <w:t>失</w:t>
      </w:r>
      <w:r>
        <w:rPr/>
        <w:t>语言</w:t>
      </w:r>
      <w:r>
        <w:rPr>
          <w:spacing w:val="-3"/>
        </w:rPr>
        <w:t>能</w:t>
      </w:r>
      <w:r>
        <w:rPr/>
        <w:t>力，</w:t>
      </w:r>
      <w:r>
        <w:rPr>
          <w:spacing w:val="-3"/>
        </w:rPr>
        <w:t>经过</w:t>
      </w:r>
      <w:r>
        <w:rPr/>
        <w:t>积极治</w:t>
      </w:r>
      <w:r>
        <w:rPr>
          <w:spacing w:val="-3"/>
        </w:rPr>
        <w:t>疗</w:t>
      </w:r>
      <w:r>
        <w:rPr/>
        <w:t>至少</w:t>
      </w:r>
      <w:r>
        <w:rPr>
          <w:spacing w:val="-40"/>
        </w:rPr>
        <w:t> </w:t>
      </w:r>
      <w:r>
        <w:rPr/>
        <w:t>12</w:t>
      </w:r>
      <w:r>
        <w:rPr>
          <w:spacing w:val="-47"/>
        </w:rPr>
        <w:t> </w:t>
      </w:r>
      <w:r>
        <w:rPr/>
        <w:t>个月</w:t>
      </w:r>
    </w:p>
    <w:p>
      <w:pPr>
        <w:spacing w:after="0"/>
        <w:sectPr>
          <w:type w:val="continuous"/>
          <w:pgSz w:w="11910" w:h="1684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7583"/>
      </w:tblGrid>
      <w:tr>
        <w:trPr>
          <w:trHeight w:val="1249" w:hRule="atLeast"/>
        </w:trPr>
        <w:tc>
          <w:tcPr>
            <w:tcW w:w="1689" w:type="dxa"/>
          </w:tcPr>
          <w:p>
            <w:pPr>
              <w:pStyle w:val="TableParagraph"/>
              <w:rPr>
                <w:rFonts w:ascii="Times New Roman"/>
                <w:sz w:val="22"/>
              </w:rPr>
            </w:pPr>
          </w:p>
        </w:tc>
        <w:tc>
          <w:tcPr>
            <w:tcW w:w="7583" w:type="dxa"/>
          </w:tcPr>
          <w:p>
            <w:pPr>
              <w:pStyle w:val="TableParagraph"/>
              <w:spacing w:line="216" w:lineRule="exact"/>
              <w:ind w:left="78"/>
              <w:rPr>
                <w:sz w:val="22"/>
              </w:rPr>
            </w:pPr>
            <w:r>
              <w:rPr>
                <w:sz w:val="22"/>
              </w:rPr>
              <w:t>（声带完全切除不受此时间限制），仍无法通过现有医疗手段恢复。</w:t>
            </w:r>
          </w:p>
          <w:p>
            <w:pPr>
              <w:pStyle w:val="TableParagraph"/>
              <w:spacing w:before="91"/>
              <w:ind w:left="78"/>
              <w:rPr>
                <w:sz w:val="22"/>
              </w:rPr>
            </w:pPr>
            <w:r>
              <w:rPr>
                <w:sz w:val="22"/>
                <w:shd w:fill="D9D9D9" w:color="auto" w:val="clear"/>
              </w:rPr>
              <w:t>精神心理因素所致的语言能力丧失不在保障范围内</w:t>
            </w:r>
            <w:r>
              <w:rPr>
                <w:sz w:val="22"/>
              </w:rPr>
              <w:t>。</w:t>
            </w:r>
          </w:p>
          <w:p>
            <w:pPr>
              <w:pStyle w:val="TableParagraph"/>
              <w:spacing w:before="90"/>
              <w:ind w:left="78"/>
              <w:rPr>
                <w:sz w:val="22"/>
              </w:rPr>
            </w:pPr>
            <w:r>
              <w:rPr>
                <w:sz w:val="22"/>
                <w:shd w:fill="D9D9D9" w:color="auto" w:val="clear"/>
              </w:rPr>
              <w:t>在 0 至 3 周岁保单周年日期间，被保险人语言能力丧失不在保障范围内</w:t>
            </w:r>
            <w:r>
              <w:rPr>
                <w:sz w:val="22"/>
              </w:rPr>
              <w:t>。</w:t>
            </w:r>
          </w:p>
        </w:tc>
      </w:tr>
      <w:tr>
        <w:trPr>
          <w:trHeight w:val="3041" w:hRule="atLeast"/>
        </w:trPr>
        <w:tc>
          <w:tcPr>
            <w:tcW w:w="1689" w:type="dxa"/>
          </w:tcPr>
          <w:p>
            <w:pPr>
              <w:pStyle w:val="TableParagraph"/>
              <w:spacing w:line="316" w:lineRule="auto" w:before="198"/>
              <w:ind w:left="200" w:right="75"/>
              <w:rPr>
                <w:b/>
                <w:sz w:val="22"/>
              </w:rPr>
            </w:pPr>
            <w:r>
              <w:rPr>
                <w:b/>
                <w:sz w:val="22"/>
              </w:rPr>
              <w:t>重型再生障碍</w:t>
            </w:r>
            <w:r>
              <w:rPr>
                <w:b/>
                <w:w w:val="95"/>
                <w:sz w:val="22"/>
              </w:rPr>
              <w:t>性贫血</w:t>
            </w:r>
          </w:p>
        </w:tc>
        <w:tc>
          <w:tcPr>
            <w:tcW w:w="7583" w:type="dxa"/>
          </w:tcPr>
          <w:p>
            <w:pPr>
              <w:pStyle w:val="TableParagraph"/>
              <w:spacing w:line="316" w:lineRule="auto" w:before="198"/>
              <w:ind w:left="78" w:right="212"/>
              <w:rPr>
                <w:sz w:val="22"/>
              </w:rPr>
            </w:pPr>
            <w:r>
              <w:rPr>
                <w:sz w:val="22"/>
              </w:rPr>
              <w:t>指因骨髓造血功能慢性持续性衰竭导致的贫血、中性粒细胞减少及血小板减少。须满足下列全部条件：</w:t>
            </w:r>
          </w:p>
          <w:p>
            <w:pPr>
              <w:pStyle w:val="TableParagraph"/>
              <w:numPr>
                <w:ilvl w:val="0"/>
                <w:numId w:val="25"/>
              </w:numPr>
              <w:tabs>
                <w:tab w:pos="499" w:val="left" w:leader="none"/>
              </w:tabs>
              <w:spacing w:line="240" w:lineRule="auto" w:before="23" w:after="0"/>
              <w:ind w:left="498" w:right="0" w:hanging="420"/>
              <w:jc w:val="left"/>
              <w:rPr>
                <w:sz w:val="22"/>
              </w:rPr>
            </w:pPr>
            <w:r>
              <w:rPr>
                <w:spacing w:val="-3"/>
                <w:sz w:val="22"/>
              </w:rPr>
              <w:t>骨髓穿刺检查或骨髓活检结果支持诊断；</w:t>
            </w:r>
          </w:p>
          <w:p>
            <w:pPr>
              <w:pStyle w:val="TableParagraph"/>
              <w:numPr>
                <w:ilvl w:val="0"/>
                <w:numId w:val="25"/>
              </w:numPr>
              <w:tabs>
                <w:tab w:pos="499" w:val="left" w:leader="none"/>
              </w:tabs>
              <w:spacing w:line="240" w:lineRule="auto" w:before="91" w:after="0"/>
              <w:ind w:left="498" w:right="0" w:hanging="420"/>
              <w:jc w:val="left"/>
              <w:rPr>
                <w:sz w:val="22"/>
              </w:rPr>
            </w:pPr>
            <w:r>
              <w:rPr>
                <w:spacing w:val="-3"/>
                <w:sz w:val="22"/>
              </w:rPr>
              <w:t>外周血象须具备以下三项条件：</w:t>
            </w:r>
          </w:p>
          <w:p>
            <w:pPr>
              <w:pStyle w:val="TableParagraph"/>
              <w:spacing w:before="91"/>
              <w:ind w:left="298"/>
              <w:rPr>
                <w:sz w:val="22"/>
              </w:rPr>
            </w:pPr>
            <w:r>
              <w:rPr>
                <w:sz w:val="22"/>
              </w:rPr>
              <w:t>① 中性粒细胞绝对值≤0.5×10</w:t>
            </w:r>
            <w:r>
              <w:rPr>
                <w:position w:val="11"/>
                <w:sz w:val="11"/>
              </w:rPr>
              <w:t>9</w:t>
            </w:r>
            <w:r>
              <w:rPr>
                <w:sz w:val="22"/>
              </w:rPr>
              <w:t>/L ；</w:t>
            </w:r>
          </w:p>
          <w:p>
            <w:pPr>
              <w:pStyle w:val="TableParagraph"/>
              <w:spacing w:before="93"/>
              <w:ind w:left="298"/>
              <w:rPr>
                <w:sz w:val="22"/>
              </w:rPr>
            </w:pPr>
            <w:r>
              <w:rPr>
                <w:sz w:val="22"/>
              </w:rPr>
              <w:t>② 网织红细胞＜1%；</w:t>
            </w:r>
          </w:p>
          <w:p>
            <w:pPr>
              <w:pStyle w:val="TableParagraph"/>
              <w:spacing w:before="91"/>
              <w:ind w:left="298"/>
              <w:rPr>
                <w:sz w:val="22"/>
              </w:rPr>
            </w:pPr>
            <w:r>
              <w:rPr>
                <w:sz w:val="22"/>
              </w:rPr>
              <w:t>③ 血小板绝对值≤20×10</w:t>
            </w:r>
            <w:r>
              <w:rPr>
                <w:position w:val="11"/>
                <w:sz w:val="11"/>
              </w:rPr>
              <w:t>9</w:t>
            </w:r>
            <w:r>
              <w:rPr>
                <w:sz w:val="22"/>
              </w:rPr>
              <w:t>/L。</w:t>
            </w:r>
          </w:p>
        </w:tc>
      </w:tr>
      <w:tr>
        <w:trPr>
          <w:trHeight w:val="3420" w:hRule="atLeast"/>
        </w:trPr>
        <w:tc>
          <w:tcPr>
            <w:tcW w:w="1689" w:type="dxa"/>
          </w:tcPr>
          <w:p>
            <w:pPr>
              <w:pStyle w:val="TableParagraph"/>
              <w:spacing w:before="1"/>
              <w:rPr>
                <w:sz w:val="15"/>
              </w:rPr>
            </w:pPr>
          </w:p>
          <w:p>
            <w:pPr>
              <w:pStyle w:val="TableParagraph"/>
              <w:spacing w:before="1"/>
              <w:ind w:left="200"/>
              <w:rPr>
                <w:b/>
                <w:sz w:val="22"/>
              </w:rPr>
            </w:pPr>
            <w:r>
              <w:rPr>
                <w:b/>
                <w:w w:val="95"/>
                <w:sz w:val="22"/>
              </w:rPr>
              <w:t>主动脉手术</w:t>
            </w:r>
          </w:p>
        </w:tc>
        <w:tc>
          <w:tcPr>
            <w:tcW w:w="7583" w:type="dxa"/>
          </w:tcPr>
          <w:p>
            <w:pPr>
              <w:pStyle w:val="TableParagraph"/>
              <w:spacing w:before="1"/>
              <w:rPr>
                <w:sz w:val="15"/>
              </w:rPr>
            </w:pPr>
          </w:p>
          <w:p>
            <w:pPr>
              <w:pStyle w:val="TableParagraph"/>
              <w:spacing w:line="316" w:lineRule="auto" w:before="1"/>
              <w:ind w:left="78" w:right="212"/>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3"/>
              <w:ind w:left="78"/>
              <w:rPr>
                <w:sz w:val="22"/>
              </w:rPr>
            </w:pPr>
            <w:r>
              <w:rPr>
                <w:sz w:val="22"/>
                <w:shd w:fill="D9D9D9" w:color="auto" w:val="clear"/>
              </w:rPr>
              <w:t>动脉内血管成形术不在保障范围内</w:t>
            </w:r>
            <w:r>
              <w:rPr>
                <w:sz w:val="22"/>
              </w:rPr>
              <w:t>。</w:t>
            </w:r>
          </w:p>
          <w:p>
            <w:pPr>
              <w:pStyle w:val="TableParagraph"/>
              <w:rPr>
                <w:sz w:val="22"/>
              </w:rPr>
            </w:pPr>
          </w:p>
          <w:p>
            <w:pPr>
              <w:pStyle w:val="TableParagraph"/>
              <w:spacing w:line="319" w:lineRule="auto" w:before="182"/>
              <w:ind w:left="78" w:right="216"/>
              <w:jc w:val="both"/>
              <w:rPr>
                <w:b/>
                <w:sz w:val="22"/>
              </w:rPr>
            </w:pPr>
            <w:r>
              <w:rPr>
                <w:b/>
                <w:w w:val="95"/>
                <w:sz w:val="22"/>
              </w:rPr>
              <w:t>以上是中国保险行业协会与中国医师协会制定的《重大疾病保险疾病定义使  用规范》所规范的重大疾病种类，以下是本公司为扩大保障范围所增设的</w:t>
            </w:r>
          </w:p>
          <w:p>
            <w:pPr>
              <w:pStyle w:val="TableParagraph"/>
              <w:spacing w:before="18"/>
              <w:ind w:left="78"/>
              <w:jc w:val="both"/>
              <w:rPr>
                <w:sz w:val="22"/>
              </w:rPr>
            </w:pPr>
            <w:r>
              <w:rPr>
                <w:b/>
                <w:sz w:val="22"/>
              </w:rPr>
              <w:t>18 种重大疾病</w:t>
            </w:r>
            <w:r>
              <w:rPr>
                <w:sz w:val="22"/>
              </w:rPr>
              <w:t>。</w:t>
            </w:r>
          </w:p>
        </w:tc>
      </w:tr>
      <w:tr>
        <w:trPr>
          <w:trHeight w:val="2659" w:hRule="atLeast"/>
        </w:trPr>
        <w:tc>
          <w:tcPr>
            <w:tcW w:w="1689" w:type="dxa"/>
          </w:tcPr>
          <w:p>
            <w:pPr>
              <w:pStyle w:val="TableParagraph"/>
              <w:spacing w:before="1"/>
              <w:rPr>
                <w:sz w:val="15"/>
              </w:rPr>
            </w:pPr>
          </w:p>
          <w:p>
            <w:pPr>
              <w:pStyle w:val="TableParagraph"/>
              <w:spacing w:line="316" w:lineRule="auto"/>
              <w:ind w:left="200" w:right="75"/>
              <w:rPr>
                <w:b/>
                <w:sz w:val="22"/>
              </w:rPr>
            </w:pPr>
            <w:r>
              <w:rPr>
                <w:b/>
                <w:sz w:val="22"/>
              </w:rPr>
              <w:t>慢性呼吸功能</w:t>
            </w:r>
            <w:r>
              <w:rPr>
                <w:b/>
                <w:w w:val="95"/>
                <w:sz w:val="22"/>
              </w:rPr>
              <w:t>衰竭</w:t>
            </w:r>
          </w:p>
        </w:tc>
        <w:tc>
          <w:tcPr>
            <w:tcW w:w="7583" w:type="dxa"/>
          </w:tcPr>
          <w:p>
            <w:pPr>
              <w:pStyle w:val="TableParagraph"/>
              <w:spacing w:before="1"/>
              <w:rPr>
                <w:sz w:val="15"/>
              </w:rPr>
            </w:pPr>
          </w:p>
          <w:p>
            <w:pPr>
              <w:pStyle w:val="TableParagraph"/>
              <w:spacing w:line="316" w:lineRule="auto"/>
              <w:ind w:left="78" w:right="212"/>
              <w:rPr>
                <w:sz w:val="22"/>
              </w:rPr>
            </w:pPr>
            <w:r>
              <w:rPr>
                <w:sz w:val="22"/>
              </w:rPr>
              <w:t>慢性肺部疾病导致永久不可逆性的慢性呼吸功能衰竭，必须符合下列所有条件：</w:t>
            </w:r>
          </w:p>
          <w:p>
            <w:pPr>
              <w:pStyle w:val="TableParagraph"/>
              <w:numPr>
                <w:ilvl w:val="0"/>
                <w:numId w:val="26"/>
              </w:numPr>
              <w:tabs>
                <w:tab w:pos="499" w:val="left" w:leader="none"/>
              </w:tabs>
              <w:spacing w:line="240" w:lineRule="auto" w:before="20" w:after="0"/>
              <w:ind w:left="498" w:right="0" w:hanging="420"/>
              <w:jc w:val="left"/>
              <w:rPr>
                <w:sz w:val="22"/>
              </w:rPr>
            </w:pPr>
            <w:r>
              <w:rPr>
                <w:spacing w:val="-2"/>
                <w:sz w:val="22"/>
              </w:rPr>
              <w:t>休息时出现呼吸困难；</w:t>
            </w:r>
          </w:p>
          <w:p>
            <w:pPr>
              <w:pStyle w:val="TableParagraph"/>
              <w:numPr>
                <w:ilvl w:val="0"/>
                <w:numId w:val="26"/>
              </w:numPr>
              <w:tabs>
                <w:tab w:pos="499" w:val="left" w:leader="none"/>
              </w:tabs>
              <w:spacing w:line="240" w:lineRule="auto" w:before="93" w:after="0"/>
              <w:ind w:left="498" w:right="0" w:hanging="420"/>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TableParagraph"/>
              <w:numPr>
                <w:ilvl w:val="0"/>
                <w:numId w:val="26"/>
              </w:numPr>
              <w:tabs>
                <w:tab w:pos="499" w:val="left" w:leader="none"/>
              </w:tabs>
              <w:spacing w:line="240" w:lineRule="auto" w:before="91" w:after="0"/>
              <w:ind w:left="498" w:right="0" w:hanging="42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6"/>
              </w:numPr>
              <w:tabs>
                <w:tab w:pos="499" w:val="left" w:leader="none"/>
              </w:tabs>
              <w:spacing w:line="240" w:lineRule="auto" w:before="91" w:after="0"/>
              <w:ind w:left="498" w:right="0" w:hanging="420"/>
              <w:jc w:val="left"/>
              <w:rPr>
                <w:sz w:val="22"/>
              </w:rPr>
            </w:pPr>
            <w:r>
              <w:rPr>
                <w:spacing w:val="-3"/>
                <w:sz w:val="22"/>
              </w:rPr>
              <w:t>因缺氧必须接受持续的输氧治疗。</w:t>
            </w:r>
          </w:p>
        </w:tc>
      </w:tr>
      <w:tr>
        <w:trPr>
          <w:trHeight w:val="2090" w:hRule="atLeast"/>
        </w:trPr>
        <w:tc>
          <w:tcPr>
            <w:tcW w:w="1689" w:type="dxa"/>
          </w:tcPr>
          <w:p>
            <w:pPr>
              <w:pStyle w:val="TableParagraph"/>
              <w:spacing w:line="316" w:lineRule="auto" w:before="198"/>
              <w:ind w:left="200" w:right="75"/>
              <w:rPr>
                <w:b/>
                <w:sz w:val="22"/>
              </w:rPr>
            </w:pPr>
            <w:r>
              <w:rPr>
                <w:b/>
                <w:sz w:val="22"/>
              </w:rPr>
              <w:t>严重多发性硬化</w:t>
            </w:r>
          </w:p>
        </w:tc>
        <w:tc>
          <w:tcPr>
            <w:tcW w:w="7583" w:type="dxa"/>
          </w:tcPr>
          <w:p>
            <w:pPr>
              <w:pStyle w:val="TableParagraph"/>
              <w:spacing w:line="316" w:lineRule="auto" w:before="198"/>
              <w:ind w:left="78" w:right="21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7"/>
              </w:numPr>
              <w:tabs>
                <w:tab w:pos="499" w:val="left" w:leader="none"/>
              </w:tabs>
              <w:spacing w:line="240" w:lineRule="auto" w:before="21" w:after="0"/>
              <w:ind w:left="498" w:right="0" w:hanging="420"/>
              <w:jc w:val="both"/>
              <w:rPr>
                <w:sz w:val="22"/>
              </w:rPr>
            </w:pPr>
            <w:r>
              <w:rPr>
                <w:spacing w:val="-3"/>
                <w:sz w:val="22"/>
              </w:rPr>
              <w:t>移动：自己从一个房间移动到另一个房间；或者</w:t>
            </w:r>
          </w:p>
          <w:p>
            <w:pPr>
              <w:pStyle w:val="TableParagraph"/>
              <w:numPr>
                <w:ilvl w:val="0"/>
                <w:numId w:val="27"/>
              </w:numPr>
              <w:tabs>
                <w:tab w:pos="499" w:val="left" w:leader="none"/>
              </w:tabs>
              <w:spacing w:line="240" w:lineRule="auto" w:before="90" w:after="0"/>
              <w:ind w:left="498" w:right="0" w:hanging="420"/>
              <w:jc w:val="both"/>
              <w:rPr>
                <w:sz w:val="22"/>
              </w:rPr>
            </w:pPr>
            <w:r>
              <w:rPr>
                <w:spacing w:val="-3"/>
                <w:sz w:val="22"/>
              </w:rPr>
              <w:t>进食：自己从已准备好的碗或碟中取食物放入口中。</w:t>
            </w:r>
          </w:p>
        </w:tc>
      </w:tr>
      <w:tr>
        <w:trPr>
          <w:trHeight w:val="1059" w:hRule="atLeast"/>
        </w:trPr>
        <w:tc>
          <w:tcPr>
            <w:tcW w:w="1689" w:type="dxa"/>
          </w:tcPr>
          <w:p>
            <w:pPr>
              <w:pStyle w:val="TableParagraph"/>
              <w:spacing w:before="8"/>
              <w:ind w:left="200"/>
              <w:rPr>
                <w:b/>
                <w:sz w:val="22"/>
              </w:rPr>
            </w:pPr>
            <w:r>
              <w:rPr>
                <w:b/>
                <w:w w:val="95"/>
                <w:sz w:val="22"/>
              </w:rPr>
              <w:t>严重冠心病</w:t>
            </w:r>
          </w:p>
        </w:tc>
        <w:tc>
          <w:tcPr>
            <w:tcW w:w="7583" w:type="dxa"/>
          </w:tcPr>
          <w:p>
            <w:pPr>
              <w:pStyle w:val="TableParagraph"/>
              <w:spacing w:before="8"/>
              <w:ind w:left="78"/>
              <w:rPr>
                <w:sz w:val="22"/>
              </w:rPr>
            </w:pPr>
            <w:r>
              <w:rPr>
                <w:sz w:val="22"/>
              </w:rPr>
              <w:t>指根据冠状动脉造影检查结果确诊的三支主要血管（左冠状动脉主干和右冠</w:t>
            </w:r>
          </w:p>
          <w:p>
            <w:pPr>
              <w:pStyle w:val="TableParagraph"/>
              <w:spacing w:line="380" w:lineRule="atLeast"/>
              <w:ind w:left="78" w:right="198"/>
              <w:rPr>
                <w:sz w:val="22"/>
              </w:rPr>
            </w:pPr>
            <w:r>
              <w:rPr>
                <w:sz w:val="22"/>
              </w:rPr>
              <w:t>状动脉，或前降支、左旋支和右冠状动脉）严重狭窄性病变（至少一支血管管腔直径减少 75％以上和其他两支血管管腔直径减少 60％以上）。</w:t>
            </w:r>
            <w:r>
              <w:rPr>
                <w:sz w:val="22"/>
                <w:shd w:fill="D9D9D9" w:color="auto" w:val="clear"/>
              </w:rPr>
              <w:t>前降</w:t>
            </w:r>
          </w:p>
        </w:tc>
      </w:tr>
    </w:tbl>
    <w:p>
      <w:pPr>
        <w:spacing w:after="0" w:line="380" w:lineRule="atLeast"/>
        <w:rPr>
          <w:sz w:val="22"/>
        </w:rPr>
        <w:sectPr>
          <w:pgSz w:w="11910" w:h="16840"/>
          <w:pgMar w:top="1520" w:bottom="280" w:left="1600" w:right="820"/>
        </w:sectPr>
      </w:pPr>
    </w:p>
    <w:p>
      <w:pPr>
        <w:pStyle w:val="BodyText"/>
        <w:spacing w:before="8"/>
        <w:ind w:left="1798"/>
      </w:pPr>
      <w:r>
        <w:rPr>
          <w:shd w:fill="D9D9D9" w:color="auto" w:val="clear"/>
        </w:rPr>
        <w:t>支、左旋支及右冠状动脉的分支血管的狭窄不作为本保障的衡量指标</w:t>
      </w:r>
      <w:r>
        <w:rPr/>
        <w:t>。</w:t>
      </w:r>
    </w:p>
    <w:p>
      <w:pPr>
        <w:pStyle w:val="BodyText"/>
      </w:pPr>
    </w:p>
    <w:p>
      <w:pPr>
        <w:pStyle w:val="BodyText"/>
        <w:spacing w:line="316" w:lineRule="auto" w:before="183"/>
        <w:ind w:left="1798" w:right="113" w:hanging="1568"/>
        <w:jc w:val="both"/>
      </w:pPr>
      <w:r>
        <w:rPr>
          <w:b/>
        </w:rPr>
        <w:t>严重心肌病   </w:t>
      </w: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系统性红斑狼疮－III 型或</w:t>
      </w:r>
    </w:p>
    <w:p>
      <w:pPr>
        <w:spacing w:line="319" w:lineRule="auto" w:before="21"/>
        <w:ind w:left="230" w:right="15" w:firstLine="0"/>
        <w:jc w:val="left"/>
        <w:rPr>
          <w:b/>
          <w:sz w:val="22"/>
        </w:rPr>
      </w:pPr>
      <w:r>
        <w:rPr>
          <w:b/>
          <w:sz w:val="22"/>
        </w:rPr>
        <w:t>III 型以上狼</w:t>
      </w:r>
      <w:r>
        <w:rPr>
          <w:b/>
          <w:w w:val="95"/>
          <w:sz w:val="22"/>
        </w:rPr>
        <w:t>疮性肾炎</w:t>
      </w:r>
    </w:p>
    <w:p>
      <w:pPr>
        <w:pStyle w:val="BodyText"/>
        <w:spacing w:line="316" w:lineRule="auto" w:before="33"/>
        <w:ind w:left="113" w:right="115"/>
      </w:pPr>
      <w:r>
        <w:rPr/>
        <w:br w:type="column"/>
      </w:r>
      <w:r>
        <w:rPr/>
        <w:t>系统性红斑狼疮是由多种因素引起，累及多系统的自身免疫性疾病。其特点是生成自身抗体对抗多种自身抗原。多见于育龄妇女。</w:t>
      </w:r>
    </w:p>
    <w:p>
      <w:pPr>
        <w:pStyle w:val="BodyText"/>
        <w:spacing w:before="21"/>
        <w:ind w:left="113"/>
      </w:pPr>
      <w:r>
        <w:rPr>
          <w:shd w:fill="D9D9D9" w:color="auto" w:val="clear"/>
        </w:rPr>
        <w:t>本保单所指的系统性红斑狼疮仅限于累及肾脏（经肾脏活检确认的，符合</w:t>
      </w:r>
    </w:p>
    <w:p>
      <w:pPr>
        <w:pStyle w:val="BodyText"/>
        <w:spacing w:line="316" w:lineRule="auto" w:before="93"/>
        <w:ind w:left="113" w:right="108"/>
        <w:jc w:val="both"/>
        <w:rPr>
          <w:rFonts w:ascii="黑体" w:eastAsia="黑体" w:hint="eastAsia"/>
        </w:rPr>
      </w:pPr>
      <w:r>
        <w:rPr>
          <w:shd w:fill="D9D9D9" w:color="auto" w:val="clear"/>
        </w:rPr>
        <w:t>WHO</w:t>
      </w:r>
      <w:r>
        <w:rPr>
          <w:spacing w:val="-10"/>
          <w:shd w:fill="D9D9D9" w:color="auto" w:val="clear"/>
        </w:rPr>
        <w:t> 诊断标准定义 </w:t>
      </w:r>
      <w:r>
        <w:rPr>
          <w:shd w:fill="D9D9D9" w:color="auto" w:val="clear"/>
        </w:rPr>
        <w:t>III</w:t>
      </w:r>
      <w:r>
        <w:rPr>
          <w:spacing w:val="-19"/>
          <w:shd w:fill="D9D9D9" w:color="auto" w:val="clear"/>
        </w:rPr>
        <w:t> 型或 </w:t>
      </w:r>
      <w:r>
        <w:rPr>
          <w:shd w:fill="D9D9D9" w:color="auto" w:val="clear"/>
        </w:rPr>
        <w:t>III</w:t>
      </w:r>
      <w:r>
        <w:rPr>
          <w:spacing w:val="-6"/>
          <w:shd w:fill="D9D9D9" w:color="auto" w:val="clear"/>
        </w:rPr>
        <w:t> 型以上狼疮性肾炎</w:t>
      </w:r>
      <w:r>
        <w:rPr>
          <w:shd w:fill="D9D9D9" w:color="auto" w:val="clear"/>
        </w:rPr>
        <w:t>）</w:t>
      </w:r>
      <w:r>
        <w:rPr>
          <w:spacing w:val="-2"/>
          <w:shd w:fill="D9D9D9" w:color="auto" w:val="clear"/>
        </w:rPr>
        <w:t>的系统性红斑狼疮。其他类型的红斑性狼疮，如盘状狼疮、仅累及血液及关节的狼疮不在本保单保</w:t>
      </w:r>
      <w:r>
        <w:rPr>
          <w:spacing w:val="-1"/>
          <w:shd w:fill="D9D9D9" w:color="auto" w:val="clear"/>
        </w:rPr>
        <w:t>障范围内</w:t>
      </w:r>
      <w:r>
        <w:rPr>
          <w:rFonts w:ascii="黑体" w:eastAsia="黑体" w:hint="eastAsia"/>
        </w:rPr>
        <w:t>。</w:t>
      </w:r>
    </w:p>
    <w:p>
      <w:pPr>
        <w:pStyle w:val="BodyText"/>
        <w:spacing w:before="22"/>
        <w:ind w:left="113"/>
        <w:jc w:val="both"/>
      </w:pPr>
      <w:r>
        <w:rPr/>
        <w:t>世界卫生组织（WHO）狼疮性肾炎分型：</w:t>
      </w:r>
    </w:p>
    <w:p>
      <w:pPr>
        <w:pStyle w:val="ListParagraph"/>
        <w:numPr>
          <w:ilvl w:val="0"/>
          <w:numId w:val="28"/>
        </w:numPr>
        <w:tabs>
          <w:tab w:pos="280" w:val="left" w:leader="none"/>
        </w:tabs>
        <w:spacing w:line="240" w:lineRule="auto" w:before="90" w:after="0"/>
        <w:ind w:left="279" w:right="0" w:hanging="166"/>
        <w:jc w:val="both"/>
        <w:rPr>
          <w:sz w:val="22"/>
        </w:rPr>
      </w:pPr>
      <w:r>
        <w:rPr>
          <w:spacing w:val="-1"/>
          <w:sz w:val="22"/>
        </w:rPr>
        <w:t>型    微小病变型</w:t>
      </w:r>
    </w:p>
    <w:p>
      <w:pPr>
        <w:pStyle w:val="ListParagraph"/>
        <w:numPr>
          <w:ilvl w:val="0"/>
          <w:numId w:val="28"/>
        </w:numPr>
        <w:tabs>
          <w:tab w:pos="390" w:val="left" w:leader="none"/>
        </w:tabs>
        <w:spacing w:line="240" w:lineRule="auto" w:before="90" w:after="0"/>
        <w:ind w:left="389" w:right="0" w:hanging="276"/>
        <w:jc w:val="both"/>
        <w:rPr>
          <w:sz w:val="22"/>
        </w:rPr>
      </w:pPr>
      <w:r>
        <w:rPr>
          <w:spacing w:val="-1"/>
          <w:sz w:val="22"/>
        </w:rPr>
        <w:t>型   系膜病变型</w:t>
      </w:r>
    </w:p>
    <w:p>
      <w:pPr>
        <w:pStyle w:val="ListParagraph"/>
        <w:numPr>
          <w:ilvl w:val="0"/>
          <w:numId w:val="28"/>
        </w:numPr>
        <w:tabs>
          <w:tab w:pos="500" w:val="left" w:leader="none"/>
        </w:tabs>
        <w:spacing w:line="240" w:lineRule="auto" w:before="93" w:after="0"/>
        <w:ind w:left="500" w:right="0" w:hanging="387"/>
        <w:jc w:val="both"/>
        <w:rPr>
          <w:sz w:val="22"/>
        </w:rPr>
      </w:pPr>
      <w:r>
        <w:rPr>
          <w:spacing w:val="-3"/>
          <w:sz w:val="22"/>
        </w:rPr>
        <w:t>型  局灶及节段增生型</w:t>
      </w:r>
    </w:p>
    <w:p>
      <w:pPr>
        <w:pStyle w:val="ListParagraph"/>
        <w:numPr>
          <w:ilvl w:val="0"/>
          <w:numId w:val="28"/>
        </w:numPr>
        <w:tabs>
          <w:tab w:pos="390" w:val="left" w:leader="none"/>
        </w:tabs>
        <w:spacing w:line="240" w:lineRule="auto" w:before="91" w:after="0"/>
        <w:ind w:left="389" w:right="0" w:hanging="276"/>
        <w:jc w:val="both"/>
        <w:rPr>
          <w:sz w:val="22"/>
        </w:rPr>
      </w:pPr>
      <w:r>
        <w:rPr>
          <w:spacing w:val="-1"/>
          <w:sz w:val="22"/>
        </w:rPr>
        <w:t>型   弥漫增生型</w:t>
      </w:r>
    </w:p>
    <w:p>
      <w:pPr>
        <w:pStyle w:val="ListParagraph"/>
        <w:numPr>
          <w:ilvl w:val="0"/>
          <w:numId w:val="28"/>
        </w:numPr>
        <w:tabs>
          <w:tab w:pos="280" w:val="left" w:leader="none"/>
        </w:tabs>
        <w:spacing w:line="240" w:lineRule="auto" w:before="91" w:after="0"/>
        <w:ind w:left="279" w:right="0" w:hanging="166"/>
        <w:jc w:val="both"/>
        <w:rPr>
          <w:sz w:val="22"/>
        </w:rPr>
      </w:pPr>
      <w:r>
        <w:rPr>
          <w:sz w:val="22"/>
        </w:rPr>
        <w:t>型   膜 型</w:t>
      </w:r>
    </w:p>
    <w:p>
      <w:pPr>
        <w:pStyle w:val="ListParagraph"/>
        <w:numPr>
          <w:ilvl w:val="0"/>
          <w:numId w:val="28"/>
        </w:numPr>
        <w:tabs>
          <w:tab w:pos="390" w:val="left" w:leader="none"/>
        </w:tabs>
        <w:spacing w:line="240" w:lineRule="auto" w:before="93" w:after="0"/>
        <w:ind w:left="389" w:right="0" w:hanging="276"/>
        <w:jc w:val="both"/>
        <w:rPr>
          <w:sz w:val="22"/>
        </w:rPr>
      </w:pPr>
      <w:r>
        <w:rPr>
          <w:spacing w:val="-1"/>
          <w:sz w:val="22"/>
        </w:rPr>
        <w:t>型   肾小球硬化型</w:t>
      </w:r>
    </w:p>
    <w:p>
      <w:pPr>
        <w:spacing w:after="0" w:line="240" w:lineRule="auto"/>
        <w:jc w:val="both"/>
        <w:rPr>
          <w:sz w:val="22"/>
        </w:rPr>
        <w:sectPr>
          <w:type w:val="continuous"/>
          <w:pgSz w:w="11910" w:h="16840"/>
          <w:pgMar w:top="1440" w:bottom="280" w:left="1680" w:right="1020"/>
          <w:cols w:num="2" w:equalWidth="0">
            <w:col w:w="1645" w:space="40"/>
            <w:col w:w="7525"/>
          </w:cols>
        </w:sectPr>
      </w:pPr>
    </w:p>
    <w:p>
      <w:pPr>
        <w:pStyle w:val="BodyText"/>
        <w:rPr>
          <w:sz w:val="20"/>
        </w:rPr>
      </w:pPr>
    </w:p>
    <w:p>
      <w:pPr>
        <w:spacing w:after="0"/>
        <w:rPr>
          <w:sz w:val="20"/>
        </w:rPr>
        <w:sectPr>
          <w:type w:val="continuous"/>
          <w:pgSz w:w="11910" w:h="16840"/>
          <w:pgMar w:top="1440" w:bottom="280" w:left="1680" w:right="1020"/>
        </w:sectPr>
      </w:pPr>
    </w:p>
    <w:p>
      <w:pPr>
        <w:pStyle w:val="BodyText"/>
        <w:spacing w:before="11"/>
        <w:rPr>
          <w:sz w:val="15"/>
        </w:rPr>
      </w:pPr>
    </w:p>
    <w:p>
      <w:pPr>
        <w:pStyle w:val="Heading3"/>
        <w:spacing w:line="316" w:lineRule="auto" w:before="1"/>
        <w:jc w:val="both"/>
      </w:pPr>
      <w:r>
        <w:rPr/>
        <w:t>经输血导致的人类免疫缺陷</w:t>
      </w:r>
      <w:r>
        <w:rPr>
          <w:w w:val="95"/>
        </w:rPr>
        <w:t>病毒感染</w:t>
      </w:r>
    </w:p>
    <w:p>
      <w:pPr>
        <w:pStyle w:val="BodyText"/>
        <w:spacing w:before="11"/>
        <w:rPr>
          <w:b/>
          <w:sz w:val="15"/>
        </w:rPr>
      </w:pPr>
      <w:r>
        <w:rPr/>
        <w:br w:type="column"/>
      </w:r>
      <w:r>
        <w:rPr>
          <w:b/>
          <w:sz w:val="15"/>
        </w:rPr>
      </w:r>
    </w:p>
    <w:p>
      <w:pPr>
        <w:pStyle w:val="BodyText"/>
        <w:spacing w:before="1"/>
        <w:ind w:left="115"/>
      </w:pPr>
      <w:r>
        <w:rPr/>
        <w:t>被保险人感染上人类免疫缺陷病毒（HIV）并且满足下列全部条件：</w:t>
      </w:r>
    </w:p>
    <w:p>
      <w:pPr>
        <w:pStyle w:val="ListParagraph"/>
        <w:numPr>
          <w:ilvl w:val="0"/>
          <w:numId w:val="29"/>
        </w:numPr>
        <w:tabs>
          <w:tab w:pos="536" w:val="left" w:leader="none"/>
        </w:tabs>
        <w:spacing w:line="240" w:lineRule="auto" w:before="94" w:after="0"/>
        <w:ind w:left="535" w:right="0" w:hanging="420"/>
        <w:jc w:val="left"/>
        <w:rPr>
          <w:sz w:val="22"/>
        </w:rPr>
      </w:pPr>
      <w:r>
        <w:rPr>
          <w:spacing w:val="-5"/>
          <w:sz w:val="22"/>
        </w:rPr>
        <w:t>在保障起始日或复效日之后，被保险人因输血而感染 </w:t>
      </w:r>
      <w:r>
        <w:rPr>
          <w:sz w:val="22"/>
        </w:rPr>
        <w:t>HIV；</w:t>
      </w:r>
    </w:p>
    <w:p>
      <w:pPr>
        <w:pStyle w:val="ListParagraph"/>
        <w:numPr>
          <w:ilvl w:val="0"/>
          <w:numId w:val="29"/>
        </w:numPr>
        <w:tabs>
          <w:tab w:pos="536" w:val="left" w:leader="none"/>
        </w:tabs>
        <w:spacing w:line="316" w:lineRule="auto" w:before="91" w:after="0"/>
        <w:ind w:left="535" w:right="165" w:hanging="420"/>
        <w:jc w:val="left"/>
        <w:rPr>
          <w:sz w:val="22"/>
        </w:rPr>
      </w:pPr>
      <w:r>
        <w:rPr>
          <w:spacing w:val="-3"/>
          <w:sz w:val="22"/>
        </w:rPr>
        <w:t>提供输血治疗的输血中心或医院出具该项输血感染属医疗责任事故的报告，或者法院终审裁定为医疗责任并且不准上诉；</w:t>
      </w:r>
    </w:p>
    <w:p>
      <w:pPr>
        <w:pStyle w:val="ListParagraph"/>
        <w:numPr>
          <w:ilvl w:val="0"/>
          <w:numId w:val="29"/>
        </w:numPr>
        <w:tabs>
          <w:tab w:pos="536" w:val="left" w:leader="none"/>
        </w:tabs>
        <w:spacing w:line="240" w:lineRule="auto" w:before="23" w:after="0"/>
        <w:ind w:left="535" w:right="0" w:hanging="420"/>
        <w:jc w:val="left"/>
        <w:rPr>
          <w:sz w:val="22"/>
        </w:rPr>
      </w:pPr>
      <w:r>
        <w:rPr>
          <w:spacing w:val="-3"/>
          <w:sz w:val="22"/>
        </w:rPr>
        <w:t>受感染的被保险人不是血友病患者。</w:t>
      </w:r>
    </w:p>
    <w:p>
      <w:pPr>
        <w:pStyle w:val="BodyText"/>
        <w:spacing w:line="316" w:lineRule="auto" w:before="91"/>
        <w:ind w:left="115" w:right="35"/>
      </w:pPr>
      <w:r>
        <w:rPr>
          <w:shd w:fill="D9D9D9"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15" w:right="108"/>
        <w:jc w:val="both"/>
      </w:pPr>
      <w:r>
        <w:rPr>
          <w:spacing w:val="-2"/>
        </w:rPr>
        <w:t>任何因其他传播方式</w:t>
      </w:r>
      <w:r>
        <w:rPr>
          <w:spacing w:val="-3"/>
        </w:rPr>
        <w:t>（包括：性传播或静脉注射毒品</w:t>
      </w:r>
      <w:r>
        <w:rPr/>
        <w:t>）</w:t>
      </w:r>
      <w:r>
        <w:rPr>
          <w:spacing w:val="-8"/>
        </w:rPr>
        <w:t>导致的 </w:t>
      </w:r>
      <w:r>
        <w:rPr/>
        <w:t>HIV</w:t>
      </w:r>
      <w:r>
        <w:rPr>
          <w:spacing w:val="-7"/>
        </w:rPr>
        <w:t> 感染不在本保单保障范围内。保险公司必须拥有获得使用被保险人的所有血液样本的</w:t>
      </w:r>
      <w:r>
        <w:rPr>
          <w:spacing w:val="-5"/>
        </w:rPr>
        <w:t>权利和能够对这些样本进行独立检验的权利。</w:t>
      </w:r>
    </w:p>
    <w:p>
      <w:pPr>
        <w:spacing w:after="0" w:line="316" w:lineRule="auto"/>
        <w:jc w:val="both"/>
        <w:sectPr>
          <w:type w:val="continuous"/>
          <w:pgSz w:w="11910" w:h="16840"/>
          <w:pgMar w:top="1440" w:bottom="280" w:left="1680" w:right="1020"/>
          <w:cols w:num="2" w:equalWidth="0">
            <w:col w:w="1643" w:space="40"/>
            <w:col w:w="7527"/>
          </w:cols>
        </w:sectPr>
      </w:pP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jc w:val="both"/>
      </w:pPr>
      <w:r>
        <w:rPr/>
        <w:t>因职业关系导致的人类免疫</w:t>
      </w:r>
      <w:r>
        <w:rPr>
          <w:w w:val="95"/>
        </w:rPr>
        <w:t>缺陷病毒(H</w:t>
      </w:r>
    </w:p>
    <w:p>
      <w:pPr>
        <w:spacing w:before="20"/>
        <w:ind w:left="230" w:right="0" w:firstLine="0"/>
        <w:jc w:val="both"/>
        <w:rPr>
          <w:b/>
          <w:sz w:val="22"/>
        </w:rPr>
      </w:pPr>
      <w:r>
        <w:rPr>
          <w:b/>
          <w:sz w:val="22"/>
        </w:rPr>
        <w:t>IV)感染</w:t>
      </w:r>
    </w:p>
    <w:p>
      <w:pPr>
        <w:pStyle w:val="BodyText"/>
        <w:spacing w:line="316" w:lineRule="auto" w:before="33"/>
        <w:ind w:left="202" w:right="115"/>
      </w:pPr>
      <w:r>
        <w:rPr/>
        <w:br w:type="column"/>
      </w:r>
      <w:r>
        <w:rPr/>
        <w:t>被保险人在其常规职业工作过程中遭遇外伤，或者职业需要处理血液或者其他体液时感染上人类免疫缺陷病毒（HIV）。</w:t>
      </w:r>
    </w:p>
    <w:p>
      <w:pPr>
        <w:pStyle w:val="BodyText"/>
        <w:spacing w:before="22"/>
        <w:ind w:left="202"/>
      </w:pPr>
      <w:r>
        <w:rPr/>
        <w:t>必须满足下列全部条件：</w:t>
      </w:r>
    </w:p>
    <w:p>
      <w:pPr>
        <w:pStyle w:val="ListParagraph"/>
        <w:numPr>
          <w:ilvl w:val="1"/>
          <w:numId w:val="29"/>
        </w:numPr>
        <w:tabs>
          <w:tab w:pos="623" w:val="left" w:leader="none"/>
        </w:tabs>
        <w:spacing w:line="316" w:lineRule="auto" w:before="90" w:after="0"/>
        <w:ind w:left="622" w:right="165" w:hanging="420"/>
        <w:jc w:val="left"/>
        <w:rPr>
          <w:sz w:val="22"/>
        </w:rPr>
      </w:pPr>
      <w:r>
        <w:rPr>
          <w:spacing w:val="-3"/>
          <w:sz w:val="22"/>
        </w:rPr>
        <w:t>感染必须是在被保险人正在从事其职业工作中发生，该职业必须属于以下列表内的职业；</w:t>
      </w:r>
    </w:p>
    <w:p>
      <w:pPr>
        <w:spacing w:after="0" w:line="316" w:lineRule="auto"/>
        <w:jc w:val="left"/>
        <w:rPr>
          <w:sz w:val="22"/>
        </w:rPr>
        <w:sectPr>
          <w:type w:val="continuous"/>
          <w:pgSz w:w="11910" w:h="16840"/>
          <w:pgMar w:top="1440" w:bottom="280" w:left="1680" w:right="1020"/>
          <w:cols w:num="2" w:equalWidth="0">
            <w:col w:w="1556" w:space="40"/>
            <w:col w:w="7614"/>
          </w:cols>
        </w:sectPr>
      </w:pPr>
    </w:p>
    <w:p>
      <w:pPr>
        <w:pStyle w:val="ListParagraph"/>
        <w:numPr>
          <w:ilvl w:val="1"/>
          <w:numId w:val="29"/>
        </w:numPr>
        <w:tabs>
          <w:tab w:pos="2218" w:val="left" w:leader="none"/>
        </w:tabs>
        <w:spacing w:line="240" w:lineRule="auto" w:before="8" w:after="0"/>
        <w:ind w:left="2218" w:right="0" w:hanging="420"/>
        <w:jc w:val="left"/>
        <w:rPr>
          <w:sz w:val="22"/>
        </w:rPr>
      </w:pPr>
      <w:r>
        <w:rPr>
          <w:spacing w:val="-6"/>
          <w:sz w:val="22"/>
        </w:rPr>
        <w:t>血清转化必须出现在事故发生后的 </w:t>
      </w:r>
      <w:r>
        <w:rPr>
          <w:sz w:val="22"/>
        </w:rPr>
        <w:t>6</w:t>
      </w:r>
      <w:r>
        <w:rPr>
          <w:spacing w:val="-10"/>
          <w:sz w:val="22"/>
        </w:rPr>
        <w:t> 个月以内；</w:t>
      </w:r>
    </w:p>
    <w:p>
      <w:pPr>
        <w:pStyle w:val="ListParagraph"/>
        <w:numPr>
          <w:ilvl w:val="1"/>
          <w:numId w:val="29"/>
        </w:numPr>
        <w:tabs>
          <w:tab w:pos="2218" w:val="left" w:leader="none"/>
        </w:tabs>
        <w:spacing w:line="316" w:lineRule="auto" w:before="92" w:after="0"/>
        <w:ind w:left="2218" w:right="164" w:hanging="420"/>
        <w:jc w:val="left"/>
        <w:rPr>
          <w:sz w:val="22"/>
        </w:rPr>
      </w:pPr>
      <w:r>
        <w:rPr>
          <w:spacing w:val="-6"/>
          <w:sz w:val="22"/>
        </w:rPr>
        <w:t>必须提供被保险人在所报事故发生后的 </w:t>
      </w:r>
      <w:r>
        <w:rPr>
          <w:sz w:val="22"/>
        </w:rPr>
        <w:t>5</w:t>
      </w:r>
      <w:r>
        <w:rPr>
          <w:spacing w:val="-8"/>
          <w:sz w:val="22"/>
        </w:rPr>
        <w:t> 天以内进行的检查报告，该报</w:t>
      </w:r>
      <w:r>
        <w:rPr>
          <w:spacing w:val="-9"/>
          <w:sz w:val="22"/>
        </w:rPr>
        <w:t>告必须显示被保险人血液 </w:t>
      </w:r>
      <w:r>
        <w:rPr>
          <w:sz w:val="22"/>
        </w:rPr>
        <w:t>HIV</w:t>
      </w:r>
      <w:r>
        <w:rPr>
          <w:spacing w:val="-11"/>
          <w:sz w:val="22"/>
        </w:rPr>
        <w:t> 病毒阴性和</w:t>
      </w:r>
      <w:r>
        <w:rPr>
          <w:sz w:val="22"/>
        </w:rPr>
        <w:t>/</w:t>
      </w:r>
      <w:r>
        <w:rPr>
          <w:spacing w:val="-26"/>
          <w:sz w:val="22"/>
        </w:rPr>
        <w:t>或 </w:t>
      </w:r>
      <w:r>
        <w:rPr>
          <w:sz w:val="22"/>
        </w:rPr>
        <w:t>HIV</w:t>
      </w:r>
      <w:r>
        <w:rPr>
          <w:spacing w:val="-10"/>
          <w:sz w:val="22"/>
        </w:rPr>
        <w:t> 抗体阴性；</w:t>
      </w:r>
    </w:p>
    <w:p>
      <w:pPr>
        <w:pStyle w:val="ListParagraph"/>
        <w:numPr>
          <w:ilvl w:val="1"/>
          <w:numId w:val="29"/>
        </w:numPr>
        <w:tabs>
          <w:tab w:pos="2218" w:val="left" w:leader="none"/>
        </w:tabs>
        <w:spacing w:line="240" w:lineRule="auto" w:before="23" w:after="0"/>
        <w:ind w:left="2218" w:right="0" w:hanging="420"/>
        <w:jc w:val="left"/>
        <w:rPr>
          <w:sz w:val="22"/>
        </w:rPr>
      </w:pPr>
      <w:r>
        <w:rPr>
          <w:spacing w:val="-7"/>
          <w:sz w:val="22"/>
        </w:rPr>
        <w:t>必须在事故发生后的 </w:t>
      </w:r>
      <w:r>
        <w:rPr>
          <w:sz w:val="22"/>
        </w:rPr>
        <w:t>12</w:t>
      </w:r>
      <w:r>
        <w:rPr>
          <w:spacing w:val="-11"/>
          <w:sz w:val="22"/>
        </w:rPr>
        <w:t> 个月内证实被保险人体内存在 </w:t>
      </w:r>
      <w:r>
        <w:rPr>
          <w:sz w:val="22"/>
        </w:rPr>
        <w:t>HIV</w:t>
      </w:r>
      <w:r>
        <w:rPr>
          <w:spacing w:val="-12"/>
          <w:sz w:val="22"/>
        </w:rPr>
        <w:t> 病毒或者</w:t>
      </w:r>
    </w:p>
    <w:p>
      <w:pPr>
        <w:pStyle w:val="BodyText"/>
        <w:spacing w:before="91"/>
        <w:ind w:left="2174" w:right="5895"/>
        <w:jc w:val="center"/>
      </w:pPr>
      <w:r>
        <w:rPr/>
        <w:t>HIV 抗体。</w:t>
      </w:r>
    </w:p>
    <w:p>
      <w:pPr>
        <w:pStyle w:val="BodyText"/>
        <w:spacing w:before="91"/>
        <w:ind w:left="1798"/>
      </w:pPr>
      <w:r>
        <w:rPr/>
        <w:t>职业限制如下所示:</w:t>
      </w:r>
    </w:p>
    <w:p>
      <w:pPr>
        <w:pStyle w:val="BodyText"/>
        <w:tabs>
          <w:tab w:pos="4769" w:val="left" w:leader="none"/>
        </w:tabs>
        <w:spacing w:before="93"/>
        <w:ind w:left="1798"/>
      </w:pPr>
      <w:r>
        <w:rPr/>
        <w:t>医生和</w:t>
      </w:r>
      <w:r>
        <w:rPr>
          <w:spacing w:val="-3"/>
        </w:rPr>
        <w:t>牙</w:t>
      </w:r>
      <w:r>
        <w:rPr/>
        <w:t>科医生</w:t>
        <w:tab/>
        <w:t>护士</w:t>
      </w:r>
    </w:p>
    <w:p>
      <w:pPr>
        <w:pStyle w:val="BodyText"/>
        <w:tabs>
          <w:tab w:pos="4769" w:val="left" w:leader="none"/>
        </w:tabs>
        <w:spacing w:before="91"/>
        <w:ind w:left="1798"/>
      </w:pPr>
      <w:r>
        <w:rPr/>
        <w:t>实验室</w:t>
      </w:r>
      <w:r>
        <w:rPr>
          <w:spacing w:val="-3"/>
        </w:rPr>
        <w:t>工</w:t>
      </w:r>
      <w:r>
        <w:rPr/>
        <w:t>作人员</w:t>
        <w:tab/>
        <w:t>医</w:t>
      </w:r>
      <w:r>
        <w:rPr>
          <w:spacing w:val="-3"/>
        </w:rPr>
        <w:t>院</w:t>
      </w:r>
      <w:r>
        <w:rPr/>
        <w:t>护工</w:t>
      </w:r>
    </w:p>
    <w:p>
      <w:pPr>
        <w:pStyle w:val="BodyText"/>
        <w:tabs>
          <w:tab w:pos="4769" w:val="left" w:leader="none"/>
        </w:tabs>
        <w:spacing w:before="91"/>
        <w:ind w:left="1798"/>
      </w:pPr>
      <w:r>
        <w:rPr/>
        <w:t>医生助</w:t>
      </w:r>
      <w:r>
        <w:rPr>
          <w:spacing w:val="-3"/>
        </w:rPr>
        <w:t>理</w:t>
      </w:r>
      <w:r>
        <w:rPr/>
        <w:t>和牙</w:t>
      </w:r>
      <w:r>
        <w:rPr>
          <w:spacing w:val="-3"/>
        </w:rPr>
        <w:t>医</w:t>
      </w:r>
      <w:r>
        <w:rPr/>
        <w:t>助理</w:t>
        <w:tab/>
        <w:t>救</w:t>
      </w:r>
      <w:r>
        <w:rPr>
          <w:spacing w:val="-3"/>
        </w:rPr>
        <w:t>护</w:t>
      </w:r>
      <w:r>
        <w:rPr/>
        <w:t>车工</w:t>
      </w:r>
      <w:r>
        <w:rPr>
          <w:spacing w:val="-3"/>
        </w:rPr>
        <w:t>作</w:t>
      </w:r>
      <w:r>
        <w:rPr/>
        <w:t>人员</w:t>
      </w:r>
    </w:p>
    <w:p>
      <w:pPr>
        <w:pStyle w:val="BodyText"/>
        <w:tabs>
          <w:tab w:pos="4880" w:val="left" w:leader="none"/>
        </w:tabs>
        <w:spacing w:before="93"/>
        <w:ind w:left="1798"/>
      </w:pPr>
      <w:r>
        <w:rPr/>
        <w:t>助产士</w:t>
        <w:tab/>
      </w:r>
      <w:r>
        <w:rPr>
          <w:spacing w:val="-3"/>
        </w:rPr>
        <w:t>消</w:t>
      </w:r>
      <w:r>
        <w:rPr/>
        <w:t>防队员</w:t>
      </w:r>
    </w:p>
    <w:p>
      <w:pPr>
        <w:pStyle w:val="BodyText"/>
        <w:tabs>
          <w:tab w:pos="4880" w:val="left" w:leader="none"/>
        </w:tabs>
        <w:spacing w:before="91"/>
        <w:ind w:left="1798"/>
      </w:pPr>
      <w:r>
        <w:rPr/>
        <w:t>警察</w:t>
        <w:tab/>
      </w:r>
      <w:r>
        <w:rPr>
          <w:spacing w:val="-3"/>
        </w:rPr>
        <w:t>狱警</w:t>
      </w:r>
    </w:p>
    <w:p>
      <w:pPr>
        <w:pStyle w:val="BodyText"/>
      </w:pPr>
    </w:p>
    <w:p>
      <w:pPr>
        <w:pStyle w:val="BodyText"/>
        <w:spacing w:line="316" w:lineRule="auto" w:before="185"/>
        <w:ind w:left="1798" w:right="109" w:hanging="1568"/>
        <w:jc w:val="both"/>
      </w:pPr>
      <w:r>
        <w:rPr>
          <w:b/>
          <w:spacing w:val="5"/>
        </w:rPr>
        <w:t>脊髓灰质炎   </w:t>
      </w:r>
      <w:r>
        <w:rPr/>
        <w:t>脊髓灰质炎是由于脊髓灰质炎病毒感染所致的瘫痪性疾病，临床表现为运动功能损害或呼吸无力。脊髓灰质炎必须明确诊断。</w:t>
      </w:r>
      <w:r>
        <w:rPr>
          <w:shd w:fill="D9D9D9" w:color="auto" w:val="clear"/>
        </w:rPr>
        <w:t>本保单仅对脊髓灰质炎造成的神经系统功能损害导致被保险人一肢或一肢以上肢体机能永久完全丧失的情况</w:t>
      </w:r>
      <w:r>
        <w:rPr>
          <w:spacing w:val="-221"/>
          <w:shd w:fill="D9D9D9" w:color="auto" w:val="clear"/>
        </w:rPr>
        <w:t>予</w:t>
      </w:r>
      <w:r>
        <w:rPr>
          <w:shd w:fill="D9D9D9" w:color="auto" w:val="clear"/>
        </w:rPr>
        <w:t>以理赔</w:t>
      </w:r>
      <w:r>
        <w:rPr>
          <w:spacing w:val="-5"/>
        </w:rPr>
        <w:t>。肢体机能永久完全丧失，指疾病确诊 </w:t>
      </w:r>
      <w:r>
        <w:rPr/>
        <w:t>180</w:t>
      </w:r>
      <w:r>
        <w:rPr>
          <w:spacing w:val="-6"/>
        </w:rPr>
        <w:t> 天后，每肢三大关</w:t>
      </w:r>
      <w:r>
        <w:rPr>
          <w:spacing w:val="-4"/>
        </w:rPr>
        <w:t>节中的两大关节仍然完全僵硬，或不能随意识活动。</w:t>
      </w:r>
    </w:p>
    <w:p>
      <w:pPr>
        <w:pStyle w:val="BodyText"/>
        <w:spacing w:before="2"/>
        <w:rPr>
          <w:sz w:val="28"/>
        </w:rPr>
      </w:pPr>
    </w:p>
    <w:p>
      <w:pPr>
        <w:spacing w:after="0"/>
        <w:rPr>
          <w:sz w:val="28"/>
        </w:rPr>
        <w:sectPr>
          <w:pgSz w:w="11910" w:h="16840"/>
          <w:pgMar w:top="1440" w:bottom="280" w:left="1680" w:right="1020"/>
        </w:sectPr>
      </w:pPr>
    </w:p>
    <w:p>
      <w:pPr>
        <w:pStyle w:val="Heading3"/>
        <w:spacing w:line="316" w:lineRule="auto"/>
      </w:pPr>
      <w:r>
        <w:rPr/>
        <w:t>全身性重症肌</w:t>
      </w:r>
      <w:r>
        <w:rPr>
          <w:w w:val="95"/>
        </w:rPr>
        <w:t>无力</w:t>
      </w:r>
    </w:p>
    <w:p>
      <w:pPr>
        <w:pStyle w:val="BodyText"/>
        <w:spacing w:line="316" w:lineRule="auto" w:before="33"/>
        <w:ind w:left="115" w:right="115"/>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30"/>
        </w:numPr>
        <w:tabs>
          <w:tab w:pos="536" w:val="left" w:leader="none"/>
        </w:tabs>
        <w:spacing w:line="240" w:lineRule="auto" w:before="23" w:after="0"/>
        <w:ind w:left="535" w:right="0" w:hanging="420"/>
        <w:jc w:val="left"/>
        <w:rPr>
          <w:sz w:val="22"/>
        </w:rPr>
      </w:pPr>
      <w:r>
        <w:rPr>
          <w:spacing w:val="-3"/>
          <w:sz w:val="22"/>
        </w:rPr>
        <w:t>经药物治疗和胸腺切除治疗一年以上仍无法控制病情；</w:t>
      </w:r>
    </w:p>
    <w:p>
      <w:pPr>
        <w:pStyle w:val="ListParagraph"/>
        <w:numPr>
          <w:ilvl w:val="0"/>
          <w:numId w:val="30"/>
        </w:numPr>
        <w:tabs>
          <w:tab w:pos="536" w:val="left" w:leader="none"/>
        </w:tabs>
        <w:spacing w:line="316" w:lineRule="auto" w:before="91" w:after="0"/>
        <w:ind w:left="535" w:right="165" w:hanging="420"/>
        <w:jc w:val="left"/>
        <w:rPr>
          <w:sz w:val="22"/>
        </w:rPr>
      </w:pPr>
      <w:r>
        <w:rPr>
          <w:spacing w:val="-3"/>
          <w:sz w:val="22"/>
        </w:rPr>
        <w:t>自主生活能力完全丧失，无法独立完成六项基本日常生活活动中的三项或三项以上。</w:t>
      </w:r>
    </w:p>
    <w:p>
      <w:pPr>
        <w:spacing w:after="0" w:line="316" w:lineRule="auto"/>
        <w:jc w:val="left"/>
        <w:rPr>
          <w:sz w:val="22"/>
        </w:rPr>
        <w:sectPr>
          <w:type w:val="continuous"/>
          <w:pgSz w:w="11910" w:h="16840"/>
          <w:pgMar w:top="1440" w:bottom="280" w:left="1680" w:right="1020"/>
          <w:cols w:num="2" w:equalWidth="0">
            <w:col w:w="1643" w:space="40"/>
            <w:col w:w="7527"/>
          </w:cols>
        </w:sectPr>
      </w:pP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pPr>
      <w:r>
        <w:rPr/>
        <w:t>严重类风湿性</w:t>
      </w:r>
      <w:r>
        <w:rPr>
          <w:w w:val="95"/>
        </w:rPr>
        <w:t>关节炎</w:t>
      </w:r>
    </w:p>
    <w:p>
      <w:pPr>
        <w:pStyle w:val="BodyText"/>
        <w:spacing w:line="316" w:lineRule="auto" w:before="33"/>
        <w:ind w:left="115" w:right="103"/>
        <w:jc w:val="both"/>
      </w:pPr>
      <w:r>
        <w:rPr/>
        <w:br w:type="column"/>
      </w:r>
      <w:r>
        <w:rPr>
          <w:spacing w:val="5"/>
        </w:rPr>
        <w:t>类风湿性关节炎为广泛分布的慢性进行性多关节病变，表现为关节严重变</w:t>
      </w:r>
      <w:r>
        <w:rPr/>
        <w:t>形，侵犯至少三个主要关节或关节组【如：双手（多手指）关节、双足（多足趾）关节、双腕关节、双膝关节和双髋关节】。类风湿性关节炎必须明确</w:t>
      </w:r>
      <w:r>
        <w:rPr>
          <w:spacing w:val="-5"/>
        </w:rPr>
        <w:t>诊断并且已经达到类风湿性关节炎功能分级 </w:t>
      </w:r>
      <w:r>
        <w:rPr/>
        <w:t>III</w:t>
      </w:r>
      <w:r>
        <w:rPr>
          <w:spacing w:val="-6"/>
        </w:rPr>
        <w:t> 级以上的功能障碍</w:t>
      </w:r>
      <w:r>
        <w:rPr/>
        <w:t>（</w:t>
      </w:r>
      <w:r>
        <w:rPr>
          <w:spacing w:val="-2"/>
        </w:rPr>
        <w:t>关节活</w:t>
      </w:r>
      <w:r>
        <w:rPr>
          <w:spacing w:val="-3"/>
        </w:rPr>
        <w:t>动严重限制，不能完成大部分的日常工作和活动）并且满足下列全部条件：</w:t>
      </w:r>
    </w:p>
    <w:p>
      <w:pPr>
        <w:pStyle w:val="ListParagraph"/>
        <w:numPr>
          <w:ilvl w:val="0"/>
          <w:numId w:val="31"/>
        </w:numPr>
        <w:tabs>
          <w:tab w:pos="536" w:val="left" w:leader="none"/>
        </w:tabs>
        <w:spacing w:line="240" w:lineRule="auto" w:before="23" w:after="0"/>
        <w:ind w:left="535" w:right="0" w:hanging="420"/>
        <w:jc w:val="both"/>
        <w:rPr>
          <w:sz w:val="22"/>
        </w:rPr>
      </w:pPr>
      <w:r>
        <w:rPr>
          <w:sz w:val="22"/>
        </w:rPr>
        <w:t>晨僵；</w:t>
      </w:r>
    </w:p>
    <w:p>
      <w:pPr>
        <w:pStyle w:val="ListParagraph"/>
        <w:numPr>
          <w:ilvl w:val="0"/>
          <w:numId w:val="31"/>
        </w:numPr>
        <w:tabs>
          <w:tab w:pos="536" w:val="left" w:leader="none"/>
        </w:tabs>
        <w:spacing w:line="240" w:lineRule="auto" w:before="91" w:after="0"/>
        <w:ind w:left="535" w:right="0" w:hanging="420"/>
        <w:jc w:val="both"/>
        <w:rPr>
          <w:sz w:val="22"/>
        </w:rPr>
      </w:pPr>
      <w:r>
        <w:rPr>
          <w:spacing w:val="-1"/>
          <w:sz w:val="22"/>
        </w:rPr>
        <w:t>对称性关节炎；</w:t>
      </w:r>
    </w:p>
    <w:p>
      <w:pPr>
        <w:pStyle w:val="ListParagraph"/>
        <w:numPr>
          <w:ilvl w:val="0"/>
          <w:numId w:val="31"/>
        </w:numPr>
        <w:tabs>
          <w:tab w:pos="536" w:val="left" w:leader="none"/>
        </w:tabs>
        <w:spacing w:line="240" w:lineRule="auto" w:before="90" w:after="0"/>
        <w:ind w:left="535" w:right="0" w:hanging="420"/>
        <w:jc w:val="both"/>
        <w:rPr>
          <w:sz w:val="22"/>
        </w:rPr>
      </w:pPr>
      <w:r>
        <w:rPr>
          <w:spacing w:val="-2"/>
          <w:sz w:val="22"/>
        </w:rPr>
        <w:t>类风湿性皮下结节；</w:t>
      </w:r>
    </w:p>
    <w:p>
      <w:pPr>
        <w:pStyle w:val="ListParagraph"/>
        <w:numPr>
          <w:ilvl w:val="0"/>
          <w:numId w:val="31"/>
        </w:numPr>
        <w:tabs>
          <w:tab w:pos="536" w:val="left" w:leader="none"/>
        </w:tabs>
        <w:spacing w:line="240" w:lineRule="auto" w:before="93" w:after="0"/>
        <w:ind w:left="535" w:right="0" w:hanging="420"/>
        <w:jc w:val="both"/>
        <w:rPr>
          <w:sz w:val="22"/>
        </w:rPr>
      </w:pPr>
      <w:r>
        <w:rPr>
          <w:spacing w:val="-2"/>
          <w:sz w:val="22"/>
        </w:rPr>
        <w:t>类风湿因子滴度升高；</w:t>
      </w:r>
    </w:p>
    <w:p>
      <w:pPr>
        <w:pStyle w:val="ListParagraph"/>
        <w:numPr>
          <w:ilvl w:val="0"/>
          <w:numId w:val="31"/>
        </w:numPr>
        <w:tabs>
          <w:tab w:pos="536" w:val="left" w:leader="none"/>
        </w:tabs>
        <w:spacing w:line="240" w:lineRule="auto" w:before="91" w:after="0"/>
        <w:ind w:left="535" w:right="0" w:hanging="42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spacing w:after="0" w:line="240" w:lineRule="auto"/>
        <w:jc w:val="both"/>
        <w:rPr>
          <w:sz w:val="22"/>
        </w:rPr>
        <w:sectPr>
          <w:type w:val="continuous"/>
          <w:pgSz w:w="11910" w:h="16840"/>
          <w:pgMar w:top="1440" w:bottom="280" w:left="1680" w:right="1020"/>
          <w:cols w:num="2" w:equalWidth="0">
            <w:col w:w="1643" w:space="40"/>
            <w:col w:w="7527"/>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7575"/>
      </w:tblGrid>
      <w:tr>
        <w:trPr>
          <w:trHeight w:val="3150" w:hRule="atLeast"/>
        </w:trPr>
        <w:tc>
          <w:tcPr>
            <w:tcW w:w="1689" w:type="dxa"/>
          </w:tcPr>
          <w:p>
            <w:pPr>
              <w:pStyle w:val="TableParagraph"/>
              <w:spacing w:line="216" w:lineRule="exact"/>
              <w:ind w:left="200"/>
              <w:rPr>
                <w:b/>
                <w:sz w:val="22"/>
              </w:rPr>
            </w:pPr>
            <w:r>
              <w:rPr>
                <w:b/>
                <w:sz w:val="22"/>
              </w:rPr>
              <w:t>1 型糖尿病</w:t>
            </w:r>
          </w:p>
        </w:tc>
        <w:tc>
          <w:tcPr>
            <w:tcW w:w="7575" w:type="dxa"/>
          </w:tcPr>
          <w:p>
            <w:pPr>
              <w:pStyle w:val="TableParagraph"/>
              <w:spacing w:line="216" w:lineRule="exact"/>
              <w:ind w:left="78"/>
              <w:rPr>
                <w:sz w:val="22"/>
              </w:rPr>
            </w:pPr>
            <w:r>
              <w:rPr>
                <w:sz w:val="22"/>
              </w:rPr>
              <w:t>1 型糖尿病的特征为由于胰岛素分泌绝对不足引起严重胰岛素缺乏导致慢性</w:t>
            </w:r>
          </w:p>
          <w:p>
            <w:pPr>
              <w:pStyle w:val="TableParagraph"/>
              <w:spacing w:line="316" w:lineRule="auto" w:before="91"/>
              <w:ind w:left="78" w:right="197"/>
              <w:jc w:val="both"/>
              <w:rPr>
                <w:sz w:val="22"/>
              </w:rPr>
            </w:pPr>
            <w:r>
              <w:rPr>
                <w:sz w:val="22"/>
              </w:rPr>
              <w:t>血糖升高，需要依赖外源性胰岛素进行机体的葡萄糖代谢和维持生命。被保</w:t>
            </w:r>
            <w:r>
              <w:rPr>
                <w:spacing w:val="-12"/>
                <w:sz w:val="22"/>
              </w:rPr>
              <w:t>险人的 </w:t>
            </w:r>
            <w:r>
              <w:rPr>
                <w:sz w:val="22"/>
              </w:rPr>
              <w:t>1</w:t>
            </w:r>
            <w:r>
              <w:rPr>
                <w:spacing w:val="-10"/>
                <w:sz w:val="22"/>
              </w:rPr>
              <w:t> 型糖尿病必须明确诊断，而且有血胰岛素测定及血 </w:t>
            </w:r>
            <w:r>
              <w:rPr>
                <w:sz w:val="22"/>
              </w:rPr>
              <w:t>C</w:t>
            </w:r>
            <w:r>
              <w:rPr>
                <w:spacing w:val="-20"/>
                <w:sz w:val="22"/>
              </w:rPr>
              <w:t> 肽或尿 </w:t>
            </w:r>
            <w:r>
              <w:rPr>
                <w:sz w:val="22"/>
              </w:rPr>
              <w:t>C</w:t>
            </w:r>
            <w:r>
              <w:rPr>
                <w:spacing w:val="-16"/>
                <w:sz w:val="22"/>
              </w:rPr>
              <w:t> 肽测</w:t>
            </w:r>
            <w:r>
              <w:rPr>
                <w:spacing w:val="-8"/>
                <w:sz w:val="22"/>
              </w:rPr>
              <w:t>定结果支持诊断，并且满足下列全部条件：</w:t>
            </w:r>
          </w:p>
          <w:p>
            <w:pPr>
              <w:pStyle w:val="TableParagraph"/>
              <w:numPr>
                <w:ilvl w:val="0"/>
                <w:numId w:val="32"/>
              </w:numPr>
              <w:tabs>
                <w:tab w:pos="499" w:val="left" w:leader="none"/>
              </w:tabs>
              <w:spacing w:line="240" w:lineRule="auto" w:before="20" w:after="0"/>
              <w:ind w:left="498" w:right="0" w:hanging="420"/>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2"/>
              </w:numPr>
              <w:tabs>
                <w:tab w:pos="499" w:val="left" w:leader="none"/>
              </w:tabs>
              <w:spacing w:line="240" w:lineRule="auto" w:before="91" w:after="0"/>
              <w:ind w:left="498" w:right="0" w:hanging="420"/>
              <w:jc w:val="both"/>
              <w:rPr>
                <w:sz w:val="22"/>
              </w:rPr>
            </w:pPr>
            <w:r>
              <w:rPr>
                <w:spacing w:val="-3"/>
                <w:sz w:val="22"/>
              </w:rPr>
              <w:t>因需要已经接受了下列治疗：</w:t>
            </w:r>
          </w:p>
          <w:p>
            <w:pPr>
              <w:pStyle w:val="TableParagraph"/>
              <w:numPr>
                <w:ilvl w:val="1"/>
                <w:numId w:val="32"/>
              </w:numPr>
              <w:tabs>
                <w:tab w:pos="742" w:val="left" w:leader="none"/>
              </w:tabs>
              <w:spacing w:line="240" w:lineRule="auto" w:before="93" w:after="0"/>
              <w:ind w:left="741" w:right="0" w:hanging="222"/>
              <w:jc w:val="left"/>
              <w:rPr>
                <w:sz w:val="22"/>
              </w:rPr>
            </w:pPr>
            <w:r>
              <w:rPr>
                <w:spacing w:val="-3"/>
                <w:sz w:val="22"/>
              </w:rPr>
              <w:t>因严重心律失常植入了心脏起搏器；或</w:t>
            </w:r>
          </w:p>
          <w:p>
            <w:pPr>
              <w:pStyle w:val="TableParagraph"/>
              <w:numPr>
                <w:ilvl w:val="1"/>
                <w:numId w:val="32"/>
              </w:numPr>
              <w:tabs>
                <w:tab w:pos="742" w:val="left" w:leader="none"/>
              </w:tabs>
              <w:spacing w:line="240" w:lineRule="auto" w:before="90" w:after="0"/>
              <w:ind w:left="741" w:right="0" w:hanging="222"/>
              <w:jc w:val="left"/>
              <w:rPr>
                <w:sz w:val="22"/>
              </w:rPr>
            </w:pPr>
            <w:r>
              <w:rPr>
                <w:spacing w:val="-3"/>
                <w:sz w:val="22"/>
              </w:rPr>
              <w:t>因坏疽自跖趾关节或以上切除了一趾或多趾。</w:t>
            </w:r>
          </w:p>
        </w:tc>
      </w:tr>
      <w:tr>
        <w:trPr>
          <w:trHeight w:val="1519" w:hRule="atLeast"/>
        </w:trPr>
        <w:tc>
          <w:tcPr>
            <w:tcW w:w="1689" w:type="dxa"/>
          </w:tcPr>
          <w:p>
            <w:pPr>
              <w:pStyle w:val="TableParagraph"/>
              <w:spacing w:before="197"/>
              <w:ind w:left="200"/>
              <w:rPr>
                <w:b/>
                <w:sz w:val="22"/>
              </w:rPr>
            </w:pPr>
            <w:r>
              <w:rPr>
                <w:b/>
                <w:w w:val="95"/>
                <w:sz w:val="22"/>
              </w:rPr>
              <w:t>严重克隆病</w:t>
            </w:r>
          </w:p>
        </w:tc>
        <w:tc>
          <w:tcPr>
            <w:tcW w:w="7575" w:type="dxa"/>
          </w:tcPr>
          <w:p>
            <w:pPr>
              <w:pStyle w:val="TableParagraph"/>
              <w:spacing w:line="316" w:lineRule="auto" w:before="197"/>
              <w:ind w:left="78" w:right="204"/>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0" w:hRule="atLeast"/>
        </w:trPr>
        <w:tc>
          <w:tcPr>
            <w:tcW w:w="1689" w:type="dxa"/>
          </w:tcPr>
          <w:p>
            <w:pPr>
              <w:pStyle w:val="TableParagraph"/>
              <w:spacing w:line="316" w:lineRule="auto" w:before="198"/>
              <w:ind w:left="200" w:right="75"/>
              <w:rPr>
                <w:b/>
                <w:sz w:val="22"/>
              </w:rPr>
            </w:pPr>
            <w:r>
              <w:rPr>
                <w:b/>
                <w:sz w:val="22"/>
              </w:rPr>
              <w:t>严重溃疡性结</w:t>
            </w:r>
            <w:r>
              <w:rPr>
                <w:b/>
                <w:w w:val="95"/>
                <w:sz w:val="22"/>
              </w:rPr>
              <w:t>肠炎</w:t>
            </w:r>
          </w:p>
        </w:tc>
        <w:tc>
          <w:tcPr>
            <w:tcW w:w="7575" w:type="dxa"/>
          </w:tcPr>
          <w:p>
            <w:pPr>
              <w:pStyle w:val="TableParagraph"/>
              <w:spacing w:line="316" w:lineRule="auto" w:before="198"/>
              <w:ind w:left="78" w:right="204"/>
              <w:jc w:val="both"/>
              <w:rPr>
                <w:sz w:val="22"/>
              </w:rPr>
            </w:pPr>
            <w:r>
              <w:rPr>
                <w:sz w:val="22"/>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659" w:hRule="atLeast"/>
        </w:trPr>
        <w:tc>
          <w:tcPr>
            <w:tcW w:w="1689" w:type="dxa"/>
          </w:tcPr>
          <w:p>
            <w:pPr>
              <w:pStyle w:val="TableParagraph"/>
              <w:spacing w:line="316" w:lineRule="auto" w:before="198"/>
              <w:ind w:left="200" w:right="31"/>
              <w:rPr>
                <w:b/>
                <w:sz w:val="22"/>
              </w:rPr>
            </w:pPr>
            <w:r>
              <w:rPr>
                <w:b/>
                <w:sz w:val="22"/>
              </w:rPr>
              <w:t>II 级重症急性</w:t>
            </w:r>
            <w:r>
              <w:rPr>
                <w:b/>
                <w:w w:val="95"/>
                <w:sz w:val="22"/>
              </w:rPr>
              <w:t>胰腺炎</w:t>
            </w:r>
          </w:p>
        </w:tc>
        <w:tc>
          <w:tcPr>
            <w:tcW w:w="7575" w:type="dxa"/>
          </w:tcPr>
          <w:p>
            <w:pPr>
              <w:pStyle w:val="TableParagraph"/>
              <w:spacing w:line="316" w:lineRule="auto" w:before="198"/>
              <w:ind w:left="78" w:right="122"/>
              <w:rPr>
                <w:sz w:val="22"/>
              </w:rPr>
            </w:pPr>
            <w:r>
              <w:rPr>
                <w:sz w:val="22"/>
              </w:rPr>
              <w:t>Ⅱ级重症急性胰腺炎是指急性胰腺炎伴有脏器功能障碍。被保险人所患的Ⅱ 级重症急性胰腺炎必须明确诊断，按 APACHEⅡ评分达到 8 分或 8 分以上和</w:t>
            </w:r>
          </w:p>
          <w:p>
            <w:pPr>
              <w:pStyle w:val="TableParagraph"/>
              <w:spacing w:line="319" w:lineRule="auto" w:before="21"/>
              <w:ind w:left="78" w:right="199"/>
              <w:rPr>
                <w:sz w:val="22"/>
              </w:rPr>
            </w:pPr>
            <w:r>
              <w:rPr>
                <w:sz w:val="22"/>
              </w:rPr>
              <w:t>Balthazar 分级系统达到Ⅱ级或Ⅱ级以上，并且接受了外科剖腹手术治疗， 以进行坏死组织清除、坏死病灶切除或胰腺切除。</w:t>
            </w:r>
          </w:p>
          <w:p>
            <w:pPr>
              <w:pStyle w:val="TableParagraph"/>
              <w:spacing w:line="316" w:lineRule="auto" w:before="18"/>
              <w:ind w:left="78" w:right="204"/>
              <w:rPr>
                <w:sz w:val="22"/>
              </w:rPr>
            </w:pPr>
            <w:r>
              <w:rPr>
                <w:sz w:val="22"/>
                <w:shd w:fill="D9D9D9" w:color="auto" w:val="clear"/>
              </w:rPr>
              <w:t>因酗酒或饮酒过量所致的急性坏死性胰腺炎以及腹腔镜手术不在本合同保障范围内</w:t>
            </w:r>
            <w:r>
              <w:rPr>
                <w:spacing w:val="-221"/>
                <w:sz w:val="22"/>
              </w:rPr>
              <w:t>。</w:t>
            </w:r>
          </w:p>
        </w:tc>
      </w:tr>
      <w:tr>
        <w:trPr>
          <w:trHeight w:val="1900" w:hRule="atLeast"/>
        </w:trPr>
        <w:tc>
          <w:tcPr>
            <w:tcW w:w="1689" w:type="dxa"/>
          </w:tcPr>
          <w:p>
            <w:pPr>
              <w:pStyle w:val="TableParagraph"/>
              <w:spacing w:before="198"/>
              <w:ind w:left="200"/>
              <w:rPr>
                <w:b/>
                <w:sz w:val="22"/>
              </w:rPr>
            </w:pPr>
            <w:r>
              <w:rPr>
                <w:b/>
                <w:w w:val="95"/>
                <w:sz w:val="22"/>
              </w:rPr>
              <w:t>肌营养不良症</w:t>
            </w:r>
          </w:p>
        </w:tc>
        <w:tc>
          <w:tcPr>
            <w:tcW w:w="7575" w:type="dxa"/>
          </w:tcPr>
          <w:p>
            <w:pPr>
              <w:pStyle w:val="TableParagraph"/>
              <w:spacing w:line="316" w:lineRule="auto" w:before="198"/>
              <w:ind w:left="78" w:right="203"/>
              <w:jc w:val="both"/>
              <w:rPr>
                <w:sz w:val="22"/>
              </w:rPr>
            </w:pPr>
            <w:r>
              <w:rPr>
                <w:sz w:val="22"/>
              </w:rPr>
              <w:t>肌营养不良症是一组遗传性肌肉变性性病变，临床特征为与神经系统无关的肌肉无力和肌肉萎缩。</w:t>
            </w:r>
            <w:r>
              <w:rPr>
                <w:sz w:val="22"/>
                <w:shd w:fill="D9D9D9" w:color="auto" w:val="clear"/>
              </w:rPr>
              <w:t>本合同仅对肌营养不良症已造成永久不可逆性的神经</w:t>
            </w:r>
            <w:r>
              <w:rPr>
                <w:spacing w:val="-221"/>
                <w:sz w:val="22"/>
                <w:shd w:fill="D9D9D9" w:color="auto" w:val="clear"/>
              </w:rPr>
              <w:t>系</w:t>
            </w:r>
            <w:r>
              <w:rPr>
                <w:sz w:val="22"/>
                <w:shd w:fill="D9D9D9" w:color="auto" w:val="clear"/>
              </w:rPr>
              <w:t>统功能损害导致被保险人无法丧失独立完成六项基本日常生活活动中的三项</w:t>
            </w:r>
            <w:r>
              <w:rPr>
                <w:spacing w:val="-3"/>
                <w:sz w:val="22"/>
                <w:shd w:fill="D9D9D9" w:color="auto" w:val="clear"/>
              </w:rPr>
              <w:t>或三项以上的活动能力的情况予以理赔</w:t>
            </w:r>
            <w:r>
              <w:rPr>
                <w:sz w:val="22"/>
              </w:rPr>
              <w:t>。</w:t>
            </w:r>
          </w:p>
        </w:tc>
      </w:tr>
      <w:tr>
        <w:trPr>
          <w:trHeight w:val="1900" w:hRule="atLeast"/>
        </w:trPr>
        <w:tc>
          <w:tcPr>
            <w:tcW w:w="1689" w:type="dxa"/>
          </w:tcPr>
          <w:p>
            <w:pPr>
              <w:pStyle w:val="TableParagraph"/>
              <w:spacing w:before="198"/>
              <w:ind w:left="200"/>
              <w:rPr>
                <w:b/>
                <w:sz w:val="22"/>
              </w:rPr>
            </w:pPr>
            <w:r>
              <w:rPr>
                <w:b/>
                <w:w w:val="95"/>
                <w:sz w:val="22"/>
              </w:rPr>
              <w:t>植物人状态</w:t>
            </w:r>
          </w:p>
        </w:tc>
        <w:tc>
          <w:tcPr>
            <w:tcW w:w="7575" w:type="dxa"/>
          </w:tcPr>
          <w:p>
            <w:pPr>
              <w:pStyle w:val="TableParagraph"/>
              <w:spacing w:line="316" w:lineRule="auto" w:before="198"/>
              <w:ind w:left="78" w:right="202"/>
              <w:jc w:val="both"/>
              <w:rPr>
                <w:sz w:val="22"/>
              </w:rPr>
            </w:pPr>
            <w:r>
              <w:rPr>
                <w:sz w:val="22"/>
              </w:rPr>
              <w:t>植物人状态系指由于严重颅脑外伤造成大脑和脑干严重损害导致完全永久性的对自身和环境的意识丧失和中枢神经系统功能丧失，仅残存植物神经功能的疾病状态。诊断必须明确诊断并且具有严重颅脑外伤和脑损害的证据。</w:t>
            </w:r>
            <w:r>
              <w:rPr>
                <w:sz w:val="22"/>
                <w:shd w:fill="D9D9D9" w:color="auto" w:val="clear"/>
              </w:rPr>
              <w:t>植物人状</w:t>
            </w:r>
            <w:r>
              <w:rPr>
                <w:spacing w:val="-221"/>
                <w:sz w:val="22"/>
                <w:shd w:fill="D9D9D9" w:color="auto" w:val="clear"/>
              </w:rPr>
              <w:t>态</w:t>
            </w:r>
            <w:r>
              <w:rPr>
                <w:spacing w:val="-11"/>
                <w:sz w:val="22"/>
                <w:shd w:fill="D9D9D9" w:color="auto" w:val="clear"/>
              </w:rPr>
              <w:t>必须持续 </w:t>
            </w:r>
            <w:r>
              <w:rPr>
                <w:sz w:val="22"/>
                <w:shd w:fill="D9D9D9" w:color="auto" w:val="clear"/>
              </w:rPr>
              <w:t>30</w:t>
            </w:r>
            <w:r>
              <w:rPr>
                <w:spacing w:val="-9"/>
                <w:sz w:val="22"/>
                <w:shd w:fill="D9D9D9" w:color="auto" w:val="clear"/>
              </w:rPr>
              <w:t> 天以上方可申请理赔</w:t>
            </w:r>
            <w:r>
              <w:rPr>
                <w:sz w:val="22"/>
              </w:rPr>
              <w:t>。</w:t>
            </w:r>
          </w:p>
        </w:tc>
      </w:tr>
      <w:tr>
        <w:trPr>
          <w:trHeight w:val="489" w:hRule="atLeast"/>
        </w:trPr>
        <w:tc>
          <w:tcPr>
            <w:tcW w:w="1689" w:type="dxa"/>
          </w:tcPr>
          <w:p>
            <w:pPr>
              <w:pStyle w:val="TableParagraph"/>
              <w:spacing w:line="273" w:lineRule="exact" w:before="196"/>
              <w:ind w:left="200"/>
              <w:rPr>
                <w:b/>
                <w:sz w:val="22"/>
              </w:rPr>
            </w:pPr>
            <w:r>
              <w:rPr>
                <w:b/>
                <w:w w:val="95"/>
                <w:sz w:val="22"/>
              </w:rPr>
              <w:t>独立能力丧失</w:t>
            </w:r>
          </w:p>
        </w:tc>
        <w:tc>
          <w:tcPr>
            <w:tcW w:w="7575" w:type="dxa"/>
          </w:tcPr>
          <w:p>
            <w:pPr>
              <w:pStyle w:val="TableParagraph"/>
              <w:spacing w:line="273" w:lineRule="exact" w:before="196"/>
              <w:ind w:left="78"/>
              <w:rPr>
                <w:sz w:val="22"/>
              </w:rPr>
            </w:pPr>
            <w:r>
              <w:rPr>
                <w:sz w:val="22"/>
              </w:rPr>
              <w:t>指疾病或外伤造成被保险人至少持续 6 个月以上完全无能力完成(无论有无</w:t>
            </w:r>
          </w:p>
        </w:tc>
      </w:tr>
    </w:tbl>
    <w:p>
      <w:pPr>
        <w:rPr>
          <w:sz w:val="2"/>
          <w:szCs w:val="2"/>
        </w:rPr>
      </w:pPr>
      <w:r>
        <w:rPr/>
        <w:drawing>
          <wp:anchor distT="0" distB="0" distL="0" distR="0" allowOverlap="1" layoutInCell="1" locked="0" behindDoc="1" simplePos="0" relativeHeight="268401383">
            <wp:simplePos x="0" y="0"/>
            <wp:positionH relativeFrom="page">
              <wp:posOffset>2208529</wp:posOffset>
            </wp:positionH>
            <wp:positionV relativeFrom="page">
              <wp:posOffset>2421889</wp:posOffset>
            </wp:positionV>
            <wp:extent cx="280416"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401407">
            <wp:simplePos x="0" y="0"/>
            <wp:positionH relativeFrom="page">
              <wp:posOffset>2208529</wp:posOffset>
            </wp:positionH>
            <wp:positionV relativeFrom="page">
              <wp:posOffset>2662681</wp:posOffset>
            </wp:positionV>
            <wp:extent cx="280416" cy="140207"/>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top="1520" w:bottom="280" w:left="160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13"/>
        <w:gridCol w:w="7612"/>
      </w:tblGrid>
      <w:tr>
        <w:trPr>
          <w:trHeight w:val="870" w:hRule="atLeast"/>
        </w:trPr>
        <w:tc>
          <w:tcPr>
            <w:tcW w:w="811" w:type="dxa"/>
          </w:tcPr>
          <w:p>
            <w:pPr>
              <w:pStyle w:val="TableParagraph"/>
              <w:rPr>
                <w:rFonts w:ascii="Times New Roman"/>
                <w:sz w:val="22"/>
              </w:rPr>
            </w:pPr>
          </w:p>
        </w:tc>
        <w:tc>
          <w:tcPr>
            <w:tcW w:w="1613" w:type="dxa"/>
          </w:tcPr>
          <w:p>
            <w:pPr>
              <w:pStyle w:val="TableParagraph"/>
              <w:rPr>
                <w:rFonts w:ascii="Times New Roman"/>
                <w:sz w:val="22"/>
              </w:rPr>
            </w:pPr>
          </w:p>
        </w:tc>
        <w:tc>
          <w:tcPr>
            <w:tcW w:w="7612" w:type="dxa"/>
          </w:tcPr>
          <w:p>
            <w:pPr>
              <w:pStyle w:val="TableParagraph"/>
              <w:spacing w:line="216" w:lineRule="exact"/>
              <w:ind w:left="121"/>
              <w:rPr>
                <w:sz w:val="22"/>
              </w:rPr>
            </w:pPr>
            <w:r>
              <w:rPr>
                <w:sz w:val="22"/>
              </w:rPr>
              <w:t>他人辅助)六项日常生活活动中的三项或以上。被保险人的日常生活活动能</w:t>
            </w:r>
          </w:p>
          <w:p>
            <w:pPr>
              <w:pStyle w:val="TableParagraph"/>
              <w:spacing w:before="91"/>
              <w:ind w:left="121"/>
              <w:rPr>
                <w:sz w:val="22"/>
              </w:rPr>
            </w:pPr>
            <w:r>
              <w:rPr>
                <w:sz w:val="22"/>
              </w:rPr>
              <w:t>力丧失必须是永久性的。</w:t>
            </w:r>
          </w:p>
        </w:tc>
      </w:tr>
      <w:tr>
        <w:trPr>
          <w:trHeight w:val="2280" w:hRule="atLeast"/>
        </w:trPr>
        <w:tc>
          <w:tcPr>
            <w:tcW w:w="811" w:type="dxa"/>
          </w:tcPr>
          <w:p>
            <w:pPr>
              <w:pStyle w:val="TableParagraph"/>
              <w:rPr>
                <w:rFonts w:ascii="Times New Roman"/>
                <w:sz w:val="22"/>
              </w:rPr>
            </w:pPr>
          </w:p>
        </w:tc>
        <w:tc>
          <w:tcPr>
            <w:tcW w:w="1613" w:type="dxa"/>
          </w:tcPr>
          <w:p>
            <w:pPr>
              <w:pStyle w:val="TableParagraph"/>
              <w:spacing w:before="198"/>
              <w:ind w:left="167"/>
              <w:rPr>
                <w:b/>
                <w:sz w:val="22"/>
              </w:rPr>
            </w:pPr>
            <w:r>
              <w:rPr>
                <w:b/>
                <w:w w:val="95"/>
                <w:sz w:val="22"/>
              </w:rPr>
              <w:t>终末期疾病</w:t>
            </w:r>
          </w:p>
        </w:tc>
        <w:tc>
          <w:tcPr>
            <w:tcW w:w="7612" w:type="dxa"/>
          </w:tcPr>
          <w:p>
            <w:pPr>
              <w:pStyle w:val="TableParagraph"/>
              <w:spacing w:line="316" w:lineRule="auto" w:before="198"/>
              <w:ind w:left="121" w:right="197"/>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1900" w:hRule="atLeast"/>
        </w:trPr>
        <w:tc>
          <w:tcPr>
            <w:tcW w:w="811" w:type="dxa"/>
          </w:tcPr>
          <w:p>
            <w:pPr>
              <w:pStyle w:val="TableParagraph"/>
              <w:spacing w:before="198"/>
              <w:ind w:left="72" w:right="147"/>
              <w:jc w:val="center"/>
              <w:rPr>
                <w:b/>
                <w:sz w:val="22"/>
              </w:rPr>
            </w:pPr>
            <w:r>
              <w:rPr>
                <w:b/>
                <w:sz w:val="22"/>
              </w:rPr>
              <w:t>9.7</w:t>
            </w:r>
          </w:p>
        </w:tc>
        <w:tc>
          <w:tcPr>
            <w:tcW w:w="1613" w:type="dxa"/>
          </w:tcPr>
          <w:p>
            <w:pPr>
              <w:pStyle w:val="TableParagraph"/>
              <w:spacing w:before="198"/>
              <w:ind w:left="167"/>
              <w:rPr>
                <w:b/>
                <w:sz w:val="22"/>
              </w:rPr>
            </w:pPr>
            <w:r>
              <w:rPr>
                <w:b/>
                <w:w w:val="95"/>
                <w:sz w:val="22"/>
              </w:rPr>
              <w:t>毒品</w:t>
            </w:r>
          </w:p>
        </w:tc>
        <w:tc>
          <w:tcPr>
            <w:tcW w:w="7612" w:type="dxa"/>
          </w:tcPr>
          <w:p>
            <w:pPr>
              <w:pStyle w:val="TableParagraph"/>
              <w:spacing w:line="316" w:lineRule="auto" w:before="198"/>
              <w:ind w:left="121" w:right="197"/>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811" w:type="dxa"/>
          </w:tcPr>
          <w:p>
            <w:pPr>
              <w:pStyle w:val="TableParagraph"/>
              <w:spacing w:before="196"/>
              <w:ind w:left="73" w:right="147"/>
              <w:jc w:val="center"/>
              <w:rPr>
                <w:b/>
                <w:sz w:val="22"/>
              </w:rPr>
            </w:pPr>
            <w:r>
              <w:rPr>
                <w:b/>
                <w:sz w:val="22"/>
              </w:rPr>
              <w:t>9.8</w:t>
            </w:r>
          </w:p>
        </w:tc>
        <w:tc>
          <w:tcPr>
            <w:tcW w:w="1613" w:type="dxa"/>
          </w:tcPr>
          <w:p>
            <w:pPr>
              <w:pStyle w:val="TableParagraph"/>
              <w:spacing w:before="196"/>
              <w:ind w:left="167"/>
              <w:rPr>
                <w:b/>
                <w:sz w:val="22"/>
              </w:rPr>
            </w:pPr>
            <w:r>
              <w:rPr>
                <w:b/>
                <w:w w:val="95"/>
                <w:sz w:val="22"/>
              </w:rPr>
              <w:t>酒后驾驶</w:t>
            </w:r>
          </w:p>
        </w:tc>
        <w:tc>
          <w:tcPr>
            <w:tcW w:w="7612" w:type="dxa"/>
          </w:tcPr>
          <w:p>
            <w:pPr>
              <w:pStyle w:val="TableParagraph"/>
              <w:spacing w:line="316" w:lineRule="auto" w:before="196"/>
              <w:ind w:left="121" w:right="197"/>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59" w:hRule="atLeast"/>
        </w:trPr>
        <w:tc>
          <w:tcPr>
            <w:tcW w:w="811" w:type="dxa"/>
          </w:tcPr>
          <w:p>
            <w:pPr>
              <w:pStyle w:val="TableParagraph"/>
              <w:spacing w:before="198"/>
              <w:ind w:left="72" w:right="147"/>
              <w:jc w:val="center"/>
              <w:rPr>
                <w:b/>
                <w:sz w:val="22"/>
              </w:rPr>
            </w:pPr>
            <w:r>
              <w:rPr>
                <w:b/>
                <w:sz w:val="22"/>
              </w:rPr>
              <w:t>9.9</w:t>
            </w:r>
          </w:p>
        </w:tc>
        <w:tc>
          <w:tcPr>
            <w:tcW w:w="1613" w:type="dxa"/>
          </w:tcPr>
          <w:p>
            <w:pPr>
              <w:pStyle w:val="TableParagraph"/>
              <w:spacing w:line="316" w:lineRule="auto" w:before="198"/>
              <w:ind w:left="167" w:right="119"/>
              <w:rPr>
                <w:b/>
                <w:sz w:val="22"/>
              </w:rPr>
            </w:pPr>
            <w:r>
              <w:rPr>
                <w:b/>
                <w:sz w:val="22"/>
              </w:rPr>
              <w:t>无合法有效驾</w:t>
            </w:r>
            <w:r>
              <w:rPr>
                <w:b/>
                <w:w w:val="95"/>
                <w:sz w:val="22"/>
              </w:rPr>
              <w:t>驶证驾驶</w:t>
            </w:r>
          </w:p>
        </w:tc>
        <w:tc>
          <w:tcPr>
            <w:tcW w:w="7612" w:type="dxa"/>
          </w:tcPr>
          <w:p>
            <w:pPr>
              <w:pStyle w:val="TableParagraph"/>
              <w:spacing w:before="198"/>
              <w:ind w:left="121"/>
              <w:rPr>
                <w:sz w:val="22"/>
              </w:rPr>
            </w:pPr>
            <w:r>
              <w:rPr>
                <w:sz w:val="22"/>
              </w:rPr>
              <w:t>指下列情形之一：</w:t>
            </w:r>
          </w:p>
          <w:p>
            <w:pPr>
              <w:pStyle w:val="TableParagraph"/>
              <w:numPr>
                <w:ilvl w:val="0"/>
                <w:numId w:val="33"/>
              </w:numPr>
              <w:tabs>
                <w:tab w:pos="575" w:val="left" w:leader="none"/>
              </w:tabs>
              <w:spacing w:line="240" w:lineRule="auto" w:before="91" w:after="0"/>
              <w:ind w:left="574" w:right="0" w:hanging="453"/>
              <w:jc w:val="left"/>
              <w:rPr>
                <w:sz w:val="22"/>
              </w:rPr>
            </w:pPr>
            <w:r>
              <w:rPr>
                <w:spacing w:val="-2"/>
                <w:sz w:val="22"/>
              </w:rPr>
              <w:t>没有取得驾驶资格；</w:t>
            </w:r>
          </w:p>
          <w:p>
            <w:pPr>
              <w:pStyle w:val="TableParagraph"/>
              <w:numPr>
                <w:ilvl w:val="0"/>
                <w:numId w:val="33"/>
              </w:numPr>
              <w:tabs>
                <w:tab w:pos="575" w:val="left" w:leader="none"/>
              </w:tabs>
              <w:spacing w:line="240" w:lineRule="auto" w:before="91" w:after="0"/>
              <w:ind w:left="574" w:right="0" w:hanging="453"/>
              <w:jc w:val="left"/>
              <w:rPr>
                <w:sz w:val="22"/>
              </w:rPr>
            </w:pPr>
            <w:r>
              <w:rPr>
                <w:spacing w:val="-3"/>
                <w:sz w:val="22"/>
              </w:rPr>
              <w:t>驾驶与驾驶证准驾车型不相符合的车辆；</w:t>
            </w:r>
          </w:p>
          <w:p>
            <w:pPr>
              <w:pStyle w:val="TableParagraph"/>
              <w:numPr>
                <w:ilvl w:val="0"/>
                <w:numId w:val="33"/>
              </w:numPr>
              <w:tabs>
                <w:tab w:pos="575" w:val="left" w:leader="none"/>
              </w:tabs>
              <w:spacing w:line="240" w:lineRule="auto" w:before="94" w:after="0"/>
              <w:ind w:left="574" w:right="0" w:hanging="453"/>
              <w:jc w:val="left"/>
              <w:rPr>
                <w:sz w:val="22"/>
              </w:rPr>
            </w:pPr>
            <w:r>
              <w:rPr>
                <w:spacing w:val="-3"/>
                <w:sz w:val="22"/>
              </w:rPr>
              <w:t>持审验不合格的驾驶证驾驶；</w:t>
            </w:r>
          </w:p>
          <w:p>
            <w:pPr>
              <w:pStyle w:val="TableParagraph"/>
              <w:numPr>
                <w:ilvl w:val="0"/>
                <w:numId w:val="33"/>
              </w:numPr>
              <w:tabs>
                <w:tab w:pos="575" w:val="left" w:leader="none"/>
              </w:tabs>
              <w:spacing w:line="316" w:lineRule="auto" w:before="91" w:after="0"/>
              <w:ind w:left="574" w:right="214" w:hanging="453"/>
              <w:jc w:val="left"/>
              <w:rPr>
                <w:sz w:val="22"/>
              </w:rPr>
            </w:pPr>
            <w:r>
              <w:rPr>
                <w:spacing w:val="-3"/>
                <w:sz w:val="22"/>
              </w:rPr>
              <w:t>持学习驾驶证学习驾车时，无教练员随车指导，或不按指定时间、路线学习驾车。</w:t>
            </w:r>
          </w:p>
        </w:tc>
      </w:tr>
      <w:tr>
        <w:trPr>
          <w:trHeight w:val="1520" w:hRule="atLeast"/>
        </w:trPr>
        <w:tc>
          <w:tcPr>
            <w:tcW w:w="811" w:type="dxa"/>
          </w:tcPr>
          <w:p>
            <w:pPr>
              <w:pStyle w:val="TableParagraph"/>
              <w:spacing w:before="198"/>
              <w:ind w:left="179" w:right="147"/>
              <w:jc w:val="center"/>
              <w:rPr>
                <w:b/>
                <w:sz w:val="22"/>
              </w:rPr>
            </w:pPr>
            <w:r>
              <w:rPr>
                <w:b/>
                <w:sz w:val="22"/>
              </w:rPr>
              <w:t>9.10</w:t>
            </w:r>
          </w:p>
        </w:tc>
        <w:tc>
          <w:tcPr>
            <w:tcW w:w="1613" w:type="dxa"/>
          </w:tcPr>
          <w:p>
            <w:pPr>
              <w:pStyle w:val="TableParagraph"/>
              <w:spacing w:before="198"/>
              <w:ind w:left="167"/>
              <w:rPr>
                <w:b/>
                <w:sz w:val="22"/>
              </w:rPr>
            </w:pPr>
            <w:r>
              <w:rPr>
                <w:b/>
                <w:w w:val="95"/>
                <w:sz w:val="22"/>
              </w:rPr>
              <w:t>无有效行驶证</w:t>
            </w:r>
          </w:p>
        </w:tc>
        <w:tc>
          <w:tcPr>
            <w:tcW w:w="7612" w:type="dxa"/>
          </w:tcPr>
          <w:p>
            <w:pPr>
              <w:pStyle w:val="TableParagraph"/>
              <w:spacing w:before="198"/>
              <w:ind w:left="121"/>
              <w:rPr>
                <w:sz w:val="22"/>
              </w:rPr>
            </w:pPr>
            <w:r>
              <w:rPr>
                <w:sz w:val="22"/>
              </w:rPr>
              <w:t>指下列情形之一：</w:t>
            </w:r>
          </w:p>
          <w:p>
            <w:pPr>
              <w:pStyle w:val="TableParagraph"/>
              <w:numPr>
                <w:ilvl w:val="0"/>
                <w:numId w:val="34"/>
              </w:numPr>
              <w:tabs>
                <w:tab w:pos="575" w:val="left" w:leader="none"/>
              </w:tabs>
              <w:spacing w:line="240" w:lineRule="auto" w:before="91" w:after="0"/>
              <w:ind w:left="574" w:right="0" w:hanging="453"/>
              <w:jc w:val="left"/>
              <w:rPr>
                <w:sz w:val="22"/>
              </w:rPr>
            </w:pPr>
            <w:r>
              <w:rPr>
                <w:spacing w:val="-3"/>
                <w:sz w:val="22"/>
              </w:rPr>
              <w:t>机动车被依法注销登记的；</w:t>
            </w:r>
          </w:p>
          <w:p>
            <w:pPr>
              <w:pStyle w:val="TableParagraph"/>
              <w:numPr>
                <w:ilvl w:val="0"/>
                <w:numId w:val="34"/>
              </w:numPr>
              <w:tabs>
                <w:tab w:pos="575" w:val="left" w:leader="none"/>
              </w:tabs>
              <w:spacing w:line="240" w:lineRule="auto" w:before="93" w:after="0"/>
              <w:ind w:left="574" w:right="0" w:hanging="453"/>
              <w:jc w:val="left"/>
              <w:rPr>
                <w:sz w:val="22"/>
              </w:rPr>
            </w:pPr>
            <w:r>
              <w:rPr>
                <w:spacing w:val="-3"/>
                <w:sz w:val="22"/>
              </w:rPr>
              <w:t>未依法按时进行或通过机动车安全技术检验。</w:t>
            </w:r>
          </w:p>
        </w:tc>
      </w:tr>
      <w:tr>
        <w:trPr>
          <w:trHeight w:val="1140" w:hRule="atLeast"/>
        </w:trPr>
        <w:tc>
          <w:tcPr>
            <w:tcW w:w="811" w:type="dxa"/>
          </w:tcPr>
          <w:p>
            <w:pPr>
              <w:pStyle w:val="TableParagraph"/>
              <w:spacing w:before="196"/>
              <w:ind w:left="179" w:right="147"/>
              <w:jc w:val="center"/>
              <w:rPr>
                <w:b/>
                <w:sz w:val="22"/>
              </w:rPr>
            </w:pPr>
            <w:r>
              <w:rPr>
                <w:b/>
                <w:sz w:val="22"/>
              </w:rPr>
              <w:t>9.11</w:t>
            </w:r>
          </w:p>
        </w:tc>
        <w:tc>
          <w:tcPr>
            <w:tcW w:w="1613" w:type="dxa"/>
          </w:tcPr>
          <w:p>
            <w:pPr>
              <w:pStyle w:val="TableParagraph"/>
              <w:spacing w:before="196"/>
              <w:ind w:left="167"/>
              <w:rPr>
                <w:b/>
                <w:sz w:val="22"/>
              </w:rPr>
            </w:pPr>
            <w:r>
              <w:rPr>
                <w:b/>
                <w:w w:val="95"/>
                <w:sz w:val="22"/>
              </w:rPr>
              <w:t>机动车</w:t>
            </w:r>
          </w:p>
        </w:tc>
        <w:tc>
          <w:tcPr>
            <w:tcW w:w="7612" w:type="dxa"/>
          </w:tcPr>
          <w:p>
            <w:pPr>
              <w:pStyle w:val="TableParagraph"/>
              <w:spacing w:line="319" w:lineRule="auto" w:before="196"/>
              <w:ind w:left="121" w:right="197"/>
              <w:rPr>
                <w:sz w:val="22"/>
              </w:rPr>
            </w:pPr>
            <w:r>
              <w:rPr>
                <w:sz w:val="22"/>
              </w:rPr>
              <w:t>指以动力装置驱动或者牵引，供人员乘用或者用于运送物品以及进行工程专项作业的轮式车辆。</w:t>
            </w:r>
          </w:p>
        </w:tc>
      </w:tr>
      <w:tr>
        <w:trPr>
          <w:trHeight w:val="1629" w:hRule="atLeast"/>
        </w:trPr>
        <w:tc>
          <w:tcPr>
            <w:tcW w:w="811" w:type="dxa"/>
          </w:tcPr>
          <w:p>
            <w:pPr>
              <w:pStyle w:val="TableParagraph"/>
              <w:spacing w:before="197"/>
              <w:ind w:left="200"/>
              <w:rPr>
                <w:b/>
                <w:sz w:val="22"/>
              </w:rPr>
            </w:pPr>
            <w:r>
              <w:rPr>
                <w:b/>
                <w:sz w:val="22"/>
              </w:rPr>
              <w:t>9.12</w:t>
            </w:r>
          </w:p>
          <w:p>
            <w:pPr>
              <w:pStyle w:val="TableParagraph"/>
              <w:rPr>
                <w:sz w:val="22"/>
              </w:rPr>
            </w:pPr>
          </w:p>
          <w:p>
            <w:pPr>
              <w:pStyle w:val="TableParagraph"/>
              <w:rPr>
                <w:sz w:val="22"/>
              </w:rPr>
            </w:pPr>
          </w:p>
          <w:p>
            <w:pPr>
              <w:pStyle w:val="TableParagraph"/>
              <w:spacing w:before="1"/>
              <w:rPr>
                <w:sz w:val="21"/>
              </w:rPr>
            </w:pPr>
          </w:p>
          <w:p>
            <w:pPr>
              <w:pStyle w:val="TableParagraph"/>
              <w:spacing w:line="273" w:lineRule="exact"/>
              <w:ind w:left="200"/>
              <w:rPr>
                <w:b/>
                <w:sz w:val="22"/>
              </w:rPr>
            </w:pPr>
            <w:r>
              <w:rPr>
                <w:b/>
                <w:sz w:val="22"/>
              </w:rPr>
              <w:t>9.13</w:t>
            </w:r>
          </w:p>
        </w:tc>
        <w:tc>
          <w:tcPr>
            <w:tcW w:w="1613" w:type="dxa"/>
          </w:tcPr>
          <w:p>
            <w:pPr>
              <w:pStyle w:val="TableParagraph"/>
              <w:spacing w:before="197"/>
              <w:ind w:left="167"/>
              <w:rPr>
                <w:b/>
                <w:sz w:val="22"/>
              </w:rPr>
            </w:pPr>
            <w:r>
              <w:rPr>
                <w:b/>
                <w:w w:val="95"/>
                <w:sz w:val="22"/>
              </w:rPr>
              <w:t>遗传性疾病</w:t>
            </w:r>
          </w:p>
          <w:p>
            <w:pPr>
              <w:pStyle w:val="TableParagraph"/>
              <w:rPr>
                <w:sz w:val="22"/>
              </w:rPr>
            </w:pPr>
          </w:p>
          <w:p>
            <w:pPr>
              <w:pStyle w:val="TableParagraph"/>
              <w:rPr>
                <w:sz w:val="22"/>
              </w:rPr>
            </w:pPr>
          </w:p>
          <w:p>
            <w:pPr>
              <w:pStyle w:val="TableParagraph"/>
              <w:spacing w:before="1"/>
              <w:rPr>
                <w:sz w:val="21"/>
              </w:rPr>
            </w:pPr>
          </w:p>
          <w:p>
            <w:pPr>
              <w:pStyle w:val="TableParagraph"/>
              <w:spacing w:line="273" w:lineRule="exact"/>
              <w:ind w:left="167"/>
              <w:rPr>
                <w:b/>
                <w:sz w:val="22"/>
              </w:rPr>
            </w:pPr>
            <w:r>
              <w:rPr>
                <w:b/>
                <w:w w:val="95"/>
                <w:sz w:val="22"/>
              </w:rPr>
              <w:t>先天性畸形、</w:t>
            </w:r>
          </w:p>
        </w:tc>
        <w:tc>
          <w:tcPr>
            <w:tcW w:w="7612" w:type="dxa"/>
          </w:tcPr>
          <w:p>
            <w:pPr>
              <w:pStyle w:val="TableParagraph"/>
              <w:spacing w:line="319" w:lineRule="auto" w:before="197"/>
              <w:ind w:left="121" w:right="197"/>
              <w:rPr>
                <w:sz w:val="22"/>
              </w:rPr>
            </w:pPr>
            <w:r>
              <w:rPr>
                <w:sz w:val="22"/>
              </w:rPr>
              <w:t>指生殖细胞或受精卵的遗传物质（染色体和基因）发生突变或畸变所引起的疾病，通常具有由亲代传至后代的垂直传递的特征。</w:t>
            </w:r>
          </w:p>
          <w:p>
            <w:pPr>
              <w:pStyle w:val="TableParagraph"/>
              <w:spacing w:before="5"/>
              <w:rPr>
                <w:sz w:val="30"/>
              </w:rPr>
            </w:pPr>
          </w:p>
          <w:p>
            <w:pPr>
              <w:pStyle w:val="TableParagraph"/>
              <w:spacing w:line="273" w:lineRule="exact"/>
              <w:ind w:left="121"/>
              <w:rPr>
                <w:sz w:val="22"/>
              </w:rPr>
            </w:pPr>
            <w:r>
              <w:rPr>
                <w:sz w:val="22"/>
              </w:rPr>
              <w:t>被保险人出生时就具有的畸形、变形或染色体异常。先天性畸形、变形和染</w:t>
            </w:r>
          </w:p>
        </w:tc>
      </w:tr>
    </w:tbl>
    <w:p>
      <w:pPr>
        <w:spacing w:after="0" w:line="273" w:lineRule="exac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12"/>
        <w:gridCol w:w="7616"/>
      </w:tblGrid>
      <w:tr>
        <w:trPr>
          <w:trHeight w:val="870" w:hRule="atLeast"/>
        </w:trPr>
        <w:tc>
          <w:tcPr>
            <w:tcW w:w="811" w:type="dxa"/>
          </w:tcPr>
          <w:p>
            <w:pPr>
              <w:pStyle w:val="TableParagraph"/>
              <w:rPr>
                <w:rFonts w:ascii="Times New Roman"/>
                <w:sz w:val="22"/>
              </w:rPr>
            </w:pPr>
          </w:p>
        </w:tc>
        <w:tc>
          <w:tcPr>
            <w:tcW w:w="1612" w:type="dxa"/>
          </w:tcPr>
          <w:p>
            <w:pPr>
              <w:pStyle w:val="TableParagraph"/>
              <w:spacing w:line="216" w:lineRule="exact"/>
              <w:ind w:left="167"/>
              <w:rPr>
                <w:b/>
                <w:sz w:val="22"/>
              </w:rPr>
            </w:pPr>
            <w:r>
              <w:rPr>
                <w:b/>
                <w:w w:val="95"/>
                <w:sz w:val="22"/>
              </w:rPr>
              <w:t>变形或者染色</w:t>
            </w:r>
          </w:p>
          <w:p>
            <w:pPr>
              <w:pStyle w:val="TableParagraph"/>
              <w:spacing w:before="91"/>
              <w:ind w:left="167"/>
              <w:rPr>
                <w:b/>
                <w:sz w:val="22"/>
              </w:rPr>
            </w:pPr>
            <w:r>
              <w:rPr>
                <w:b/>
                <w:w w:val="95"/>
                <w:sz w:val="22"/>
              </w:rPr>
              <w:t>体异常</w:t>
            </w:r>
          </w:p>
        </w:tc>
        <w:tc>
          <w:tcPr>
            <w:tcW w:w="7616" w:type="dxa"/>
          </w:tcPr>
          <w:p>
            <w:pPr>
              <w:pStyle w:val="TableParagraph"/>
              <w:spacing w:line="216" w:lineRule="exact"/>
              <w:ind w:left="122"/>
              <w:rPr>
                <w:sz w:val="22"/>
              </w:rPr>
            </w:pPr>
            <w:r>
              <w:rPr>
                <w:sz w:val="22"/>
              </w:rPr>
              <w:t>色体异常依照世界卫生组织《疾病和有关健康问题的国际统计分类》（ICD-</w:t>
            </w:r>
          </w:p>
          <w:p>
            <w:pPr>
              <w:pStyle w:val="TableParagraph"/>
              <w:spacing w:before="91"/>
              <w:ind w:left="122"/>
              <w:rPr>
                <w:sz w:val="22"/>
              </w:rPr>
            </w:pPr>
            <w:r>
              <w:rPr>
                <w:sz w:val="22"/>
              </w:rPr>
              <w:t>10）确定。</w:t>
            </w:r>
          </w:p>
        </w:tc>
      </w:tr>
      <w:tr>
        <w:trPr>
          <w:trHeight w:val="1140" w:hRule="atLeast"/>
        </w:trPr>
        <w:tc>
          <w:tcPr>
            <w:tcW w:w="811" w:type="dxa"/>
          </w:tcPr>
          <w:p>
            <w:pPr>
              <w:pStyle w:val="TableParagraph"/>
              <w:spacing w:before="198"/>
              <w:ind w:left="179" w:right="147"/>
              <w:jc w:val="center"/>
              <w:rPr>
                <w:b/>
                <w:sz w:val="22"/>
              </w:rPr>
            </w:pPr>
            <w:r>
              <w:rPr>
                <w:b/>
                <w:sz w:val="22"/>
              </w:rPr>
              <w:t>9.14</w:t>
            </w:r>
          </w:p>
        </w:tc>
        <w:tc>
          <w:tcPr>
            <w:tcW w:w="1612" w:type="dxa"/>
          </w:tcPr>
          <w:p>
            <w:pPr>
              <w:pStyle w:val="TableParagraph"/>
              <w:spacing w:before="198"/>
              <w:ind w:left="167"/>
              <w:rPr>
                <w:b/>
                <w:sz w:val="22"/>
              </w:rPr>
            </w:pPr>
            <w:r>
              <w:rPr>
                <w:b/>
                <w:w w:val="95"/>
                <w:sz w:val="22"/>
              </w:rPr>
              <w:t>现金价值</w:t>
            </w:r>
          </w:p>
        </w:tc>
        <w:tc>
          <w:tcPr>
            <w:tcW w:w="7616" w:type="dxa"/>
          </w:tcPr>
          <w:p>
            <w:pPr>
              <w:pStyle w:val="TableParagraph"/>
              <w:spacing w:line="316" w:lineRule="auto" w:before="198"/>
              <w:ind w:left="122" w:right="200"/>
              <w:rPr>
                <w:sz w:val="22"/>
              </w:rPr>
            </w:pPr>
            <w:r>
              <w:rPr>
                <w:sz w:val="22"/>
              </w:rPr>
              <w:t>指保险合同所具有的价值，通常体现为解除合同时，根据精算原理计算的， 由我们退还的那部分金额。</w:t>
            </w:r>
          </w:p>
        </w:tc>
      </w:tr>
      <w:tr>
        <w:trPr>
          <w:trHeight w:val="759" w:hRule="atLeast"/>
        </w:trPr>
        <w:tc>
          <w:tcPr>
            <w:tcW w:w="811" w:type="dxa"/>
          </w:tcPr>
          <w:p>
            <w:pPr>
              <w:pStyle w:val="TableParagraph"/>
              <w:spacing w:before="198"/>
              <w:ind w:left="179" w:right="146"/>
              <w:jc w:val="center"/>
              <w:rPr>
                <w:b/>
                <w:sz w:val="22"/>
              </w:rPr>
            </w:pPr>
            <w:r>
              <w:rPr>
                <w:b/>
                <w:sz w:val="22"/>
              </w:rPr>
              <w:t>9.15</w:t>
            </w:r>
          </w:p>
        </w:tc>
        <w:tc>
          <w:tcPr>
            <w:tcW w:w="1612" w:type="dxa"/>
          </w:tcPr>
          <w:p>
            <w:pPr>
              <w:pStyle w:val="TableParagraph"/>
              <w:spacing w:before="198"/>
              <w:ind w:left="167"/>
              <w:rPr>
                <w:b/>
                <w:sz w:val="22"/>
              </w:rPr>
            </w:pPr>
            <w:r>
              <w:rPr>
                <w:b/>
                <w:w w:val="95"/>
                <w:sz w:val="22"/>
              </w:rPr>
              <w:t>保险事故</w:t>
            </w:r>
          </w:p>
        </w:tc>
        <w:tc>
          <w:tcPr>
            <w:tcW w:w="7616" w:type="dxa"/>
          </w:tcPr>
          <w:p>
            <w:pPr>
              <w:pStyle w:val="TableParagraph"/>
              <w:spacing w:before="198"/>
              <w:ind w:left="122"/>
              <w:rPr>
                <w:sz w:val="22"/>
              </w:rPr>
            </w:pPr>
            <w:r>
              <w:rPr>
                <w:sz w:val="22"/>
              </w:rPr>
              <w:t>指本合同约定的保险责任范围内的事故。</w:t>
            </w:r>
          </w:p>
        </w:tc>
      </w:tr>
      <w:tr>
        <w:trPr>
          <w:trHeight w:val="1140" w:hRule="atLeast"/>
        </w:trPr>
        <w:tc>
          <w:tcPr>
            <w:tcW w:w="811" w:type="dxa"/>
          </w:tcPr>
          <w:p>
            <w:pPr>
              <w:pStyle w:val="TableParagraph"/>
              <w:spacing w:before="196"/>
              <w:ind w:left="179" w:right="146"/>
              <w:jc w:val="center"/>
              <w:rPr>
                <w:b/>
                <w:sz w:val="22"/>
              </w:rPr>
            </w:pPr>
            <w:r>
              <w:rPr>
                <w:b/>
                <w:sz w:val="22"/>
              </w:rPr>
              <w:t>9.16</w:t>
            </w:r>
          </w:p>
        </w:tc>
        <w:tc>
          <w:tcPr>
            <w:tcW w:w="1612" w:type="dxa"/>
          </w:tcPr>
          <w:p>
            <w:pPr>
              <w:pStyle w:val="TableParagraph"/>
              <w:spacing w:before="196"/>
              <w:ind w:left="167"/>
              <w:rPr>
                <w:b/>
                <w:sz w:val="22"/>
              </w:rPr>
            </w:pPr>
            <w:r>
              <w:rPr>
                <w:b/>
                <w:w w:val="95"/>
                <w:sz w:val="22"/>
              </w:rPr>
              <w:t>保单贷款利率</w:t>
            </w:r>
          </w:p>
        </w:tc>
        <w:tc>
          <w:tcPr>
            <w:tcW w:w="7616" w:type="dxa"/>
          </w:tcPr>
          <w:p>
            <w:pPr>
              <w:pStyle w:val="TableParagraph"/>
              <w:spacing w:line="319" w:lineRule="auto" w:before="196"/>
              <w:ind w:left="122" w:right="200"/>
              <w:rPr>
                <w:sz w:val="22"/>
              </w:rPr>
            </w:pPr>
            <w:r>
              <w:rPr>
                <w:sz w:val="22"/>
              </w:rPr>
              <w:t>指按“计息期间开始当月中国人民银行第一个营业日颁布的人民币六个月期贷款利率与4.5%之较大值”计算，本保单贷款利率为年利率。</w:t>
            </w:r>
          </w:p>
        </w:tc>
      </w:tr>
      <w:tr>
        <w:trPr>
          <w:trHeight w:val="759" w:hRule="atLeast"/>
        </w:trPr>
        <w:tc>
          <w:tcPr>
            <w:tcW w:w="811" w:type="dxa"/>
          </w:tcPr>
          <w:p>
            <w:pPr>
              <w:pStyle w:val="TableParagraph"/>
              <w:spacing w:before="197"/>
              <w:ind w:left="179" w:right="146"/>
              <w:jc w:val="center"/>
              <w:rPr>
                <w:b/>
                <w:sz w:val="22"/>
              </w:rPr>
            </w:pPr>
            <w:r>
              <w:rPr>
                <w:b/>
                <w:sz w:val="22"/>
              </w:rPr>
              <w:t>9.17</w:t>
            </w:r>
          </w:p>
        </w:tc>
        <w:tc>
          <w:tcPr>
            <w:tcW w:w="1612" w:type="dxa"/>
          </w:tcPr>
          <w:p>
            <w:pPr>
              <w:pStyle w:val="TableParagraph"/>
              <w:spacing w:before="197"/>
              <w:ind w:left="167"/>
              <w:rPr>
                <w:b/>
                <w:sz w:val="22"/>
              </w:rPr>
            </w:pPr>
            <w:r>
              <w:rPr>
                <w:b/>
                <w:w w:val="95"/>
                <w:sz w:val="22"/>
              </w:rPr>
              <w:t>净保险费</w:t>
            </w:r>
          </w:p>
        </w:tc>
        <w:tc>
          <w:tcPr>
            <w:tcW w:w="7616" w:type="dxa"/>
          </w:tcPr>
          <w:p>
            <w:pPr>
              <w:pStyle w:val="TableParagraph"/>
              <w:spacing w:before="197"/>
              <w:ind w:left="122"/>
              <w:rPr>
                <w:sz w:val="22"/>
              </w:rPr>
            </w:pPr>
            <w:r>
              <w:rPr>
                <w:sz w:val="22"/>
              </w:rPr>
              <w:t>指不计算公司营业费用、佣金等其他费用的保险费。</w:t>
            </w:r>
          </w:p>
        </w:tc>
      </w:tr>
      <w:tr>
        <w:trPr>
          <w:trHeight w:val="707" w:hRule="atLeast"/>
        </w:trPr>
        <w:tc>
          <w:tcPr>
            <w:tcW w:w="811" w:type="dxa"/>
          </w:tcPr>
          <w:p>
            <w:pPr>
              <w:pStyle w:val="TableParagraph"/>
              <w:spacing w:before="198"/>
              <w:ind w:left="179" w:right="146"/>
              <w:jc w:val="center"/>
              <w:rPr>
                <w:b/>
                <w:sz w:val="22"/>
              </w:rPr>
            </w:pPr>
            <w:r>
              <w:rPr>
                <w:b/>
                <w:sz w:val="22"/>
              </w:rPr>
              <w:t>9.18</w:t>
            </w:r>
          </w:p>
        </w:tc>
        <w:tc>
          <w:tcPr>
            <w:tcW w:w="1612" w:type="dxa"/>
          </w:tcPr>
          <w:p>
            <w:pPr>
              <w:pStyle w:val="TableParagraph"/>
              <w:spacing w:before="198"/>
              <w:ind w:left="167"/>
              <w:rPr>
                <w:b/>
                <w:sz w:val="22"/>
              </w:rPr>
            </w:pPr>
            <w:r>
              <w:rPr>
                <w:b/>
                <w:w w:val="95"/>
                <w:sz w:val="22"/>
              </w:rPr>
              <w:t>意外伤害事故</w:t>
            </w:r>
          </w:p>
        </w:tc>
        <w:tc>
          <w:tcPr>
            <w:tcW w:w="7616" w:type="dxa"/>
          </w:tcPr>
          <w:p>
            <w:pPr>
              <w:pStyle w:val="TableParagraph"/>
              <w:spacing w:before="198"/>
              <w:ind w:left="122"/>
              <w:rPr>
                <w:sz w:val="22"/>
              </w:rPr>
            </w:pPr>
            <w:r>
              <w:rPr>
                <w:sz w:val="22"/>
              </w:rPr>
              <w:t>指外来的、突发的、非本意的、非由疾病引起的使身体受到伤害的客观事件。</w:t>
            </w:r>
          </w:p>
        </w:tc>
      </w:tr>
      <w:tr>
        <w:trPr>
          <w:trHeight w:val="1088" w:hRule="atLeast"/>
        </w:trPr>
        <w:tc>
          <w:tcPr>
            <w:tcW w:w="811" w:type="dxa"/>
          </w:tcPr>
          <w:p>
            <w:pPr>
              <w:pStyle w:val="TableParagraph"/>
              <w:spacing w:before="145"/>
              <w:ind w:left="179" w:right="147"/>
              <w:jc w:val="center"/>
              <w:rPr>
                <w:b/>
                <w:sz w:val="22"/>
              </w:rPr>
            </w:pPr>
            <w:r>
              <w:rPr>
                <w:b/>
                <w:sz w:val="22"/>
              </w:rPr>
              <w:t>9.19</w:t>
            </w:r>
          </w:p>
        </w:tc>
        <w:tc>
          <w:tcPr>
            <w:tcW w:w="1612" w:type="dxa"/>
          </w:tcPr>
          <w:p>
            <w:pPr>
              <w:pStyle w:val="TableParagraph"/>
              <w:spacing w:line="319" w:lineRule="auto" w:before="145"/>
              <w:ind w:left="167" w:right="118"/>
              <w:rPr>
                <w:b/>
                <w:sz w:val="22"/>
              </w:rPr>
            </w:pPr>
            <w:r>
              <w:rPr>
                <w:b/>
                <w:sz w:val="22"/>
              </w:rPr>
              <w:t>肢体机能完全</w:t>
            </w:r>
            <w:r>
              <w:rPr>
                <w:b/>
                <w:w w:val="95"/>
                <w:sz w:val="22"/>
              </w:rPr>
              <w:t>丧失</w:t>
            </w:r>
          </w:p>
        </w:tc>
        <w:tc>
          <w:tcPr>
            <w:tcW w:w="7616" w:type="dxa"/>
          </w:tcPr>
          <w:p>
            <w:pPr>
              <w:pStyle w:val="TableParagraph"/>
              <w:spacing w:line="319" w:lineRule="auto" w:before="145"/>
              <w:ind w:left="122" w:right="232"/>
              <w:rPr>
                <w:sz w:val="22"/>
              </w:rPr>
            </w:pPr>
            <w:r>
              <w:rPr>
                <w:sz w:val="22"/>
              </w:rPr>
              <w:t>指肢体的三大关节中的两大关节僵硬，或不能随意识活动。肢体是指包括肩关节的整个上肢包括髋关节的整个下肢。</w:t>
            </w:r>
          </w:p>
        </w:tc>
      </w:tr>
      <w:tr>
        <w:trPr>
          <w:trHeight w:val="1900" w:hRule="atLeast"/>
        </w:trPr>
        <w:tc>
          <w:tcPr>
            <w:tcW w:w="811" w:type="dxa"/>
          </w:tcPr>
          <w:p>
            <w:pPr>
              <w:pStyle w:val="TableParagraph"/>
              <w:spacing w:before="196"/>
              <w:ind w:left="179" w:right="147"/>
              <w:jc w:val="center"/>
              <w:rPr>
                <w:b/>
                <w:sz w:val="22"/>
              </w:rPr>
            </w:pPr>
            <w:r>
              <w:rPr>
                <w:b/>
                <w:sz w:val="22"/>
              </w:rPr>
              <w:t>9.20</w:t>
            </w:r>
          </w:p>
        </w:tc>
        <w:tc>
          <w:tcPr>
            <w:tcW w:w="1612" w:type="dxa"/>
          </w:tcPr>
          <w:p>
            <w:pPr>
              <w:pStyle w:val="TableParagraph"/>
              <w:spacing w:line="316" w:lineRule="auto" w:before="196"/>
              <w:ind w:left="167" w:right="118"/>
              <w:jc w:val="both"/>
              <w:rPr>
                <w:b/>
                <w:sz w:val="22"/>
              </w:rPr>
            </w:pPr>
            <w:r>
              <w:rPr>
                <w:b/>
                <w:sz w:val="22"/>
              </w:rPr>
              <w:t>语言能力或咀嚼吞咽能力完</w:t>
            </w:r>
            <w:r>
              <w:rPr>
                <w:b/>
                <w:w w:val="95"/>
                <w:sz w:val="22"/>
              </w:rPr>
              <w:t>全丧失</w:t>
            </w:r>
          </w:p>
        </w:tc>
        <w:tc>
          <w:tcPr>
            <w:tcW w:w="7616" w:type="dxa"/>
          </w:tcPr>
          <w:p>
            <w:pPr>
              <w:pStyle w:val="TableParagraph"/>
              <w:spacing w:line="316" w:lineRule="auto" w:before="196"/>
              <w:ind w:left="122" w:right="232"/>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11" w:type="dxa"/>
          </w:tcPr>
          <w:p>
            <w:pPr>
              <w:pStyle w:val="TableParagraph"/>
              <w:spacing w:before="198"/>
              <w:ind w:left="179" w:right="147"/>
              <w:jc w:val="center"/>
              <w:rPr>
                <w:b/>
                <w:sz w:val="22"/>
              </w:rPr>
            </w:pPr>
            <w:r>
              <w:rPr>
                <w:b/>
                <w:sz w:val="22"/>
              </w:rPr>
              <w:t>9.21</w:t>
            </w:r>
          </w:p>
        </w:tc>
        <w:tc>
          <w:tcPr>
            <w:tcW w:w="1612" w:type="dxa"/>
          </w:tcPr>
          <w:p>
            <w:pPr>
              <w:pStyle w:val="TableParagraph"/>
              <w:spacing w:line="316" w:lineRule="auto" w:before="198"/>
              <w:ind w:left="167" w:right="118"/>
              <w:rPr>
                <w:b/>
                <w:sz w:val="22"/>
              </w:rPr>
            </w:pPr>
            <w:r>
              <w:rPr>
                <w:b/>
                <w:sz w:val="22"/>
              </w:rPr>
              <w:t>六项基本日常</w:t>
            </w:r>
            <w:r>
              <w:rPr>
                <w:b/>
                <w:w w:val="95"/>
                <w:sz w:val="22"/>
              </w:rPr>
              <w:t>生活活动</w:t>
            </w:r>
          </w:p>
        </w:tc>
        <w:tc>
          <w:tcPr>
            <w:tcW w:w="7616" w:type="dxa"/>
          </w:tcPr>
          <w:p>
            <w:pPr>
              <w:pStyle w:val="TableParagraph"/>
              <w:spacing w:before="198"/>
              <w:ind w:left="122"/>
              <w:rPr>
                <w:sz w:val="22"/>
              </w:rPr>
            </w:pPr>
            <w:r>
              <w:rPr>
                <w:sz w:val="22"/>
              </w:rPr>
              <w:t>六项基本日常生活活动是指：</w:t>
            </w:r>
          </w:p>
          <w:p>
            <w:pPr>
              <w:pStyle w:val="TableParagraph"/>
              <w:tabs>
                <w:tab w:pos="609" w:val="left" w:leader="none"/>
              </w:tabs>
              <w:spacing w:before="91"/>
              <w:ind w:left="184"/>
              <w:rPr>
                <w:sz w:val="22"/>
              </w:rPr>
            </w:pPr>
            <w:r>
              <w:rPr>
                <w:sz w:val="22"/>
              </w:rPr>
              <w:t>①</w:t>
              <w:tab/>
            </w:r>
            <w:r>
              <w:rPr>
                <w:spacing w:val="-3"/>
                <w:sz w:val="22"/>
              </w:rPr>
              <w:t>穿衣：自己能够穿衣及脱衣；</w:t>
            </w:r>
          </w:p>
          <w:p>
            <w:pPr>
              <w:pStyle w:val="TableParagraph"/>
              <w:tabs>
                <w:tab w:pos="609" w:val="left" w:leader="none"/>
              </w:tabs>
              <w:spacing w:before="93"/>
              <w:ind w:left="184"/>
              <w:rPr>
                <w:sz w:val="22"/>
              </w:rPr>
            </w:pPr>
            <w:r>
              <w:rPr>
                <w:sz w:val="22"/>
              </w:rPr>
              <w:t>②</w:t>
              <w:tab/>
            </w:r>
            <w:r>
              <w:rPr>
                <w:spacing w:val="-3"/>
                <w:sz w:val="22"/>
              </w:rPr>
              <w:t>移动：自己从一个房间到另一个房间；</w:t>
            </w:r>
          </w:p>
          <w:p>
            <w:pPr>
              <w:pStyle w:val="TableParagraph"/>
              <w:tabs>
                <w:tab w:pos="609" w:val="left" w:leader="none"/>
              </w:tabs>
              <w:spacing w:before="91"/>
              <w:ind w:left="184"/>
              <w:rPr>
                <w:sz w:val="22"/>
              </w:rPr>
            </w:pPr>
            <w:r>
              <w:rPr>
                <w:sz w:val="22"/>
              </w:rPr>
              <w:t>③</w:t>
              <w:tab/>
            </w:r>
            <w:r>
              <w:rPr>
                <w:spacing w:val="-3"/>
                <w:sz w:val="22"/>
              </w:rPr>
              <w:t>行动：自己上下床或上下轮椅；</w:t>
            </w:r>
          </w:p>
          <w:p>
            <w:pPr>
              <w:pStyle w:val="TableParagraph"/>
              <w:tabs>
                <w:tab w:pos="609" w:val="left" w:leader="none"/>
              </w:tabs>
              <w:spacing w:before="91"/>
              <w:ind w:left="184"/>
              <w:rPr>
                <w:sz w:val="22"/>
              </w:rPr>
            </w:pPr>
            <w:r>
              <w:rPr>
                <w:sz w:val="22"/>
              </w:rPr>
              <w:t>④</w:t>
              <w:tab/>
            </w:r>
            <w:r>
              <w:rPr>
                <w:spacing w:val="-3"/>
                <w:sz w:val="22"/>
              </w:rPr>
              <w:t>如厕：自己控制进行大小便；</w:t>
            </w:r>
          </w:p>
          <w:p>
            <w:pPr>
              <w:pStyle w:val="TableParagraph"/>
              <w:tabs>
                <w:tab w:pos="609" w:val="left" w:leader="none"/>
              </w:tabs>
              <w:spacing w:before="93"/>
              <w:ind w:left="184"/>
              <w:rPr>
                <w:sz w:val="22"/>
              </w:rPr>
            </w:pPr>
            <w:r>
              <w:rPr>
                <w:sz w:val="22"/>
              </w:rPr>
              <w:t>⑤</w:t>
              <w:tab/>
            </w:r>
            <w:r>
              <w:rPr>
                <w:spacing w:val="-3"/>
                <w:sz w:val="22"/>
              </w:rPr>
              <w:t>进食：自己从已准备好的碗或碟中取食物放入口中；</w:t>
            </w:r>
          </w:p>
          <w:p>
            <w:pPr>
              <w:pStyle w:val="TableParagraph"/>
              <w:tabs>
                <w:tab w:pos="609" w:val="left" w:leader="none"/>
              </w:tabs>
              <w:spacing w:before="91"/>
              <w:ind w:left="184"/>
              <w:rPr>
                <w:sz w:val="22"/>
              </w:rPr>
            </w:pPr>
            <w:r>
              <w:rPr>
                <w:sz w:val="22"/>
              </w:rPr>
              <w:t>⑥</w:t>
              <w:tab/>
            </w:r>
            <w:r>
              <w:rPr>
                <w:spacing w:val="-3"/>
                <w:sz w:val="22"/>
              </w:rPr>
              <w:t>洗澡：自己进行淋浴或盆浴。</w:t>
            </w:r>
          </w:p>
        </w:tc>
      </w:tr>
      <w:tr>
        <w:trPr>
          <w:trHeight w:val="870" w:hRule="atLeast"/>
        </w:trPr>
        <w:tc>
          <w:tcPr>
            <w:tcW w:w="811" w:type="dxa"/>
          </w:tcPr>
          <w:p>
            <w:pPr>
              <w:pStyle w:val="TableParagraph"/>
              <w:spacing w:before="1"/>
              <w:rPr>
                <w:sz w:val="15"/>
              </w:rPr>
            </w:pPr>
          </w:p>
          <w:p>
            <w:pPr>
              <w:pStyle w:val="TableParagraph"/>
              <w:spacing w:before="1"/>
              <w:ind w:left="179" w:right="147"/>
              <w:jc w:val="center"/>
              <w:rPr>
                <w:b/>
                <w:sz w:val="22"/>
              </w:rPr>
            </w:pPr>
            <w:r>
              <w:rPr>
                <w:b/>
                <w:sz w:val="22"/>
              </w:rPr>
              <w:t>9.22</w:t>
            </w:r>
          </w:p>
        </w:tc>
        <w:tc>
          <w:tcPr>
            <w:tcW w:w="1612" w:type="dxa"/>
          </w:tcPr>
          <w:p>
            <w:pPr>
              <w:pStyle w:val="TableParagraph"/>
              <w:spacing w:before="1"/>
              <w:rPr>
                <w:sz w:val="15"/>
              </w:rPr>
            </w:pPr>
          </w:p>
          <w:p>
            <w:pPr>
              <w:pStyle w:val="TableParagraph"/>
              <w:spacing w:before="1"/>
              <w:ind w:left="167"/>
              <w:rPr>
                <w:b/>
                <w:sz w:val="22"/>
              </w:rPr>
            </w:pPr>
            <w:r>
              <w:rPr>
                <w:b/>
                <w:w w:val="95"/>
                <w:sz w:val="22"/>
              </w:rPr>
              <w:t>永久不可逆</w:t>
            </w:r>
          </w:p>
        </w:tc>
        <w:tc>
          <w:tcPr>
            <w:tcW w:w="7616" w:type="dxa"/>
          </w:tcPr>
          <w:p>
            <w:pPr>
              <w:pStyle w:val="TableParagraph"/>
              <w:spacing w:line="380" w:lineRule="atLeast" w:before="106"/>
              <w:ind w:left="122" w:right="196"/>
              <w:rPr>
                <w:sz w:val="22"/>
              </w:rPr>
            </w:pPr>
            <w:r>
              <w:rPr>
                <w:sz w:val="22"/>
              </w:rPr>
              <w:t>永久不可逆系指自疾病确诊或意外伤害发生之日起，经过积极治疗180天后，仍无法通过现有医疗手段恢复。</w:t>
            </w:r>
          </w:p>
        </w:tc>
      </w:tr>
    </w:tbl>
    <w:sectPr>
      <w:pgSz w:w="11910" w:h="16840"/>
      <w:pgMar w:top="15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574" w:hanging="454"/>
        <w:jc w:val="left"/>
      </w:pPr>
      <w:rPr>
        <w:rFonts w:hint="default" w:ascii="宋体" w:hAnsi="宋体" w:eastAsia="宋体" w:cs="宋体"/>
        <w:w w:val="100"/>
        <w:sz w:val="22"/>
        <w:szCs w:val="22"/>
      </w:rPr>
    </w:lvl>
    <w:lvl w:ilvl="1">
      <w:start w:val="0"/>
      <w:numFmt w:val="bullet"/>
      <w:lvlText w:val="•"/>
      <w:lvlJc w:val="left"/>
      <w:pPr>
        <w:ind w:left="1283" w:hanging="454"/>
      </w:pPr>
      <w:rPr>
        <w:rFonts w:hint="default"/>
      </w:rPr>
    </w:lvl>
    <w:lvl w:ilvl="2">
      <w:start w:val="0"/>
      <w:numFmt w:val="bullet"/>
      <w:lvlText w:val="•"/>
      <w:lvlJc w:val="left"/>
      <w:pPr>
        <w:ind w:left="1986" w:hanging="454"/>
      </w:pPr>
      <w:rPr>
        <w:rFonts w:hint="default"/>
      </w:rPr>
    </w:lvl>
    <w:lvl w:ilvl="3">
      <w:start w:val="0"/>
      <w:numFmt w:val="bullet"/>
      <w:lvlText w:val="•"/>
      <w:lvlJc w:val="left"/>
      <w:pPr>
        <w:ind w:left="2689"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5" w:hanging="454"/>
      </w:pPr>
      <w:rPr>
        <w:rFonts w:hint="default"/>
      </w:rPr>
    </w:lvl>
  </w:abstractNum>
  <w:abstractNum w:abstractNumId="32">
    <w:multiLevelType w:val="hybridMultilevel"/>
    <w:lvl w:ilvl="0">
      <w:start w:val="1"/>
      <w:numFmt w:val="decimal"/>
      <w:lvlText w:val="(%1)"/>
      <w:lvlJc w:val="left"/>
      <w:pPr>
        <w:ind w:left="574" w:hanging="454"/>
        <w:jc w:val="left"/>
      </w:pPr>
      <w:rPr>
        <w:rFonts w:hint="default" w:ascii="宋体" w:hAnsi="宋体" w:eastAsia="宋体" w:cs="宋体"/>
        <w:w w:val="100"/>
        <w:sz w:val="22"/>
        <w:szCs w:val="22"/>
      </w:rPr>
    </w:lvl>
    <w:lvl w:ilvl="1">
      <w:start w:val="0"/>
      <w:numFmt w:val="bullet"/>
      <w:lvlText w:val="•"/>
      <w:lvlJc w:val="left"/>
      <w:pPr>
        <w:ind w:left="1283" w:hanging="454"/>
      </w:pPr>
      <w:rPr>
        <w:rFonts w:hint="default"/>
      </w:rPr>
    </w:lvl>
    <w:lvl w:ilvl="2">
      <w:start w:val="0"/>
      <w:numFmt w:val="bullet"/>
      <w:lvlText w:val="•"/>
      <w:lvlJc w:val="left"/>
      <w:pPr>
        <w:ind w:left="1986" w:hanging="454"/>
      </w:pPr>
      <w:rPr>
        <w:rFonts w:hint="default"/>
      </w:rPr>
    </w:lvl>
    <w:lvl w:ilvl="3">
      <w:start w:val="0"/>
      <w:numFmt w:val="bullet"/>
      <w:lvlText w:val="•"/>
      <w:lvlJc w:val="left"/>
      <w:pPr>
        <w:ind w:left="2689"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5" w:hanging="454"/>
      </w:pPr>
      <w:rPr>
        <w:rFonts w:hint="default"/>
      </w:rPr>
    </w:lvl>
  </w:abstractNum>
  <w:abstractNum w:abstractNumId="31">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741" w:hanging="222"/>
      </w:pPr>
      <w:rPr>
        <w:rFonts w:hint="default" w:ascii="宋体" w:hAnsi="宋体" w:eastAsia="宋体" w:cs="宋体"/>
        <w:w w:val="100"/>
        <w:sz w:val="22"/>
        <w:szCs w:val="22"/>
      </w:rPr>
    </w:lvl>
    <w:lvl w:ilvl="2">
      <w:start w:val="0"/>
      <w:numFmt w:val="bullet"/>
      <w:lvlText w:val="•"/>
      <w:lvlJc w:val="left"/>
      <w:pPr>
        <w:ind w:left="1499" w:hanging="222"/>
      </w:pPr>
      <w:rPr>
        <w:rFonts w:hint="default"/>
      </w:rPr>
    </w:lvl>
    <w:lvl w:ilvl="3">
      <w:start w:val="0"/>
      <w:numFmt w:val="bullet"/>
      <w:lvlText w:val="•"/>
      <w:lvlJc w:val="left"/>
      <w:pPr>
        <w:ind w:left="2258" w:hanging="222"/>
      </w:pPr>
      <w:rPr>
        <w:rFonts w:hint="default"/>
      </w:rPr>
    </w:lvl>
    <w:lvl w:ilvl="4">
      <w:start w:val="0"/>
      <w:numFmt w:val="bullet"/>
      <w:lvlText w:val="•"/>
      <w:lvlJc w:val="left"/>
      <w:pPr>
        <w:ind w:left="3018" w:hanging="222"/>
      </w:pPr>
      <w:rPr>
        <w:rFonts w:hint="default"/>
      </w:rPr>
    </w:lvl>
    <w:lvl w:ilvl="5">
      <w:start w:val="0"/>
      <w:numFmt w:val="bullet"/>
      <w:lvlText w:val="•"/>
      <w:lvlJc w:val="left"/>
      <w:pPr>
        <w:ind w:left="3777" w:hanging="222"/>
      </w:pPr>
      <w:rPr>
        <w:rFonts w:hint="default"/>
      </w:rPr>
    </w:lvl>
    <w:lvl w:ilvl="6">
      <w:start w:val="0"/>
      <w:numFmt w:val="bullet"/>
      <w:lvlText w:val="•"/>
      <w:lvlJc w:val="left"/>
      <w:pPr>
        <w:ind w:left="4537" w:hanging="222"/>
      </w:pPr>
      <w:rPr>
        <w:rFonts w:hint="default"/>
      </w:rPr>
    </w:lvl>
    <w:lvl w:ilvl="7">
      <w:start w:val="0"/>
      <w:numFmt w:val="bullet"/>
      <w:lvlText w:val="•"/>
      <w:lvlJc w:val="left"/>
      <w:pPr>
        <w:ind w:left="5296" w:hanging="222"/>
      </w:pPr>
      <w:rPr>
        <w:rFonts w:hint="default"/>
      </w:rPr>
    </w:lvl>
    <w:lvl w:ilvl="8">
      <w:start w:val="0"/>
      <w:numFmt w:val="bullet"/>
      <w:lvlText w:val="•"/>
      <w:lvlJc w:val="left"/>
      <w:pPr>
        <w:ind w:left="6056" w:hanging="222"/>
      </w:pPr>
      <w:rPr>
        <w:rFonts w:hint="default"/>
      </w:rPr>
    </w:lvl>
  </w:abstractNum>
  <w:abstractNum w:abstractNumId="30">
    <w:multiLevelType w:val="hybridMultilevel"/>
    <w:lvl w:ilvl="0">
      <w:start w:val="1"/>
      <w:numFmt w:val="decimal"/>
      <w:lvlText w:val="(%1)"/>
      <w:lvlJc w:val="left"/>
      <w:pPr>
        <w:ind w:left="535" w:hanging="420"/>
        <w:jc w:val="left"/>
      </w:pPr>
      <w:rPr>
        <w:rFonts w:hint="default" w:ascii="宋体" w:hAnsi="宋体" w:eastAsia="宋体" w:cs="宋体"/>
        <w:w w:val="100"/>
        <w:sz w:val="22"/>
        <w:szCs w:val="22"/>
      </w:rPr>
    </w:lvl>
    <w:lvl w:ilvl="1">
      <w:start w:val="0"/>
      <w:numFmt w:val="bullet"/>
      <w:lvlText w:val="•"/>
      <w:lvlJc w:val="left"/>
      <w:pPr>
        <w:ind w:left="1238" w:hanging="420"/>
      </w:pPr>
      <w:rPr>
        <w:rFonts w:hint="default"/>
      </w:rPr>
    </w:lvl>
    <w:lvl w:ilvl="2">
      <w:start w:val="0"/>
      <w:numFmt w:val="bullet"/>
      <w:lvlText w:val="•"/>
      <w:lvlJc w:val="left"/>
      <w:pPr>
        <w:ind w:left="1936" w:hanging="420"/>
      </w:pPr>
      <w:rPr>
        <w:rFonts w:hint="default"/>
      </w:rPr>
    </w:lvl>
    <w:lvl w:ilvl="3">
      <w:start w:val="0"/>
      <w:numFmt w:val="bullet"/>
      <w:lvlText w:val="•"/>
      <w:lvlJc w:val="left"/>
      <w:pPr>
        <w:ind w:left="2635"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32" w:hanging="420"/>
      </w:pPr>
      <w:rPr>
        <w:rFonts w:hint="default"/>
      </w:rPr>
    </w:lvl>
    <w:lvl w:ilvl="6">
      <w:start w:val="0"/>
      <w:numFmt w:val="bullet"/>
      <w:lvlText w:val="•"/>
      <w:lvlJc w:val="left"/>
      <w:pPr>
        <w:ind w:left="4730" w:hanging="420"/>
      </w:pPr>
      <w:rPr>
        <w:rFonts w:hint="default"/>
      </w:rPr>
    </w:lvl>
    <w:lvl w:ilvl="7">
      <w:start w:val="0"/>
      <w:numFmt w:val="bullet"/>
      <w:lvlText w:val="•"/>
      <w:lvlJc w:val="left"/>
      <w:pPr>
        <w:ind w:left="5429" w:hanging="420"/>
      </w:pPr>
      <w:rPr>
        <w:rFonts w:hint="default"/>
      </w:rPr>
    </w:lvl>
    <w:lvl w:ilvl="8">
      <w:start w:val="0"/>
      <w:numFmt w:val="bullet"/>
      <w:lvlText w:val="•"/>
      <w:lvlJc w:val="left"/>
      <w:pPr>
        <w:ind w:left="6127" w:hanging="420"/>
      </w:pPr>
      <w:rPr>
        <w:rFonts w:hint="default"/>
      </w:rPr>
    </w:lvl>
  </w:abstractNum>
  <w:abstractNum w:abstractNumId="29">
    <w:multiLevelType w:val="hybridMultilevel"/>
    <w:lvl w:ilvl="0">
      <w:start w:val="1"/>
      <w:numFmt w:val="decimal"/>
      <w:lvlText w:val="(%1)"/>
      <w:lvlJc w:val="left"/>
      <w:pPr>
        <w:ind w:left="535" w:hanging="420"/>
        <w:jc w:val="left"/>
      </w:pPr>
      <w:rPr>
        <w:rFonts w:hint="default" w:ascii="宋体" w:hAnsi="宋体" w:eastAsia="宋体" w:cs="宋体"/>
        <w:w w:val="100"/>
        <w:sz w:val="22"/>
        <w:szCs w:val="22"/>
      </w:rPr>
    </w:lvl>
    <w:lvl w:ilvl="1">
      <w:start w:val="0"/>
      <w:numFmt w:val="bullet"/>
      <w:lvlText w:val="•"/>
      <w:lvlJc w:val="left"/>
      <w:pPr>
        <w:ind w:left="1238" w:hanging="420"/>
      </w:pPr>
      <w:rPr>
        <w:rFonts w:hint="default"/>
      </w:rPr>
    </w:lvl>
    <w:lvl w:ilvl="2">
      <w:start w:val="0"/>
      <w:numFmt w:val="bullet"/>
      <w:lvlText w:val="•"/>
      <w:lvlJc w:val="left"/>
      <w:pPr>
        <w:ind w:left="1936" w:hanging="420"/>
      </w:pPr>
      <w:rPr>
        <w:rFonts w:hint="default"/>
      </w:rPr>
    </w:lvl>
    <w:lvl w:ilvl="3">
      <w:start w:val="0"/>
      <w:numFmt w:val="bullet"/>
      <w:lvlText w:val="•"/>
      <w:lvlJc w:val="left"/>
      <w:pPr>
        <w:ind w:left="2635"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32" w:hanging="420"/>
      </w:pPr>
      <w:rPr>
        <w:rFonts w:hint="default"/>
      </w:rPr>
    </w:lvl>
    <w:lvl w:ilvl="6">
      <w:start w:val="0"/>
      <w:numFmt w:val="bullet"/>
      <w:lvlText w:val="•"/>
      <w:lvlJc w:val="left"/>
      <w:pPr>
        <w:ind w:left="4730" w:hanging="420"/>
      </w:pPr>
      <w:rPr>
        <w:rFonts w:hint="default"/>
      </w:rPr>
    </w:lvl>
    <w:lvl w:ilvl="7">
      <w:start w:val="0"/>
      <w:numFmt w:val="bullet"/>
      <w:lvlText w:val="•"/>
      <w:lvlJc w:val="left"/>
      <w:pPr>
        <w:ind w:left="5429" w:hanging="420"/>
      </w:pPr>
      <w:rPr>
        <w:rFonts w:hint="default"/>
      </w:rPr>
    </w:lvl>
    <w:lvl w:ilvl="8">
      <w:start w:val="0"/>
      <w:numFmt w:val="bullet"/>
      <w:lvlText w:val="•"/>
      <w:lvlJc w:val="left"/>
      <w:pPr>
        <w:ind w:left="6127" w:hanging="420"/>
      </w:pPr>
      <w:rPr>
        <w:rFonts w:hint="default"/>
      </w:rPr>
    </w:lvl>
  </w:abstractNum>
  <w:abstractNum w:abstractNumId="28">
    <w:multiLevelType w:val="hybridMultilevel"/>
    <w:lvl w:ilvl="0">
      <w:start w:val="1"/>
      <w:numFmt w:val="decimal"/>
      <w:lvlText w:val="(%1)"/>
      <w:lvlJc w:val="left"/>
      <w:pPr>
        <w:ind w:left="535" w:hanging="420"/>
        <w:jc w:val="left"/>
      </w:pPr>
      <w:rPr>
        <w:rFonts w:hint="default" w:ascii="宋体" w:hAnsi="宋体" w:eastAsia="宋体" w:cs="宋体"/>
        <w:w w:val="100"/>
        <w:sz w:val="22"/>
        <w:szCs w:val="22"/>
      </w:rPr>
    </w:lvl>
    <w:lvl w:ilvl="1">
      <w:start w:val="1"/>
      <w:numFmt w:val="decimal"/>
      <w:lvlText w:val="(%2)"/>
      <w:lvlJc w:val="left"/>
      <w:pPr>
        <w:ind w:left="622" w:hanging="420"/>
        <w:jc w:val="right"/>
      </w:pPr>
      <w:rPr>
        <w:rFonts w:hint="default" w:ascii="宋体" w:hAnsi="宋体" w:eastAsia="宋体" w:cs="宋体"/>
        <w:w w:val="100"/>
        <w:sz w:val="22"/>
        <w:szCs w:val="22"/>
      </w:rPr>
    </w:lvl>
    <w:lvl w:ilvl="2">
      <w:start w:val="0"/>
      <w:numFmt w:val="bullet"/>
      <w:lvlText w:val="•"/>
      <w:lvlJc w:val="left"/>
      <w:pPr>
        <w:ind w:left="1387" w:hanging="420"/>
      </w:pPr>
      <w:rPr>
        <w:rFonts w:hint="default"/>
      </w:rPr>
    </w:lvl>
    <w:lvl w:ilvl="3">
      <w:start w:val="0"/>
      <w:numFmt w:val="bullet"/>
      <w:lvlText w:val="•"/>
      <w:lvlJc w:val="left"/>
      <w:pPr>
        <w:ind w:left="2154" w:hanging="420"/>
      </w:pPr>
      <w:rPr>
        <w:rFonts w:hint="default"/>
      </w:rPr>
    </w:lvl>
    <w:lvl w:ilvl="4">
      <w:start w:val="0"/>
      <w:numFmt w:val="bullet"/>
      <w:lvlText w:val="•"/>
      <w:lvlJc w:val="left"/>
      <w:pPr>
        <w:ind w:left="2921" w:hanging="420"/>
      </w:pPr>
      <w:rPr>
        <w:rFonts w:hint="default"/>
      </w:rPr>
    </w:lvl>
    <w:lvl w:ilvl="5">
      <w:start w:val="0"/>
      <w:numFmt w:val="bullet"/>
      <w:lvlText w:val="•"/>
      <w:lvlJc w:val="left"/>
      <w:pPr>
        <w:ind w:left="3688" w:hanging="420"/>
      </w:pPr>
      <w:rPr>
        <w:rFonts w:hint="default"/>
      </w:rPr>
    </w:lvl>
    <w:lvl w:ilvl="6">
      <w:start w:val="0"/>
      <w:numFmt w:val="bullet"/>
      <w:lvlText w:val="•"/>
      <w:lvlJc w:val="left"/>
      <w:pPr>
        <w:ind w:left="4455" w:hanging="420"/>
      </w:pPr>
      <w:rPr>
        <w:rFonts w:hint="default"/>
      </w:rPr>
    </w:lvl>
    <w:lvl w:ilvl="7">
      <w:start w:val="0"/>
      <w:numFmt w:val="bullet"/>
      <w:lvlText w:val="•"/>
      <w:lvlJc w:val="left"/>
      <w:pPr>
        <w:ind w:left="5222" w:hanging="420"/>
      </w:pPr>
      <w:rPr>
        <w:rFonts w:hint="default"/>
      </w:rPr>
    </w:lvl>
    <w:lvl w:ilvl="8">
      <w:start w:val="0"/>
      <w:numFmt w:val="bullet"/>
      <w:lvlText w:val="•"/>
      <w:lvlJc w:val="left"/>
      <w:pPr>
        <w:ind w:left="5990" w:hanging="420"/>
      </w:pPr>
      <w:rPr>
        <w:rFonts w:hint="default"/>
      </w:rPr>
    </w:lvl>
  </w:abstractNum>
  <w:abstractNum w:abstractNumId="27">
    <w:multiLevelType w:val="hybridMultilevel"/>
    <w:lvl w:ilvl="0">
      <w:start w:val="1"/>
      <w:numFmt w:val="upperRoman"/>
      <w:lvlText w:val="%1"/>
      <w:lvlJc w:val="left"/>
      <w:pPr>
        <w:ind w:left="279" w:hanging="166"/>
        <w:jc w:val="left"/>
      </w:pPr>
      <w:rPr>
        <w:rFonts w:hint="default" w:ascii="宋体" w:hAnsi="宋体" w:eastAsia="宋体" w:cs="宋体"/>
        <w:w w:val="100"/>
        <w:sz w:val="22"/>
        <w:szCs w:val="22"/>
      </w:rPr>
    </w:lvl>
    <w:lvl w:ilvl="1">
      <w:start w:val="0"/>
      <w:numFmt w:val="bullet"/>
      <w:lvlText w:val="•"/>
      <w:lvlJc w:val="left"/>
      <w:pPr>
        <w:ind w:left="1004" w:hanging="166"/>
      </w:pPr>
      <w:rPr>
        <w:rFonts w:hint="default"/>
      </w:rPr>
    </w:lvl>
    <w:lvl w:ilvl="2">
      <w:start w:val="0"/>
      <w:numFmt w:val="bullet"/>
      <w:lvlText w:val="•"/>
      <w:lvlJc w:val="left"/>
      <w:pPr>
        <w:ind w:left="1728" w:hanging="166"/>
      </w:pPr>
      <w:rPr>
        <w:rFonts w:hint="default"/>
      </w:rPr>
    </w:lvl>
    <w:lvl w:ilvl="3">
      <w:start w:val="0"/>
      <w:numFmt w:val="bullet"/>
      <w:lvlText w:val="•"/>
      <w:lvlJc w:val="left"/>
      <w:pPr>
        <w:ind w:left="2452" w:hanging="166"/>
      </w:pPr>
      <w:rPr>
        <w:rFonts w:hint="default"/>
      </w:rPr>
    </w:lvl>
    <w:lvl w:ilvl="4">
      <w:start w:val="0"/>
      <w:numFmt w:val="bullet"/>
      <w:lvlText w:val="•"/>
      <w:lvlJc w:val="left"/>
      <w:pPr>
        <w:ind w:left="3176" w:hanging="166"/>
      </w:pPr>
      <w:rPr>
        <w:rFonts w:hint="default"/>
      </w:rPr>
    </w:lvl>
    <w:lvl w:ilvl="5">
      <w:start w:val="0"/>
      <w:numFmt w:val="bullet"/>
      <w:lvlText w:val="•"/>
      <w:lvlJc w:val="left"/>
      <w:pPr>
        <w:ind w:left="3901" w:hanging="166"/>
      </w:pPr>
      <w:rPr>
        <w:rFonts w:hint="default"/>
      </w:rPr>
    </w:lvl>
    <w:lvl w:ilvl="6">
      <w:start w:val="0"/>
      <w:numFmt w:val="bullet"/>
      <w:lvlText w:val="•"/>
      <w:lvlJc w:val="left"/>
      <w:pPr>
        <w:ind w:left="4625" w:hanging="166"/>
      </w:pPr>
      <w:rPr>
        <w:rFonts w:hint="default"/>
      </w:rPr>
    </w:lvl>
    <w:lvl w:ilvl="7">
      <w:start w:val="0"/>
      <w:numFmt w:val="bullet"/>
      <w:lvlText w:val="•"/>
      <w:lvlJc w:val="left"/>
      <w:pPr>
        <w:ind w:left="5349" w:hanging="166"/>
      </w:pPr>
      <w:rPr>
        <w:rFonts w:hint="default"/>
      </w:rPr>
    </w:lvl>
    <w:lvl w:ilvl="8">
      <w:start w:val="0"/>
      <w:numFmt w:val="bullet"/>
      <w:lvlText w:val="•"/>
      <w:lvlJc w:val="left"/>
      <w:pPr>
        <w:ind w:left="6073" w:hanging="166"/>
      </w:pPr>
      <w:rPr>
        <w:rFonts w:hint="default"/>
      </w:rPr>
    </w:lvl>
  </w:abstractNum>
  <w:abstractNum w:abstractNumId="26">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1208" w:hanging="420"/>
      </w:pPr>
      <w:rPr>
        <w:rFonts w:hint="default"/>
      </w:rPr>
    </w:lvl>
    <w:lvl w:ilvl="2">
      <w:start w:val="0"/>
      <w:numFmt w:val="bullet"/>
      <w:lvlText w:val="•"/>
      <w:lvlJc w:val="left"/>
      <w:pPr>
        <w:ind w:left="1916" w:hanging="420"/>
      </w:pPr>
      <w:rPr>
        <w:rFonts w:hint="default"/>
      </w:rPr>
    </w:lvl>
    <w:lvl w:ilvl="3">
      <w:start w:val="0"/>
      <w:numFmt w:val="bullet"/>
      <w:lvlText w:val="•"/>
      <w:lvlJc w:val="left"/>
      <w:pPr>
        <w:ind w:left="2624"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41" w:hanging="420"/>
      </w:pPr>
      <w:rPr>
        <w:rFonts w:hint="default"/>
      </w:rPr>
    </w:lvl>
    <w:lvl w:ilvl="6">
      <w:start w:val="0"/>
      <w:numFmt w:val="bullet"/>
      <w:lvlText w:val="•"/>
      <w:lvlJc w:val="left"/>
      <w:pPr>
        <w:ind w:left="4749" w:hanging="420"/>
      </w:pPr>
      <w:rPr>
        <w:rFonts w:hint="default"/>
      </w:rPr>
    </w:lvl>
    <w:lvl w:ilvl="7">
      <w:start w:val="0"/>
      <w:numFmt w:val="bullet"/>
      <w:lvlText w:val="•"/>
      <w:lvlJc w:val="left"/>
      <w:pPr>
        <w:ind w:left="5458" w:hanging="420"/>
      </w:pPr>
      <w:rPr>
        <w:rFonts w:hint="default"/>
      </w:rPr>
    </w:lvl>
    <w:lvl w:ilvl="8">
      <w:start w:val="0"/>
      <w:numFmt w:val="bullet"/>
      <w:lvlText w:val="•"/>
      <w:lvlJc w:val="left"/>
      <w:pPr>
        <w:ind w:left="6166" w:hanging="420"/>
      </w:pPr>
      <w:rPr>
        <w:rFonts w:hint="default"/>
      </w:rPr>
    </w:lvl>
  </w:abstractNum>
  <w:abstractNum w:abstractNumId="25">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1208" w:hanging="420"/>
      </w:pPr>
      <w:rPr>
        <w:rFonts w:hint="default"/>
      </w:rPr>
    </w:lvl>
    <w:lvl w:ilvl="2">
      <w:start w:val="0"/>
      <w:numFmt w:val="bullet"/>
      <w:lvlText w:val="•"/>
      <w:lvlJc w:val="left"/>
      <w:pPr>
        <w:ind w:left="1916" w:hanging="420"/>
      </w:pPr>
      <w:rPr>
        <w:rFonts w:hint="default"/>
      </w:rPr>
    </w:lvl>
    <w:lvl w:ilvl="3">
      <w:start w:val="0"/>
      <w:numFmt w:val="bullet"/>
      <w:lvlText w:val="•"/>
      <w:lvlJc w:val="left"/>
      <w:pPr>
        <w:ind w:left="2624"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41" w:hanging="420"/>
      </w:pPr>
      <w:rPr>
        <w:rFonts w:hint="default"/>
      </w:rPr>
    </w:lvl>
    <w:lvl w:ilvl="6">
      <w:start w:val="0"/>
      <w:numFmt w:val="bullet"/>
      <w:lvlText w:val="•"/>
      <w:lvlJc w:val="left"/>
      <w:pPr>
        <w:ind w:left="4749" w:hanging="420"/>
      </w:pPr>
      <w:rPr>
        <w:rFonts w:hint="default"/>
      </w:rPr>
    </w:lvl>
    <w:lvl w:ilvl="7">
      <w:start w:val="0"/>
      <w:numFmt w:val="bullet"/>
      <w:lvlText w:val="•"/>
      <w:lvlJc w:val="left"/>
      <w:pPr>
        <w:ind w:left="5458" w:hanging="420"/>
      </w:pPr>
      <w:rPr>
        <w:rFonts w:hint="default"/>
      </w:rPr>
    </w:lvl>
    <w:lvl w:ilvl="8">
      <w:start w:val="0"/>
      <w:numFmt w:val="bullet"/>
      <w:lvlText w:val="•"/>
      <w:lvlJc w:val="left"/>
      <w:pPr>
        <w:ind w:left="6166" w:hanging="420"/>
      </w:pPr>
      <w:rPr>
        <w:rFonts w:hint="default"/>
      </w:rPr>
    </w:lvl>
  </w:abstractNum>
  <w:abstractNum w:abstractNumId="24">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1208" w:hanging="420"/>
      </w:pPr>
      <w:rPr>
        <w:rFonts w:hint="default"/>
      </w:rPr>
    </w:lvl>
    <w:lvl w:ilvl="2">
      <w:start w:val="0"/>
      <w:numFmt w:val="bullet"/>
      <w:lvlText w:val="•"/>
      <w:lvlJc w:val="left"/>
      <w:pPr>
        <w:ind w:left="1916" w:hanging="420"/>
      </w:pPr>
      <w:rPr>
        <w:rFonts w:hint="default"/>
      </w:rPr>
    </w:lvl>
    <w:lvl w:ilvl="3">
      <w:start w:val="0"/>
      <w:numFmt w:val="bullet"/>
      <w:lvlText w:val="•"/>
      <w:lvlJc w:val="left"/>
      <w:pPr>
        <w:ind w:left="2624"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41" w:hanging="420"/>
      </w:pPr>
      <w:rPr>
        <w:rFonts w:hint="default"/>
      </w:rPr>
    </w:lvl>
    <w:lvl w:ilvl="6">
      <w:start w:val="0"/>
      <w:numFmt w:val="bullet"/>
      <w:lvlText w:val="•"/>
      <w:lvlJc w:val="left"/>
      <w:pPr>
        <w:ind w:left="4749" w:hanging="420"/>
      </w:pPr>
      <w:rPr>
        <w:rFonts w:hint="default"/>
      </w:rPr>
    </w:lvl>
    <w:lvl w:ilvl="7">
      <w:start w:val="0"/>
      <w:numFmt w:val="bullet"/>
      <w:lvlText w:val="•"/>
      <w:lvlJc w:val="left"/>
      <w:pPr>
        <w:ind w:left="5458" w:hanging="420"/>
      </w:pPr>
      <w:rPr>
        <w:rFonts w:hint="default"/>
      </w:rPr>
    </w:lvl>
    <w:lvl w:ilvl="8">
      <w:start w:val="0"/>
      <w:numFmt w:val="bullet"/>
      <w:lvlText w:val="•"/>
      <w:lvlJc w:val="left"/>
      <w:pPr>
        <w:ind w:left="6166" w:hanging="420"/>
      </w:pPr>
      <w:rPr>
        <w:rFonts w:hint="default"/>
      </w:rPr>
    </w:lvl>
  </w:abstractNum>
  <w:abstractNum w:abstractNumId="23">
    <w:multiLevelType w:val="hybridMultilevel"/>
    <w:lvl w:ilvl="0">
      <w:start w:val="1"/>
      <w:numFmt w:val="decimal"/>
      <w:lvlText w:val="(%1)"/>
      <w:lvlJc w:val="left"/>
      <w:pPr>
        <w:ind w:left="2218" w:hanging="420"/>
        <w:jc w:val="left"/>
      </w:pPr>
      <w:rPr>
        <w:rFonts w:hint="default" w:ascii="宋体" w:hAnsi="宋体" w:eastAsia="宋体" w:cs="宋体"/>
        <w:w w:val="100"/>
        <w:sz w:val="22"/>
        <w:szCs w:val="22"/>
      </w:rPr>
    </w:lvl>
    <w:lvl w:ilvl="1">
      <w:start w:val="0"/>
      <w:numFmt w:val="bullet"/>
      <w:lvlText w:val="•"/>
      <w:lvlJc w:val="left"/>
      <w:pPr>
        <w:ind w:left="2918" w:hanging="420"/>
      </w:pPr>
      <w:rPr>
        <w:rFonts w:hint="default"/>
      </w:rPr>
    </w:lvl>
    <w:lvl w:ilvl="2">
      <w:start w:val="0"/>
      <w:numFmt w:val="bullet"/>
      <w:lvlText w:val="•"/>
      <w:lvlJc w:val="left"/>
      <w:pPr>
        <w:ind w:left="3617" w:hanging="420"/>
      </w:pPr>
      <w:rPr>
        <w:rFonts w:hint="default"/>
      </w:rPr>
    </w:lvl>
    <w:lvl w:ilvl="3">
      <w:start w:val="0"/>
      <w:numFmt w:val="bullet"/>
      <w:lvlText w:val="•"/>
      <w:lvlJc w:val="left"/>
      <w:pPr>
        <w:ind w:left="4315" w:hanging="420"/>
      </w:pPr>
      <w:rPr>
        <w:rFonts w:hint="default"/>
      </w:rPr>
    </w:lvl>
    <w:lvl w:ilvl="4">
      <w:start w:val="0"/>
      <w:numFmt w:val="bullet"/>
      <w:lvlText w:val="•"/>
      <w:lvlJc w:val="left"/>
      <w:pPr>
        <w:ind w:left="5014" w:hanging="420"/>
      </w:pPr>
      <w:rPr>
        <w:rFonts w:hint="default"/>
      </w:rPr>
    </w:lvl>
    <w:lvl w:ilvl="5">
      <w:start w:val="0"/>
      <w:numFmt w:val="bullet"/>
      <w:lvlText w:val="•"/>
      <w:lvlJc w:val="left"/>
      <w:pPr>
        <w:ind w:left="5713" w:hanging="420"/>
      </w:pPr>
      <w:rPr>
        <w:rFonts w:hint="default"/>
      </w:rPr>
    </w:lvl>
    <w:lvl w:ilvl="6">
      <w:start w:val="0"/>
      <w:numFmt w:val="bullet"/>
      <w:lvlText w:val="•"/>
      <w:lvlJc w:val="left"/>
      <w:pPr>
        <w:ind w:left="6411" w:hanging="420"/>
      </w:pPr>
      <w:rPr>
        <w:rFonts w:hint="default"/>
      </w:rPr>
    </w:lvl>
    <w:lvl w:ilvl="7">
      <w:start w:val="0"/>
      <w:numFmt w:val="bullet"/>
      <w:lvlText w:val="•"/>
      <w:lvlJc w:val="left"/>
      <w:pPr>
        <w:ind w:left="7110" w:hanging="420"/>
      </w:pPr>
      <w:rPr>
        <w:rFonts w:hint="default"/>
      </w:rPr>
    </w:lvl>
    <w:lvl w:ilvl="8">
      <w:start w:val="0"/>
      <w:numFmt w:val="bullet"/>
      <w:lvlText w:val="•"/>
      <w:lvlJc w:val="left"/>
      <w:pPr>
        <w:ind w:left="7809" w:hanging="420"/>
      </w:pPr>
      <w:rPr>
        <w:rFonts w:hint="default"/>
      </w:rPr>
    </w:lvl>
  </w:abstractNum>
  <w:abstractNum w:abstractNumId="22">
    <w:multiLevelType w:val="hybridMultilevel"/>
    <w:lvl w:ilvl="0">
      <w:start w:val="1"/>
      <w:numFmt w:val="decimal"/>
      <w:lvlText w:val="(%1)"/>
      <w:lvlJc w:val="left"/>
      <w:pPr>
        <w:ind w:left="2218" w:hanging="420"/>
        <w:jc w:val="left"/>
      </w:pPr>
      <w:rPr>
        <w:rFonts w:hint="default" w:ascii="宋体" w:hAnsi="宋体" w:eastAsia="宋体" w:cs="宋体"/>
        <w:w w:val="100"/>
        <w:sz w:val="22"/>
        <w:szCs w:val="22"/>
      </w:rPr>
    </w:lvl>
    <w:lvl w:ilvl="1">
      <w:start w:val="0"/>
      <w:numFmt w:val="bullet"/>
      <w:lvlText w:val="•"/>
      <w:lvlJc w:val="left"/>
      <w:pPr>
        <w:ind w:left="2918" w:hanging="420"/>
      </w:pPr>
      <w:rPr>
        <w:rFonts w:hint="default"/>
      </w:rPr>
    </w:lvl>
    <w:lvl w:ilvl="2">
      <w:start w:val="0"/>
      <w:numFmt w:val="bullet"/>
      <w:lvlText w:val="•"/>
      <w:lvlJc w:val="left"/>
      <w:pPr>
        <w:ind w:left="3617" w:hanging="420"/>
      </w:pPr>
      <w:rPr>
        <w:rFonts w:hint="default"/>
      </w:rPr>
    </w:lvl>
    <w:lvl w:ilvl="3">
      <w:start w:val="0"/>
      <w:numFmt w:val="bullet"/>
      <w:lvlText w:val="•"/>
      <w:lvlJc w:val="left"/>
      <w:pPr>
        <w:ind w:left="4315" w:hanging="420"/>
      </w:pPr>
      <w:rPr>
        <w:rFonts w:hint="default"/>
      </w:rPr>
    </w:lvl>
    <w:lvl w:ilvl="4">
      <w:start w:val="0"/>
      <w:numFmt w:val="bullet"/>
      <w:lvlText w:val="•"/>
      <w:lvlJc w:val="left"/>
      <w:pPr>
        <w:ind w:left="5014" w:hanging="420"/>
      </w:pPr>
      <w:rPr>
        <w:rFonts w:hint="default"/>
      </w:rPr>
    </w:lvl>
    <w:lvl w:ilvl="5">
      <w:start w:val="0"/>
      <w:numFmt w:val="bullet"/>
      <w:lvlText w:val="•"/>
      <w:lvlJc w:val="left"/>
      <w:pPr>
        <w:ind w:left="5713" w:hanging="420"/>
      </w:pPr>
      <w:rPr>
        <w:rFonts w:hint="default"/>
      </w:rPr>
    </w:lvl>
    <w:lvl w:ilvl="6">
      <w:start w:val="0"/>
      <w:numFmt w:val="bullet"/>
      <w:lvlText w:val="•"/>
      <w:lvlJc w:val="left"/>
      <w:pPr>
        <w:ind w:left="6411" w:hanging="420"/>
      </w:pPr>
      <w:rPr>
        <w:rFonts w:hint="default"/>
      </w:rPr>
    </w:lvl>
    <w:lvl w:ilvl="7">
      <w:start w:val="0"/>
      <w:numFmt w:val="bullet"/>
      <w:lvlText w:val="•"/>
      <w:lvlJc w:val="left"/>
      <w:pPr>
        <w:ind w:left="7110" w:hanging="420"/>
      </w:pPr>
      <w:rPr>
        <w:rFonts w:hint="default"/>
      </w:rPr>
    </w:lvl>
    <w:lvl w:ilvl="8">
      <w:start w:val="0"/>
      <w:numFmt w:val="bullet"/>
      <w:lvlText w:val="•"/>
      <w:lvlJc w:val="left"/>
      <w:pPr>
        <w:ind w:left="7809" w:hanging="420"/>
      </w:pPr>
      <w:rPr>
        <w:rFonts w:hint="default"/>
      </w:rPr>
    </w:lvl>
  </w:abstractNum>
  <w:abstractNum w:abstractNumId="21">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1208" w:hanging="420"/>
      </w:pPr>
      <w:rPr>
        <w:rFonts w:hint="default"/>
      </w:rPr>
    </w:lvl>
    <w:lvl w:ilvl="2">
      <w:start w:val="0"/>
      <w:numFmt w:val="bullet"/>
      <w:lvlText w:val="•"/>
      <w:lvlJc w:val="left"/>
      <w:pPr>
        <w:ind w:left="1916" w:hanging="420"/>
      </w:pPr>
      <w:rPr>
        <w:rFonts w:hint="default"/>
      </w:rPr>
    </w:lvl>
    <w:lvl w:ilvl="3">
      <w:start w:val="0"/>
      <w:numFmt w:val="bullet"/>
      <w:lvlText w:val="•"/>
      <w:lvlJc w:val="left"/>
      <w:pPr>
        <w:ind w:left="2624" w:hanging="420"/>
      </w:pPr>
      <w:rPr>
        <w:rFonts w:hint="default"/>
      </w:rPr>
    </w:lvl>
    <w:lvl w:ilvl="4">
      <w:start w:val="0"/>
      <w:numFmt w:val="bullet"/>
      <w:lvlText w:val="•"/>
      <w:lvlJc w:val="left"/>
      <w:pPr>
        <w:ind w:left="3332" w:hanging="420"/>
      </w:pPr>
      <w:rPr>
        <w:rFonts w:hint="default"/>
      </w:rPr>
    </w:lvl>
    <w:lvl w:ilvl="5">
      <w:start w:val="0"/>
      <w:numFmt w:val="bullet"/>
      <w:lvlText w:val="•"/>
      <w:lvlJc w:val="left"/>
      <w:pPr>
        <w:ind w:left="4040" w:hanging="420"/>
      </w:pPr>
      <w:rPr>
        <w:rFonts w:hint="default"/>
      </w:rPr>
    </w:lvl>
    <w:lvl w:ilvl="6">
      <w:start w:val="0"/>
      <w:numFmt w:val="bullet"/>
      <w:lvlText w:val="•"/>
      <w:lvlJc w:val="left"/>
      <w:pPr>
        <w:ind w:left="4748" w:hanging="420"/>
      </w:pPr>
      <w:rPr>
        <w:rFonts w:hint="default"/>
      </w:rPr>
    </w:lvl>
    <w:lvl w:ilvl="7">
      <w:start w:val="0"/>
      <w:numFmt w:val="bullet"/>
      <w:lvlText w:val="•"/>
      <w:lvlJc w:val="left"/>
      <w:pPr>
        <w:ind w:left="5456" w:hanging="420"/>
      </w:pPr>
      <w:rPr>
        <w:rFonts w:hint="default"/>
      </w:rPr>
    </w:lvl>
    <w:lvl w:ilvl="8">
      <w:start w:val="0"/>
      <w:numFmt w:val="bullet"/>
      <w:lvlText w:val="•"/>
      <w:lvlJc w:val="left"/>
      <w:pPr>
        <w:ind w:left="6164" w:hanging="420"/>
      </w:pPr>
      <w:rPr>
        <w:rFonts w:hint="default"/>
      </w:rPr>
    </w:lvl>
  </w:abstractNum>
  <w:abstractNum w:abstractNumId="20">
    <w:multiLevelType w:val="hybridMultilevel"/>
    <w:lvl w:ilvl="0">
      <w:start w:val="1"/>
      <w:numFmt w:val="decimal"/>
      <w:lvlText w:val="(%1)"/>
      <w:lvlJc w:val="left"/>
      <w:pPr>
        <w:ind w:left="498" w:hanging="420"/>
        <w:jc w:val="left"/>
      </w:pPr>
      <w:rPr>
        <w:rFonts w:hint="default" w:ascii="宋体" w:hAnsi="宋体" w:eastAsia="宋体" w:cs="宋体"/>
        <w:w w:val="100"/>
        <w:sz w:val="22"/>
        <w:szCs w:val="22"/>
      </w:rPr>
    </w:lvl>
    <w:lvl w:ilvl="1">
      <w:start w:val="0"/>
      <w:numFmt w:val="bullet"/>
      <w:lvlText w:val="•"/>
      <w:lvlJc w:val="left"/>
      <w:pPr>
        <w:ind w:left="1208" w:hanging="420"/>
      </w:pPr>
      <w:rPr>
        <w:rFonts w:hint="default"/>
      </w:rPr>
    </w:lvl>
    <w:lvl w:ilvl="2">
      <w:start w:val="0"/>
      <w:numFmt w:val="bullet"/>
      <w:lvlText w:val="•"/>
      <w:lvlJc w:val="left"/>
      <w:pPr>
        <w:ind w:left="1916" w:hanging="420"/>
      </w:pPr>
      <w:rPr>
        <w:rFonts w:hint="default"/>
      </w:rPr>
    </w:lvl>
    <w:lvl w:ilvl="3">
      <w:start w:val="0"/>
      <w:numFmt w:val="bullet"/>
      <w:lvlText w:val="•"/>
      <w:lvlJc w:val="left"/>
      <w:pPr>
        <w:ind w:left="2624" w:hanging="420"/>
      </w:pPr>
      <w:rPr>
        <w:rFonts w:hint="default"/>
      </w:rPr>
    </w:lvl>
    <w:lvl w:ilvl="4">
      <w:start w:val="0"/>
      <w:numFmt w:val="bullet"/>
      <w:lvlText w:val="•"/>
      <w:lvlJc w:val="left"/>
      <w:pPr>
        <w:ind w:left="3332" w:hanging="420"/>
      </w:pPr>
      <w:rPr>
        <w:rFonts w:hint="default"/>
      </w:rPr>
    </w:lvl>
    <w:lvl w:ilvl="5">
      <w:start w:val="0"/>
      <w:numFmt w:val="bullet"/>
      <w:lvlText w:val="•"/>
      <w:lvlJc w:val="left"/>
      <w:pPr>
        <w:ind w:left="4040" w:hanging="420"/>
      </w:pPr>
      <w:rPr>
        <w:rFonts w:hint="default"/>
      </w:rPr>
    </w:lvl>
    <w:lvl w:ilvl="6">
      <w:start w:val="0"/>
      <w:numFmt w:val="bullet"/>
      <w:lvlText w:val="•"/>
      <w:lvlJc w:val="left"/>
      <w:pPr>
        <w:ind w:left="4748" w:hanging="420"/>
      </w:pPr>
      <w:rPr>
        <w:rFonts w:hint="default"/>
      </w:rPr>
    </w:lvl>
    <w:lvl w:ilvl="7">
      <w:start w:val="0"/>
      <w:numFmt w:val="bullet"/>
      <w:lvlText w:val="•"/>
      <w:lvlJc w:val="left"/>
      <w:pPr>
        <w:ind w:left="5456" w:hanging="420"/>
      </w:pPr>
      <w:rPr>
        <w:rFonts w:hint="default"/>
      </w:rPr>
    </w:lvl>
    <w:lvl w:ilvl="8">
      <w:start w:val="0"/>
      <w:numFmt w:val="bullet"/>
      <w:lvlText w:val="•"/>
      <w:lvlJc w:val="left"/>
      <w:pPr>
        <w:ind w:left="6164" w:hanging="420"/>
      </w:pPr>
      <w:rPr>
        <w:rFonts w:hint="default"/>
      </w:rPr>
    </w:lvl>
  </w:abstractNum>
  <w:abstractNum w:abstractNumId="19">
    <w:multiLevelType w:val="hybridMultilevel"/>
    <w:lvl w:ilvl="0">
      <w:start w:val="1"/>
      <w:numFmt w:val="decimal"/>
      <w:lvlText w:val="(%1)"/>
      <w:lvlJc w:val="left"/>
      <w:pPr>
        <w:ind w:left="495" w:hanging="420"/>
        <w:jc w:val="left"/>
      </w:pPr>
      <w:rPr>
        <w:rFonts w:hint="default" w:ascii="宋体" w:hAnsi="宋体" w:eastAsia="宋体" w:cs="宋体"/>
        <w:w w:val="100"/>
        <w:sz w:val="22"/>
        <w:szCs w:val="22"/>
      </w:rPr>
    </w:lvl>
    <w:lvl w:ilvl="1">
      <w:start w:val="0"/>
      <w:numFmt w:val="bullet"/>
      <w:lvlText w:val="•"/>
      <w:lvlJc w:val="left"/>
      <w:pPr>
        <w:ind w:left="1206" w:hanging="420"/>
      </w:pPr>
      <w:rPr>
        <w:rFonts w:hint="default"/>
      </w:rPr>
    </w:lvl>
    <w:lvl w:ilvl="2">
      <w:start w:val="0"/>
      <w:numFmt w:val="bullet"/>
      <w:lvlText w:val="•"/>
      <w:lvlJc w:val="left"/>
      <w:pPr>
        <w:ind w:left="1913" w:hanging="420"/>
      </w:pPr>
      <w:rPr>
        <w:rFonts w:hint="default"/>
      </w:rPr>
    </w:lvl>
    <w:lvl w:ilvl="3">
      <w:start w:val="0"/>
      <w:numFmt w:val="bullet"/>
      <w:lvlText w:val="•"/>
      <w:lvlJc w:val="left"/>
      <w:pPr>
        <w:ind w:left="2620" w:hanging="420"/>
      </w:pPr>
      <w:rPr>
        <w:rFonts w:hint="default"/>
      </w:rPr>
    </w:lvl>
    <w:lvl w:ilvl="4">
      <w:start w:val="0"/>
      <w:numFmt w:val="bullet"/>
      <w:lvlText w:val="•"/>
      <w:lvlJc w:val="left"/>
      <w:pPr>
        <w:ind w:left="3327" w:hanging="420"/>
      </w:pPr>
      <w:rPr>
        <w:rFonts w:hint="default"/>
      </w:rPr>
    </w:lvl>
    <w:lvl w:ilvl="5">
      <w:start w:val="0"/>
      <w:numFmt w:val="bullet"/>
      <w:lvlText w:val="•"/>
      <w:lvlJc w:val="left"/>
      <w:pPr>
        <w:ind w:left="4034" w:hanging="420"/>
      </w:pPr>
      <w:rPr>
        <w:rFonts w:hint="default"/>
      </w:rPr>
    </w:lvl>
    <w:lvl w:ilvl="6">
      <w:start w:val="0"/>
      <w:numFmt w:val="bullet"/>
      <w:lvlText w:val="•"/>
      <w:lvlJc w:val="left"/>
      <w:pPr>
        <w:ind w:left="4741" w:hanging="420"/>
      </w:pPr>
      <w:rPr>
        <w:rFonts w:hint="default"/>
      </w:rPr>
    </w:lvl>
    <w:lvl w:ilvl="7">
      <w:start w:val="0"/>
      <w:numFmt w:val="bullet"/>
      <w:lvlText w:val="•"/>
      <w:lvlJc w:val="left"/>
      <w:pPr>
        <w:ind w:left="5448" w:hanging="420"/>
      </w:pPr>
      <w:rPr>
        <w:rFonts w:hint="default"/>
      </w:rPr>
    </w:lvl>
    <w:lvl w:ilvl="8">
      <w:start w:val="0"/>
      <w:numFmt w:val="bullet"/>
      <w:lvlText w:val="•"/>
      <w:lvlJc w:val="left"/>
      <w:pPr>
        <w:ind w:left="6155" w:hanging="420"/>
      </w:pPr>
      <w:rPr>
        <w:rFonts w:hint="default"/>
      </w:rPr>
    </w:lvl>
  </w:abstractNum>
  <w:abstractNum w:abstractNumId="18">
    <w:multiLevelType w:val="hybridMultilevel"/>
    <w:lvl w:ilvl="0">
      <w:start w:val="1"/>
      <w:numFmt w:val="decimal"/>
      <w:lvlText w:val="(%1)"/>
      <w:lvlJc w:val="left"/>
      <w:pPr>
        <w:ind w:left="495" w:hanging="420"/>
        <w:jc w:val="left"/>
      </w:pPr>
      <w:rPr>
        <w:rFonts w:hint="default" w:ascii="宋体" w:hAnsi="宋体" w:eastAsia="宋体" w:cs="宋体"/>
        <w:w w:val="100"/>
        <w:sz w:val="22"/>
        <w:szCs w:val="22"/>
      </w:rPr>
    </w:lvl>
    <w:lvl w:ilvl="1">
      <w:start w:val="0"/>
      <w:numFmt w:val="bullet"/>
      <w:lvlText w:val="•"/>
      <w:lvlJc w:val="left"/>
      <w:pPr>
        <w:ind w:left="1206" w:hanging="420"/>
      </w:pPr>
      <w:rPr>
        <w:rFonts w:hint="default"/>
      </w:rPr>
    </w:lvl>
    <w:lvl w:ilvl="2">
      <w:start w:val="0"/>
      <w:numFmt w:val="bullet"/>
      <w:lvlText w:val="•"/>
      <w:lvlJc w:val="left"/>
      <w:pPr>
        <w:ind w:left="1913" w:hanging="420"/>
      </w:pPr>
      <w:rPr>
        <w:rFonts w:hint="default"/>
      </w:rPr>
    </w:lvl>
    <w:lvl w:ilvl="3">
      <w:start w:val="0"/>
      <w:numFmt w:val="bullet"/>
      <w:lvlText w:val="•"/>
      <w:lvlJc w:val="left"/>
      <w:pPr>
        <w:ind w:left="2620" w:hanging="420"/>
      </w:pPr>
      <w:rPr>
        <w:rFonts w:hint="default"/>
      </w:rPr>
    </w:lvl>
    <w:lvl w:ilvl="4">
      <w:start w:val="0"/>
      <w:numFmt w:val="bullet"/>
      <w:lvlText w:val="•"/>
      <w:lvlJc w:val="left"/>
      <w:pPr>
        <w:ind w:left="3327" w:hanging="420"/>
      </w:pPr>
      <w:rPr>
        <w:rFonts w:hint="default"/>
      </w:rPr>
    </w:lvl>
    <w:lvl w:ilvl="5">
      <w:start w:val="0"/>
      <w:numFmt w:val="bullet"/>
      <w:lvlText w:val="•"/>
      <w:lvlJc w:val="left"/>
      <w:pPr>
        <w:ind w:left="4034" w:hanging="420"/>
      </w:pPr>
      <w:rPr>
        <w:rFonts w:hint="default"/>
      </w:rPr>
    </w:lvl>
    <w:lvl w:ilvl="6">
      <w:start w:val="0"/>
      <w:numFmt w:val="bullet"/>
      <w:lvlText w:val="•"/>
      <w:lvlJc w:val="left"/>
      <w:pPr>
        <w:ind w:left="4741" w:hanging="420"/>
      </w:pPr>
      <w:rPr>
        <w:rFonts w:hint="default"/>
      </w:rPr>
    </w:lvl>
    <w:lvl w:ilvl="7">
      <w:start w:val="0"/>
      <w:numFmt w:val="bullet"/>
      <w:lvlText w:val="•"/>
      <w:lvlJc w:val="left"/>
      <w:pPr>
        <w:ind w:left="5448" w:hanging="420"/>
      </w:pPr>
      <w:rPr>
        <w:rFonts w:hint="default"/>
      </w:rPr>
    </w:lvl>
    <w:lvl w:ilvl="8">
      <w:start w:val="0"/>
      <w:numFmt w:val="bullet"/>
      <w:lvlText w:val="•"/>
      <w:lvlJc w:val="left"/>
      <w:pPr>
        <w:ind w:left="6155" w:hanging="420"/>
      </w:pPr>
      <w:rPr>
        <w:rFonts w:hint="default"/>
      </w:rPr>
    </w:lvl>
  </w:abstractNum>
  <w:abstractNum w:abstractNumId="17">
    <w:multiLevelType w:val="hybridMultilevel"/>
    <w:lvl w:ilvl="0">
      <w:start w:val="1"/>
      <w:numFmt w:val="decimal"/>
      <w:lvlText w:val="(%1)"/>
      <w:lvlJc w:val="left"/>
      <w:pPr>
        <w:ind w:left="495" w:hanging="420"/>
        <w:jc w:val="left"/>
      </w:pPr>
      <w:rPr>
        <w:rFonts w:hint="default" w:ascii="宋体" w:hAnsi="宋体" w:eastAsia="宋体" w:cs="宋体"/>
        <w:w w:val="100"/>
        <w:sz w:val="22"/>
        <w:szCs w:val="22"/>
      </w:rPr>
    </w:lvl>
    <w:lvl w:ilvl="1">
      <w:start w:val="0"/>
      <w:numFmt w:val="bullet"/>
      <w:lvlText w:val="•"/>
      <w:lvlJc w:val="left"/>
      <w:pPr>
        <w:ind w:left="1206" w:hanging="420"/>
      </w:pPr>
      <w:rPr>
        <w:rFonts w:hint="default"/>
      </w:rPr>
    </w:lvl>
    <w:lvl w:ilvl="2">
      <w:start w:val="0"/>
      <w:numFmt w:val="bullet"/>
      <w:lvlText w:val="•"/>
      <w:lvlJc w:val="left"/>
      <w:pPr>
        <w:ind w:left="1913" w:hanging="420"/>
      </w:pPr>
      <w:rPr>
        <w:rFonts w:hint="default"/>
      </w:rPr>
    </w:lvl>
    <w:lvl w:ilvl="3">
      <w:start w:val="0"/>
      <w:numFmt w:val="bullet"/>
      <w:lvlText w:val="•"/>
      <w:lvlJc w:val="left"/>
      <w:pPr>
        <w:ind w:left="2620" w:hanging="420"/>
      </w:pPr>
      <w:rPr>
        <w:rFonts w:hint="default"/>
      </w:rPr>
    </w:lvl>
    <w:lvl w:ilvl="4">
      <w:start w:val="0"/>
      <w:numFmt w:val="bullet"/>
      <w:lvlText w:val="•"/>
      <w:lvlJc w:val="left"/>
      <w:pPr>
        <w:ind w:left="3327" w:hanging="420"/>
      </w:pPr>
      <w:rPr>
        <w:rFonts w:hint="default"/>
      </w:rPr>
    </w:lvl>
    <w:lvl w:ilvl="5">
      <w:start w:val="0"/>
      <w:numFmt w:val="bullet"/>
      <w:lvlText w:val="•"/>
      <w:lvlJc w:val="left"/>
      <w:pPr>
        <w:ind w:left="4034" w:hanging="420"/>
      </w:pPr>
      <w:rPr>
        <w:rFonts w:hint="default"/>
      </w:rPr>
    </w:lvl>
    <w:lvl w:ilvl="6">
      <w:start w:val="0"/>
      <w:numFmt w:val="bullet"/>
      <w:lvlText w:val="•"/>
      <w:lvlJc w:val="left"/>
      <w:pPr>
        <w:ind w:left="4741" w:hanging="420"/>
      </w:pPr>
      <w:rPr>
        <w:rFonts w:hint="default"/>
      </w:rPr>
    </w:lvl>
    <w:lvl w:ilvl="7">
      <w:start w:val="0"/>
      <w:numFmt w:val="bullet"/>
      <w:lvlText w:val="•"/>
      <w:lvlJc w:val="left"/>
      <w:pPr>
        <w:ind w:left="5448" w:hanging="420"/>
      </w:pPr>
      <w:rPr>
        <w:rFonts w:hint="default"/>
      </w:rPr>
    </w:lvl>
    <w:lvl w:ilvl="8">
      <w:start w:val="0"/>
      <w:numFmt w:val="bullet"/>
      <w:lvlText w:val="•"/>
      <w:lvlJc w:val="left"/>
      <w:pPr>
        <w:ind w:left="6155" w:hanging="420"/>
      </w:pPr>
      <w:rPr>
        <w:rFonts w:hint="default"/>
      </w:rPr>
    </w:lvl>
  </w:abstractNum>
  <w:abstractNum w:abstractNumId="16">
    <w:multiLevelType w:val="hybridMultilevel"/>
    <w:lvl w:ilvl="0">
      <w:start w:val="1"/>
      <w:numFmt w:val="decimal"/>
      <w:lvlText w:val="(%1)"/>
      <w:lvlJc w:val="left"/>
      <w:pPr>
        <w:ind w:left="2878" w:hanging="420"/>
        <w:jc w:val="left"/>
      </w:pPr>
      <w:rPr>
        <w:rFonts w:hint="default" w:ascii="宋体" w:hAnsi="宋体" w:eastAsia="宋体" w:cs="宋体"/>
        <w:w w:val="100"/>
        <w:sz w:val="22"/>
        <w:szCs w:val="22"/>
      </w:rPr>
    </w:lvl>
    <w:lvl w:ilvl="1">
      <w:start w:val="0"/>
      <w:numFmt w:val="bullet"/>
      <w:lvlText w:val="•"/>
      <w:lvlJc w:val="left"/>
      <w:pPr>
        <w:ind w:left="3580" w:hanging="420"/>
      </w:pPr>
      <w:rPr>
        <w:rFonts w:hint="default"/>
      </w:rPr>
    </w:lvl>
    <w:lvl w:ilvl="2">
      <w:start w:val="0"/>
      <w:numFmt w:val="bullet"/>
      <w:lvlText w:val="•"/>
      <w:lvlJc w:val="left"/>
      <w:pPr>
        <w:ind w:left="4281" w:hanging="420"/>
      </w:pPr>
      <w:rPr>
        <w:rFonts w:hint="default"/>
      </w:rPr>
    </w:lvl>
    <w:lvl w:ilvl="3">
      <w:start w:val="0"/>
      <w:numFmt w:val="bullet"/>
      <w:lvlText w:val="•"/>
      <w:lvlJc w:val="left"/>
      <w:pPr>
        <w:ind w:left="4981" w:hanging="420"/>
      </w:pPr>
      <w:rPr>
        <w:rFonts w:hint="default"/>
      </w:rPr>
    </w:lvl>
    <w:lvl w:ilvl="4">
      <w:start w:val="0"/>
      <w:numFmt w:val="bullet"/>
      <w:lvlText w:val="•"/>
      <w:lvlJc w:val="left"/>
      <w:pPr>
        <w:ind w:left="5682" w:hanging="420"/>
      </w:pPr>
      <w:rPr>
        <w:rFonts w:hint="default"/>
      </w:rPr>
    </w:lvl>
    <w:lvl w:ilvl="5">
      <w:start w:val="0"/>
      <w:numFmt w:val="bullet"/>
      <w:lvlText w:val="•"/>
      <w:lvlJc w:val="left"/>
      <w:pPr>
        <w:ind w:left="6383" w:hanging="420"/>
      </w:pPr>
      <w:rPr>
        <w:rFonts w:hint="default"/>
      </w:rPr>
    </w:lvl>
    <w:lvl w:ilvl="6">
      <w:start w:val="0"/>
      <w:numFmt w:val="bullet"/>
      <w:lvlText w:val="•"/>
      <w:lvlJc w:val="left"/>
      <w:pPr>
        <w:ind w:left="7083" w:hanging="420"/>
      </w:pPr>
      <w:rPr>
        <w:rFonts w:hint="default"/>
      </w:rPr>
    </w:lvl>
    <w:lvl w:ilvl="7">
      <w:start w:val="0"/>
      <w:numFmt w:val="bullet"/>
      <w:lvlText w:val="•"/>
      <w:lvlJc w:val="left"/>
      <w:pPr>
        <w:ind w:left="7784" w:hanging="420"/>
      </w:pPr>
      <w:rPr>
        <w:rFonts w:hint="default"/>
      </w:rPr>
    </w:lvl>
    <w:lvl w:ilvl="8">
      <w:start w:val="0"/>
      <w:numFmt w:val="bullet"/>
      <w:lvlText w:val="•"/>
      <w:lvlJc w:val="left"/>
      <w:pPr>
        <w:ind w:left="8485" w:hanging="420"/>
      </w:pPr>
      <w:rPr>
        <w:rFonts w:hint="default"/>
      </w:rPr>
    </w:lvl>
  </w:abstractNum>
  <w:abstractNum w:abstractNumId="15">
    <w:multiLevelType w:val="hybridMultilevel"/>
    <w:lvl w:ilvl="0">
      <w:start w:val="1"/>
      <w:numFmt w:val="decimal"/>
      <w:lvlText w:val="(%1)"/>
      <w:lvlJc w:val="left"/>
      <w:pPr>
        <w:ind w:left="2878" w:hanging="420"/>
        <w:jc w:val="left"/>
      </w:pPr>
      <w:rPr>
        <w:rFonts w:hint="default" w:ascii="宋体" w:hAnsi="宋体" w:eastAsia="宋体" w:cs="宋体"/>
        <w:w w:val="100"/>
        <w:sz w:val="22"/>
        <w:szCs w:val="22"/>
      </w:rPr>
    </w:lvl>
    <w:lvl w:ilvl="1">
      <w:start w:val="0"/>
      <w:numFmt w:val="bullet"/>
      <w:lvlText w:val="•"/>
      <w:lvlJc w:val="left"/>
      <w:pPr>
        <w:ind w:left="3580" w:hanging="420"/>
      </w:pPr>
      <w:rPr>
        <w:rFonts w:hint="default"/>
      </w:rPr>
    </w:lvl>
    <w:lvl w:ilvl="2">
      <w:start w:val="0"/>
      <w:numFmt w:val="bullet"/>
      <w:lvlText w:val="•"/>
      <w:lvlJc w:val="left"/>
      <w:pPr>
        <w:ind w:left="4281" w:hanging="420"/>
      </w:pPr>
      <w:rPr>
        <w:rFonts w:hint="default"/>
      </w:rPr>
    </w:lvl>
    <w:lvl w:ilvl="3">
      <w:start w:val="0"/>
      <w:numFmt w:val="bullet"/>
      <w:lvlText w:val="•"/>
      <w:lvlJc w:val="left"/>
      <w:pPr>
        <w:ind w:left="4981" w:hanging="420"/>
      </w:pPr>
      <w:rPr>
        <w:rFonts w:hint="default"/>
      </w:rPr>
    </w:lvl>
    <w:lvl w:ilvl="4">
      <w:start w:val="0"/>
      <w:numFmt w:val="bullet"/>
      <w:lvlText w:val="•"/>
      <w:lvlJc w:val="left"/>
      <w:pPr>
        <w:ind w:left="5682" w:hanging="420"/>
      </w:pPr>
      <w:rPr>
        <w:rFonts w:hint="default"/>
      </w:rPr>
    </w:lvl>
    <w:lvl w:ilvl="5">
      <w:start w:val="0"/>
      <w:numFmt w:val="bullet"/>
      <w:lvlText w:val="•"/>
      <w:lvlJc w:val="left"/>
      <w:pPr>
        <w:ind w:left="6383" w:hanging="420"/>
      </w:pPr>
      <w:rPr>
        <w:rFonts w:hint="default"/>
      </w:rPr>
    </w:lvl>
    <w:lvl w:ilvl="6">
      <w:start w:val="0"/>
      <w:numFmt w:val="bullet"/>
      <w:lvlText w:val="•"/>
      <w:lvlJc w:val="left"/>
      <w:pPr>
        <w:ind w:left="7083" w:hanging="420"/>
      </w:pPr>
      <w:rPr>
        <w:rFonts w:hint="default"/>
      </w:rPr>
    </w:lvl>
    <w:lvl w:ilvl="7">
      <w:start w:val="0"/>
      <w:numFmt w:val="bullet"/>
      <w:lvlText w:val="•"/>
      <w:lvlJc w:val="left"/>
      <w:pPr>
        <w:ind w:left="7784" w:hanging="420"/>
      </w:pPr>
      <w:rPr>
        <w:rFonts w:hint="default"/>
      </w:rPr>
    </w:lvl>
    <w:lvl w:ilvl="8">
      <w:start w:val="0"/>
      <w:numFmt w:val="bullet"/>
      <w:lvlText w:val="•"/>
      <w:lvlJc w:val="left"/>
      <w:pPr>
        <w:ind w:left="8485" w:hanging="420"/>
      </w:pPr>
      <w:rPr>
        <w:rFonts w:hint="default"/>
      </w:rPr>
    </w:lvl>
  </w:abstractNum>
  <w:abstractNum w:abstractNumId="14">
    <w:multiLevelType w:val="hybridMultilevel"/>
    <w:lvl w:ilvl="0">
      <w:start w:val="9"/>
      <w:numFmt w:val="decimal"/>
      <w:lvlText w:val="%1"/>
      <w:lvlJc w:val="left"/>
      <w:pPr>
        <w:ind w:left="2658" w:hanging="779"/>
        <w:jc w:val="left"/>
      </w:pPr>
      <w:rPr>
        <w:rFonts w:hint="default"/>
      </w:rPr>
    </w:lvl>
    <w:lvl w:ilvl="1">
      <w:start w:val="1"/>
      <w:numFmt w:val="decimal"/>
      <w:lvlText w:val="%1.%2"/>
      <w:lvlJc w:val="left"/>
      <w:pPr>
        <w:ind w:left="2658" w:hanging="779"/>
        <w:jc w:val="right"/>
      </w:pPr>
      <w:rPr>
        <w:rFonts w:hint="default" w:ascii="宋体" w:hAnsi="宋体" w:eastAsia="宋体" w:cs="宋体"/>
        <w:b/>
        <w:bCs/>
        <w:w w:val="99"/>
        <w:sz w:val="22"/>
        <w:szCs w:val="22"/>
      </w:rPr>
    </w:lvl>
    <w:lvl w:ilvl="2">
      <w:start w:val="1"/>
      <w:numFmt w:val="decimal"/>
      <w:lvlText w:val="(%3)"/>
      <w:lvlJc w:val="left"/>
      <w:pPr>
        <w:ind w:left="2458" w:hanging="420"/>
        <w:jc w:val="left"/>
      </w:pPr>
      <w:rPr>
        <w:rFonts w:hint="default" w:ascii="宋体" w:hAnsi="宋体" w:eastAsia="宋体" w:cs="宋体"/>
        <w:w w:val="100"/>
        <w:sz w:val="22"/>
        <w:szCs w:val="22"/>
      </w:rPr>
    </w:lvl>
    <w:lvl w:ilvl="3">
      <w:start w:val="0"/>
      <w:numFmt w:val="bullet"/>
      <w:lvlText w:val="•"/>
      <w:lvlJc w:val="left"/>
      <w:pPr>
        <w:ind w:left="4265" w:hanging="420"/>
      </w:pPr>
      <w:rPr>
        <w:rFonts w:hint="default"/>
      </w:rPr>
    </w:lvl>
    <w:lvl w:ilvl="4">
      <w:start w:val="0"/>
      <w:numFmt w:val="bullet"/>
      <w:lvlText w:val="•"/>
      <w:lvlJc w:val="left"/>
      <w:pPr>
        <w:ind w:left="5068" w:hanging="420"/>
      </w:pPr>
      <w:rPr>
        <w:rFonts w:hint="default"/>
      </w:rPr>
    </w:lvl>
    <w:lvl w:ilvl="5">
      <w:start w:val="0"/>
      <w:numFmt w:val="bullet"/>
      <w:lvlText w:val="•"/>
      <w:lvlJc w:val="left"/>
      <w:pPr>
        <w:ind w:left="5871" w:hanging="420"/>
      </w:pPr>
      <w:rPr>
        <w:rFonts w:hint="default"/>
      </w:rPr>
    </w:lvl>
    <w:lvl w:ilvl="6">
      <w:start w:val="0"/>
      <w:numFmt w:val="bullet"/>
      <w:lvlText w:val="•"/>
      <w:lvlJc w:val="left"/>
      <w:pPr>
        <w:ind w:left="6674" w:hanging="420"/>
      </w:pPr>
      <w:rPr>
        <w:rFonts w:hint="default"/>
      </w:rPr>
    </w:lvl>
    <w:lvl w:ilvl="7">
      <w:start w:val="0"/>
      <w:numFmt w:val="bullet"/>
      <w:lvlText w:val="•"/>
      <w:lvlJc w:val="left"/>
      <w:pPr>
        <w:ind w:left="7477" w:hanging="420"/>
      </w:pPr>
      <w:rPr>
        <w:rFonts w:hint="default"/>
      </w:rPr>
    </w:lvl>
    <w:lvl w:ilvl="8">
      <w:start w:val="0"/>
      <w:numFmt w:val="bullet"/>
      <w:lvlText w:val="•"/>
      <w:lvlJc w:val="left"/>
      <w:pPr>
        <w:ind w:left="8280" w:hanging="420"/>
      </w:pPr>
      <w:rPr>
        <w:rFonts w:hint="default"/>
      </w:rPr>
    </w:lvl>
  </w:abstractNum>
  <w:abstractNum w:abstractNumId="13">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2">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6"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6" w:hanging="454"/>
      </w:pPr>
      <w:rPr>
        <w:rFonts w:hint="default"/>
      </w:rPr>
    </w:lvl>
    <w:lvl w:ilvl="8">
      <w:start w:val="0"/>
      <w:numFmt w:val="bullet"/>
      <w:lvlText w:val="•"/>
      <w:lvlJc w:val="left"/>
      <w:pPr>
        <w:ind w:left="6212" w:hanging="454"/>
      </w:pPr>
      <w:rPr>
        <w:rFonts w:hint="default"/>
      </w:rPr>
    </w:lvl>
  </w:abstractNum>
  <w:abstractNum w:abstractNumId="11">
    <w:multiLevelType w:val="hybridMultilevel"/>
    <w:lvl w:ilvl="0">
      <w:start w:val="1"/>
      <w:numFmt w:val="decimal"/>
      <w:lvlText w:val="(%1)"/>
      <w:lvlJc w:val="left"/>
      <w:pPr>
        <w:ind w:left="505" w:hanging="454"/>
        <w:jc w:val="left"/>
      </w:pPr>
      <w:rPr>
        <w:rFonts w:hint="default" w:ascii="宋体" w:hAnsi="宋体" w:eastAsia="宋体" w:cs="宋体"/>
        <w:w w:val="100"/>
        <w:sz w:val="22"/>
        <w:szCs w:val="22"/>
      </w:rPr>
    </w:lvl>
    <w:lvl w:ilvl="1">
      <w:start w:val="0"/>
      <w:numFmt w:val="bullet"/>
      <w:lvlText w:val="•"/>
      <w:lvlJc w:val="left"/>
      <w:pPr>
        <w:ind w:left="1207" w:hanging="454"/>
      </w:pPr>
      <w:rPr>
        <w:rFonts w:hint="default"/>
      </w:rPr>
    </w:lvl>
    <w:lvl w:ilvl="2">
      <w:start w:val="0"/>
      <w:numFmt w:val="bullet"/>
      <w:lvlText w:val="•"/>
      <w:lvlJc w:val="left"/>
      <w:pPr>
        <w:ind w:left="1914" w:hanging="454"/>
      </w:pPr>
      <w:rPr>
        <w:rFonts w:hint="default"/>
      </w:rPr>
    </w:lvl>
    <w:lvl w:ilvl="3">
      <w:start w:val="0"/>
      <w:numFmt w:val="bullet"/>
      <w:lvlText w:val="•"/>
      <w:lvlJc w:val="left"/>
      <w:pPr>
        <w:ind w:left="2622" w:hanging="454"/>
      </w:pPr>
      <w:rPr>
        <w:rFonts w:hint="default"/>
      </w:rPr>
    </w:lvl>
    <w:lvl w:ilvl="4">
      <w:start w:val="0"/>
      <w:numFmt w:val="bullet"/>
      <w:lvlText w:val="•"/>
      <w:lvlJc w:val="left"/>
      <w:pPr>
        <w:ind w:left="3329" w:hanging="454"/>
      </w:pPr>
      <w:rPr>
        <w:rFonts w:hint="default"/>
      </w:rPr>
    </w:lvl>
    <w:lvl w:ilvl="5">
      <w:start w:val="0"/>
      <w:numFmt w:val="bullet"/>
      <w:lvlText w:val="•"/>
      <w:lvlJc w:val="left"/>
      <w:pPr>
        <w:ind w:left="4037" w:hanging="454"/>
      </w:pPr>
      <w:rPr>
        <w:rFonts w:hint="default"/>
      </w:rPr>
    </w:lvl>
    <w:lvl w:ilvl="6">
      <w:start w:val="0"/>
      <w:numFmt w:val="bullet"/>
      <w:lvlText w:val="•"/>
      <w:lvlJc w:val="left"/>
      <w:pPr>
        <w:ind w:left="4744" w:hanging="454"/>
      </w:pPr>
      <w:rPr>
        <w:rFonts w:hint="default"/>
      </w:rPr>
    </w:lvl>
    <w:lvl w:ilvl="7">
      <w:start w:val="0"/>
      <w:numFmt w:val="bullet"/>
      <w:lvlText w:val="•"/>
      <w:lvlJc w:val="left"/>
      <w:pPr>
        <w:ind w:left="5451" w:hanging="454"/>
      </w:pPr>
      <w:rPr>
        <w:rFonts w:hint="default"/>
      </w:rPr>
    </w:lvl>
    <w:lvl w:ilvl="8">
      <w:start w:val="0"/>
      <w:numFmt w:val="bullet"/>
      <w:lvlText w:val="•"/>
      <w:lvlJc w:val="left"/>
      <w:pPr>
        <w:ind w:left="6159" w:hanging="454"/>
      </w:pPr>
      <w:rPr>
        <w:rFonts w:hint="default"/>
      </w:rPr>
    </w:lvl>
  </w:abstractNum>
  <w:abstractNum w:abstractNumId="10">
    <w:multiLevelType w:val="hybridMultilevel"/>
    <w:lvl w:ilvl="0">
      <w:start w:val="3"/>
      <w:numFmt w:val="decimal"/>
      <w:lvlText w:val="(%1)"/>
      <w:lvlJc w:val="left"/>
      <w:pPr>
        <w:ind w:left="51" w:hanging="454"/>
        <w:jc w:val="left"/>
      </w:pPr>
      <w:rPr>
        <w:rFonts w:hint="default" w:ascii="宋体" w:hAnsi="宋体" w:eastAsia="宋体" w:cs="宋体"/>
        <w:w w:val="100"/>
        <w:sz w:val="22"/>
        <w:szCs w:val="22"/>
      </w:rPr>
    </w:lvl>
    <w:lvl w:ilvl="1">
      <w:start w:val="0"/>
      <w:numFmt w:val="bullet"/>
      <w:lvlText w:val="•"/>
      <w:lvlJc w:val="left"/>
      <w:pPr>
        <w:ind w:left="811" w:hanging="454"/>
      </w:pPr>
      <w:rPr>
        <w:rFonts w:hint="default"/>
      </w:rPr>
    </w:lvl>
    <w:lvl w:ilvl="2">
      <w:start w:val="0"/>
      <w:numFmt w:val="bullet"/>
      <w:lvlText w:val="•"/>
      <w:lvlJc w:val="left"/>
      <w:pPr>
        <w:ind w:left="1562" w:hanging="454"/>
      </w:pPr>
      <w:rPr>
        <w:rFonts w:hint="default"/>
      </w:rPr>
    </w:lvl>
    <w:lvl w:ilvl="3">
      <w:start w:val="0"/>
      <w:numFmt w:val="bullet"/>
      <w:lvlText w:val="•"/>
      <w:lvlJc w:val="left"/>
      <w:pPr>
        <w:ind w:left="2314" w:hanging="454"/>
      </w:pPr>
      <w:rPr>
        <w:rFonts w:hint="default"/>
      </w:rPr>
    </w:lvl>
    <w:lvl w:ilvl="4">
      <w:start w:val="0"/>
      <w:numFmt w:val="bullet"/>
      <w:lvlText w:val="•"/>
      <w:lvlJc w:val="left"/>
      <w:pPr>
        <w:ind w:left="3065" w:hanging="454"/>
      </w:pPr>
      <w:rPr>
        <w:rFonts w:hint="default"/>
      </w:rPr>
    </w:lvl>
    <w:lvl w:ilvl="5">
      <w:start w:val="0"/>
      <w:numFmt w:val="bullet"/>
      <w:lvlText w:val="•"/>
      <w:lvlJc w:val="left"/>
      <w:pPr>
        <w:ind w:left="3817" w:hanging="454"/>
      </w:pPr>
      <w:rPr>
        <w:rFonts w:hint="default"/>
      </w:rPr>
    </w:lvl>
    <w:lvl w:ilvl="6">
      <w:start w:val="0"/>
      <w:numFmt w:val="bullet"/>
      <w:lvlText w:val="•"/>
      <w:lvlJc w:val="left"/>
      <w:pPr>
        <w:ind w:left="4568" w:hanging="454"/>
      </w:pPr>
      <w:rPr>
        <w:rFonts w:hint="default"/>
      </w:rPr>
    </w:lvl>
    <w:lvl w:ilvl="7">
      <w:start w:val="0"/>
      <w:numFmt w:val="bullet"/>
      <w:lvlText w:val="•"/>
      <w:lvlJc w:val="left"/>
      <w:pPr>
        <w:ind w:left="5319" w:hanging="454"/>
      </w:pPr>
      <w:rPr>
        <w:rFonts w:hint="default"/>
      </w:rPr>
    </w:lvl>
    <w:lvl w:ilvl="8">
      <w:start w:val="0"/>
      <w:numFmt w:val="bullet"/>
      <w:lvlText w:val="•"/>
      <w:lvlJc w:val="left"/>
      <w:pPr>
        <w:ind w:left="6071" w:hanging="454"/>
      </w:pPr>
      <w:rPr>
        <w:rFonts w:hint="default"/>
      </w:rPr>
    </w:lvl>
  </w:abstractNum>
  <w:abstractNum w:abstractNumId="9">
    <w:multiLevelType w:val="hybridMultilevel"/>
    <w:lvl w:ilvl="0">
      <w:start w:val="1"/>
      <w:numFmt w:val="decimal"/>
      <w:lvlText w:val="(%1)"/>
      <w:lvlJc w:val="left"/>
      <w:pPr>
        <w:ind w:left="505" w:hanging="454"/>
        <w:jc w:val="left"/>
      </w:pPr>
      <w:rPr>
        <w:rFonts w:hint="default" w:ascii="宋体" w:hAnsi="宋体" w:eastAsia="宋体" w:cs="宋体"/>
        <w:w w:val="100"/>
        <w:sz w:val="22"/>
        <w:szCs w:val="22"/>
      </w:rPr>
    </w:lvl>
    <w:lvl w:ilvl="1">
      <w:start w:val="0"/>
      <w:numFmt w:val="bullet"/>
      <w:lvlText w:val="•"/>
      <w:lvlJc w:val="left"/>
      <w:pPr>
        <w:ind w:left="1206" w:hanging="454"/>
      </w:pPr>
      <w:rPr>
        <w:rFonts w:hint="default"/>
      </w:rPr>
    </w:lvl>
    <w:lvl w:ilvl="2">
      <w:start w:val="0"/>
      <w:numFmt w:val="bullet"/>
      <w:lvlText w:val="•"/>
      <w:lvlJc w:val="left"/>
      <w:pPr>
        <w:ind w:left="1913" w:hanging="454"/>
      </w:pPr>
      <w:rPr>
        <w:rFonts w:hint="default"/>
      </w:rPr>
    </w:lvl>
    <w:lvl w:ilvl="3">
      <w:start w:val="0"/>
      <w:numFmt w:val="bullet"/>
      <w:lvlText w:val="•"/>
      <w:lvlJc w:val="left"/>
      <w:pPr>
        <w:ind w:left="2619" w:hanging="454"/>
      </w:pPr>
      <w:rPr>
        <w:rFonts w:hint="default"/>
      </w:rPr>
    </w:lvl>
    <w:lvl w:ilvl="4">
      <w:start w:val="0"/>
      <w:numFmt w:val="bullet"/>
      <w:lvlText w:val="•"/>
      <w:lvlJc w:val="left"/>
      <w:pPr>
        <w:ind w:left="3326"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39" w:hanging="454"/>
      </w:pPr>
      <w:rPr>
        <w:rFonts w:hint="default"/>
      </w:rPr>
    </w:lvl>
    <w:lvl w:ilvl="7">
      <w:start w:val="0"/>
      <w:numFmt w:val="bullet"/>
      <w:lvlText w:val="•"/>
      <w:lvlJc w:val="left"/>
      <w:pPr>
        <w:ind w:left="5446" w:hanging="454"/>
      </w:pPr>
      <w:rPr>
        <w:rFonts w:hint="default"/>
      </w:rPr>
    </w:lvl>
    <w:lvl w:ilvl="8">
      <w:start w:val="0"/>
      <w:numFmt w:val="bullet"/>
      <w:lvlText w:val="•"/>
      <w:lvlJc w:val="left"/>
      <w:pPr>
        <w:ind w:left="6152" w:hanging="454"/>
      </w:pPr>
      <w:rPr>
        <w:rFonts w:hint="default"/>
      </w:rPr>
    </w:lvl>
  </w:abstractNum>
  <w:abstractNum w:abstractNumId="8">
    <w:multiLevelType w:val="hybridMultilevel"/>
    <w:lvl w:ilvl="0">
      <w:start w:val="1"/>
      <w:numFmt w:val="decimal"/>
      <w:lvlText w:val="(%1)"/>
      <w:lvlJc w:val="left"/>
      <w:pPr>
        <w:ind w:left="505" w:hanging="454"/>
        <w:jc w:val="left"/>
      </w:pPr>
      <w:rPr>
        <w:rFonts w:hint="default" w:ascii="宋体" w:hAnsi="宋体" w:eastAsia="宋体" w:cs="宋体"/>
        <w:w w:val="100"/>
        <w:sz w:val="22"/>
        <w:szCs w:val="22"/>
      </w:rPr>
    </w:lvl>
    <w:lvl w:ilvl="1">
      <w:start w:val="0"/>
      <w:numFmt w:val="bullet"/>
      <w:lvlText w:val="•"/>
      <w:lvlJc w:val="left"/>
      <w:pPr>
        <w:ind w:left="1206" w:hanging="454"/>
      </w:pPr>
      <w:rPr>
        <w:rFonts w:hint="default"/>
      </w:rPr>
    </w:lvl>
    <w:lvl w:ilvl="2">
      <w:start w:val="0"/>
      <w:numFmt w:val="bullet"/>
      <w:lvlText w:val="•"/>
      <w:lvlJc w:val="left"/>
      <w:pPr>
        <w:ind w:left="1913" w:hanging="454"/>
      </w:pPr>
      <w:rPr>
        <w:rFonts w:hint="default"/>
      </w:rPr>
    </w:lvl>
    <w:lvl w:ilvl="3">
      <w:start w:val="0"/>
      <w:numFmt w:val="bullet"/>
      <w:lvlText w:val="•"/>
      <w:lvlJc w:val="left"/>
      <w:pPr>
        <w:ind w:left="2619" w:hanging="454"/>
      </w:pPr>
      <w:rPr>
        <w:rFonts w:hint="default"/>
      </w:rPr>
    </w:lvl>
    <w:lvl w:ilvl="4">
      <w:start w:val="0"/>
      <w:numFmt w:val="bullet"/>
      <w:lvlText w:val="•"/>
      <w:lvlJc w:val="left"/>
      <w:pPr>
        <w:ind w:left="3326"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39" w:hanging="454"/>
      </w:pPr>
      <w:rPr>
        <w:rFonts w:hint="default"/>
      </w:rPr>
    </w:lvl>
    <w:lvl w:ilvl="7">
      <w:start w:val="0"/>
      <w:numFmt w:val="bullet"/>
      <w:lvlText w:val="•"/>
      <w:lvlJc w:val="left"/>
      <w:pPr>
        <w:ind w:left="5446" w:hanging="454"/>
      </w:pPr>
      <w:rPr>
        <w:rFonts w:hint="default"/>
      </w:rPr>
    </w:lvl>
    <w:lvl w:ilvl="8">
      <w:start w:val="0"/>
      <w:numFmt w:val="bullet"/>
      <w:lvlText w:val="•"/>
      <w:lvlJc w:val="left"/>
      <w:pPr>
        <w:ind w:left="6152" w:hanging="454"/>
      </w:pPr>
      <w:rPr>
        <w:rFonts w:hint="default"/>
      </w:rPr>
    </w:lvl>
  </w:abstractNum>
  <w:abstractNum w:abstractNumId="7">
    <w:multiLevelType w:val="hybridMultilevel"/>
    <w:lvl w:ilvl="0">
      <w:start w:val="0"/>
      <w:numFmt w:val="bullet"/>
      <w:lvlText w:val=""/>
      <w:lvlJc w:val="left"/>
      <w:pPr>
        <w:ind w:left="883" w:hanging="429"/>
      </w:pPr>
      <w:rPr>
        <w:rFonts w:hint="default" w:ascii="Wingdings" w:hAnsi="Wingdings" w:eastAsia="Wingdings" w:cs="Wingdings"/>
        <w:spacing w:val="-1"/>
        <w:w w:val="154"/>
        <w:position w:val="-5"/>
        <w:sz w:val="46"/>
        <w:szCs w:val="46"/>
      </w:rPr>
    </w:lvl>
    <w:lvl w:ilvl="1">
      <w:start w:val="0"/>
      <w:numFmt w:val="bullet"/>
      <w:lvlText w:val="•"/>
      <w:lvlJc w:val="left"/>
      <w:pPr>
        <w:ind w:left="1818" w:hanging="429"/>
      </w:pPr>
      <w:rPr>
        <w:rFonts w:hint="default"/>
      </w:rPr>
    </w:lvl>
    <w:lvl w:ilvl="2">
      <w:start w:val="0"/>
      <w:numFmt w:val="bullet"/>
      <w:lvlText w:val="•"/>
      <w:lvlJc w:val="left"/>
      <w:pPr>
        <w:ind w:left="2757" w:hanging="429"/>
      </w:pPr>
      <w:rPr>
        <w:rFonts w:hint="default"/>
      </w:rPr>
    </w:lvl>
    <w:lvl w:ilvl="3">
      <w:start w:val="0"/>
      <w:numFmt w:val="bullet"/>
      <w:lvlText w:val="•"/>
      <w:lvlJc w:val="left"/>
      <w:pPr>
        <w:ind w:left="3695" w:hanging="429"/>
      </w:pPr>
      <w:rPr>
        <w:rFonts w:hint="default"/>
      </w:rPr>
    </w:lvl>
    <w:lvl w:ilvl="4">
      <w:start w:val="0"/>
      <w:numFmt w:val="bullet"/>
      <w:lvlText w:val="•"/>
      <w:lvlJc w:val="left"/>
      <w:pPr>
        <w:ind w:left="4634" w:hanging="429"/>
      </w:pPr>
      <w:rPr>
        <w:rFonts w:hint="default"/>
      </w:rPr>
    </w:lvl>
    <w:lvl w:ilvl="5">
      <w:start w:val="0"/>
      <w:numFmt w:val="bullet"/>
      <w:lvlText w:val="•"/>
      <w:lvlJc w:val="left"/>
      <w:pPr>
        <w:ind w:left="5573" w:hanging="429"/>
      </w:pPr>
      <w:rPr>
        <w:rFonts w:hint="default"/>
      </w:rPr>
    </w:lvl>
    <w:lvl w:ilvl="6">
      <w:start w:val="0"/>
      <w:numFmt w:val="bullet"/>
      <w:lvlText w:val="•"/>
      <w:lvlJc w:val="left"/>
      <w:pPr>
        <w:ind w:left="6511" w:hanging="429"/>
      </w:pPr>
      <w:rPr>
        <w:rFonts w:hint="default"/>
      </w:rPr>
    </w:lvl>
    <w:lvl w:ilvl="7">
      <w:start w:val="0"/>
      <w:numFmt w:val="bullet"/>
      <w:lvlText w:val="•"/>
      <w:lvlJc w:val="left"/>
      <w:pPr>
        <w:ind w:left="7450" w:hanging="429"/>
      </w:pPr>
      <w:rPr>
        <w:rFonts w:hint="default"/>
      </w:rPr>
    </w:lvl>
    <w:lvl w:ilvl="8">
      <w:start w:val="0"/>
      <w:numFmt w:val="bullet"/>
      <w:lvlText w:val="•"/>
      <w:lvlJc w:val="left"/>
      <w:pPr>
        <w:ind w:left="8389" w:hanging="429"/>
      </w:pPr>
      <w:rPr>
        <w:rFonts w:hint="default"/>
      </w:rPr>
    </w:lvl>
  </w:abstractNum>
  <w:abstractNum w:abstractNumId="6">
    <w:multiLevelType w:val="hybridMultilevel"/>
    <w:lvl w:ilvl="0">
      <w:start w:val="2"/>
      <w:numFmt w:val="decimal"/>
      <w:lvlText w:val="%1"/>
      <w:lvlJc w:val="left"/>
      <w:pPr>
        <w:ind w:left="2443" w:hanging="776"/>
        <w:jc w:val="left"/>
      </w:pPr>
      <w:rPr>
        <w:rFonts w:hint="default"/>
      </w:rPr>
    </w:lvl>
    <w:lvl w:ilvl="1">
      <w:start w:val="3"/>
      <w:numFmt w:val="decimal"/>
      <w:lvlText w:val="%1.%2"/>
      <w:lvlJc w:val="left"/>
      <w:pPr>
        <w:ind w:left="2443" w:hanging="776"/>
        <w:jc w:val="left"/>
      </w:pPr>
      <w:rPr>
        <w:rFonts w:hint="default"/>
        <w:b/>
        <w:bCs/>
        <w:w w:val="99"/>
      </w:rPr>
    </w:lvl>
    <w:lvl w:ilvl="2">
      <w:start w:val="1"/>
      <w:numFmt w:val="decimal"/>
      <w:lvlText w:val="(%3)"/>
      <w:lvlJc w:val="left"/>
      <w:pPr>
        <w:ind w:left="2897" w:hanging="454"/>
        <w:jc w:val="left"/>
      </w:pPr>
      <w:rPr>
        <w:rFonts w:hint="default" w:ascii="宋体" w:hAnsi="宋体" w:eastAsia="宋体" w:cs="宋体"/>
        <w:w w:val="100"/>
        <w:sz w:val="22"/>
        <w:szCs w:val="22"/>
      </w:rPr>
    </w:lvl>
    <w:lvl w:ilvl="3">
      <w:start w:val="0"/>
      <w:numFmt w:val="bullet"/>
      <w:lvlText w:val="•"/>
      <w:lvlJc w:val="left"/>
      <w:pPr>
        <w:ind w:left="4448" w:hanging="454"/>
      </w:pPr>
      <w:rPr>
        <w:rFonts w:hint="default"/>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5">
    <w:multiLevelType w:val="hybridMultilevel"/>
    <w:lvl w:ilvl="0">
      <w:start w:val="0"/>
      <w:numFmt w:val="bullet"/>
      <w:lvlText w:val=""/>
      <w:lvlJc w:val="left"/>
      <w:pPr>
        <w:ind w:left="883" w:hanging="429"/>
      </w:pPr>
      <w:rPr>
        <w:rFonts w:hint="default" w:ascii="Wingdings" w:hAnsi="Wingdings" w:eastAsia="Wingdings" w:cs="Wingdings"/>
        <w:spacing w:val="-1"/>
        <w:w w:val="100"/>
        <w:position w:val="-5"/>
        <w:sz w:val="46"/>
        <w:szCs w:val="46"/>
      </w:rPr>
    </w:lvl>
    <w:lvl w:ilvl="1">
      <w:start w:val="0"/>
      <w:numFmt w:val="bullet"/>
      <w:lvlText w:val="•"/>
      <w:lvlJc w:val="left"/>
      <w:pPr>
        <w:ind w:left="1818" w:hanging="429"/>
      </w:pPr>
      <w:rPr>
        <w:rFonts w:hint="default"/>
      </w:rPr>
    </w:lvl>
    <w:lvl w:ilvl="2">
      <w:start w:val="0"/>
      <w:numFmt w:val="bullet"/>
      <w:lvlText w:val="•"/>
      <w:lvlJc w:val="left"/>
      <w:pPr>
        <w:ind w:left="2757" w:hanging="429"/>
      </w:pPr>
      <w:rPr>
        <w:rFonts w:hint="default"/>
      </w:rPr>
    </w:lvl>
    <w:lvl w:ilvl="3">
      <w:start w:val="0"/>
      <w:numFmt w:val="bullet"/>
      <w:lvlText w:val="•"/>
      <w:lvlJc w:val="left"/>
      <w:pPr>
        <w:ind w:left="3695" w:hanging="429"/>
      </w:pPr>
      <w:rPr>
        <w:rFonts w:hint="default"/>
      </w:rPr>
    </w:lvl>
    <w:lvl w:ilvl="4">
      <w:start w:val="0"/>
      <w:numFmt w:val="bullet"/>
      <w:lvlText w:val="•"/>
      <w:lvlJc w:val="left"/>
      <w:pPr>
        <w:ind w:left="4634" w:hanging="429"/>
      </w:pPr>
      <w:rPr>
        <w:rFonts w:hint="default"/>
      </w:rPr>
    </w:lvl>
    <w:lvl w:ilvl="5">
      <w:start w:val="0"/>
      <w:numFmt w:val="bullet"/>
      <w:lvlText w:val="•"/>
      <w:lvlJc w:val="left"/>
      <w:pPr>
        <w:ind w:left="5573" w:hanging="429"/>
      </w:pPr>
      <w:rPr>
        <w:rFonts w:hint="default"/>
      </w:rPr>
    </w:lvl>
    <w:lvl w:ilvl="6">
      <w:start w:val="0"/>
      <w:numFmt w:val="bullet"/>
      <w:lvlText w:val="•"/>
      <w:lvlJc w:val="left"/>
      <w:pPr>
        <w:ind w:left="6511" w:hanging="429"/>
      </w:pPr>
      <w:rPr>
        <w:rFonts w:hint="default"/>
      </w:rPr>
    </w:lvl>
    <w:lvl w:ilvl="7">
      <w:start w:val="0"/>
      <w:numFmt w:val="bullet"/>
      <w:lvlText w:val="•"/>
      <w:lvlJc w:val="left"/>
      <w:pPr>
        <w:ind w:left="7450" w:hanging="429"/>
      </w:pPr>
      <w:rPr>
        <w:rFonts w:hint="default"/>
      </w:rPr>
    </w:lvl>
    <w:lvl w:ilvl="8">
      <w:start w:val="0"/>
      <w:numFmt w:val="bullet"/>
      <w:lvlText w:val="•"/>
      <w:lvlJc w:val="left"/>
      <w:pPr>
        <w:ind w:left="8389" w:hanging="429"/>
      </w:pPr>
      <w:rPr>
        <w:rFonts w:hint="default"/>
      </w:rPr>
    </w:lvl>
  </w:abstractNum>
  <w:abstractNum w:abstractNumId="4">
    <w:multiLevelType w:val="hybridMultilevel"/>
    <w:lvl w:ilvl="0">
      <w:start w:val="0"/>
      <w:numFmt w:val="bullet"/>
      <w:lvlText w:val=""/>
      <w:lvlJc w:val="left"/>
      <w:pPr>
        <w:ind w:left="883" w:hanging="429"/>
      </w:pPr>
      <w:rPr>
        <w:rFonts w:hint="default" w:ascii="Wingdings" w:hAnsi="Wingdings" w:eastAsia="Wingdings" w:cs="Wingdings"/>
        <w:spacing w:val="-1"/>
        <w:w w:val="90"/>
        <w:position w:val="-5"/>
        <w:sz w:val="46"/>
        <w:szCs w:val="46"/>
      </w:rPr>
    </w:lvl>
    <w:lvl w:ilvl="1">
      <w:start w:val="0"/>
      <w:numFmt w:val="bullet"/>
      <w:lvlText w:val="•"/>
      <w:lvlJc w:val="left"/>
      <w:pPr>
        <w:ind w:left="1818" w:hanging="429"/>
      </w:pPr>
      <w:rPr>
        <w:rFonts w:hint="default"/>
      </w:rPr>
    </w:lvl>
    <w:lvl w:ilvl="2">
      <w:start w:val="0"/>
      <w:numFmt w:val="bullet"/>
      <w:lvlText w:val="•"/>
      <w:lvlJc w:val="left"/>
      <w:pPr>
        <w:ind w:left="2757" w:hanging="429"/>
      </w:pPr>
      <w:rPr>
        <w:rFonts w:hint="default"/>
      </w:rPr>
    </w:lvl>
    <w:lvl w:ilvl="3">
      <w:start w:val="0"/>
      <w:numFmt w:val="bullet"/>
      <w:lvlText w:val="•"/>
      <w:lvlJc w:val="left"/>
      <w:pPr>
        <w:ind w:left="3695" w:hanging="429"/>
      </w:pPr>
      <w:rPr>
        <w:rFonts w:hint="default"/>
      </w:rPr>
    </w:lvl>
    <w:lvl w:ilvl="4">
      <w:start w:val="0"/>
      <w:numFmt w:val="bullet"/>
      <w:lvlText w:val="•"/>
      <w:lvlJc w:val="left"/>
      <w:pPr>
        <w:ind w:left="4634" w:hanging="429"/>
      </w:pPr>
      <w:rPr>
        <w:rFonts w:hint="default"/>
      </w:rPr>
    </w:lvl>
    <w:lvl w:ilvl="5">
      <w:start w:val="0"/>
      <w:numFmt w:val="bullet"/>
      <w:lvlText w:val="•"/>
      <w:lvlJc w:val="left"/>
      <w:pPr>
        <w:ind w:left="5573" w:hanging="429"/>
      </w:pPr>
      <w:rPr>
        <w:rFonts w:hint="default"/>
      </w:rPr>
    </w:lvl>
    <w:lvl w:ilvl="6">
      <w:start w:val="0"/>
      <w:numFmt w:val="bullet"/>
      <w:lvlText w:val="•"/>
      <w:lvlJc w:val="left"/>
      <w:pPr>
        <w:ind w:left="6511" w:hanging="429"/>
      </w:pPr>
      <w:rPr>
        <w:rFonts w:hint="default"/>
      </w:rPr>
    </w:lvl>
    <w:lvl w:ilvl="7">
      <w:start w:val="0"/>
      <w:numFmt w:val="bullet"/>
      <w:lvlText w:val="•"/>
      <w:lvlJc w:val="left"/>
      <w:pPr>
        <w:ind w:left="7450" w:hanging="429"/>
      </w:pPr>
      <w:rPr>
        <w:rFonts w:hint="default"/>
      </w:rPr>
    </w:lvl>
    <w:lvl w:ilvl="8">
      <w:start w:val="0"/>
      <w:numFmt w:val="bullet"/>
      <w:lvlText w:val="•"/>
      <w:lvlJc w:val="left"/>
      <w:pPr>
        <w:ind w:left="8389" w:hanging="429"/>
      </w:pPr>
      <w:rPr>
        <w:rFonts w:hint="default"/>
      </w:rPr>
    </w:lvl>
  </w:abstractNum>
  <w:abstractNum w:abstractNumId="3">
    <w:multiLevelType w:val="hybridMultilevel"/>
    <w:lvl w:ilvl="0">
      <w:start w:val="9"/>
      <w:numFmt w:val="decimal"/>
      <w:lvlText w:val="%1"/>
      <w:lvlJc w:val="left"/>
      <w:pPr>
        <w:ind w:left="1129" w:hanging="567"/>
        <w:jc w:val="left"/>
      </w:pPr>
      <w:rPr>
        <w:rFonts w:hint="default"/>
      </w:rPr>
    </w:lvl>
    <w:lvl w:ilvl="1">
      <w:start w:val="4"/>
      <w:numFmt w:val="decimal"/>
      <w:lvlText w:val="%1.%2"/>
      <w:lvlJc w:val="left"/>
      <w:pPr>
        <w:ind w:left="1129" w:hanging="567"/>
        <w:jc w:val="left"/>
      </w:pPr>
      <w:rPr>
        <w:rFonts w:hint="default" w:ascii="宋体" w:hAnsi="宋体" w:eastAsia="宋体" w:cs="宋体"/>
        <w:w w:val="100"/>
        <w:sz w:val="21"/>
        <w:szCs w:val="21"/>
      </w:rPr>
    </w:lvl>
    <w:lvl w:ilvl="2">
      <w:start w:val="0"/>
      <w:numFmt w:val="bullet"/>
      <w:lvlText w:val="•"/>
      <w:lvlJc w:val="left"/>
      <w:pPr>
        <w:ind w:left="1526" w:hanging="567"/>
      </w:pPr>
      <w:rPr>
        <w:rFonts w:hint="default"/>
      </w:rPr>
    </w:lvl>
    <w:lvl w:ilvl="3">
      <w:start w:val="0"/>
      <w:numFmt w:val="bullet"/>
      <w:lvlText w:val="•"/>
      <w:lvlJc w:val="left"/>
      <w:pPr>
        <w:ind w:left="1729" w:hanging="567"/>
      </w:pPr>
      <w:rPr>
        <w:rFonts w:hint="default"/>
      </w:rPr>
    </w:lvl>
    <w:lvl w:ilvl="4">
      <w:start w:val="0"/>
      <w:numFmt w:val="bullet"/>
      <w:lvlText w:val="•"/>
      <w:lvlJc w:val="left"/>
      <w:pPr>
        <w:ind w:left="1932" w:hanging="567"/>
      </w:pPr>
      <w:rPr>
        <w:rFonts w:hint="default"/>
      </w:rPr>
    </w:lvl>
    <w:lvl w:ilvl="5">
      <w:start w:val="0"/>
      <w:numFmt w:val="bullet"/>
      <w:lvlText w:val="•"/>
      <w:lvlJc w:val="left"/>
      <w:pPr>
        <w:ind w:left="2136" w:hanging="567"/>
      </w:pPr>
      <w:rPr>
        <w:rFonts w:hint="default"/>
      </w:rPr>
    </w:lvl>
    <w:lvl w:ilvl="6">
      <w:start w:val="0"/>
      <w:numFmt w:val="bullet"/>
      <w:lvlText w:val="•"/>
      <w:lvlJc w:val="left"/>
      <w:pPr>
        <w:ind w:left="2339" w:hanging="567"/>
      </w:pPr>
      <w:rPr>
        <w:rFonts w:hint="default"/>
      </w:rPr>
    </w:lvl>
    <w:lvl w:ilvl="7">
      <w:start w:val="0"/>
      <w:numFmt w:val="bullet"/>
      <w:lvlText w:val="•"/>
      <w:lvlJc w:val="left"/>
      <w:pPr>
        <w:ind w:left="2542" w:hanging="567"/>
      </w:pPr>
      <w:rPr>
        <w:rFonts w:hint="default"/>
      </w:rPr>
    </w:lvl>
    <w:lvl w:ilvl="8">
      <w:start w:val="0"/>
      <w:numFmt w:val="bullet"/>
      <w:lvlText w:val="•"/>
      <w:lvlJc w:val="left"/>
      <w:pPr>
        <w:ind w:left="2745" w:hanging="567"/>
      </w:pPr>
      <w:rPr>
        <w:rFonts w:hint="default"/>
      </w:rPr>
    </w:lvl>
  </w:abstractNum>
  <w:abstractNum w:abstractNumId="2">
    <w:multiLevelType w:val="hybridMultilevel"/>
    <w:lvl w:ilvl="0">
      <w:start w:val="5"/>
      <w:numFmt w:val="decimal"/>
      <w:lvlText w:val="%1"/>
      <w:lvlJc w:val="left"/>
      <w:pPr>
        <w:ind w:left="1127" w:hanging="567"/>
        <w:jc w:val="right"/>
      </w:pPr>
      <w:rPr>
        <w:rFonts w:hint="default"/>
      </w:rPr>
    </w:lvl>
    <w:lvl w:ilvl="1">
      <w:start w:val="1"/>
      <w:numFmt w:val="decimal"/>
      <w:lvlText w:val="%1.%2"/>
      <w:lvlJc w:val="left"/>
      <w:pPr>
        <w:ind w:left="1127" w:hanging="567"/>
        <w:jc w:val="left"/>
      </w:pPr>
      <w:rPr>
        <w:rFonts w:hint="default" w:ascii="宋体" w:hAnsi="宋体" w:eastAsia="宋体" w:cs="宋体"/>
        <w:w w:val="100"/>
        <w:sz w:val="21"/>
        <w:szCs w:val="21"/>
      </w:rPr>
    </w:lvl>
    <w:lvl w:ilvl="2">
      <w:start w:val="0"/>
      <w:numFmt w:val="bullet"/>
      <w:lvlText w:val="•"/>
      <w:lvlJc w:val="left"/>
      <w:pPr>
        <w:ind w:left="1599" w:hanging="567"/>
      </w:pPr>
      <w:rPr>
        <w:rFonts w:hint="default"/>
      </w:rPr>
    </w:lvl>
    <w:lvl w:ilvl="3">
      <w:start w:val="0"/>
      <w:numFmt w:val="bullet"/>
      <w:lvlText w:val="•"/>
      <w:lvlJc w:val="left"/>
      <w:pPr>
        <w:ind w:left="1838" w:hanging="567"/>
      </w:pPr>
      <w:rPr>
        <w:rFonts w:hint="default"/>
      </w:rPr>
    </w:lvl>
    <w:lvl w:ilvl="4">
      <w:start w:val="0"/>
      <w:numFmt w:val="bullet"/>
      <w:lvlText w:val="•"/>
      <w:lvlJc w:val="left"/>
      <w:pPr>
        <w:ind w:left="2078" w:hanging="567"/>
      </w:pPr>
      <w:rPr>
        <w:rFonts w:hint="default"/>
      </w:rPr>
    </w:lvl>
    <w:lvl w:ilvl="5">
      <w:start w:val="0"/>
      <w:numFmt w:val="bullet"/>
      <w:lvlText w:val="•"/>
      <w:lvlJc w:val="left"/>
      <w:pPr>
        <w:ind w:left="2318" w:hanging="567"/>
      </w:pPr>
      <w:rPr>
        <w:rFonts w:hint="default"/>
      </w:rPr>
    </w:lvl>
    <w:lvl w:ilvl="6">
      <w:start w:val="0"/>
      <w:numFmt w:val="bullet"/>
      <w:lvlText w:val="•"/>
      <w:lvlJc w:val="left"/>
      <w:pPr>
        <w:ind w:left="2557" w:hanging="567"/>
      </w:pPr>
      <w:rPr>
        <w:rFonts w:hint="default"/>
      </w:rPr>
    </w:lvl>
    <w:lvl w:ilvl="7">
      <w:start w:val="0"/>
      <w:numFmt w:val="bullet"/>
      <w:lvlText w:val="•"/>
      <w:lvlJc w:val="left"/>
      <w:pPr>
        <w:ind w:left="2797" w:hanging="567"/>
      </w:pPr>
      <w:rPr>
        <w:rFonts w:hint="default"/>
      </w:rPr>
    </w:lvl>
    <w:lvl w:ilvl="8">
      <w:start w:val="0"/>
      <w:numFmt w:val="bullet"/>
      <w:lvlText w:val="•"/>
      <w:lvlJc w:val="left"/>
      <w:pPr>
        <w:ind w:left="3036" w:hanging="567"/>
      </w:pPr>
      <w:rPr>
        <w:rFonts w:hint="default"/>
      </w:rPr>
    </w:lvl>
  </w:abstractNum>
  <w:abstractNum w:abstractNumId="1">
    <w:multiLevelType w:val="hybridMultilevel"/>
    <w:lvl w:ilvl="0">
      <w:start w:val="1"/>
      <w:numFmt w:val="decimal"/>
      <w:lvlText w:val="%1"/>
      <w:lvlJc w:val="left"/>
      <w:pPr>
        <w:ind w:left="481" w:hanging="282"/>
        <w:jc w:val="left"/>
      </w:pPr>
      <w:rPr>
        <w:rFonts w:hint="default" w:ascii="宋体" w:hAnsi="宋体" w:eastAsia="宋体" w:cs="宋体"/>
        <w:b/>
        <w:bCs/>
        <w:w w:val="99"/>
        <w:sz w:val="22"/>
        <w:szCs w:val="22"/>
      </w:rPr>
    </w:lvl>
    <w:lvl w:ilvl="1">
      <w:start w:val="1"/>
      <w:numFmt w:val="decimal"/>
      <w:lvlText w:val="%1.%2"/>
      <w:lvlJc w:val="left"/>
      <w:pPr>
        <w:ind w:left="1047" w:hanging="567"/>
        <w:jc w:val="left"/>
      </w:pPr>
      <w:rPr>
        <w:rFonts w:hint="default" w:ascii="宋体" w:hAnsi="宋体" w:eastAsia="宋体" w:cs="宋体"/>
        <w:w w:val="100"/>
        <w:sz w:val="21"/>
        <w:szCs w:val="21"/>
      </w:rPr>
    </w:lvl>
    <w:lvl w:ilvl="2">
      <w:start w:val="0"/>
      <w:numFmt w:val="bullet"/>
      <w:lvlText w:val="•"/>
      <w:lvlJc w:val="left"/>
      <w:pPr>
        <w:ind w:left="1270" w:hanging="567"/>
      </w:pPr>
      <w:rPr>
        <w:rFonts w:hint="default"/>
      </w:rPr>
    </w:lvl>
    <w:lvl w:ilvl="3">
      <w:start w:val="0"/>
      <w:numFmt w:val="bullet"/>
      <w:lvlText w:val="•"/>
      <w:lvlJc w:val="left"/>
      <w:pPr>
        <w:ind w:left="1500" w:hanging="567"/>
      </w:pPr>
      <w:rPr>
        <w:rFonts w:hint="default"/>
      </w:rPr>
    </w:lvl>
    <w:lvl w:ilvl="4">
      <w:start w:val="0"/>
      <w:numFmt w:val="bullet"/>
      <w:lvlText w:val="•"/>
      <w:lvlJc w:val="left"/>
      <w:pPr>
        <w:ind w:left="1730" w:hanging="567"/>
      </w:pPr>
      <w:rPr>
        <w:rFonts w:hint="default"/>
      </w:rPr>
    </w:lvl>
    <w:lvl w:ilvl="5">
      <w:start w:val="0"/>
      <w:numFmt w:val="bullet"/>
      <w:lvlText w:val="•"/>
      <w:lvlJc w:val="left"/>
      <w:pPr>
        <w:ind w:left="1960" w:hanging="567"/>
      </w:pPr>
      <w:rPr>
        <w:rFonts w:hint="default"/>
      </w:rPr>
    </w:lvl>
    <w:lvl w:ilvl="6">
      <w:start w:val="0"/>
      <w:numFmt w:val="bullet"/>
      <w:lvlText w:val="•"/>
      <w:lvlJc w:val="left"/>
      <w:pPr>
        <w:ind w:left="2190" w:hanging="567"/>
      </w:pPr>
      <w:rPr>
        <w:rFonts w:hint="default"/>
      </w:rPr>
    </w:lvl>
    <w:lvl w:ilvl="7">
      <w:start w:val="0"/>
      <w:numFmt w:val="bullet"/>
      <w:lvlText w:val="•"/>
      <w:lvlJc w:val="left"/>
      <w:pPr>
        <w:ind w:left="2420" w:hanging="567"/>
      </w:pPr>
      <w:rPr>
        <w:rFonts w:hint="default"/>
      </w:rPr>
    </w:lvl>
    <w:lvl w:ilvl="8">
      <w:start w:val="0"/>
      <w:numFmt w:val="bullet"/>
      <w:lvlText w:val="•"/>
      <w:lvlJc w:val="left"/>
      <w:pPr>
        <w:ind w:left="2650" w:hanging="567"/>
      </w:pPr>
      <w:rPr>
        <w:rFonts w:hint="default"/>
      </w:rPr>
    </w:lvl>
  </w:abstractNum>
  <w:abstractNum w:abstractNumId="0">
    <w:multiLevelType w:val="hybridMultilevel"/>
    <w:lvl w:ilvl="0">
      <w:start w:val="0"/>
      <w:numFmt w:val="bullet"/>
      <w:lvlText w:val=""/>
      <w:lvlJc w:val="left"/>
      <w:pPr>
        <w:ind w:left="738" w:hanging="198"/>
      </w:pPr>
      <w:rPr>
        <w:rFonts w:hint="default" w:ascii="Wingdings" w:hAnsi="Wingdings" w:eastAsia="Wingdings" w:cs="Wingdings"/>
        <w:w w:val="100"/>
        <w:sz w:val="20"/>
        <w:szCs w:val="20"/>
      </w:rPr>
    </w:lvl>
    <w:lvl w:ilvl="1">
      <w:start w:val="0"/>
      <w:numFmt w:val="bullet"/>
      <w:lvlText w:val="•"/>
      <w:lvlJc w:val="left"/>
      <w:pPr>
        <w:ind w:left="1676" w:hanging="198"/>
      </w:pPr>
      <w:rPr>
        <w:rFonts w:hint="default"/>
      </w:rPr>
    </w:lvl>
    <w:lvl w:ilvl="2">
      <w:start w:val="0"/>
      <w:numFmt w:val="bullet"/>
      <w:lvlText w:val="•"/>
      <w:lvlJc w:val="left"/>
      <w:pPr>
        <w:ind w:left="2613" w:hanging="198"/>
      </w:pPr>
      <w:rPr>
        <w:rFonts w:hint="default"/>
      </w:rPr>
    </w:lvl>
    <w:lvl w:ilvl="3">
      <w:start w:val="0"/>
      <w:numFmt w:val="bullet"/>
      <w:lvlText w:val="•"/>
      <w:lvlJc w:val="left"/>
      <w:pPr>
        <w:ind w:left="3549" w:hanging="198"/>
      </w:pPr>
      <w:rPr>
        <w:rFonts w:hint="default"/>
      </w:rPr>
    </w:lvl>
    <w:lvl w:ilvl="4">
      <w:start w:val="0"/>
      <w:numFmt w:val="bullet"/>
      <w:lvlText w:val="•"/>
      <w:lvlJc w:val="left"/>
      <w:pPr>
        <w:ind w:left="4486" w:hanging="198"/>
      </w:pPr>
      <w:rPr>
        <w:rFonts w:hint="default"/>
      </w:rPr>
    </w:lvl>
    <w:lvl w:ilvl="5">
      <w:start w:val="0"/>
      <w:numFmt w:val="bullet"/>
      <w:lvlText w:val="•"/>
      <w:lvlJc w:val="left"/>
      <w:pPr>
        <w:ind w:left="5423" w:hanging="198"/>
      </w:pPr>
      <w:rPr>
        <w:rFonts w:hint="default"/>
      </w:rPr>
    </w:lvl>
    <w:lvl w:ilvl="6">
      <w:start w:val="0"/>
      <w:numFmt w:val="bullet"/>
      <w:lvlText w:val="•"/>
      <w:lvlJc w:val="left"/>
      <w:pPr>
        <w:ind w:left="6359" w:hanging="198"/>
      </w:pPr>
      <w:rPr>
        <w:rFonts w:hint="default"/>
      </w:rPr>
    </w:lvl>
    <w:lvl w:ilvl="7">
      <w:start w:val="0"/>
      <w:numFmt w:val="bullet"/>
      <w:lvlText w:val="•"/>
      <w:lvlJc w:val="left"/>
      <w:pPr>
        <w:ind w:left="7296" w:hanging="198"/>
      </w:pPr>
      <w:rPr>
        <w:rFonts w:hint="default"/>
      </w:rPr>
    </w:lvl>
    <w:lvl w:ilvl="8">
      <w:start w:val="0"/>
      <w:numFmt w:val="bullet"/>
      <w:lvlText w:val="•"/>
      <w:lvlJc w:val="left"/>
      <w:pPr>
        <w:ind w:left="8233" w:hanging="198"/>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2675" w:right="2675"/>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4"/>
      <w:ind w:left="454"/>
      <w:outlineLvl w:val="2"/>
    </w:pPr>
    <w:rPr>
      <w:rFonts w:ascii="宋体" w:hAnsi="宋体" w:eastAsia="宋体" w:cs="宋体"/>
      <w:b/>
      <w:bCs/>
      <w:sz w:val="30"/>
      <w:szCs w:val="30"/>
    </w:rPr>
  </w:style>
  <w:style w:styleId="Heading3" w:type="paragraph">
    <w:name w:val="Heading 3"/>
    <w:basedOn w:val="Normal"/>
    <w:uiPriority w:val="1"/>
    <w:qFormat/>
    <w:pPr>
      <w:spacing w:before="33"/>
      <w:ind w:left="230"/>
      <w:outlineLvl w:val="3"/>
    </w:pPr>
    <w:rPr>
      <w:rFonts w:ascii="宋体" w:hAnsi="宋体" w:eastAsia="宋体" w:cs="宋体"/>
      <w:b/>
      <w:bCs/>
      <w:sz w:val="22"/>
      <w:szCs w:val="22"/>
    </w:rPr>
  </w:style>
  <w:style w:styleId="ListParagraph" w:type="paragraph">
    <w:name w:val="List Paragraph"/>
    <w:basedOn w:val="Normal"/>
    <w:uiPriority w:val="1"/>
    <w:qFormat/>
    <w:pPr>
      <w:spacing w:before="91"/>
      <w:ind w:left="53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2018-10-19T21:39:41Z</dcterms:created>
  <dcterms:modified xsi:type="dcterms:W3CDTF">2018-10-19T21:39:41Z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