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30" w:right="0" w:firstLine="0"/>
        <w:jc w:val="lef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020 号</w:t>
      </w:r>
    </w:p>
    <w:p>
      <w:pPr>
        <w:spacing w:after="0"/>
        <w:jc w:val="left"/>
        <w:rPr>
          <w:sz w:val="20"/>
        </w:rPr>
        <w:sectPr>
          <w:footerReference w:type="default" r:id="rId5"/>
          <w:type w:val="continuous"/>
          <w:pgSz w:w="11910" w:h="16840"/>
          <w:pgMar w:footer="1140" w:top="1420" w:bottom="1340" w:left="1680" w:right="1680"/>
          <w:pgNumType w:start="1"/>
        </w:sectPr>
      </w:pPr>
    </w:p>
    <w:p>
      <w:pPr>
        <w:pStyle w:val="BodyText"/>
        <w:spacing w:before="9"/>
        <w:ind w:left="0"/>
        <w:rPr>
          <w:sz w:val="29"/>
        </w:rPr>
      </w:pPr>
    </w:p>
    <w:p>
      <w:pPr>
        <w:spacing w:before="0"/>
        <w:ind w:left="2667" w:right="0" w:firstLine="0"/>
        <w:jc w:val="left"/>
        <w:rPr>
          <w:b/>
          <w:sz w:val="32"/>
        </w:rPr>
      </w:pPr>
      <w:r>
        <w:rPr>
          <w:b/>
          <w:w w:val="95"/>
          <w:sz w:val="32"/>
        </w:rPr>
        <w:t>长生人寿保险有限公司</w:t>
      </w:r>
    </w:p>
    <w:p>
      <w:pPr>
        <w:spacing w:before="19"/>
        <w:ind w:left="509" w:right="0" w:firstLine="0"/>
        <w:jc w:val="left"/>
        <w:rPr>
          <w:sz w:val="20"/>
        </w:rPr>
      </w:pPr>
      <w:r>
        <w:rPr/>
        <w:br w:type="column"/>
      </w:r>
      <w:r>
        <w:rPr>
          <w:sz w:val="20"/>
        </w:rPr>
        <w:t>请扫描以查询验证条款</w:t>
      </w:r>
    </w:p>
    <w:p>
      <w:pPr>
        <w:spacing w:after="0"/>
        <w:jc w:val="left"/>
        <w:rPr>
          <w:sz w:val="20"/>
        </w:rPr>
        <w:sectPr>
          <w:type w:val="continuous"/>
          <w:pgSz w:w="11910" w:h="16840"/>
          <w:pgMar w:top="1420" w:bottom="1340" w:left="1680" w:right="1680"/>
          <w:cols w:num="2" w:equalWidth="0">
            <w:col w:w="5881" w:space="40"/>
            <w:col w:w="2629"/>
          </w:cols>
        </w:sectPr>
      </w:pPr>
    </w:p>
    <w:p>
      <w:pPr>
        <w:tabs>
          <w:tab w:pos="2586" w:val="left" w:leader="none"/>
        </w:tabs>
        <w:spacing w:line="477" w:lineRule="auto" w:before="113"/>
        <w:ind w:left="2104" w:right="2100" w:firstLine="0"/>
        <w:jc w:val="center"/>
        <w:rPr>
          <w:b/>
          <w:sz w:val="24"/>
        </w:rPr>
      </w:pPr>
      <w:r>
        <w:rPr>
          <w:b/>
          <w:w w:val="95"/>
          <w:sz w:val="24"/>
        </w:rPr>
        <w:t>长生附加额外给付定期重大疾病保险条款</w:t>
      </w:r>
      <w:r>
        <w:rPr>
          <w:b/>
          <w:sz w:val="24"/>
        </w:rPr>
        <w:t>目</w:t>
        <w:tab/>
        <w:t>录</w:t>
      </w:r>
    </w:p>
    <w:sdt>
      <w:sdtPr>
        <w:docPartObj>
          <w:docPartGallery w:val="Table of Contents"/>
          <w:docPartUnique/>
        </w:docPartObj>
      </w:sdtPr>
      <w:sdtEndPr/>
      <w:sdtContent>
        <w:p>
          <w:pPr>
            <w:pStyle w:val="TOC1"/>
            <w:tabs>
              <w:tab w:pos="1377" w:val="left" w:leader="none"/>
              <w:tab w:pos="8419" w:val="right" w:leader="dot"/>
            </w:tabs>
            <w:spacing w:before="96"/>
            <w:rPr>
              <w:rFonts w:ascii="Times New Roman" w:eastAsia="Times New Roman"/>
            </w:rPr>
          </w:pPr>
          <w:hyperlink w:history="true" w:anchor="_TOC_250006">
            <w:r>
              <w:rPr/>
              <w:t>第一章</w:t>
              <w:tab/>
              <w:t>附加保险合同构成及投保范围</w:t>
              <w:tab/>
            </w:r>
            <w:r>
              <w:rPr>
                <w:rFonts w:ascii="Times New Roman" w:eastAsia="Times New Roman"/>
              </w:rPr>
              <w:t>2</w:t>
            </w:r>
          </w:hyperlink>
        </w:p>
        <w:p>
          <w:pPr>
            <w:pStyle w:val="TOC2"/>
            <w:tabs>
              <w:tab w:pos="1737" w:val="left" w:leader="none"/>
              <w:tab w:pos="8413" w:val="right" w:leader="dot"/>
            </w:tabs>
            <w:rPr>
              <w:rFonts w:ascii="Times New Roman" w:eastAsia="Times New Roman"/>
            </w:rPr>
          </w:pPr>
          <w:r>
            <w:rPr/>
            <w:t>第一条</w:t>
            <w:tab/>
            <w:t>附加保险合同构成</w:t>
            <w:tab/>
          </w:r>
          <w:r>
            <w:rPr>
              <w:rFonts w:ascii="Times New Roman" w:eastAsia="Times New Roman"/>
            </w:rPr>
            <w:t>2</w:t>
          </w:r>
        </w:p>
        <w:p>
          <w:pPr>
            <w:pStyle w:val="TOC2"/>
            <w:tabs>
              <w:tab w:pos="1737" w:val="left" w:leader="none"/>
              <w:tab w:pos="8413" w:val="right" w:leader="dot"/>
            </w:tabs>
            <w:rPr>
              <w:rFonts w:ascii="Times New Roman" w:eastAsia="Times New Roman"/>
            </w:rPr>
          </w:pPr>
          <w:r>
            <w:rPr/>
            <w:t>第二条</w:t>
            <w:tab/>
            <w:t>投保范围</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5">
            <w:r>
              <w:rPr/>
              <w:t>第二章</w:t>
              <w:tab/>
              <w:t>保险责任及责任免除</w:t>
              <w:tab/>
            </w:r>
            <w:r>
              <w:rPr>
                <w:rFonts w:ascii="Times New Roman" w:eastAsia="Times New Roman"/>
              </w:rPr>
              <w:t>2</w:t>
            </w:r>
          </w:hyperlink>
        </w:p>
        <w:p>
          <w:pPr>
            <w:pStyle w:val="TOC2"/>
            <w:tabs>
              <w:tab w:pos="1737" w:val="left" w:leader="none"/>
              <w:tab w:pos="8413" w:val="right" w:leader="dot"/>
            </w:tabs>
            <w:rPr>
              <w:rFonts w:ascii="Times New Roman" w:eastAsia="Times New Roman"/>
            </w:rPr>
          </w:pPr>
          <w:r>
            <w:rPr/>
            <w:t>第三条</w:t>
            <w:tab/>
            <w:t>保险责任</w:t>
            <w:tab/>
          </w:r>
          <w:r>
            <w:rPr>
              <w:rFonts w:ascii="Times New Roman" w:eastAsia="Times New Roman"/>
            </w:rPr>
            <w:t>2</w:t>
          </w:r>
        </w:p>
        <w:p>
          <w:pPr>
            <w:pStyle w:val="TOC2"/>
            <w:tabs>
              <w:tab w:pos="1737" w:val="left" w:leader="none"/>
              <w:tab w:pos="8413" w:val="right" w:leader="dot"/>
            </w:tabs>
            <w:rPr>
              <w:rFonts w:ascii="Times New Roman" w:eastAsia="Times New Roman"/>
            </w:rPr>
          </w:pPr>
          <w:r>
            <w:rPr/>
            <w:t>第四条</w:t>
            <w:tab/>
            <w:t>责任免除</w:t>
            <w:tab/>
          </w:r>
          <w:r>
            <w:rPr>
              <w:rFonts w:ascii="Times New Roman" w:eastAsia="Times New Roman"/>
            </w:rPr>
            <w:t>2</w:t>
          </w:r>
        </w:p>
        <w:p>
          <w:pPr>
            <w:pStyle w:val="TOC1"/>
            <w:tabs>
              <w:tab w:pos="1377" w:val="left" w:leader="none"/>
              <w:tab w:pos="8419" w:val="right" w:leader="dot"/>
            </w:tabs>
            <w:rPr>
              <w:rFonts w:ascii="Times New Roman" w:eastAsia="Times New Roman"/>
            </w:rPr>
          </w:pPr>
          <w:hyperlink w:history="true" w:anchor="_TOC_250004">
            <w:r>
              <w:rPr/>
              <w:t>第三章</w:t>
              <w:tab/>
              <w:t>保险金额、保险费及宽限期</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第五条</w:t>
            <w:tab/>
            <w:t>保险金额</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第六条</w:t>
            <w:tab/>
            <w:t>保险费及宽限期</w:t>
            <w:tab/>
          </w:r>
          <w:r>
            <w:rPr>
              <w:rFonts w:ascii="Times New Roman" w:eastAsia="Times New Roman"/>
            </w:rPr>
            <w:t>3</w:t>
          </w:r>
        </w:p>
        <w:p>
          <w:pPr>
            <w:pStyle w:val="TOC1"/>
            <w:tabs>
              <w:tab w:pos="1377" w:val="left" w:leader="none"/>
              <w:tab w:pos="8419" w:val="right" w:leader="dot"/>
            </w:tabs>
            <w:rPr>
              <w:rFonts w:ascii="Times New Roman" w:eastAsia="Times New Roman"/>
            </w:rPr>
          </w:pPr>
          <w:hyperlink w:history="true" w:anchor="_TOC_250003">
            <w:r>
              <w:rPr/>
              <w:t>第四章</w:t>
              <w:tab/>
              <w:t>保险期间、保险合同成立与生效、解除及终止</w:t>
              <w:tab/>
            </w:r>
            <w:r>
              <w:rPr>
                <w:rFonts w:ascii="Times New Roman" w:eastAsia="Times New Roman"/>
              </w:rPr>
              <w:t>3</w:t>
            </w:r>
          </w:hyperlink>
        </w:p>
        <w:p>
          <w:pPr>
            <w:pStyle w:val="TOC2"/>
            <w:tabs>
              <w:tab w:pos="1737" w:val="left" w:leader="none"/>
              <w:tab w:pos="8413" w:val="right" w:leader="dot"/>
            </w:tabs>
            <w:rPr>
              <w:rFonts w:ascii="Times New Roman" w:eastAsia="Times New Roman"/>
            </w:rPr>
          </w:pPr>
          <w:r>
            <w:rPr/>
            <w:t>第七条</w:t>
            <w:tab/>
            <w:t>保险期间</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第八条</w:t>
            <w:tab/>
            <w:t>保险合同成立与生效</w:t>
            <w:tab/>
          </w:r>
          <w:r>
            <w:rPr>
              <w:rFonts w:ascii="Times New Roman" w:eastAsia="Times New Roman"/>
            </w:rPr>
            <w:t>3</w:t>
          </w:r>
        </w:p>
        <w:p>
          <w:pPr>
            <w:pStyle w:val="TOC2"/>
            <w:tabs>
              <w:tab w:pos="1737" w:val="left" w:leader="none"/>
              <w:tab w:pos="8413" w:val="right" w:leader="dot"/>
            </w:tabs>
            <w:rPr>
              <w:rFonts w:ascii="Times New Roman" w:eastAsia="Times New Roman"/>
            </w:rPr>
          </w:pPr>
          <w:r>
            <w:rPr/>
            <w:t>第九条</w:t>
            <w:tab/>
            <w:t>投保人解除合同</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第十条</w:t>
            <w:tab/>
            <w:t>附加合同效力终止</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2">
            <w:r>
              <w:rPr/>
              <w:t>第五章</w:t>
              <w:tab/>
              <w:t>保险金申请</w:t>
              <w:tab/>
            </w:r>
            <w:r>
              <w:rPr>
                <w:rFonts w:ascii="Times New Roman" w:eastAsia="Times New Roman"/>
              </w:rPr>
              <w:t>4</w:t>
            </w:r>
          </w:hyperlink>
        </w:p>
        <w:p>
          <w:pPr>
            <w:pStyle w:val="TOC2"/>
            <w:tabs>
              <w:tab w:pos="1737" w:val="left" w:leader="none"/>
              <w:tab w:pos="8413" w:val="right" w:leader="dot"/>
            </w:tabs>
            <w:rPr>
              <w:rFonts w:ascii="Times New Roman" w:eastAsia="Times New Roman"/>
            </w:rPr>
          </w:pPr>
          <w:r>
            <w:rPr/>
            <w:t>第十一条</w:t>
            <w:tab/>
            <w:t>诉讼时效</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第十二条</w:t>
            <w:tab/>
            <w:t>保险金申请</w:t>
            <w:tab/>
          </w:r>
          <w:r>
            <w:rPr>
              <w:rFonts w:ascii="Times New Roman" w:eastAsia="Times New Roman"/>
            </w:rPr>
            <w:t>4</w:t>
          </w:r>
        </w:p>
        <w:p>
          <w:pPr>
            <w:pStyle w:val="TOC1"/>
            <w:tabs>
              <w:tab w:pos="1377" w:val="left" w:leader="none"/>
              <w:tab w:pos="8419" w:val="right" w:leader="dot"/>
            </w:tabs>
            <w:rPr>
              <w:rFonts w:ascii="Times New Roman" w:eastAsia="Times New Roman"/>
            </w:rPr>
          </w:pPr>
          <w:hyperlink w:history="true" w:anchor="_TOC_250001">
            <w:r>
              <w:rPr/>
              <w:t>第六章</w:t>
              <w:tab/>
              <w:t>一般条款</w:t>
              <w:tab/>
            </w:r>
            <w:r>
              <w:rPr>
                <w:rFonts w:ascii="Times New Roman" w:eastAsia="Times New Roman"/>
              </w:rPr>
              <w:t>4</w:t>
            </w:r>
          </w:hyperlink>
        </w:p>
        <w:p>
          <w:pPr>
            <w:pStyle w:val="TOC2"/>
            <w:tabs>
              <w:tab w:pos="1737" w:val="left" w:leader="none"/>
              <w:tab w:pos="8413" w:val="right" w:leader="dot"/>
            </w:tabs>
            <w:rPr>
              <w:rFonts w:ascii="Times New Roman" w:eastAsia="Times New Roman"/>
            </w:rPr>
          </w:pPr>
          <w:r>
            <w:rPr/>
            <w:t>第十三条</w:t>
            <w:tab/>
            <w:t>如实告知</w:t>
            <w:tab/>
          </w:r>
          <w:r>
            <w:rPr>
              <w:rFonts w:ascii="Times New Roman" w:eastAsia="Times New Roman"/>
            </w:rPr>
            <w:t>4</w:t>
          </w:r>
        </w:p>
        <w:p>
          <w:pPr>
            <w:pStyle w:val="TOC2"/>
            <w:tabs>
              <w:tab w:pos="1737" w:val="left" w:leader="none"/>
              <w:tab w:pos="8413" w:val="right" w:leader="dot"/>
            </w:tabs>
            <w:rPr>
              <w:rFonts w:ascii="Times New Roman" w:eastAsia="Times New Roman"/>
            </w:rPr>
          </w:pPr>
          <w:r>
            <w:rPr/>
            <w:t>第十四条</w:t>
            <w:tab/>
            <w:t>年龄确定及错误处理</w:t>
            <w:tab/>
          </w:r>
          <w:r>
            <w:rPr>
              <w:rFonts w:ascii="Times New Roman" w:eastAsia="Times New Roman"/>
            </w:rPr>
            <w:t>5</w:t>
          </w:r>
        </w:p>
        <w:p>
          <w:pPr>
            <w:pStyle w:val="TOC2"/>
            <w:tabs>
              <w:tab w:pos="1737" w:val="left" w:leader="none"/>
              <w:tab w:pos="8413" w:val="right" w:leader="dot"/>
            </w:tabs>
            <w:rPr>
              <w:rFonts w:ascii="Times New Roman" w:eastAsia="Times New Roman"/>
            </w:rPr>
          </w:pPr>
          <w:r>
            <w:rPr/>
            <w:t>第十五条</w:t>
            <w:tab/>
            <w:t>受益人指定与变更</w:t>
            <w:tab/>
          </w:r>
          <w:r>
            <w:rPr>
              <w:rFonts w:ascii="Times New Roman" w:eastAsia="Times New Roman"/>
            </w:rPr>
            <w:t>5</w:t>
          </w:r>
        </w:p>
        <w:p>
          <w:pPr>
            <w:pStyle w:val="TOC1"/>
            <w:tabs>
              <w:tab w:pos="1377" w:val="left" w:leader="none"/>
              <w:tab w:pos="8418" w:val="right" w:leader="dot"/>
            </w:tabs>
            <w:rPr>
              <w:rFonts w:ascii="Times New Roman" w:eastAsia="Times New Roman"/>
            </w:rPr>
          </w:pPr>
          <w:hyperlink w:history="true" w:anchor="_TOC_250000">
            <w:r>
              <w:rPr/>
              <w:t>第七章</w:t>
              <w:tab/>
              <w:t>附表</w:t>
              <w:tab/>
            </w:r>
            <w:r>
              <w:rPr>
                <w:rFonts w:ascii="Times New Roman" w:eastAsia="Times New Roman"/>
              </w:rPr>
              <w:t>5</w:t>
            </w:r>
          </w:hyperlink>
        </w:p>
        <w:p>
          <w:pPr>
            <w:pStyle w:val="TOC2"/>
            <w:tabs>
              <w:tab w:pos="8413" w:val="right" w:leader="dot"/>
            </w:tabs>
            <w:rPr>
              <w:rFonts w:ascii="Times New Roman" w:eastAsia="Times New Roman"/>
            </w:rPr>
          </w:pPr>
          <w:r>
            <w:rPr/>
            <w:t>附表：重大疾病种类表</w:t>
            <w:tab/>
          </w:r>
          <w:r>
            <w:rPr>
              <w:rFonts w:ascii="Times New Roman" w:eastAsia="Times New Roman"/>
            </w:rPr>
            <w:t>5</w:t>
          </w:r>
        </w:p>
      </w:sdtContent>
    </w:sdt>
    <w:p>
      <w:pPr>
        <w:spacing w:after="0"/>
        <w:rPr>
          <w:rFonts w:ascii="Times New Roman" w:eastAsia="Times New Roman"/>
        </w:rPr>
        <w:sectPr>
          <w:type w:val="continuous"/>
          <w:pgSz w:w="11910" w:h="16840"/>
          <w:pgMar w:top="1420" w:bottom="1340" w:left="1680" w:right="1680"/>
        </w:sectPr>
      </w:pPr>
    </w:p>
    <w:p>
      <w:pPr>
        <w:pStyle w:val="BodyText"/>
        <w:spacing w:line="273" w:lineRule="auto" w:before="25"/>
        <w:ind w:right="212"/>
      </w:pPr>
      <w:r>
        <w:rPr>
          <w:spacing w:val="-7"/>
        </w:rPr>
        <w:t>在本条款中，“您”指投保人，“我们”、“本公司”均指长生人寿保险有限公司, “本附加合同”指您与我们之间订立的《长生附加额外给付定期重大疾病保险》合同。</w:t>
      </w:r>
    </w:p>
    <w:p>
      <w:pPr>
        <w:pStyle w:val="BodyText"/>
        <w:spacing w:before="5"/>
        <w:ind w:left="0"/>
        <w:rPr>
          <w:sz w:val="24"/>
        </w:rPr>
      </w:pPr>
    </w:p>
    <w:p>
      <w:pPr>
        <w:pStyle w:val="Heading1"/>
        <w:ind w:left="2544" w:right="0"/>
        <w:jc w:val="left"/>
      </w:pPr>
      <w:bookmarkStart w:name="_TOC_250006" w:id="1"/>
      <w:bookmarkEnd w:id="1"/>
      <w:r>
        <w:rPr/>
        <w:t>第一章 附加保险合同构成及投保范围</w:t>
      </w:r>
    </w:p>
    <w:p>
      <w:pPr>
        <w:pStyle w:val="BodyText"/>
        <w:spacing w:before="8"/>
        <w:ind w:left="0"/>
        <w:rPr>
          <w:b/>
          <w:sz w:val="26"/>
        </w:rPr>
      </w:pPr>
    </w:p>
    <w:p>
      <w:pPr>
        <w:pStyle w:val="BodyText"/>
        <w:tabs>
          <w:tab w:pos="1377" w:val="left" w:leader="none"/>
        </w:tabs>
      </w:pPr>
      <w:r>
        <w:rPr/>
        <w:t>第一条</w:t>
        <w:tab/>
        <w:t>附加保险合同构成</w:t>
      </w:r>
    </w:p>
    <w:p>
      <w:pPr>
        <w:pStyle w:val="BodyText"/>
        <w:spacing w:line="273" w:lineRule="auto" w:before="37"/>
        <w:ind w:right="211"/>
        <w:jc w:val="both"/>
      </w:pPr>
      <w:r>
        <w:rPr>
          <w:spacing w:val="-2"/>
        </w:rPr>
        <w:t>本附加合同依主保险合同</w:t>
      </w:r>
      <w:r>
        <w:rPr/>
        <w:t>（</w:t>
      </w:r>
      <w:r>
        <w:rPr>
          <w:spacing w:val="-2"/>
        </w:rPr>
        <w:t>以下简称“主合同”</w:t>
      </w:r>
      <w:r>
        <w:rPr>
          <w:spacing w:val="-11"/>
        </w:rPr>
        <w:t>）</w:t>
      </w:r>
      <w:r>
        <w:rPr>
          <w:spacing w:val="-6"/>
        </w:rPr>
        <w:t>投保人的申请，经我们同意而订立。本附</w:t>
      </w:r>
      <w:r>
        <w:rPr>
          <w:spacing w:val="-11"/>
        </w:rPr>
        <w:t>加合同附加于主合同后始为有效。主合同的条款也适用于本附加合同，若主合同与本附加合同条款不一致，则以本附加合同的条款为准。</w:t>
      </w:r>
    </w:p>
    <w:p>
      <w:pPr>
        <w:pStyle w:val="BodyText"/>
        <w:spacing w:before="5"/>
        <w:ind w:left="0"/>
        <w:rPr>
          <w:sz w:val="24"/>
        </w:rPr>
      </w:pPr>
    </w:p>
    <w:p>
      <w:pPr>
        <w:pStyle w:val="BodyText"/>
        <w:spacing w:before="1"/>
        <w:jc w:val="both"/>
      </w:pPr>
      <w:r>
        <w:rPr/>
        <w:t>第二条      投保范围</w:t>
      </w:r>
    </w:p>
    <w:p>
      <w:pPr>
        <w:pStyle w:val="BodyText"/>
        <w:spacing w:before="37"/>
        <w:jc w:val="both"/>
      </w:pPr>
      <w:r>
        <w:rPr/>
        <w:t>本附加合同接受的被保险人的投保年龄为出生满三十天至六十五周岁。</w:t>
      </w:r>
    </w:p>
    <w:p>
      <w:pPr>
        <w:pStyle w:val="BodyText"/>
        <w:spacing w:before="8"/>
        <w:ind w:left="0"/>
        <w:rPr>
          <w:sz w:val="26"/>
        </w:rPr>
      </w:pPr>
    </w:p>
    <w:p>
      <w:pPr>
        <w:pStyle w:val="Heading1"/>
        <w:ind w:left="2940" w:right="3033"/>
      </w:pPr>
      <w:bookmarkStart w:name="_TOC_250005" w:id="2"/>
      <w:bookmarkEnd w:id="2"/>
      <w:r>
        <w:rPr/>
        <w:t>第二章 保险责任及责任免除</w:t>
      </w:r>
    </w:p>
    <w:p>
      <w:pPr>
        <w:pStyle w:val="BodyText"/>
        <w:spacing w:before="8"/>
        <w:ind w:left="0"/>
        <w:rPr>
          <w:b/>
          <w:sz w:val="26"/>
        </w:rPr>
      </w:pPr>
    </w:p>
    <w:p>
      <w:pPr>
        <w:pStyle w:val="BodyText"/>
        <w:jc w:val="both"/>
      </w:pPr>
      <w:r>
        <w:rPr/>
        <w:t>第三条      保险责任</w:t>
      </w:r>
    </w:p>
    <w:p>
      <w:pPr>
        <w:pStyle w:val="BodyText"/>
        <w:spacing w:before="37"/>
        <w:jc w:val="both"/>
      </w:pPr>
      <w:r>
        <w:rPr/>
        <w:t>若本附加合同有效，且被保险人于等待期后经我们指定或认可的</w:t>
      </w:r>
      <w:r>
        <w:rPr>
          <w:b/>
        </w:rPr>
        <w:t>医院</w:t>
      </w:r>
      <w:r>
        <w:rPr>
          <w:b/>
          <w:position w:val="11"/>
          <w:sz w:val="11"/>
        </w:rPr>
        <w:t>1</w:t>
      </w:r>
      <w:r>
        <w:rPr/>
        <w:t>确诊，并由我们确认</w:t>
      </w:r>
    </w:p>
    <w:p>
      <w:pPr>
        <w:spacing w:after="0"/>
        <w:jc w:val="both"/>
        <w:sectPr>
          <w:pgSz w:w="11910" w:h="16840"/>
          <w:pgMar w:header="0" w:footer="1140" w:top="1400" w:bottom="1340" w:left="1680" w:right="1580"/>
        </w:sectPr>
      </w:pPr>
    </w:p>
    <w:p>
      <w:pPr>
        <w:spacing w:before="37"/>
        <w:ind w:left="117" w:right="0" w:firstLine="0"/>
        <w:jc w:val="left"/>
        <w:rPr>
          <w:b/>
          <w:sz w:val="11"/>
        </w:rPr>
      </w:pPr>
      <w:r>
        <w:rPr>
          <w:sz w:val="21"/>
        </w:rPr>
        <w:t>初次患有本附加合同所定义的</w:t>
      </w:r>
      <w:r>
        <w:rPr>
          <w:b/>
          <w:spacing w:val="-5"/>
          <w:w w:val="99"/>
          <w:sz w:val="21"/>
        </w:rPr>
        <w:t>重大疾病</w:t>
      </w:r>
      <w:r>
        <w:rPr>
          <w:spacing w:val="-194"/>
          <w:sz w:val="21"/>
        </w:rPr>
        <w:t>（</w:t>
      </w:r>
      <w:r>
        <w:rPr>
          <w:b/>
          <w:w w:val="99"/>
          <w:position w:val="11"/>
          <w:sz w:val="11"/>
        </w:rPr>
        <w:t>2</w:t>
      </w:r>
    </w:p>
    <w:p>
      <w:pPr>
        <w:pStyle w:val="BodyText"/>
        <w:spacing w:before="37"/>
        <w:ind w:left="98"/>
      </w:pPr>
      <w:r>
        <w:rPr/>
        <w:br w:type="column"/>
      </w:r>
      <w:r>
        <w:rPr/>
        <w:t>无论一种或多种</w:t>
      </w:r>
      <w:r>
        <w:rPr>
          <w:spacing w:val="-90"/>
        </w:rPr>
        <w:t>）</w:t>
      </w:r>
      <w:r>
        <w:rPr>
          <w:spacing w:val="-10"/>
        </w:rPr>
        <w:t>，且在确诊日起三十天后仍生存，</w:t>
      </w:r>
    </w:p>
    <w:p>
      <w:pPr>
        <w:spacing w:after="0"/>
        <w:sectPr>
          <w:type w:val="continuous"/>
          <w:pgSz w:w="11910" w:h="16840"/>
          <w:pgMar w:top="1420" w:bottom="1340" w:left="1680" w:right="1580"/>
          <w:cols w:num="2" w:equalWidth="0">
            <w:col w:w="3746" w:space="40"/>
            <w:col w:w="4864"/>
          </w:cols>
        </w:sectPr>
      </w:pPr>
    </w:p>
    <w:p>
      <w:pPr>
        <w:pStyle w:val="BodyText"/>
        <w:spacing w:before="37"/>
      </w:pPr>
      <w:r>
        <w:rPr/>
        <w:t>我们按本附加合同的基本保险金额给付重大疾病保险金，本附加合同终止。</w:t>
      </w:r>
    </w:p>
    <w:p>
      <w:pPr>
        <w:pStyle w:val="BodyText"/>
        <w:spacing w:line="273" w:lineRule="auto" w:before="37"/>
        <w:ind w:right="131"/>
      </w:pPr>
      <w:r>
        <w:rPr/>
        <w:t>除本附加合同另有约定外，等待期为自本附加合同生效日或复效日（以较迟者为准）起九十天。</w:t>
      </w:r>
    </w:p>
    <w:p>
      <w:pPr>
        <w:pStyle w:val="BodyText"/>
        <w:spacing w:before="5"/>
        <w:ind w:left="0"/>
        <w:rPr>
          <w:sz w:val="24"/>
        </w:rPr>
      </w:pPr>
    </w:p>
    <w:p>
      <w:pPr>
        <w:pStyle w:val="BodyText"/>
        <w:tabs>
          <w:tab w:pos="1377" w:val="left" w:leader="none"/>
        </w:tabs>
        <w:rPr>
          <w:rFonts w:ascii="黑体" w:eastAsia="黑体" w:hint="eastAsia"/>
        </w:rPr>
      </w:pPr>
      <w:r>
        <w:rPr/>
        <w:t>第四条</w:t>
        <w:tab/>
      </w:r>
      <w:r>
        <w:rPr>
          <w:rFonts w:ascii="黑体" w:eastAsia="黑体" w:hint="eastAsia"/>
        </w:rPr>
        <w:t>责任免除</w:t>
      </w:r>
    </w:p>
    <w:p>
      <w:pPr>
        <w:pStyle w:val="BodyText"/>
        <w:spacing w:line="273" w:lineRule="auto" w:before="37"/>
        <w:ind w:right="213"/>
        <w:rPr>
          <w:rFonts w:ascii="黑体" w:eastAsia="黑体" w:hint="eastAsia"/>
        </w:rPr>
      </w:pPr>
      <w:r>
        <w:rPr>
          <w:rFonts w:ascii="黑体" w:eastAsia="黑体" w:hint="eastAsia"/>
        </w:rPr>
        <w:t>被保险人因下列情形之一导致发Th</w:t>
      </w:r>
      <w:r>
        <w:rPr>
          <w:rFonts w:ascii="黑体" w:eastAsia="黑体" w:hint="eastAsia"/>
          <w:spacing w:val="-10"/>
        </w:rPr>
        <w:t>疾病、达到疾病状态或进行手术的，我们不承担给付重大疾病保险金的责任：</w:t>
      </w:r>
    </w:p>
    <w:p>
      <w:pPr>
        <w:pStyle w:val="BodyText"/>
        <w:spacing w:before="8"/>
        <w:rPr>
          <w:rFonts w:ascii="黑体" w:eastAsia="黑体" w:hint="eastAsia"/>
        </w:rPr>
      </w:pPr>
      <w:r>
        <w:rPr>
          <w:rFonts w:ascii="黑体" w:eastAsia="黑体" w:hint="eastAsia"/>
        </w:rPr>
        <w:t>一、投保人对被保险人的故意杀害、故意伤害；</w:t>
      </w:r>
    </w:p>
    <w:p>
      <w:pPr>
        <w:pStyle w:val="BodyText"/>
        <w:spacing w:line="273" w:lineRule="auto" w:before="37"/>
        <w:ind w:right="2014"/>
        <w:rPr>
          <w:rFonts w:ascii="黑体" w:eastAsia="黑体" w:hint="eastAsia"/>
        </w:rPr>
      </w:pPr>
      <w:r>
        <w:rPr>
          <w:rFonts w:ascii="黑体" w:eastAsia="黑体" w:hint="eastAsia"/>
        </w:rPr>
        <w:t>二、被保险人故意自伤、故意犯罪或者抗拒依法采取的刑事强制措施； </w:t>
      </w:r>
      <w:r>
        <w:rPr>
          <w:rFonts w:ascii="黑体" w:eastAsia="黑体" w:hint="eastAsia"/>
          <w:w w:val="95"/>
        </w:rPr>
        <w:t>三、被保险人主动吸食或注射</w:t>
      </w:r>
      <w:r>
        <w:rPr>
          <w:rFonts w:ascii="黑体" w:eastAsia="黑体" w:hint="eastAsia"/>
          <w:b/>
          <w:w w:val="95"/>
        </w:rPr>
        <w:t>毒品</w:t>
      </w:r>
      <w:r>
        <w:rPr>
          <w:rFonts w:ascii="黑体" w:eastAsia="黑体" w:hint="eastAsia"/>
          <w:b/>
          <w:w w:val="95"/>
          <w:position w:val="11"/>
          <w:sz w:val="11"/>
        </w:rPr>
        <w:t>3</w:t>
      </w:r>
      <w:r>
        <w:rPr>
          <w:rFonts w:ascii="黑体" w:eastAsia="黑体" w:hint="eastAsia"/>
          <w:w w:val="95"/>
        </w:rPr>
        <w:t>；</w:t>
      </w: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ind w:left="0"/>
        <w:rPr>
          <w:rFonts w:ascii="黑体"/>
          <w:sz w:val="20"/>
        </w:rPr>
      </w:pPr>
    </w:p>
    <w:p>
      <w:pPr>
        <w:pStyle w:val="BodyText"/>
        <w:spacing w:before="5"/>
        <w:ind w:left="0"/>
        <w:rPr>
          <w:rFonts w:ascii="黑体"/>
          <w:sz w:val="24"/>
        </w:rPr>
      </w:pPr>
      <w:r>
        <w:rPr/>
        <w:pict>
          <v:line style="position:absolute;mso-position-horizontal-relative:page;mso-position-vertical-relative:paragraph;z-index:1048;mso-wrap-distance-left:0;mso-wrap-distance-right:0" from="89.879997pt,18.218027pt" to="233.879997pt,18.218027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1"/>
        </w:numPr>
        <w:tabs>
          <w:tab w:pos="658" w:val="left" w:leader="none"/>
        </w:tabs>
        <w:spacing w:line="233" w:lineRule="exact" w:before="0" w:after="0"/>
        <w:ind w:left="657" w:right="0" w:hanging="360"/>
        <w:jc w:val="left"/>
        <w:rPr>
          <w:sz w:val="18"/>
        </w:rPr>
      </w:pPr>
      <w:r>
        <w:rPr>
          <w:sz w:val="18"/>
        </w:rPr>
        <w:t>拥有合法经营执照；</w:t>
      </w:r>
    </w:p>
    <w:p>
      <w:pPr>
        <w:pStyle w:val="ListParagraph"/>
        <w:numPr>
          <w:ilvl w:val="0"/>
          <w:numId w:val="1"/>
        </w:numPr>
        <w:tabs>
          <w:tab w:pos="658" w:val="left" w:leader="none"/>
        </w:tabs>
        <w:spacing w:line="233" w:lineRule="exact" w:before="0" w:after="0"/>
        <w:ind w:left="657" w:right="0" w:hanging="360"/>
        <w:jc w:val="left"/>
        <w:rPr>
          <w:sz w:val="18"/>
        </w:rPr>
      </w:pPr>
      <w:r>
        <w:rPr>
          <w:sz w:val="18"/>
        </w:rPr>
        <w:t>设立的主要目的为向受伤者或患病者提供住院治疗；</w:t>
      </w:r>
    </w:p>
    <w:p>
      <w:pPr>
        <w:pStyle w:val="ListParagraph"/>
        <w:numPr>
          <w:ilvl w:val="0"/>
          <w:numId w:val="1"/>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w:t>
      </w:r>
    </w:p>
    <w:p>
      <w:pPr>
        <w:pStyle w:val="ListParagraph"/>
        <w:numPr>
          <w:ilvl w:val="0"/>
          <w:numId w:val="1"/>
        </w:numPr>
        <w:tabs>
          <w:tab w:pos="658" w:val="left" w:leader="none"/>
        </w:tabs>
        <w:spacing w:line="237" w:lineRule="auto" w:before="2" w:after="0"/>
        <w:ind w:left="657" w:right="244" w:hanging="36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658" w:val="left" w:leader="none"/>
        </w:tabs>
        <w:spacing w:line="233" w:lineRule="exact" w:before="0" w:after="0"/>
        <w:ind w:left="657" w:right="0" w:hanging="360"/>
        <w:jc w:val="left"/>
        <w:rPr>
          <w:sz w:val="18"/>
        </w:rPr>
      </w:pPr>
      <w:r>
        <w:rPr>
          <w:sz w:val="18"/>
        </w:rPr>
        <w:t>非主要作为康复、护理、疗养、戒酒、戒毒或类似的医疗机构。</w:t>
      </w:r>
    </w:p>
    <w:p>
      <w:pPr>
        <w:spacing w:line="233" w:lineRule="exact" w:before="0"/>
        <w:ind w:left="117"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1"/>
        <w:ind w:left="117" w:right="213"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type w:val="continuous"/>
          <w:pgSz w:w="11910" w:h="16840"/>
          <w:pgMar w:top="1420" w:bottom="1340" w:left="1680" w:right="1580"/>
        </w:sectPr>
      </w:pPr>
    </w:p>
    <w:p>
      <w:pPr>
        <w:spacing w:line="273" w:lineRule="auto" w:before="45"/>
        <w:ind w:left="117" w:right="129"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黑体" w:eastAsia="黑体" w:hint="eastAsia"/>
          <w:b/>
          <w:position w:val="11"/>
          <w:sz w:val="11"/>
        </w:rPr>
        <w:t>4</w:t>
      </w:r>
      <w:r>
        <w:rPr>
          <w:rFonts w:ascii="黑体" w:eastAsia="黑体" w:hint="eastAsia"/>
          <w:sz w:val="21"/>
        </w:rPr>
        <w:t>、</w:t>
      </w:r>
      <w:r>
        <w:rPr>
          <w:rFonts w:ascii="黑体" w:eastAsia="黑体" w:hint="eastAsia"/>
          <w:b/>
          <w:sz w:val="21"/>
        </w:rPr>
        <w:t>无合法有效驾驶证驾驶</w:t>
      </w:r>
      <w:r>
        <w:rPr>
          <w:rFonts w:ascii="黑体" w:eastAsia="黑体" w:hint="eastAsia"/>
          <w:b/>
          <w:position w:val="11"/>
          <w:sz w:val="11"/>
        </w:rPr>
        <w:t>5</w:t>
      </w:r>
      <w:r>
        <w:rPr>
          <w:rFonts w:ascii="黑体" w:eastAsia="黑体" w:hint="eastAsia"/>
          <w:sz w:val="21"/>
        </w:rPr>
        <w:t>，或驾驶</w:t>
      </w:r>
      <w:r>
        <w:rPr>
          <w:rFonts w:ascii="黑体" w:eastAsia="黑体" w:hint="eastAsia"/>
          <w:b/>
          <w:sz w:val="21"/>
        </w:rPr>
        <w:t>无有效行驶证</w:t>
      </w:r>
      <w:r>
        <w:rPr>
          <w:rFonts w:ascii="黑体" w:eastAsia="黑体" w:hint="eastAsia"/>
          <w:b/>
          <w:position w:val="11"/>
          <w:sz w:val="11"/>
        </w:rPr>
        <w:t>6</w:t>
      </w:r>
      <w:r>
        <w:rPr>
          <w:rFonts w:ascii="黑体" w:eastAsia="黑体" w:hint="eastAsia"/>
          <w:sz w:val="21"/>
        </w:rPr>
        <w:t>的机动交通工具； 五、战争、军事冲突、暴乱或武装叛乱；</w:t>
      </w:r>
    </w:p>
    <w:p>
      <w:pPr>
        <w:pStyle w:val="BodyText"/>
        <w:spacing w:before="7"/>
        <w:rPr>
          <w:rFonts w:ascii="黑体" w:eastAsia="黑体" w:hint="eastAsia"/>
        </w:rPr>
      </w:pPr>
      <w:r>
        <w:rPr>
          <w:rFonts w:ascii="黑体" w:eastAsia="黑体" w:hint="eastAsia"/>
        </w:rPr>
        <w:t>六、核爆炸、核辐射或核污染；</w:t>
      </w:r>
    </w:p>
    <w:p>
      <w:pPr>
        <w:spacing w:before="36"/>
        <w:ind w:left="117" w:right="0" w:firstLine="0"/>
        <w:jc w:val="left"/>
        <w:rPr>
          <w:rFonts w:ascii="黑体" w:eastAsia="黑体" w:hint="eastAsia"/>
          <w:sz w:val="21"/>
        </w:rPr>
      </w:pPr>
      <w:r>
        <w:rPr>
          <w:rFonts w:ascii="黑体" w:eastAsia="黑体" w:hint="eastAsia"/>
          <w:w w:val="95"/>
          <w:sz w:val="21"/>
        </w:rPr>
        <w:t>七、被保险人</w:t>
      </w:r>
      <w:r>
        <w:rPr>
          <w:rFonts w:ascii="黑体" w:eastAsia="黑体" w:hint="eastAsia"/>
          <w:b/>
          <w:w w:val="95"/>
          <w:sz w:val="21"/>
        </w:rPr>
        <w:t>感染艾滋病病毒或患艾滋病</w:t>
      </w:r>
      <w:r>
        <w:rPr>
          <w:rFonts w:ascii="黑体" w:eastAsia="黑体" w:hint="eastAsia"/>
          <w:b/>
          <w:w w:val="95"/>
          <w:position w:val="11"/>
          <w:sz w:val="11"/>
        </w:rPr>
        <w:t>7</w:t>
      </w:r>
      <w:r>
        <w:rPr>
          <w:rFonts w:ascii="黑体" w:eastAsia="黑体" w:hint="eastAsia"/>
          <w:w w:val="95"/>
          <w:sz w:val="21"/>
        </w:rPr>
        <w:t>；</w:t>
      </w:r>
    </w:p>
    <w:p>
      <w:pPr>
        <w:spacing w:before="36"/>
        <w:ind w:left="117" w:right="0" w:firstLine="0"/>
        <w:jc w:val="left"/>
        <w:rPr>
          <w:rFonts w:ascii="黑体" w:eastAsia="黑体" w:hint="eastAsia"/>
          <w:sz w:val="21"/>
        </w:rPr>
      </w:pPr>
      <w:r>
        <w:rPr>
          <w:rFonts w:ascii="黑体" w:eastAsia="黑体" w:hint="eastAsia"/>
          <w:w w:val="95"/>
          <w:sz w:val="21"/>
        </w:rPr>
        <w:t>八、</w:t>
      </w:r>
      <w:r>
        <w:rPr>
          <w:rFonts w:ascii="黑体" w:eastAsia="黑体" w:hint="eastAsia"/>
          <w:b/>
          <w:w w:val="95"/>
          <w:sz w:val="21"/>
        </w:rPr>
        <w:t>遗传性疾病</w:t>
      </w:r>
      <w:r>
        <w:rPr>
          <w:rFonts w:ascii="黑体" w:eastAsia="黑体" w:hint="eastAsia"/>
          <w:b/>
          <w:w w:val="95"/>
          <w:position w:val="11"/>
          <w:sz w:val="11"/>
        </w:rPr>
        <w:t>8</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b/>
          <w:w w:val="95"/>
          <w:position w:val="11"/>
          <w:sz w:val="11"/>
        </w:rPr>
        <w:t>9</w:t>
      </w:r>
      <w:r>
        <w:rPr>
          <w:rFonts w:ascii="黑体" w:eastAsia="黑体" w:hint="eastAsia"/>
          <w:w w:val="95"/>
          <w:sz w:val="21"/>
        </w:rPr>
        <w:t>。</w:t>
      </w:r>
    </w:p>
    <w:p>
      <w:pPr>
        <w:pStyle w:val="BodyText"/>
        <w:spacing w:before="8"/>
        <w:ind w:left="0"/>
        <w:rPr>
          <w:rFonts w:ascii="黑体"/>
          <w:sz w:val="26"/>
        </w:rPr>
      </w:pPr>
    </w:p>
    <w:p>
      <w:pPr>
        <w:pStyle w:val="Heading1"/>
        <w:ind w:right="1853"/>
      </w:pPr>
      <w:bookmarkStart w:name="_TOC_250004" w:id="3"/>
      <w:bookmarkEnd w:id="3"/>
      <w:r>
        <w:rPr/>
        <w:t>第三章 保险金额、保险费及宽限期</w:t>
      </w:r>
    </w:p>
    <w:p>
      <w:pPr>
        <w:pStyle w:val="BodyText"/>
        <w:spacing w:before="8"/>
        <w:ind w:left="0"/>
        <w:rPr>
          <w:b/>
          <w:sz w:val="26"/>
        </w:rPr>
      </w:pPr>
    </w:p>
    <w:p>
      <w:pPr>
        <w:pStyle w:val="BodyText"/>
        <w:tabs>
          <w:tab w:pos="1377" w:val="left" w:leader="none"/>
        </w:tabs>
      </w:pPr>
      <w:r>
        <w:rPr/>
        <w:t>第五条</w:t>
        <w:tab/>
        <w:t>保险金额</w:t>
      </w:r>
    </w:p>
    <w:p>
      <w:pPr>
        <w:pStyle w:val="BodyText"/>
        <w:spacing w:before="36"/>
      </w:pPr>
      <w:r>
        <w:rPr/>
        <w:t>一、本附加合同的基本保险金额由您与我们约定并于保险单上载明。</w:t>
      </w:r>
    </w:p>
    <w:p>
      <w:pPr>
        <w:pStyle w:val="BodyText"/>
        <w:spacing w:line="273" w:lineRule="auto" w:before="36"/>
        <w:ind w:left="537" w:right="192" w:hanging="420"/>
        <w:jc w:val="both"/>
      </w:pPr>
      <w:r>
        <w:rPr>
          <w:spacing w:val="-6"/>
        </w:rPr>
        <w:t>二、在本附加合同有效期内，您可以书面申请减少本附加合同的基本保险金额，但减少后的</w:t>
      </w:r>
      <w:r>
        <w:rPr>
          <w:spacing w:val="-10"/>
        </w:rPr>
        <w:t>基本保险金额不得低于变更时我们规定的最低基本保险金额，减少部分按您解除合同处理。</w:t>
      </w:r>
    </w:p>
    <w:p>
      <w:pPr>
        <w:pStyle w:val="BodyText"/>
        <w:spacing w:before="5"/>
        <w:ind w:left="0"/>
        <w:rPr>
          <w:sz w:val="24"/>
        </w:rPr>
      </w:pPr>
    </w:p>
    <w:p>
      <w:pPr>
        <w:pStyle w:val="BodyText"/>
        <w:tabs>
          <w:tab w:pos="1377" w:val="left" w:leader="none"/>
        </w:tabs>
      </w:pPr>
      <w:r>
        <w:rPr/>
        <w:t>第六条</w:t>
        <w:tab/>
        <w:t>保险费及宽限期</w:t>
      </w:r>
    </w:p>
    <w:p>
      <w:pPr>
        <w:pStyle w:val="BodyText"/>
        <w:spacing w:line="273" w:lineRule="auto" w:before="37"/>
        <w:ind w:right="104"/>
      </w:pPr>
      <w:r>
        <w:rPr/>
        <w:t>您应按本附加合同约定的保险费交费期间、应付日、交费方式等交付本附加合同的保险费。</w:t>
      </w:r>
      <w:r>
        <w:rPr>
          <w:spacing w:val="-7"/>
        </w:rPr>
        <w:t>分期支付保险费的，在您交纳首期保险费后，您应在保险费应付日或应付日前交付以后各期保险费。宽限期的规定与主合同相同。</w:t>
      </w:r>
    </w:p>
    <w:p>
      <w:pPr>
        <w:pStyle w:val="BodyText"/>
        <w:spacing w:before="5"/>
        <w:ind w:left="0"/>
        <w:rPr>
          <w:sz w:val="24"/>
        </w:rPr>
      </w:pPr>
    </w:p>
    <w:p>
      <w:pPr>
        <w:pStyle w:val="Heading1"/>
        <w:ind w:right="1855"/>
      </w:pPr>
      <w:bookmarkStart w:name="_TOC_250003" w:id="4"/>
      <w:bookmarkEnd w:id="4"/>
      <w:r>
        <w:rPr/>
        <w:t>第四章 保险期间、保险合同成立与生效、解除及终止</w:t>
      </w:r>
    </w:p>
    <w:p>
      <w:pPr>
        <w:pStyle w:val="BodyText"/>
        <w:spacing w:before="8"/>
        <w:ind w:left="0"/>
        <w:rPr>
          <w:b/>
          <w:sz w:val="26"/>
        </w:rPr>
      </w:pPr>
    </w:p>
    <w:p>
      <w:pPr>
        <w:pStyle w:val="BodyText"/>
        <w:tabs>
          <w:tab w:pos="1377" w:val="left" w:leader="none"/>
        </w:tabs>
      </w:pPr>
      <w:r>
        <w:rPr/>
        <w:t>第七条</w:t>
        <w:tab/>
        <w:t>保险期间</w:t>
      </w:r>
    </w:p>
    <w:p>
      <w:pPr>
        <w:pStyle w:val="BodyText"/>
        <w:spacing w:before="37"/>
      </w:pPr>
      <w:r>
        <w:rPr/>
        <w:t>本附加合同的保险期间由您与我们约定并于保险单上载明。</w:t>
      </w:r>
    </w:p>
    <w:p>
      <w:pPr>
        <w:pStyle w:val="BodyText"/>
        <w:spacing w:before="9"/>
        <w:ind w:left="0"/>
        <w:rPr>
          <w:sz w:val="26"/>
        </w:rPr>
      </w:pPr>
    </w:p>
    <w:p>
      <w:pPr>
        <w:pStyle w:val="BodyText"/>
        <w:tabs>
          <w:tab w:pos="1377" w:val="left" w:leader="none"/>
        </w:tabs>
      </w:pPr>
      <w:r>
        <w:rPr/>
        <w:t>第八条</w:t>
        <w:tab/>
        <w:t>保险合同成立与生效</w:t>
      </w:r>
    </w:p>
    <w:p>
      <w:pPr>
        <w:pStyle w:val="BodyText"/>
        <w:spacing w:before="37"/>
      </w:pPr>
      <w:r>
        <w:rPr/>
        <w:t>您提出保险申请、我们同意承保，本附加合同成立。</w:t>
      </w:r>
    </w:p>
    <w:p>
      <w:pPr>
        <w:pStyle w:val="BodyText"/>
        <w:spacing w:line="273" w:lineRule="auto" w:before="37"/>
        <w:ind w:right="104"/>
      </w:pPr>
      <w:r>
        <w:rPr>
          <w:spacing w:val="-5"/>
        </w:rPr>
        <w:t>若本附加合同与主合同同时投保，我们将签发保险单作为本附加合同成立的标志。除本附加合同另有约定外，本附加合同自我们收到首期保险费并签发保险单的次日零时起开始生效。若您于主合同有效期内申请本附加合同，我们将签发保险单批注作为本附加合同成立的标 </w:t>
      </w:r>
      <w:r>
        <w:rPr>
          <w:spacing w:val="-11"/>
        </w:rPr>
        <w:t>志。除本附加合同另有约定外，本附加合同自我们收到首期保险费并签发保险单批注的次日</w:t>
      </w:r>
    </w:p>
    <w:p>
      <w:pPr>
        <w:pStyle w:val="BodyText"/>
        <w:spacing w:before="2"/>
        <w:ind w:left="0"/>
        <w:rPr>
          <w:sz w:val="12"/>
        </w:rPr>
      </w:pPr>
      <w:r>
        <w:rPr/>
        <w:pict>
          <v:line style="position:absolute;mso-position-horizontal-relative:page;mso-position-vertical-relative:paragraph;z-index:1072;mso-wrap-distance-left:0;mso-wrap-distance-right:0" from="89.879997pt,10.220814pt" to="233.879997pt,10.220814pt" stroked="true" strokeweight=".54001pt" strokecolor="#000000">
            <v:stroke dashstyle="solid"/>
            <w10:wrap type="topAndBottom"/>
          </v:line>
        </w:pict>
      </w:r>
    </w:p>
    <w:p>
      <w:pPr>
        <w:spacing w:line="237" w:lineRule="auto" w:before="32"/>
        <w:ind w:left="117" w:right="251"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pStyle w:val="ListParagraph"/>
        <w:numPr>
          <w:ilvl w:val="0"/>
          <w:numId w:val="2"/>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2"/>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3"/>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3"/>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25" w:lineRule="auto" w:before="6"/>
        <w:ind w:left="117" w:right="241" w:hanging="1"/>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4" w:lineRule="exact" w:before="6"/>
        <w:ind w:left="117" w:right="224"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46"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jc w:val="left"/>
        <w:rPr>
          <w:sz w:val="18"/>
        </w:rPr>
        <w:sectPr>
          <w:footerReference w:type="default" r:id="rId7"/>
          <w:pgSz w:w="11910" w:h="16840"/>
          <w:pgMar w:footer="1140" w:header="0" w:top="1380" w:bottom="1340" w:left="1680" w:right="1600"/>
        </w:sectPr>
      </w:pPr>
    </w:p>
    <w:p>
      <w:pPr>
        <w:pStyle w:val="BodyText"/>
        <w:spacing w:before="25"/>
      </w:pPr>
      <w:r>
        <w:rPr/>
        <w:t>零时起开始生效。</w:t>
      </w:r>
    </w:p>
    <w:p>
      <w:pPr>
        <w:pStyle w:val="BodyText"/>
        <w:spacing w:before="37"/>
      </w:pPr>
      <w:r>
        <w:rPr/>
        <w:t>本附加合同的成立日、生效日均载明于保险单或保险单批注上。</w:t>
      </w:r>
    </w:p>
    <w:p>
      <w:pPr>
        <w:pStyle w:val="BodyText"/>
        <w:spacing w:before="37"/>
      </w:pPr>
      <w:r>
        <w:rPr/>
        <w:t>除本附加合同另有约定外，我们自本附加合同的生效日零时起开始承担保险责任。</w:t>
      </w:r>
    </w:p>
    <w:p>
      <w:pPr>
        <w:pStyle w:val="BodyText"/>
        <w:spacing w:before="8"/>
        <w:ind w:left="0"/>
        <w:rPr>
          <w:sz w:val="26"/>
        </w:rPr>
      </w:pPr>
    </w:p>
    <w:p>
      <w:pPr>
        <w:pStyle w:val="BodyText"/>
        <w:tabs>
          <w:tab w:pos="1377" w:val="left" w:leader="none"/>
        </w:tabs>
        <w:spacing w:before="1"/>
      </w:pPr>
      <w:r>
        <w:rPr/>
        <w:t>第九条</w:t>
        <w:tab/>
        <w:t>投保人解除合同</w:t>
      </w:r>
    </w:p>
    <w:p>
      <w:pPr>
        <w:pStyle w:val="BodyText"/>
        <w:spacing w:line="273" w:lineRule="auto" w:before="37"/>
        <w:ind w:right="1284"/>
      </w:pPr>
      <w:r>
        <w:rPr/>
        <w:t>在本附加合同有效期内，您在犹豫期后请出具下列文件申请解除本附加合同： 一、保险合同；</w:t>
      </w:r>
    </w:p>
    <w:p>
      <w:pPr>
        <w:pStyle w:val="BodyText"/>
        <w:spacing w:line="273" w:lineRule="auto" w:before="7"/>
        <w:ind w:right="6324"/>
      </w:pPr>
      <w:r>
        <w:rPr/>
        <w:t>二、解除合同申请书； 三、您的身份证明。</w:t>
      </w:r>
    </w:p>
    <w:p>
      <w:pPr>
        <w:pStyle w:val="BodyText"/>
        <w:spacing w:line="273" w:lineRule="auto" w:before="7"/>
        <w:ind w:right="113"/>
      </w:pPr>
      <w:r>
        <w:rPr>
          <w:spacing w:val="-6"/>
        </w:rPr>
        <w:t>自我们收到解除合同申请书时，本附加合同终止。我们自收到解除合同通知书之日起三十日内，向您退还本附加合同的</w:t>
      </w:r>
      <w:r>
        <w:rPr>
          <w:b/>
          <w:spacing w:val="-6"/>
        </w:rPr>
        <w:t>现金价值</w:t>
      </w:r>
      <w:r>
        <w:rPr>
          <w:b/>
          <w:spacing w:val="-6"/>
          <w:position w:val="11"/>
          <w:sz w:val="11"/>
        </w:rPr>
        <w:t>10</w:t>
      </w:r>
      <w:r>
        <w:rPr>
          <w:spacing w:val="-6"/>
        </w:rPr>
        <w:t>。</w:t>
      </w:r>
    </w:p>
    <w:p>
      <w:pPr>
        <w:pStyle w:val="BodyText"/>
        <w:spacing w:before="2"/>
        <w:ind w:left="0"/>
        <w:rPr>
          <w:sz w:val="24"/>
        </w:rPr>
      </w:pPr>
    </w:p>
    <w:p>
      <w:pPr>
        <w:pStyle w:val="BodyText"/>
        <w:tabs>
          <w:tab w:pos="1377" w:val="left" w:leader="none"/>
        </w:tabs>
      </w:pPr>
      <w:r>
        <w:rPr/>
        <w:t>第十条</w:t>
        <w:tab/>
        <w:t>附加合同效力终止</w:t>
      </w:r>
    </w:p>
    <w:p>
      <w:pPr>
        <w:pStyle w:val="BodyText"/>
        <w:spacing w:before="37"/>
      </w:pPr>
      <w:r>
        <w:rPr/>
        <w:t>发生下列情形之一时，本附加合同效力终止：</w:t>
      </w:r>
    </w:p>
    <w:p>
      <w:pPr>
        <w:pStyle w:val="BodyText"/>
        <w:spacing w:line="273" w:lineRule="auto" w:before="37"/>
        <w:ind w:right="3384"/>
      </w:pPr>
      <w:r>
        <w:rPr/>
        <w:t>一、主合同解除、期满、终止或变更为减额交清保险； 二、您申请解除本附加合同；</w:t>
      </w:r>
    </w:p>
    <w:p>
      <w:pPr>
        <w:pStyle w:val="BodyText"/>
        <w:spacing w:before="7"/>
      </w:pPr>
      <w:r>
        <w:rPr/>
        <w:t>三、本附加合同保险期间届满；</w:t>
      </w:r>
    </w:p>
    <w:p>
      <w:pPr>
        <w:pStyle w:val="BodyText"/>
        <w:spacing w:before="36"/>
      </w:pPr>
      <w:r>
        <w:rPr/>
        <w:t>四、主合同或本附加合同约定的其他终止情形。</w:t>
      </w:r>
    </w:p>
    <w:p>
      <w:pPr>
        <w:pStyle w:val="BodyText"/>
        <w:spacing w:line="273" w:lineRule="auto" w:before="36"/>
        <w:ind w:right="113"/>
      </w:pPr>
      <w:r>
        <w:rPr>
          <w:spacing w:val="-7"/>
        </w:rPr>
        <w:t>本附加合同效力终止时，除本附加合同已列明的处理方式外，其他情况应按投保人解除合同处理。</w:t>
      </w:r>
    </w:p>
    <w:p>
      <w:pPr>
        <w:pStyle w:val="BodyText"/>
        <w:spacing w:before="4"/>
        <w:ind w:left="0"/>
        <w:rPr>
          <w:sz w:val="24"/>
        </w:rPr>
      </w:pPr>
    </w:p>
    <w:p>
      <w:pPr>
        <w:pStyle w:val="Heading1"/>
        <w:spacing w:before="1"/>
        <w:ind w:left="2101"/>
      </w:pPr>
      <w:bookmarkStart w:name="_TOC_250002" w:id="5"/>
      <w:bookmarkEnd w:id="5"/>
      <w:r>
        <w:rPr/>
        <w:t>第五章 保险金申请</w:t>
      </w:r>
    </w:p>
    <w:p>
      <w:pPr>
        <w:pStyle w:val="BodyText"/>
        <w:spacing w:before="8"/>
        <w:ind w:left="0"/>
        <w:rPr>
          <w:b/>
          <w:sz w:val="26"/>
        </w:rPr>
      </w:pPr>
    </w:p>
    <w:p>
      <w:pPr>
        <w:pStyle w:val="BodyText"/>
        <w:tabs>
          <w:tab w:pos="1377" w:val="left" w:leader="none"/>
        </w:tabs>
        <w:spacing w:before="1"/>
      </w:pPr>
      <w:r>
        <w:rPr/>
        <w:t>第十一条</w:t>
        <w:tab/>
        <w:t>诉讼时效</w:t>
      </w:r>
    </w:p>
    <w:p>
      <w:pPr>
        <w:pStyle w:val="BodyText"/>
        <w:spacing w:line="273" w:lineRule="auto" w:before="37"/>
        <w:ind w:right="32"/>
      </w:pPr>
      <w:r>
        <w:rPr/>
        <w:t>受益人向我们请求给付保险金的诉讼时效期间为二年，自其知道或者应当知道保险事故发生之日起计算。</w:t>
      </w:r>
    </w:p>
    <w:p>
      <w:pPr>
        <w:pStyle w:val="BodyText"/>
        <w:spacing w:before="5"/>
        <w:ind w:left="0"/>
        <w:rPr>
          <w:sz w:val="24"/>
        </w:rPr>
      </w:pPr>
    </w:p>
    <w:p>
      <w:pPr>
        <w:pStyle w:val="BodyText"/>
        <w:tabs>
          <w:tab w:pos="1377" w:val="left" w:leader="none"/>
        </w:tabs>
      </w:pPr>
      <w:r>
        <w:rPr/>
        <w:t>第十二条</w:t>
        <w:tab/>
        <w:t>保险金申请</w:t>
      </w:r>
    </w:p>
    <w:p>
      <w:pPr>
        <w:pStyle w:val="BodyText"/>
        <w:spacing w:line="273" w:lineRule="auto" w:before="36"/>
        <w:ind w:right="444"/>
      </w:pPr>
      <w:r>
        <w:rPr/>
        <w:t>在申请重大疾病保险金时，申请人须填写保险金给付申请书，并提供下列证明和资料： 一、保险合同；</w:t>
      </w:r>
    </w:p>
    <w:p>
      <w:pPr>
        <w:pStyle w:val="BodyText"/>
        <w:spacing w:before="7"/>
      </w:pPr>
      <w:r>
        <w:rPr/>
        <w:t>二、申请人的有效身份证件；</w:t>
      </w:r>
    </w:p>
    <w:p>
      <w:pPr>
        <w:pStyle w:val="BodyText"/>
        <w:spacing w:line="273" w:lineRule="auto" w:before="37"/>
        <w:ind w:left="537" w:right="33" w:hanging="420"/>
      </w:pPr>
      <w:r>
        <w:rPr/>
        <w:t>三、我们指定或认可的医院出具的被保险人病历、病理、血液及其他科学方法检验报告的诊断证明文件；</w:t>
      </w:r>
    </w:p>
    <w:p>
      <w:pPr>
        <w:pStyle w:val="BodyText"/>
        <w:spacing w:line="273" w:lineRule="auto" w:before="7"/>
        <w:ind w:right="1494"/>
      </w:pPr>
      <w:r>
        <w:rPr/>
        <w:t>四、所能提供的与确认保险事故的性质、原因等相关的其他证明或资料。 保险金作为被保险人遗产时，必须提供可证明合法继承权的相关权利文件。</w:t>
      </w:r>
    </w:p>
    <w:p>
      <w:pPr>
        <w:pStyle w:val="BodyText"/>
        <w:spacing w:before="7"/>
      </w:pPr>
      <w:r>
        <w:rPr/>
        <w:t>以上证明和资料不完整的，我们将及时一次性通知申请人补充提供有关证明或资料。</w:t>
      </w:r>
    </w:p>
    <w:p>
      <w:pPr>
        <w:pStyle w:val="BodyText"/>
        <w:spacing w:before="8"/>
        <w:ind w:left="0"/>
        <w:rPr>
          <w:sz w:val="26"/>
        </w:rPr>
      </w:pPr>
    </w:p>
    <w:p>
      <w:pPr>
        <w:pStyle w:val="Heading1"/>
        <w:spacing w:before="1"/>
        <w:ind w:left="2104"/>
      </w:pPr>
      <w:bookmarkStart w:name="_TOC_250001" w:id="6"/>
      <w:bookmarkEnd w:id="6"/>
      <w:r>
        <w:rPr/>
        <w:t>第六章 一般条款</w:t>
      </w:r>
    </w:p>
    <w:p>
      <w:pPr>
        <w:pStyle w:val="BodyText"/>
        <w:spacing w:before="9"/>
        <w:ind w:left="0"/>
        <w:rPr>
          <w:b/>
          <w:sz w:val="26"/>
        </w:rPr>
      </w:pPr>
    </w:p>
    <w:p>
      <w:pPr>
        <w:pStyle w:val="BodyText"/>
        <w:tabs>
          <w:tab w:pos="1377" w:val="left" w:leader="none"/>
        </w:tabs>
      </w:pPr>
      <w:r>
        <w:rPr/>
        <w:t>第十三条</w:t>
        <w:tab/>
        <w:t>如实告知</w:t>
      </w:r>
    </w:p>
    <w:p>
      <w:pPr>
        <w:pStyle w:val="BodyText"/>
        <w:spacing w:before="37"/>
      </w:pPr>
      <w:r>
        <w:rPr/>
        <w:t>订立本附加合同时，我们应向您说明本附加合同的内容。</w:t>
      </w:r>
    </w:p>
    <w:p>
      <w:pPr>
        <w:pStyle w:val="BodyText"/>
        <w:spacing w:before="37"/>
      </w:pPr>
      <w:r>
        <w:rPr/>
        <w:t>对保险条款中免除我们责任的条款，我们在订立附加合同时应当在投保单、保险单或者其他</w:t>
      </w:r>
    </w:p>
    <w:p>
      <w:pPr>
        <w:pStyle w:val="BodyText"/>
        <w:spacing w:before="9"/>
        <w:ind w:left="0"/>
        <w:rPr>
          <w:sz w:val="13"/>
        </w:rPr>
      </w:pPr>
      <w:r>
        <w:rPr/>
        <w:pict>
          <v:line style="position:absolute;mso-position-horizontal-relative:page;mso-position-vertical-relative:paragraph;z-index:1096;mso-wrap-distance-left:0;mso-wrap-distance-right:0" from="89.879997pt,11.215034pt" to="233.879997pt,11.215034pt" stroked="true" strokeweight=".53998pt" strokecolor="#000000">
            <v:stroke dashstyle="solid"/>
            <w10:wrap type="topAndBottom"/>
          </v:line>
        </w:pict>
      </w:r>
    </w:p>
    <w:p>
      <w:pPr>
        <w:spacing w:before="30"/>
        <w:ind w:left="117" w:right="112" w:firstLine="0"/>
        <w:jc w:val="left"/>
        <w:rPr>
          <w:sz w:val="18"/>
        </w:rPr>
      </w:pPr>
      <w:r>
        <w:rPr>
          <w:rFonts w:ascii="Times New Roman" w:eastAsia="Times New Roman"/>
          <w:position w:val="8"/>
          <w:sz w:val="12"/>
        </w:rPr>
        <w:t>10 </w:t>
      </w:r>
      <w:r>
        <w:rPr>
          <w:b/>
          <w:sz w:val="18"/>
        </w:rPr>
        <w:t>现金价值</w:t>
      </w:r>
      <w:r>
        <w:rPr>
          <w:sz w:val="18"/>
        </w:rPr>
        <w:t>：指本附加合同所具有的价值，通常体现为您解除合同时，根据精算原理计算的，由我们退还的那部分金额。各保险单年度末的现金价值载明于保险单现金价值表中。</w:t>
      </w:r>
    </w:p>
    <w:p>
      <w:pPr>
        <w:pStyle w:val="BodyText"/>
        <w:spacing w:before="4"/>
        <w:ind w:left="0"/>
        <w:rPr>
          <w:sz w:val="11"/>
        </w:rPr>
      </w:pPr>
    </w:p>
    <w:p>
      <w:pPr>
        <w:tabs>
          <w:tab w:pos="8429" w:val="right" w:leader="none"/>
        </w:tabs>
        <w:spacing w:before="68"/>
        <w:ind w:left="117" w:right="0" w:firstLine="0"/>
        <w:jc w:val="left"/>
        <w:rPr>
          <w:rFonts w:ascii="Times New Roman" w:eastAsia="Times New Roman"/>
          <w:sz w:val="18"/>
        </w:rPr>
      </w:pPr>
      <w:r>
        <w:rPr>
          <w:sz w:val="18"/>
        </w:rPr>
        <w:t>长生附加额外给付定期重大疾病保险</w:t>
      </w:r>
      <w:r>
        <w:rPr>
          <w:position w:val="2"/>
          <w:sz w:val="18"/>
        </w:rPr>
        <w:tab/>
      </w:r>
      <w:r>
        <w:rPr>
          <w:rFonts w:ascii="Times New Roman" w:eastAsia="Times New Roman"/>
          <w:position w:val="2"/>
          <w:sz w:val="18"/>
        </w:rPr>
        <w:t>4</w:t>
      </w:r>
    </w:p>
    <w:p>
      <w:pPr>
        <w:spacing w:after="0"/>
        <w:jc w:val="left"/>
        <w:rPr>
          <w:rFonts w:ascii="Times New Roman" w:eastAsia="Times New Roman"/>
          <w:sz w:val="18"/>
        </w:rPr>
        <w:sectPr>
          <w:footerReference w:type="default" r:id="rId8"/>
          <w:pgSz w:w="11910" w:h="16840"/>
          <w:pgMar w:footer="0" w:header="0" w:top="1400" w:bottom="280" w:left="1680" w:right="1680"/>
        </w:sectPr>
      </w:pPr>
    </w:p>
    <w:p>
      <w:pPr>
        <w:pStyle w:val="BodyText"/>
        <w:spacing w:line="273" w:lineRule="auto" w:before="25"/>
        <w:ind w:right="132"/>
      </w:pPr>
      <w:r>
        <w:rPr/>
        <w:t>保险凭证上作出足以引起您注意的提示，并对该条款的内容以书面或者口头形式向您作出明确说明，未作提示或者明确说明的，该条款不产生效力。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w:t>
      </w:r>
    </w:p>
    <w:p>
      <w:pPr>
        <w:pStyle w:val="BodyText"/>
        <w:spacing w:line="273" w:lineRule="auto" w:before="36"/>
        <w:ind w:right="132"/>
      </w:pPr>
      <w:r>
        <w:rPr/>
        <w:t>如果您故意或者因重大过失未履行前款规定的如实告知义务，足以影响我们决定是否同意承保或者提高保险费率的，我们有权解除本附加合同。</w:t>
      </w:r>
    </w:p>
    <w:p>
      <w:pPr>
        <w:pStyle w:val="BodyText"/>
        <w:spacing w:line="273" w:lineRule="auto" w:before="7"/>
        <w:ind w:right="133"/>
      </w:pPr>
      <w:r>
        <w:rPr/>
        <w:t>如果您故意不履行如实告知义务，对于本附加合同解除前发生的保险事故，我们不承担给付保险金的责任，并不退还保险费。</w:t>
      </w:r>
    </w:p>
    <w:p>
      <w:pPr>
        <w:pStyle w:val="BodyText"/>
        <w:spacing w:line="273" w:lineRule="auto" w:before="7"/>
        <w:ind w:right="133"/>
      </w:pPr>
      <w:r>
        <w:rPr/>
        <w:t>如果您因重大过失未履行如实告知义务，对保险事故的发生有严重影响的，对于本附加合同解除前发生的保险事故，我们不承担给付保险金的责任，但应当退还保险费。</w:t>
      </w:r>
    </w:p>
    <w:p>
      <w:pPr>
        <w:pStyle w:val="BodyText"/>
        <w:spacing w:line="273" w:lineRule="auto" w:before="7"/>
        <w:ind w:right="213"/>
      </w:pPr>
      <w:r>
        <w:rPr>
          <w:spacing w:val="-4"/>
        </w:rPr>
        <w:t>我们在附加合同订立时已经知道您未如实告知的情况的，我们不得解除附加合同；发生保险事故的，我们承担给付保险金的责任。</w:t>
      </w:r>
    </w:p>
    <w:p>
      <w:pPr>
        <w:pStyle w:val="BodyText"/>
        <w:spacing w:line="273" w:lineRule="auto" w:before="7"/>
        <w:ind w:right="211"/>
        <w:jc w:val="both"/>
      </w:pPr>
      <w:r>
        <w:rPr>
          <w:spacing w:val="-5"/>
        </w:rPr>
        <w:t>本条规定的附加合同解除权，自我们知道有解除事由之日起，超过三十日不行使而消灭。自</w:t>
      </w:r>
      <w:r>
        <w:rPr>
          <w:spacing w:val="-9"/>
        </w:rPr>
        <w:t>本附加合同成立之日起超过二年的，我们不得解除附加合同；发生保险事故的，我们承担给付保险金的责任。</w:t>
      </w:r>
    </w:p>
    <w:p>
      <w:pPr>
        <w:pStyle w:val="BodyText"/>
        <w:spacing w:before="5"/>
        <w:ind w:left="0"/>
        <w:rPr>
          <w:sz w:val="24"/>
        </w:rPr>
      </w:pPr>
    </w:p>
    <w:p>
      <w:pPr>
        <w:pStyle w:val="BodyText"/>
        <w:tabs>
          <w:tab w:pos="1377" w:val="left" w:leader="none"/>
        </w:tabs>
      </w:pPr>
      <w:r>
        <w:rPr/>
        <w:t>第十四条</w:t>
        <w:tab/>
        <w:t>年龄确定及错误处理</w:t>
      </w:r>
    </w:p>
    <w:p>
      <w:pPr>
        <w:pStyle w:val="BodyText"/>
        <w:spacing w:line="273" w:lineRule="auto" w:before="37"/>
        <w:ind w:right="213"/>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before="8"/>
        <w:ind w:left="537" w:right="124"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8"/>
        <w:ind w:left="537" w:right="106" w:hanging="1"/>
      </w:pPr>
      <w:r>
        <w:rPr>
          <w:spacing w:val="-12"/>
        </w:rPr>
        <w:t>本款规定的附加合同解除权，自我们知道有解除事由之日起，超过三十日不行使而消灭。</w:t>
      </w:r>
      <w:r>
        <w:rPr>
          <w:spacing w:val="-15"/>
        </w:rPr>
        <w:t>自本附加合同成立之日起超过二年的，我们不得解除附加合同；发生保险事故的，我们承担给付保险金的责任。</w:t>
      </w:r>
    </w:p>
    <w:p>
      <w:pPr>
        <w:pStyle w:val="BodyText"/>
        <w:spacing w:line="273" w:lineRule="auto" w:before="8"/>
        <w:ind w:left="537" w:right="213"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w:t>
      </w:r>
    </w:p>
    <w:p>
      <w:pPr>
        <w:pStyle w:val="BodyText"/>
        <w:spacing w:line="273" w:lineRule="auto" w:before="8"/>
        <w:ind w:left="537" w:right="133" w:hanging="420"/>
      </w:pPr>
      <w:r>
        <w:rPr/>
        <w:t>三、申报的被保险人年龄不真实，致使您实付保险费多于应付保险费的，我们会将多收的保险费退还给您。</w:t>
      </w:r>
    </w:p>
    <w:p>
      <w:pPr>
        <w:pStyle w:val="BodyText"/>
        <w:spacing w:before="5"/>
        <w:ind w:left="0"/>
        <w:rPr>
          <w:sz w:val="24"/>
        </w:rPr>
      </w:pPr>
    </w:p>
    <w:p>
      <w:pPr>
        <w:pStyle w:val="BodyText"/>
        <w:tabs>
          <w:tab w:pos="1377" w:val="left" w:leader="none"/>
        </w:tabs>
      </w:pPr>
      <w:r>
        <w:rPr/>
        <w:t>第十五条</w:t>
        <w:tab/>
        <w:t>受益人指定与变更</w:t>
      </w:r>
    </w:p>
    <w:p>
      <w:pPr>
        <w:pStyle w:val="BodyText"/>
        <w:spacing w:before="36"/>
      </w:pPr>
      <w:r>
        <w:rPr/>
        <w:t>除本附加合同另有约定外，重大疾病保险金的受益人为被保险人本人。</w:t>
      </w:r>
    </w:p>
    <w:p>
      <w:pPr>
        <w:pStyle w:val="BodyText"/>
        <w:spacing w:before="8"/>
        <w:ind w:left="0"/>
        <w:rPr>
          <w:sz w:val="26"/>
        </w:rPr>
      </w:pPr>
    </w:p>
    <w:p>
      <w:pPr>
        <w:pStyle w:val="Heading1"/>
        <w:ind w:left="2939" w:right="3033"/>
      </w:pPr>
      <w:bookmarkStart w:name="_TOC_250000" w:id="7"/>
      <w:bookmarkEnd w:id="7"/>
      <w:r>
        <w:rPr/>
        <w:t>第七章 附表</w:t>
      </w:r>
    </w:p>
    <w:p>
      <w:pPr>
        <w:pStyle w:val="BodyText"/>
        <w:spacing w:before="8"/>
        <w:ind w:left="0"/>
        <w:rPr>
          <w:b/>
          <w:sz w:val="26"/>
        </w:rPr>
      </w:pPr>
    </w:p>
    <w:p>
      <w:pPr>
        <w:pStyle w:val="BodyText"/>
      </w:pPr>
      <w:r>
        <w:rPr/>
        <w:t>附表：重大疾病种类表</w:t>
      </w:r>
    </w:p>
    <w:p>
      <w:pPr>
        <w:pStyle w:val="BodyText"/>
        <w:spacing w:line="273" w:lineRule="auto" w:before="36"/>
        <w:ind w:right="124"/>
      </w:pPr>
      <w:r>
        <w:rPr/>
        <w:t>以下第一至二十五类重大疾病是中国保险行业协会与中国医师协会制定了规范定义的疾病， 第二十六至三十类重大疾病是我们在中国保险行业协会与中国医师协会制定了规范定义的 </w:t>
      </w:r>
      <w:r>
        <w:rPr>
          <w:spacing w:val="-6"/>
        </w:rPr>
        <w:t>疾病范围之外增加的疾病。被保险人发生符合以下疾病定义所述条件的疾病，应当由</w:t>
      </w:r>
      <w:r>
        <w:rPr>
          <w:b/>
        </w:rPr>
        <w:t>专科医生</w:t>
      </w:r>
      <w:r>
        <w:rPr>
          <w:b/>
          <w:position w:val="11"/>
          <w:sz w:val="11"/>
        </w:rPr>
        <w:t>11</w:t>
      </w:r>
      <w:r>
        <w:rPr/>
        <w:t>明确诊断。</w:t>
      </w:r>
    </w:p>
    <w:p>
      <w:pPr>
        <w:pStyle w:val="BodyText"/>
        <w:spacing w:before="2"/>
        <w:ind w:left="0"/>
        <w:rPr>
          <w:sz w:val="29"/>
        </w:rPr>
      </w:pPr>
      <w:r>
        <w:rPr/>
        <w:pict>
          <v:line style="position:absolute;mso-position-horizontal-relative:page;mso-position-vertical-relative:paragraph;z-index:1120;mso-wrap-distance-left:0;mso-wrap-distance-right:0" from="89.879997pt,21.364042pt" to="233.879997pt,21.364042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pStyle w:val="ListParagraph"/>
        <w:numPr>
          <w:ilvl w:val="0"/>
          <w:numId w:val="4"/>
        </w:numPr>
        <w:tabs>
          <w:tab w:pos="658" w:val="left" w:leader="none"/>
        </w:tabs>
        <w:spacing w:line="233" w:lineRule="exact" w:before="0" w:after="0"/>
        <w:ind w:left="657" w:right="0" w:hanging="360"/>
        <w:jc w:val="left"/>
        <w:rPr>
          <w:sz w:val="18"/>
        </w:rPr>
      </w:pPr>
      <w:r>
        <w:rPr>
          <w:spacing w:val="-5"/>
          <w:sz w:val="18"/>
        </w:rPr>
        <w:t>具有有效的中华人民共和国《医师资格证书》；</w:t>
      </w:r>
    </w:p>
    <w:p>
      <w:pPr>
        <w:pStyle w:val="ListParagraph"/>
        <w:numPr>
          <w:ilvl w:val="0"/>
          <w:numId w:val="4"/>
        </w:numPr>
        <w:tabs>
          <w:tab w:pos="658" w:val="left" w:leader="none"/>
        </w:tabs>
        <w:spacing w:line="233" w:lineRule="exact" w:before="0" w:after="0"/>
        <w:ind w:left="657" w:right="0" w:hanging="360"/>
        <w:jc w:val="left"/>
        <w:rPr>
          <w:sz w:val="18"/>
        </w:rPr>
      </w:pPr>
      <w:r>
        <w:rPr>
          <w:spacing w:val="-5"/>
          <w:sz w:val="18"/>
        </w:rPr>
        <w:t>具有有效的中华人民共和国《医师执业证书》，并按期到相关部门登记注册；</w:t>
      </w:r>
    </w:p>
    <w:p>
      <w:pPr>
        <w:pStyle w:val="ListParagraph"/>
        <w:numPr>
          <w:ilvl w:val="0"/>
          <w:numId w:val="4"/>
        </w:numPr>
        <w:tabs>
          <w:tab w:pos="658" w:val="left" w:leader="none"/>
        </w:tabs>
        <w:spacing w:line="233" w:lineRule="exact" w:before="0" w:after="0"/>
        <w:ind w:left="657" w:right="0" w:hanging="360"/>
        <w:jc w:val="left"/>
        <w:rPr>
          <w:sz w:val="18"/>
        </w:rPr>
      </w:pPr>
      <w:r>
        <w:rPr>
          <w:spacing w:val="-3"/>
          <w:sz w:val="18"/>
        </w:rPr>
        <w:t>具有有效的中华人民共和国主治医师或主治医师以上职称的《医师职称证书》；</w:t>
      </w:r>
    </w:p>
    <w:p>
      <w:pPr>
        <w:pStyle w:val="ListParagraph"/>
        <w:numPr>
          <w:ilvl w:val="0"/>
          <w:numId w:val="4"/>
        </w:numPr>
        <w:tabs>
          <w:tab w:pos="658" w:val="left" w:leader="none"/>
        </w:tabs>
        <w:spacing w:line="235" w:lineRule="exact" w:before="0" w:after="0"/>
        <w:ind w:left="657" w:right="0" w:hanging="360"/>
        <w:jc w:val="left"/>
        <w:rPr>
          <w:sz w:val="18"/>
        </w:rPr>
      </w:pPr>
      <w:r>
        <w:rPr>
          <w:sz w:val="18"/>
        </w:rPr>
        <w:t>在二级或二级以上医院的相应科室从事临床工作三年以上。</w:t>
      </w:r>
    </w:p>
    <w:p>
      <w:pPr>
        <w:pStyle w:val="BodyText"/>
        <w:spacing w:before="4"/>
        <w:ind w:left="0"/>
        <w:rPr>
          <w:sz w:val="11"/>
        </w:rPr>
      </w:pPr>
    </w:p>
    <w:p>
      <w:pPr>
        <w:tabs>
          <w:tab w:pos="8429" w:val="right" w:leader="none"/>
        </w:tabs>
        <w:spacing w:before="68"/>
        <w:ind w:left="117" w:right="0" w:firstLine="0"/>
        <w:jc w:val="left"/>
        <w:rPr>
          <w:rFonts w:ascii="Times New Roman" w:eastAsia="Times New Roman"/>
          <w:sz w:val="18"/>
        </w:rPr>
      </w:pPr>
      <w:r>
        <w:rPr>
          <w:sz w:val="18"/>
        </w:rPr>
        <w:t>长生附加额外给付定期重大疾病保险</w:t>
      </w:r>
      <w:r>
        <w:rPr>
          <w:position w:val="2"/>
          <w:sz w:val="18"/>
        </w:rPr>
        <w:tab/>
      </w:r>
      <w:r>
        <w:rPr>
          <w:rFonts w:ascii="Times New Roman" w:eastAsia="Times New Roman"/>
          <w:position w:val="2"/>
          <w:sz w:val="18"/>
        </w:rPr>
        <w:t>5</w:t>
      </w:r>
    </w:p>
    <w:p>
      <w:pPr>
        <w:spacing w:after="0"/>
        <w:jc w:val="left"/>
        <w:rPr>
          <w:rFonts w:ascii="Times New Roman" w:eastAsia="Times New Roman"/>
          <w:sz w:val="18"/>
        </w:rPr>
        <w:sectPr>
          <w:footerReference w:type="default" r:id="rId9"/>
          <w:pgSz w:w="11910" w:h="16840"/>
          <w:pgMar w:footer="0" w:header="0" w:top="1400" w:bottom="280" w:left="1680" w:right="15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一、恶性肿瘤</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numPr>
                <w:ilvl w:val="0"/>
                <w:numId w:val="5"/>
              </w:numPr>
              <w:tabs>
                <w:tab w:pos="468" w:val="left" w:leader="none"/>
              </w:tabs>
              <w:spacing w:line="240" w:lineRule="auto" w:before="36" w:after="0"/>
              <w:ind w:left="467" w:right="0" w:hanging="360"/>
              <w:jc w:val="both"/>
              <w:rPr>
                <w:sz w:val="21"/>
              </w:rPr>
            </w:pPr>
            <w:r>
              <w:rPr>
                <w:sz w:val="21"/>
              </w:rPr>
              <w:t>原位癌；</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5"/>
              </w:numPr>
              <w:tabs>
                <w:tab w:pos="468" w:val="left" w:leader="none"/>
              </w:tabs>
              <w:spacing w:line="240" w:lineRule="auto" w:before="36" w:after="0"/>
              <w:ind w:left="467" w:right="0" w:hanging="360"/>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5"/>
              </w:numPr>
              <w:tabs>
                <w:tab w:pos="468" w:val="left" w:leader="none"/>
              </w:tabs>
              <w:spacing w:line="240" w:lineRule="auto" w:before="36" w:after="0"/>
              <w:ind w:left="467" w:right="0" w:hanging="360"/>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5"/>
              </w:numPr>
              <w:tabs>
                <w:tab w:pos="468" w:val="left" w:leader="none"/>
              </w:tabs>
              <w:spacing w:line="240" w:lineRule="auto" w:before="36" w:after="0"/>
              <w:ind w:left="467" w:right="0" w:hanging="36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TableParagraph"/>
              <w:numPr>
                <w:ilvl w:val="0"/>
                <w:numId w:val="5"/>
              </w:numPr>
              <w:tabs>
                <w:tab w:pos="468" w:val="left" w:leader="none"/>
              </w:tabs>
              <w:spacing w:line="240" w:lineRule="auto" w:before="37" w:after="0"/>
              <w:ind w:left="467" w:right="0" w:hanging="360"/>
              <w:jc w:val="both"/>
              <w:rPr>
                <w:sz w:val="21"/>
              </w:rPr>
            </w:pPr>
            <w:r>
              <w:rPr>
                <w:sz w:val="21"/>
              </w:rPr>
              <w:t>感染艾滋病病毒或患艾滋病期间所患恶性肿瘤。</w:t>
            </w:r>
          </w:p>
        </w:tc>
      </w:tr>
      <w:tr>
        <w:trPr>
          <w:trHeight w:val="2496" w:hRule="atLeast"/>
        </w:trPr>
        <w:tc>
          <w:tcPr>
            <w:tcW w:w="1908" w:type="dxa"/>
          </w:tcPr>
          <w:p>
            <w:pPr>
              <w:pStyle w:val="TableParagraph"/>
              <w:spacing w:line="261" w:lineRule="exact" w:before="0"/>
              <w:rPr>
                <w:sz w:val="21"/>
              </w:rPr>
            </w:pPr>
            <w:r>
              <w:rPr>
                <w:sz w:val="21"/>
              </w:rPr>
              <w:t>二、急性心肌梗塞</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w:t>
            </w:r>
          </w:p>
          <w:p>
            <w:pPr>
              <w:pStyle w:val="TableParagraph"/>
              <w:numPr>
                <w:ilvl w:val="0"/>
                <w:numId w:val="6"/>
              </w:numPr>
              <w:tabs>
                <w:tab w:pos="528" w:val="left" w:leader="none"/>
              </w:tabs>
              <w:spacing w:line="240" w:lineRule="auto" w:before="37" w:after="0"/>
              <w:ind w:left="527" w:right="0" w:hanging="420"/>
              <w:jc w:val="left"/>
              <w:rPr>
                <w:sz w:val="21"/>
              </w:rPr>
            </w:pPr>
            <w:r>
              <w:rPr>
                <w:sz w:val="21"/>
              </w:rPr>
              <w:t>典型临床表现，例如急性胸痛等；</w:t>
            </w:r>
          </w:p>
          <w:p>
            <w:pPr>
              <w:pStyle w:val="TableParagraph"/>
              <w:numPr>
                <w:ilvl w:val="0"/>
                <w:numId w:val="6"/>
              </w:numPr>
              <w:tabs>
                <w:tab w:pos="528" w:val="left" w:leader="none"/>
              </w:tabs>
              <w:spacing w:line="240" w:lineRule="auto" w:before="37" w:after="0"/>
              <w:ind w:left="527" w:right="0" w:hanging="420"/>
              <w:jc w:val="left"/>
              <w:rPr>
                <w:sz w:val="21"/>
              </w:rPr>
            </w:pPr>
            <w:r>
              <w:rPr>
                <w:sz w:val="21"/>
              </w:rPr>
              <w:t>新近的心电图改变提示急性心肌梗塞；</w:t>
            </w:r>
          </w:p>
          <w:p>
            <w:pPr>
              <w:pStyle w:val="TableParagraph"/>
              <w:numPr>
                <w:ilvl w:val="0"/>
                <w:numId w:val="6"/>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w:t>
            </w:r>
          </w:p>
          <w:p>
            <w:pPr>
              <w:pStyle w:val="TableParagraph"/>
              <w:numPr>
                <w:ilvl w:val="0"/>
                <w:numId w:val="6"/>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7"/>
                <w:sz w:val="21"/>
              </w:rPr>
              <w:t>于 </w:t>
            </w:r>
            <w:r>
              <w:rPr>
                <w:rFonts w:ascii="Times New Roman" w:eastAsia="Times New Roman"/>
                <w:sz w:val="21"/>
              </w:rPr>
              <w:t>50%</w:t>
            </w:r>
            <w:r>
              <w:rPr>
                <w:sz w:val="21"/>
              </w:rPr>
              <w:t>。</w:t>
            </w:r>
          </w:p>
        </w:tc>
      </w:tr>
      <w:tr>
        <w:trPr>
          <w:trHeight w:val="2183" w:hRule="atLeast"/>
        </w:trPr>
        <w:tc>
          <w:tcPr>
            <w:tcW w:w="1908" w:type="dxa"/>
          </w:tcPr>
          <w:p>
            <w:pPr>
              <w:pStyle w:val="TableParagraph"/>
              <w:spacing w:line="260" w:lineRule="exact" w:before="0"/>
              <w:rPr>
                <w:sz w:val="21"/>
              </w:rPr>
            </w:pPr>
            <w:r>
              <w:rPr>
                <w:sz w:val="21"/>
              </w:rPr>
              <w:t>三、脑中风后遗症</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w:t>
            </w:r>
          </w:p>
          <w:p>
            <w:pPr>
              <w:pStyle w:val="TableParagraph"/>
              <w:numPr>
                <w:ilvl w:val="0"/>
                <w:numId w:val="7"/>
              </w:numPr>
              <w:tabs>
                <w:tab w:pos="528" w:val="left" w:leader="none"/>
              </w:tabs>
              <w:spacing w:line="240" w:lineRule="auto" w:before="7" w:after="0"/>
              <w:ind w:left="527" w:right="0" w:hanging="420"/>
              <w:jc w:val="left"/>
              <w:rPr>
                <w:sz w:val="21"/>
              </w:rPr>
            </w:pPr>
            <w:r>
              <w:rPr>
                <w:w w:val="95"/>
                <w:sz w:val="21"/>
              </w:rPr>
              <w:t>一肢或一肢以上</w:t>
            </w:r>
            <w:r>
              <w:rPr>
                <w:b/>
                <w:w w:val="95"/>
                <w:sz w:val="21"/>
              </w:rPr>
              <w:t>肢体机能完全丧失</w:t>
            </w:r>
            <w:r>
              <w:rPr>
                <w:b/>
                <w:w w:val="95"/>
                <w:position w:val="11"/>
                <w:sz w:val="11"/>
              </w:rPr>
              <w:t>12</w:t>
            </w:r>
            <w:r>
              <w:rPr>
                <w:w w:val="95"/>
                <w:sz w:val="21"/>
              </w:rPr>
              <w:t>；</w:t>
            </w:r>
          </w:p>
          <w:p>
            <w:pPr>
              <w:pStyle w:val="TableParagraph"/>
              <w:numPr>
                <w:ilvl w:val="0"/>
                <w:numId w:val="7"/>
              </w:numPr>
              <w:tabs>
                <w:tab w:pos="528" w:val="left" w:leader="none"/>
              </w:tabs>
              <w:spacing w:line="240" w:lineRule="auto" w:before="36" w:after="0"/>
              <w:ind w:left="527" w:right="0" w:hanging="420"/>
              <w:jc w:val="left"/>
              <w:rPr>
                <w:sz w:val="21"/>
              </w:rPr>
            </w:pPr>
            <w:r>
              <w:rPr>
                <w:b/>
                <w:w w:val="95"/>
                <w:sz w:val="21"/>
              </w:rPr>
              <w:t>语言能力或咀嚼吞咽能力完全丧失</w:t>
            </w:r>
            <w:r>
              <w:rPr>
                <w:b/>
                <w:w w:val="95"/>
                <w:position w:val="11"/>
                <w:sz w:val="11"/>
              </w:rPr>
              <w:t>13</w:t>
            </w:r>
            <w:r>
              <w:rPr>
                <w:w w:val="95"/>
                <w:sz w:val="21"/>
              </w:rPr>
              <w:t>；</w:t>
            </w:r>
          </w:p>
          <w:p>
            <w:pPr>
              <w:pStyle w:val="TableParagraph"/>
              <w:numPr>
                <w:ilvl w:val="0"/>
                <w:numId w:val="7"/>
              </w:numPr>
              <w:tabs>
                <w:tab w:pos="528" w:val="left" w:leader="none"/>
              </w:tabs>
              <w:spacing w:line="273" w:lineRule="auto" w:before="36" w:after="0"/>
              <w:ind w:left="527" w:right="96" w:hanging="420"/>
              <w:jc w:val="left"/>
              <w:rPr>
                <w:sz w:val="21"/>
              </w:rPr>
            </w:pPr>
            <w:r>
              <w:rPr>
                <w:spacing w:val="-4"/>
                <w:sz w:val="21"/>
              </w:rPr>
              <w:t>自主生活能力完全丧失，无法独立完成</w:t>
            </w:r>
            <w:r>
              <w:rPr>
                <w:b/>
                <w:sz w:val="21"/>
              </w:rPr>
              <w:t>六项基本日常生活活动</w:t>
            </w:r>
            <w:r>
              <w:rPr>
                <w:b/>
                <w:position w:val="11"/>
                <w:sz w:val="11"/>
              </w:rPr>
              <w:t>14</w:t>
            </w:r>
            <w:r>
              <w:rPr>
                <w:sz w:val="21"/>
              </w:rPr>
              <w:t>中的三项或三项以上。</w:t>
            </w:r>
          </w:p>
        </w:tc>
      </w:tr>
      <w:tr>
        <w:trPr>
          <w:trHeight w:val="1559" w:hRule="atLeast"/>
        </w:trPr>
        <w:tc>
          <w:tcPr>
            <w:tcW w:w="1908" w:type="dxa"/>
          </w:tcPr>
          <w:p>
            <w:pPr>
              <w:pStyle w:val="TableParagraph"/>
              <w:spacing w:line="260" w:lineRule="exact" w:before="0"/>
              <w:rPr>
                <w:sz w:val="21"/>
              </w:rPr>
            </w:pPr>
            <w:r>
              <w:rPr>
                <w:sz w:val="21"/>
              </w:rPr>
              <w:t>四、重大器官移植</w:t>
            </w:r>
          </w:p>
          <w:p>
            <w:pPr>
              <w:pStyle w:val="TableParagraph"/>
              <w:spacing w:line="273" w:lineRule="auto"/>
              <w:ind w:right="108"/>
              <w:rPr>
                <w:sz w:val="21"/>
              </w:rPr>
            </w:pPr>
            <w:r>
              <w:rPr>
                <w:sz w:val="21"/>
              </w:rPr>
              <w:t>术或造血干细胞移植术</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624" w:hRule="atLeast"/>
        </w:trPr>
        <w:tc>
          <w:tcPr>
            <w:tcW w:w="1908" w:type="dxa"/>
          </w:tcPr>
          <w:p>
            <w:pPr>
              <w:pStyle w:val="TableParagraph"/>
              <w:spacing w:line="261" w:lineRule="exact" w:before="0"/>
              <w:rPr>
                <w:sz w:val="21"/>
              </w:rPr>
            </w:pPr>
            <w:r>
              <w:rPr>
                <w:sz w:val="21"/>
              </w:rPr>
              <w:t>五、冠状动脉搭桥</w:t>
            </w:r>
          </w:p>
          <w:p>
            <w:pPr>
              <w:pStyle w:val="TableParagraph"/>
              <w:rPr>
                <w:sz w:val="21"/>
              </w:rPr>
            </w:pPr>
            <w:r>
              <w:rPr>
                <w:sz w:val="21"/>
              </w:rPr>
              <w:t>术（或称冠状动脉</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sz w:val="21"/>
              </w:rPr>
              <w:t>的手术。</w:t>
            </w:r>
          </w:p>
        </w:tc>
      </w:tr>
    </w:tbl>
    <w:p>
      <w:pPr>
        <w:pStyle w:val="BodyText"/>
        <w:spacing w:before="8"/>
        <w:ind w:left="0"/>
        <w:rPr>
          <w:rFonts w:ascii="Times New Roman"/>
          <w:sz w:val="26"/>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13" w:firstLine="0"/>
        <w:jc w:val="left"/>
        <w:rPr>
          <w:sz w:val="18"/>
        </w:rPr>
      </w:pPr>
      <w:r>
        <w:rPr>
          <w:rFonts w:ascii="Times New Roman" w:eastAsia="Times New Roman"/>
          <w:position w:val="8"/>
          <w:sz w:val="12"/>
        </w:rPr>
        <w:t>12 </w:t>
      </w:r>
      <w:r>
        <w:rPr>
          <w:b/>
          <w:sz w:val="18"/>
        </w:rPr>
        <w:t>肢体机能完全丧失</w:t>
      </w:r>
      <w:r>
        <w:rPr>
          <w:sz w:val="18"/>
        </w:rPr>
        <w:t>：指肢体的三大关节中的两大关节僵硬，或不能随意识活动。肢体是指包括肩关节的整个上肢或包括髋关节的整个下肢。</w:t>
      </w:r>
    </w:p>
    <w:p>
      <w:pPr>
        <w:spacing w:line="237" w:lineRule="auto" w:before="0"/>
        <w:ind w:left="217" w:right="405" w:hanging="1"/>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17" w:right="444"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1"/>
          <w:numId w:val="4"/>
        </w:numPr>
        <w:tabs>
          <w:tab w:pos="758" w:val="left" w:leader="none"/>
        </w:tabs>
        <w:spacing w:line="233" w:lineRule="exact" w:before="0" w:after="0"/>
        <w:ind w:left="757" w:right="0" w:hanging="360"/>
        <w:jc w:val="left"/>
        <w:rPr>
          <w:sz w:val="18"/>
        </w:rPr>
      </w:pPr>
      <w:r>
        <w:rPr>
          <w:sz w:val="18"/>
        </w:rPr>
        <w:t>穿衣：自己能够穿衣及脱衣；</w:t>
      </w:r>
    </w:p>
    <w:p>
      <w:pPr>
        <w:pStyle w:val="ListParagraph"/>
        <w:numPr>
          <w:ilvl w:val="1"/>
          <w:numId w:val="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1"/>
          <w:numId w:val="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1"/>
          <w:numId w:val="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pStyle w:val="BodyText"/>
        <w:spacing w:before="4"/>
        <w:ind w:left="0"/>
        <w:rPr>
          <w:sz w:val="10"/>
        </w:rPr>
      </w:pPr>
    </w:p>
    <w:p>
      <w:pPr>
        <w:tabs>
          <w:tab w:pos="8529" w:val="right" w:leader="none"/>
        </w:tabs>
        <w:spacing w:before="69"/>
        <w:ind w:left="217" w:right="0" w:firstLine="0"/>
        <w:jc w:val="left"/>
        <w:rPr>
          <w:rFonts w:ascii="Times New Roman" w:eastAsia="Times New Roman"/>
          <w:sz w:val="18"/>
        </w:rPr>
      </w:pPr>
      <w:r>
        <w:rPr>
          <w:sz w:val="18"/>
        </w:rPr>
        <w:t>长生附加额外给付定期重大疾病保险</w:t>
      </w:r>
      <w:r>
        <w:rPr>
          <w:position w:val="2"/>
          <w:sz w:val="18"/>
        </w:rPr>
        <w:tab/>
      </w:r>
      <w:r>
        <w:rPr>
          <w:rFonts w:ascii="Times New Roman" w:eastAsia="Times New Roman"/>
          <w:position w:val="2"/>
          <w:sz w:val="18"/>
        </w:rPr>
        <w:t>6</w:t>
      </w:r>
    </w:p>
    <w:p>
      <w:pPr>
        <w:spacing w:after="0"/>
        <w:jc w:val="left"/>
        <w:rPr>
          <w:rFonts w:ascii="Times New Roman" w:eastAsia="Times New Roman"/>
          <w:sz w:val="18"/>
        </w:rPr>
        <w:sectPr>
          <w:footerReference w:type="default" r:id="rId10"/>
          <w:pgSz w:w="11910" w:h="16840"/>
          <w:pgMar w:footer="0" w:header="0" w:top="1440" w:bottom="28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line="260" w:lineRule="exact" w:before="0"/>
              <w:rPr>
                <w:sz w:val="21"/>
              </w:rPr>
            </w:pPr>
            <w:r>
              <w:rPr>
                <w:sz w:val="21"/>
              </w:rPr>
              <w:t>旁路移植术）</w:t>
            </w:r>
          </w:p>
        </w:tc>
        <w:tc>
          <w:tcPr>
            <w:tcW w:w="6810" w:type="dxa"/>
          </w:tcPr>
          <w:p>
            <w:pPr>
              <w:pStyle w:val="TableParagraph"/>
              <w:spacing w:line="260" w:lineRule="exact" w:before="0"/>
              <w:rPr>
                <w:sz w:val="21"/>
              </w:rPr>
            </w:pPr>
            <w:r>
              <w:rPr>
                <w:sz w:val="21"/>
              </w:rPr>
              <w:t>冠状动脉支架植入术、心导管球囊扩张术、激光射频技术及其它非开胸</w:t>
            </w:r>
          </w:p>
          <w:p>
            <w:pPr>
              <w:pStyle w:val="TableParagraph"/>
              <w:rPr>
                <w:sz w:val="21"/>
              </w:rPr>
            </w:pPr>
            <w:r>
              <w:rPr>
                <w:sz w:val="21"/>
              </w:rPr>
              <w:t>的介入手术、腔镜手术不在保障范围内。</w:t>
            </w:r>
          </w:p>
        </w:tc>
      </w:tr>
      <w:tr>
        <w:trPr>
          <w:trHeight w:val="936" w:hRule="atLeast"/>
        </w:trPr>
        <w:tc>
          <w:tcPr>
            <w:tcW w:w="1908" w:type="dxa"/>
          </w:tcPr>
          <w:p>
            <w:pPr>
              <w:pStyle w:val="TableParagraph"/>
              <w:spacing w:line="261"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w:t>
            </w:r>
          </w:p>
        </w:tc>
      </w:tr>
      <w:tr>
        <w:trPr>
          <w:trHeight w:val="623" w:hRule="atLeast"/>
        </w:trPr>
        <w:tc>
          <w:tcPr>
            <w:tcW w:w="1908" w:type="dxa"/>
          </w:tcPr>
          <w:p>
            <w:pPr>
              <w:pStyle w:val="TableParagraph"/>
              <w:spacing w:line="260" w:lineRule="exact" w:before="0"/>
              <w:rPr>
                <w:sz w:val="21"/>
              </w:rPr>
            </w:pPr>
            <w:r>
              <w:rPr>
                <w:sz w:val="21"/>
              </w:rPr>
              <w:t>七、多个肢体缺失</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w:t>
            </w:r>
          </w:p>
          <w:p>
            <w:pPr>
              <w:pStyle w:val="TableParagraph"/>
              <w:numPr>
                <w:ilvl w:val="0"/>
                <w:numId w:val="8"/>
              </w:numPr>
              <w:tabs>
                <w:tab w:pos="528" w:val="left" w:leader="none"/>
              </w:tabs>
              <w:spacing w:line="240" w:lineRule="auto" w:before="37" w:after="0"/>
              <w:ind w:left="527" w:right="0" w:hanging="420"/>
              <w:jc w:val="left"/>
              <w:rPr>
                <w:sz w:val="21"/>
              </w:rPr>
            </w:pPr>
            <w:r>
              <w:rPr>
                <w:sz w:val="21"/>
              </w:rPr>
              <w:t>重度黄疸或黄疸迅速加重；</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肝性脑病；</w:t>
            </w:r>
          </w:p>
          <w:p>
            <w:pPr>
              <w:pStyle w:val="TableParagraph"/>
              <w:numPr>
                <w:ilvl w:val="0"/>
                <w:numId w:val="8"/>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w:t>
            </w:r>
          </w:p>
          <w:p>
            <w:pPr>
              <w:pStyle w:val="TableParagraph"/>
              <w:numPr>
                <w:ilvl w:val="0"/>
                <w:numId w:val="8"/>
              </w:numPr>
              <w:tabs>
                <w:tab w:pos="528" w:val="left" w:leader="none"/>
              </w:tabs>
              <w:spacing w:line="240" w:lineRule="auto" w:before="37" w:after="0"/>
              <w:ind w:left="527" w:right="0" w:hanging="420"/>
              <w:jc w:val="left"/>
              <w:rPr>
                <w:sz w:val="21"/>
              </w:rPr>
            </w:pPr>
            <w:r>
              <w:rPr>
                <w:sz w:val="21"/>
              </w:rPr>
              <w:t>肝功能指标进行性恶化。</w:t>
            </w:r>
          </w:p>
        </w:tc>
      </w:tr>
      <w:tr>
        <w:trPr>
          <w:trHeight w:val="2184" w:hRule="atLeast"/>
        </w:trPr>
        <w:tc>
          <w:tcPr>
            <w:tcW w:w="1908" w:type="dxa"/>
          </w:tcPr>
          <w:p>
            <w:pPr>
              <w:pStyle w:val="TableParagraph"/>
              <w:spacing w:line="261" w:lineRule="exact" w:before="0"/>
              <w:rPr>
                <w:sz w:val="21"/>
              </w:rPr>
            </w:pPr>
            <w:r>
              <w:rPr>
                <w:sz w:val="21"/>
              </w:rPr>
              <w:t>九、良性脑肿瘤</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w:t>
            </w:r>
          </w:p>
          <w:p>
            <w:pPr>
              <w:pStyle w:val="TableParagraph"/>
              <w:numPr>
                <w:ilvl w:val="0"/>
                <w:numId w:val="9"/>
              </w:numPr>
              <w:tabs>
                <w:tab w:pos="528" w:val="left" w:leader="none"/>
              </w:tabs>
              <w:spacing w:line="240" w:lineRule="auto" w:before="7" w:after="0"/>
              <w:ind w:left="527" w:right="0" w:hanging="420"/>
              <w:jc w:val="both"/>
              <w:rPr>
                <w:sz w:val="21"/>
              </w:rPr>
            </w:pPr>
            <w:r>
              <w:rPr>
                <w:sz w:val="21"/>
              </w:rPr>
              <w:t>实际实施了开颅进行的脑肿瘤完全切除或部分切除的手术；</w:t>
            </w:r>
          </w:p>
          <w:p>
            <w:pPr>
              <w:pStyle w:val="TableParagraph"/>
              <w:numPr>
                <w:ilvl w:val="0"/>
                <w:numId w:val="9"/>
              </w:numPr>
              <w:tabs>
                <w:tab w:pos="528" w:val="left" w:leader="none"/>
              </w:tabs>
              <w:spacing w:line="240" w:lineRule="auto" w:before="36" w:after="0"/>
              <w:ind w:left="527" w:right="0" w:hanging="420"/>
              <w:jc w:val="both"/>
              <w:rPr>
                <w:sz w:val="21"/>
              </w:rPr>
            </w:pPr>
            <w:r>
              <w:rPr>
                <w:sz w:val="21"/>
              </w:rPr>
              <w:t>实际实施了对脑肿瘤进行的放射治疗。</w:t>
            </w:r>
          </w:p>
          <w:p>
            <w:pPr>
              <w:pStyle w:val="TableParagraph"/>
              <w:spacing w:before="36"/>
              <w:jc w:val="both"/>
              <w:rPr>
                <w:sz w:val="21"/>
              </w:rPr>
            </w:pPr>
            <w:r>
              <w:rPr>
                <w:sz w:val="21"/>
              </w:rPr>
              <w:t>脑垂体瘤、脑囊肿、脑血管性疾病不在保障范围内。</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sz w:val="21"/>
              </w:rPr>
              <w:t>竭失代偿期</w:t>
            </w:r>
          </w:p>
        </w:tc>
        <w:tc>
          <w:tcPr>
            <w:tcW w:w="6810" w:type="dxa"/>
          </w:tcPr>
          <w:p>
            <w:pPr>
              <w:pStyle w:val="TableParagraph"/>
              <w:spacing w:line="260" w:lineRule="exact" w:before="0"/>
              <w:rPr>
                <w:sz w:val="21"/>
              </w:rPr>
            </w:pPr>
            <w:r>
              <w:rPr>
                <w:sz w:val="21"/>
              </w:rPr>
              <w:t>指因慢性肝脏疾病导致肝功能衰竭。须满足下列全部条件：</w:t>
            </w:r>
          </w:p>
          <w:p>
            <w:pPr>
              <w:pStyle w:val="TableParagraph"/>
              <w:numPr>
                <w:ilvl w:val="0"/>
                <w:numId w:val="10"/>
              </w:numPr>
              <w:tabs>
                <w:tab w:pos="528" w:val="left" w:leader="none"/>
              </w:tabs>
              <w:spacing w:line="240" w:lineRule="auto" w:before="37" w:after="0"/>
              <w:ind w:left="99" w:right="0" w:firstLine="8"/>
              <w:jc w:val="left"/>
              <w:rPr>
                <w:sz w:val="21"/>
              </w:rPr>
            </w:pPr>
            <w:r>
              <w:rPr>
                <w:spacing w:val="-1"/>
                <w:sz w:val="21"/>
              </w:rPr>
              <w:t>持续性黄疸；</w:t>
            </w:r>
          </w:p>
          <w:p>
            <w:pPr>
              <w:pStyle w:val="TableParagraph"/>
              <w:numPr>
                <w:ilvl w:val="0"/>
                <w:numId w:val="10"/>
              </w:numPr>
              <w:tabs>
                <w:tab w:pos="528" w:val="left" w:leader="none"/>
              </w:tabs>
              <w:spacing w:line="240" w:lineRule="auto" w:before="37" w:after="0"/>
              <w:ind w:left="99" w:right="0" w:firstLine="8"/>
              <w:jc w:val="left"/>
              <w:rPr>
                <w:sz w:val="21"/>
              </w:rPr>
            </w:pPr>
            <w:r>
              <w:rPr>
                <w:sz w:val="21"/>
              </w:rPr>
              <w:t>腹水；</w:t>
            </w:r>
          </w:p>
          <w:p>
            <w:pPr>
              <w:pStyle w:val="TableParagraph"/>
              <w:numPr>
                <w:ilvl w:val="0"/>
                <w:numId w:val="10"/>
              </w:numPr>
              <w:tabs>
                <w:tab w:pos="528" w:val="left" w:leader="none"/>
              </w:tabs>
              <w:spacing w:line="240" w:lineRule="auto" w:before="37" w:after="0"/>
              <w:ind w:left="99" w:right="0" w:firstLine="8"/>
              <w:jc w:val="left"/>
              <w:rPr>
                <w:sz w:val="21"/>
              </w:rPr>
            </w:pPr>
            <w:r>
              <w:rPr>
                <w:sz w:val="21"/>
              </w:rPr>
              <w:t>肝性脑病；</w:t>
            </w:r>
          </w:p>
          <w:p>
            <w:pPr>
              <w:pStyle w:val="TableParagraph"/>
              <w:numPr>
                <w:ilvl w:val="0"/>
                <w:numId w:val="10"/>
              </w:numPr>
              <w:tabs>
                <w:tab w:pos="528" w:val="left" w:leader="none"/>
              </w:tabs>
              <w:spacing w:line="273" w:lineRule="auto" w:before="37" w:after="0"/>
              <w:ind w:left="99" w:right="1650" w:firstLine="8"/>
              <w:jc w:val="left"/>
              <w:rPr>
                <w:sz w:val="21"/>
              </w:rPr>
            </w:pPr>
            <w:r>
              <w:rPr>
                <w:spacing w:val="-1"/>
                <w:sz w:val="21"/>
              </w:rPr>
              <w:t>充血性脾肿大伴脾功能亢进或食管胃底静脉曲张。因酗酒或药物滥用导致的肝功能衰竭不在保障范围内。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w:t>
            </w:r>
          </w:p>
          <w:p>
            <w:pPr>
              <w:pStyle w:val="TableParagraph"/>
              <w:numPr>
                <w:ilvl w:val="0"/>
                <w:numId w:val="11"/>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1"/>
              </w:numPr>
              <w:tabs>
                <w:tab w:pos="528" w:val="left" w:leader="none"/>
              </w:tabs>
              <w:spacing w:line="240" w:lineRule="auto" w:before="36" w:after="0"/>
              <w:ind w:left="527" w:right="0" w:hanging="420"/>
              <w:jc w:val="left"/>
              <w:rPr>
                <w:sz w:val="21"/>
              </w:rPr>
            </w:pPr>
            <w:r>
              <w:rPr>
                <w:spacing w:val="-1"/>
                <w:sz w:val="21"/>
              </w:rPr>
              <w:t>语言能力或咀嚼吞咽能力完全丧失；</w:t>
            </w:r>
          </w:p>
          <w:p>
            <w:pPr>
              <w:pStyle w:val="TableParagraph"/>
              <w:numPr>
                <w:ilvl w:val="0"/>
                <w:numId w:val="11"/>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248" w:hRule="atLeast"/>
        </w:trPr>
        <w:tc>
          <w:tcPr>
            <w:tcW w:w="1908" w:type="dxa"/>
          </w:tcPr>
          <w:p>
            <w:pPr>
              <w:pStyle w:val="TableParagraph"/>
              <w:spacing w:line="261" w:lineRule="exact" w:before="0"/>
              <w:rPr>
                <w:sz w:val="21"/>
              </w:rPr>
            </w:pPr>
            <w:r>
              <w:rPr>
                <w:sz w:val="21"/>
              </w:rPr>
              <w:t>十二、深度昏迷</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46"/>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w:t>
            </w:r>
          </w:p>
        </w:tc>
      </w:tr>
      <w:tr>
        <w:trPr>
          <w:trHeight w:val="935" w:hRule="atLeast"/>
        </w:trPr>
        <w:tc>
          <w:tcPr>
            <w:tcW w:w="1908" w:type="dxa"/>
          </w:tcPr>
          <w:p>
            <w:pPr>
              <w:pStyle w:val="TableParagraph"/>
              <w:spacing w:line="260" w:lineRule="exact" w:before="0"/>
              <w:rPr>
                <w:sz w:val="21"/>
              </w:rPr>
            </w:pPr>
            <w:r>
              <w:rPr>
                <w:sz w:val="21"/>
              </w:rPr>
              <w:t>十三、双耳失聪</w:t>
            </w:r>
          </w:p>
        </w:tc>
        <w:tc>
          <w:tcPr>
            <w:tcW w:w="6810" w:type="dxa"/>
          </w:tcPr>
          <w:p>
            <w:pPr>
              <w:pStyle w:val="TableParagraph"/>
              <w:spacing w:line="260" w:lineRule="exact" w:before="0"/>
              <w:rPr>
                <w:sz w:val="21"/>
              </w:rPr>
            </w:pPr>
            <w:r>
              <w:rPr>
                <w:sz w:val="21"/>
              </w:rPr>
              <w:t>指因疾病或意外伤害导致双耳听力</w:t>
            </w:r>
            <w:r>
              <w:rPr>
                <w:b/>
                <w:sz w:val="21"/>
              </w:rPr>
              <w:t>永久不可逆</w:t>
            </w:r>
            <w:r>
              <w:rPr>
                <w:b/>
                <w:position w:val="11"/>
                <w:sz w:val="11"/>
              </w:rPr>
              <w:t>15</w:t>
            </w:r>
            <w:r>
              <w:rPr>
                <w:spacing w:val="-15"/>
                <w:sz w:val="21"/>
              </w:rPr>
              <w:t>性丧失，在</w:t>
            </w:r>
            <w:r>
              <w:rPr>
                <w:sz w:val="21"/>
              </w:rPr>
              <w:t>500</w:t>
            </w:r>
            <w:r>
              <w:rPr>
                <w:spacing w:val="-45"/>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w:t>
            </w:r>
          </w:p>
        </w:tc>
      </w:tr>
      <w:tr>
        <w:trPr>
          <w:trHeight w:val="312" w:hRule="atLeast"/>
        </w:trPr>
        <w:tc>
          <w:tcPr>
            <w:tcW w:w="1908" w:type="dxa"/>
          </w:tcPr>
          <w:p>
            <w:pPr>
              <w:pStyle w:val="TableParagraph"/>
              <w:spacing w:line="260" w:lineRule="exact" w:before="0"/>
              <w:rPr>
                <w:sz w:val="21"/>
              </w:rPr>
            </w:pPr>
            <w:r>
              <w:rPr>
                <w:sz w:val="21"/>
              </w:rPr>
              <w:t>十四、双目失明</w:t>
            </w:r>
          </w:p>
        </w:tc>
        <w:tc>
          <w:tcPr>
            <w:tcW w:w="6810" w:type="dxa"/>
          </w:tcPr>
          <w:p>
            <w:pPr>
              <w:pStyle w:val="TableParagraph"/>
              <w:spacing w:line="260" w:lineRule="exact" w:before="0"/>
              <w:rPr>
                <w:sz w:val="21"/>
              </w:rPr>
            </w:pPr>
            <w:r>
              <w:rPr>
                <w:sz w:val="21"/>
              </w:rPr>
              <w:t>指因疾病或意外伤害导致双眼视力永久不可逆性丧失，双眼中较好眼须</w:t>
            </w:r>
          </w:p>
        </w:tc>
      </w:tr>
    </w:tbl>
    <w:p>
      <w:pPr>
        <w:pStyle w:val="BodyText"/>
        <w:spacing w:before="6"/>
        <w:ind w:left="0"/>
        <w:rPr>
          <w:rFonts w:ascii="Times New Roman"/>
          <w:sz w:val="28"/>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12" w:firstLine="0"/>
        <w:jc w:val="left"/>
        <w:rPr>
          <w:sz w:val="18"/>
        </w:rPr>
      </w:pPr>
      <w:r>
        <w:rPr>
          <w:rFonts w:ascii="Times New Roman" w:eastAsia="Times New Roman"/>
          <w:position w:val="8"/>
          <w:sz w:val="12"/>
        </w:rPr>
        <w:t>15 </w:t>
      </w:r>
      <w:r>
        <w:rPr>
          <w:b/>
          <w:sz w:val="18"/>
        </w:rPr>
        <w:t>永久不可逆</w:t>
      </w:r>
      <w:r>
        <w:rPr>
          <w:sz w:val="18"/>
        </w:rPr>
        <w:t>：指自疾病确诊或意外伤害发生之日起，经过积极治疗一百八十天后，仍无法通过现有医疗手段恢复。</w:t>
      </w:r>
    </w:p>
    <w:p>
      <w:pPr>
        <w:spacing w:after="0"/>
        <w:jc w:val="left"/>
        <w:rPr>
          <w:sz w:val="18"/>
        </w:rPr>
        <w:sectPr>
          <w:footerReference w:type="default" r:id="rId11"/>
          <w:pgSz w:w="11910" w:h="16840"/>
          <w:pgMar w:footer="1060" w:header="0" w:top="1440" w:bottom="1260" w:left="1580" w:right="1380"/>
          <w:pgNumType w:start="7"/>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满足下列至少一项条件：</w:t>
            </w:r>
          </w:p>
          <w:p>
            <w:pPr>
              <w:pStyle w:val="TableParagraph"/>
              <w:numPr>
                <w:ilvl w:val="0"/>
                <w:numId w:val="12"/>
              </w:numPr>
              <w:tabs>
                <w:tab w:pos="528" w:val="left" w:leader="none"/>
              </w:tabs>
              <w:spacing w:line="240" w:lineRule="auto" w:before="37" w:after="0"/>
              <w:ind w:left="527" w:right="0" w:hanging="420"/>
              <w:jc w:val="left"/>
              <w:rPr>
                <w:sz w:val="21"/>
              </w:rPr>
            </w:pPr>
            <w:r>
              <w:rPr>
                <w:sz w:val="21"/>
              </w:rPr>
              <w:t>眼球缺失或摘除；</w:t>
            </w:r>
          </w:p>
          <w:p>
            <w:pPr>
              <w:pStyle w:val="TableParagraph"/>
              <w:numPr>
                <w:ilvl w:val="0"/>
                <w:numId w:val="12"/>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z w:val="21"/>
              </w:rPr>
              <w:t>；</w:t>
            </w:r>
          </w:p>
          <w:p>
            <w:pPr>
              <w:pStyle w:val="TableParagraph"/>
              <w:numPr>
                <w:ilvl w:val="0"/>
                <w:numId w:val="12"/>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w:t>
            </w:r>
          </w:p>
        </w:tc>
      </w:tr>
      <w:tr>
        <w:trPr>
          <w:trHeight w:val="936" w:hRule="atLeast"/>
        </w:trPr>
        <w:tc>
          <w:tcPr>
            <w:tcW w:w="1908" w:type="dxa"/>
          </w:tcPr>
          <w:p>
            <w:pPr>
              <w:pStyle w:val="TableParagraph"/>
              <w:spacing w:line="261" w:lineRule="exact" w:before="0"/>
              <w:rPr>
                <w:sz w:val="21"/>
              </w:rPr>
            </w:pPr>
            <w:r>
              <w:rPr>
                <w:sz w:val="21"/>
              </w:rPr>
              <w:t>十五、瘫痪</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92"/>
              <w:rPr>
                <w:sz w:val="21"/>
              </w:rPr>
            </w:pPr>
            <w:r>
              <w:rPr>
                <w:sz w:val="21"/>
              </w:rPr>
              <w:t>机能永久完全丧失，指疾病确诊一百八十天后或意外伤害发生一百八十天后，每肢三大关节中的两大关节仍然完全僵硬，或不能随意识活动。</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w:t>
            </w:r>
          </w:p>
          <w:p>
            <w:pPr>
              <w:pStyle w:val="TableParagraph"/>
              <w:spacing w:before="7"/>
              <w:jc w:val="both"/>
              <w:rPr>
                <w:sz w:val="21"/>
              </w:rPr>
            </w:pPr>
            <w:r>
              <w:rPr>
                <w:sz w:val="21"/>
              </w:rPr>
              <w:t>神经官能症和精神疾病不在保障范围内。</w:t>
            </w:r>
          </w:p>
        </w:tc>
      </w:tr>
      <w:tr>
        <w:trPr>
          <w:trHeight w:val="2496" w:hRule="atLeast"/>
        </w:trPr>
        <w:tc>
          <w:tcPr>
            <w:tcW w:w="1908" w:type="dxa"/>
          </w:tcPr>
          <w:p>
            <w:pPr>
              <w:pStyle w:val="TableParagraph"/>
              <w:spacing w:line="261" w:lineRule="exact" w:before="0"/>
              <w:rPr>
                <w:sz w:val="21"/>
              </w:rPr>
            </w:pPr>
            <w:r>
              <w:rPr>
                <w:sz w:val="21"/>
              </w:rPr>
              <w:t>十八、严重脑损伤</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w:t>
            </w:r>
          </w:p>
          <w:p>
            <w:pPr>
              <w:pStyle w:val="TableParagraph"/>
              <w:numPr>
                <w:ilvl w:val="0"/>
                <w:numId w:val="13"/>
              </w:numPr>
              <w:tabs>
                <w:tab w:pos="528" w:val="left" w:leader="none"/>
              </w:tabs>
              <w:spacing w:line="240" w:lineRule="auto" w:before="7" w:after="0"/>
              <w:ind w:left="527" w:right="0" w:hanging="420"/>
              <w:jc w:val="left"/>
              <w:rPr>
                <w:sz w:val="21"/>
              </w:rPr>
            </w:pPr>
            <w:r>
              <w:rPr>
                <w:sz w:val="21"/>
              </w:rPr>
              <w:t>一肢或一肢以上肢体机能完全丧失；</w:t>
            </w:r>
          </w:p>
          <w:p>
            <w:pPr>
              <w:pStyle w:val="TableParagraph"/>
              <w:numPr>
                <w:ilvl w:val="0"/>
                <w:numId w:val="13"/>
              </w:numPr>
              <w:tabs>
                <w:tab w:pos="528" w:val="left" w:leader="none"/>
              </w:tabs>
              <w:spacing w:line="240" w:lineRule="auto" w:before="36" w:after="0"/>
              <w:ind w:left="527" w:right="0" w:hanging="420"/>
              <w:jc w:val="left"/>
              <w:rPr>
                <w:sz w:val="21"/>
              </w:rPr>
            </w:pPr>
            <w:r>
              <w:rPr>
                <w:sz w:val="21"/>
              </w:rPr>
              <w:t>语言能力或咀嚼吞咽能力完全丧失；</w:t>
            </w:r>
          </w:p>
          <w:p>
            <w:pPr>
              <w:pStyle w:val="TableParagraph"/>
              <w:numPr>
                <w:ilvl w:val="0"/>
                <w:numId w:val="13"/>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w:t>
            </w:r>
          </w:p>
          <w:p>
            <w:pPr>
              <w:pStyle w:val="TableParagraph"/>
              <w:numPr>
                <w:ilvl w:val="0"/>
                <w:numId w:val="14"/>
              </w:numPr>
              <w:tabs>
                <w:tab w:pos="528" w:val="left" w:leader="none"/>
              </w:tabs>
              <w:spacing w:line="240" w:lineRule="auto" w:before="37" w:after="0"/>
              <w:ind w:left="527" w:right="0" w:hanging="420"/>
              <w:jc w:val="left"/>
              <w:rPr>
                <w:sz w:val="21"/>
              </w:rPr>
            </w:pPr>
            <w:r>
              <w:rPr>
                <w:sz w:val="21"/>
              </w:rPr>
              <w:t>药物治疗无法控制病情；</w:t>
            </w:r>
          </w:p>
          <w:p>
            <w:pPr>
              <w:pStyle w:val="TableParagraph"/>
              <w:numPr>
                <w:ilvl w:val="0"/>
                <w:numId w:val="14"/>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sz w:val="21"/>
              </w:rPr>
              <w:t>20%以上。体表面积根据《中国新九分法》计算。</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sz w:val="21"/>
              </w:rPr>
              <w:t>性肺动脉高压</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285"/>
              <w:rPr>
                <w:sz w:val="21"/>
              </w:rPr>
            </w:pPr>
            <w:r>
              <w:rPr>
                <w:sz w:val="21"/>
              </w:rPr>
              <w:t>月（声带完全切除不受此时间限制</w:t>
            </w:r>
            <w:r>
              <w:rPr>
                <w:spacing w:val="-106"/>
                <w:sz w:val="21"/>
              </w:rPr>
              <w:t>）</w:t>
            </w:r>
            <w:r>
              <w:rPr>
                <w:sz w:val="21"/>
              </w:rPr>
              <w:t>，仍无法通过现有医疗手段恢复。精神心理因素所致的语言能力丧失不在保障范围内。</w:t>
            </w:r>
          </w:p>
        </w:tc>
      </w:tr>
      <w:tr>
        <w:trPr>
          <w:trHeight w:val="312" w:hRule="atLeast"/>
        </w:trPr>
        <w:tc>
          <w:tcPr>
            <w:tcW w:w="1908" w:type="dxa"/>
          </w:tcPr>
          <w:p>
            <w:pPr>
              <w:pStyle w:val="TableParagraph"/>
              <w:spacing w:line="261" w:lineRule="exact" w:before="0"/>
              <w:rPr>
                <w:sz w:val="21"/>
              </w:rPr>
            </w:pPr>
            <w:r>
              <w:rPr>
                <w:sz w:val="21"/>
              </w:rPr>
              <w:t>二十四、重型再生</w:t>
            </w:r>
          </w:p>
        </w:tc>
        <w:tc>
          <w:tcPr>
            <w:tcW w:w="6810" w:type="dxa"/>
          </w:tcPr>
          <w:p>
            <w:pPr>
              <w:pStyle w:val="TableParagraph"/>
              <w:spacing w:line="261" w:lineRule="exact" w:before="0"/>
              <w:rPr>
                <w:sz w:val="21"/>
              </w:rPr>
            </w:pPr>
            <w:r>
              <w:rPr>
                <w:sz w:val="21"/>
              </w:rPr>
              <w:t>指因骨髓造血功能慢性持续性衰竭导致的贫血、中性粒细胞减少及血小</w:t>
            </w:r>
          </w:p>
        </w:tc>
      </w:tr>
    </w:tbl>
    <w:p>
      <w:pPr>
        <w:spacing w:after="0" w:line="261" w:lineRule="exact"/>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1" w:hRule="atLeast"/>
        </w:trPr>
        <w:tc>
          <w:tcPr>
            <w:tcW w:w="1908" w:type="dxa"/>
          </w:tcPr>
          <w:p>
            <w:pPr>
              <w:pStyle w:val="TableParagraph"/>
              <w:spacing w:line="260" w:lineRule="exact" w:before="0"/>
              <w:rPr>
                <w:sz w:val="21"/>
              </w:rPr>
            </w:pPr>
            <w:r>
              <w:rPr>
                <w:sz w:val="21"/>
              </w:rPr>
              <w:t>障碍性贫血</w:t>
            </w:r>
          </w:p>
        </w:tc>
        <w:tc>
          <w:tcPr>
            <w:tcW w:w="6810" w:type="dxa"/>
          </w:tcPr>
          <w:p>
            <w:pPr>
              <w:pStyle w:val="TableParagraph"/>
              <w:spacing w:line="260" w:lineRule="exact" w:before="0"/>
              <w:rPr>
                <w:sz w:val="21"/>
              </w:rPr>
            </w:pPr>
            <w:r>
              <w:rPr>
                <w:sz w:val="21"/>
              </w:rPr>
              <w:t>板减少。须满足下列全部条件：</w:t>
            </w:r>
          </w:p>
          <w:p>
            <w:pPr>
              <w:pStyle w:val="TableParagraph"/>
              <w:numPr>
                <w:ilvl w:val="0"/>
                <w:numId w:val="15"/>
              </w:numPr>
              <w:tabs>
                <w:tab w:pos="528" w:val="left" w:leader="none"/>
              </w:tabs>
              <w:spacing w:line="240" w:lineRule="auto" w:before="37" w:after="0"/>
              <w:ind w:left="527" w:right="0" w:hanging="420"/>
              <w:jc w:val="left"/>
              <w:rPr>
                <w:sz w:val="21"/>
              </w:rPr>
            </w:pPr>
            <w:r>
              <w:rPr>
                <w:sz w:val="21"/>
              </w:rPr>
              <w:t>骨髓穿刺检查或骨髓活检结果支持诊断；</w:t>
            </w:r>
          </w:p>
          <w:p>
            <w:pPr>
              <w:pStyle w:val="TableParagraph"/>
              <w:numPr>
                <w:ilvl w:val="0"/>
                <w:numId w:val="15"/>
              </w:numPr>
              <w:tabs>
                <w:tab w:pos="528" w:val="left" w:leader="none"/>
              </w:tabs>
              <w:spacing w:line="240" w:lineRule="auto" w:before="37" w:after="0"/>
              <w:ind w:left="527" w:right="0" w:hanging="420"/>
              <w:jc w:val="left"/>
              <w:rPr>
                <w:sz w:val="21"/>
              </w:rPr>
            </w:pPr>
            <w:r>
              <w:rPr>
                <w:spacing w:val="-1"/>
                <w:sz w:val="21"/>
              </w:rPr>
              <w:t>外周血象须具备以下三项条件：</w:t>
            </w:r>
          </w:p>
          <w:p>
            <w:pPr>
              <w:pStyle w:val="TableParagraph"/>
              <w:ind w:left="527"/>
              <w:rPr>
                <w:sz w:val="21"/>
              </w:rPr>
            </w:pPr>
            <w:r>
              <w:rPr>
                <w:sz w:val="21"/>
              </w:rPr>
              <w:t>① 中性粒细胞绝对值≤0.5×10</w:t>
            </w:r>
            <w:r>
              <w:rPr>
                <w:position w:val="11"/>
                <w:sz w:val="11"/>
              </w:rPr>
              <w:t>9</w:t>
            </w:r>
            <w:r>
              <w:rPr>
                <w:sz w:val="21"/>
              </w:rPr>
              <w:t>/L；</w:t>
            </w:r>
          </w:p>
          <w:p>
            <w:pPr>
              <w:pStyle w:val="TableParagraph"/>
              <w:ind w:left="527"/>
              <w:rPr>
                <w:sz w:val="21"/>
              </w:rPr>
            </w:pPr>
            <w:r>
              <w:rPr>
                <w:sz w:val="21"/>
              </w:rPr>
              <w:t>② 网织红细胞＜1%；</w:t>
            </w:r>
          </w:p>
          <w:p>
            <w:pPr>
              <w:pStyle w:val="TableParagraph"/>
              <w:ind w:left="527"/>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w:t>
            </w:r>
          </w:p>
          <w:p>
            <w:pPr>
              <w:pStyle w:val="TableParagraph"/>
              <w:numPr>
                <w:ilvl w:val="0"/>
                <w:numId w:val="16"/>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w:t>
            </w:r>
          </w:p>
          <w:p>
            <w:pPr>
              <w:pStyle w:val="TableParagraph"/>
              <w:numPr>
                <w:ilvl w:val="0"/>
                <w:numId w:val="16"/>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w:t>
            </w:r>
          </w:p>
          <w:p>
            <w:pPr>
              <w:pStyle w:val="TableParagraph"/>
              <w:numPr>
                <w:ilvl w:val="0"/>
                <w:numId w:val="16"/>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w:t>
            </w:r>
          </w:p>
          <w:p>
            <w:pPr>
              <w:pStyle w:val="TableParagraph"/>
              <w:spacing w:line="273" w:lineRule="auto" w:before="22"/>
              <w:ind w:right="46"/>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w:t>
            </w:r>
          </w:p>
        </w:tc>
      </w:tr>
      <w:tr>
        <w:trPr>
          <w:trHeight w:val="936"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tc>
      </w:tr>
    </w:tbl>
    <w:p>
      <w:pPr>
        <w:spacing w:after="0" w:line="273" w:lineRule="auto"/>
        <w:rPr>
          <w:sz w:val="21"/>
        </w:rPr>
        <w:sectPr>
          <w:pgSz w:w="1191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2"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7"/>
              </w:numPr>
              <w:tabs>
                <w:tab w:pos="528" w:val="left" w:leader="none"/>
              </w:tabs>
              <w:spacing w:line="260" w:lineRule="exact" w:before="0" w:after="0"/>
              <w:ind w:left="527" w:right="0" w:hanging="420"/>
              <w:jc w:val="left"/>
              <w:rPr>
                <w:sz w:val="21"/>
              </w:rPr>
            </w:pPr>
            <w:r>
              <w:rPr>
                <w:sz w:val="21"/>
              </w:rPr>
              <w:t>至少包括下列关节中的三组或三组以上有广泛受损和畸形改变：手</w:t>
            </w:r>
          </w:p>
          <w:p>
            <w:pPr>
              <w:pStyle w:val="TableParagraph"/>
              <w:spacing w:line="273" w:lineRule="auto"/>
              <w:ind w:left="527" w:right="98"/>
              <w:rPr>
                <w:sz w:val="21"/>
              </w:rPr>
            </w:pPr>
            <w:r>
              <w:rPr>
                <w:sz w:val="21"/>
              </w:rPr>
              <w:t>指关节、腕关节、肘关节、膝关节、髋关节、踝关节、脊椎或脚趾关节；</w:t>
            </w:r>
          </w:p>
          <w:p>
            <w:pPr>
              <w:pStyle w:val="TableParagraph"/>
              <w:numPr>
                <w:ilvl w:val="0"/>
                <w:numId w:val="17"/>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w:t>
            </w:r>
          </w:p>
          <w:p>
            <w:pPr>
              <w:pStyle w:val="TableParagraph"/>
              <w:numPr>
                <w:ilvl w:val="0"/>
                <w:numId w:val="17"/>
              </w:numPr>
              <w:tabs>
                <w:tab w:pos="528" w:val="left" w:leader="none"/>
              </w:tabs>
              <w:spacing w:line="240" w:lineRule="auto" w:before="7" w:after="0"/>
              <w:ind w:left="527" w:right="0" w:hanging="420"/>
              <w:jc w:val="left"/>
              <w:rPr>
                <w:sz w:val="21"/>
              </w:rPr>
            </w:pPr>
            <w:r>
              <w:rPr>
                <w:sz w:val="21"/>
              </w:rPr>
              <w:t>关节的畸形改变伴功能障碍至少持续六个月。</w:t>
            </w:r>
          </w:p>
        </w:tc>
      </w:tr>
    </w:tbl>
    <w:sectPr>
      <w:pgSz w:w="1191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6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898pt;margin-top:775.165344pt;width:146pt;height:11pt;mso-position-horizontal-relative:page;mso-position-vertical-relative:page;z-index:-16696" type="#_x0000_t202" filled="false" stroked="false">
          <v:textbox inset="0,0,0,0">
            <w:txbxContent>
              <w:p>
                <w:pPr>
                  <w:spacing w:line="200" w:lineRule="exact" w:before="0"/>
                  <w:ind w:left="20" w:right="0" w:firstLine="0"/>
                  <w:jc w:val="left"/>
                  <w:rPr>
                    <w:sz w:val="18"/>
                  </w:rPr>
                </w:pPr>
                <w:r>
                  <w:rPr>
                    <w:sz w:val="18"/>
                  </w:rPr>
                  <w:t>长生附加额外给付定期重大疾病保险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9.999908pt;margin-top:773.979675pt;width:6.5pt;height:12pt;mso-position-horizontal-relative:page;mso-position-vertical-relative:page;z-index:-16672" type="#_x0000_t202" filled="false" stroked="false">
          <v:textbox inset="0,0,0,0">
            <w:txbxContent>
              <w:p>
                <w:pPr>
                  <w:spacing w:before="12"/>
                  <w:ind w:left="20" w:right="0" w:firstLine="0"/>
                  <w:jc w:val="left"/>
                  <w:rPr>
                    <w:rFonts w:ascii="Times New Roman"/>
                    <w:sz w:val="18"/>
                  </w:rPr>
                </w:pPr>
                <w:r>
                  <w:rPr>
                    <w:rFonts w:ascii="Times New Roman"/>
                    <w:sz w:val="18"/>
                  </w:rPr>
                  <w:t>3</w:t>
                </w:r>
              </w:p>
            </w:txbxContent>
          </v:textbox>
          <w10:wrap type="none"/>
        </v:shape>
      </w:pict>
    </w:r>
    <w:r>
      <w:rPr/>
      <w:pict>
        <v:shape style="position:absolute;margin-left:88.879898pt;margin-top:775.165344pt;width:146pt;height:11pt;mso-position-horizontal-relative:page;mso-position-vertical-relative:page;z-index:-16648" type="#_x0000_t202" filled="false" stroked="false">
          <v:textbox inset="0,0,0,0">
            <w:txbxContent>
              <w:p>
                <w:pPr>
                  <w:spacing w:line="200" w:lineRule="exact" w:before="0"/>
                  <w:ind w:left="20" w:right="0" w:firstLine="0"/>
                  <w:jc w:val="left"/>
                  <w:rPr>
                    <w:sz w:val="18"/>
                  </w:rPr>
                </w:pPr>
                <w:r>
                  <w:rPr>
                    <w:sz w:val="18"/>
                  </w:rPr>
                  <w:t>长生附加额外给付定期重大疾病保险</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4.499908pt;margin-top:773.979675pt;width:13pt;height:12pt;mso-position-horizontal-relative:page;mso-position-vertical-relative:page;z-index:-16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898pt;margin-top:775.165344pt;width:146pt;height:11pt;mso-position-horizontal-relative:page;mso-position-vertical-relative:page;z-index:-16600" type="#_x0000_t202" filled="false" stroked="false">
          <v:textbox inset="0,0,0,0">
            <w:txbxContent>
              <w:p>
                <w:pPr>
                  <w:spacing w:line="200" w:lineRule="exact" w:before="0"/>
                  <w:ind w:left="20" w:right="0" w:firstLine="0"/>
                  <w:jc w:val="left"/>
                  <w:rPr>
                    <w:sz w:val="18"/>
                  </w:rPr>
                </w:pPr>
                <w:r>
                  <w:rPr>
                    <w:sz w:val="18"/>
                  </w:rPr>
                  <w:t>长生附加额外给付定期重大疾病保险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3">
    <w:multiLevelType w:val="hybridMultilevel"/>
    <w:lvl w:ilvl="0">
      <w:start w:val="1"/>
      <w:numFmt w:val="decimal"/>
      <w:lvlText w:val="%1)"/>
      <w:lvlJc w:val="left"/>
      <w:pPr>
        <w:ind w:left="657" w:hanging="360"/>
        <w:jc w:val="left"/>
      </w:pPr>
      <w:rPr>
        <w:rFonts w:hint="default" w:ascii="宋体" w:hAnsi="宋体" w:eastAsia="宋体" w:cs="宋体"/>
        <w:spacing w:val="-90"/>
        <w:w w:val="100"/>
        <w:sz w:val="18"/>
        <w:szCs w:val="18"/>
      </w:rPr>
    </w:lvl>
    <w:lvl w:ilvl="1">
      <w:start w:val="1"/>
      <w:numFmt w:val="decimal"/>
      <w:lvlText w:val="%2)"/>
      <w:lvlJc w:val="left"/>
      <w:pPr>
        <w:ind w:left="757" w:hanging="360"/>
        <w:jc w:val="left"/>
      </w:pPr>
      <w:rPr>
        <w:rFonts w:hint="default"/>
        <w:w w:val="100"/>
      </w:rPr>
    </w:lvl>
    <w:lvl w:ilvl="2">
      <w:start w:val="0"/>
      <w:numFmt w:val="bullet"/>
      <w:lvlText w:val="•"/>
      <w:lvlJc w:val="left"/>
      <w:pPr>
        <w:ind w:left="1636" w:hanging="360"/>
      </w:pPr>
      <w:rPr>
        <w:rFonts w:hint="default"/>
      </w:rPr>
    </w:lvl>
    <w:lvl w:ilvl="3">
      <w:start w:val="0"/>
      <w:numFmt w:val="bullet"/>
      <w:lvlText w:val="•"/>
      <w:lvlJc w:val="left"/>
      <w:pPr>
        <w:ind w:left="2512" w:hanging="360"/>
      </w:pPr>
      <w:rPr>
        <w:rFonts w:hint="default"/>
      </w:rPr>
    </w:lvl>
    <w:lvl w:ilvl="4">
      <w:start w:val="0"/>
      <w:numFmt w:val="bullet"/>
      <w:lvlText w:val="•"/>
      <w:lvlJc w:val="left"/>
      <w:pPr>
        <w:ind w:left="3388" w:hanging="360"/>
      </w:pPr>
      <w:rPr>
        <w:rFonts w:hint="default"/>
      </w:rPr>
    </w:lvl>
    <w:lvl w:ilvl="5">
      <w:start w:val="0"/>
      <w:numFmt w:val="bullet"/>
      <w:lvlText w:val="•"/>
      <w:lvlJc w:val="left"/>
      <w:pPr>
        <w:ind w:left="4264" w:hanging="360"/>
      </w:pPr>
      <w:rPr>
        <w:rFonts w:hint="default"/>
      </w:rPr>
    </w:lvl>
    <w:lvl w:ilvl="6">
      <w:start w:val="0"/>
      <w:numFmt w:val="bullet"/>
      <w:lvlText w:val="•"/>
      <w:lvlJc w:val="left"/>
      <w:pPr>
        <w:ind w:left="5140" w:hanging="360"/>
      </w:pPr>
      <w:rPr>
        <w:rFonts w:hint="default"/>
      </w:rPr>
    </w:lvl>
    <w:lvl w:ilvl="7">
      <w:start w:val="0"/>
      <w:numFmt w:val="bullet"/>
      <w:lvlText w:val="•"/>
      <w:lvlJc w:val="left"/>
      <w:pPr>
        <w:ind w:left="6016" w:hanging="360"/>
      </w:pPr>
      <w:rPr>
        <w:rFonts w:hint="default"/>
      </w:rPr>
    </w:lvl>
    <w:lvl w:ilvl="8">
      <w:start w:val="0"/>
      <w:numFmt w:val="bullet"/>
      <w:lvlText w:val="•"/>
      <w:lvlJc w:val="left"/>
      <w:pPr>
        <w:ind w:left="6892" w:hanging="360"/>
      </w:pPr>
      <w:rPr>
        <w:rFonts w:hint="default"/>
      </w:rPr>
    </w:lvl>
  </w:abstractNum>
  <w:abstractNum w:abstractNumId="2">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42" w:hanging="360"/>
      </w:pPr>
      <w:rPr>
        <w:rFonts w:hint="default"/>
      </w:rPr>
    </w:lvl>
    <w:lvl w:ilvl="6">
      <w:start w:val="0"/>
      <w:numFmt w:val="bullet"/>
      <w:lvlText w:val="•"/>
      <w:lvlJc w:val="left"/>
      <w:pPr>
        <w:ind w:left="5438" w:hanging="360"/>
      </w:pPr>
      <w:rPr>
        <w:rFonts w:hint="default"/>
      </w:rPr>
    </w:lvl>
    <w:lvl w:ilvl="7">
      <w:start w:val="0"/>
      <w:numFmt w:val="bullet"/>
      <w:lvlText w:val="•"/>
      <w:lvlJc w:val="left"/>
      <w:pPr>
        <w:ind w:left="6235" w:hanging="360"/>
      </w:pPr>
      <w:rPr>
        <w:rFonts w:hint="default"/>
      </w:rPr>
    </w:lvl>
    <w:lvl w:ilvl="8">
      <w:start w:val="0"/>
      <w:numFmt w:val="bullet"/>
      <w:lvlText w:val="•"/>
      <w:lvlJc w:val="left"/>
      <w:pPr>
        <w:ind w:left="7031" w:hanging="360"/>
      </w:pPr>
      <w:rPr>
        <w:rFonts w:hint="default"/>
      </w:rPr>
    </w:lvl>
  </w:abstractNum>
  <w:abstractNum w:abstractNumId="1">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9" w:hanging="360"/>
      </w:pPr>
      <w:rPr>
        <w:rFonts w:hint="default"/>
      </w:rPr>
    </w:lvl>
    <w:lvl w:ilvl="4">
      <w:start w:val="0"/>
      <w:numFmt w:val="bullet"/>
      <w:lvlText w:val="•"/>
      <w:lvlJc w:val="left"/>
      <w:pPr>
        <w:ind w:left="3845" w:hanging="360"/>
      </w:pPr>
      <w:rPr>
        <w:rFonts w:hint="default"/>
      </w:rPr>
    </w:lvl>
    <w:lvl w:ilvl="5">
      <w:start w:val="0"/>
      <w:numFmt w:val="bullet"/>
      <w:lvlText w:val="•"/>
      <w:lvlJc w:val="left"/>
      <w:pPr>
        <w:ind w:left="4642" w:hanging="360"/>
      </w:pPr>
      <w:rPr>
        <w:rFonts w:hint="default"/>
      </w:rPr>
    </w:lvl>
    <w:lvl w:ilvl="6">
      <w:start w:val="0"/>
      <w:numFmt w:val="bullet"/>
      <w:lvlText w:val="•"/>
      <w:lvlJc w:val="left"/>
      <w:pPr>
        <w:ind w:left="5438" w:hanging="360"/>
      </w:pPr>
      <w:rPr>
        <w:rFonts w:hint="default"/>
      </w:rPr>
    </w:lvl>
    <w:lvl w:ilvl="7">
      <w:start w:val="0"/>
      <w:numFmt w:val="bullet"/>
      <w:lvlText w:val="•"/>
      <w:lvlJc w:val="left"/>
      <w:pPr>
        <w:ind w:left="6235" w:hanging="360"/>
      </w:pPr>
      <w:rPr>
        <w:rFonts w:hint="default"/>
      </w:rPr>
    </w:lvl>
    <w:lvl w:ilvl="8">
      <w:start w:val="0"/>
      <w:numFmt w:val="bullet"/>
      <w:lvlText w:val="•"/>
      <w:lvlJc w:val="left"/>
      <w:pPr>
        <w:ind w:left="7031" w:hanging="360"/>
      </w:pPr>
      <w:rPr>
        <w:rFonts w:hint="default"/>
      </w:rPr>
    </w:lvl>
  </w:abstractNum>
  <w:abstractNum w:abstractNumId="0">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sz w:val="21"/>
      <w:szCs w:val="21"/>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ind w:left="1779" w:right="2100"/>
      <w:jc w:val="center"/>
      <w:outlineLvl w:val="1"/>
    </w:pPr>
    <w:rPr>
      <w:rFonts w:ascii="宋体" w:hAnsi="宋体" w:eastAsia="宋体" w:cs="宋体"/>
      <w:b/>
      <w:bCs/>
      <w:sz w:val="21"/>
      <w:szCs w:val="21"/>
    </w:rPr>
  </w:style>
  <w:style w:styleId="ListParagraph" w:type="paragraph">
    <w:name w:val="List Paragraph"/>
    <w:basedOn w:val="Normal"/>
    <w:uiPriority w:val="1"/>
    <w:qFormat/>
    <w:pPr>
      <w:spacing w:line="233" w:lineRule="exact"/>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&lt;4D6963726F736F667420576F7264202D2033313420B3A4C9FAB8BDBCD3B6EECDE2B8F8B8B6B6A8C6DAD6D8B4F3BCB2B2A1B1A3CFD5&gt;</dc:title>
  <dcterms:created xsi:type="dcterms:W3CDTF">2018-10-19T23:31:39Z</dcterms:created>
  <dcterms:modified xsi:type="dcterms:W3CDTF">2018-10-19T23:31:39Z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