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8" w:right="0" w:firstLine="0"/>
        <w:rPr>
          <w:rFonts w:ascii="Times New Roman"/>
          <w:sz w:val="20"/>
        </w:rPr>
      </w:pPr>
      <w:r>
        <w:rPr>
          <w:rFonts w:ascii="Times New Roman"/>
          <w:spacing w:val="-42"/>
          <w:sz w:val="20"/>
        </w:rPr>
        <w:t> </w:t>
      </w:r>
      <w:r>
        <w:rPr>
          <w:rFonts w:ascii="Times New Roman"/>
          <w:spacing w:val="-42"/>
          <w:sz w:val="20"/>
        </w:rPr>
        <w:pict>
          <v:group style="width:501.95pt;height:58.45pt;mso-position-horizontal-relative:char;mso-position-vertical-relative:line" coordorigin="0,0" coordsize="10039,1169">
            <v:line style="position:absolute" from="0,1161" to="10039,1161" stroked="true" strokeweight=".72pt" strokecolor="#000000">
              <v:stroke dashstyle="solid"/>
            </v:line>
            <v:shape style="position:absolute;left:8844;top:0;width:1140;height:1140" type="#_x0000_t75" stroked="false">
              <v:imagedata r:id="rId6" o:title=""/>
            </v:shape>
            <v:shape style="position:absolute;left:0;top:0;width:10039;height:1169" type="#_x0000_t202" filled="false" stroked="false">
              <v:textbox inset="0,0,0,0">
                <w:txbxContent>
                  <w:p>
                    <w:pPr>
                      <w:spacing w:line="240" w:lineRule="auto" w:before="0"/>
                      <w:rPr>
                        <w:rFonts w:ascii="Times New Roman"/>
                        <w:sz w:val="20"/>
                      </w:rPr>
                    </w:pPr>
                  </w:p>
                  <w:p>
                    <w:pPr>
                      <w:spacing w:line="240" w:lineRule="auto" w:before="3"/>
                      <w:rPr>
                        <w:rFonts w:ascii="Times New Roman"/>
                        <w:sz w:val="28"/>
                      </w:rPr>
                    </w:pPr>
                  </w:p>
                  <w:p>
                    <w:pPr>
                      <w:spacing w:before="0"/>
                      <w:ind w:left="5723" w:right="1358" w:firstLine="561"/>
                      <w:jc w:val="left"/>
                      <w:rPr>
                        <w:b/>
                        <w:sz w:val="21"/>
                      </w:rPr>
                    </w:pPr>
                    <w:r>
                      <w:rPr>
                        <w:b/>
                        <w:sz w:val="21"/>
                      </w:rPr>
                      <w:t>请扫描以查询验证条款 招商信诺</w:t>
                    </w:r>
                    <w:r>
                      <w:rPr>
                        <w:b/>
                        <w:spacing w:val="-4"/>
                        <w:sz w:val="21"/>
                      </w:rPr>
                      <w:t>[2014</w:t>
                    </w:r>
                    <w:r>
                      <w:rPr>
                        <w:b/>
                        <w:spacing w:val="-12"/>
                        <w:sz w:val="21"/>
                      </w:rPr>
                      <w:t>]疾病保险 </w:t>
                    </w:r>
                    <w:r>
                      <w:rPr>
                        <w:b/>
                        <w:sz w:val="21"/>
                      </w:rPr>
                      <w:t>054</w:t>
                    </w:r>
                    <w:r>
                      <w:rPr>
                        <w:b/>
                        <w:spacing w:val="-30"/>
                        <w:sz w:val="21"/>
                      </w:rPr>
                      <w:t> 号</w:t>
                    </w:r>
                  </w:p>
                </w:txbxContent>
              </v:textbox>
              <w10:wrap type="none"/>
            </v:shape>
          </v:group>
        </w:pict>
      </w:r>
      <w:r>
        <w:rPr>
          <w:rFonts w:ascii="Times New Roman"/>
          <w:spacing w:val="-42"/>
          <w:sz w:val="20"/>
        </w:rPr>
      </w:r>
    </w:p>
    <w:p>
      <w:pPr>
        <w:pStyle w:val="Heading1"/>
      </w:pPr>
      <w:r>
        <w:rPr/>
        <w:t>招商信诺附加安享康健危重疾病保险 B 款条款阅读指引</w:t>
      </w:r>
    </w:p>
    <w:p>
      <w:pPr>
        <w:pStyle w:val="BodyText"/>
        <w:spacing w:before="11"/>
        <w:ind w:left="0"/>
        <w:rPr>
          <w:b/>
          <w:sz w:val="25"/>
        </w:rPr>
      </w:pPr>
    </w:p>
    <w:p>
      <w:pPr>
        <w:pStyle w:val="Heading2"/>
        <w:spacing w:before="0"/>
        <w:ind w:left="144"/>
      </w:pPr>
      <w:r>
        <w:rPr/>
        <w:t>本阅读指引帮助您理解条款，保险合同的内容以条款为准。</w:t>
      </w:r>
    </w:p>
    <w:p>
      <w:pPr>
        <w:pStyle w:val="BodyText"/>
        <w:ind w:left="0"/>
        <w:rPr>
          <w:b/>
          <w:sz w:val="20"/>
        </w:rPr>
      </w:pPr>
    </w:p>
    <w:p>
      <w:pPr>
        <w:pStyle w:val="ListParagraph"/>
        <w:numPr>
          <w:ilvl w:val="0"/>
          <w:numId w:val="1"/>
        </w:numPr>
        <w:tabs>
          <w:tab w:pos="565" w:val="left" w:leader="none"/>
          <w:tab w:pos="566" w:val="left" w:leader="none"/>
        </w:tabs>
        <w:spacing w:line="240" w:lineRule="auto" w:before="0" w:after="0"/>
        <w:ind w:left="565" w:right="0" w:hanging="421"/>
        <w:jc w:val="left"/>
        <w:rPr>
          <w:rFonts w:ascii="Wingdings" w:eastAsia="Wingdings"/>
          <w:b/>
          <w:sz w:val="21"/>
        </w:rPr>
      </w:pPr>
      <w:r>
        <w:rPr>
          <w:b/>
          <w:sz w:val="21"/>
        </w:rPr>
        <w:t>您所拥有的重要权益</w:t>
      </w:r>
    </w:p>
    <w:p>
      <w:pPr>
        <w:pStyle w:val="BodyText"/>
        <w:spacing w:before="10"/>
        <w:ind w:left="0"/>
        <w:rPr>
          <w:b/>
          <w:sz w:val="17"/>
        </w:rPr>
      </w:pPr>
    </w:p>
    <w:p>
      <w:pPr>
        <w:pStyle w:val="ListParagraph"/>
        <w:numPr>
          <w:ilvl w:val="1"/>
          <w:numId w:val="1"/>
        </w:numPr>
        <w:tabs>
          <w:tab w:pos="868" w:val="left" w:leader="none"/>
          <w:tab w:pos="9897" w:val="left" w:leader="none"/>
        </w:tabs>
        <w:spacing w:line="240" w:lineRule="auto" w:before="1" w:after="0"/>
        <w:ind w:left="867" w:right="0" w:hanging="302"/>
        <w:jc w:val="left"/>
        <w:rPr>
          <w:sz w:val="21"/>
        </w:rPr>
      </w:pPr>
      <w:r>
        <w:rPr>
          <w:spacing w:val="-3"/>
          <w:sz w:val="21"/>
        </w:rPr>
        <w:t>被</w:t>
      </w:r>
      <w:r>
        <w:rPr>
          <w:sz w:val="21"/>
        </w:rPr>
        <w:t>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本附</w:t>
      </w:r>
      <w:r>
        <w:rPr>
          <w:sz w:val="21"/>
        </w:rPr>
        <w:t>加合同提</w:t>
      </w:r>
      <w:r>
        <w:rPr>
          <w:spacing w:val="-3"/>
          <w:sz w:val="21"/>
        </w:rPr>
        <w:t>供</w:t>
      </w:r>
      <w:r>
        <w:rPr>
          <w:sz w:val="21"/>
        </w:rPr>
        <w:t>的</w:t>
      </w:r>
      <w:r>
        <w:rPr>
          <w:spacing w:val="-3"/>
          <w:sz w:val="21"/>
        </w:rPr>
        <w:t>保</w:t>
      </w:r>
      <w:r>
        <w:rPr>
          <w:sz w:val="21"/>
        </w:rPr>
        <w:t>障。</w:t>
        <w:tab/>
        <w:t>3.</w:t>
      </w:r>
    </w:p>
    <w:p>
      <w:pPr>
        <w:pStyle w:val="BodyText"/>
        <w:spacing w:before="8"/>
        <w:ind w:left="0"/>
        <w:rPr>
          <w:sz w:val="18"/>
        </w:rPr>
      </w:pPr>
    </w:p>
    <w:p>
      <w:pPr>
        <w:pStyle w:val="Heading2"/>
        <w:numPr>
          <w:ilvl w:val="0"/>
          <w:numId w:val="1"/>
        </w:numPr>
        <w:tabs>
          <w:tab w:pos="565" w:val="left" w:leader="none"/>
          <w:tab w:pos="566" w:val="left" w:leader="none"/>
        </w:tabs>
        <w:spacing w:line="240" w:lineRule="auto" w:before="0" w:after="0"/>
        <w:ind w:left="565" w:right="0" w:hanging="421"/>
        <w:jc w:val="left"/>
        <w:rPr>
          <w:rFonts w:ascii="Wingdings" w:eastAsia="Wingdings"/>
          <w:sz w:val="18"/>
        </w:rPr>
      </w:pPr>
      <w:r>
        <w:rPr>
          <w:u w:val="single"/>
        </w:rPr>
        <w:t>您应特别注意的事项</w:t>
      </w:r>
    </w:p>
    <w:p>
      <w:pPr>
        <w:pStyle w:val="BodyText"/>
        <w:spacing w:before="2"/>
        <w:ind w:left="0"/>
        <w:rPr>
          <w:b/>
          <w:sz w:val="17"/>
        </w:rPr>
      </w:pPr>
    </w:p>
    <w:p>
      <w:pPr>
        <w:pStyle w:val="ListParagraph"/>
        <w:numPr>
          <w:ilvl w:val="0"/>
          <w:numId w:val="2"/>
        </w:numPr>
        <w:tabs>
          <w:tab w:pos="883" w:val="left" w:leader="none"/>
        </w:tabs>
        <w:spacing w:line="273" w:lineRule="auto" w:before="37" w:after="0"/>
        <w:ind w:left="565" w:right="141" w:firstLine="0"/>
        <w:jc w:val="left"/>
        <w:rPr>
          <w:b/>
          <w:sz w:val="21"/>
        </w:rPr>
      </w:pPr>
      <w:r>
        <w:rPr>
          <w:b/>
          <w:spacing w:val="-3"/>
          <w:sz w:val="21"/>
          <w:u w:val="single"/>
        </w:rPr>
        <w:t>如果被保险人因意外伤害之外的原因导致初次发生并经医院专科医生首次确诊患有本附加合同所规定的危重疾病，但初次发生危重疾病是在本附加合同生效</w:t>
      </w:r>
      <w:r>
        <w:rPr>
          <w:b/>
          <w:sz w:val="21"/>
          <w:u w:val="single"/>
        </w:rPr>
        <w:t>（</w:t>
      </w:r>
      <w:r>
        <w:rPr>
          <w:b/>
          <w:spacing w:val="-2"/>
          <w:sz w:val="21"/>
          <w:u w:val="single"/>
        </w:rPr>
        <w:t>或最后一次复效</w:t>
      </w:r>
      <w:r>
        <w:rPr>
          <w:b/>
          <w:sz w:val="21"/>
          <w:u w:val="single"/>
        </w:rPr>
        <w:t>）</w:t>
      </w:r>
      <w:r>
        <w:rPr>
          <w:b/>
          <w:spacing w:val="-2"/>
          <w:sz w:val="21"/>
          <w:u w:val="single"/>
        </w:rPr>
        <w:t>之前、或者在本附加合同</w:t>
      </w:r>
      <w:r>
        <w:rPr>
          <w:b/>
          <w:spacing w:val="-8"/>
          <w:sz w:val="21"/>
          <w:u w:val="single"/>
        </w:rPr>
        <w:t>生效</w:t>
      </w:r>
      <w:r>
        <w:rPr>
          <w:b/>
          <w:spacing w:val="-139"/>
          <w:sz w:val="21"/>
          <w:u w:val="single"/>
        </w:rPr>
        <w:t>（</w:t>
      </w:r>
      <w:r>
        <w:rPr>
          <w:b/>
          <w:spacing w:val="-1"/>
          <w:sz w:val="21"/>
          <w:u w:val="single"/>
        </w:rPr>
        <w:t>或最后一次复效</w:t>
      </w:r>
      <w:r>
        <w:rPr>
          <w:b/>
          <w:spacing w:val="-15"/>
          <w:sz w:val="21"/>
          <w:u w:val="single"/>
        </w:rPr>
        <w:t>）</w:t>
      </w:r>
      <w:r>
        <w:rPr>
          <w:b/>
          <w:spacing w:val="-17"/>
          <w:sz w:val="21"/>
          <w:u w:val="single"/>
        </w:rPr>
        <w:t>之日 </w:t>
      </w:r>
      <w:r>
        <w:rPr>
          <w:b/>
          <w:sz w:val="21"/>
          <w:u w:val="single"/>
        </w:rPr>
        <w:t>24</w:t>
      </w:r>
      <w:r>
        <w:rPr>
          <w:b/>
          <w:spacing w:val="-27"/>
          <w:sz w:val="21"/>
          <w:u w:val="single"/>
        </w:rPr>
        <w:t> 时起 </w:t>
      </w:r>
      <w:r>
        <w:rPr>
          <w:b/>
          <w:sz w:val="21"/>
          <w:u w:val="single"/>
        </w:rPr>
        <w:t>180</w:t>
      </w:r>
      <w:r>
        <w:rPr>
          <w:b/>
          <w:spacing w:val="-9"/>
          <w:sz w:val="21"/>
          <w:u w:val="single"/>
        </w:rPr>
        <w:t> 天之内，我方将向投保人无息返还投保人累计已支付的本附加合同及其所依附的主合同的全部保险费，本附加合同及其所依附的主合同自该危重疾病首次确诊之日的</w:t>
      </w:r>
    </w:p>
    <w:p>
      <w:pPr>
        <w:tabs>
          <w:tab w:pos="9914" w:val="left" w:leader="none"/>
        </w:tabs>
        <w:spacing w:before="8"/>
        <w:ind w:left="565" w:right="0" w:firstLine="0"/>
        <w:jc w:val="left"/>
        <w:rPr>
          <w:b/>
          <w:sz w:val="21"/>
        </w:rPr>
      </w:pPr>
      <w:r>
        <w:rPr>
          <w:b/>
          <w:sz w:val="21"/>
        </w:rPr>
        <w:t>24</w:t>
      </w:r>
      <w:r>
        <w:rPr>
          <w:b/>
          <w:spacing w:val="-54"/>
          <w:sz w:val="21"/>
        </w:rPr>
        <w:t> </w:t>
      </w:r>
      <w:r>
        <w:rPr>
          <w:b/>
          <w:sz w:val="21"/>
        </w:rPr>
        <w:t>时起效力终止。</w:t>
        <w:tab/>
        <w:t>3.</w:t>
      </w:r>
    </w:p>
    <w:p>
      <w:pPr>
        <w:pStyle w:val="BodyText"/>
        <w:spacing w:line="20" w:lineRule="exact"/>
        <w:ind w:left="559"/>
        <w:rPr>
          <w:sz w:val="2"/>
        </w:rPr>
      </w:pPr>
      <w:r>
        <w:rPr>
          <w:rFonts w:ascii="Times New Roman"/>
          <w:spacing w:val="2"/>
          <w:sz w:val="2"/>
        </w:rPr>
        <w:t> </w:t>
      </w:r>
      <w:r>
        <w:rPr>
          <w:spacing w:val="2"/>
          <w:sz w:val="2"/>
        </w:rPr>
        <w:pict>
          <v:group style="width:477.95pt;height:.6pt;mso-position-horizontal-relative:char;mso-position-vertical-relative:line" coordorigin="0,0" coordsize="9559,12">
            <v:line style="position:absolute" from="0,6" to="9558,6" stroked="true" strokeweight=".599980pt" strokecolor="#000000">
              <v:stroke dashstyle="solid"/>
            </v:line>
          </v:group>
        </w:pict>
      </w:r>
      <w:r>
        <w:rPr>
          <w:spacing w:val="2"/>
          <w:sz w:val="2"/>
        </w:rPr>
      </w:r>
    </w:p>
    <w:p>
      <w:pPr>
        <w:pStyle w:val="ListParagraph"/>
        <w:numPr>
          <w:ilvl w:val="0"/>
          <w:numId w:val="2"/>
        </w:numPr>
        <w:tabs>
          <w:tab w:pos="883" w:val="left" w:leader="none"/>
          <w:tab w:pos="9809" w:val="left" w:leader="none"/>
        </w:tabs>
        <w:spacing w:line="240" w:lineRule="auto" w:before="16" w:after="0"/>
        <w:ind w:left="565" w:right="0" w:firstLine="0"/>
        <w:jc w:val="left"/>
        <w:rPr>
          <w:b/>
          <w:sz w:val="21"/>
        </w:rPr>
      </w:pPr>
      <w:r>
        <w:rPr>
          <w:b/>
          <w:sz w:val="21"/>
        </w:rPr>
        <w:t>责任免除中任一情形</w:t>
      </w:r>
      <w:r>
        <w:rPr>
          <w:b/>
          <w:spacing w:val="-3"/>
          <w:sz w:val="21"/>
        </w:rPr>
        <w:t>导</w:t>
      </w:r>
      <w:r>
        <w:rPr>
          <w:b/>
          <w:sz w:val="21"/>
        </w:rPr>
        <w:t>致被保险人患有危</w:t>
      </w:r>
      <w:r>
        <w:rPr>
          <w:b/>
          <w:spacing w:val="-3"/>
          <w:sz w:val="21"/>
        </w:rPr>
        <w:t>重</w:t>
      </w:r>
      <w:r>
        <w:rPr>
          <w:b/>
          <w:sz w:val="21"/>
        </w:rPr>
        <w:t>疾</w:t>
      </w:r>
      <w:r>
        <w:rPr>
          <w:b/>
          <w:spacing w:val="-3"/>
          <w:sz w:val="21"/>
        </w:rPr>
        <w:t>病</w:t>
      </w:r>
      <w:r>
        <w:rPr>
          <w:b/>
          <w:sz w:val="21"/>
        </w:rPr>
        <w:t>或轻症疾病，我方</w:t>
      </w:r>
      <w:r>
        <w:rPr>
          <w:b/>
          <w:spacing w:val="-3"/>
          <w:sz w:val="21"/>
        </w:rPr>
        <w:t>将</w:t>
      </w:r>
      <w:r>
        <w:rPr>
          <w:b/>
          <w:sz w:val="21"/>
        </w:rPr>
        <w:t>不</w:t>
      </w:r>
      <w:r>
        <w:rPr>
          <w:b/>
          <w:spacing w:val="-3"/>
          <w:sz w:val="21"/>
        </w:rPr>
        <w:t>给</w:t>
      </w:r>
      <w:r>
        <w:rPr>
          <w:b/>
          <w:sz w:val="21"/>
        </w:rPr>
        <w:t>付任何保险金。</w:t>
        <w:tab/>
        <w:t>4.</w:t>
      </w:r>
    </w:p>
    <w:p>
      <w:pPr>
        <w:pStyle w:val="BodyText"/>
        <w:spacing w:line="20" w:lineRule="exact"/>
        <w:ind w:left="559"/>
        <w:rPr>
          <w:sz w:val="2"/>
        </w:rPr>
      </w:pPr>
      <w:r>
        <w:rPr>
          <w:rFonts w:ascii="Times New Roman"/>
          <w:spacing w:val="2"/>
          <w:sz w:val="2"/>
        </w:rPr>
        <w:t> </w:t>
      </w:r>
      <w:r>
        <w:rPr>
          <w:spacing w:val="2"/>
          <w:sz w:val="2"/>
        </w:rPr>
        <w:pict>
          <v:group style="width:472.75pt;height:.6pt;mso-position-horizontal-relative:char;mso-position-vertical-relative:line" coordorigin="0,0" coordsize="9455,12">
            <v:line style="position:absolute" from="0,6" to="9455,6" stroked="true" strokeweight=".600010pt" strokecolor="#000000">
              <v:stroke dashstyle="solid"/>
            </v:line>
          </v:group>
        </w:pict>
      </w:r>
      <w:r>
        <w:rPr>
          <w:spacing w:val="2"/>
          <w:sz w:val="2"/>
        </w:rPr>
      </w:r>
    </w:p>
    <w:p>
      <w:pPr>
        <w:tabs>
          <w:tab w:pos="9914" w:val="left" w:leader="none"/>
        </w:tabs>
        <w:spacing w:before="16"/>
        <w:ind w:left="565" w:right="0" w:firstLine="0"/>
        <w:jc w:val="left"/>
        <w:rPr>
          <w:b/>
          <w:sz w:val="21"/>
        </w:rPr>
      </w:pPr>
      <w:r>
        <w:rPr/>
        <w:pict>
          <v:line style="position:absolute;mso-position-horizontal-relative:page;mso-position-vertical-relative:paragraph;z-index:1144" from="69.264pt,14.803672pt" to="547.174pt,14.803672pt" stroked="true" strokeweight=".600010pt" strokecolor="#000000">
            <v:stroke dashstyle="solid"/>
            <w10:wrap type="none"/>
          </v:line>
        </w:pict>
      </w:r>
      <w:r>
        <w:rPr>
          <w:b/>
          <w:spacing w:val="-9"/>
          <w:sz w:val="21"/>
        </w:rPr>
        <w:t>3．</w:t>
      </w:r>
      <w:r>
        <w:rPr>
          <w:b/>
          <w:sz w:val="21"/>
        </w:rPr>
        <w:t>请您留意本</w:t>
      </w:r>
      <w:r>
        <w:rPr>
          <w:b/>
          <w:spacing w:val="-3"/>
          <w:sz w:val="21"/>
        </w:rPr>
        <w:t>附</w:t>
      </w:r>
      <w:r>
        <w:rPr>
          <w:b/>
          <w:sz w:val="21"/>
        </w:rPr>
        <w:t>加合同</w:t>
      </w:r>
      <w:r>
        <w:rPr>
          <w:b/>
          <w:spacing w:val="-3"/>
          <w:sz w:val="21"/>
        </w:rPr>
        <w:t>中</w:t>
      </w:r>
      <w:r>
        <w:rPr>
          <w:b/>
          <w:sz w:val="21"/>
        </w:rPr>
        <w:t>关于保险期间的条</w:t>
      </w:r>
      <w:r>
        <w:rPr>
          <w:b/>
          <w:spacing w:val="-3"/>
          <w:sz w:val="21"/>
        </w:rPr>
        <w:t>款</w:t>
      </w:r>
      <w:r>
        <w:rPr>
          <w:b/>
          <w:sz w:val="21"/>
        </w:rPr>
        <w:t>。</w:t>
        <w:tab/>
        <w:t>5.</w:t>
      </w:r>
    </w:p>
    <w:p>
      <w:pPr>
        <w:pStyle w:val="ListParagraph"/>
        <w:numPr>
          <w:ilvl w:val="0"/>
          <w:numId w:val="3"/>
        </w:numPr>
        <w:tabs>
          <w:tab w:pos="883" w:val="left" w:leader="none"/>
          <w:tab w:pos="10125" w:val="right" w:leader="none"/>
        </w:tabs>
        <w:spacing w:line="240" w:lineRule="auto" w:before="36" w:after="0"/>
        <w:ind w:left="882" w:right="0" w:hanging="317"/>
        <w:jc w:val="left"/>
        <w:rPr>
          <w:b/>
          <w:sz w:val="21"/>
        </w:rPr>
      </w:pPr>
      <w:r>
        <w:rPr/>
        <w:pict>
          <v:line style="position:absolute;mso-position-horizontal-relative:page;mso-position-vertical-relative:paragraph;z-index:1168" from="69.264pt,15.803666pt" to="547.174pt,15.803666pt" stroked="true" strokeweight=".600010pt" strokecolor="#000000">
            <v:stroke dashstyle="solid"/>
            <w10:wrap type="none"/>
          </v:line>
        </w:pict>
      </w:r>
      <w:r>
        <w:rPr>
          <w:b/>
          <w:sz w:val="21"/>
        </w:rPr>
        <w:t>请您留意本附加合同</w:t>
      </w:r>
      <w:r>
        <w:rPr>
          <w:b/>
          <w:spacing w:val="-3"/>
          <w:sz w:val="21"/>
        </w:rPr>
        <w:t>所</w:t>
      </w:r>
      <w:r>
        <w:rPr>
          <w:b/>
          <w:sz w:val="21"/>
        </w:rPr>
        <w:t>保障的危重疾病</w:t>
      </w:r>
      <w:r>
        <w:rPr>
          <w:b/>
          <w:spacing w:val="-20"/>
          <w:sz w:val="21"/>
        </w:rPr>
        <w:t>、</w:t>
      </w:r>
      <w:r>
        <w:rPr>
          <w:b/>
          <w:sz w:val="21"/>
        </w:rPr>
        <w:t>轻</w:t>
      </w:r>
      <w:r>
        <w:rPr>
          <w:b/>
          <w:spacing w:val="-3"/>
          <w:sz w:val="21"/>
        </w:rPr>
        <w:t>症疾</w:t>
      </w:r>
      <w:r>
        <w:rPr>
          <w:b/>
          <w:sz w:val="21"/>
        </w:rPr>
        <w:t>病的种类和定义。</w:t>
        <w:tab/>
        <w:t>13.14.</w:t>
      </w:r>
    </w:p>
    <w:p>
      <w:pPr>
        <w:pStyle w:val="ListParagraph"/>
        <w:numPr>
          <w:ilvl w:val="0"/>
          <w:numId w:val="3"/>
        </w:numPr>
        <w:tabs>
          <w:tab w:pos="883" w:val="left" w:leader="none"/>
          <w:tab w:pos="9811" w:val="left" w:leader="none"/>
        </w:tabs>
        <w:spacing w:line="240" w:lineRule="auto" w:before="36" w:after="0"/>
        <w:ind w:left="882" w:right="0" w:hanging="317"/>
        <w:jc w:val="left"/>
        <w:rPr>
          <w:b/>
          <w:sz w:val="21"/>
        </w:rPr>
      </w:pPr>
      <w:r>
        <w:rPr>
          <w:b/>
          <w:sz w:val="21"/>
        </w:rPr>
        <w:t>请您留意保险条款中的释义。</w:t>
        <w:tab/>
        <w:t>15.</w:t>
      </w:r>
    </w:p>
    <w:p>
      <w:pPr>
        <w:pStyle w:val="BodyText"/>
        <w:spacing w:line="20" w:lineRule="exact"/>
        <w:ind w:left="559"/>
        <w:rPr>
          <w:sz w:val="2"/>
        </w:rPr>
      </w:pPr>
      <w:r>
        <w:rPr>
          <w:rFonts w:ascii="Times New Roman"/>
          <w:spacing w:val="2"/>
          <w:sz w:val="2"/>
        </w:rPr>
        <w:t> </w:t>
      </w:r>
      <w:r>
        <w:rPr>
          <w:spacing w:val="2"/>
          <w:sz w:val="2"/>
        </w:rPr>
        <w:pict>
          <v:group style="width:477.95pt;height:.6pt;mso-position-horizontal-relative:char;mso-position-vertical-relative:line" coordorigin="0,0" coordsize="9559,12">
            <v:line style="position:absolute" from="0,6" to="9558,6" stroked="true" strokeweight=".600010pt" strokecolor="#000000">
              <v:stroke dashstyle="solid"/>
            </v:line>
          </v:group>
        </w:pict>
      </w:r>
      <w:r>
        <w:rPr>
          <w:spacing w:val="2"/>
          <w:sz w:val="2"/>
        </w:rPr>
      </w:r>
    </w:p>
    <w:p>
      <w:pPr>
        <w:pStyle w:val="BodyText"/>
        <w:spacing w:before="3"/>
        <w:ind w:left="0"/>
        <w:rPr>
          <w:b/>
          <w:sz w:val="17"/>
        </w:rPr>
      </w:pPr>
    </w:p>
    <w:p>
      <w:pPr>
        <w:pStyle w:val="ListParagraph"/>
        <w:numPr>
          <w:ilvl w:val="0"/>
          <w:numId w:val="1"/>
        </w:numPr>
        <w:tabs>
          <w:tab w:pos="565" w:val="left" w:leader="none"/>
          <w:tab w:pos="566" w:val="left" w:leader="none"/>
        </w:tabs>
        <w:spacing w:line="240" w:lineRule="auto" w:before="37" w:after="0"/>
        <w:ind w:left="565" w:right="0" w:hanging="421"/>
        <w:jc w:val="left"/>
        <w:rPr>
          <w:rFonts w:ascii="Wingdings" w:eastAsia="Wingdings"/>
          <w:b/>
          <w:sz w:val="18"/>
        </w:rPr>
      </w:pPr>
      <w:r>
        <w:rPr>
          <w:b/>
          <w:sz w:val="21"/>
        </w:rPr>
        <w:t>条款目录</w:t>
      </w:r>
    </w:p>
    <w:p>
      <w:pPr>
        <w:pStyle w:val="BodyText"/>
        <w:spacing w:before="4"/>
        <w:ind w:left="0"/>
        <w:rPr>
          <w:b/>
          <w:sz w:val="20"/>
        </w:rPr>
      </w:pPr>
    </w:p>
    <w:p>
      <w:pPr>
        <w:spacing w:after="0"/>
        <w:rPr>
          <w:sz w:val="20"/>
        </w:rPr>
        <w:sectPr>
          <w:footerReference w:type="default" r:id="rId5"/>
          <w:type w:val="continuous"/>
          <w:pgSz w:w="11910" w:h="16840"/>
          <w:pgMar w:footer="809" w:top="360" w:bottom="1000" w:left="820" w:right="820"/>
          <w:pgNumType w:start="1"/>
        </w:sectPr>
      </w:pPr>
    </w:p>
    <w:p>
      <w:pPr>
        <w:tabs>
          <w:tab w:pos="1409" w:val="left" w:leader="none"/>
        </w:tabs>
        <w:spacing w:before="36"/>
        <w:ind w:left="565" w:right="0" w:firstLine="0"/>
        <w:jc w:val="left"/>
        <w:rPr>
          <w:b/>
          <w:sz w:val="21"/>
        </w:rPr>
      </w:pPr>
      <w:r>
        <w:rPr>
          <w:b/>
          <w:sz w:val="21"/>
        </w:rPr>
        <w:t>第一章</w:t>
        <w:tab/>
        <w:t>合同的构成</w:t>
      </w:r>
    </w:p>
    <w:p>
      <w:pPr>
        <w:pStyle w:val="ListParagraph"/>
        <w:numPr>
          <w:ilvl w:val="0"/>
          <w:numId w:val="4"/>
        </w:numPr>
        <w:tabs>
          <w:tab w:pos="883" w:val="left" w:leader="none"/>
        </w:tabs>
        <w:spacing w:line="240" w:lineRule="auto" w:before="60" w:after="0"/>
        <w:ind w:left="565" w:right="0" w:firstLine="0"/>
        <w:jc w:val="left"/>
        <w:rPr>
          <w:sz w:val="21"/>
        </w:rPr>
      </w:pPr>
      <w:r>
        <w:rPr>
          <w:spacing w:val="-3"/>
          <w:sz w:val="21"/>
        </w:rPr>
        <w:t>合同的构成</w:t>
      </w:r>
    </w:p>
    <w:p>
      <w:pPr>
        <w:pStyle w:val="Heading2"/>
        <w:tabs>
          <w:tab w:pos="1409" w:val="left" w:leader="none"/>
        </w:tabs>
        <w:spacing w:before="58"/>
        <w:ind w:left="565"/>
      </w:pPr>
      <w:r>
        <w:rPr/>
        <w:t>第二章</w:t>
        <w:tab/>
        <w:t>保障范围</w:t>
      </w:r>
      <w:r>
        <w:rPr>
          <w:spacing w:val="-3"/>
        </w:rPr>
        <w:t>及</w:t>
      </w:r>
      <w:r>
        <w:rPr/>
        <w:t>责</w:t>
      </w:r>
      <w:r>
        <w:rPr>
          <w:spacing w:val="-3"/>
        </w:rPr>
        <w:t>任</w:t>
      </w:r>
      <w:r>
        <w:rPr/>
        <w:t>免除</w:t>
      </w:r>
    </w:p>
    <w:p>
      <w:pPr>
        <w:pStyle w:val="ListParagraph"/>
        <w:numPr>
          <w:ilvl w:val="0"/>
          <w:numId w:val="4"/>
        </w:numPr>
        <w:tabs>
          <w:tab w:pos="883" w:val="left" w:leader="none"/>
        </w:tabs>
        <w:spacing w:line="240" w:lineRule="auto" w:before="58" w:after="0"/>
        <w:ind w:left="565" w:right="0" w:firstLine="0"/>
        <w:jc w:val="left"/>
        <w:rPr>
          <w:sz w:val="21"/>
        </w:rPr>
      </w:pPr>
      <w:r>
        <w:rPr>
          <w:spacing w:val="-3"/>
          <w:sz w:val="21"/>
        </w:rPr>
        <w:t>投保范围</w:t>
      </w:r>
    </w:p>
    <w:p>
      <w:pPr>
        <w:pStyle w:val="ListParagraph"/>
        <w:numPr>
          <w:ilvl w:val="0"/>
          <w:numId w:val="4"/>
        </w:numPr>
        <w:tabs>
          <w:tab w:pos="883" w:val="left" w:leader="none"/>
        </w:tabs>
        <w:spacing w:line="240" w:lineRule="auto" w:before="61" w:after="0"/>
        <w:ind w:left="565" w:right="0" w:firstLine="0"/>
        <w:jc w:val="left"/>
        <w:rPr>
          <w:sz w:val="21"/>
        </w:rPr>
      </w:pPr>
      <w:r>
        <w:rPr>
          <w:spacing w:val="-3"/>
          <w:sz w:val="21"/>
        </w:rPr>
        <w:t>保险责任</w:t>
      </w:r>
    </w:p>
    <w:p>
      <w:pPr>
        <w:pStyle w:val="ListParagraph"/>
        <w:numPr>
          <w:ilvl w:val="0"/>
          <w:numId w:val="4"/>
        </w:numPr>
        <w:tabs>
          <w:tab w:pos="883" w:val="left" w:leader="none"/>
        </w:tabs>
        <w:spacing w:line="240" w:lineRule="auto" w:before="58" w:after="0"/>
        <w:ind w:left="565" w:right="0" w:firstLine="0"/>
        <w:jc w:val="left"/>
        <w:rPr>
          <w:sz w:val="21"/>
        </w:rPr>
      </w:pPr>
      <w:r>
        <w:rPr>
          <w:spacing w:val="-3"/>
          <w:sz w:val="21"/>
        </w:rPr>
        <w:t>责任免除</w:t>
      </w:r>
    </w:p>
    <w:p>
      <w:pPr>
        <w:pStyle w:val="Heading2"/>
        <w:tabs>
          <w:tab w:pos="1409" w:val="left" w:leader="none"/>
        </w:tabs>
        <w:spacing w:before="58"/>
        <w:ind w:left="565"/>
      </w:pPr>
      <w:r>
        <w:rPr/>
        <w:t>第三章</w:t>
        <w:tab/>
        <w:t>保险期间</w:t>
      </w:r>
      <w:r>
        <w:rPr>
          <w:spacing w:val="-3"/>
        </w:rPr>
        <w:t>、</w:t>
      </w:r>
      <w:r>
        <w:rPr/>
        <w:t>基</w:t>
      </w:r>
      <w:r>
        <w:rPr>
          <w:spacing w:val="-3"/>
        </w:rPr>
        <w:t>本</w:t>
      </w:r>
      <w:r>
        <w:rPr/>
        <w:t>保险金额及保险费</w:t>
      </w:r>
    </w:p>
    <w:p>
      <w:pPr>
        <w:pStyle w:val="ListParagraph"/>
        <w:numPr>
          <w:ilvl w:val="0"/>
          <w:numId w:val="4"/>
        </w:numPr>
        <w:tabs>
          <w:tab w:pos="883" w:val="left" w:leader="none"/>
        </w:tabs>
        <w:spacing w:line="240" w:lineRule="auto" w:before="58" w:after="0"/>
        <w:ind w:left="565" w:right="0" w:firstLine="0"/>
        <w:jc w:val="left"/>
        <w:rPr>
          <w:sz w:val="21"/>
        </w:rPr>
      </w:pPr>
      <w:r>
        <w:rPr>
          <w:spacing w:val="-3"/>
          <w:sz w:val="21"/>
        </w:rPr>
        <w:t>保险期间</w:t>
      </w:r>
    </w:p>
    <w:p>
      <w:pPr>
        <w:pStyle w:val="ListParagraph"/>
        <w:numPr>
          <w:ilvl w:val="0"/>
          <w:numId w:val="4"/>
        </w:numPr>
        <w:tabs>
          <w:tab w:pos="883" w:val="left" w:leader="none"/>
        </w:tabs>
        <w:spacing w:line="240" w:lineRule="auto" w:before="60" w:after="0"/>
        <w:ind w:left="565" w:right="0" w:firstLine="0"/>
        <w:jc w:val="left"/>
        <w:rPr>
          <w:sz w:val="21"/>
        </w:rPr>
      </w:pPr>
      <w:r>
        <w:rPr>
          <w:spacing w:val="-3"/>
          <w:sz w:val="21"/>
        </w:rPr>
        <w:t>基本保险金额</w:t>
      </w:r>
    </w:p>
    <w:p>
      <w:pPr>
        <w:pStyle w:val="ListParagraph"/>
        <w:numPr>
          <w:ilvl w:val="0"/>
          <w:numId w:val="4"/>
        </w:numPr>
        <w:tabs>
          <w:tab w:pos="883" w:val="left" w:leader="none"/>
        </w:tabs>
        <w:spacing w:line="240" w:lineRule="auto" w:before="58" w:after="0"/>
        <w:ind w:left="565" w:right="0" w:firstLine="0"/>
        <w:jc w:val="left"/>
        <w:rPr>
          <w:sz w:val="21"/>
        </w:rPr>
      </w:pPr>
      <w:r>
        <w:rPr>
          <w:spacing w:val="-3"/>
          <w:sz w:val="21"/>
        </w:rPr>
        <w:t>保险费的支付</w:t>
      </w:r>
    </w:p>
    <w:p>
      <w:pPr>
        <w:pStyle w:val="Heading2"/>
        <w:tabs>
          <w:tab w:pos="1412" w:val="left" w:leader="none"/>
        </w:tabs>
        <w:spacing w:before="36"/>
        <w:ind w:left="567"/>
      </w:pPr>
      <w:r>
        <w:rPr>
          <w:b w:val="0"/>
        </w:rPr>
        <w:br w:type="column"/>
      </w:r>
      <w:r>
        <w:rPr/>
        <w:t>第四章</w:t>
        <w:tab/>
        <w:t>保险金申领</w:t>
      </w:r>
    </w:p>
    <w:p>
      <w:pPr>
        <w:pStyle w:val="ListParagraph"/>
        <w:numPr>
          <w:ilvl w:val="0"/>
          <w:numId w:val="4"/>
        </w:numPr>
        <w:tabs>
          <w:tab w:pos="883" w:val="left" w:leader="none"/>
        </w:tabs>
        <w:spacing w:line="240" w:lineRule="auto" w:before="60" w:after="0"/>
        <w:ind w:left="565" w:right="0" w:firstLine="0"/>
        <w:jc w:val="left"/>
        <w:rPr>
          <w:sz w:val="21"/>
        </w:rPr>
      </w:pPr>
      <w:r>
        <w:rPr>
          <w:spacing w:val="-3"/>
          <w:sz w:val="21"/>
        </w:rPr>
        <w:t>诉讼时效</w:t>
      </w:r>
    </w:p>
    <w:p>
      <w:pPr>
        <w:pStyle w:val="ListParagraph"/>
        <w:numPr>
          <w:ilvl w:val="0"/>
          <w:numId w:val="4"/>
        </w:numPr>
        <w:tabs>
          <w:tab w:pos="883" w:val="left" w:leader="none"/>
        </w:tabs>
        <w:spacing w:line="240" w:lineRule="auto" w:before="58" w:after="0"/>
        <w:ind w:left="565" w:right="0" w:firstLine="0"/>
        <w:jc w:val="left"/>
        <w:rPr>
          <w:sz w:val="21"/>
        </w:rPr>
      </w:pPr>
      <w:r>
        <w:rPr>
          <w:spacing w:val="-3"/>
          <w:sz w:val="21"/>
        </w:rPr>
        <w:t>保险金申领资料</w:t>
      </w:r>
    </w:p>
    <w:p>
      <w:pPr>
        <w:pStyle w:val="ListParagraph"/>
        <w:numPr>
          <w:ilvl w:val="0"/>
          <w:numId w:val="4"/>
        </w:numPr>
        <w:tabs>
          <w:tab w:pos="988" w:val="left" w:leader="none"/>
          <w:tab w:pos="1409" w:val="left" w:leader="none"/>
        </w:tabs>
        <w:spacing w:line="292" w:lineRule="auto" w:before="58" w:after="0"/>
        <w:ind w:left="565" w:right="2397" w:firstLine="0"/>
        <w:jc w:val="left"/>
        <w:rPr>
          <w:b/>
          <w:sz w:val="21"/>
        </w:rPr>
      </w:pPr>
      <w:r>
        <w:rPr>
          <w:spacing w:val="-3"/>
          <w:sz w:val="21"/>
        </w:rPr>
        <w:t>未</w:t>
      </w:r>
      <w:r>
        <w:rPr>
          <w:sz w:val="21"/>
        </w:rPr>
        <w:t>还</w:t>
      </w:r>
      <w:r>
        <w:rPr>
          <w:spacing w:val="-3"/>
          <w:sz w:val="21"/>
        </w:rPr>
        <w:t>款</w:t>
      </w:r>
      <w:r>
        <w:rPr>
          <w:sz w:val="21"/>
        </w:rPr>
        <w:t>项</w:t>
      </w:r>
      <w:r>
        <w:rPr>
          <w:spacing w:val="-3"/>
          <w:sz w:val="21"/>
        </w:rPr>
        <w:t>及</w:t>
      </w:r>
      <w:r>
        <w:rPr>
          <w:sz w:val="21"/>
        </w:rPr>
        <w:t>其</w:t>
      </w:r>
      <w:r>
        <w:rPr>
          <w:spacing w:val="-3"/>
          <w:sz w:val="21"/>
        </w:rPr>
        <w:t>处理</w:t>
      </w:r>
      <w:r>
        <w:rPr>
          <w:b/>
          <w:sz w:val="21"/>
        </w:rPr>
        <w:t>第五章</w:t>
        <w:tab/>
        <w:t>其他规定</w:t>
      </w:r>
    </w:p>
    <w:p>
      <w:pPr>
        <w:pStyle w:val="ListParagraph"/>
        <w:numPr>
          <w:ilvl w:val="0"/>
          <w:numId w:val="4"/>
        </w:numPr>
        <w:tabs>
          <w:tab w:pos="988" w:val="left" w:leader="none"/>
        </w:tabs>
        <w:spacing w:line="240" w:lineRule="auto" w:before="12" w:after="0"/>
        <w:ind w:left="987" w:right="0" w:hanging="422"/>
        <w:jc w:val="left"/>
        <w:rPr>
          <w:sz w:val="21"/>
        </w:rPr>
      </w:pPr>
      <w:r>
        <w:rPr>
          <w:spacing w:val="-2"/>
          <w:sz w:val="21"/>
        </w:rPr>
        <w:t>受益人</w:t>
      </w:r>
    </w:p>
    <w:p>
      <w:pPr>
        <w:pStyle w:val="ListParagraph"/>
        <w:numPr>
          <w:ilvl w:val="0"/>
          <w:numId w:val="4"/>
        </w:numPr>
        <w:tabs>
          <w:tab w:pos="988" w:val="left" w:leader="none"/>
        </w:tabs>
        <w:spacing w:line="240" w:lineRule="auto" w:before="58" w:after="0"/>
        <w:ind w:left="987" w:right="0" w:hanging="422"/>
        <w:jc w:val="left"/>
        <w:rPr>
          <w:sz w:val="21"/>
        </w:rPr>
      </w:pPr>
      <w:r>
        <w:rPr>
          <w:spacing w:val="-3"/>
          <w:sz w:val="21"/>
        </w:rPr>
        <w:t>保险单借款</w:t>
      </w:r>
    </w:p>
    <w:p>
      <w:pPr>
        <w:pStyle w:val="ListParagraph"/>
        <w:numPr>
          <w:ilvl w:val="0"/>
          <w:numId w:val="4"/>
        </w:numPr>
        <w:tabs>
          <w:tab w:pos="988" w:val="left" w:leader="none"/>
        </w:tabs>
        <w:spacing w:line="240" w:lineRule="auto" w:before="58" w:after="0"/>
        <w:ind w:left="987" w:right="0" w:hanging="422"/>
        <w:jc w:val="left"/>
        <w:rPr>
          <w:sz w:val="21"/>
        </w:rPr>
      </w:pPr>
      <w:r>
        <w:rPr>
          <w:spacing w:val="-3"/>
          <w:sz w:val="21"/>
        </w:rPr>
        <w:t>危重疾病的种类与定义</w:t>
      </w:r>
    </w:p>
    <w:p>
      <w:pPr>
        <w:pStyle w:val="ListParagraph"/>
        <w:numPr>
          <w:ilvl w:val="0"/>
          <w:numId w:val="4"/>
        </w:numPr>
        <w:tabs>
          <w:tab w:pos="988" w:val="left" w:leader="none"/>
        </w:tabs>
        <w:spacing w:line="240" w:lineRule="auto" w:before="61" w:after="0"/>
        <w:ind w:left="987" w:right="0" w:hanging="422"/>
        <w:jc w:val="left"/>
        <w:rPr>
          <w:sz w:val="21"/>
        </w:rPr>
      </w:pPr>
      <w:r>
        <w:rPr>
          <w:spacing w:val="-3"/>
          <w:sz w:val="21"/>
        </w:rPr>
        <w:t>轻症疾病的种类与定义</w:t>
      </w:r>
    </w:p>
    <w:p>
      <w:pPr>
        <w:pStyle w:val="ListParagraph"/>
        <w:numPr>
          <w:ilvl w:val="0"/>
          <w:numId w:val="4"/>
        </w:numPr>
        <w:tabs>
          <w:tab w:pos="988" w:val="left" w:leader="none"/>
        </w:tabs>
        <w:spacing w:line="240" w:lineRule="auto" w:before="18" w:after="0"/>
        <w:ind w:left="987" w:right="0" w:hanging="422"/>
        <w:jc w:val="left"/>
        <w:rPr>
          <w:sz w:val="21"/>
        </w:rPr>
      </w:pPr>
      <w:r>
        <w:rPr>
          <w:spacing w:val="-3"/>
          <w:sz w:val="21"/>
        </w:rPr>
        <w:t>释义</w:t>
      </w:r>
    </w:p>
    <w:p>
      <w:pPr>
        <w:spacing w:after="0" w:line="240" w:lineRule="auto"/>
        <w:jc w:val="left"/>
        <w:rPr>
          <w:sz w:val="21"/>
        </w:rPr>
        <w:sectPr>
          <w:type w:val="continuous"/>
          <w:pgSz w:w="11910" w:h="16840"/>
          <w:pgMar w:top="360" w:bottom="1000" w:left="820" w:right="820"/>
          <w:cols w:num="2" w:equalWidth="0">
            <w:col w:w="4574" w:space="627"/>
            <w:col w:w="5069"/>
          </w:cols>
        </w:sectPr>
      </w:pPr>
    </w:p>
    <w:p>
      <w:pPr>
        <w:pStyle w:val="Heading1"/>
        <w:spacing w:line="376" w:lineRule="exact"/>
        <w:ind w:left="2322"/>
      </w:pPr>
      <w:r>
        <w:rPr/>
        <w:t>招商信诺附加安享康健危重疾病保险 B 款条款</w:t>
      </w:r>
    </w:p>
    <w:p>
      <w:pPr>
        <w:pStyle w:val="BodyText"/>
        <w:ind w:left="0"/>
        <w:rPr>
          <w:b/>
          <w:sz w:val="20"/>
        </w:rPr>
      </w:pPr>
    </w:p>
    <w:p>
      <w:pPr>
        <w:pStyle w:val="BodyText"/>
        <w:ind w:left="0"/>
        <w:rPr>
          <w:b/>
          <w:sz w:val="20"/>
        </w:rPr>
      </w:pPr>
    </w:p>
    <w:p>
      <w:pPr>
        <w:pStyle w:val="BodyText"/>
        <w:spacing w:before="12" w:after="1"/>
        <w:ind w:left="0"/>
        <w:rPr>
          <w:b/>
          <w:sz w:val="1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556"/>
        <w:gridCol w:w="7929"/>
      </w:tblGrid>
      <w:tr>
        <w:trPr>
          <w:trHeight w:val="378" w:hRule="atLeast"/>
        </w:trPr>
        <w:tc>
          <w:tcPr>
            <w:tcW w:w="595" w:type="dxa"/>
            <w:tcBorders>
              <w:bottom w:val="single" w:sz="4" w:space="0" w:color="000000"/>
            </w:tcBorders>
          </w:tcPr>
          <w:p>
            <w:pPr>
              <w:pStyle w:val="TableParagraph"/>
              <w:rPr>
                <w:rFonts w:ascii="Times New Roman"/>
                <w:sz w:val="20"/>
              </w:rPr>
            </w:pPr>
          </w:p>
        </w:tc>
        <w:tc>
          <w:tcPr>
            <w:tcW w:w="1556" w:type="dxa"/>
            <w:tcBorders>
              <w:bottom w:val="single" w:sz="4" w:space="0" w:color="000000"/>
            </w:tcBorders>
          </w:tcPr>
          <w:p>
            <w:pPr>
              <w:pStyle w:val="TableParagraph"/>
              <w:rPr>
                <w:rFonts w:ascii="Times New Roman"/>
                <w:sz w:val="20"/>
              </w:rPr>
            </w:pPr>
          </w:p>
        </w:tc>
        <w:tc>
          <w:tcPr>
            <w:tcW w:w="7929" w:type="dxa"/>
            <w:tcBorders>
              <w:bottom w:val="single" w:sz="4" w:space="0" w:color="000000"/>
            </w:tcBorders>
          </w:tcPr>
          <w:p>
            <w:pPr>
              <w:pStyle w:val="TableParagraph"/>
              <w:tabs>
                <w:tab w:pos="2784" w:val="left" w:leader="none"/>
              </w:tabs>
              <w:spacing w:line="211" w:lineRule="exact"/>
              <w:ind w:left="1939"/>
              <w:rPr>
                <w:b/>
                <w:sz w:val="21"/>
              </w:rPr>
            </w:pPr>
            <w:r>
              <w:rPr>
                <w:b/>
                <w:sz w:val="21"/>
              </w:rPr>
              <w:t>第一章</w:t>
              <w:tab/>
              <w:t>合同的构成</w:t>
            </w:r>
          </w:p>
        </w:tc>
      </w:tr>
      <w:tr>
        <w:trPr>
          <w:trHeight w:val="2672" w:hRule="atLeast"/>
        </w:trPr>
        <w:tc>
          <w:tcPr>
            <w:tcW w:w="595" w:type="dxa"/>
            <w:tcBorders>
              <w:top w:val="single" w:sz="4" w:space="0" w:color="000000"/>
            </w:tcBorders>
          </w:tcPr>
          <w:p>
            <w:pPr>
              <w:pStyle w:val="TableParagraph"/>
              <w:spacing w:before="28"/>
              <w:ind w:left="107"/>
              <w:rPr>
                <w:b/>
                <w:sz w:val="21"/>
              </w:rPr>
            </w:pPr>
            <w:r>
              <w:rPr>
                <w:b/>
                <w:sz w:val="21"/>
              </w:rPr>
              <w:t>1.</w:t>
            </w:r>
          </w:p>
        </w:tc>
        <w:tc>
          <w:tcPr>
            <w:tcW w:w="1556" w:type="dxa"/>
            <w:tcBorders>
              <w:top w:val="single" w:sz="4" w:space="0" w:color="000000"/>
            </w:tcBorders>
          </w:tcPr>
          <w:p>
            <w:pPr>
              <w:pStyle w:val="TableParagraph"/>
              <w:spacing w:before="28"/>
              <w:ind w:left="276"/>
              <w:rPr>
                <w:b/>
                <w:sz w:val="21"/>
              </w:rPr>
            </w:pPr>
            <w:r>
              <w:rPr>
                <w:b/>
                <w:sz w:val="21"/>
              </w:rPr>
              <w:t>合同的构成</w:t>
            </w:r>
          </w:p>
        </w:tc>
        <w:tc>
          <w:tcPr>
            <w:tcW w:w="7929" w:type="dxa"/>
            <w:tcBorders>
              <w:top w:val="single" w:sz="4" w:space="0" w:color="000000"/>
            </w:tcBorders>
          </w:tcPr>
          <w:p>
            <w:pPr>
              <w:pStyle w:val="TableParagraph"/>
              <w:spacing w:line="237" w:lineRule="auto" w:before="31"/>
              <w:ind w:left="225" w:right="82"/>
              <w:jc w:val="both"/>
              <w:rPr>
                <w:sz w:val="21"/>
              </w:rPr>
            </w:pPr>
            <w:r>
              <w:rPr>
                <w:sz w:val="21"/>
              </w:rPr>
              <w:t>本附加保险合同（</w:t>
            </w:r>
            <w:r>
              <w:rPr>
                <w:spacing w:val="-1"/>
                <w:sz w:val="21"/>
              </w:rPr>
              <w:t>以下简称“本附加合同</w:t>
            </w:r>
            <w:r>
              <w:rPr>
                <w:sz w:val="21"/>
              </w:rPr>
              <w:t>”），</w:t>
            </w:r>
            <w:r>
              <w:rPr>
                <w:spacing w:val="-3"/>
                <w:sz w:val="21"/>
              </w:rPr>
              <w:t>依主保险合同《招商信诺安享康健</w:t>
            </w:r>
            <w:r>
              <w:rPr>
                <w:spacing w:val="-11"/>
                <w:sz w:val="21"/>
              </w:rPr>
              <w:t>两全保险 </w:t>
            </w:r>
            <w:r>
              <w:rPr>
                <w:sz w:val="21"/>
              </w:rPr>
              <w:t>B</w:t>
            </w:r>
            <w:r>
              <w:rPr>
                <w:spacing w:val="-17"/>
                <w:sz w:val="21"/>
              </w:rPr>
              <w:t> 款》</w:t>
            </w:r>
            <w:r>
              <w:rPr>
                <w:sz w:val="21"/>
              </w:rPr>
              <w:t>（</w:t>
            </w:r>
            <w:r>
              <w:rPr>
                <w:spacing w:val="-3"/>
                <w:sz w:val="21"/>
              </w:rPr>
              <w:t>以下简称“主合同”</w:t>
            </w:r>
            <w:r>
              <w:rPr>
                <w:sz w:val="21"/>
              </w:rPr>
              <w:t>）</w:t>
            </w:r>
            <w:r>
              <w:rPr>
                <w:spacing w:val="-3"/>
                <w:sz w:val="21"/>
              </w:rPr>
              <w:t>投保人的申请，经</w:t>
            </w:r>
            <w:r>
              <w:rPr>
                <w:b/>
                <w:sz w:val="21"/>
              </w:rPr>
              <w:t>我方</w:t>
            </w:r>
            <w:r>
              <w:rPr>
                <w:spacing w:val="-15"/>
                <w:sz w:val="21"/>
              </w:rPr>
              <w:t>(见 </w:t>
            </w:r>
            <w:r>
              <w:rPr>
                <w:sz w:val="21"/>
              </w:rPr>
              <w:t>15.1</w:t>
            </w:r>
            <w:r>
              <w:rPr>
                <w:spacing w:val="-3"/>
                <w:sz w:val="21"/>
              </w:rPr>
              <w:t>)同意后， 附加在主合同上。</w:t>
            </w:r>
          </w:p>
          <w:p>
            <w:pPr>
              <w:pStyle w:val="TableParagraph"/>
              <w:spacing w:before="59"/>
              <w:ind w:left="225" w:right="101"/>
              <w:jc w:val="both"/>
              <w:rPr>
                <w:sz w:val="21"/>
              </w:rPr>
            </w:pPr>
            <w:r>
              <w:rPr>
                <w:spacing w:val="-3"/>
                <w:sz w:val="21"/>
              </w:rPr>
              <w:t>主合同的各项条款同样适用于本附加合同，如果主合同与本附加合同条款内容互有</w:t>
            </w:r>
            <w:r>
              <w:rPr>
                <w:spacing w:val="-20"/>
                <w:sz w:val="21"/>
              </w:rPr>
              <w:t>冲突，则以本附加合同条款为准。本附加合同构成主合同不可分割的一部分。</w:t>
            </w:r>
            <w:r>
              <w:rPr>
                <w:b/>
                <w:sz w:val="21"/>
              </w:rPr>
              <w:t>您方</w:t>
            </w:r>
            <w:r>
              <w:rPr>
                <w:sz w:val="21"/>
              </w:rPr>
              <w:t>(见</w:t>
            </w:r>
          </w:p>
          <w:p>
            <w:pPr>
              <w:pStyle w:val="TableParagraph"/>
              <w:ind w:left="225" w:right="99"/>
              <w:jc w:val="both"/>
              <w:rPr>
                <w:sz w:val="21"/>
              </w:rPr>
            </w:pPr>
            <w:r>
              <w:rPr>
                <w:sz w:val="21"/>
              </w:rPr>
              <w:t>15.2</w:t>
            </w:r>
            <w:r>
              <w:rPr>
                <w:spacing w:val="-7"/>
                <w:sz w:val="21"/>
              </w:rPr>
              <w:t>)须一并阅读并核对构成本附加合同的任何资料，以确保我方所提供的保障是您</w:t>
            </w:r>
            <w:r>
              <w:rPr>
                <w:spacing w:val="-5"/>
                <w:sz w:val="21"/>
              </w:rPr>
              <w:t>方所需要的。</w:t>
            </w:r>
          </w:p>
          <w:p>
            <w:pPr>
              <w:pStyle w:val="TableParagraph"/>
              <w:spacing w:before="62"/>
              <w:ind w:left="225"/>
              <w:jc w:val="both"/>
              <w:rPr>
                <w:b/>
                <w:sz w:val="21"/>
              </w:rPr>
            </w:pPr>
            <w:r>
              <w:rPr>
                <w:b/>
                <w:sz w:val="21"/>
              </w:rPr>
              <w:t>本附加合同为非分红保险。</w:t>
            </w:r>
          </w:p>
        </w:tc>
      </w:tr>
      <w:tr>
        <w:trPr>
          <w:trHeight w:val="760" w:hRule="atLeast"/>
        </w:trPr>
        <w:tc>
          <w:tcPr>
            <w:tcW w:w="595" w:type="dxa"/>
            <w:tcBorders>
              <w:bottom w:val="single" w:sz="4" w:space="0" w:color="000000"/>
            </w:tcBorders>
          </w:tcPr>
          <w:p>
            <w:pPr>
              <w:pStyle w:val="TableParagraph"/>
              <w:rPr>
                <w:rFonts w:ascii="Times New Roman"/>
                <w:sz w:val="20"/>
              </w:rPr>
            </w:pPr>
          </w:p>
        </w:tc>
        <w:tc>
          <w:tcPr>
            <w:tcW w:w="1556" w:type="dxa"/>
            <w:tcBorders>
              <w:bottom w:val="single" w:sz="4" w:space="0" w:color="000000"/>
            </w:tcBorders>
          </w:tcPr>
          <w:p>
            <w:pPr>
              <w:pStyle w:val="TableParagraph"/>
              <w:rPr>
                <w:rFonts w:ascii="Times New Roman"/>
                <w:sz w:val="20"/>
              </w:rPr>
            </w:pPr>
          </w:p>
        </w:tc>
        <w:tc>
          <w:tcPr>
            <w:tcW w:w="7929" w:type="dxa"/>
            <w:tcBorders>
              <w:bottom w:val="single" w:sz="4" w:space="0" w:color="000000"/>
            </w:tcBorders>
          </w:tcPr>
          <w:p>
            <w:pPr>
              <w:pStyle w:val="TableParagraph"/>
              <w:rPr>
                <w:b/>
                <w:sz w:val="21"/>
              </w:rPr>
            </w:pPr>
          </w:p>
          <w:p>
            <w:pPr>
              <w:pStyle w:val="TableParagraph"/>
              <w:tabs>
                <w:tab w:pos="2364" w:val="left" w:leader="none"/>
              </w:tabs>
              <w:ind w:left="1519"/>
              <w:rPr>
                <w:b/>
                <w:sz w:val="21"/>
              </w:rPr>
            </w:pPr>
            <w:r>
              <w:rPr>
                <w:b/>
                <w:sz w:val="21"/>
              </w:rPr>
              <w:t>第二章</w:t>
              <w:tab/>
            </w:r>
            <w:r>
              <w:rPr>
                <w:b/>
                <w:spacing w:val="-1"/>
                <w:sz w:val="21"/>
              </w:rPr>
              <w:t>保障</w:t>
            </w:r>
            <w:r>
              <w:rPr>
                <w:b/>
                <w:sz w:val="21"/>
              </w:rPr>
              <w:t>范围及责</w:t>
            </w:r>
            <w:r>
              <w:rPr>
                <w:b/>
                <w:spacing w:val="-3"/>
                <w:sz w:val="21"/>
              </w:rPr>
              <w:t>任</w:t>
            </w:r>
            <w:r>
              <w:rPr>
                <w:b/>
                <w:sz w:val="21"/>
              </w:rPr>
              <w:t>免除</w:t>
            </w:r>
          </w:p>
        </w:tc>
      </w:tr>
      <w:tr>
        <w:trPr>
          <w:trHeight w:val="805" w:hRule="atLeast"/>
        </w:trPr>
        <w:tc>
          <w:tcPr>
            <w:tcW w:w="595" w:type="dxa"/>
            <w:tcBorders>
              <w:top w:val="single" w:sz="4" w:space="0" w:color="000000"/>
            </w:tcBorders>
          </w:tcPr>
          <w:p>
            <w:pPr>
              <w:pStyle w:val="TableParagraph"/>
              <w:spacing w:before="30"/>
              <w:ind w:left="107"/>
              <w:rPr>
                <w:b/>
                <w:sz w:val="21"/>
              </w:rPr>
            </w:pPr>
            <w:r>
              <w:rPr>
                <w:b/>
                <w:sz w:val="21"/>
              </w:rPr>
              <w:t>2.</w:t>
            </w:r>
          </w:p>
        </w:tc>
        <w:tc>
          <w:tcPr>
            <w:tcW w:w="1556" w:type="dxa"/>
            <w:tcBorders>
              <w:top w:val="single" w:sz="4" w:space="0" w:color="000000"/>
            </w:tcBorders>
          </w:tcPr>
          <w:p>
            <w:pPr>
              <w:pStyle w:val="TableParagraph"/>
              <w:spacing w:before="30"/>
              <w:ind w:left="276"/>
              <w:rPr>
                <w:b/>
                <w:sz w:val="21"/>
              </w:rPr>
            </w:pPr>
            <w:r>
              <w:rPr>
                <w:b/>
                <w:sz w:val="21"/>
              </w:rPr>
              <w:t>投保范围</w:t>
            </w:r>
          </w:p>
        </w:tc>
        <w:tc>
          <w:tcPr>
            <w:tcW w:w="7929" w:type="dxa"/>
            <w:tcBorders>
              <w:top w:val="single" w:sz="4" w:space="0" w:color="000000"/>
            </w:tcBorders>
          </w:tcPr>
          <w:p>
            <w:pPr>
              <w:pStyle w:val="TableParagraph"/>
              <w:spacing w:line="237" w:lineRule="auto" w:before="33"/>
              <w:ind w:left="225" w:right="98"/>
              <w:rPr>
                <w:sz w:val="21"/>
              </w:rPr>
            </w:pPr>
            <w:r>
              <w:rPr>
                <w:w w:val="100"/>
                <w:sz w:val="21"/>
              </w:rPr>
              <w:t>出生满</w:t>
            </w:r>
            <w:r>
              <w:rPr>
                <w:spacing w:val="-38"/>
                <w:sz w:val="21"/>
              </w:rPr>
              <w:t> </w:t>
            </w:r>
            <w:r>
              <w:rPr>
                <w:w w:val="100"/>
                <w:sz w:val="21"/>
              </w:rPr>
              <w:t>60</w:t>
            </w:r>
            <w:r>
              <w:rPr>
                <w:spacing w:val="-36"/>
                <w:sz w:val="21"/>
              </w:rPr>
              <w:t> </w:t>
            </w:r>
            <w:r>
              <w:rPr>
                <w:w w:val="100"/>
                <w:sz w:val="21"/>
              </w:rPr>
              <w:t>天至</w:t>
            </w:r>
            <w:r>
              <w:rPr>
                <w:spacing w:val="-38"/>
                <w:sz w:val="21"/>
              </w:rPr>
              <w:t> </w:t>
            </w:r>
            <w:r>
              <w:rPr>
                <w:w w:val="100"/>
                <w:sz w:val="21"/>
              </w:rPr>
              <w:t>50</w:t>
            </w:r>
            <w:r>
              <w:rPr>
                <w:spacing w:val="-38"/>
                <w:sz w:val="21"/>
              </w:rPr>
              <w:t> </w:t>
            </w:r>
            <w:r>
              <w:rPr>
                <w:b/>
                <w:w w:val="100"/>
                <w:sz w:val="21"/>
              </w:rPr>
              <w:t>周岁</w:t>
            </w:r>
            <w:r>
              <w:rPr>
                <w:spacing w:val="-3"/>
                <w:w w:val="100"/>
                <w:sz w:val="21"/>
              </w:rPr>
              <w:t>（</w:t>
            </w:r>
            <w:r>
              <w:rPr>
                <w:w w:val="100"/>
                <w:sz w:val="21"/>
              </w:rPr>
              <w:t>见</w:t>
            </w:r>
            <w:r>
              <w:rPr>
                <w:spacing w:val="-36"/>
                <w:sz w:val="21"/>
              </w:rPr>
              <w:t> </w:t>
            </w:r>
            <w:r>
              <w:rPr>
                <w:w w:val="100"/>
                <w:sz w:val="21"/>
              </w:rPr>
              <w:t>15.</w:t>
            </w:r>
            <w:r>
              <w:rPr>
                <w:spacing w:val="-3"/>
                <w:w w:val="100"/>
                <w:sz w:val="21"/>
              </w:rPr>
              <w:t>3</w:t>
            </w:r>
            <w:r>
              <w:rPr>
                <w:spacing w:val="-106"/>
                <w:w w:val="100"/>
                <w:sz w:val="21"/>
              </w:rPr>
              <w:t>）</w:t>
            </w:r>
            <w:r>
              <w:rPr>
                <w:spacing w:val="-3"/>
                <w:w w:val="100"/>
                <w:sz w:val="21"/>
              </w:rPr>
              <w:t>，符合我方规定的投保条件者可作为被保险人参</w:t>
            </w:r>
            <w:r>
              <w:rPr>
                <w:spacing w:val="-3"/>
                <w:sz w:val="21"/>
              </w:rPr>
              <w:t>加本保险。</w:t>
            </w:r>
          </w:p>
        </w:tc>
      </w:tr>
      <w:tr>
        <w:trPr>
          <w:trHeight w:val="8308" w:hRule="atLeast"/>
        </w:trPr>
        <w:tc>
          <w:tcPr>
            <w:tcW w:w="595" w:type="dxa"/>
          </w:tcPr>
          <w:p>
            <w:pPr>
              <w:pStyle w:val="TableParagraph"/>
              <w:spacing w:before="165"/>
              <w:ind w:left="107"/>
              <w:rPr>
                <w:b/>
                <w:sz w:val="21"/>
              </w:rPr>
            </w:pPr>
            <w:r>
              <w:rPr>
                <w:b/>
                <w:sz w:val="21"/>
              </w:rPr>
              <w:t>3.</w:t>
            </w:r>
          </w:p>
        </w:tc>
        <w:tc>
          <w:tcPr>
            <w:tcW w:w="1556" w:type="dxa"/>
          </w:tcPr>
          <w:p>
            <w:pPr>
              <w:pStyle w:val="TableParagraph"/>
              <w:spacing w:before="165"/>
              <w:ind w:left="276"/>
              <w:rPr>
                <w:b/>
                <w:sz w:val="21"/>
              </w:rPr>
            </w:pPr>
            <w:r>
              <w:rPr>
                <w:b/>
                <w:sz w:val="21"/>
              </w:rPr>
              <w:t>保险责任</w:t>
            </w:r>
          </w:p>
        </w:tc>
        <w:tc>
          <w:tcPr>
            <w:tcW w:w="7929" w:type="dxa"/>
          </w:tcPr>
          <w:p>
            <w:pPr>
              <w:pStyle w:val="TableParagraph"/>
              <w:spacing w:line="290" w:lineRule="auto" w:before="165"/>
              <w:ind w:left="225" w:right="2552"/>
              <w:rPr>
                <w:sz w:val="21"/>
              </w:rPr>
            </w:pPr>
            <w:r>
              <w:rPr>
                <w:spacing w:val="-5"/>
                <w:sz w:val="21"/>
              </w:rPr>
              <w:t>本附加合同所提供的保障在世界各地全天 </w:t>
            </w:r>
            <w:r>
              <w:rPr>
                <w:sz w:val="21"/>
              </w:rPr>
              <w:t>24</w:t>
            </w:r>
            <w:r>
              <w:rPr>
                <w:spacing w:val="-10"/>
                <w:sz w:val="21"/>
              </w:rPr>
              <w:t> 小时适用。</w:t>
            </w:r>
            <w:r>
              <w:rPr>
                <w:spacing w:val="-7"/>
                <w:sz w:val="21"/>
              </w:rPr>
              <w:t>在本附加合同有效期间内，我方承担以下保险责任：  </w:t>
            </w:r>
            <w:r>
              <w:rPr>
                <w:spacing w:val="-3"/>
                <w:sz w:val="21"/>
              </w:rPr>
              <w:t>一、危重疾病保险金</w:t>
            </w:r>
          </w:p>
          <w:p>
            <w:pPr>
              <w:pStyle w:val="TableParagraph"/>
              <w:spacing w:line="237" w:lineRule="auto" w:before="19"/>
              <w:ind w:left="225" w:right="102"/>
              <w:jc w:val="both"/>
              <w:rPr>
                <w:sz w:val="21"/>
              </w:rPr>
            </w:pPr>
            <w:r>
              <w:rPr>
                <w:sz w:val="21"/>
              </w:rPr>
              <w:t>如果被保险人因</w:t>
            </w:r>
            <w:r>
              <w:rPr>
                <w:b/>
                <w:sz w:val="21"/>
              </w:rPr>
              <w:t>意外伤害</w:t>
            </w:r>
            <w:r>
              <w:rPr>
                <w:sz w:val="21"/>
              </w:rPr>
              <w:t>（15.4），</w:t>
            </w:r>
            <w:r>
              <w:rPr>
                <w:spacing w:val="-1"/>
                <w:sz w:val="21"/>
              </w:rPr>
              <w:t>或者在本附加合同生效</w:t>
            </w:r>
            <w:r>
              <w:rPr>
                <w:sz w:val="21"/>
              </w:rPr>
              <w:t>（</w:t>
            </w:r>
            <w:r>
              <w:rPr>
                <w:spacing w:val="-1"/>
                <w:sz w:val="21"/>
              </w:rPr>
              <w:t>或最后一次复效</w:t>
            </w:r>
            <w:r>
              <w:rPr>
                <w:sz w:val="21"/>
              </w:rPr>
              <w:t>）之</w:t>
            </w:r>
            <w:r>
              <w:rPr>
                <w:spacing w:val="-23"/>
                <w:sz w:val="21"/>
              </w:rPr>
              <w:t>日 </w:t>
            </w:r>
            <w:r>
              <w:rPr>
                <w:sz w:val="21"/>
              </w:rPr>
              <w:t>24</w:t>
            </w:r>
            <w:r>
              <w:rPr>
                <w:spacing w:val="-24"/>
                <w:sz w:val="21"/>
              </w:rPr>
              <w:t> 时起 </w:t>
            </w:r>
            <w:r>
              <w:rPr>
                <w:sz w:val="21"/>
              </w:rPr>
              <w:t>180</w:t>
            </w:r>
            <w:r>
              <w:rPr>
                <w:spacing w:val="-8"/>
                <w:sz w:val="21"/>
              </w:rPr>
              <w:t> 天之后因意外伤害之外的原因导致</w:t>
            </w:r>
            <w:r>
              <w:rPr>
                <w:b/>
                <w:spacing w:val="-11"/>
                <w:sz w:val="21"/>
              </w:rPr>
              <w:t>初次发生</w:t>
            </w:r>
            <w:r>
              <w:rPr>
                <w:spacing w:val="-3"/>
                <w:sz w:val="21"/>
              </w:rPr>
              <w:t>（</w:t>
            </w:r>
            <w:r>
              <w:rPr>
                <w:spacing w:val="-22"/>
                <w:sz w:val="21"/>
              </w:rPr>
              <w:t>见 </w:t>
            </w:r>
            <w:r>
              <w:rPr>
                <w:spacing w:val="-10"/>
                <w:sz w:val="21"/>
              </w:rPr>
              <w:t>15.5）</w:t>
            </w:r>
            <w:r>
              <w:rPr>
                <w:spacing w:val="-3"/>
                <w:sz w:val="21"/>
              </w:rPr>
              <w:t>并经</w:t>
            </w:r>
            <w:r>
              <w:rPr>
                <w:b/>
                <w:spacing w:val="-21"/>
                <w:sz w:val="21"/>
              </w:rPr>
              <w:t>医院</w:t>
            </w:r>
            <w:r>
              <w:rPr>
                <w:spacing w:val="-3"/>
                <w:sz w:val="21"/>
              </w:rPr>
              <w:t>（见</w:t>
            </w:r>
          </w:p>
          <w:p>
            <w:pPr>
              <w:pStyle w:val="TableParagraph"/>
              <w:spacing w:line="237" w:lineRule="auto"/>
              <w:ind w:left="225" w:right="99"/>
              <w:jc w:val="both"/>
              <w:rPr>
                <w:sz w:val="21"/>
              </w:rPr>
            </w:pPr>
            <w:r>
              <w:rPr>
                <w:spacing w:val="-4"/>
                <w:sz w:val="21"/>
              </w:rPr>
              <w:t>15.6）</w:t>
            </w:r>
            <w:r>
              <w:rPr>
                <w:b/>
                <w:spacing w:val="-4"/>
                <w:sz w:val="21"/>
              </w:rPr>
              <w:t>专科医生</w:t>
            </w:r>
            <w:r>
              <w:rPr>
                <w:spacing w:val="-3"/>
                <w:sz w:val="21"/>
              </w:rPr>
              <w:t>（</w:t>
            </w:r>
            <w:r>
              <w:rPr>
                <w:spacing w:val="-18"/>
                <w:sz w:val="21"/>
              </w:rPr>
              <w:t>见 </w:t>
            </w:r>
            <w:r>
              <w:rPr>
                <w:spacing w:val="-5"/>
                <w:sz w:val="21"/>
              </w:rPr>
              <w:t>15.7）</w:t>
            </w:r>
            <w:r>
              <w:rPr>
                <w:b/>
                <w:spacing w:val="-4"/>
                <w:sz w:val="21"/>
              </w:rPr>
              <w:t>首次确诊</w:t>
            </w:r>
            <w:r>
              <w:rPr>
                <w:spacing w:val="-3"/>
                <w:sz w:val="21"/>
              </w:rPr>
              <w:t>（</w:t>
            </w:r>
            <w:r>
              <w:rPr>
                <w:spacing w:val="-18"/>
                <w:sz w:val="21"/>
              </w:rPr>
              <w:t>见 </w:t>
            </w:r>
            <w:r>
              <w:rPr>
                <w:spacing w:val="-4"/>
                <w:sz w:val="21"/>
              </w:rPr>
              <w:t>15.8）</w:t>
            </w:r>
            <w:r>
              <w:rPr>
                <w:spacing w:val="-3"/>
                <w:sz w:val="21"/>
              </w:rPr>
              <w:t>患有本附加合同所规定的任何危重疾病，我方将按本附加合同的基本保险金额向受益人给付危重疾病保险金，本附加</w:t>
            </w:r>
            <w:r>
              <w:rPr>
                <w:spacing w:val="-5"/>
                <w:sz w:val="21"/>
              </w:rPr>
              <w:t>合同及其所依附的主合同自该危重疾病首次确诊之日的 </w:t>
            </w:r>
            <w:r>
              <w:rPr>
                <w:sz w:val="21"/>
              </w:rPr>
              <w:t>24</w:t>
            </w:r>
            <w:r>
              <w:rPr>
                <w:spacing w:val="-7"/>
                <w:sz w:val="21"/>
              </w:rPr>
              <w:t> 时起效力终止。</w:t>
            </w:r>
          </w:p>
          <w:p>
            <w:pPr>
              <w:pStyle w:val="TableParagraph"/>
              <w:spacing w:line="237" w:lineRule="auto" w:before="65"/>
              <w:ind w:left="225" w:right="99"/>
              <w:jc w:val="both"/>
              <w:rPr>
                <w:sz w:val="21"/>
              </w:rPr>
            </w:pPr>
            <w:r>
              <w:rPr>
                <w:spacing w:val="-3"/>
                <w:sz w:val="21"/>
              </w:rPr>
              <w:t>如果被保险人因意外伤害之外的原因导致初次发生并经医院专科医生首次确诊患有本附加合同所规定的危重疾病，但初次发生危重疾病是在本附加合同生效（</w:t>
            </w:r>
            <w:r>
              <w:rPr>
                <w:sz w:val="21"/>
              </w:rPr>
              <w:t>或最后</w:t>
            </w:r>
            <w:r>
              <w:rPr>
                <w:spacing w:val="-2"/>
                <w:sz w:val="21"/>
              </w:rPr>
              <w:t>一次复效</w:t>
            </w:r>
            <w:r>
              <w:rPr>
                <w:spacing w:val="-17"/>
                <w:sz w:val="21"/>
              </w:rPr>
              <w:t>）</w:t>
            </w:r>
            <w:r>
              <w:rPr>
                <w:spacing w:val="-8"/>
                <w:sz w:val="21"/>
              </w:rPr>
              <w:t>之前、或者在本附加合同生效</w:t>
            </w:r>
            <w:r>
              <w:rPr>
                <w:spacing w:val="-3"/>
                <w:sz w:val="21"/>
              </w:rPr>
              <w:t>（或最后一次复效</w:t>
            </w:r>
            <w:r>
              <w:rPr>
                <w:spacing w:val="-17"/>
                <w:sz w:val="21"/>
              </w:rPr>
              <w:t>）</w:t>
            </w:r>
            <w:r>
              <w:rPr>
                <w:spacing w:val="-16"/>
                <w:sz w:val="21"/>
              </w:rPr>
              <w:t>之日 </w:t>
            </w:r>
            <w:r>
              <w:rPr>
                <w:sz w:val="21"/>
              </w:rPr>
              <w:t>24</w:t>
            </w:r>
            <w:r>
              <w:rPr>
                <w:spacing w:val="-24"/>
                <w:sz w:val="21"/>
              </w:rPr>
              <w:t> 时起 </w:t>
            </w:r>
            <w:r>
              <w:rPr>
                <w:sz w:val="21"/>
              </w:rPr>
              <w:t>180</w:t>
            </w:r>
            <w:r>
              <w:rPr>
                <w:spacing w:val="-15"/>
                <w:sz w:val="21"/>
              </w:rPr>
              <w:t> 天之</w:t>
            </w:r>
            <w:r>
              <w:rPr>
                <w:spacing w:val="-12"/>
                <w:sz w:val="21"/>
              </w:rPr>
              <w:t>内，我方将向投保人无息返还投保人累计已支付的本附加合同及其所依附的主合同</w:t>
            </w:r>
            <w:r>
              <w:rPr>
                <w:spacing w:val="-13"/>
                <w:sz w:val="21"/>
              </w:rPr>
              <w:t>的全部保险费，本附加合同及其所依附的主合同自该危重疾病首次确诊之日的 </w:t>
            </w:r>
            <w:r>
              <w:rPr>
                <w:sz w:val="21"/>
              </w:rPr>
              <w:t>24</w:t>
            </w:r>
            <w:r>
              <w:rPr>
                <w:spacing w:val="-17"/>
                <w:sz w:val="21"/>
              </w:rPr>
              <w:t> 时</w:t>
            </w:r>
            <w:r>
              <w:rPr>
                <w:spacing w:val="-8"/>
                <w:sz w:val="21"/>
              </w:rPr>
              <w:t>起效力终止。</w:t>
            </w:r>
          </w:p>
          <w:p>
            <w:pPr>
              <w:pStyle w:val="TableParagraph"/>
              <w:spacing w:before="61"/>
              <w:ind w:left="225"/>
              <w:rPr>
                <w:sz w:val="21"/>
              </w:rPr>
            </w:pPr>
            <w:r>
              <w:rPr>
                <w:sz w:val="21"/>
              </w:rPr>
              <w:t>二、轻症疾病保险金</w:t>
            </w:r>
          </w:p>
          <w:p>
            <w:pPr>
              <w:pStyle w:val="TableParagraph"/>
              <w:spacing w:line="273" w:lineRule="exact" w:before="59"/>
              <w:ind w:left="225"/>
              <w:rPr>
                <w:sz w:val="21"/>
              </w:rPr>
            </w:pPr>
            <w:r>
              <w:rPr>
                <w:spacing w:val="-6"/>
                <w:sz w:val="21"/>
              </w:rPr>
              <w:t>如果被保险人因意外伤害，或者在本附加合同生效</w:t>
            </w:r>
            <w:r>
              <w:rPr>
                <w:sz w:val="21"/>
              </w:rPr>
              <w:t>（</w:t>
            </w:r>
            <w:r>
              <w:rPr>
                <w:spacing w:val="-3"/>
                <w:sz w:val="21"/>
              </w:rPr>
              <w:t>或最后一次复效</w:t>
            </w:r>
            <w:r>
              <w:rPr>
                <w:spacing w:val="-25"/>
                <w:sz w:val="21"/>
              </w:rPr>
              <w:t>）</w:t>
            </w:r>
            <w:r>
              <w:rPr>
                <w:spacing w:val="-12"/>
                <w:sz w:val="21"/>
              </w:rPr>
              <w:t>之日 </w:t>
            </w:r>
            <w:r>
              <w:rPr>
                <w:sz w:val="21"/>
              </w:rPr>
              <w:t>24</w:t>
            </w:r>
            <w:r>
              <w:rPr>
                <w:spacing w:val="-12"/>
                <w:sz w:val="21"/>
              </w:rPr>
              <w:t> 时起</w:t>
            </w:r>
          </w:p>
          <w:p>
            <w:pPr>
              <w:pStyle w:val="TableParagraph"/>
              <w:spacing w:line="237" w:lineRule="auto" w:before="1"/>
              <w:ind w:left="225" w:right="99"/>
              <w:jc w:val="both"/>
              <w:rPr>
                <w:sz w:val="21"/>
              </w:rPr>
            </w:pPr>
            <w:r>
              <w:rPr>
                <w:sz w:val="21"/>
              </w:rPr>
              <w:t>180 天之后因意外伤害之外的原因导致初次发生并经医院专科医生首次确诊患有本</w:t>
            </w:r>
            <w:r>
              <w:rPr>
                <w:spacing w:val="0"/>
                <w:sz w:val="21"/>
              </w:rPr>
              <w:t>附加合同所规定的轻症疾病，我方将按本附加合同基本保险金额的 </w:t>
            </w:r>
            <w:r>
              <w:rPr>
                <w:sz w:val="21"/>
              </w:rPr>
              <w:t>20%</w:t>
            </w:r>
            <w:r>
              <w:rPr>
                <w:spacing w:val="-2"/>
                <w:sz w:val="21"/>
              </w:rPr>
              <w:t>向受益人给</w:t>
            </w:r>
            <w:r>
              <w:rPr>
                <w:spacing w:val="-8"/>
                <w:sz w:val="21"/>
              </w:rPr>
              <w:t>付轻症疾病保险金，该项保险责任自该轻症疾病首次确诊之日的 </w:t>
            </w:r>
            <w:r>
              <w:rPr>
                <w:sz w:val="21"/>
              </w:rPr>
              <w:t>24</w:t>
            </w:r>
            <w:r>
              <w:rPr>
                <w:spacing w:val="-13"/>
                <w:sz w:val="21"/>
              </w:rPr>
              <w:t> 时起终止，本附</w:t>
            </w:r>
            <w:r>
              <w:rPr>
                <w:spacing w:val="-6"/>
                <w:sz w:val="21"/>
              </w:rPr>
              <w:t>加合同继续有效。</w:t>
            </w:r>
          </w:p>
          <w:p>
            <w:pPr>
              <w:pStyle w:val="TableParagraph"/>
              <w:spacing w:line="237" w:lineRule="auto" w:before="62"/>
              <w:ind w:left="225" w:right="101"/>
              <w:jc w:val="both"/>
              <w:rPr>
                <w:sz w:val="21"/>
              </w:rPr>
            </w:pPr>
            <w:r>
              <w:rPr>
                <w:spacing w:val="-3"/>
                <w:sz w:val="21"/>
              </w:rPr>
              <w:t>如果被保险人因意外伤害之外的原因导致初次发生并经医院专科医生首次确诊患有本附加合同所规定的轻症疾病，但初次发生轻症疾病是在本附加合同生效（</w:t>
            </w:r>
            <w:r>
              <w:rPr>
                <w:sz w:val="21"/>
              </w:rPr>
              <w:t>或最后</w:t>
            </w:r>
            <w:r>
              <w:rPr>
                <w:spacing w:val="-2"/>
                <w:sz w:val="21"/>
              </w:rPr>
              <w:t>一次复效</w:t>
            </w:r>
            <w:r>
              <w:rPr>
                <w:spacing w:val="-17"/>
                <w:sz w:val="21"/>
              </w:rPr>
              <w:t>）</w:t>
            </w:r>
            <w:r>
              <w:rPr>
                <w:spacing w:val="-8"/>
                <w:sz w:val="21"/>
              </w:rPr>
              <w:t>之前、或者在本附加合同生效</w:t>
            </w:r>
            <w:r>
              <w:rPr>
                <w:spacing w:val="-3"/>
                <w:sz w:val="21"/>
              </w:rPr>
              <w:t>（或最后一次复效</w:t>
            </w:r>
            <w:r>
              <w:rPr>
                <w:spacing w:val="-17"/>
                <w:sz w:val="21"/>
              </w:rPr>
              <w:t>）</w:t>
            </w:r>
            <w:r>
              <w:rPr>
                <w:spacing w:val="-16"/>
                <w:sz w:val="21"/>
              </w:rPr>
              <w:t>之日 </w:t>
            </w:r>
            <w:r>
              <w:rPr>
                <w:sz w:val="21"/>
              </w:rPr>
              <w:t>24</w:t>
            </w:r>
            <w:r>
              <w:rPr>
                <w:spacing w:val="-24"/>
                <w:sz w:val="21"/>
              </w:rPr>
              <w:t> 时起 </w:t>
            </w:r>
            <w:r>
              <w:rPr>
                <w:sz w:val="21"/>
              </w:rPr>
              <w:t>180</w:t>
            </w:r>
            <w:r>
              <w:rPr>
                <w:spacing w:val="-15"/>
                <w:sz w:val="21"/>
              </w:rPr>
              <w:t> 天之</w:t>
            </w:r>
            <w:r>
              <w:rPr>
                <w:spacing w:val="-1"/>
                <w:sz w:val="21"/>
              </w:rPr>
              <w:t>内，</w:t>
            </w:r>
            <w:r>
              <w:rPr>
                <w:b/>
                <w:spacing w:val="-1"/>
                <w:sz w:val="21"/>
                <w:u w:val="single"/>
              </w:rPr>
              <w:t>我方不承担轻症疾病保险金给付责任</w:t>
            </w:r>
            <w:r>
              <w:rPr>
                <w:spacing w:val="-3"/>
                <w:sz w:val="21"/>
              </w:rPr>
              <w:t>，本附加合同继续有效。</w:t>
            </w:r>
          </w:p>
          <w:p>
            <w:pPr>
              <w:pStyle w:val="TableParagraph"/>
              <w:spacing w:line="237" w:lineRule="auto" w:before="64"/>
              <w:ind w:left="225" w:right="103"/>
              <w:jc w:val="both"/>
              <w:rPr>
                <w:b/>
                <w:sz w:val="21"/>
              </w:rPr>
            </w:pPr>
            <w:r>
              <w:rPr>
                <w:b/>
                <w:spacing w:val="-3"/>
                <w:sz w:val="21"/>
                <w:u w:val="single"/>
              </w:rPr>
              <w:t>如果被保险人在疾病首次确诊时已经超越轻症疾病的状态或阶段，我方将不承担轻</w:t>
            </w:r>
            <w:r>
              <w:rPr>
                <w:b/>
                <w:spacing w:val="-212"/>
                <w:sz w:val="21"/>
                <w:u w:val="single"/>
              </w:rPr>
              <w:t>症</w:t>
            </w:r>
            <w:r>
              <w:rPr>
                <w:b/>
                <w:spacing w:val="-1"/>
                <w:sz w:val="21"/>
                <w:u w:val="single"/>
              </w:rPr>
              <w:t>疾病保险金给付责任。</w:t>
            </w:r>
          </w:p>
          <w:p>
            <w:pPr>
              <w:pStyle w:val="TableParagraph"/>
              <w:spacing w:before="61"/>
              <w:ind w:left="225"/>
              <w:jc w:val="both"/>
              <w:rPr>
                <w:sz w:val="21"/>
              </w:rPr>
            </w:pPr>
            <w:r>
              <w:rPr>
                <w:sz w:val="21"/>
              </w:rPr>
              <w:t>轻症疾病保险金最多给付一次。</w:t>
            </w:r>
          </w:p>
        </w:tc>
      </w:tr>
      <w:tr>
        <w:trPr>
          <w:trHeight w:val="439" w:hRule="atLeast"/>
        </w:trPr>
        <w:tc>
          <w:tcPr>
            <w:tcW w:w="595" w:type="dxa"/>
          </w:tcPr>
          <w:p>
            <w:pPr>
              <w:pStyle w:val="TableParagraph"/>
              <w:spacing w:line="255" w:lineRule="exact" w:before="164"/>
              <w:ind w:left="107"/>
              <w:rPr>
                <w:b/>
                <w:sz w:val="21"/>
              </w:rPr>
            </w:pPr>
            <w:r>
              <w:rPr>
                <w:b/>
                <w:sz w:val="21"/>
              </w:rPr>
              <w:t>4.</w:t>
            </w:r>
          </w:p>
        </w:tc>
        <w:tc>
          <w:tcPr>
            <w:tcW w:w="1556" w:type="dxa"/>
          </w:tcPr>
          <w:p>
            <w:pPr>
              <w:pStyle w:val="TableParagraph"/>
              <w:spacing w:line="255" w:lineRule="exact" w:before="164"/>
              <w:ind w:left="276"/>
              <w:rPr>
                <w:b/>
                <w:sz w:val="21"/>
              </w:rPr>
            </w:pPr>
            <w:r>
              <w:rPr>
                <w:b/>
                <w:sz w:val="21"/>
              </w:rPr>
              <w:t>责任免除</w:t>
            </w:r>
          </w:p>
        </w:tc>
        <w:tc>
          <w:tcPr>
            <w:tcW w:w="7929" w:type="dxa"/>
          </w:tcPr>
          <w:p>
            <w:pPr>
              <w:pStyle w:val="TableParagraph"/>
              <w:spacing w:line="255" w:lineRule="exact" w:before="164"/>
              <w:ind w:left="225"/>
              <w:rPr>
                <w:b/>
                <w:sz w:val="21"/>
              </w:rPr>
            </w:pPr>
            <w:r>
              <w:rPr>
                <w:b/>
                <w:spacing w:val="-7"/>
                <w:sz w:val="21"/>
                <w:u w:val="single"/>
              </w:rPr>
              <w:t>因下列情形之一导致被保险人患有危重疾病或轻症疾病，我方将不给付任何保险金：</w:t>
            </w:r>
          </w:p>
        </w:tc>
      </w:tr>
    </w:tbl>
    <w:p>
      <w:pPr>
        <w:spacing w:after="0" w:line="255" w:lineRule="exact"/>
        <w:rPr>
          <w:sz w:val="21"/>
        </w:rPr>
        <w:sectPr>
          <w:pgSz w:w="11910" w:h="16840"/>
          <w:pgMar w:header="0" w:footer="809" w:top="1100" w:bottom="1080" w:left="86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1622"/>
        <w:gridCol w:w="7811"/>
      </w:tblGrid>
      <w:tr>
        <w:trPr>
          <w:trHeight w:val="5356" w:hRule="atLeast"/>
        </w:trPr>
        <w:tc>
          <w:tcPr>
            <w:tcW w:w="648" w:type="dxa"/>
          </w:tcPr>
          <w:p>
            <w:pPr>
              <w:pStyle w:val="TableParagraph"/>
              <w:rPr>
                <w:rFonts w:ascii="Times New Roman"/>
                <w:sz w:val="20"/>
              </w:rPr>
            </w:pPr>
          </w:p>
        </w:tc>
        <w:tc>
          <w:tcPr>
            <w:tcW w:w="1622" w:type="dxa"/>
          </w:tcPr>
          <w:p>
            <w:pPr>
              <w:pStyle w:val="TableParagraph"/>
              <w:rPr>
                <w:rFonts w:ascii="Times New Roman"/>
                <w:sz w:val="20"/>
              </w:rPr>
            </w:pPr>
          </w:p>
        </w:tc>
        <w:tc>
          <w:tcPr>
            <w:tcW w:w="7811" w:type="dxa"/>
          </w:tcPr>
          <w:p>
            <w:pPr>
              <w:pStyle w:val="TableParagraph"/>
              <w:spacing w:line="211" w:lineRule="exact"/>
              <w:ind w:left="106"/>
              <w:jc w:val="both"/>
              <w:rPr>
                <w:b/>
                <w:sz w:val="21"/>
              </w:rPr>
            </w:pPr>
            <w:r>
              <w:rPr>
                <w:b/>
                <w:sz w:val="21"/>
                <w:u w:val="single"/>
              </w:rPr>
              <w:t>一、投保人对被保险人的故意杀害、故意伤害；</w:t>
            </w:r>
          </w:p>
          <w:p>
            <w:pPr>
              <w:pStyle w:val="TableParagraph"/>
              <w:spacing w:before="61"/>
              <w:ind w:left="106"/>
              <w:jc w:val="both"/>
              <w:rPr>
                <w:b/>
                <w:sz w:val="21"/>
              </w:rPr>
            </w:pPr>
            <w:r>
              <w:rPr>
                <w:b/>
                <w:sz w:val="21"/>
                <w:u w:val="single"/>
              </w:rPr>
              <w:t>二、被保险人故意自伤、故意犯罪或拒捕；</w:t>
            </w:r>
          </w:p>
          <w:p>
            <w:pPr>
              <w:pStyle w:val="TableParagraph"/>
              <w:spacing w:before="59"/>
              <w:ind w:left="106"/>
              <w:jc w:val="both"/>
              <w:rPr>
                <w:b/>
                <w:sz w:val="21"/>
              </w:rPr>
            </w:pPr>
            <w:r>
              <w:rPr>
                <w:b/>
                <w:sz w:val="21"/>
                <w:u w:val="single"/>
              </w:rPr>
              <w:t>三、被保险人服用、吸食或注射毒品(见 15.9)；</w:t>
            </w:r>
          </w:p>
          <w:p>
            <w:pPr>
              <w:pStyle w:val="TableParagraph"/>
              <w:spacing w:line="274" w:lineRule="exact" w:before="58"/>
              <w:ind w:left="106"/>
              <w:jc w:val="both"/>
              <w:rPr>
                <w:b/>
                <w:sz w:val="21"/>
              </w:rPr>
            </w:pPr>
            <w:r>
              <w:rPr>
                <w:b/>
                <w:sz w:val="21"/>
                <w:u w:val="single"/>
              </w:rPr>
              <w:t>四、被保险人所患遗传性疾病(见 15.10)，先天性畸形、变形或染色体异常(见</w:t>
            </w:r>
          </w:p>
          <w:p>
            <w:pPr>
              <w:pStyle w:val="TableParagraph"/>
              <w:spacing w:line="274" w:lineRule="exact"/>
              <w:ind w:left="106"/>
              <w:jc w:val="both"/>
              <w:rPr>
                <w:b/>
                <w:sz w:val="21"/>
              </w:rPr>
            </w:pPr>
            <w:r>
              <w:rPr>
                <w:b/>
                <w:sz w:val="21"/>
                <w:u w:val="single"/>
              </w:rPr>
              <w:t>15.11)。</w:t>
            </w:r>
          </w:p>
          <w:p>
            <w:pPr>
              <w:pStyle w:val="TableParagraph"/>
              <w:spacing w:before="59"/>
              <w:ind w:left="106" w:right="102"/>
              <w:jc w:val="both"/>
              <w:rPr>
                <w:b/>
                <w:sz w:val="21"/>
              </w:rPr>
            </w:pPr>
            <w:r>
              <w:rPr>
                <w:b/>
                <w:spacing w:val="-11"/>
                <w:sz w:val="21"/>
                <w:u w:val="single"/>
              </w:rPr>
              <w:t>五、被保险人酒后驾驶(见 </w:t>
            </w:r>
            <w:r>
              <w:rPr>
                <w:b/>
                <w:sz w:val="21"/>
                <w:u w:val="single"/>
              </w:rPr>
              <w:t>15.12</w:t>
            </w:r>
            <w:r>
              <w:rPr>
                <w:b/>
                <w:spacing w:val="-9"/>
                <w:sz w:val="21"/>
                <w:u w:val="single"/>
              </w:rPr>
              <w:t>)、无合法有效驾驶证驾驶(见 </w:t>
            </w:r>
            <w:r>
              <w:rPr>
                <w:b/>
                <w:spacing w:val="-5"/>
                <w:sz w:val="21"/>
                <w:u w:val="single"/>
              </w:rPr>
              <w:t>15.13)</w:t>
            </w:r>
            <w:r>
              <w:rPr>
                <w:b/>
                <w:spacing w:val="-3"/>
                <w:sz w:val="21"/>
                <w:u w:val="single"/>
              </w:rPr>
              <w:t>，或驾驶无有</w:t>
            </w:r>
            <w:r>
              <w:rPr>
                <w:b/>
                <w:spacing w:val="-25"/>
                <w:sz w:val="21"/>
                <w:u w:val="single"/>
              </w:rPr>
              <w:t>效行驶证(见 </w:t>
            </w:r>
            <w:r>
              <w:rPr>
                <w:b/>
                <w:sz w:val="21"/>
                <w:u w:val="single"/>
              </w:rPr>
              <w:t>15.14)的机动车；</w:t>
            </w:r>
          </w:p>
          <w:p>
            <w:pPr>
              <w:pStyle w:val="TableParagraph"/>
              <w:spacing w:line="237" w:lineRule="auto" w:before="61"/>
              <w:ind w:left="106" w:right="106"/>
              <w:jc w:val="both"/>
              <w:rPr>
                <w:b/>
                <w:sz w:val="21"/>
              </w:rPr>
            </w:pPr>
            <w:r>
              <w:rPr>
                <w:b/>
                <w:spacing w:val="-8"/>
                <w:sz w:val="21"/>
                <w:u w:val="single"/>
              </w:rPr>
              <w:t>六、被保险人感染艾滋病病毒或患艾滋病(见 </w:t>
            </w:r>
            <w:r>
              <w:rPr>
                <w:b/>
                <w:sz w:val="21"/>
                <w:u w:val="single"/>
              </w:rPr>
              <w:t>15.15</w:t>
            </w:r>
            <w:r>
              <w:rPr>
                <w:b/>
                <w:spacing w:val="-11"/>
                <w:sz w:val="21"/>
                <w:u w:val="single"/>
              </w:rPr>
              <w:t>) </w:t>
            </w:r>
            <w:r>
              <w:rPr>
                <w:b/>
                <w:sz w:val="21"/>
                <w:u w:val="single"/>
              </w:rPr>
              <w:t>（</w:t>
            </w:r>
            <w:r>
              <w:rPr>
                <w:b/>
                <w:spacing w:val="-1"/>
                <w:sz w:val="21"/>
                <w:u w:val="single"/>
              </w:rPr>
              <w:t>本附加合同所规定的危重疾</w:t>
            </w:r>
            <w:r>
              <w:rPr>
                <w:b/>
                <w:spacing w:val="-1"/>
                <w:w w:val="100"/>
                <w:sz w:val="21"/>
                <w:u w:val="single"/>
              </w:rPr>
              <w:t>病中第</w:t>
            </w:r>
            <w:r>
              <w:rPr>
                <w:b/>
                <w:spacing w:val="-54"/>
                <w:sz w:val="21"/>
                <w:u w:val="single"/>
              </w:rPr>
              <w:t> </w:t>
            </w:r>
            <w:r>
              <w:rPr>
                <w:b/>
                <w:w w:val="99"/>
                <w:sz w:val="21"/>
                <w:u w:val="single"/>
              </w:rPr>
              <w:t>35</w:t>
            </w:r>
            <w:r>
              <w:rPr>
                <w:b/>
                <w:w w:val="100"/>
                <w:sz w:val="21"/>
                <w:u w:val="single"/>
              </w:rPr>
              <w:t>、</w:t>
            </w:r>
            <w:r>
              <w:rPr>
                <w:b/>
                <w:w w:val="99"/>
                <w:sz w:val="21"/>
                <w:u w:val="single"/>
              </w:rPr>
              <w:t>57</w:t>
            </w:r>
            <w:r>
              <w:rPr>
                <w:b/>
                <w:spacing w:val="-54"/>
                <w:sz w:val="21"/>
                <w:u w:val="single"/>
              </w:rPr>
              <w:t> </w:t>
            </w:r>
            <w:r>
              <w:rPr>
                <w:b/>
                <w:spacing w:val="-1"/>
                <w:w w:val="100"/>
                <w:sz w:val="21"/>
                <w:u w:val="single"/>
              </w:rPr>
              <w:t>种疾病除外</w:t>
            </w:r>
            <w:r>
              <w:rPr>
                <w:b/>
                <w:spacing w:val="-106"/>
                <w:w w:val="100"/>
                <w:sz w:val="21"/>
                <w:u w:val="single"/>
              </w:rPr>
              <w:t>）</w:t>
            </w:r>
            <w:r>
              <w:rPr>
                <w:b/>
                <w:w w:val="100"/>
                <w:sz w:val="21"/>
                <w:u w:val="single"/>
              </w:rPr>
              <w:t>；</w:t>
            </w:r>
          </w:p>
          <w:p>
            <w:pPr>
              <w:pStyle w:val="TableParagraph"/>
              <w:spacing w:line="290" w:lineRule="auto" w:before="61"/>
              <w:ind w:left="106" w:right="2901"/>
              <w:rPr>
                <w:b/>
                <w:sz w:val="21"/>
              </w:rPr>
            </w:pPr>
            <w:r>
              <w:rPr>
                <w:b/>
                <w:spacing w:val="-7"/>
                <w:sz w:val="21"/>
                <w:u w:val="single"/>
              </w:rPr>
              <w:t>七、战争(见 </w:t>
            </w:r>
            <w:r>
              <w:rPr>
                <w:b/>
                <w:sz w:val="21"/>
                <w:u w:val="single"/>
              </w:rPr>
              <w:t>15.16)</w:t>
            </w:r>
            <w:r>
              <w:rPr>
                <w:b/>
                <w:spacing w:val="-2"/>
                <w:sz w:val="21"/>
                <w:u w:val="single"/>
              </w:rPr>
              <w:t>、军事冲突、暴乱或武装叛乱； </w:t>
            </w:r>
            <w:r>
              <w:rPr>
                <w:b/>
                <w:spacing w:val="-3"/>
                <w:sz w:val="21"/>
                <w:u w:val="single"/>
              </w:rPr>
              <w:t>八、核爆炸、核辐射或</w:t>
            </w:r>
            <w:r>
              <w:rPr>
                <w:b/>
                <w:spacing w:val="-212"/>
                <w:sz w:val="21"/>
                <w:u w:val="single"/>
              </w:rPr>
              <w:t>核</w:t>
            </w:r>
            <w:r>
              <w:rPr>
                <w:b/>
                <w:sz w:val="21"/>
                <w:u w:val="single"/>
              </w:rPr>
              <w:t>污染。</w:t>
            </w:r>
          </w:p>
          <w:p>
            <w:pPr>
              <w:pStyle w:val="TableParagraph"/>
              <w:spacing w:line="237" w:lineRule="auto" w:before="17"/>
              <w:ind w:left="106" w:right="106"/>
              <w:jc w:val="both"/>
              <w:rPr>
                <w:b/>
                <w:sz w:val="21"/>
              </w:rPr>
            </w:pPr>
            <w:r>
              <w:rPr>
                <w:b/>
                <w:spacing w:val="-3"/>
                <w:sz w:val="21"/>
                <w:u w:val="single"/>
              </w:rPr>
              <w:t>发生上述第一项情形导致被保险人患有危重疾病或轻症疾病的，本附加合同及其所</w:t>
            </w:r>
            <w:r>
              <w:rPr>
                <w:b/>
                <w:spacing w:val="-6"/>
                <w:sz w:val="21"/>
                <w:u w:val="single"/>
              </w:rPr>
              <w:t>依附的主合同效力终止；投保人已交足 </w:t>
            </w:r>
            <w:r>
              <w:rPr>
                <w:b/>
                <w:sz w:val="21"/>
                <w:u w:val="single"/>
              </w:rPr>
              <w:t>2</w:t>
            </w:r>
            <w:r>
              <w:rPr>
                <w:b/>
                <w:spacing w:val="-8"/>
                <w:sz w:val="21"/>
                <w:u w:val="single"/>
              </w:rPr>
              <w:t> 年以上保险费的，我方向受益人退还</w:t>
            </w:r>
            <w:r>
              <w:rPr>
                <w:b/>
                <w:spacing w:val="-212"/>
                <w:sz w:val="21"/>
                <w:u w:val="single"/>
              </w:rPr>
              <w:t>本</w:t>
            </w:r>
            <w:r>
              <w:rPr>
                <w:b/>
                <w:sz w:val="21"/>
                <w:u w:val="single"/>
              </w:rPr>
              <w:t>附加合同的现金价值</w:t>
            </w:r>
            <w:r>
              <w:rPr>
                <w:b/>
                <w:spacing w:val="-3"/>
                <w:sz w:val="21"/>
                <w:u w:val="single"/>
              </w:rPr>
              <w:t>（</w:t>
            </w:r>
            <w:r>
              <w:rPr>
                <w:b/>
                <w:spacing w:val="-25"/>
                <w:sz w:val="21"/>
                <w:u w:val="single"/>
              </w:rPr>
              <w:t>见 </w:t>
            </w:r>
            <w:r>
              <w:rPr>
                <w:b/>
                <w:sz w:val="21"/>
                <w:u w:val="single"/>
              </w:rPr>
              <w:t>15.17）</w:t>
            </w:r>
            <w:r>
              <w:rPr>
                <w:b/>
                <w:spacing w:val="-1"/>
                <w:sz w:val="21"/>
                <w:u w:val="single"/>
              </w:rPr>
              <w:t>扣除未还款项后的余额。</w:t>
            </w:r>
          </w:p>
          <w:p>
            <w:pPr>
              <w:pStyle w:val="TableParagraph"/>
              <w:spacing w:line="237" w:lineRule="auto" w:before="64"/>
              <w:ind w:left="106" w:right="104"/>
              <w:jc w:val="both"/>
              <w:rPr>
                <w:b/>
                <w:sz w:val="21"/>
              </w:rPr>
            </w:pPr>
            <w:r>
              <w:rPr>
                <w:b/>
                <w:spacing w:val="-3"/>
                <w:sz w:val="21"/>
                <w:u w:val="single"/>
              </w:rPr>
              <w:t>发生上述其他情形导致被保险人患有危重疾病或轻症疾病的，本附加合同及其所依附的主合同效力终止，我方向投保人退还本附加合同现金价值扣除未还款项后的余</w:t>
            </w:r>
            <w:r>
              <w:rPr>
                <w:b/>
                <w:spacing w:val="-212"/>
                <w:sz w:val="21"/>
                <w:u w:val="single"/>
              </w:rPr>
              <w:t>额</w:t>
            </w:r>
            <w:r>
              <w:rPr>
                <w:b/>
                <w:sz w:val="21"/>
                <w:u w:val="single"/>
              </w:rPr>
              <w:t>。</w:t>
            </w:r>
          </w:p>
        </w:tc>
      </w:tr>
      <w:tr>
        <w:trPr>
          <w:trHeight w:val="472" w:hRule="atLeast"/>
        </w:trPr>
        <w:tc>
          <w:tcPr>
            <w:tcW w:w="648" w:type="dxa"/>
            <w:tcBorders>
              <w:bottom w:val="single" w:sz="4" w:space="0" w:color="000000"/>
            </w:tcBorders>
          </w:tcPr>
          <w:p>
            <w:pPr>
              <w:pStyle w:val="TableParagraph"/>
              <w:rPr>
                <w:rFonts w:ascii="Times New Roman"/>
                <w:sz w:val="20"/>
              </w:rPr>
            </w:pPr>
          </w:p>
        </w:tc>
        <w:tc>
          <w:tcPr>
            <w:tcW w:w="1622" w:type="dxa"/>
            <w:tcBorders>
              <w:bottom w:val="single" w:sz="4" w:space="0" w:color="000000"/>
            </w:tcBorders>
          </w:tcPr>
          <w:p>
            <w:pPr>
              <w:pStyle w:val="TableParagraph"/>
              <w:rPr>
                <w:rFonts w:ascii="Times New Roman"/>
                <w:sz w:val="20"/>
              </w:rPr>
            </w:pPr>
          </w:p>
        </w:tc>
        <w:tc>
          <w:tcPr>
            <w:tcW w:w="7811" w:type="dxa"/>
            <w:tcBorders>
              <w:bottom w:val="single" w:sz="4" w:space="0" w:color="000000"/>
            </w:tcBorders>
          </w:tcPr>
          <w:p>
            <w:pPr>
              <w:pStyle w:val="TableParagraph"/>
              <w:tabs>
                <w:tab w:pos="1609" w:val="left" w:leader="none"/>
              </w:tabs>
              <w:spacing w:before="165"/>
              <w:ind w:left="766"/>
              <w:rPr>
                <w:b/>
                <w:sz w:val="21"/>
              </w:rPr>
            </w:pPr>
            <w:r>
              <w:rPr>
                <w:b/>
                <w:sz w:val="21"/>
              </w:rPr>
              <w:t>第三章</w:t>
              <w:tab/>
              <w:t>保险期间、基</w:t>
            </w:r>
            <w:r>
              <w:rPr>
                <w:b/>
                <w:spacing w:val="-3"/>
                <w:sz w:val="21"/>
              </w:rPr>
              <w:t>本</w:t>
            </w:r>
            <w:r>
              <w:rPr>
                <w:b/>
                <w:sz w:val="21"/>
              </w:rPr>
              <w:t>保险金额及保险费</w:t>
            </w:r>
          </w:p>
        </w:tc>
      </w:tr>
      <w:tr>
        <w:trPr>
          <w:trHeight w:val="531" w:hRule="atLeast"/>
        </w:trPr>
        <w:tc>
          <w:tcPr>
            <w:tcW w:w="648" w:type="dxa"/>
            <w:tcBorders>
              <w:top w:val="single" w:sz="4" w:space="0" w:color="000000"/>
            </w:tcBorders>
          </w:tcPr>
          <w:p>
            <w:pPr>
              <w:pStyle w:val="TableParagraph"/>
              <w:spacing w:before="28"/>
              <w:ind w:left="107"/>
              <w:rPr>
                <w:b/>
                <w:sz w:val="21"/>
              </w:rPr>
            </w:pPr>
            <w:r>
              <w:rPr>
                <w:b/>
                <w:sz w:val="21"/>
              </w:rPr>
              <w:t>5.</w:t>
            </w:r>
          </w:p>
        </w:tc>
        <w:tc>
          <w:tcPr>
            <w:tcW w:w="1622" w:type="dxa"/>
            <w:tcBorders>
              <w:top w:val="single" w:sz="4" w:space="0" w:color="000000"/>
            </w:tcBorders>
          </w:tcPr>
          <w:p>
            <w:pPr>
              <w:pStyle w:val="TableParagraph"/>
              <w:spacing w:before="28"/>
              <w:ind w:left="223"/>
              <w:rPr>
                <w:b/>
                <w:sz w:val="21"/>
              </w:rPr>
            </w:pPr>
            <w:r>
              <w:rPr>
                <w:b/>
                <w:sz w:val="21"/>
              </w:rPr>
              <w:t>保险期间</w:t>
            </w:r>
          </w:p>
        </w:tc>
        <w:tc>
          <w:tcPr>
            <w:tcW w:w="7811" w:type="dxa"/>
            <w:tcBorders>
              <w:top w:val="single" w:sz="4" w:space="0" w:color="000000"/>
            </w:tcBorders>
          </w:tcPr>
          <w:p>
            <w:pPr>
              <w:pStyle w:val="TableParagraph"/>
              <w:spacing w:before="28"/>
              <w:ind w:left="106"/>
              <w:rPr>
                <w:sz w:val="21"/>
              </w:rPr>
            </w:pPr>
            <w:r>
              <w:rPr>
                <w:sz w:val="21"/>
              </w:rPr>
              <w:t>本附加合同的保险期间同主合同的保险期间。</w:t>
            </w:r>
          </w:p>
        </w:tc>
      </w:tr>
      <w:tr>
        <w:trPr>
          <w:trHeight w:val="668" w:hRule="atLeast"/>
        </w:trPr>
        <w:tc>
          <w:tcPr>
            <w:tcW w:w="648" w:type="dxa"/>
          </w:tcPr>
          <w:p>
            <w:pPr>
              <w:pStyle w:val="TableParagraph"/>
              <w:spacing w:before="164"/>
              <w:ind w:left="107"/>
              <w:rPr>
                <w:b/>
                <w:sz w:val="21"/>
              </w:rPr>
            </w:pPr>
            <w:r>
              <w:rPr>
                <w:b/>
                <w:sz w:val="21"/>
              </w:rPr>
              <w:t>6.</w:t>
            </w:r>
          </w:p>
        </w:tc>
        <w:tc>
          <w:tcPr>
            <w:tcW w:w="1622" w:type="dxa"/>
          </w:tcPr>
          <w:p>
            <w:pPr>
              <w:pStyle w:val="TableParagraph"/>
              <w:spacing w:before="164"/>
              <w:ind w:left="223"/>
              <w:rPr>
                <w:b/>
                <w:sz w:val="21"/>
              </w:rPr>
            </w:pPr>
            <w:r>
              <w:rPr>
                <w:b/>
                <w:sz w:val="21"/>
              </w:rPr>
              <w:t>基本保险金额</w:t>
            </w:r>
          </w:p>
        </w:tc>
        <w:tc>
          <w:tcPr>
            <w:tcW w:w="7811" w:type="dxa"/>
          </w:tcPr>
          <w:p>
            <w:pPr>
              <w:pStyle w:val="TableParagraph"/>
              <w:spacing w:before="164"/>
              <w:ind w:left="106"/>
              <w:rPr>
                <w:sz w:val="21"/>
              </w:rPr>
            </w:pPr>
            <w:r>
              <w:rPr>
                <w:sz w:val="21"/>
              </w:rPr>
              <w:t>本附加合同的基本保险金额由您方和我方在投保时约定，并在保险单上载明。</w:t>
            </w:r>
          </w:p>
        </w:tc>
      </w:tr>
      <w:tr>
        <w:trPr>
          <w:trHeight w:val="669" w:hRule="atLeast"/>
        </w:trPr>
        <w:tc>
          <w:tcPr>
            <w:tcW w:w="648" w:type="dxa"/>
          </w:tcPr>
          <w:p>
            <w:pPr>
              <w:pStyle w:val="TableParagraph"/>
              <w:spacing w:before="165"/>
              <w:ind w:left="107"/>
              <w:rPr>
                <w:b/>
                <w:sz w:val="21"/>
              </w:rPr>
            </w:pPr>
            <w:r>
              <w:rPr>
                <w:b/>
                <w:sz w:val="21"/>
              </w:rPr>
              <w:t>7.</w:t>
            </w:r>
          </w:p>
        </w:tc>
        <w:tc>
          <w:tcPr>
            <w:tcW w:w="1622" w:type="dxa"/>
          </w:tcPr>
          <w:p>
            <w:pPr>
              <w:pStyle w:val="TableParagraph"/>
              <w:spacing w:before="165"/>
              <w:ind w:left="223"/>
              <w:rPr>
                <w:b/>
                <w:sz w:val="21"/>
              </w:rPr>
            </w:pPr>
            <w:r>
              <w:rPr>
                <w:b/>
                <w:sz w:val="21"/>
              </w:rPr>
              <w:t>保险费的支付</w:t>
            </w:r>
          </w:p>
        </w:tc>
        <w:tc>
          <w:tcPr>
            <w:tcW w:w="7811" w:type="dxa"/>
          </w:tcPr>
          <w:p>
            <w:pPr>
              <w:pStyle w:val="TableParagraph"/>
              <w:spacing w:before="165"/>
              <w:ind w:left="106"/>
              <w:rPr>
                <w:sz w:val="21"/>
              </w:rPr>
            </w:pPr>
            <w:r>
              <w:rPr>
                <w:sz w:val="21"/>
              </w:rPr>
              <w:t>本附加合同的交费方式和交费期间同主合同的交费方式和交费期间。</w:t>
            </w:r>
          </w:p>
        </w:tc>
      </w:tr>
      <w:tr>
        <w:trPr>
          <w:trHeight w:val="470" w:hRule="atLeast"/>
        </w:trPr>
        <w:tc>
          <w:tcPr>
            <w:tcW w:w="648" w:type="dxa"/>
            <w:tcBorders>
              <w:bottom w:val="single" w:sz="4" w:space="0" w:color="000000"/>
            </w:tcBorders>
          </w:tcPr>
          <w:p>
            <w:pPr>
              <w:pStyle w:val="TableParagraph"/>
              <w:rPr>
                <w:rFonts w:ascii="Times New Roman"/>
                <w:sz w:val="20"/>
              </w:rPr>
            </w:pPr>
          </w:p>
        </w:tc>
        <w:tc>
          <w:tcPr>
            <w:tcW w:w="1622" w:type="dxa"/>
            <w:tcBorders>
              <w:bottom w:val="single" w:sz="4" w:space="0" w:color="000000"/>
            </w:tcBorders>
          </w:tcPr>
          <w:p>
            <w:pPr>
              <w:pStyle w:val="TableParagraph"/>
              <w:rPr>
                <w:rFonts w:ascii="Times New Roman"/>
                <w:sz w:val="20"/>
              </w:rPr>
            </w:pPr>
          </w:p>
        </w:tc>
        <w:tc>
          <w:tcPr>
            <w:tcW w:w="7811" w:type="dxa"/>
            <w:tcBorders>
              <w:bottom w:val="single" w:sz="4" w:space="0" w:color="000000"/>
            </w:tcBorders>
          </w:tcPr>
          <w:p>
            <w:pPr>
              <w:pStyle w:val="TableParagraph"/>
              <w:tabs>
                <w:tab w:pos="2665" w:val="left" w:leader="none"/>
              </w:tabs>
              <w:spacing w:before="165"/>
              <w:ind w:left="1820"/>
              <w:rPr>
                <w:b/>
                <w:sz w:val="21"/>
              </w:rPr>
            </w:pPr>
            <w:r>
              <w:rPr>
                <w:b/>
                <w:sz w:val="21"/>
              </w:rPr>
              <w:t>第四章</w:t>
              <w:tab/>
              <w:t>保险金申领</w:t>
            </w:r>
          </w:p>
        </w:tc>
      </w:tr>
      <w:tr>
        <w:trPr>
          <w:trHeight w:val="803" w:hRule="atLeast"/>
        </w:trPr>
        <w:tc>
          <w:tcPr>
            <w:tcW w:w="648" w:type="dxa"/>
            <w:tcBorders>
              <w:top w:val="single" w:sz="4" w:space="0" w:color="000000"/>
            </w:tcBorders>
          </w:tcPr>
          <w:p>
            <w:pPr>
              <w:pStyle w:val="TableParagraph"/>
              <w:spacing w:before="28"/>
              <w:ind w:left="107"/>
              <w:rPr>
                <w:b/>
                <w:sz w:val="21"/>
              </w:rPr>
            </w:pPr>
            <w:r>
              <w:rPr>
                <w:b/>
                <w:sz w:val="21"/>
              </w:rPr>
              <w:t>8.</w:t>
            </w:r>
          </w:p>
        </w:tc>
        <w:tc>
          <w:tcPr>
            <w:tcW w:w="1622" w:type="dxa"/>
            <w:tcBorders>
              <w:top w:val="single" w:sz="4" w:space="0" w:color="000000"/>
            </w:tcBorders>
          </w:tcPr>
          <w:p>
            <w:pPr>
              <w:pStyle w:val="TableParagraph"/>
              <w:spacing w:before="28"/>
              <w:ind w:left="223"/>
              <w:rPr>
                <w:b/>
                <w:sz w:val="21"/>
              </w:rPr>
            </w:pPr>
            <w:r>
              <w:rPr>
                <w:b/>
                <w:sz w:val="21"/>
              </w:rPr>
              <w:t>诉讼时效</w:t>
            </w:r>
          </w:p>
        </w:tc>
        <w:tc>
          <w:tcPr>
            <w:tcW w:w="7811" w:type="dxa"/>
            <w:tcBorders>
              <w:top w:val="single" w:sz="4" w:space="0" w:color="000000"/>
            </w:tcBorders>
          </w:tcPr>
          <w:p>
            <w:pPr>
              <w:pStyle w:val="TableParagraph"/>
              <w:spacing w:line="237" w:lineRule="auto" w:before="31"/>
              <w:ind w:left="106" w:right="29"/>
              <w:rPr>
                <w:sz w:val="21"/>
              </w:rPr>
            </w:pPr>
            <w:r>
              <w:rPr>
                <w:sz w:val="21"/>
              </w:rPr>
              <w:t>受益人向我方请求给付保险金的诉讼时效期间为 2 年，自其知道或应当知道保险事故发生之日起计算。</w:t>
            </w:r>
          </w:p>
        </w:tc>
      </w:tr>
      <w:tr>
        <w:trPr>
          <w:trHeight w:val="2551" w:hRule="atLeast"/>
        </w:trPr>
        <w:tc>
          <w:tcPr>
            <w:tcW w:w="648" w:type="dxa"/>
          </w:tcPr>
          <w:p>
            <w:pPr>
              <w:pStyle w:val="TableParagraph"/>
              <w:spacing w:before="165"/>
              <w:ind w:left="107"/>
              <w:rPr>
                <w:b/>
                <w:sz w:val="21"/>
              </w:rPr>
            </w:pPr>
            <w:r>
              <w:rPr>
                <w:b/>
                <w:sz w:val="21"/>
              </w:rPr>
              <w:t>9.</w:t>
            </w:r>
          </w:p>
        </w:tc>
        <w:tc>
          <w:tcPr>
            <w:tcW w:w="1622" w:type="dxa"/>
          </w:tcPr>
          <w:p>
            <w:pPr>
              <w:pStyle w:val="TableParagraph"/>
              <w:spacing w:line="237" w:lineRule="auto" w:before="168"/>
              <w:ind w:left="223" w:right="107"/>
              <w:rPr>
                <w:b/>
                <w:sz w:val="21"/>
              </w:rPr>
            </w:pPr>
            <w:r>
              <w:rPr>
                <w:b/>
                <w:sz w:val="21"/>
              </w:rPr>
              <w:t>保险金申领资料</w:t>
            </w:r>
          </w:p>
        </w:tc>
        <w:tc>
          <w:tcPr>
            <w:tcW w:w="7811" w:type="dxa"/>
          </w:tcPr>
          <w:p>
            <w:pPr>
              <w:pStyle w:val="TableParagraph"/>
              <w:spacing w:line="237" w:lineRule="auto" w:before="168"/>
              <w:ind w:left="106" w:right="100"/>
              <w:rPr>
                <w:sz w:val="21"/>
              </w:rPr>
            </w:pPr>
            <w:r>
              <w:rPr>
                <w:spacing w:val="-11"/>
                <w:sz w:val="21"/>
              </w:rPr>
              <w:t>申领危重疾病保险金或者轻症疾病保险金，申请人需填写《索赔申请表》，并提供下</w:t>
            </w:r>
            <w:r>
              <w:rPr>
                <w:spacing w:val="-6"/>
                <w:sz w:val="21"/>
              </w:rPr>
              <w:t>列所有证明和资料原件：</w:t>
            </w:r>
          </w:p>
          <w:p>
            <w:pPr>
              <w:pStyle w:val="TableParagraph"/>
              <w:spacing w:before="61"/>
              <w:ind w:left="106"/>
              <w:rPr>
                <w:sz w:val="21"/>
              </w:rPr>
            </w:pPr>
            <w:r>
              <w:rPr>
                <w:sz w:val="21"/>
              </w:rPr>
              <w:t>（1）保险合同；</w:t>
            </w:r>
          </w:p>
          <w:p>
            <w:pPr>
              <w:pStyle w:val="TableParagraph"/>
              <w:spacing w:before="58"/>
              <w:ind w:left="106"/>
              <w:rPr>
                <w:sz w:val="21"/>
              </w:rPr>
            </w:pPr>
            <w:r>
              <w:rPr>
                <w:sz w:val="21"/>
              </w:rPr>
              <w:t>（2）被保险人户籍证明及身份证明；</w:t>
            </w:r>
          </w:p>
          <w:p>
            <w:pPr>
              <w:pStyle w:val="TableParagraph"/>
              <w:spacing w:line="237" w:lineRule="auto" w:before="63"/>
              <w:ind w:left="106" w:right="100"/>
              <w:rPr>
                <w:sz w:val="21"/>
              </w:rPr>
            </w:pPr>
            <w:r>
              <w:rPr>
                <w:spacing w:val="-12"/>
                <w:sz w:val="21"/>
              </w:rPr>
              <w:t>（3）</w:t>
            </w:r>
            <w:r>
              <w:rPr>
                <w:spacing w:val="-6"/>
                <w:sz w:val="21"/>
              </w:rPr>
              <w:t>医院出具的疾病诊断证明书、完整的门诊及住院病历和确诊疾病必要的病理检</w:t>
            </w:r>
            <w:r>
              <w:rPr>
                <w:spacing w:val="-4"/>
                <w:sz w:val="21"/>
              </w:rPr>
              <w:t>验、血液检验、影像学检查及其他科学方法的检查报告；</w:t>
            </w:r>
          </w:p>
          <w:p>
            <w:pPr>
              <w:pStyle w:val="TableParagraph"/>
              <w:spacing w:before="58"/>
              <w:ind w:left="106"/>
              <w:rPr>
                <w:sz w:val="21"/>
              </w:rPr>
            </w:pPr>
            <w:r>
              <w:rPr>
                <w:sz w:val="21"/>
              </w:rPr>
              <w:t>（4）与确认保险事故的时间、性质、原因等相关的其他证明和资料。</w:t>
            </w:r>
          </w:p>
        </w:tc>
      </w:tr>
      <w:tr>
        <w:trPr>
          <w:trHeight w:val="1275" w:hRule="atLeast"/>
        </w:trPr>
        <w:tc>
          <w:tcPr>
            <w:tcW w:w="648" w:type="dxa"/>
          </w:tcPr>
          <w:p>
            <w:pPr>
              <w:pStyle w:val="TableParagraph"/>
              <w:spacing w:before="165"/>
              <w:ind w:left="107"/>
              <w:rPr>
                <w:b/>
                <w:sz w:val="21"/>
              </w:rPr>
            </w:pPr>
            <w:r>
              <w:rPr>
                <w:b/>
                <w:sz w:val="21"/>
              </w:rPr>
              <w:t>10.</w:t>
            </w:r>
          </w:p>
        </w:tc>
        <w:tc>
          <w:tcPr>
            <w:tcW w:w="1622" w:type="dxa"/>
          </w:tcPr>
          <w:p>
            <w:pPr>
              <w:pStyle w:val="TableParagraph"/>
              <w:spacing w:line="237" w:lineRule="auto" w:before="168"/>
              <w:ind w:left="223" w:right="102"/>
              <w:rPr>
                <w:b/>
                <w:sz w:val="21"/>
              </w:rPr>
            </w:pPr>
            <w:r>
              <w:rPr>
                <w:b/>
                <w:sz w:val="21"/>
              </w:rPr>
              <w:t>未还款项及其处理</w:t>
            </w:r>
          </w:p>
        </w:tc>
        <w:tc>
          <w:tcPr>
            <w:tcW w:w="7811" w:type="dxa"/>
          </w:tcPr>
          <w:p>
            <w:pPr>
              <w:pStyle w:val="TableParagraph"/>
              <w:spacing w:before="165"/>
              <w:ind w:left="106" w:right="-15"/>
              <w:rPr>
                <w:sz w:val="21"/>
              </w:rPr>
            </w:pPr>
            <w:r>
              <w:rPr>
                <w:spacing w:val="-3"/>
                <w:w w:val="100"/>
                <w:sz w:val="21"/>
              </w:rPr>
              <w:t>本附加合同之未还款项指您方在本附加合同项下的欠交保险费及其</w:t>
            </w:r>
            <w:r>
              <w:rPr>
                <w:b/>
                <w:spacing w:val="-53"/>
                <w:w w:val="100"/>
                <w:sz w:val="21"/>
              </w:rPr>
              <w:t>利息</w:t>
            </w:r>
            <w:r>
              <w:rPr>
                <w:spacing w:val="-3"/>
                <w:w w:val="100"/>
                <w:sz w:val="21"/>
              </w:rPr>
              <w:t>（</w:t>
            </w:r>
            <w:r>
              <w:rPr>
                <w:w w:val="100"/>
                <w:sz w:val="21"/>
              </w:rPr>
              <w:t>见</w:t>
            </w:r>
            <w:r>
              <w:rPr>
                <w:spacing w:val="-69"/>
                <w:sz w:val="21"/>
              </w:rPr>
              <w:t> </w:t>
            </w:r>
            <w:r>
              <w:rPr>
                <w:w w:val="100"/>
                <w:sz w:val="21"/>
              </w:rPr>
              <w:t>1</w:t>
            </w:r>
            <w:r>
              <w:rPr>
                <w:spacing w:val="-3"/>
                <w:w w:val="100"/>
                <w:sz w:val="21"/>
              </w:rPr>
              <w:t>5</w:t>
            </w:r>
            <w:r>
              <w:rPr>
                <w:w w:val="100"/>
                <w:sz w:val="21"/>
              </w:rPr>
              <w:t>.1</w:t>
            </w:r>
            <w:r>
              <w:rPr>
                <w:spacing w:val="-3"/>
                <w:w w:val="100"/>
                <w:sz w:val="21"/>
              </w:rPr>
              <w:t>8</w:t>
            </w:r>
            <w:r>
              <w:rPr>
                <w:spacing w:val="-108"/>
                <w:w w:val="100"/>
                <w:sz w:val="21"/>
              </w:rPr>
              <w:t>）</w:t>
            </w:r>
            <w:r>
              <w:rPr>
                <w:w w:val="100"/>
                <w:sz w:val="21"/>
              </w:rPr>
              <w:t>。</w:t>
            </w:r>
          </w:p>
          <w:p>
            <w:pPr>
              <w:pStyle w:val="TableParagraph"/>
              <w:spacing w:before="58"/>
              <w:ind w:left="106" w:right="106"/>
              <w:rPr>
                <w:sz w:val="21"/>
              </w:rPr>
            </w:pPr>
            <w:r>
              <w:rPr>
                <w:sz w:val="21"/>
              </w:rPr>
              <w:t>我方在给付保险金、退还现金价值或者退还保险费时，会先行扣除本附加合同的未还款项。</w:t>
            </w:r>
          </w:p>
        </w:tc>
      </w:tr>
      <w:tr>
        <w:trPr>
          <w:trHeight w:val="471" w:hRule="atLeast"/>
        </w:trPr>
        <w:tc>
          <w:tcPr>
            <w:tcW w:w="648" w:type="dxa"/>
            <w:tcBorders>
              <w:bottom w:val="single" w:sz="4" w:space="0" w:color="000000"/>
            </w:tcBorders>
          </w:tcPr>
          <w:p>
            <w:pPr>
              <w:pStyle w:val="TableParagraph"/>
              <w:rPr>
                <w:rFonts w:ascii="Times New Roman"/>
                <w:sz w:val="20"/>
              </w:rPr>
            </w:pPr>
          </w:p>
        </w:tc>
        <w:tc>
          <w:tcPr>
            <w:tcW w:w="1622" w:type="dxa"/>
            <w:tcBorders>
              <w:bottom w:val="single" w:sz="4" w:space="0" w:color="000000"/>
            </w:tcBorders>
          </w:tcPr>
          <w:p>
            <w:pPr>
              <w:pStyle w:val="TableParagraph"/>
              <w:rPr>
                <w:rFonts w:ascii="Times New Roman"/>
                <w:sz w:val="20"/>
              </w:rPr>
            </w:pPr>
          </w:p>
        </w:tc>
        <w:tc>
          <w:tcPr>
            <w:tcW w:w="7811" w:type="dxa"/>
            <w:tcBorders>
              <w:bottom w:val="single" w:sz="4" w:space="0" w:color="000000"/>
            </w:tcBorders>
          </w:tcPr>
          <w:p>
            <w:pPr>
              <w:pStyle w:val="TableParagraph"/>
              <w:spacing w:before="164"/>
              <w:ind w:left="1978"/>
              <w:rPr>
                <w:b/>
                <w:sz w:val="21"/>
              </w:rPr>
            </w:pPr>
            <w:r>
              <w:rPr>
                <w:b/>
                <w:sz w:val="21"/>
              </w:rPr>
              <w:t>第五章 其他规定</w:t>
            </w:r>
          </w:p>
        </w:tc>
      </w:tr>
      <w:tr>
        <w:trPr>
          <w:trHeight w:val="636" w:hRule="atLeast"/>
        </w:trPr>
        <w:tc>
          <w:tcPr>
            <w:tcW w:w="648" w:type="dxa"/>
            <w:tcBorders>
              <w:top w:val="single" w:sz="4" w:space="0" w:color="000000"/>
            </w:tcBorders>
          </w:tcPr>
          <w:p>
            <w:pPr>
              <w:pStyle w:val="TableParagraph"/>
              <w:spacing w:before="28"/>
              <w:ind w:left="107"/>
              <w:rPr>
                <w:b/>
                <w:sz w:val="21"/>
              </w:rPr>
            </w:pPr>
            <w:r>
              <w:rPr>
                <w:b/>
                <w:sz w:val="21"/>
              </w:rPr>
              <w:t>11.</w:t>
            </w:r>
          </w:p>
        </w:tc>
        <w:tc>
          <w:tcPr>
            <w:tcW w:w="1622" w:type="dxa"/>
            <w:tcBorders>
              <w:top w:val="single" w:sz="4" w:space="0" w:color="000000"/>
            </w:tcBorders>
          </w:tcPr>
          <w:p>
            <w:pPr>
              <w:pStyle w:val="TableParagraph"/>
              <w:spacing w:before="28"/>
              <w:ind w:left="223"/>
              <w:rPr>
                <w:b/>
                <w:sz w:val="21"/>
              </w:rPr>
            </w:pPr>
            <w:r>
              <w:rPr>
                <w:b/>
                <w:sz w:val="21"/>
              </w:rPr>
              <w:t>受益人</w:t>
            </w:r>
          </w:p>
        </w:tc>
        <w:tc>
          <w:tcPr>
            <w:tcW w:w="7811" w:type="dxa"/>
            <w:tcBorders>
              <w:top w:val="single" w:sz="4" w:space="0" w:color="000000"/>
            </w:tcBorders>
          </w:tcPr>
          <w:p>
            <w:pPr>
              <w:pStyle w:val="TableParagraph"/>
              <w:spacing w:line="334" w:lineRule="exact" w:before="6"/>
              <w:ind w:left="106" w:right="1605"/>
              <w:rPr>
                <w:sz w:val="21"/>
              </w:rPr>
            </w:pPr>
            <w:r>
              <w:rPr>
                <w:sz w:val="21"/>
              </w:rPr>
              <w:t>受益人是指由被保险人或者投保人指定的享有保险金请求权的人。除另有约定外，本附加合同的受益人均为被保险人本人。</w:t>
            </w:r>
          </w:p>
        </w:tc>
      </w:tr>
    </w:tbl>
    <w:p>
      <w:pPr>
        <w:spacing w:after="0" w:line="334" w:lineRule="exact"/>
        <w:rPr>
          <w:sz w:val="21"/>
        </w:rPr>
        <w:sectPr>
          <w:pgSz w:w="11910" w:h="16840"/>
          <w:pgMar w:header="0" w:footer="809" w:top="1200" w:bottom="1000" w:left="86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622"/>
        <w:gridCol w:w="8011"/>
      </w:tblGrid>
      <w:tr>
        <w:trPr>
          <w:trHeight w:val="440" w:hRule="atLeast"/>
        </w:trPr>
        <w:tc>
          <w:tcPr>
            <w:tcW w:w="740" w:type="dxa"/>
          </w:tcPr>
          <w:p>
            <w:pPr>
              <w:pStyle w:val="TableParagraph"/>
              <w:spacing w:line="211" w:lineRule="exact"/>
              <w:ind w:left="200"/>
              <w:rPr>
                <w:b/>
                <w:sz w:val="21"/>
              </w:rPr>
            </w:pPr>
            <w:r>
              <w:rPr>
                <w:b/>
                <w:sz w:val="21"/>
              </w:rPr>
              <w:t>12.</w:t>
            </w:r>
          </w:p>
        </w:tc>
        <w:tc>
          <w:tcPr>
            <w:tcW w:w="1622" w:type="dxa"/>
          </w:tcPr>
          <w:p>
            <w:pPr>
              <w:pStyle w:val="TableParagraph"/>
              <w:spacing w:line="211" w:lineRule="exact"/>
              <w:ind w:left="223"/>
              <w:rPr>
                <w:b/>
                <w:sz w:val="21"/>
              </w:rPr>
            </w:pPr>
            <w:r>
              <w:rPr>
                <w:b/>
                <w:sz w:val="21"/>
              </w:rPr>
              <w:t>保险单借款</w:t>
            </w:r>
          </w:p>
        </w:tc>
        <w:tc>
          <w:tcPr>
            <w:tcW w:w="8011" w:type="dxa"/>
          </w:tcPr>
          <w:p>
            <w:pPr>
              <w:pStyle w:val="TableParagraph"/>
              <w:spacing w:line="211" w:lineRule="exact"/>
              <w:ind w:left="106"/>
              <w:rPr>
                <w:sz w:val="21"/>
              </w:rPr>
            </w:pPr>
            <w:r>
              <w:rPr>
                <w:sz w:val="21"/>
              </w:rPr>
              <w:t>本附加合同不提供保险单借款。</w:t>
            </w:r>
          </w:p>
        </w:tc>
      </w:tr>
      <w:tr>
        <w:trPr>
          <w:trHeight w:val="13742" w:hRule="atLeast"/>
        </w:trPr>
        <w:tc>
          <w:tcPr>
            <w:tcW w:w="740" w:type="dxa"/>
          </w:tcPr>
          <w:p>
            <w:pPr>
              <w:pStyle w:val="TableParagraph"/>
              <w:spacing w:before="165"/>
              <w:ind w:left="200"/>
              <w:rPr>
                <w:b/>
                <w:sz w:val="21"/>
              </w:rPr>
            </w:pPr>
            <w:r>
              <w:rPr>
                <w:b/>
                <w:sz w:val="21"/>
              </w:rPr>
              <w:t>13.</w:t>
            </w:r>
          </w:p>
        </w:tc>
        <w:tc>
          <w:tcPr>
            <w:tcW w:w="1622" w:type="dxa"/>
          </w:tcPr>
          <w:p>
            <w:pPr>
              <w:pStyle w:val="TableParagraph"/>
              <w:spacing w:line="237" w:lineRule="auto" w:before="168"/>
              <w:ind w:left="223" w:right="102"/>
              <w:rPr>
                <w:b/>
                <w:sz w:val="21"/>
              </w:rPr>
            </w:pPr>
            <w:r>
              <w:rPr>
                <w:b/>
                <w:sz w:val="21"/>
              </w:rPr>
              <w:t>危重疾病的种类与定义</w:t>
            </w:r>
          </w:p>
        </w:tc>
        <w:tc>
          <w:tcPr>
            <w:tcW w:w="8011" w:type="dxa"/>
          </w:tcPr>
          <w:p>
            <w:pPr>
              <w:pStyle w:val="TableParagraph"/>
              <w:spacing w:before="4"/>
              <w:rPr>
                <w:b/>
                <w:sz w:val="14"/>
              </w:rPr>
            </w:pPr>
          </w:p>
          <w:p>
            <w:pPr>
              <w:pStyle w:val="TableParagraph"/>
              <w:ind w:left="106"/>
              <w:rPr>
                <w:sz w:val="21"/>
              </w:rPr>
            </w:pPr>
            <w:r>
              <w:rPr>
                <w:sz w:val="21"/>
              </w:rPr>
              <w:t>一、 恶性肿瘤</w:t>
            </w:r>
          </w:p>
          <w:p>
            <w:pPr>
              <w:pStyle w:val="TableParagraph"/>
              <w:spacing w:line="273" w:lineRule="auto" w:before="99"/>
              <w:ind w:left="106" w:right="197"/>
              <w:rPr>
                <w:sz w:val="21"/>
              </w:rPr>
            </w:pPr>
            <w:r>
              <w:rPr>
                <w:spacing w:val="-6"/>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w:t>
            </w:r>
            <w:r>
              <w:rPr>
                <w:spacing w:val="-4"/>
                <w:sz w:val="21"/>
              </w:rPr>
              <w:t>肿瘤范畴。</w:t>
            </w:r>
          </w:p>
          <w:p>
            <w:pPr>
              <w:pStyle w:val="TableParagraph"/>
              <w:spacing w:before="69"/>
              <w:ind w:left="106"/>
              <w:rPr>
                <w:b/>
                <w:sz w:val="21"/>
              </w:rPr>
            </w:pPr>
            <w:r>
              <w:rPr>
                <w:b/>
                <w:sz w:val="21"/>
                <w:u w:val="single"/>
              </w:rPr>
              <w:t>下列疾病不在保障范围内： </w:t>
            </w:r>
          </w:p>
          <w:p>
            <w:pPr>
              <w:pStyle w:val="TableParagraph"/>
              <w:spacing w:before="99"/>
              <w:ind w:left="106"/>
              <w:rPr>
                <w:b/>
                <w:sz w:val="21"/>
              </w:rPr>
            </w:pPr>
            <w:r>
              <w:rPr>
                <w:b/>
                <w:sz w:val="21"/>
                <w:u w:val="single"/>
              </w:rPr>
              <w:t>（一）原位癌（见 15.19）； </w:t>
            </w:r>
          </w:p>
          <w:p>
            <w:pPr>
              <w:pStyle w:val="TableParagraph"/>
              <w:spacing w:before="97"/>
              <w:ind w:left="106"/>
              <w:rPr>
                <w:b/>
                <w:sz w:val="21"/>
              </w:rPr>
            </w:pPr>
            <w:r>
              <w:rPr>
                <w:b/>
                <w:sz w:val="21"/>
                <w:u w:val="single"/>
              </w:rPr>
              <w:t>（二）相当于 Binet 分期方案 A 期程度的慢性淋巴细胞白血病；</w:t>
            </w:r>
          </w:p>
          <w:p>
            <w:pPr>
              <w:pStyle w:val="TableParagraph"/>
              <w:spacing w:before="99"/>
              <w:ind w:left="106"/>
              <w:rPr>
                <w:b/>
                <w:sz w:val="21"/>
              </w:rPr>
            </w:pPr>
            <w:r>
              <w:rPr>
                <w:b/>
                <w:sz w:val="21"/>
                <w:u w:val="single"/>
              </w:rPr>
              <w:t>（三）相当于 Ann Arbor 分期方案 I 期程度的何杰金氏病；</w:t>
            </w:r>
          </w:p>
          <w:p>
            <w:pPr>
              <w:pStyle w:val="TableParagraph"/>
              <w:spacing w:before="99"/>
              <w:ind w:left="106"/>
              <w:rPr>
                <w:b/>
                <w:sz w:val="21"/>
              </w:rPr>
            </w:pPr>
            <w:r>
              <w:rPr>
                <w:b/>
                <w:sz w:val="21"/>
                <w:u w:val="single"/>
              </w:rPr>
              <w:t>（四）皮肤癌（不包括恶性黑色素瘤及已发生转移的皮肤癌）； </w:t>
            </w:r>
          </w:p>
          <w:p>
            <w:pPr>
              <w:pStyle w:val="TableParagraph"/>
              <w:spacing w:before="100"/>
              <w:ind w:left="106"/>
              <w:rPr>
                <w:b/>
                <w:sz w:val="21"/>
              </w:rPr>
            </w:pPr>
            <w:r>
              <w:rPr>
                <w:b/>
                <w:sz w:val="21"/>
                <w:u w:val="single"/>
              </w:rPr>
              <w:t>（五）TNM 分期为 T1NOMO 期或更轻分期的前列腺癌；</w:t>
            </w:r>
          </w:p>
          <w:p>
            <w:pPr>
              <w:pStyle w:val="TableParagraph"/>
              <w:spacing w:before="99"/>
              <w:ind w:left="106"/>
              <w:rPr>
                <w:b/>
                <w:sz w:val="21"/>
              </w:rPr>
            </w:pPr>
            <w:r>
              <w:rPr>
                <w:b/>
                <w:sz w:val="21"/>
                <w:u w:val="single"/>
              </w:rPr>
              <w:t>（六）感染艾滋病病毒或患艾滋病期间所患恶性肿瘤。</w:t>
            </w:r>
          </w:p>
          <w:p>
            <w:pPr>
              <w:pStyle w:val="TableParagraph"/>
              <w:rPr>
                <w:b/>
                <w:sz w:val="20"/>
              </w:rPr>
            </w:pPr>
          </w:p>
          <w:p>
            <w:pPr>
              <w:pStyle w:val="TableParagraph"/>
              <w:spacing w:before="12"/>
              <w:rPr>
                <w:b/>
                <w:sz w:val="15"/>
              </w:rPr>
            </w:pPr>
          </w:p>
          <w:p>
            <w:pPr>
              <w:pStyle w:val="TableParagraph"/>
              <w:spacing w:before="1"/>
              <w:ind w:left="106"/>
              <w:rPr>
                <w:sz w:val="21"/>
              </w:rPr>
            </w:pPr>
            <w:r>
              <w:rPr>
                <w:sz w:val="21"/>
              </w:rPr>
              <w:t>二、 急性心肌梗塞</w:t>
            </w:r>
          </w:p>
          <w:p>
            <w:pPr>
              <w:pStyle w:val="TableParagraph"/>
              <w:spacing w:line="273" w:lineRule="auto" w:before="99"/>
              <w:ind w:left="106" w:right="306"/>
              <w:rPr>
                <w:sz w:val="21"/>
              </w:rPr>
            </w:pPr>
            <w:r>
              <w:rPr>
                <w:sz w:val="21"/>
              </w:rPr>
              <w:t>指因冠状动脉阻塞导致的相应区域供血不足造成部分心肌坏死。须满足下列至少三项条件：</w:t>
            </w:r>
          </w:p>
          <w:p>
            <w:pPr>
              <w:pStyle w:val="TableParagraph"/>
              <w:spacing w:before="69"/>
              <w:ind w:left="106"/>
              <w:rPr>
                <w:sz w:val="21"/>
              </w:rPr>
            </w:pPr>
            <w:r>
              <w:rPr>
                <w:sz w:val="21"/>
              </w:rPr>
              <w:t>（一）典型临床表现，例如急性胸痛等；</w:t>
            </w:r>
          </w:p>
          <w:p>
            <w:pPr>
              <w:pStyle w:val="TableParagraph"/>
              <w:spacing w:before="99"/>
              <w:ind w:left="106"/>
              <w:rPr>
                <w:sz w:val="21"/>
              </w:rPr>
            </w:pPr>
            <w:r>
              <w:rPr>
                <w:sz w:val="21"/>
              </w:rPr>
              <w:t>（二）新近的心电图改变提示急性心肌梗塞；</w:t>
            </w:r>
          </w:p>
          <w:p>
            <w:pPr>
              <w:pStyle w:val="TableParagraph"/>
              <w:spacing w:before="99"/>
              <w:ind w:left="106"/>
              <w:rPr>
                <w:sz w:val="21"/>
              </w:rPr>
            </w:pPr>
            <w:r>
              <w:rPr>
                <w:sz w:val="21"/>
              </w:rPr>
              <w:t>（三）心肌酶或肌钙蛋白有诊断意义的升高，或呈符合急性心肌梗塞的动态性变化；</w:t>
            </w:r>
          </w:p>
          <w:p>
            <w:pPr>
              <w:pStyle w:val="TableParagraph"/>
              <w:spacing w:before="99"/>
              <w:ind w:left="106"/>
              <w:rPr>
                <w:sz w:val="21"/>
              </w:rPr>
            </w:pPr>
            <w:r>
              <w:rPr>
                <w:sz w:val="21"/>
              </w:rPr>
              <w:t>（四）发病 90 天后，经检查证实左心室功能降低，如左心室射血分数低于 50％。</w:t>
            </w:r>
          </w:p>
          <w:p>
            <w:pPr>
              <w:pStyle w:val="TableParagraph"/>
              <w:rPr>
                <w:b/>
                <w:sz w:val="20"/>
              </w:rPr>
            </w:pPr>
          </w:p>
          <w:p>
            <w:pPr>
              <w:pStyle w:val="TableParagraph"/>
              <w:rPr>
                <w:b/>
                <w:sz w:val="16"/>
              </w:rPr>
            </w:pPr>
          </w:p>
          <w:p>
            <w:pPr>
              <w:pStyle w:val="TableParagraph"/>
              <w:spacing w:before="1"/>
              <w:ind w:left="106"/>
              <w:rPr>
                <w:sz w:val="21"/>
              </w:rPr>
            </w:pPr>
            <w:r>
              <w:rPr>
                <w:sz w:val="21"/>
              </w:rPr>
              <w:t>三、 脑中风后遗症</w:t>
            </w:r>
          </w:p>
          <w:p>
            <w:pPr>
              <w:pStyle w:val="TableParagraph"/>
              <w:spacing w:line="273" w:lineRule="auto" w:before="99"/>
              <w:ind w:left="106" w:right="300"/>
              <w:jc w:val="both"/>
              <w:rPr>
                <w:sz w:val="21"/>
              </w:rPr>
            </w:pPr>
            <w:r>
              <w:rPr>
                <w:spacing w:val="-3"/>
                <w:sz w:val="21"/>
              </w:rPr>
              <w:t>指因脑血管的突发病变引起脑血管出血、栓塞或梗塞，并导致神经系统永久性的功</w:t>
            </w:r>
            <w:r>
              <w:rPr>
                <w:spacing w:val="-4"/>
                <w:sz w:val="21"/>
              </w:rPr>
              <w:t>能障碍。神经系统永久性的功能障碍，指疾病确诊 </w:t>
            </w:r>
            <w:r>
              <w:rPr>
                <w:sz w:val="21"/>
              </w:rPr>
              <w:t>180</w:t>
            </w:r>
            <w:r>
              <w:rPr>
                <w:spacing w:val="-5"/>
                <w:sz w:val="21"/>
              </w:rPr>
              <w:t> 天后，仍遗留下列一种或一</w:t>
            </w:r>
            <w:r>
              <w:rPr>
                <w:spacing w:val="-4"/>
                <w:sz w:val="21"/>
              </w:rPr>
              <w:t>种以上障碍：</w:t>
            </w:r>
          </w:p>
          <w:p>
            <w:pPr>
              <w:pStyle w:val="TableParagraph"/>
              <w:spacing w:before="69"/>
              <w:ind w:left="106"/>
              <w:rPr>
                <w:sz w:val="21"/>
              </w:rPr>
            </w:pPr>
            <w:r>
              <w:rPr>
                <w:sz w:val="21"/>
              </w:rPr>
              <w:t>（一）一肢或一肢以上</w:t>
            </w:r>
            <w:r>
              <w:rPr>
                <w:b/>
                <w:sz w:val="21"/>
              </w:rPr>
              <w:t>肢体机能完全丧失</w:t>
            </w:r>
            <w:r>
              <w:rPr>
                <w:sz w:val="21"/>
              </w:rPr>
              <w:t>（见 15.20）；</w:t>
            </w:r>
          </w:p>
          <w:p>
            <w:pPr>
              <w:pStyle w:val="TableParagraph"/>
              <w:spacing w:before="99"/>
              <w:ind w:left="106"/>
              <w:rPr>
                <w:sz w:val="21"/>
              </w:rPr>
            </w:pPr>
            <w:r>
              <w:rPr>
                <w:sz w:val="21"/>
              </w:rPr>
              <w:t>（二）</w:t>
            </w:r>
            <w:r>
              <w:rPr>
                <w:b/>
                <w:sz w:val="21"/>
              </w:rPr>
              <w:t>语言能力或咀嚼吞咽能力完全丧失</w:t>
            </w:r>
            <w:r>
              <w:rPr>
                <w:sz w:val="21"/>
              </w:rPr>
              <w:t>（见 15.21）；</w:t>
            </w:r>
          </w:p>
          <w:p>
            <w:pPr>
              <w:pStyle w:val="TableParagraph"/>
              <w:spacing w:line="271" w:lineRule="auto" w:before="99"/>
              <w:ind w:left="106" w:right="300"/>
              <w:rPr>
                <w:sz w:val="21"/>
              </w:rPr>
            </w:pPr>
            <w:r>
              <w:rPr>
                <w:sz w:val="21"/>
              </w:rPr>
              <w:t>（三）自主生活能力完全丧失，无法独立完成</w:t>
            </w:r>
            <w:r>
              <w:rPr>
                <w:b/>
                <w:sz w:val="21"/>
              </w:rPr>
              <w:t>六项基本日常生活活动</w:t>
            </w:r>
            <w:r>
              <w:rPr>
                <w:sz w:val="21"/>
              </w:rPr>
              <w:t>（见 15.22） 中的三项或三项以上。</w:t>
            </w:r>
          </w:p>
          <w:p>
            <w:pPr>
              <w:pStyle w:val="TableParagraph"/>
              <w:rPr>
                <w:b/>
                <w:sz w:val="20"/>
              </w:rPr>
            </w:pPr>
          </w:p>
          <w:p>
            <w:pPr>
              <w:pStyle w:val="TableParagraph"/>
              <w:spacing w:before="1"/>
              <w:rPr>
                <w:b/>
                <w:sz w:val="14"/>
              </w:rPr>
            </w:pPr>
          </w:p>
          <w:p>
            <w:pPr>
              <w:pStyle w:val="TableParagraph"/>
              <w:ind w:left="106"/>
              <w:rPr>
                <w:sz w:val="21"/>
              </w:rPr>
            </w:pPr>
            <w:r>
              <w:rPr>
                <w:sz w:val="21"/>
              </w:rPr>
              <w:t>四、 重大器官移植术或造血干细胞移植术</w:t>
            </w:r>
          </w:p>
          <w:p>
            <w:pPr>
              <w:pStyle w:val="TableParagraph"/>
              <w:spacing w:line="273" w:lineRule="auto" w:before="100"/>
              <w:ind w:left="106" w:right="306"/>
              <w:rPr>
                <w:sz w:val="21"/>
              </w:rPr>
            </w:pPr>
            <w:r>
              <w:rPr>
                <w:sz w:val="21"/>
              </w:rPr>
              <w:t>重大器官移植术，指因相应器官功能衰竭，已经实施了肾脏、肝脏、心脏或肺脏的异体移植手术。</w:t>
            </w:r>
          </w:p>
          <w:p>
            <w:pPr>
              <w:pStyle w:val="TableParagraph"/>
              <w:spacing w:line="273" w:lineRule="auto" w:before="70"/>
              <w:ind w:left="106" w:right="125"/>
              <w:rPr>
                <w:sz w:val="21"/>
              </w:rPr>
            </w:pPr>
            <w:r>
              <w:rPr>
                <w:sz w:val="21"/>
              </w:rPr>
              <w:t>造血干细胞移植术，指因造血功能损害或造血系统恶性肿瘤，已经实施了造血干细胞（包括骨髓造血干细胞、外周血造血干细胞和脐血造血干细胞）的异体移植手术。</w:t>
            </w:r>
          </w:p>
          <w:p>
            <w:pPr>
              <w:pStyle w:val="TableParagraph"/>
              <w:rPr>
                <w:b/>
                <w:sz w:val="20"/>
              </w:rPr>
            </w:pPr>
          </w:p>
          <w:p>
            <w:pPr>
              <w:pStyle w:val="TableParagraph"/>
              <w:spacing w:before="12"/>
              <w:rPr>
                <w:b/>
                <w:sz w:val="13"/>
              </w:rPr>
            </w:pPr>
          </w:p>
          <w:p>
            <w:pPr>
              <w:pStyle w:val="TableParagraph"/>
              <w:ind w:left="106"/>
              <w:rPr>
                <w:sz w:val="21"/>
              </w:rPr>
            </w:pPr>
            <w:r>
              <w:rPr>
                <w:sz w:val="21"/>
              </w:rPr>
              <w:t>五、 冠状动脉搭桥术（或称冠状动脉旁路移植术）</w:t>
            </w:r>
          </w:p>
          <w:p>
            <w:pPr>
              <w:pStyle w:val="TableParagraph"/>
              <w:spacing w:line="255" w:lineRule="exact" w:before="97"/>
              <w:ind w:left="106"/>
              <w:rPr>
                <w:sz w:val="21"/>
              </w:rPr>
            </w:pPr>
            <w:r>
              <w:rPr>
                <w:sz w:val="21"/>
              </w:rPr>
              <w:t>指为治疗严重的冠心病，实际实施了开胸进行的冠状动脉血管旁路移植的手术。</w:t>
            </w:r>
          </w:p>
        </w:tc>
      </w:tr>
    </w:tbl>
    <w:p>
      <w:pPr>
        <w:spacing w:after="0" w:line="255" w:lineRule="exact"/>
        <w:rPr>
          <w:sz w:val="21"/>
        </w:rPr>
        <w:sectPr>
          <w:pgSz w:w="11910" w:h="16840"/>
          <w:pgMar w:header="0" w:footer="809" w:top="1200" w:bottom="1000" w:left="760" w:right="540"/>
        </w:sectPr>
      </w:pPr>
    </w:p>
    <w:p>
      <w:pPr>
        <w:pStyle w:val="Heading2"/>
        <w:spacing w:line="273" w:lineRule="auto" w:before="24"/>
        <w:ind w:right="118"/>
      </w:pPr>
      <w:r>
        <w:rPr>
          <w:spacing w:val="-9"/>
          <w:u w:val="single"/>
        </w:rPr>
        <w:t>冠状动脉支架植入术、心导管球囊扩张术、激光射频技术及其它非开胸的介入手术、</w:t>
      </w:r>
      <w:r>
        <w:rPr>
          <w:spacing w:val="-212"/>
          <w:u w:val="single"/>
        </w:rPr>
        <w:t>腔</w:t>
      </w:r>
      <w:r>
        <w:rPr>
          <w:spacing w:val="-2"/>
          <w:u w:val="single"/>
        </w:rPr>
        <w:t>镜手术不在保障范围内。 </w:t>
      </w:r>
    </w:p>
    <w:p>
      <w:pPr>
        <w:pStyle w:val="BodyText"/>
        <w:ind w:left="0"/>
        <w:rPr>
          <w:b/>
          <w:sz w:val="20"/>
        </w:rPr>
      </w:pPr>
    </w:p>
    <w:p>
      <w:pPr>
        <w:pStyle w:val="BodyText"/>
        <w:spacing w:before="12"/>
        <w:ind w:left="0"/>
        <w:rPr>
          <w:b/>
          <w:sz w:val="13"/>
        </w:rPr>
      </w:pPr>
    </w:p>
    <w:p>
      <w:pPr>
        <w:pStyle w:val="BodyText"/>
        <w:spacing w:before="1"/>
      </w:pPr>
      <w:r>
        <w:rPr/>
        <w:t>六、 终末期肾病（或称慢性肾功能衰竭尿毒症期）</w:t>
      </w:r>
    </w:p>
    <w:p>
      <w:pPr>
        <w:pStyle w:val="BodyText"/>
        <w:spacing w:line="273" w:lineRule="auto" w:before="99"/>
        <w:ind w:right="220"/>
      </w:pPr>
      <w:r>
        <w:rPr>
          <w:spacing w:val="-9"/>
        </w:rPr>
        <w:t>指双肾功能慢性不可逆性衰竭，达到尿毒症期，经诊断后已经进行了至少 </w:t>
      </w:r>
      <w:r>
        <w:rPr/>
        <w:t>90</w:t>
      </w:r>
      <w:r>
        <w:rPr>
          <w:spacing w:val="-11"/>
        </w:rPr>
        <w:t> 天的规</w:t>
      </w:r>
      <w:r>
        <w:rPr>
          <w:spacing w:val="-6"/>
        </w:rPr>
        <w:t>律性透析治疗或实施了肾脏移植手术。</w:t>
      </w:r>
    </w:p>
    <w:p>
      <w:pPr>
        <w:pStyle w:val="BodyText"/>
        <w:ind w:left="0"/>
        <w:rPr>
          <w:sz w:val="20"/>
        </w:rPr>
      </w:pPr>
    </w:p>
    <w:p>
      <w:pPr>
        <w:pStyle w:val="BodyText"/>
        <w:spacing w:before="11"/>
        <w:ind w:left="0"/>
        <w:rPr>
          <w:sz w:val="13"/>
        </w:rPr>
      </w:pPr>
    </w:p>
    <w:p>
      <w:pPr>
        <w:pStyle w:val="BodyText"/>
        <w:spacing w:before="1"/>
      </w:pPr>
      <w:r>
        <w:rPr/>
        <w:t>七、 多个肢体缺失</w:t>
      </w:r>
    </w:p>
    <w:p>
      <w:pPr>
        <w:pStyle w:val="BodyText"/>
        <w:spacing w:line="273" w:lineRule="auto" w:before="97"/>
        <w:ind w:right="52"/>
      </w:pPr>
      <w:r>
        <w:rPr/>
        <w:t>指因疾病或意外伤害导致两个或两个以上肢体自腕关节或踝关节近端（靠近躯干端） 以上完全性断离。</w:t>
      </w:r>
    </w:p>
    <w:p>
      <w:pPr>
        <w:pStyle w:val="BodyText"/>
        <w:ind w:left="0"/>
        <w:rPr>
          <w:sz w:val="20"/>
        </w:rPr>
      </w:pPr>
    </w:p>
    <w:p>
      <w:pPr>
        <w:pStyle w:val="BodyText"/>
        <w:spacing w:before="12"/>
        <w:ind w:left="0"/>
        <w:rPr>
          <w:sz w:val="13"/>
        </w:rPr>
      </w:pPr>
    </w:p>
    <w:p>
      <w:pPr>
        <w:pStyle w:val="BodyText"/>
      </w:pPr>
      <w:r>
        <w:rPr/>
        <w:t>八、 急性或亚急性重症肝炎</w:t>
      </w:r>
    </w:p>
    <w:p>
      <w:pPr>
        <w:pStyle w:val="BodyText"/>
        <w:spacing w:line="273" w:lineRule="auto" w:before="99"/>
        <w:ind w:right="226"/>
      </w:pPr>
      <w:r>
        <w:rPr/>
        <w:t>指因肝炎病毒感染引起肝脏组织弥漫性坏死，导致急性肝功能衰竭，且经血清学或病毒学检查证实，并须满足下列全部条件：</w:t>
      </w:r>
    </w:p>
    <w:p>
      <w:pPr>
        <w:pStyle w:val="BodyText"/>
        <w:spacing w:before="69"/>
      </w:pPr>
      <w:r>
        <w:rPr/>
        <w:t>（一）重度黄疸或黄疸迅速加重；</w:t>
      </w:r>
    </w:p>
    <w:p>
      <w:pPr>
        <w:pStyle w:val="BodyText"/>
        <w:spacing w:before="99"/>
      </w:pPr>
      <w:r>
        <w:rPr/>
        <w:t>（二）肝性脑病；</w:t>
      </w:r>
    </w:p>
    <w:p>
      <w:pPr>
        <w:pStyle w:val="BodyText"/>
        <w:spacing w:before="97"/>
      </w:pPr>
      <w:r>
        <w:rPr/>
        <w:t>（三）B 超或其它影像学检查显示肝脏体积急速萎缩；</w:t>
      </w:r>
    </w:p>
    <w:p>
      <w:pPr>
        <w:pStyle w:val="BodyText"/>
        <w:spacing w:before="99"/>
      </w:pPr>
      <w:r>
        <w:rPr/>
        <w:t>（四）肝功能指标进行性恶化。</w:t>
      </w:r>
    </w:p>
    <w:p>
      <w:pPr>
        <w:pStyle w:val="BodyText"/>
        <w:ind w:left="0"/>
        <w:rPr>
          <w:sz w:val="20"/>
        </w:rPr>
      </w:pPr>
    </w:p>
    <w:p>
      <w:pPr>
        <w:pStyle w:val="BodyText"/>
        <w:spacing w:before="2"/>
        <w:ind w:left="0"/>
        <w:rPr>
          <w:sz w:val="16"/>
        </w:rPr>
      </w:pPr>
    </w:p>
    <w:p>
      <w:pPr>
        <w:pStyle w:val="BodyText"/>
      </w:pPr>
      <w:r>
        <w:rPr/>
        <w:t>九、 良性脑肿瘤</w:t>
      </w:r>
    </w:p>
    <w:p>
      <w:pPr>
        <w:pStyle w:val="BodyText"/>
        <w:spacing w:line="273" w:lineRule="auto" w:before="99"/>
        <w:ind w:right="120"/>
      </w:pPr>
      <w:r>
        <w:rPr>
          <w:spacing w:val="-3"/>
        </w:rPr>
        <w:t>指脑的良性肿瘤，已经引起颅内压增高，临床表现为视神经乳头水肿、精神症状、</w:t>
      </w:r>
      <w:r>
        <w:rPr>
          <w:spacing w:val="-16"/>
        </w:rPr>
        <w:t>癫痫及运动感觉障碍等，并危及生命。须由头颅断层扫描</w:t>
      </w:r>
      <w:r>
        <w:rPr>
          <w:spacing w:val="-17"/>
        </w:rPr>
        <w:t>（CT）</w:t>
      </w:r>
      <w:r>
        <w:rPr>
          <w:spacing w:val="-21"/>
        </w:rPr>
        <w:t>、核磁共振检查</w:t>
      </w:r>
      <w:r>
        <w:rPr/>
        <w:t>（MRI） </w:t>
      </w:r>
      <w:r>
        <w:rPr>
          <w:spacing w:val="-3"/>
        </w:rPr>
        <w:t>或正电子发射断层扫描</w:t>
      </w:r>
      <w:r>
        <w:rPr>
          <w:spacing w:val="-1"/>
        </w:rPr>
        <w:t>（PET）</w:t>
      </w:r>
      <w:r>
        <w:rPr>
          <w:spacing w:val="-3"/>
        </w:rPr>
        <w:t>等影像学检查证实，并须满足下列至少一项条件：</w:t>
      </w:r>
    </w:p>
    <w:p>
      <w:pPr>
        <w:pStyle w:val="BodyText"/>
        <w:spacing w:before="70"/>
      </w:pPr>
      <w:r>
        <w:rPr/>
        <w:t>（一）实际实施了开颅进行的脑肿瘤完全切除或部分切除的手术；</w:t>
      </w:r>
    </w:p>
    <w:p>
      <w:pPr>
        <w:pStyle w:val="BodyText"/>
        <w:spacing w:before="97"/>
      </w:pPr>
      <w:r>
        <w:rPr/>
        <w:t>（二）实际实施了对脑肿瘤进行的放射治疗。</w:t>
      </w:r>
    </w:p>
    <w:p>
      <w:pPr>
        <w:pStyle w:val="Heading2"/>
        <w:spacing w:before="99"/>
      </w:pPr>
      <w:r>
        <w:rPr>
          <w:u w:val="single"/>
        </w:rPr>
        <w:t>脑垂体瘤、脑囊肿、脑血管性疾病不在保障范围内。 </w:t>
      </w:r>
    </w:p>
    <w:p>
      <w:pPr>
        <w:pStyle w:val="BodyText"/>
        <w:ind w:left="0"/>
        <w:rPr>
          <w:b/>
          <w:sz w:val="20"/>
        </w:rPr>
      </w:pPr>
    </w:p>
    <w:p>
      <w:pPr>
        <w:pStyle w:val="BodyText"/>
        <w:spacing w:before="2"/>
        <w:ind w:left="0"/>
        <w:rPr>
          <w:b/>
          <w:sz w:val="16"/>
        </w:rPr>
      </w:pPr>
    </w:p>
    <w:p>
      <w:pPr>
        <w:pStyle w:val="BodyText"/>
      </w:pPr>
      <w:r>
        <w:rPr/>
        <w:t>十、 慢性肝功能衰竭失代偿期</w:t>
      </w:r>
    </w:p>
    <w:p>
      <w:pPr>
        <w:pStyle w:val="BodyText"/>
        <w:spacing w:before="99"/>
      </w:pPr>
      <w:r>
        <w:rPr/>
        <w:t>指因慢性肝脏疾病导致肝功能衰竭。须满足下列全部条件：</w:t>
      </w:r>
    </w:p>
    <w:p>
      <w:pPr>
        <w:pStyle w:val="BodyText"/>
        <w:spacing w:before="99"/>
      </w:pPr>
      <w:r>
        <w:rPr/>
        <w:t>（一）持续性黄疸；</w:t>
      </w:r>
    </w:p>
    <w:p>
      <w:pPr>
        <w:pStyle w:val="BodyText"/>
        <w:spacing w:before="96"/>
      </w:pPr>
      <w:r>
        <w:rPr/>
        <w:t>（二）腹水；</w:t>
      </w:r>
    </w:p>
    <w:p>
      <w:pPr>
        <w:pStyle w:val="BodyText"/>
        <w:spacing w:before="99"/>
      </w:pPr>
      <w:r>
        <w:rPr/>
        <w:t>（三）肝性脑病；</w:t>
      </w:r>
    </w:p>
    <w:p>
      <w:pPr>
        <w:spacing w:line="326" w:lineRule="auto" w:before="100"/>
        <w:ind w:left="1661" w:right="2566" w:firstLine="0"/>
        <w:jc w:val="left"/>
        <w:rPr>
          <w:b/>
          <w:sz w:val="21"/>
        </w:rPr>
      </w:pPr>
      <w:r>
        <w:rPr>
          <w:sz w:val="21"/>
        </w:rPr>
        <w:t>（四）充血性脾肿大伴脾功能亢进或食管胃底静脉曲张。</w:t>
      </w:r>
      <w:r>
        <w:rPr>
          <w:b/>
          <w:sz w:val="21"/>
          <w:u w:val="single"/>
        </w:rPr>
        <w:t>因酗酒或药物滥用导致的肝功能衰竭不在保障范围内。 </w:t>
      </w:r>
    </w:p>
    <w:p>
      <w:pPr>
        <w:pStyle w:val="BodyText"/>
        <w:spacing w:before="8"/>
        <w:ind w:left="0"/>
        <w:rPr>
          <w:b/>
          <w:sz w:val="27"/>
        </w:rPr>
      </w:pPr>
    </w:p>
    <w:p>
      <w:pPr>
        <w:pStyle w:val="BodyText"/>
        <w:spacing w:before="36"/>
      </w:pPr>
      <w:r>
        <w:rPr/>
        <w:t>十一、 脑炎后遗症或脑膜炎后遗症</w:t>
      </w:r>
    </w:p>
    <w:p>
      <w:pPr>
        <w:pStyle w:val="BodyText"/>
        <w:spacing w:line="273" w:lineRule="auto" w:before="96"/>
        <w:ind w:right="226"/>
      </w:pPr>
      <w:r>
        <w:rPr/>
        <w:t>指因患脑炎或脑膜炎导致的神经系统永久性的功能障碍。神经系统永久性的功能障碍，指疾病确诊 180 天后，仍遗留下列一种或一种以上障碍：</w:t>
      </w:r>
    </w:p>
    <w:p>
      <w:pPr>
        <w:pStyle w:val="BodyText"/>
        <w:spacing w:before="69"/>
      </w:pPr>
      <w:r>
        <w:rPr/>
        <w:t>（一）一肢或一肢以上肢体机能完全丧失；</w:t>
      </w:r>
    </w:p>
    <w:p>
      <w:pPr>
        <w:pStyle w:val="BodyText"/>
        <w:spacing w:before="99"/>
      </w:pPr>
      <w:r>
        <w:rPr/>
        <w:t>（二）语言能力或咀嚼吞咽能力完全丧失；</w:t>
      </w:r>
    </w:p>
    <w:p>
      <w:pPr>
        <w:spacing w:after="0"/>
        <w:sectPr>
          <w:pgSz w:w="11910" w:h="16840"/>
          <w:pgMar w:header="0" w:footer="809" w:top="1140" w:bottom="1000" w:left="1680" w:right="740"/>
        </w:sectPr>
      </w:pPr>
    </w:p>
    <w:p>
      <w:pPr>
        <w:pStyle w:val="BodyText"/>
        <w:spacing w:line="273" w:lineRule="auto" w:before="24"/>
        <w:ind w:right="226"/>
        <w:jc w:val="both"/>
      </w:pPr>
      <w:r>
        <w:rPr/>
        <w:t>（三）自主生活能力完全丧失，无法独立完成六项基本日常生活活动中的三项或三项以上。</w:t>
      </w:r>
    </w:p>
    <w:p>
      <w:pPr>
        <w:pStyle w:val="BodyText"/>
        <w:ind w:left="0"/>
        <w:rPr>
          <w:sz w:val="20"/>
        </w:rPr>
      </w:pPr>
    </w:p>
    <w:p>
      <w:pPr>
        <w:pStyle w:val="BodyText"/>
        <w:spacing w:before="12"/>
        <w:ind w:left="0"/>
        <w:rPr>
          <w:sz w:val="13"/>
        </w:rPr>
      </w:pPr>
    </w:p>
    <w:p>
      <w:pPr>
        <w:pStyle w:val="BodyText"/>
        <w:spacing w:before="1"/>
      </w:pPr>
      <w:r>
        <w:rPr/>
        <w:t>十二、 深度昏迷</w:t>
      </w:r>
    </w:p>
    <w:p>
      <w:pPr>
        <w:pStyle w:val="BodyText"/>
        <w:spacing w:line="273" w:lineRule="auto" w:before="99"/>
        <w:ind w:right="220"/>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2"/>
        </w:rPr>
        <w:t> 分或 </w:t>
      </w:r>
      <w:r>
        <w:rPr/>
        <w:t>5</w:t>
      </w:r>
      <w:r>
        <w:rPr>
          <w:spacing w:val="-8"/>
        </w:rPr>
        <w:t> 分以下，且已经持续使用呼吸机及其它生命维持系统 </w:t>
      </w:r>
      <w:r>
        <w:rPr/>
        <w:t>96</w:t>
      </w:r>
      <w:r>
        <w:rPr>
          <w:spacing w:val="-10"/>
        </w:rPr>
        <w:t> 小时以上。</w:t>
      </w:r>
    </w:p>
    <w:p>
      <w:pPr>
        <w:pStyle w:val="Heading2"/>
        <w:spacing w:before="69"/>
        <w:jc w:val="both"/>
      </w:pPr>
      <w:r>
        <w:rPr>
          <w:u w:val="single"/>
        </w:rPr>
        <w:t>因酗酒或药物滥用导致的深度昏迷不在保障范围内。 </w:t>
      </w:r>
    </w:p>
    <w:p>
      <w:pPr>
        <w:pStyle w:val="BodyText"/>
        <w:ind w:left="0"/>
        <w:rPr>
          <w:b/>
          <w:sz w:val="20"/>
        </w:rPr>
      </w:pPr>
    </w:p>
    <w:p>
      <w:pPr>
        <w:pStyle w:val="BodyText"/>
        <w:ind w:left="0"/>
        <w:rPr>
          <w:b/>
          <w:sz w:val="16"/>
        </w:rPr>
      </w:pPr>
    </w:p>
    <w:p>
      <w:pPr>
        <w:pStyle w:val="BodyText"/>
      </w:pPr>
      <w:r>
        <w:rPr/>
        <w:t>十三、 双耳失聪-被保险人出生满 36 个月后出现症状</w:t>
      </w:r>
    </w:p>
    <w:p>
      <w:pPr>
        <w:pStyle w:val="BodyText"/>
        <w:spacing w:before="99"/>
      </w:pPr>
      <w:r>
        <w:rPr/>
        <w:t>指因疾病或意外伤害导致双耳听力</w:t>
      </w:r>
      <w:r>
        <w:rPr>
          <w:b/>
        </w:rPr>
        <w:t>永久不可逆</w:t>
      </w:r>
      <w:r>
        <w:rPr/>
        <w:t>（见 15.23）性丧失，在 500 赫兹、</w:t>
      </w:r>
    </w:p>
    <w:p>
      <w:pPr>
        <w:pStyle w:val="BodyText"/>
        <w:spacing w:line="273" w:lineRule="auto" w:before="36"/>
        <w:ind w:right="222"/>
      </w:pPr>
      <w:r>
        <w:rPr/>
        <w:t>1000</w:t>
      </w:r>
      <w:r>
        <w:rPr>
          <w:spacing w:val="-20"/>
        </w:rPr>
        <w:t> 赫兹和 </w:t>
      </w:r>
      <w:r>
        <w:rPr/>
        <w:t>2000</w:t>
      </w:r>
      <w:r>
        <w:rPr>
          <w:spacing w:val="-12"/>
        </w:rPr>
        <w:t> 赫兹语音频率下，平均听阈大于 </w:t>
      </w:r>
      <w:r>
        <w:rPr/>
        <w:t>90</w:t>
      </w:r>
      <w:r>
        <w:rPr>
          <w:spacing w:val="-8"/>
        </w:rPr>
        <w:t> 分贝，且经纯音听力测试、声</w:t>
      </w:r>
      <w:r>
        <w:rPr>
          <w:spacing w:val="-5"/>
        </w:rPr>
        <w:t>导抗检测或听觉诱发电位检测等证实。</w:t>
      </w:r>
    </w:p>
    <w:p>
      <w:pPr>
        <w:pStyle w:val="BodyText"/>
        <w:ind w:left="0"/>
        <w:rPr>
          <w:sz w:val="20"/>
        </w:rPr>
      </w:pPr>
    </w:p>
    <w:p>
      <w:pPr>
        <w:pStyle w:val="BodyText"/>
        <w:spacing w:before="12"/>
        <w:ind w:left="0"/>
        <w:rPr>
          <w:sz w:val="13"/>
        </w:rPr>
      </w:pPr>
    </w:p>
    <w:p>
      <w:pPr>
        <w:pStyle w:val="BodyText"/>
      </w:pPr>
      <w:r>
        <w:rPr/>
        <w:t>十四、 双目失明-被保险人出生满 36 个月后出现症状</w:t>
      </w:r>
    </w:p>
    <w:p>
      <w:pPr>
        <w:pStyle w:val="BodyText"/>
        <w:spacing w:line="273" w:lineRule="auto" w:before="99"/>
        <w:ind w:right="226"/>
      </w:pPr>
      <w:r>
        <w:rPr/>
        <w:t>指因疾病或意外伤害导致双眼视力永久不可逆性丧失，双眼中较好眼须满足下列至少一项条件：</w:t>
      </w:r>
    </w:p>
    <w:p>
      <w:pPr>
        <w:pStyle w:val="BodyText"/>
        <w:spacing w:before="69"/>
      </w:pPr>
      <w:r>
        <w:rPr/>
        <w:t>（一）眼球缺失或摘除；</w:t>
      </w:r>
    </w:p>
    <w:p>
      <w:pPr>
        <w:pStyle w:val="BodyText"/>
        <w:spacing w:before="96"/>
      </w:pPr>
      <w:r>
        <w:rPr>
          <w:w w:val="100"/>
        </w:rPr>
        <w:t>（</w:t>
      </w:r>
      <w:r>
        <w:rPr>
          <w:spacing w:val="-3"/>
          <w:w w:val="100"/>
        </w:rPr>
        <w:t>二</w:t>
      </w:r>
      <w:r>
        <w:rPr>
          <w:spacing w:val="-82"/>
          <w:w w:val="100"/>
        </w:rPr>
        <w:t>）</w:t>
      </w:r>
      <w:r>
        <w:rPr>
          <w:spacing w:val="-3"/>
          <w:w w:val="100"/>
        </w:rPr>
        <w:t>矫正视力低于</w:t>
      </w:r>
      <w:r>
        <w:rPr>
          <w:spacing w:val="-52"/>
        </w:rPr>
        <w:t> </w:t>
      </w:r>
      <w:r>
        <w:rPr>
          <w:w w:val="100"/>
        </w:rPr>
        <w:t>0</w:t>
      </w:r>
      <w:r>
        <w:rPr>
          <w:spacing w:val="-3"/>
          <w:w w:val="100"/>
        </w:rPr>
        <w:t>.</w:t>
      </w:r>
      <w:r>
        <w:rPr>
          <w:w w:val="100"/>
        </w:rPr>
        <w:t>0</w:t>
      </w:r>
      <w:r>
        <w:rPr>
          <w:spacing w:val="-85"/>
          <w:w w:val="100"/>
        </w:rPr>
        <w:t>2</w:t>
      </w:r>
      <w:r>
        <w:rPr>
          <w:spacing w:val="-3"/>
          <w:w w:val="100"/>
        </w:rPr>
        <w:t>（</w:t>
      </w:r>
      <w:r>
        <w:rPr>
          <w:spacing w:val="-11"/>
          <w:w w:val="100"/>
        </w:rPr>
        <w:t>采用国际标准视力表，如果使用其它视力表应进行换算</w:t>
      </w:r>
      <w:r>
        <w:rPr>
          <w:spacing w:val="-85"/>
          <w:w w:val="100"/>
        </w:rPr>
        <w:t>）</w:t>
      </w:r>
      <w:r>
        <w:rPr>
          <w:w w:val="100"/>
        </w:rPr>
        <w:t>；</w:t>
      </w:r>
    </w:p>
    <w:p>
      <w:pPr>
        <w:pStyle w:val="BodyText"/>
        <w:spacing w:before="99"/>
      </w:pPr>
      <w:r>
        <w:rPr/>
        <w:t>（三）视野半径小于 5 度。</w:t>
      </w:r>
    </w:p>
    <w:p>
      <w:pPr>
        <w:pStyle w:val="BodyText"/>
        <w:ind w:left="0"/>
        <w:rPr>
          <w:sz w:val="20"/>
        </w:rPr>
      </w:pPr>
    </w:p>
    <w:p>
      <w:pPr>
        <w:pStyle w:val="BodyText"/>
        <w:spacing w:before="2"/>
        <w:ind w:left="0"/>
        <w:rPr>
          <w:sz w:val="16"/>
        </w:rPr>
      </w:pPr>
    </w:p>
    <w:p>
      <w:pPr>
        <w:pStyle w:val="BodyText"/>
        <w:spacing w:before="1"/>
      </w:pPr>
      <w:r>
        <w:rPr/>
        <w:t>十五、 瘫痪</w:t>
      </w:r>
    </w:p>
    <w:p>
      <w:pPr>
        <w:pStyle w:val="BodyText"/>
        <w:spacing w:line="273" w:lineRule="auto" w:before="100"/>
        <w:ind w:right="221"/>
        <w:jc w:val="both"/>
      </w:pPr>
      <w:r>
        <w:rPr>
          <w:spacing w:val="-3"/>
        </w:rPr>
        <w:t>指因疾病或意外伤害导致两肢或两肢以上肢体机能永久完全丧失。肢体机能永久完</w:t>
      </w:r>
      <w:r>
        <w:rPr>
          <w:spacing w:val="-7"/>
        </w:rPr>
        <w:t>全丧失，指疾病确诊 </w:t>
      </w:r>
      <w:r>
        <w:rPr/>
        <w:t>180</w:t>
      </w:r>
      <w:r>
        <w:rPr>
          <w:spacing w:val="-10"/>
        </w:rPr>
        <w:t> 天后或意外伤害发生 </w:t>
      </w:r>
      <w:r>
        <w:rPr/>
        <w:t>180</w:t>
      </w:r>
      <w:r>
        <w:rPr>
          <w:spacing w:val="-7"/>
        </w:rPr>
        <w:t> 天后，每肢三大关节中的两大关</w:t>
      </w:r>
      <w:r>
        <w:rPr>
          <w:spacing w:val="-3"/>
        </w:rPr>
        <w:t>节仍然完全僵硬，或不能随意识活动。</w:t>
      </w:r>
    </w:p>
    <w:p>
      <w:pPr>
        <w:pStyle w:val="BodyText"/>
        <w:ind w:left="0"/>
        <w:rPr>
          <w:sz w:val="20"/>
        </w:rPr>
      </w:pPr>
    </w:p>
    <w:p>
      <w:pPr>
        <w:pStyle w:val="BodyText"/>
        <w:spacing w:before="10"/>
        <w:ind w:left="0"/>
        <w:rPr>
          <w:sz w:val="13"/>
        </w:rPr>
      </w:pPr>
    </w:p>
    <w:p>
      <w:pPr>
        <w:pStyle w:val="BodyText"/>
      </w:pPr>
      <w:r>
        <w:rPr/>
        <w:t>十六、 心脏瓣膜手术</w:t>
      </w:r>
    </w:p>
    <w:p>
      <w:pPr>
        <w:pStyle w:val="BodyText"/>
        <w:spacing w:before="99"/>
      </w:pPr>
      <w:r>
        <w:rPr/>
        <w:t>指为治疗心脏瓣膜疾病，实际实施了开胸进行的心脏瓣膜置换或修复的手术。</w:t>
      </w:r>
    </w:p>
    <w:p>
      <w:pPr>
        <w:pStyle w:val="BodyText"/>
        <w:ind w:left="0"/>
        <w:rPr>
          <w:sz w:val="20"/>
        </w:rPr>
      </w:pPr>
    </w:p>
    <w:p>
      <w:pPr>
        <w:pStyle w:val="BodyText"/>
        <w:spacing w:before="2"/>
        <w:ind w:left="0"/>
        <w:rPr>
          <w:sz w:val="16"/>
        </w:rPr>
      </w:pPr>
    </w:p>
    <w:p>
      <w:pPr>
        <w:pStyle w:val="BodyText"/>
      </w:pPr>
      <w:r>
        <w:rPr/>
        <w:t>十七、 严重阿尔茨海默病</w:t>
      </w:r>
    </w:p>
    <w:p>
      <w:pPr>
        <w:pStyle w:val="BodyText"/>
        <w:spacing w:line="273" w:lineRule="auto" w:before="99"/>
        <w:ind w:right="22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pPr>
      <w:r>
        <w:rPr>
          <w:u w:val="single"/>
        </w:rPr>
        <w:t>神经官能症和精神疾病不在保障范围内。 </w:t>
      </w:r>
    </w:p>
    <w:p>
      <w:pPr>
        <w:pStyle w:val="BodyText"/>
        <w:ind w:left="0"/>
        <w:rPr>
          <w:b/>
          <w:sz w:val="20"/>
        </w:rPr>
      </w:pPr>
    </w:p>
    <w:p>
      <w:pPr>
        <w:pStyle w:val="BodyText"/>
        <w:ind w:left="0"/>
        <w:rPr>
          <w:b/>
          <w:sz w:val="16"/>
        </w:rPr>
      </w:pPr>
    </w:p>
    <w:p>
      <w:pPr>
        <w:pStyle w:val="BodyText"/>
      </w:pPr>
      <w:r>
        <w:rPr/>
        <w:t>十八、 严重脑损伤</w:t>
      </w:r>
    </w:p>
    <w:p>
      <w:pPr>
        <w:pStyle w:val="BodyText"/>
        <w:spacing w:line="273" w:lineRule="auto" w:before="99"/>
        <w:ind w:right="115"/>
      </w:pPr>
      <w:r>
        <w:rPr>
          <w:spacing w:val="-8"/>
        </w:rPr>
        <w:t>指因头部遭受机械性外力，引起脑重要部位损伤，导致神经系统永久性的功能障碍。须由头颅断层扫描（CT）、核磁共振检查（MRI）</w:t>
      </w:r>
      <w:r>
        <w:rPr>
          <w:spacing w:val="-2"/>
        </w:rPr>
        <w:t>或正电子发射断层扫描</w:t>
      </w:r>
      <w:r>
        <w:rPr/>
        <w:t>（PET）等</w:t>
      </w:r>
      <w:r>
        <w:rPr>
          <w:spacing w:val="-4"/>
        </w:rPr>
        <w:t>影像学检查证实。神经系统永久性的功能障碍，指脑损伤 </w:t>
      </w:r>
      <w:r>
        <w:rPr/>
        <w:t>180</w:t>
      </w:r>
      <w:r>
        <w:rPr>
          <w:spacing w:val="-5"/>
        </w:rPr>
        <w:t> 天后，仍遗留下列一</w:t>
      </w:r>
    </w:p>
    <w:p>
      <w:pPr>
        <w:spacing w:after="0" w:line="273" w:lineRule="auto"/>
        <w:sectPr>
          <w:pgSz w:w="11910" w:h="16840"/>
          <w:pgMar w:header="0" w:footer="809" w:top="1140" w:bottom="1080" w:left="1680" w:right="740"/>
        </w:sectPr>
      </w:pPr>
    </w:p>
    <w:p>
      <w:pPr>
        <w:pStyle w:val="BodyText"/>
        <w:spacing w:before="22"/>
      </w:pPr>
      <w:r>
        <w:rPr/>
        <w:t>种或一种以上障碍：</w:t>
      </w:r>
    </w:p>
    <w:p>
      <w:pPr>
        <w:pStyle w:val="BodyText"/>
        <w:spacing w:before="99"/>
      </w:pPr>
      <w:r>
        <w:rPr/>
        <w:t>（一）一肢或一肢以上肢体机能完全丧失；</w:t>
      </w:r>
    </w:p>
    <w:p>
      <w:pPr>
        <w:pStyle w:val="BodyText"/>
        <w:spacing w:before="99"/>
      </w:pPr>
      <w:r>
        <w:rPr/>
        <w:t>（二）语言能力或咀嚼吞咽能力完全丧失；</w:t>
      </w:r>
    </w:p>
    <w:p>
      <w:pPr>
        <w:pStyle w:val="BodyText"/>
        <w:spacing w:line="273" w:lineRule="auto" w:before="99"/>
        <w:ind w:right="186"/>
      </w:pPr>
      <w:r>
        <w:rPr/>
        <w:t>（三）自主生活能力完全丧失，无法独立完成六项基本日常生活活动中的三项或三项以上。</w:t>
      </w:r>
    </w:p>
    <w:p>
      <w:pPr>
        <w:pStyle w:val="BodyText"/>
        <w:ind w:left="0"/>
        <w:rPr>
          <w:sz w:val="20"/>
        </w:rPr>
      </w:pPr>
    </w:p>
    <w:p>
      <w:pPr>
        <w:pStyle w:val="BodyText"/>
        <w:spacing w:before="12"/>
        <w:ind w:left="0"/>
        <w:rPr>
          <w:sz w:val="13"/>
        </w:rPr>
      </w:pPr>
    </w:p>
    <w:p>
      <w:pPr>
        <w:pStyle w:val="BodyText"/>
      </w:pPr>
      <w:r>
        <w:rPr/>
        <w:t>十九、 严重帕金森病</w:t>
      </w:r>
    </w:p>
    <w:p>
      <w:pPr>
        <w:pStyle w:val="BodyText"/>
        <w:spacing w:line="271" w:lineRule="auto" w:before="99"/>
        <w:ind w:right="186"/>
      </w:pPr>
      <w:r>
        <w:rPr/>
        <w:t>是一种中枢神经系统的退行性疾病，临床表现为震颤麻痹、共济失调等。须满足下列全部条件：</w:t>
      </w:r>
    </w:p>
    <w:p>
      <w:pPr>
        <w:pStyle w:val="BodyText"/>
        <w:spacing w:before="72"/>
      </w:pPr>
      <w:r>
        <w:rPr/>
        <w:t>（一）药物治疗无法控制病情；</w:t>
      </w:r>
    </w:p>
    <w:p>
      <w:pPr>
        <w:pStyle w:val="BodyText"/>
        <w:spacing w:line="273" w:lineRule="auto" w:before="99"/>
        <w:ind w:right="186"/>
      </w:pPr>
      <w:r>
        <w:rPr/>
        <w:t>（二）自主生活能力完全丧失，无法独立完成六项基本日常生活活动中的三项或三项以上。</w:t>
      </w:r>
    </w:p>
    <w:p>
      <w:pPr>
        <w:pStyle w:val="Heading2"/>
      </w:pPr>
      <w:r>
        <w:rPr>
          <w:u w:val="single"/>
        </w:rPr>
        <w:t>继发性帕金森综合征不在保障范围内。 </w:t>
      </w:r>
    </w:p>
    <w:p>
      <w:pPr>
        <w:pStyle w:val="BodyText"/>
        <w:ind w:left="0"/>
        <w:rPr>
          <w:b/>
          <w:sz w:val="20"/>
        </w:rPr>
      </w:pPr>
    </w:p>
    <w:p>
      <w:pPr>
        <w:pStyle w:val="BodyText"/>
        <w:spacing w:before="2"/>
        <w:ind w:left="0"/>
        <w:rPr>
          <w:b/>
          <w:sz w:val="16"/>
        </w:rPr>
      </w:pPr>
    </w:p>
    <w:p>
      <w:pPr>
        <w:pStyle w:val="BodyText"/>
      </w:pPr>
      <w:r>
        <w:rPr/>
        <w:t>二十、 严重Ⅲ度烧伤</w:t>
      </w:r>
    </w:p>
    <w:p>
      <w:pPr>
        <w:pStyle w:val="BodyText"/>
        <w:spacing w:line="271" w:lineRule="auto" w:before="99"/>
        <w:ind w:right="182"/>
      </w:pPr>
      <w:r>
        <w:rPr>
          <w:spacing w:val="-9"/>
        </w:rPr>
        <w:t>指烧伤程度为Ⅲ度，且Ⅲ度烧伤的面积达到全身体表面积的 </w:t>
      </w:r>
      <w:r>
        <w:rPr/>
        <w:t>20</w:t>
      </w:r>
      <w:r>
        <w:rPr>
          <w:spacing w:val="-13"/>
        </w:rPr>
        <w:t>％或 </w:t>
      </w:r>
      <w:r>
        <w:rPr/>
        <w:t>20</w:t>
      </w:r>
      <w:r>
        <w:rPr>
          <w:spacing w:val="-9"/>
        </w:rPr>
        <w:t>％以上。体表</w:t>
      </w:r>
      <w:r>
        <w:rPr>
          <w:spacing w:val="-5"/>
        </w:rPr>
        <w:t>面积根据《中国新九分法》计算。</w:t>
      </w:r>
    </w:p>
    <w:p>
      <w:pPr>
        <w:pStyle w:val="BodyText"/>
        <w:ind w:left="0"/>
        <w:rPr>
          <w:sz w:val="20"/>
        </w:rPr>
      </w:pPr>
    </w:p>
    <w:p>
      <w:pPr>
        <w:pStyle w:val="BodyText"/>
        <w:spacing w:before="1"/>
        <w:ind w:left="0"/>
        <w:rPr>
          <w:sz w:val="14"/>
        </w:rPr>
      </w:pPr>
    </w:p>
    <w:p>
      <w:pPr>
        <w:pStyle w:val="BodyText"/>
      </w:pPr>
      <w:r>
        <w:rPr/>
        <w:t>二十一、 严重原发性肺动脉高压</w:t>
      </w:r>
    </w:p>
    <w:p>
      <w:pPr>
        <w:pStyle w:val="BodyText"/>
        <w:spacing w:line="273" w:lineRule="auto" w:before="99"/>
        <w:ind w:right="116"/>
      </w:pPr>
      <w:r>
        <w:rPr>
          <w:spacing w:val="-3"/>
        </w:rPr>
        <w:t>指不明原因的肺动脉压力持续性增高，进行性发展而导致的慢性疾病，已经造成永</w:t>
      </w:r>
      <w:r>
        <w:rPr>
          <w:spacing w:val="-5"/>
        </w:rPr>
        <w:t>久不可逆性的体力活动能力受限，达到美国纽约心脏病学会心功能状态分级 </w:t>
      </w:r>
      <w:r>
        <w:rPr/>
        <w:t>IV</w:t>
      </w:r>
      <w:r>
        <w:rPr>
          <w:spacing w:val="-14"/>
        </w:rPr>
        <w:t> 级， </w:t>
      </w:r>
      <w:r>
        <w:rPr>
          <w:spacing w:val="-6"/>
        </w:rPr>
        <w:t>且静息状态下肺动脉平均压超过 </w:t>
      </w:r>
      <w:r>
        <w:rPr/>
        <w:t>30mmHg。</w:t>
      </w:r>
    </w:p>
    <w:p>
      <w:pPr>
        <w:pStyle w:val="BodyText"/>
        <w:ind w:left="0"/>
        <w:rPr>
          <w:sz w:val="20"/>
        </w:rPr>
      </w:pPr>
    </w:p>
    <w:p>
      <w:pPr>
        <w:pStyle w:val="BodyText"/>
        <w:ind w:left="0"/>
        <w:rPr>
          <w:sz w:val="14"/>
        </w:rPr>
      </w:pPr>
    </w:p>
    <w:p>
      <w:pPr>
        <w:pStyle w:val="BodyText"/>
      </w:pPr>
      <w:r>
        <w:rPr/>
        <w:t>二十二、 严重运动神经元病</w:t>
      </w:r>
    </w:p>
    <w:p>
      <w:pPr>
        <w:pStyle w:val="BodyText"/>
        <w:spacing w:line="271" w:lineRule="auto" w:before="99"/>
        <w:ind w:right="18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ind w:left="0"/>
        <w:rPr>
          <w:sz w:val="20"/>
        </w:rPr>
      </w:pPr>
    </w:p>
    <w:p>
      <w:pPr>
        <w:pStyle w:val="BodyText"/>
        <w:spacing w:before="1"/>
        <w:ind w:left="0"/>
        <w:rPr>
          <w:sz w:val="14"/>
        </w:rPr>
      </w:pPr>
    </w:p>
    <w:p>
      <w:pPr>
        <w:pStyle w:val="BodyText"/>
      </w:pPr>
      <w:r>
        <w:rPr/>
        <w:t>二十三、 语言能力丧失-被保险人出生满 36 个月后出现症状</w:t>
      </w:r>
    </w:p>
    <w:p>
      <w:pPr>
        <w:pStyle w:val="BodyText"/>
        <w:spacing w:line="273" w:lineRule="auto" w:before="99"/>
        <w:ind w:right="180"/>
      </w:pPr>
      <w:r>
        <w:rPr>
          <w:spacing w:val="-7"/>
        </w:rPr>
        <w:t>指因疾病或意外伤害导致完全丧失语言能力，经过积极治疗至少 </w:t>
      </w:r>
      <w:r>
        <w:rPr/>
        <w:t>12</w:t>
      </w:r>
      <w:r>
        <w:rPr>
          <w:spacing w:val="-25"/>
        </w:rPr>
        <w:t> 个月</w:t>
      </w:r>
      <w:r>
        <w:rPr>
          <w:spacing w:val="-3"/>
        </w:rPr>
        <w:t>（</w:t>
      </w:r>
      <w:r>
        <w:rPr>
          <w:spacing w:val="-2"/>
        </w:rPr>
        <w:t>声带完全</w:t>
      </w:r>
      <w:r>
        <w:rPr>
          <w:spacing w:val="-3"/>
        </w:rPr>
        <w:t>切除不受此时间限制</w:t>
      </w:r>
      <w:r>
        <w:rPr/>
        <w:t>）</w:t>
      </w:r>
      <w:r>
        <w:rPr>
          <w:spacing w:val="-3"/>
        </w:rPr>
        <w:t>，仍无法通过现有医疗手段恢复。</w:t>
      </w:r>
    </w:p>
    <w:p>
      <w:pPr>
        <w:pStyle w:val="Heading2"/>
      </w:pPr>
      <w:r>
        <w:rPr>
          <w:u w:val="single"/>
        </w:rPr>
        <w:t>精神心理因素所致的语言能力丧失不在保障范围内。 </w:t>
      </w:r>
    </w:p>
    <w:p>
      <w:pPr>
        <w:pStyle w:val="BodyText"/>
        <w:ind w:left="0"/>
        <w:rPr>
          <w:b/>
          <w:sz w:val="20"/>
        </w:rPr>
      </w:pPr>
    </w:p>
    <w:p>
      <w:pPr>
        <w:pStyle w:val="BodyText"/>
        <w:spacing w:before="3"/>
        <w:ind w:left="0"/>
        <w:rPr>
          <w:b/>
          <w:sz w:val="16"/>
        </w:rPr>
      </w:pPr>
    </w:p>
    <w:p>
      <w:pPr>
        <w:pStyle w:val="BodyText"/>
      </w:pPr>
      <w:r>
        <w:rPr/>
        <w:t>二十四、 重型再生障碍性贫血</w:t>
      </w:r>
    </w:p>
    <w:p>
      <w:pPr>
        <w:pStyle w:val="BodyText"/>
        <w:spacing w:line="273" w:lineRule="auto" w:before="96"/>
        <w:ind w:right="186"/>
      </w:pPr>
      <w:r>
        <w:rPr/>
        <w:t>指因骨髓造血功能慢性持续性衰竭导致的贫血、中性粒细胞减少及血小板减少。须满足下列全部条件：</w:t>
      </w:r>
    </w:p>
    <w:p>
      <w:pPr>
        <w:pStyle w:val="BodyText"/>
        <w:spacing w:before="69"/>
      </w:pPr>
      <w:r>
        <w:rPr/>
        <w:t>（一）骨髓穿刺检查或骨髓活检结果支持诊断；</w:t>
      </w:r>
    </w:p>
    <w:p>
      <w:pPr>
        <w:pStyle w:val="BodyText"/>
        <w:spacing w:before="99"/>
      </w:pPr>
      <w:r>
        <w:rPr/>
        <w:t>（二）外周血象须具备以下三项条件：</w:t>
      </w:r>
    </w:p>
    <w:p>
      <w:pPr>
        <w:pStyle w:val="BodyText"/>
        <w:spacing w:before="99"/>
      </w:pPr>
      <w:r>
        <w:rPr/>
        <w:t>① 中性粒细胞绝对值≤0.5×10</w:t>
      </w:r>
      <w:r>
        <w:rPr>
          <w:position w:val="11"/>
          <w:sz w:val="11"/>
        </w:rPr>
        <w:t>9</w:t>
      </w:r>
      <w:r>
        <w:rPr/>
        <w:t>/L ；</w:t>
      </w:r>
    </w:p>
    <w:p>
      <w:pPr>
        <w:pStyle w:val="BodyText"/>
        <w:spacing w:before="99"/>
      </w:pPr>
      <w:r>
        <w:rPr/>
        <w:t>② 网织红细胞＜1％；</w:t>
      </w:r>
    </w:p>
    <w:p>
      <w:pPr>
        <w:spacing w:after="0"/>
        <w:sectPr>
          <w:pgSz w:w="11910" w:h="16840"/>
          <w:pgMar w:header="0" w:footer="809" w:top="1080" w:bottom="1080" w:left="1680" w:right="780"/>
        </w:sectPr>
      </w:pPr>
    </w:p>
    <w:p>
      <w:pPr>
        <w:pStyle w:val="BodyText"/>
        <w:spacing w:before="44"/>
      </w:pPr>
      <w:r>
        <w:rPr/>
        <w:t>③ 血小板绝对值≤20×10</w:t>
      </w:r>
      <w:r>
        <w:rPr>
          <w:position w:val="11"/>
          <w:sz w:val="11"/>
        </w:rPr>
        <w:t>9</w:t>
      </w:r>
      <w:r>
        <w:rPr/>
        <w:t>/L。</w:t>
      </w:r>
    </w:p>
    <w:p>
      <w:pPr>
        <w:pStyle w:val="BodyText"/>
        <w:ind w:left="0"/>
        <w:rPr>
          <w:sz w:val="22"/>
        </w:rPr>
      </w:pPr>
    </w:p>
    <w:p>
      <w:pPr>
        <w:pStyle w:val="BodyText"/>
        <w:spacing w:before="186"/>
      </w:pPr>
      <w:r>
        <w:rPr/>
        <w:t>二十五、 主动脉手术</w:t>
      </w:r>
    </w:p>
    <w:p>
      <w:pPr>
        <w:spacing w:line="273" w:lineRule="auto" w:before="99"/>
        <w:ind w:left="1661" w:right="184"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主动脉指胸主动脉和腹主动脉，不包括胸主动脉和腹主动脉的分支血管。 </w:t>
      </w:r>
    </w:p>
    <w:p>
      <w:pPr>
        <w:pStyle w:val="Heading2"/>
        <w:spacing w:before="69"/>
        <w:jc w:val="both"/>
      </w:pPr>
      <w:r>
        <w:rPr>
          <w:u w:val="single"/>
        </w:rPr>
        <w:t>动脉内血管成形术不在保障范围内。</w:t>
      </w:r>
    </w:p>
    <w:p>
      <w:pPr>
        <w:pStyle w:val="BodyText"/>
        <w:ind w:left="0"/>
        <w:rPr>
          <w:b/>
          <w:sz w:val="20"/>
        </w:rPr>
      </w:pPr>
    </w:p>
    <w:p>
      <w:pPr>
        <w:pStyle w:val="BodyText"/>
        <w:spacing w:before="12"/>
        <w:ind w:left="0"/>
        <w:rPr>
          <w:b/>
          <w:sz w:val="15"/>
        </w:rPr>
      </w:pPr>
    </w:p>
    <w:p>
      <w:pPr>
        <w:pStyle w:val="BodyText"/>
        <w:spacing w:before="1"/>
      </w:pPr>
      <w:r>
        <w:rPr/>
        <w:t>二十六、 严重多发性硬化</w:t>
      </w:r>
    </w:p>
    <w:p>
      <w:pPr>
        <w:pStyle w:val="BodyText"/>
        <w:spacing w:line="273" w:lineRule="auto" w:before="99"/>
        <w:ind w:right="180"/>
        <w:jc w:val="both"/>
      </w:pPr>
      <w:r>
        <w:rPr>
          <w:spacing w:val="-3"/>
        </w:rPr>
        <w:t>多发性硬化为中枢神经系统白质多灶性脱髓鞘病变，病变有时累及灰质。多发性硬化必须明确诊断并由核磁共振(</w:t>
      </w:r>
      <w:r>
        <w:rPr/>
        <w:t>MRI</w:t>
      </w:r>
      <w:r>
        <w:rPr>
          <w:spacing w:val="-10"/>
        </w:rPr>
        <w:t>)等影像学检验证实，而且已经造成永久的神经系</w:t>
      </w:r>
      <w:r>
        <w:rPr>
          <w:spacing w:val="-7"/>
        </w:rPr>
        <w:t>统功能损害，导致被保险人持续 </w:t>
      </w:r>
      <w:r>
        <w:rPr/>
        <w:t>180</w:t>
      </w:r>
      <w:r>
        <w:rPr>
          <w:spacing w:val="-7"/>
        </w:rPr>
        <w:t> 天无法独立完成下列基本日常生活活动：</w:t>
      </w:r>
    </w:p>
    <w:p>
      <w:pPr>
        <w:pStyle w:val="BodyText"/>
        <w:spacing w:before="70"/>
      </w:pPr>
      <w:r>
        <w:rPr/>
        <w:t>(一)移动：自己从一个房间到另一个房间；或者</w:t>
      </w:r>
    </w:p>
    <w:p>
      <w:pPr>
        <w:pStyle w:val="BodyText"/>
        <w:spacing w:before="99"/>
      </w:pPr>
      <w:r>
        <w:rPr/>
        <w:t>(二)进食：自己从已准备好的碗或碟中取食物放入口中。</w:t>
      </w:r>
    </w:p>
    <w:p>
      <w:pPr>
        <w:pStyle w:val="BodyText"/>
        <w:ind w:left="0"/>
        <w:rPr>
          <w:sz w:val="20"/>
        </w:rPr>
      </w:pPr>
    </w:p>
    <w:p>
      <w:pPr>
        <w:pStyle w:val="BodyText"/>
        <w:spacing w:before="2"/>
        <w:ind w:left="0"/>
        <w:rPr>
          <w:sz w:val="16"/>
        </w:rPr>
      </w:pPr>
    </w:p>
    <w:p>
      <w:pPr>
        <w:pStyle w:val="BodyText"/>
      </w:pPr>
      <w:r>
        <w:rPr/>
        <w:t>二十七、 严重冠心病</w:t>
      </w:r>
    </w:p>
    <w:p>
      <w:pPr>
        <w:spacing w:line="273" w:lineRule="auto" w:before="97"/>
        <w:ind w:left="1661" w:right="113" w:firstLine="0"/>
        <w:jc w:val="left"/>
        <w:rPr>
          <w:b/>
          <w:sz w:val="21"/>
        </w:rPr>
      </w:pPr>
      <w:r>
        <w:rPr>
          <w:spacing w:val="-3"/>
          <w:sz w:val="21"/>
        </w:rPr>
        <w:t>指根据冠状动脉造影检查结果确诊的三支主要血管(左冠状动脉主干、右冠状动脉、前降支、左旋支中的任意三支)严重狭窄性病变(至少一支血管管腔直径减少 </w:t>
      </w:r>
      <w:r>
        <w:rPr>
          <w:sz w:val="21"/>
        </w:rPr>
        <w:t>75%以</w:t>
      </w:r>
      <w:r>
        <w:rPr>
          <w:spacing w:val="-6"/>
          <w:sz w:val="21"/>
        </w:rPr>
        <w:t>上和其他两支血管管腔直径减少 </w:t>
      </w:r>
      <w:r>
        <w:rPr>
          <w:sz w:val="21"/>
        </w:rPr>
        <w:t>60</w:t>
      </w:r>
      <w:r>
        <w:rPr>
          <w:spacing w:val="-5"/>
          <w:sz w:val="21"/>
        </w:rPr>
        <w:t>%以上)。</w:t>
      </w:r>
      <w:r>
        <w:rPr>
          <w:b/>
          <w:spacing w:val="-4"/>
          <w:sz w:val="21"/>
          <w:u w:val="single"/>
        </w:rPr>
        <w:t>前降支、左旋支及右冠状动脉的分支血管的狭窄不作为本保障的衡量指标。</w:t>
      </w:r>
    </w:p>
    <w:p>
      <w:pPr>
        <w:pStyle w:val="BodyText"/>
        <w:ind w:left="0"/>
        <w:rPr>
          <w:b/>
          <w:sz w:val="20"/>
        </w:rPr>
      </w:pPr>
    </w:p>
    <w:p>
      <w:pPr>
        <w:pStyle w:val="BodyText"/>
        <w:spacing w:before="12"/>
        <w:ind w:left="0"/>
        <w:rPr>
          <w:b/>
          <w:sz w:val="13"/>
        </w:rPr>
      </w:pPr>
    </w:p>
    <w:p>
      <w:pPr>
        <w:pStyle w:val="BodyText"/>
        <w:spacing w:before="1"/>
      </w:pPr>
      <w:r>
        <w:rPr/>
        <w:t>二十八、 严重类风湿性关节炎</w:t>
      </w:r>
    </w:p>
    <w:p>
      <w:pPr>
        <w:pStyle w:val="BodyText"/>
        <w:spacing w:line="273" w:lineRule="auto" w:before="99"/>
        <w:ind w:right="180"/>
        <w:jc w:val="both"/>
      </w:pPr>
      <w:r>
        <w:rPr>
          <w:spacing w:val="-3"/>
        </w:rPr>
        <w:t>类风湿性关节炎为广泛分布的慢性进行性多关节病变，表现为关节严重变形，侵犯至少三个主要关节或关节组，[如:双手(多手指)关节、双足(多足趾)关节、双腕关</w:t>
      </w:r>
      <w:r>
        <w:rPr>
          <w:spacing w:val="-10"/>
        </w:rPr>
        <w:t>节、双膝关节和双髋关节]。被保人所患的类风湿性关节炎必须明确诊断并且已经达</w:t>
      </w:r>
      <w:r>
        <w:rPr>
          <w:spacing w:val="-8"/>
        </w:rPr>
        <w:t>到类风湿性关节炎功能分级 </w:t>
      </w:r>
      <w:r>
        <w:rPr/>
        <w:t>IV</w:t>
      </w:r>
      <w:r>
        <w:rPr>
          <w:spacing w:val="-10"/>
        </w:rPr>
        <w:t> 级的永久不可逆性关节功能障碍</w:t>
      </w:r>
      <w:r>
        <w:rPr>
          <w:spacing w:val="-3"/>
        </w:rPr>
        <w:t>（</w:t>
      </w:r>
      <w:r>
        <w:rPr>
          <w:spacing w:val="-7"/>
        </w:rPr>
        <w:t>生活不能自理，且</w:t>
      </w:r>
      <w:r>
        <w:rPr>
          <w:spacing w:val="-5"/>
        </w:rPr>
        <w:t>丧失工作能力</w:t>
      </w:r>
      <w:r>
        <w:rPr>
          <w:spacing w:val="-3"/>
        </w:rPr>
        <w:t>）并须满足下列全部条件：</w:t>
      </w:r>
    </w:p>
    <w:p>
      <w:pPr>
        <w:pStyle w:val="BodyText"/>
        <w:spacing w:before="69"/>
        <w:jc w:val="both"/>
      </w:pPr>
      <w:r>
        <w:rPr/>
        <w:t>(一)晨僵；</w:t>
      </w:r>
    </w:p>
    <w:p>
      <w:pPr>
        <w:pStyle w:val="BodyText"/>
        <w:spacing w:before="99"/>
        <w:jc w:val="both"/>
      </w:pPr>
      <w:r>
        <w:rPr/>
        <w:t>(二)对称性关节炎；</w:t>
      </w:r>
    </w:p>
    <w:p>
      <w:pPr>
        <w:pStyle w:val="BodyText"/>
        <w:spacing w:before="97"/>
        <w:jc w:val="both"/>
      </w:pPr>
      <w:r>
        <w:rPr/>
        <w:t>(三)类风湿性皮下结节；</w:t>
      </w:r>
    </w:p>
    <w:p>
      <w:pPr>
        <w:pStyle w:val="BodyText"/>
        <w:spacing w:before="99"/>
        <w:jc w:val="both"/>
      </w:pPr>
      <w:r>
        <w:rPr/>
        <w:t>(四)类风湿因子滴度升高；</w:t>
      </w:r>
    </w:p>
    <w:p>
      <w:pPr>
        <w:pStyle w:val="BodyText"/>
        <w:spacing w:before="99"/>
        <w:jc w:val="both"/>
      </w:pPr>
      <w:r>
        <w:rPr/>
        <w:t>(五)X 线显示严重的关节(软骨和骨)破坏和关节畸形。</w:t>
      </w:r>
    </w:p>
    <w:p>
      <w:pPr>
        <w:pStyle w:val="BodyText"/>
        <w:ind w:left="0"/>
        <w:rPr>
          <w:sz w:val="20"/>
        </w:rPr>
      </w:pPr>
    </w:p>
    <w:p>
      <w:pPr>
        <w:pStyle w:val="BodyText"/>
        <w:spacing w:before="3"/>
        <w:ind w:left="0"/>
        <w:rPr>
          <w:sz w:val="16"/>
        </w:rPr>
      </w:pPr>
    </w:p>
    <w:p>
      <w:pPr>
        <w:pStyle w:val="BodyText"/>
        <w:jc w:val="both"/>
      </w:pPr>
      <w:r>
        <w:rPr/>
        <w:t>二十九、系统性红斑狼疮——III 型或以上狼疮性肾炎</w:t>
      </w:r>
    </w:p>
    <w:p>
      <w:pPr>
        <w:spacing w:line="271" w:lineRule="auto" w:before="99"/>
        <w:ind w:left="1661" w:right="181" w:firstLine="0"/>
        <w:jc w:val="both"/>
        <w:rPr>
          <w:b/>
          <w:sz w:val="21"/>
        </w:rPr>
      </w:pPr>
      <w:r>
        <w:rPr>
          <w:spacing w:val="-3"/>
          <w:sz w:val="21"/>
        </w:rPr>
        <w:t>是指由于病理性自身抗体和免疫复合物的沉积破坏了血管和细胞而导致的多系统损害的一种自体免疫性疾病。本合同所指的系统性红斑狼疮仅限于累及肾脏（</w:t>
      </w:r>
      <w:r>
        <w:rPr>
          <w:sz w:val="21"/>
        </w:rPr>
        <w:t>经肾脏</w:t>
      </w:r>
      <w:r>
        <w:rPr>
          <w:spacing w:val="-10"/>
          <w:sz w:val="21"/>
        </w:rPr>
        <w:t>病理检查或临床确诊，并符合下列世界卫生组织</w:t>
      </w:r>
      <w:r>
        <w:rPr>
          <w:sz w:val="21"/>
        </w:rPr>
        <w:t>(WHO)</w:t>
      </w:r>
      <w:r>
        <w:rPr>
          <w:spacing w:val="-3"/>
          <w:sz w:val="21"/>
        </w:rPr>
        <w:t>诊断标准定义Ⅲ型至Ⅴ型狼疮性肾炎）的系统性红斑狼疮。</w:t>
      </w:r>
      <w:r>
        <w:rPr>
          <w:b/>
          <w:sz w:val="21"/>
          <w:u w:val="single"/>
        </w:rPr>
        <w:t>其他类型的红斑性狼疮，如盘状狼疮，仅累及血液及关节等其他系统的</w:t>
      </w:r>
      <w:r>
        <w:rPr>
          <w:b/>
          <w:spacing w:val="-212"/>
          <w:sz w:val="21"/>
          <w:u w:val="single"/>
        </w:rPr>
        <w:t>系</w:t>
      </w:r>
      <w:r>
        <w:rPr>
          <w:b/>
          <w:spacing w:val="-3"/>
          <w:sz w:val="21"/>
          <w:u w:val="single"/>
        </w:rPr>
        <w:t>统性红斑狼疮不在保障范围。</w:t>
      </w:r>
    </w:p>
    <w:p>
      <w:pPr>
        <w:pStyle w:val="BodyText"/>
        <w:spacing w:before="72"/>
        <w:jc w:val="both"/>
      </w:pPr>
      <w:r>
        <w:rPr/>
        <w:t>世界卫生组织(WHO)狼疮性肾炎分型：</w:t>
      </w:r>
    </w:p>
    <w:p>
      <w:pPr>
        <w:pStyle w:val="BodyText"/>
        <w:spacing w:before="99"/>
        <w:jc w:val="both"/>
      </w:pPr>
      <w:r>
        <w:rPr/>
        <w:t>Ⅰ型(微小病变型)镜下阴性，尿液正常；</w:t>
      </w:r>
    </w:p>
    <w:p>
      <w:pPr>
        <w:spacing w:after="0"/>
        <w:jc w:val="both"/>
        <w:sectPr>
          <w:pgSz w:w="11910" w:h="16840"/>
          <w:pgMar w:header="0" w:footer="809" w:top="1120" w:bottom="1080" w:left="1680" w:right="780"/>
        </w:sectPr>
      </w:pPr>
    </w:p>
    <w:p>
      <w:pPr>
        <w:pStyle w:val="BodyText"/>
        <w:spacing w:before="24"/>
      </w:pPr>
      <w:r>
        <w:rPr/>
        <w:t>Ⅱ型(系膜病变型)中度蛋白尿，偶有尿沉渣改变；</w:t>
      </w:r>
    </w:p>
    <w:p>
      <w:pPr>
        <w:pStyle w:val="BodyText"/>
        <w:spacing w:before="99"/>
      </w:pPr>
      <w:r>
        <w:rPr/>
        <w:t>Ⅲ型(局灶及节段增生型)蛋白尿，尿沉渣改变；</w:t>
      </w:r>
    </w:p>
    <w:p>
      <w:pPr>
        <w:pStyle w:val="BodyText"/>
        <w:spacing w:before="99"/>
      </w:pPr>
      <w:r>
        <w:rPr/>
        <w:t>Ⅳ型(弥漫增生型)急性肾炎伴有尿沉渣改变及/或肾病综合征；</w:t>
      </w:r>
    </w:p>
    <w:p>
      <w:pPr>
        <w:pStyle w:val="BodyText"/>
        <w:spacing w:before="99"/>
      </w:pPr>
      <w:r>
        <w:rPr/>
        <w:t>Ⅴ型(膜型)肾病综合征或重度蛋白尿。</w:t>
      </w:r>
    </w:p>
    <w:p>
      <w:pPr>
        <w:pStyle w:val="BodyText"/>
        <w:ind w:left="0"/>
        <w:rPr>
          <w:sz w:val="20"/>
        </w:rPr>
      </w:pPr>
    </w:p>
    <w:p>
      <w:pPr>
        <w:pStyle w:val="BodyText"/>
        <w:spacing w:before="3"/>
        <w:ind w:left="0"/>
        <w:rPr>
          <w:sz w:val="16"/>
        </w:rPr>
      </w:pPr>
    </w:p>
    <w:p>
      <w:pPr>
        <w:pStyle w:val="BodyText"/>
      </w:pPr>
      <w:r>
        <w:rPr/>
        <w:t>三十、严重慢性呼吸功能衰竭</w:t>
      </w:r>
    </w:p>
    <w:p>
      <w:pPr>
        <w:pStyle w:val="BodyText"/>
        <w:spacing w:line="273" w:lineRule="auto" w:before="97"/>
        <w:ind w:right="226"/>
      </w:pPr>
      <w:r>
        <w:rPr/>
        <w:t>慢性肺部疾病导致永久不可逆性的慢性呼吸功能衰竭，必须由呼吸专科医师确认并符合下列所有条件：</w:t>
      </w:r>
    </w:p>
    <w:p>
      <w:pPr>
        <w:pStyle w:val="BodyText"/>
        <w:spacing w:before="70"/>
      </w:pPr>
      <w:r>
        <w:rPr/>
        <w:t>（一）肺功能测试其 FEV1 持续低于 0.75 升；</w:t>
      </w:r>
    </w:p>
    <w:p>
      <w:pPr>
        <w:pStyle w:val="BodyText"/>
        <w:spacing w:before="99"/>
      </w:pPr>
      <w:r>
        <w:rPr/>
        <w:t>（二）病人缺氧必须广泛而持续地进行输氧治疗；</w:t>
      </w:r>
    </w:p>
    <w:p>
      <w:pPr>
        <w:pStyle w:val="BodyText"/>
        <w:spacing w:before="99"/>
      </w:pPr>
      <w:r>
        <w:rPr/>
        <w:t>（三）动脉血气分析氧分压低于 55mmHg。</w:t>
      </w:r>
    </w:p>
    <w:p>
      <w:pPr>
        <w:pStyle w:val="BodyText"/>
        <w:spacing w:before="99"/>
      </w:pPr>
      <w:r>
        <w:rPr/>
        <w:t>理赔时必须提供以上三项相应的证明文件或检查报告。</w:t>
      </w:r>
    </w:p>
    <w:p>
      <w:pPr>
        <w:pStyle w:val="BodyText"/>
        <w:ind w:left="0"/>
        <w:rPr>
          <w:sz w:val="20"/>
        </w:rPr>
      </w:pPr>
    </w:p>
    <w:p>
      <w:pPr>
        <w:pStyle w:val="BodyText"/>
        <w:ind w:left="0"/>
        <w:rPr>
          <w:sz w:val="16"/>
        </w:rPr>
      </w:pPr>
    </w:p>
    <w:p>
      <w:pPr>
        <w:pStyle w:val="BodyText"/>
      </w:pPr>
      <w:r>
        <w:rPr/>
        <w:t>三十一、全身性重症肌无力</w:t>
      </w:r>
    </w:p>
    <w:p>
      <w:pPr>
        <w:pStyle w:val="BodyText"/>
        <w:spacing w:line="273" w:lineRule="auto" w:before="99"/>
        <w:ind w:right="115"/>
      </w:pPr>
      <w:r>
        <w:rPr>
          <w:spacing w:val="-10"/>
        </w:rPr>
        <w:t>重症肌无力是一种神经肌肉接头传递障碍所致的疾病，表现为局部或全身骨骼肌</w:t>
      </w:r>
      <w:r>
        <w:rPr>
          <w:spacing w:val="-3"/>
        </w:rPr>
        <w:t>（</w:t>
      </w:r>
      <w:r>
        <w:rPr/>
        <w:t>特</w:t>
      </w:r>
      <w:r>
        <w:rPr>
          <w:spacing w:val="-2"/>
        </w:rPr>
        <w:t>别是眼外肌</w:t>
      </w:r>
      <w:r>
        <w:rPr>
          <w:spacing w:val="-25"/>
        </w:rPr>
        <w:t>）</w:t>
      </w:r>
      <w:r>
        <w:rPr>
          <w:spacing w:val="-8"/>
        </w:rPr>
        <w:t>极易疲劳。疾病可以累及呼吸肌、上肢或下肢的近端肌群或全身肌肉， </w:t>
      </w:r>
      <w:r>
        <w:rPr>
          <w:spacing w:val="-5"/>
        </w:rPr>
        <w:t>必须满足下列全部条件：</w:t>
      </w:r>
    </w:p>
    <w:p>
      <w:pPr>
        <w:pStyle w:val="BodyText"/>
        <w:spacing w:before="70"/>
      </w:pPr>
      <w:r>
        <w:rPr/>
        <w:t>（一）经药物治疗和胸腺切除治疗一年以上仍无法控制病情；</w:t>
      </w:r>
    </w:p>
    <w:p>
      <w:pPr>
        <w:pStyle w:val="BodyText"/>
        <w:spacing w:line="273" w:lineRule="auto" w:before="99"/>
        <w:ind w:right="226"/>
      </w:pPr>
      <w:r>
        <w:rPr/>
        <w:t>（二）自主生活能力完全丧失，无法独立完成六项基本日常生活活动中的三项或三项以上。</w:t>
      </w:r>
    </w:p>
    <w:p>
      <w:pPr>
        <w:pStyle w:val="BodyText"/>
        <w:ind w:left="0"/>
        <w:rPr>
          <w:sz w:val="20"/>
        </w:rPr>
      </w:pPr>
    </w:p>
    <w:p>
      <w:pPr>
        <w:pStyle w:val="BodyText"/>
        <w:spacing w:before="12"/>
        <w:ind w:left="0"/>
        <w:rPr>
          <w:sz w:val="13"/>
        </w:rPr>
      </w:pPr>
    </w:p>
    <w:p>
      <w:pPr>
        <w:pStyle w:val="BodyText"/>
      </w:pPr>
      <w:r>
        <w:rPr/>
        <w:t>三十二、严重原发性心肌病</w:t>
      </w:r>
    </w:p>
    <w:p>
      <w:pPr>
        <w:pStyle w:val="BodyText"/>
        <w:spacing w:line="273" w:lineRule="auto" w:before="97"/>
        <w:ind w:right="223"/>
        <w:jc w:val="both"/>
      </w:pPr>
      <w:r>
        <w:rPr>
          <w:spacing w:val="-3"/>
        </w:rPr>
        <w:t>指因原发性心肌病导致心室功能损害造成永久不可逆性的心功能衰竭，心功能衰竭</w:t>
      </w:r>
      <w:r>
        <w:rPr>
          <w:spacing w:val="-5"/>
        </w:rPr>
        <w:t>程度达到美国纽约心脏病学会心功能状态分级 </w:t>
      </w:r>
      <w:r>
        <w:rPr/>
        <w:t>IV</w:t>
      </w:r>
      <w:r>
        <w:rPr>
          <w:spacing w:val="-12"/>
        </w:rPr>
        <w:t> 级。必须由心脏专科医生确诊，并</w:t>
      </w:r>
      <w:r>
        <w:rPr>
          <w:spacing w:val="-6"/>
        </w:rPr>
        <w:t>有包括超声心动图在内的相关检查证实。</w:t>
      </w:r>
    </w:p>
    <w:p>
      <w:pPr>
        <w:pStyle w:val="Heading2"/>
      </w:pPr>
      <w:r>
        <w:rPr>
          <w:u w:val="single"/>
        </w:rPr>
        <w:t>酗酒或滥用药物引起的心肌病不在保险责任范围内。</w:t>
      </w:r>
    </w:p>
    <w:p>
      <w:pPr>
        <w:pStyle w:val="BodyText"/>
        <w:ind w:left="0"/>
        <w:rPr>
          <w:b/>
          <w:sz w:val="20"/>
        </w:rPr>
      </w:pPr>
    </w:p>
    <w:p>
      <w:pPr>
        <w:pStyle w:val="BodyText"/>
        <w:spacing w:before="2"/>
        <w:ind w:left="0"/>
        <w:rPr>
          <w:b/>
          <w:sz w:val="16"/>
        </w:rPr>
      </w:pPr>
    </w:p>
    <w:p>
      <w:pPr>
        <w:pStyle w:val="BodyText"/>
        <w:spacing w:before="1"/>
      </w:pPr>
      <w:r>
        <w:rPr/>
        <w:t>三十三、坏死性筋膜炎</w:t>
      </w:r>
    </w:p>
    <w:p>
      <w:pPr>
        <w:pStyle w:val="BodyText"/>
        <w:spacing w:line="273" w:lineRule="auto" w:before="99"/>
        <w:ind w:right="226"/>
        <w:jc w:val="both"/>
      </w:pPr>
      <w:r>
        <w:rPr/>
        <w:t>坏死性筋膜炎是一种由细菌侵入皮下组织和筋膜引起的急性坏死性软组织感染，可伴有毒血症、败血症、中毒性休克、弥漫性血管内凝血及多器官衰竭。其诊断必须满足以下所有条件：</w:t>
      </w:r>
    </w:p>
    <w:p>
      <w:pPr>
        <w:pStyle w:val="BodyText"/>
        <w:spacing w:before="69"/>
        <w:jc w:val="both"/>
      </w:pPr>
      <w:r>
        <w:rPr/>
        <w:t>（1）细菌培养和临床表现符合坏死性筋膜炎诊断标准；</w:t>
      </w:r>
    </w:p>
    <w:p>
      <w:pPr>
        <w:pStyle w:val="BodyText"/>
        <w:spacing w:before="96"/>
        <w:jc w:val="both"/>
      </w:pPr>
      <w:r>
        <w:rPr/>
        <w:t>（2）病情迅速恶化，有脓毒血症表现；</w:t>
      </w:r>
    </w:p>
    <w:p>
      <w:pPr>
        <w:pStyle w:val="BodyText"/>
        <w:spacing w:before="99"/>
        <w:jc w:val="both"/>
      </w:pPr>
      <w:r>
        <w:rPr/>
        <w:t>（3）受感染肢体被截肢（自腕关节或踝关节近端）。</w:t>
      </w:r>
    </w:p>
    <w:p>
      <w:pPr>
        <w:pStyle w:val="BodyText"/>
        <w:ind w:left="0"/>
        <w:rPr>
          <w:sz w:val="20"/>
        </w:rPr>
      </w:pPr>
    </w:p>
    <w:p>
      <w:pPr>
        <w:pStyle w:val="BodyText"/>
        <w:spacing w:before="2"/>
        <w:ind w:left="0"/>
        <w:rPr>
          <w:sz w:val="16"/>
        </w:rPr>
      </w:pPr>
    </w:p>
    <w:p>
      <w:pPr>
        <w:pStyle w:val="BodyText"/>
        <w:jc w:val="both"/>
      </w:pPr>
      <w:r>
        <w:rPr/>
        <w:t>三十四、严重慢性复发性胰腺炎</w:t>
      </w:r>
    </w:p>
    <w:p>
      <w:pPr>
        <w:pStyle w:val="BodyText"/>
        <w:spacing w:line="273" w:lineRule="auto" w:before="99"/>
        <w:ind w:right="226"/>
      </w:pPr>
      <w:r>
        <w:rPr/>
        <w:t>指慢性反复发作的胰腺炎症导致胰腺的广泛纤维化、坏死、弥漫性钙化及假性囊肿形成，造成胰腺功能障碍出现严重糖尿病和营养不良。必须满足以下所有条件：</w:t>
      </w:r>
    </w:p>
    <w:p>
      <w:pPr>
        <w:pStyle w:val="BodyText"/>
        <w:spacing w:before="70"/>
        <w:jc w:val="both"/>
      </w:pPr>
      <w:r>
        <w:rPr/>
        <w:t>（一</w:t>
      </w:r>
      <w:r>
        <w:rPr>
          <w:spacing w:val="-12"/>
        </w:rPr>
        <w:t>）CT</w:t>
      </w:r>
      <w:r>
        <w:rPr>
          <w:spacing w:val="-5"/>
        </w:rPr>
        <w:t> 显示胰腺广泛钙化或逆行胰胆管造影</w:t>
      </w:r>
      <w:r>
        <w:rPr>
          <w:spacing w:val="-7"/>
        </w:rPr>
        <w:t>（ERCP）显示胰管扭曲、扩张和狭窄；</w:t>
      </w:r>
    </w:p>
    <w:p>
      <w:pPr>
        <w:pStyle w:val="BodyText"/>
        <w:spacing w:before="35"/>
        <w:jc w:val="both"/>
      </w:pPr>
      <w:r>
        <w:rPr/>
        <w:t>（二）接受胰岛素替代治疗和酶替代治疗 180 天以上。</w:t>
      </w:r>
    </w:p>
    <w:p>
      <w:pPr>
        <w:spacing w:after="0"/>
        <w:jc w:val="both"/>
        <w:sectPr>
          <w:pgSz w:w="11910" w:h="16840"/>
          <w:pgMar w:header="0" w:footer="809" w:top="1140" w:bottom="1080" w:left="1680" w:right="740"/>
        </w:sectPr>
      </w:pPr>
    </w:p>
    <w:p>
      <w:pPr>
        <w:pStyle w:val="Heading2"/>
        <w:spacing w:before="24"/>
      </w:pPr>
      <w:r>
        <w:rPr>
          <w:u w:val="single"/>
        </w:rPr>
        <w:t>酒精导致的慢性复发性胰腺炎不在本保障范围内。</w:t>
      </w:r>
    </w:p>
    <w:p>
      <w:pPr>
        <w:pStyle w:val="BodyText"/>
        <w:ind w:left="0"/>
        <w:rPr>
          <w:b/>
          <w:sz w:val="20"/>
        </w:rPr>
      </w:pPr>
    </w:p>
    <w:p>
      <w:pPr>
        <w:pStyle w:val="BodyText"/>
        <w:spacing w:before="2"/>
        <w:ind w:left="0"/>
        <w:rPr>
          <w:b/>
          <w:sz w:val="16"/>
        </w:rPr>
      </w:pPr>
    </w:p>
    <w:p>
      <w:pPr>
        <w:pStyle w:val="BodyText"/>
        <w:spacing w:before="1"/>
      </w:pPr>
      <w:r>
        <w:rPr/>
        <w:t>三十五、经输血导致的人类免疫缺陷病毒感染</w:t>
      </w:r>
    </w:p>
    <w:p>
      <w:pPr>
        <w:pStyle w:val="BodyText"/>
        <w:spacing w:before="99"/>
      </w:pPr>
      <w:r>
        <w:rPr/>
        <w:t>被保险人因输血而感染上人类免疫缺陷病毒（HIV）必须满足以下全部条件：</w:t>
      </w:r>
    </w:p>
    <w:p>
      <w:pPr>
        <w:pStyle w:val="BodyText"/>
        <w:spacing w:before="99"/>
      </w:pPr>
      <w:r>
        <w:rPr/>
        <w:t>（一）在保障起始日或复效日之后，被保险人因输血而感染 HIV；</w:t>
      </w:r>
    </w:p>
    <w:p>
      <w:pPr>
        <w:pStyle w:val="BodyText"/>
        <w:spacing w:line="271" w:lineRule="auto" w:before="99"/>
        <w:ind w:right="106"/>
      </w:pPr>
      <w:r>
        <w:rPr/>
        <w:t>（二）提供输血治疗的输血中心或医院出具该项输血感染属医疗责任事故的报告， 或者法院终审裁定为医疗责任；</w:t>
      </w:r>
    </w:p>
    <w:p>
      <w:pPr>
        <w:pStyle w:val="BodyText"/>
        <w:spacing w:before="71"/>
      </w:pPr>
      <w:r>
        <w:rPr/>
        <w:t>（三）受感染的被保险人不是血友病患者。</w:t>
      </w:r>
    </w:p>
    <w:p>
      <w:pPr>
        <w:spacing w:line="273" w:lineRule="auto" w:before="99"/>
        <w:ind w:left="1661" w:right="101" w:firstLine="0"/>
        <w:jc w:val="both"/>
        <w:rPr>
          <w:sz w:val="21"/>
        </w:rPr>
      </w:pPr>
      <w:r>
        <w:rPr>
          <w:b/>
          <w:spacing w:val="-1"/>
          <w:sz w:val="21"/>
          <w:u w:val="single"/>
        </w:rPr>
        <w:t>任何因其他传播方式</w:t>
      </w:r>
      <w:r>
        <w:rPr>
          <w:b/>
          <w:sz w:val="21"/>
          <w:u w:val="single"/>
        </w:rPr>
        <w:t>（</w:t>
      </w:r>
      <w:r>
        <w:rPr>
          <w:b/>
          <w:spacing w:val="-3"/>
          <w:sz w:val="21"/>
          <w:u w:val="single"/>
        </w:rPr>
        <w:t>包括：性传播或静脉注射毒品</w:t>
      </w:r>
      <w:r>
        <w:rPr>
          <w:b/>
          <w:sz w:val="21"/>
          <w:u w:val="single"/>
        </w:rPr>
        <w:t>）</w:t>
      </w:r>
      <w:r>
        <w:rPr>
          <w:b/>
          <w:spacing w:val="-12"/>
          <w:sz w:val="21"/>
          <w:u w:val="single"/>
        </w:rPr>
        <w:t>导致的 </w:t>
      </w:r>
      <w:r>
        <w:rPr>
          <w:b/>
          <w:sz w:val="21"/>
          <w:u w:val="single"/>
        </w:rPr>
        <w:t>HIV</w:t>
      </w:r>
      <w:r>
        <w:rPr>
          <w:b/>
          <w:spacing w:val="-8"/>
          <w:sz w:val="21"/>
          <w:u w:val="single"/>
        </w:rPr>
        <w:t> 感染不在本保单</w:t>
      </w:r>
      <w:r>
        <w:rPr>
          <w:b/>
          <w:spacing w:val="-38"/>
          <w:sz w:val="21"/>
          <w:u w:val="single"/>
        </w:rPr>
        <w:t>保障范围内。</w:t>
      </w:r>
      <w:r>
        <w:rPr>
          <w:spacing w:val="-3"/>
          <w:sz w:val="21"/>
        </w:rPr>
        <w:t>保险公司必须拥有获得使用被保险人的所有血液样本的权利和能够对这些样本进行独立检验的权利。</w:t>
      </w:r>
    </w:p>
    <w:p>
      <w:pPr>
        <w:pStyle w:val="BodyText"/>
        <w:ind w:left="0"/>
        <w:rPr>
          <w:sz w:val="20"/>
        </w:rPr>
      </w:pPr>
    </w:p>
    <w:p>
      <w:pPr>
        <w:pStyle w:val="BodyText"/>
        <w:ind w:left="0"/>
        <w:rPr>
          <w:sz w:val="14"/>
        </w:rPr>
      </w:pPr>
    </w:p>
    <w:p>
      <w:pPr>
        <w:pStyle w:val="BodyText"/>
      </w:pPr>
      <w:r>
        <w:rPr/>
        <w:t>三十六、严重克隆病</w:t>
      </w:r>
    </w:p>
    <w:p>
      <w:pPr>
        <w:pStyle w:val="BodyText"/>
        <w:spacing w:line="273" w:lineRule="auto" w:before="99"/>
        <w:ind w:right="106"/>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ind w:left="0"/>
        <w:rPr>
          <w:sz w:val="20"/>
        </w:rPr>
      </w:pPr>
    </w:p>
    <w:p>
      <w:pPr>
        <w:pStyle w:val="BodyText"/>
        <w:spacing w:before="10"/>
        <w:ind w:left="0"/>
        <w:rPr>
          <w:sz w:val="13"/>
        </w:rPr>
      </w:pPr>
    </w:p>
    <w:p>
      <w:pPr>
        <w:pStyle w:val="BodyText"/>
      </w:pPr>
      <w:r>
        <w:rPr/>
        <w:t>三十七、严重的 1 型糖尿病</w:t>
      </w:r>
    </w:p>
    <w:p>
      <w:pPr>
        <w:pStyle w:val="BodyText"/>
        <w:spacing w:before="99"/>
      </w:pPr>
      <w:r>
        <w:rPr/>
        <w:t>1 型糖尿病的特征为由于胰岛素分泌绝对不足引起严重胰岛素缺乏导致慢性血糖升</w:t>
      </w:r>
    </w:p>
    <w:p>
      <w:pPr>
        <w:pStyle w:val="BodyText"/>
        <w:spacing w:line="273" w:lineRule="auto" w:before="36"/>
        <w:ind w:right="100"/>
        <w:jc w:val="both"/>
      </w:pPr>
      <w:r>
        <w:rPr>
          <w:spacing w:val="-4"/>
        </w:rPr>
        <w:t>高，需要依赖外源性胰岛素进行机体的葡萄糖代谢和维持生命。被保险人的 </w:t>
      </w:r>
      <w:r>
        <w:rPr/>
        <w:t>1</w:t>
      </w:r>
      <w:r>
        <w:rPr>
          <w:spacing w:val="-7"/>
        </w:rPr>
        <w:t> 型糖</w:t>
      </w:r>
      <w:r>
        <w:rPr>
          <w:spacing w:val="-5"/>
        </w:rPr>
        <w:t>尿病必须由专科医生明确诊断，而且有血胰岛素测定及血 </w:t>
      </w:r>
      <w:r>
        <w:rPr/>
        <w:t>C</w:t>
      </w:r>
      <w:r>
        <w:rPr>
          <w:spacing w:val="-16"/>
        </w:rPr>
        <w:t> 肽或尿 </w:t>
      </w:r>
      <w:r>
        <w:rPr/>
        <w:t>C</w:t>
      </w:r>
      <w:r>
        <w:rPr>
          <w:spacing w:val="-7"/>
        </w:rPr>
        <w:t> 肽测定结果支</w:t>
      </w:r>
      <w:r>
        <w:rPr>
          <w:spacing w:val="-5"/>
        </w:rPr>
        <w:t>持诊断，并且满足下列全部条件：</w:t>
      </w:r>
    </w:p>
    <w:p>
      <w:pPr>
        <w:pStyle w:val="BodyText"/>
        <w:spacing w:before="69"/>
        <w:jc w:val="both"/>
      </w:pPr>
      <w:r>
        <w:rPr/>
        <w:t>（一）已经持续性地接受外源性胰岛素注射治疗连续 180 天以上；</w:t>
      </w:r>
    </w:p>
    <w:p>
      <w:pPr>
        <w:pStyle w:val="BodyText"/>
        <w:spacing w:before="99"/>
        <w:jc w:val="both"/>
      </w:pPr>
      <w:r>
        <w:rPr/>
        <w:t>（二）因需要已经接受了下列治疗：</w:t>
      </w:r>
    </w:p>
    <w:p>
      <w:pPr>
        <w:pStyle w:val="ListParagraph"/>
        <w:numPr>
          <w:ilvl w:val="0"/>
          <w:numId w:val="5"/>
        </w:numPr>
        <w:tabs>
          <w:tab w:pos="2082" w:val="left" w:leader="none"/>
        </w:tabs>
        <w:spacing w:line="240" w:lineRule="auto" w:before="99" w:after="0"/>
        <w:ind w:left="2081" w:right="0" w:hanging="420"/>
        <w:jc w:val="both"/>
        <w:rPr>
          <w:sz w:val="21"/>
        </w:rPr>
      </w:pPr>
      <w:r>
        <w:rPr>
          <w:spacing w:val="-3"/>
          <w:sz w:val="21"/>
        </w:rPr>
        <w:t>因严重心律失常植入了心脏起搏器；或</w:t>
      </w:r>
    </w:p>
    <w:p>
      <w:pPr>
        <w:pStyle w:val="ListParagraph"/>
        <w:numPr>
          <w:ilvl w:val="0"/>
          <w:numId w:val="5"/>
        </w:numPr>
        <w:tabs>
          <w:tab w:pos="2082" w:val="left" w:leader="none"/>
        </w:tabs>
        <w:spacing w:line="240" w:lineRule="auto" w:before="99" w:after="0"/>
        <w:ind w:left="2081" w:right="0" w:hanging="420"/>
        <w:jc w:val="both"/>
        <w:rPr>
          <w:sz w:val="21"/>
        </w:rPr>
      </w:pPr>
      <w:r>
        <w:rPr>
          <w:spacing w:val="-3"/>
          <w:sz w:val="21"/>
        </w:rPr>
        <w:t>因坏疽自跖趾关节或以上切除了一趾或多趾。</w:t>
      </w:r>
    </w:p>
    <w:p>
      <w:pPr>
        <w:pStyle w:val="BodyText"/>
        <w:ind w:left="0"/>
        <w:rPr>
          <w:sz w:val="20"/>
        </w:rPr>
      </w:pPr>
    </w:p>
    <w:p>
      <w:pPr>
        <w:pStyle w:val="BodyText"/>
        <w:spacing w:before="13"/>
        <w:ind w:left="0"/>
        <w:rPr>
          <w:sz w:val="15"/>
        </w:rPr>
      </w:pPr>
    </w:p>
    <w:p>
      <w:pPr>
        <w:pStyle w:val="BodyText"/>
        <w:jc w:val="both"/>
      </w:pPr>
      <w:r>
        <w:rPr/>
        <w:t>三十八、严重溃疡性结肠炎</w:t>
      </w:r>
    </w:p>
    <w:p>
      <w:pPr>
        <w:pStyle w:val="BodyText"/>
        <w:spacing w:line="273" w:lineRule="auto" w:before="99"/>
        <w:ind w:right="106"/>
        <w:jc w:val="both"/>
      </w:pPr>
      <w:r>
        <w:rPr/>
        <w:t>本保单所保障的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ind w:left="0"/>
        <w:rPr>
          <w:sz w:val="20"/>
        </w:rPr>
      </w:pPr>
    </w:p>
    <w:p>
      <w:pPr>
        <w:pStyle w:val="BodyText"/>
        <w:spacing w:before="12"/>
        <w:ind w:left="0"/>
        <w:rPr>
          <w:sz w:val="13"/>
        </w:rPr>
      </w:pPr>
    </w:p>
    <w:p>
      <w:pPr>
        <w:pStyle w:val="BodyText"/>
        <w:spacing w:before="1"/>
      </w:pPr>
      <w:r>
        <w:rPr/>
        <w:t>三十九、进行性核上性麻痹</w:t>
      </w:r>
    </w:p>
    <w:p>
      <w:pPr>
        <w:pStyle w:val="BodyText"/>
        <w:spacing w:line="271" w:lineRule="auto" w:before="99"/>
        <w:ind w:right="101"/>
        <w:jc w:val="both"/>
      </w:pPr>
      <w:r>
        <w:rPr>
          <w:spacing w:val="-6"/>
        </w:rPr>
        <w:t>进行性核上性麻痹</w:t>
      </w:r>
      <w:r>
        <w:rPr>
          <w:spacing w:val="-7"/>
        </w:rPr>
        <w:t>（PSP）</w:t>
      </w:r>
      <w:r>
        <w:rPr>
          <w:spacing w:val="-14"/>
        </w:rPr>
        <w:t>又称 </w:t>
      </w:r>
      <w:r>
        <w:rPr/>
        <w:t>Steele-Rchardson—Olszewski</w:t>
      </w:r>
      <w:r>
        <w:rPr>
          <w:spacing w:val="-9"/>
        </w:rPr>
        <w:t> 综合征，是一种少见的神经系统变性疾病，以假球麻痹、垂直性核上性眼肌麻痹、锥体外系肌僵直、步态共济失调和轻度痴呆为主要临床特征。PSP</w:t>
      </w:r>
      <w:r>
        <w:rPr/>
        <w:t> 必须由三级甲等医院的神经内科专科</w:t>
      </w:r>
      <w:r>
        <w:rPr>
          <w:spacing w:val="-3"/>
        </w:rPr>
        <w:t>医生确诊，并且被保险人自主生活能力完全丧失，无法独立完成六项基本日常生活活动中的三项或三项以上。</w:t>
      </w:r>
    </w:p>
    <w:p>
      <w:pPr>
        <w:pStyle w:val="BodyText"/>
        <w:ind w:left="0"/>
        <w:rPr>
          <w:sz w:val="20"/>
        </w:rPr>
      </w:pPr>
    </w:p>
    <w:p>
      <w:pPr>
        <w:pStyle w:val="BodyText"/>
        <w:ind w:left="0"/>
        <w:rPr>
          <w:sz w:val="14"/>
        </w:rPr>
      </w:pPr>
    </w:p>
    <w:p>
      <w:pPr>
        <w:pStyle w:val="BodyText"/>
        <w:spacing w:before="1"/>
        <w:jc w:val="both"/>
      </w:pPr>
      <w:r>
        <w:rPr/>
        <w:t>四十、特发性慢性肾上腺皮质功能衰竭</w:t>
      </w:r>
    </w:p>
    <w:p>
      <w:pPr>
        <w:spacing w:after="0"/>
        <w:jc w:val="both"/>
        <w:sectPr>
          <w:pgSz w:w="11910" w:h="16840"/>
          <w:pgMar w:header="0" w:footer="809" w:top="1140" w:bottom="1080" w:left="1680" w:right="860"/>
        </w:sectPr>
      </w:pPr>
    </w:p>
    <w:p>
      <w:pPr>
        <w:pStyle w:val="BodyText"/>
        <w:spacing w:line="273" w:lineRule="auto" w:before="24"/>
        <w:ind w:right="126"/>
      </w:pPr>
      <w:r>
        <w:rPr/>
        <w:t>指自身免疫性肾上腺炎（既往称：特发性肾上腺皮质萎缩）导致肾上腺萎缩和慢性肾上腺皮质功能减退。必须满足所有以下条件：</w:t>
      </w:r>
    </w:p>
    <w:p>
      <w:pPr>
        <w:pStyle w:val="BodyText"/>
        <w:spacing w:before="70"/>
      </w:pPr>
      <w:r>
        <w:rPr/>
        <w:t>（一）必须由专科医生明确诊断，符合所有以下诊断标准：</w:t>
      </w:r>
    </w:p>
    <w:p>
      <w:pPr>
        <w:pStyle w:val="ListParagraph"/>
        <w:numPr>
          <w:ilvl w:val="0"/>
          <w:numId w:val="6"/>
        </w:numPr>
        <w:tabs>
          <w:tab w:pos="2081" w:val="left" w:leader="none"/>
          <w:tab w:pos="2082" w:val="left" w:leader="none"/>
        </w:tabs>
        <w:spacing w:line="240" w:lineRule="auto" w:before="99" w:after="0"/>
        <w:ind w:left="2081" w:right="0" w:hanging="420"/>
        <w:jc w:val="left"/>
        <w:rPr>
          <w:sz w:val="21"/>
        </w:rPr>
      </w:pPr>
      <w:r>
        <w:rPr>
          <w:spacing w:val="-3"/>
          <w:sz w:val="21"/>
        </w:rPr>
        <w:t>血浆促肾上腺皮质激素(</w:t>
      </w:r>
      <w:r>
        <w:rPr>
          <w:spacing w:val="-1"/>
          <w:sz w:val="21"/>
        </w:rPr>
        <w:t>ACTH)</w:t>
      </w:r>
      <w:r>
        <w:rPr>
          <w:spacing w:val="-3"/>
          <w:sz w:val="21"/>
        </w:rPr>
        <w:t>水平测定，&gt;</w:t>
      </w:r>
      <w:r>
        <w:rPr>
          <w:spacing w:val="-1"/>
          <w:sz w:val="21"/>
        </w:rPr>
        <w:t>100pg/ml；</w:t>
      </w:r>
    </w:p>
    <w:p>
      <w:pPr>
        <w:pStyle w:val="ListParagraph"/>
        <w:numPr>
          <w:ilvl w:val="0"/>
          <w:numId w:val="6"/>
        </w:numPr>
        <w:tabs>
          <w:tab w:pos="2081" w:val="left" w:leader="none"/>
          <w:tab w:pos="2082" w:val="left" w:leader="none"/>
        </w:tabs>
        <w:spacing w:line="273" w:lineRule="auto" w:before="99" w:after="0"/>
        <w:ind w:left="2081" w:right="123" w:hanging="420"/>
        <w:jc w:val="left"/>
        <w:rPr>
          <w:sz w:val="21"/>
        </w:rPr>
      </w:pPr>
      <w:r>
        <w:rPr>
          <w:spacing w:val="-11"/>
          <w:sz w:val="21"/>
        </w:rPr>
        <w:t>血浆肾素活性、血管紧张素 </w:t>
      </w:r>
      <w:r>
        <w:rPr>
          <w:sz w:val="21"/>
        </w:rPr>
        <w:t>II</w:t>
      </w:r>
      <w:r>
        <w:rPr>
          <w:spacing w:val="-11"/>
          <w:sz w:val="21"/>
        </w:rPr>
        <w:t> 和醛固酮测定，显示为原发性肾上腺皮质功能减退症；</w:t>
      </w:r>
    </w:p>
    <w:p>
      <w:pPr>
        <w:pStyle w:val="ListParagraph"/>
        <w:numPr>
          <w:ilvl w:val="0"/>
          <w:numId w:val="6"/>
        </w:numPr>
        <w:tabs>
          <w:tab w:pos="2081" w:val="left" w:leader="none"/>
          <w:tab w:pos="2082" w:val="left" w:leader="none"/>
        </w:tabs>
        <w:spacing w:line="240" w:lineRule="auto" w:before="70" w:after="0"/>
        <w:ind w:left="2081" w:right="0" w:hanging="420"/>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BodyText"/>
        <w:spacing w:before="99"/>
      </w:pPr>
      <w:r>
        <w:rPr/>
        <w:t>（二）已经采用皮质类固醇替代治疗 180 天以上。</w:t>
      </w:r>
    </w:p>
    <w:p>
      <w:pPr>
        <w:pStyle w:val="Heading2"/>
        <w:spacing w:line="273" w:lineRule="auto" w:before="96"/>
        <w:ind w:right="124"/>
      </w:pPr>
      <w:r>
        <w:rPr>
          <w:u w:val="single"/>
        </w:rPr>
        <w:t>肾上腺结核、HIV 感染或艾滋病、感染、肿瘤所致的原发性肾上腺皮质功能减退和继发性肾上腺皮质功能减退不在本保障范围内。</w:t>
      </w:r>
    </w:p>
    <w:p>
      <w:pPr>
        <w:pStyle w:val="BodyText"/>
        <w:ind w:left="0"/>
        <w:rPr>
          <w:b/>
          <w:sz w:val="20"/>
        </w:rPr>
      </w:pPr>
    </w:p>
    <w:p>
      <w:pPr>
        <w:pStyle w:val="BodyText"/>
        <w:spacing w:before="12"/>
        <w:ind w:left="0"/>
        <w:rPr>
          <w:b/>
          <w:sz w:val="13"/>
        </w:rPr>
      </w:pPr>
    </w:p>
    <w:p>
      <w:pPr>
        <w:pStyle w:val="BodyText"/>
      </w:pPr>
      <w:r>
        <w:rPr/>
        <w:t>四十一、埃博拉病毒感染</w:t>
      </w:r>
    </w:p>
    <w:p>
      <w:pPr>
        <w:pStyle w:val="BodyText"/>
        <w:spacing w:line="273" w:lineRule="auto" w:before="100"/>
        <w:ind w:right="126"/>
      </w:pPr>
      <w:r>
        <w:rPr/>
        <w:t>受埃博拉病毒感染导致出血性发热。埃博拉病必须经传染病专家确诊，且必须满足下列全部条件：</w:t>
      </w:r>
    </w:p>
    <w:p>
      <w:pPr>
        <w:pStyle w:val="BodyText"/>
        <w:spacing w:before="70"/>
      </w:pPr>
      <w:r>
        <w:rPr/>
        <w:t>（一）实验室检查证实埃博拉病毒的存在。</w:t>
      </w:r>
    </w:p>
    <w:p>
      <w:pPr>
        <w:pStyle w:val="BodyText"/>
        <w:spacing w:before="99"/>
      </w:pPr>
      <w:r>
        <w:rPr/>
        <w:t>（二）从症状出现 30 天后有出血性并发症。</w:t>
      </w:r>
    </w:p>
    <w:p>
      <w:pPr>
        <w:pStyle w:val="BodyText"/>
        <w:ind w:left="0"/>
        <w:rPr>
          <w:sz w:val="20"/>
        </w:rPr>
      </w:pPr>
    </w:p>
    <w:p>
      <w:pPr>
        <w:pStyle w:val="BodyText"/>
        <w:ind w:left="0"/>
        <w:rPr>
          <w:sz w:val="16"/>
        </w:rPr>
      </w:pPr>
    </w:p>
    <w:p>
      <w:pPr>
        <w:pStyle w:val="BodyText"/>
      </w:pPr>
      <w:r>
        <w:rPr/>
        <w:t>四十二、严重原发性硬化性胆管炎</w:t>
      </w:r>
    </w:p>
    <w:p>
      <w:pPr>
        <w:pStyle w:val="BodyText"/>
        <w:spacing w:line="273" w:lineRule="auto" w:before="99"/>
        <w:ind w:right="126"/>
      </w:pPr>
      <w:r>
        <w:rPr/>
        <w:t>为一种特发型淤胆性疾病，特点为肝内及肝外胆道系统胆管壁增厚和管腔狭窄。必须满足以下所有条件：</w:t>
      </w:r>
    </w:p>
    <w:p>
      <w:pPr>
        <w:pStyle w:val="BodyText"/>
        <w:spacing w:before="69"/>
      </w:pPr>
      <w:r>
        <w:rPr/>
        <w:t>（一）诊断由逆行胰胆管造影（ERCP）或经皮胆管造影（PTC）确认；</w:t>
      </w:r>
    </w:p>
    <w:p>
      <w:pPr>
        <w:pStyle w:val="BodyText"/>
        <w:spacing w:before="99"/>
      </w:pPr>
      <w:r>
        <w:rPr/>
        <w:t>（二</w:t>
      </w:r>
      <w:r>
        <w:rPr>
          <w:spacing w:val="-3"/>
        </w:rPr>
        <w:t>）</w:t>
      </w:r>
      <w:r>
        <w:rPr>
          <w:spacing w:val="-9"/>
        </w:rPr>
        <w:t>持续性黄疸超过 </w:t>
      </w:r>
      <w:r>
        <w:rPr/>
        <w:t>30</w:t>
      </w:r>
      <w:r>
        <w:rPr>
          <w:spacing w:val="-9"/>
        </w:rPr>
        <w:t> 天，伴碱性磷酸酶</w:t>
      </w:r>
      <w:r>
        <w:rPr/>
        <w:t>（ALP）</w:t>
      </w:r>
      <w:r>
        <w:rPr>
          <w:spacing w:val="-9"/>
        </w:rPr>
        <w:t>显著升高，血清 </w:t>
      </w:r>
      <w:r>
        <w:rPr/>
        <w:t>ALP&gt;200U/L；</w:t>
      </w:r>
    </w:p>
    <w:p>
      <w:pPr>
        <w:pStyle w:val="BodyText"/>
        <w:spacing w:before="37"/>
      </w:pPr>
      <w:r>
        <w:rPr/>
        <w:t>（三）出现继发性胆汁性肝硬化和门静脉高压。</w:t>
      </w:r>
    </w:p>
    <w:p>
      <w:pPr>
        <w:pStyle w:val="Heading2"/>
        <w:spacing w:before="99"/>
      </w:pPr>
      <w:r>
        <w:rPr>
          <w:u w:val="single"/>
        </w:rPr>
        <w:t>因肿瘤或胆管损伤等继发性的硬化性胆管炎不在本保障范围内。</w:t>
      </w:r>
    </w:p>
    <w:p>
      <w:pPr>
        <w:pStyle w:val="BodyText"/>
        <w:ind w:left="0"/>
        <w:rPr>
          <w:b/>
          <w:sz w:val="20"/>
        </w:rPr>
      </w:pPr>
    </w:p>
    <w:p>
      <w:pPr>
        <w:pStyle w:val="BodyText"/>
        <w:ind w:left="0"/>
        <w:rPr>
          <w:b/>
          <w:sz w:val="16"/>
        </w:rPr>
      </w:pPr>
    </w:p>
    <w:p>
      <w:pPr>
        <w:pStyle w:val="BodyText"/>
      </w:pPr>
      <w:r>
        <w:rPr/>
        <w:t>四十三、严重弥漫性系统性硬皮病</w:t>
      </w:r>
    </w:p>
    <w:p>
      <w:pPr>
        <w:pStyle w:val="BodyText"/>
        <w:spacing w:line="273" w:lineRule="auto" w:before="99"/>
        <w:ind w:right="120"/>
        <w:jc w:val="both"/>
      </w:pPr>
      <w:r>
        <w:rPr>
          <w:spacing w:val="-3"/>
        </w:rPr>
        <w:t>一种系统性胶原血管病引起进行性的皮肤</w:t>
      </w:r>
      <w:r>
        <w:rPr/>
        <w:t>/</w:t>
      </w:r>
      <w:r>
        <w:rPr>
          <w:spacing w:val="-8"/>
        </w:rPr>
        <w:t>血管和内脏器官的弥漫性纤维化。本病症须经专科医生明确诊断，并由活检和血清学证据支持并且疾病已经影响到心脏、肺</w:t>
      </w:r>
      <w:r>
        <w:rPr>
          <w:spacing w:val="-5"/>
        </w:rPr>
        <w:t>或肾脏等内脏器官并且达到下列标准之一：</w:t>
      </w:r>
    </w:p>
    <w:p>
      <w:pPr>
        <w:pStyle w:val="BodyText"/>
        <w:spacing w:before="70"/>
      </w:pPr>
      <w:r>
        <w:rPr/>
        <w:t>（一）肺纤维化，已经出现肺动脉高压、肺心病；</w:t>
      </w:r>
    </w:p>
    <w:p>
      <w:pPr>
        <w:pStyle w:val="BodyText"/>
        <w:spacing w:line="273" w:lineRule="auto" w:before="99"/>
        <w:ind w:right="126"/>
      </w:pPr>
      <w:r>
        <w:rPr/>
        <w:t>（二）心脏损害，心脏功能衰竭程度达到纽约心脏病学会的心功能分级标准之心功能 IV 级；</w:t>
      </w:r>
    </w:p>
    <w:p>
      <w:pPr>
        <w:spacing w:line="326" w:lineRule="auto" w:before="70"/>
        <w:ind w:left="1661" w:right="3308" w:firstLine="0"/>
        <w:jc w:val="left"/>
        <w:rPr>
          <w:b/>
          <w:sz w:val="21"/>
        </w:rPr>
      </w:pPr>
      <w:r>
        <w:rPr>
          <w:sz w:val="21"/>
        </w:rPr>
        <w:t>（三）肾脏：肾脏损害，已经出现肾功能衰竭。</w:t>
      </w:r>
      <w:r>
        <w:rPr>
          <w:b/>
          <w:sz w:val="21"/>
          <w:u w:val="single"/>
        </w:rPr>
        <w:t>下列疾病不在本险种保障范围内：</w:t>
      </w:r>
    </w:p>
    <w:p>
      <w:pPr>
        <w:pStyle w:val="Heading2"/>
        <w:spacing w:before="24"/>
        <w:jc w:val="both"/>
      </w:pPr>
      <w:r>
        <w:rPr>
          <w:u w:val="single"/>
        </w:rPr>
        <w:t>（一）局限硬皮病；</w:t>
      </w:r>
    </w:p>
    <w:p>
      <w:pPr>
        <w:spacing w:before="99"/>
        <w:ind w:left="1661" w:right="0" w:firstLine="0"/>
        <w:jc w:val="both"/>
        <w:rPr>
          <w:b/>
          <w:sz w:val="21"/>
        </w:rPr>
      </w:pPr>
      <w:r>
        <w:rPr>
          <w:b/>
          <w:sz w:val="21"/>
          <w:u w:val="single"/>
        </w:rPr>
        <w:t>（二）嗜酸细胞筋膜炎；</w:t>
      </w:r>
    </w:p>
    <w:p>
      <w:pPr>
        <w:spacing w:before="99"/>
        <w:ind w:left="1661" w:right="0" w:firstLine="0"/>
        <w:jc w:val="both"/>
        <w:rPr>
          <w:b/>
          <w:sz w:val="21"/>
        </w:rPr>
      </w:pPr>
      <w:r>
        <w:rPr>
          <w:b/>
          <w:sz w:val="21"/>
          <w:u w:val="single"/>
        </w:rPr>
        <w:t>（三）CREST 综合征。</w:t>
      </w:r>
    </w:p>
    <w:p>
      <w:pPr>
        <w:pStyle w:val="BodyText"/>
        <w:ind w:left="0"/>
        <w:rPr>
          <w:b/>
          <w:sz w:val="20"/>
        </w:rPr>
      </w:pPr>
    </w:p>
    <w:p>
      <w:pPr>
        <w:pStyle w:val="BodyText"/>
        <w:spacing w:before="2"/>
        <w:ind w:left="0"/>
        <w:rPr>
          <w:b/>
          <w:sz w:val="16"/>
        </w:rPr>
      </w:pPr>
    </w:p>
    <w:p>
      <w:pPr>
        <w:pStyle w:val="BodyText"/>
      </w:pPr>
      <w:r>
        <w:rPr/>
        <w:t>四十四、胰腺移植</w:t>
      </w:r>
    </w:p>
    <w:p>
      <w:pPr>
        <w:pStyle w:val="BodyText"/>
        <w:spacing w:before="96"/>
      </w:pPr>
      <w:r>
        <w:rPr/>
        <w:t>指因胰腺功能衰竭，已经实施了在全身麻醉下进行的胰腺的异体器官移植手术。</w:t>
      </w:r>
    </w:p>
    <w:p>
      <w:pPr>
        <w:spacing w:after="0"/>
        <w:sectPr>
          <w:pgSz w:w="11910" w:h="16840"/>
          <w:pgMar w:header="0" w:footer="809" w:top="1140" w:bottom="1080" w:left="1680" w:right="840"/>
        </w:sectPr>
      </w:pPr>
    </w:p>
    <w:p>
      <w:pPr>
        <w:pStyle w:val="Heading2"/>
        <w:spacing w:before="24"/>
      </w:pPr>
      <w:r>
        <w:rPr>
          <w:u w:val="single"/>
        </w:rPr>
        <w:t>单纯胰岛移植、部分胰腺组织或细胞的移植不再本保障范围内。</w:t>
      </w:r>
    </w:p>
    <w:p>
      <w:pPr>
        <w:pStyle w:val="BodyText"/>
        <w:ind w:left="0"/>
        <w:rPr>
          <w:b/>
          <w:sz w:val="20"/>
        </w:rPr>
      </w:pPr>
    </w:p>
    <w:p>
      <w:pPr>
        <w:pStyle w:val="BodyText"/>
        <w:spacing w:before="2"/>
        <w:ind w:left="0"/>
        <w:rPr>
          <w:b/>
          <w:sz w:val="16"/>
        </w:rPr>
      </w:pPr>
    </w:p>
    <w:p>
      <w:pPr>
        <w:pStyle w:val="BodyText"/>
        <w:spacing w:before="1"/>
      </w:pPr>
      <w:r>
        <w:rPr/>
        <w:t>四十五、丝虫病所致象皮病</w:t>
      </w:r>
    </w:p>
    <w:p>
      <w:pPr>
        <w:pStyle w:val="BodyText"/>
        <w:spacing w:before="99"/>
      </w:pPr>
      <w:r>
        <w:rPr/>
        <w:t>指因丝虫感染导致淋巴阻塞性出现严重淋巴水肿，达到国际淋巴学会淋巴肿分期第</w:t>
      </w:r>
    </w:p>
    <w:p>
      <w:pPr>
        <w:pStyle w:val="BodyText"/>
        <w:spacing w:line="273" w:lineRule="auto" w:before="36"/>
        <w:ind w:right="223"/>
      </w:pPr>
      <w:r>
        <w:rPr/>
        <w:t>III</w:t>
      </w:r>
      <w:r>
        <w:rPr>
          <w:spacing w:val="-12"/>
        </w:rPr>
        <w:t> 期，临床表现为肢体象皮肿，患肢较键肢增粗 </w:t>
      </w:r>
      <w:r>
        <w:rPr/>
        <w:t>30</w:t>
      </w:r>
      <w:r>
        <w:rPr>
          <w:spacing w:val="-6"/>
        </w:rPr>
        <w:t>%以上，日常生活不能自理。此</w:t>
      </w:r>
      <w:r>
        <w:rPr>
          <w:spacing w:val="-4"/>
        </w:rPr>
        <w:t>病症须经专科医生根据临床表现和微丝蚴的化验结果确诊。</w:t>
      </w:r>
    </w:p>
    <w:p>
      <w:pPr>
        <w:pStyle w:val="BodyText"/>
        <w:ind w:left="0"/>
        <w:rPr>
          <w:sz w:val="20"/>
        </w:rPr>
      </w:pPr>
    </w:p>
    <w:p>
      <w:pPr>
        <w:pStyle w:val="BodyText"/>
        <w:spacing w:before="12"/>
        <w:ind w:left="0"/>
        <w:rPr>
          <w:sz w:val="13"/>
        </w:rPr>
      </w:pPr>
    </w:p>
    <w:p>
      <w:pPr>
        <w:pStyle w:val="BodyText"/>
      </w:pPr>
      <w:r>
        <w:rPr/>
        <w:t>四十六、严重脊髓灰质炎</w:t>
      </w:r>
    </w:p>
    <w:p>
      <w:pPr>
        <w:pStyle w:val="BodyText"/>
        <w:spacing w:line="273" w:lineRule="auto" w:before="97"/>
        <w:ind w:right="117"/>
      </w:pPr>
      <w:r>
        <w:rPr>
          <w:spacing w:val="-3"/>
        </w:rPr>
        <w:t>脊髓灰质炎是由于脊髓灰质炎病毒感染所致的瘫痪性疾病，临床表现为运动功能损</w:t>
      </w:r>
      <w:r>
        <w:rPr>
          <w:spacing w:val="-10"/>
        </w:rPr>
        <w:t>害或呼吸无力。脊髓灰质炎必须明确诊断，且需提供脊髓灰质炎病毒检查的证据(如</w:t>
      </w:r>
      <w:r>
        <w:rPr>
          <w:spacing w:val="-11"/>
        </w:rPr>
        <w:t>粪便或脑脊液检查，血液中抗体检查)。本保单仅对脊髓灰质炎造成的神经系统功能损害导致被保险人一肢或一肢以上肢体机能永久完全丧失的情况予以理赔。肢体机能永久完全丧失，指疾病确诊 </w:t>
      </w:r>
      <w:r>
        <w:rPr/>
        <w:t>180</w:t>
      </w:r>
      <w:r>
        <w:rPr>
          <w:spacing w:val="-10"/>
        </w:rPr>
        <w:t> 天后，每肢三大关节中的两大关节仍然完全僵硬， </w:t>
      </w:r>
      <w:r>
        <w:rPr>
          <w:spacing w:val="-5"/>
        </w:rPr>
        <w:t>或不能随意识活动。</w:t>
      </w:r>
    </w:p>
    <w:p>
      <w:pPr>
        <w:pStyle w:val="Heading2"/>
      </w:pPr>
      <w:r>
        <w:rPr>
          <w:u w:val="single"/>
        </w:rPr>
        <w:t>未导致前述肢体瘫痪者及其它原因导致的瘫痪不在本保障范围内。</w:t>
      </w:r>
    </w:p>
    <w:p>
      <w:pPr>
        <w:pStyle w:val="BodyText"/>
        <w:ind w:left="0"/>
        <w:rPr>
          <w:b/>
          <w:sz w:val="20"/>
        </w:rPr>
      </w:pPr>
    </w:p>
    <w:p>
      <w:pPr>
        <w:pStyle w:val="BodyText"/>
        <w:spacing w:before="2"/>
        <w:ind w:left="0"/>
        <w:rPr>
          <w:b/>
          <w:sz w:val="16"/>
        </w:rPr>
      </w:pPr>
    </w:p>
    <w:p>
      <w:pPr>
        <w:pStyle w:val="BodyText"/>
      </w:pPr>
      <w:r>
        <w:rPr/>
        <w:t>四十七、严重川崎病</w:t>
      </w:r>
    </w:p>
    <w:p>
      <w:pPr>
        <w:pStyle w:val="BodyText"/>
        <w:spacing w:before="99"/>
      </w:pPr>
      <w:r>
        <w:rPr/>
        <w:t>是指原因不明的系统性血管炎，并须满足下列全部条件：</w:t>
      </w:r>
    </w:p>
    <w:p>
      <w:pPr>
        <w:pStyle w:val="BodyText"/>
        <w:spacing w:before="99"/>
      </w:pPr>
      <w:r>
        <w:rPr/>
        <w:t>（一）超声心动图显示川崎病并发冠状动脉瘤或其他心血管异常；</w:t>
      </w:r>
    </w:p>
    <w:p>
      <w:pPr>
        <w:pStyle w:val="BodyText"/>
        <w:spacing w:before="96"/>
      </w:pPr>
      <w:r>
        <w:rPr/>
        <w:t>（二）已接受了针对川崎病并发冠状动脉瘤或其他心血管异常所进行的手术治疗。</w:t>
      </w:r>
    </w:p>
    <w:p>
      <w:pPr>
        <w:pStyle w:val="BodyText"/>
        <w:ind w:left="0"/>
        <w:rPr>
          <w:sz w:val="20"/>
        </w:rPr>
      </w:pPr>
    </w:p>
    <w:p>
      <w:pPr>
        <w:pStyle w:val="BodyText"/>
        <w:spacing w:before="2"/>
        <w:ind w:left="0"/>
        <w:rPr>
          <w:sz w:val="16"/>
        </w:rPr>
      </w:pPr>
    </w:p>
    <w:p>
      <w:pPr>
        <w:pStyle w:val="BodyText"/>
      </w:pPr>
      <w:r>
        <w:rPr/>
        <w:t>四十八、严重幼年型类风湿性关节炎</w:t>
      </w:r>
    </w:p>
    <w:p>
      <w:pPr>
        <w:pStyle w:val="BodyText"/>
        <w:spacing w:line="273" w:lineRule="auto" w:before="99"/>
        <w:ind w:right="226"/>
      </w:pPr>
      <w:r>
        <w:rPr/>
        <w:t>幼年型类风湿关节炎是一种儿童期发病的慢性关节炎，其特点为在高热和系统性病征出现数月后发生关节炎。</w:t>
      </w:r>
    </w:p>
    <w:p>
      <w:pPr>
        <w:pStyle w:val="Heading2"/>
        <w:spacing w:line="273" w:lineRule="auto"/>
        <w:ind w:right="226"/>
      </w:pPr>
      <w:r>
        <w:rPr>
          <w:u w:val="single"/>
        </w:rPr>
        <w:t>本保单仅对实际接受了膝关节或髋关节置换手术治疗的严重的幼年型类风湿关节炎予以理赔。</w:t>
      </w:r>
    </w:p>
    <w:p>
      <w:pPr>
        <w:pStyle w:val="BodyText"/>
        <w:ind w:left="0"/>
        <w:rPr>
          <w:b/>
          <w:sz w:val="20"/>
        </w:rPr>
      </w:pPr>
    </w:p>
    <w:p>
      <w:pPr>
        <w:pStyle w:val="BodyText"/>
        <w:spacing w:before="10"/>
        <w:ind w:left="0"/>
        <w:rPr>
          <w:b/>
          <w:sz w:val="13"/>
        </w:rPr>
      </w:pPr>
    </w:p>
    <w:p>
      <w:pPr>
        <w:pStyle w:val="BodyText"/>
      </w:pPr>
      <w:r>
        <w:rPr/>
        <w:t>四十九、严重心肌炎</w:t>
      </w:r>
    </w:p>
    <w:p>
      <w:pPr>
        <w:pStyle w:val="BodyText"/>
        <w:spacing w:line="273" w:lineRule="auto" w:before="99"/>
        <w:ind w:right="226"/>
      </w:pPr>
      <w:r>
        <w:rPr/>
        <w:t>指被保险人因严重心肌炎性病变导致心功能损害造成持续的永久不可逆性的心功能衰竭。必须满足所有以下条件：</w:t>
      </w:r>
    </w:p>
    <w:p>
      <w:pPr>
        <w:pStyle w:val="BodyText"/>
        <w:spacing w:line="273" w:lineRule="auto" w:before="70"/>
        <w:ind w:right="223"/>
      </w:pPr>
      <w:r>
        <w:rPr/>
        <w:t>（</w:t>
      </w:r>
      <w:r>
        <w:rPr>
          <w:spacing w:val="-3"/>
        </w:rPr>
        <w:t>一</w:t>
      </w:r>
      <w:r>
        <w:rPr>
          <w:spacing w:val="-34"/>
        </w:rPr>
        <w:t>）</w:t>
      </w:r>
      <w:r>
        <w:rPr>
          <w:spacing w:val="-5"/>
        </w:rPr>
        <w:t>心功能衰竭程度达到纽约心脏病学会的心功能分级标准之心功能 </w:t>
      </w:r>
      <w:r>
        <w:rPr/>
        <w:t>IV</w:t>
      </w:r>
      <w:r>
        <w:rPr>
          <w:spacing w:val="-17"/>
        </w:rPr>
        <w:t> 级，或左</w:t>
      </w:r>
      <w:r>
        <w:rPr>
          <w:spacing w:val="-12"/>
        </w:rPr>
        <w:t>室射血分数低于 </w:t>
      </w:r>
      <w:r>
        <w:rPr/>
        <w:t>30%；</w:t>
      </w:r>
    </w:p>
    <w:p>
      <w:pPr>
        <w:pStyle w:val="BodyText"/>
        <w:spacing w:before="70"/>
      </w:pPr>
      <w:r>
        <w:rPr/>
        <w:t>（二）持续不间断 180 天以上；</w:t>
      </w:r>
    </w:p>
    <w:p>
      <w:pPr>
        <w:pStyle w:val="BodyText"/>
        <w:spacing w:before="100"/>
      </w:pPr>
      <w:r>
        <w:rPr/>
        <w:t>（三）被保险人永久不可逆性的体力活动能力受限，不能从事任何体力活动。</w:t>
      </w:r>
    </w:p>
    <w:p>
      <w:pPr>
        <w:pStyle w:val="BodyText"/>
        <w:ind w:left="0"/>
        <w:rPr>
          <w:sz w:val="20"/>
        </w:rPr>
      </w:pPr>
    </w:p>
    <w:p>
      <w:pPr>
        <w:pStyle w:val="BodyText"/>
        <w:ind w:left="0"/>
        <w:rPr>
          <w:sz w:val="16"/>
        </w:rPr>
      </w:pPr>
    </w:p>
    <w:p>
      <w:pPr>
        <w:pStyle w:val="BodyText"/>
        <w:spacing w:line="326" w:lineRule="auto"/>
        <w:ind w:right="576"/>
      </w:pPr>
      <w:r>
        <w:rPr>
          <w:spacing w:val="-5"/>
        </w:rPr>
        <w:t>五十、严重肠道疾病并发症(本项保险责任仅在被保险人 </w:t>
      </w:r>
      <w:r>
        <w:rPr/>
        <w:t>18</w:t>
      </w:r>
      <w:r>
        <w:rPr>
          <w:spacing w:val="-8"/>
        </w:rPr>
        <w:t> 周岁以前提供保障) </w:t>
      </w:r>
      <w:r>
        <w:rPr>
          <w:spacing w:val="-5"/>
        </w:rPr>
        <w:t>严重肠道疾病或外伤导致小肠损害并发症，必须满足以下所有条件：</w:t>
      </w:r>
    </w:p>
    <w:p>
      <w:pPr>
        <w:pStyle w:val="BodyText"/>
        <w:spacing w:before="23"/>
      </w:pPr>
      <w:r>
        <w:rPr/>
        <w:t>（一）至少切除了三分之二小肠；</w:t>
      </w:r>
    </w:p>
    <w:p>
      <w:pPr>
        <w:pStyle w:val="BodyText"/>
        <w:spacing w:before="99"/>
      </w:pPr>
      <w:r>
        <w:rPr/>
        <w:t>（二）完全肠外营养支持 3 个月以上。</w:t>
      </w:r>
    </w:p>
    <w:p>
      <w:pPr>
        <w:spacing w:after="0"/>
        <w:sectPr>
          <w:pgSz w:w="11910" w:h="16840"/>
          <w:pgMar w:header="0" w:footer="809" w:top="1140" w:bottom="1080" w:left="1680" w:right="740"/>
        </w:sectPr>
      </w:pPr>
    </w:p>
    <w:p>
      <w:pPr>
        <w:pStyle w:val="BodyText"/>
        <w:spacing w:before="24"/>
      </w:pPr>
      <w:r>
        <w:rPr/>
        <w:t>五十一、严重瑞氏综合症（Reye 综合征，也称赖氏综合征、雷氏综合征）</w:t>
      </w:r>
    </w:p>
    <w:p>
      <w:pPr>
        <w:pStyle w:val="BodyText"/>
        <w:spacing w:line="273" w:lineRule="auto" w:before="99"/>
        <w:ind w:right="226"/>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70"/>
        <w:jc w:val="both"/>
      </w:pPr>
      <w:r>
        <w:rPr/>
        <w:t>（一）有脑水肿和颅内压升高的脑脊液检查和影像学检查证据；</w:t>
      </w:r>
    </w:p>
    <w:p>
      <w:pPr>
        <w:pStyle w:val="BodyText"/>
        <w:spacing w:before="99"/>
        <w:jc w:val="both"/>
      </w:pPr>
      <w:r>
        <w:rPr/>
        <w:t>（二）血氨超过正常值的 3 倍；</w:t>
      </w:r>
    </w:p>
    <w:p>
      <w:pPr>
        <w:pStyle w:val="BodyText"/>
        <w:spacing w:before="99"/>
        <w:jc w:val="both"/>
      </w:pPr>
      <w:r>
        <w:rPr/>
        <w:t>（三）临床出现昏迷，病程至少达到疾病分期第 3 期。</w:t>
      </w:r>
    </w:p>
    <w:p>
      <w:pPr>
        <w:pStyle w:val="BodyText"/>
        <w:ind w:left="0"/>
        <w:rPr>
          <w:sz w:val="20"/>
        </w:rPr>
      </w:pPr>
    </w:p>
    <w:p>
      <w:pPr>
        <w:pStyle w:val="BodyText"/>
        <w:ind w:left="0"/>
        <w:rPr>
          <w:sz w:val="16"/>
        </w:rPr>
      </w:pPr>
    </w:p>
    <w:p>
      <w:pPr>
        <w:pStyle w:val="BodyText"/>
        <w:jc w:val="both"/>
      </w:pPr>
      <w:r>
        <w:rPr/>
        <w:t>五十二、植物人状态</w:t>
      </w:r>
    </w:p>
    <w:p>
      <w:pPr>
        <w:pStyle w:val="BodyText"/>
        <w:spacing w:line="273" w:lineRule="auto" w:before="99"/>
        <w:ind w:right="226"/>
      </w:pPr>
      <w:r>
        <w:rPr/>
        <w:t>指经神经科专科医师确诊，大脑皮质全面坏死，意识完全丧失，但脑干及脑干以下中枢神经功能仍保持完好，且此情况持续一个月或以上。</w:t>
      </w:r>
    </w:p>
    <w:p>
      <w:pPr>
        <w:pStyle w:val="Heading2"/>
        <w:jc w:val="both"/>
      </w:pPr>
      <w:r>
        <w:rPr>
          <w:u w:val="single"/>
        </w:rPr>
        <w:t>由于酗酒或滥用药物所致的植物人状态除外。</w:t>
      </w:r>
    </w:p>
    <w:p>
      <w:pPr>
        <w:pStyle w:val="BodyText"/>
        <w:ind w:left="0"/>
        <w:rPr>
          <w:b/>
          <w:sz w:val="20"/>
        </w:rPr>
      </w:pPr>
    </w:p>
    <w:p>
      <w:pPr>
        <w:pStyle w:val="BodyText"/>
        <w:spacing w:before="2"/>
        <w:ind w:left="0"/>
        <w:rPr>
          <w:b/>
          <w:sz w:val="16"/>
        </w:rPr>
      </w:pPr>
    </w:p>
    <w:p>
      <w:pPr>
        <w:pStyle w:val="BodyText"/>
      </w:pPr>
      <w:r>
        <w:rPr/>
        <w:t>五十三、独立能力丧失</w:t>
      </w:r>
    </w:p>
    <w:p>
      <w:pPr>
        <w:pStyle w:val="BodyText"/>
        <w:spacing w:line="271" w:lineRule="auto" w:before="99"/>
        <w:ind w:right="151"/>
      </w:pPr>
      <w:r>
        <w:rPr/>
        <w:t>指疾病或外伤造成被保险人至少持续 6 个月以上完全无法独立完成六项基本日常生活活动中的三项或三项以上。被保险人的日常生活活动能力丧失必须是永久性的。</w:t>
      </w:r>
    </w:p>
    <w:p>
      <w:pPr>
        <w:pStyle w:val="BodyText"/>
        <w:ind w:left="0"/>
        <w:rPr>
          <w:sz w:val="20"/>
        </w:rPr>
      </w:pPr>
    </w:p>
    <w:p>
      <w:pPr>
        <w:pStyle w:val="BodyText"/>
        <w:spacing w:before="1"/>
        <w:ind w:left="0"/>
        <w:rPr>
          <w:sz w:val="14"/>
        </w:rPr>
      </w:pPr>
    </w:p>
    <w:p>
      <w:pPr>
        <w:pStyle w:val="BodyText"/>
      </w:pPr>
      <w:r>
        <w:rPr/>
        <w:t>五十四、Ⅱ级重症急性胰腺炎</w:t>
      </w:r>
    </w:p>
    <w:p>
      <w:pPr>
        <w:pStyle w:val="BodyText"/>
        <w:spacing w:line="273" w:lineRule="auto" w:before="99"/>
        <w:ind w:right="221"/>
      </w:pPr>
      <w:r>
        <w:rPr/>
        <w:t>Ⅱ级重症急性胰腺炎是指急性胰腺炎伴有脏器功能障碍。被保险人所患的Ⅱ级重症急性胰腺炎必须经专科医生明确诊断，按 APACHEⅡ评分达到 8 分或 8 分以上和</w:t>
      </w:r>
    </w:p>
    <w:p>
      <w:pPr>
        <w:pStyle w:val="BodyText"/>
        <w:spacing w:line="273" w:lineRule="auto" w:before="7"/>
        <w:ind w:right="224"/>
      </w:pPr>
      <w:r>
        <w:rPr/>
        <w:t>Balthazar 分级系统达到Ⅱ级或Ⅱ级以上，并且接受了外科剖腹手术治疗，以进行坏死组织清除、坏死病灶切除或胰腺切除。</w:t>
      </w:r>
    </w:p>
    <w:p>
      <w:pPr>
        <w:pStyle w:val="Heading2"/>
        <w:spacing w:line="273" w:lineRule="auto"/>
        <w:ind w:right="229"/>
      </w:pPr>
      <w:r>
        <w:rPr>
          <w:u w:val="single"/>
        </w:rPr>
        <w:t>因酗酒或饮酒过量所致的急性坏死性胰腺炎以及腹腔镜手术不在本合同保障范围内。</w:t>
      </w:r>
    </w:p>
    <w:p>
      <w:pPr>
        <w:pStyle w:val="BodyText"/>
        <w:ind w:left="0"/>
        <w:rPr>
          <w:b/>
          <w:sz w:val="20"/>
        </w:rPr>
      </w:pPr>
    </w:p>
    <w:p>
      <w:pPr>
        <w:pStyle w:val="BodyText"/>
        <w:spacing w:before="12"/>
        <w:ind w:left="0"/>
        <w:rPr>
          <w:b/>
          <w:sz w:val="13"/>
        </w:rPr>
      </w:pPr>
    </w:p>
    <w:p>
      <w:pPr>
        <w:pStyle w:val="BodyText"/>
      </w:pPr>
      <w:r>
        <w:rPr/>
        <w:t>五十五、克-雅氏病（CJD、人类疯牛病）</w:t>
      </w:r>
    </w:p>
    <w:p>
      <w:pPr>
        <w:pStyle w:val="BodyText"/>
        <w:spacing w:line="273" w:lineRule="auto" w:before="96"/>
        <w:ind w:right="117" w:firstLine="105"/>
        <w:jc w:val="both"/>
      </w:pPr>
      <w:r>
        <w:rPr/>
        <w:t>CJD</w:t>
      </w:r>
      <w:r>
        <w:rPr>
          <w:spacing w:val="-8"/>
        </w:rPr>
        <w:t> 是一种传染性海绵状脑病，临床表现为快速进行性痴呆、肌阵挛和特征性脑电</w:t>
      </w:r>
      <w:r>
        <w:rPr>
          <w:spacing w:val="-7"/>
        </w:rPr>
        <w:t>图变化。本病须经三级医院的专科医生根据 </w:t>
      </w:r>
      <w:r>
        <w:rPr/>
        <w:t>WHO</w:t>
      </w:r>
      <w:r>
        <w:rPr>
          <w:spacing w:val="-6"/>
        </w:rPr>
        <w:t> 诊断标准明确诊断，并且被保险人</w:t>
      </w:r>
      <w:r>
        <w:rPr>
          <w:spacing w:val="-10"/>
        </w:rPr>
        <w:t>自主生活能力完全丧失，无法独立完成六项基本日常生活活动中的三项或三项以上。</w:t>
      </w:r>
    </w:p>
    <w:p>
      <w:pPr>
        <w:pStyle w:val="Heading2"/>
        <w:spacing w:before="69"/>
      </w:pPr>
      <w:r>
        <w:rPr>
          <w:u w:val="single"/>
        </w:rPr>
        <w:t>CJD 疑似病例不在本保障范围内。</w:t>
      </w:r>
    </w:p>
    <w:p>
      <w:pPr>
        <w:pStyle w:val="BodyText"/>
        <w:ind w:left="0"/>
        <w:rPr>
          <w:b/>
          <w:sz w:val="20"/>
        </w:rPr>
      </w:pPr>
    </w:p>
    <w:p>
      <w:pPr>
        <w:pStyle w:val="BodyText"/>
        <w:spacing w:before="2"/>
        <w:ind w:left="0"/>
        <w:rPr>
          <w:b/>
          <w:sz w:val="16"/>
        </w:rPr>
      </w:pPr>
    </w:p>
    <w:p>
      <w:pPr>
        <w:pStyle w:val="BodyText"/>
      </w:pPr>
      <w:r>
        <w:rPr/>
        <w:t>五十六、破裂脑动脉瘤夹闭手术</w:t>
      </w:r>
    </w:p>
    <w:p>
      <w:pPr>
        <w:pStyle w:val="BodyText"/>
        <w:spacing w:line="273" w:lineRule="auto" w:before="100"/>
        <w:ind w:right="226"/>
      </w:pPr>
      <w:r>
        <w:rPr/>
        <w:t>指因脑动脉瘤破裂造成蛛网膜下腔出血，被保险人实际接受了在全麻下进行的开颅动脉瘤夹闭手术。</w:t>
      </w:r>
    </w:p>
    <w:p>
      <w:pPr>
        <w:pStyle w:val="Heading2"/>
        <w:spacing w:line="271" w:lineRule="auto"/>
        <w:ind w:right="226"/>
      </w:pPr>
      <w:r>
        <w:rPr>
          <w:u w:val="single"/>
        </w:rPr>
        <w:t>脑动脉瘤（未破裂）</w:t>
      </w:r>
      <w:r>
        <w:rPr>
          <w:spacing w:val="-3"/>
          <w:u w:val="single"/>
        </w:rPr>
        <w:t>预防性手术、颅骨打孔手术、动脉瘤栓塞手术、血管内手术及</w:t>
      </w:r>
      <w:r>
        <w:rPr>
          <w:spacing w:val="-212"/>
          <w:u w:val="single"/>
        </w:rPr>
        <w:t>其</w:t>
      </w:r>
      <w:r>
        <w:rPr>
          <w:spacing w:val="-2"/>
          <w:u w:val="single"/>
        </w:rPr>
        <w:t>他颅脑手术不在本保障范围内。</w:t>
      </w:r>
    </w:p>
    <w:p>
      <w:pPr>
        <w:pStyle w:val="BodyText"/>
        <w:ind w:left="0"/>
        <w:rPr>
          <w:b/>
          <w:sz w:val="20"/>
        </w:rPr>
      </w:pPr>
    </w:p>
    <w:p>
      <w:pPr>
        <w:pStyle w:val="BodyText"/>
        <w:spacing w:before="1"/>
        <w:ind w:left="0"/>
        <w:rPr>
          <w:b/>
          <w:sz w:val="14"/>
        </w:rPr>
      </w:pPr>
    </w:p>
    <w:p>
      <w:pPr>
        <w:pStyle w:val="BodyText"/>
      </w:pPr>
      <w:r>
        <w:rPr/>
        <w:t>五十七、因职业关系导致的人类免疫缺陷病毒（HIV）感染</w:t>
      </w:r>
    </w:p>
    <w:p>
      <w:pPr>
        <w:pStyle w:val="BodyText"/>
        <w:spacing w:line="273" w:lineRule="auto" w:before="99"/>
        <w:ind w:right="226"/>
      </w:pPr>
      <w:r>
        <w:rPr/>
        <w:t>被保险人在其常规职业工作过程中遭遇外伤，或职业需要处理血液或其它体液时感染上人类免疫缺陷病毒（HIV）。必须满足下列全部条件：</w:t>
      </w:r>
    </w:p>
    <w:p>
      <w:pPr>
        <w:spacing w:after="0" w:line="273" w:lineRule="auto"/>
        <w:sectPr>
          <w:pgSz w:w="11910" w:h="16840"/>
          <w:pgMar w:header="0" w:footer="809" w:top="1140" w:bottom="1080" w:left="168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566"/>
        <w:gridCol w:w="7975"/>
      </w:tblGrid>
      <w:tr>
        <w:trPr>
          <w:trHeight w:val="11815" w:hRule="atLeast"/>
        </w:trPr>
        <w:tc>
          <w:tcPr>
            <w:tcW w:w="793" w:type="dxa"/>
          </w:tcPr>
          <w:p>
            <w:pPr>
              <w:pStyle w:val="TableParagraph"/>
              <w:rPr>
                <w:rFonts w:ascii="Times New Roman"/>
                <w:sz w:val="20"/>
              </w:rPr>
            </w:pPr>
          </w:p>
        </w:tc>
        <w:tc>
          <w:tcPr>
            <w:tcW w:w="1566" w:type="dxa"/>
          </w:tcPr>
          <w:p>
            <w:pPr>
              <w:pStyle w:val="TableParagraph"/>
              <w:rPr>
                <w:rFonts w:ascii="Times New Roman"/>
                <w:sz w:val="20"/>
              </w:rPr>
            </w:pPr>
          </w:p>
        </w:tc>
        <w:tc>
          <w:tcPr>
            <w:tcW w:w="7975" w:type="dxa"/>
          </w:tcPr>
          <w:p>
            <w:pPr>
              <w:pStyle w:val="TableParagraph"/>
              <w:spacing w:line="211" w:lineRule="exact"/>
              <w:ind w:left="109"/>
              <w:rPr>
                <w:sz w:val="21"/>
              </w:rPr>
            </w:pPr>
            <w:r>
              <w:rPr>
                <w:sz w:val="21"/>
              </w:rPr>
              <w:t>（一）感染必须是在被保险人正在从事其职业工作中发生，该职业必须属于下列限</w:t>
            </w:r>
          </w:p>
          <w:p>
            <w:pPr>
              <w:pStyle w:val="TableParagraph"/>
              <w:spacing w:before="37"/>
              <w:ind w:left="109"/>
              <w:rPr>
                <w:sz w:val="21"/>
              </w:rPr>
            </w:pPr>
            <w:r>
              <w:rPr>
                <w:sz w:val="21"/>
              </w:rPr>
              <w:t>定职业范围内的职业；</w:t>
            </w:r>
          </w:p>
          <w:p>
            <w:pPr>
              <w:pStyle w:val="TableParagraph"/>
              <w:spacing w:before="99"/>
              <w:ind w:left="109"/>
              <w:rPr>
                <w:sz w:val="21"/>
              </w:rPr>
            </w:pPr>
            <w:r>
              <w:rPr>
                <w:sz w:val="21"/>
              </w:rPr>
              <w:t>（二）血清转化必须出现在事故发生后的 6 个月以内；</w:t>
            </w:r>
          </w:p>
          <w:p>
            <w:pPr>
              <w:pStyle w:val="TableParagraph"/>
              <w:spacing w:line="273" w:lineRule="auto" w:before="98"/>
              <w:ind w:left="109" w:right="196"/>
              <w:jc w:val="both"/>
              <w:rPr>
                <w:sz w:val="21"/>
              </w:rPr>
            </w:pPr>
            <w:r>
              <w:rPr>
                <w:sz w:val="21"/>
              </w:rPr>
              <w:t>（三）必须提供被保险人在所报事故发生后的 5 天以内进行的检查报告，该报告必须显示被保险人血液人类免疫缺陷病毒（HIV）阴性和/或人类免疫缺陷病毒（HIV） 抗体阴性；</w:t>
            </w:r>
          </w:p>
          <w:p>
            <w:pPr>
              <w:pStyle w:val="TableParagraph"/>
              <w:spacing w:before="69"/>
              <w:ind w:left="109"/>
              <w:rPr>
                <w:sz w:val="21"/>
              </w:rPr>
            </w:pPr>
            <w:r>
              <w:rPr>
                <w:sz w:val="21"/>
              </w:rPr>
              <w:t>（四）必须在事故发生后的 12 个月内证实被保险人体内存在人类免疫缺陷病毒</w:t>
            </w:r>
          </w:p>
          <w:p>
            <w:pPr>
              <w:pStyle w:val="TableParagraph"/>
              <w:spacing w:line="326" w:lineRule="auto" w:before="36"/>
              <w:ind w:left="109" w:right="3871"/>
              <w:rPr>
                <w:b/>
                <w:sz w:val="21"/>
              </w:rPr>
            </w:pPr>
            <w:r>
              <w:rPr>
                <w:sz w:val="21"/>
              </w:rPr>
              <w:t>（HIV）或人类免疫缺陷病毒（HIV）抗体。</w:t>
            </w:r>
            <w:r>
              <w:rPr>
                <w:b/>
                <w:sz w:val="21"/>
                <w:u w:val="single"/>
              </w:rPr>
              <w:t>限定职业：</w:t>
            </w:r>
          </w:p>
          <w:p>
            <w:pPr>
              <w:pStyle w:val="TableParagraph"/>
              <w:spacing w:line="271" w:lineRule="auto" w:before="23"/>
              <w:ind w:left="109" w:right="265"/>
              <w:rPr>
                <w:b/>
                <w:sz w:val="21"/>
              </w:rPr>
            </w:pPr>
            <w:r>
              <w:rPr>
                <w:b/>
                <w:sz w:val="21"/>
                <w:u w:val="single"/>
              </w:rPr>
              <w:t>医生和牙科医生、护士、医院化验室工作人员、医院护工、医生助理和牙医助理、救护车工作人员、助产士、消防队员、警察、狱警。</w:t>
            </w:r>
          </w:p>
          <w:p>
            <w:pPr>
              <w:pStyle w:val="TableParagraph"/>
              <w:rPr>
                <w:sz w:val="20"/>
              </w:rPr>
            </w:pPr>
          </w:p>
          <w:p>
            <w:pPr>
              <w:pStyle w:val="TableParagraph"/>
              <w:spacing w:before="2"/>
              <w:rPr>
                <w:sz w:val="14"/>
              </w:rPr>
            </w:pPr>
          </w:p>
          <w:p>
            <w:pPr>
              <w:pStyle w:val="TableParagraph"/>
              <w:ind w:left="109"/>
              <w:rPr>
                <w:sz w:val="21"/>
              </w:rPr>
            </w:pPr>
            <w:r>
              <w:rPr>
                <w:sz w:val="21"/>
              </w:rPr>
              <w:t>五十八、严重自身免疫性肝炎</w:t>
            </w:r>
          </w:p>
          <w:p>
            <w:pPr>
              <w:pStyle w:val="TableParagraph"/>
              <w:spacing w:line="273" w:lineRule="auto" w:before="99"/>
              <w:ind w:left="109" w:right="267"/>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69"/>
              <w:ind w:left="109"/>
              <w:rPr>
                <w:sz w:val="21"/>
              </w:rPr>
            </w:pPr>
            <w:r>
              <w:rPr>
                <w:sz w:val="21"/>
              </w:rPr>
              <w:t>（一</w:t>
            </w:r>
            <w:r>
              <w:rPr>
                <w:spacing w:val="-3"/>
                <w:sz w:val="21"/>
              </w:rPr>
              <w:t>）</w:t>
            </w:r>
            <w:r>
              <w:rPr>
                <w:sz w:val="21"/>
              </w:rPr>
              <w:t>高</w:t>
            </w:r>
            <w:r>
              <w:rPr>
                <w:rFonts w:ascii="Arial" w:hAnsi="Arial" w:eastAsia="Arial"/>
                <w:sz w:val="21"/>
              </w:rPr>
              <w:t>γ</w:t>
            </w:r>
            <w:r>
              <w:rPr>
                <w:rFonts w:ascii="Arial" w:hAnsi="Arial" w:eastAsia="Arial"/>
                <w:spacing w:val="55"/>
                <w:sz w:val="21"/>
              </w:rPr>
              <w:t> </w:t>
            </w:r>
            <w:r>
              <w:rPr>
                <w:spacing w:val="-3"/>
                <w:sz w:val="21"/>
              </w:rPr>
              <w:t>球蛋白血症；</w:t>
            </w:r>
          </w:p>
          <w:p>
            <w:pPr>
              <w:pStyle w:val="TableParagraph"/>
              <w:spacing w:line="273" w:lineRule="auto" w:before="84"/>
              <w:ind w:left="109" w:right="190"/>
              <w:rPr>
                <w:sz w:val="21"/>
              </w:rPr>
            </w:pPr>
            <w:r>
              <w:rPr>
                <w:sz w:val="21"/>
              </w:rPr>
              <w:t>（二）血液中存在高水平的自身免疫抗体，如 ANA（抗核抗体）、SMA（抗平滑肌抗体）、抗 LKM1 抗体或抗-SLA/LP 抗体；</w:t>
            </w:r>
          </w:p>
          <w:p>
            <w:pPr>
              <w:pStyle w:val="TableParagraph"/>
              <w:spacing w:before="70"/>
              <w:ind w:left="109"/>
              <w:rPr>
                <w:sz w:val="21"/>
              </w:rPr>
            </w:pPr>
            <w:r>
              <w:rPr>
                <w:sz w:val="21"/>
              </w:rPr>
              <w:t>（三）肝脏活检证实免疫性肝炎；</w:t>
            </w:r>
          </w:p>
          <w:p>
            <w:pPr>
              <w:pStyle w:val="TableParagraph"/>
              <w:spacing w:before="97"/>
              <w:ind w:left="109"/>
              <w:rPr>
                <w:sz w:val="21"/>
              </w:rPr>
            </w:pPr>
            <w:r>
              <w:rPr>
                <w:sz w:val="21"/>
              </w:rPr>
              <w:t>（四）临床已经出现腹水、食道静脉曲张和脾肿大等肝硬化表现。</w:t>
            </w:r>
          </w:p>
          <w:p>
            <w:pPr>
              <w:pStyle w:val="TableParagraph"/>
              <w:rPr>
                <w:sz w:val="20"/>
              </w:rPr>
            </w:pPr>
          </w:p>
          <w:p>
            <w:pPr>
              <w:pStyle w:val="TableParagraph"/>
              <w:spacing w:before="3"/>
              <w:rPr>
                <w:sz w:val="16"/>
              </w:rPr>
            </w:pPr>
          </w:p>
          <w:p>
            <w:pPr>
              <w:pStyle w:val="TableParagraph"/>
              <w:ind w:left="109"/>
              <w:rPr>
                <w:sz w:val="21"/>
              </w:rPr>
            </w:pPr>
            <w:r>
              <w:rPr>
                <w:sz w:val="21"/>
              </w:rPr>
              <w:t>五十九、非阿尔茨海默病所致严重痴呆</w:t>
            </w:r>
          </w:p>
          <w:p>
            <w:pPr>
              <w:pStyle w:val="TableParagraph"/>
              <w:spacing w:line="273" w:lineRule="auto" w:before="100"/>
              <w:ind w:left="109" w:right="26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0"/>
              <w:ind w:left="109"/>
              <w:rPr>
                <w:b/>
                <w:sz w:val="21"/>
              </w:rPr>
            </w:pPr>
            <w:r>
              <w:rPr>
                <w:b/>
                <w:sz w:val="21"/>
                <w:u w:val="single"/>
              </w:rPr>
              <w:t>神经官能症、精神疾病及酒精中毒所致脑损害不在保障范围内。</w:t>
            </w:r>
          </w:p>
          <w:p>
            <w:pPr>
              <w:pStyle w:val="TableParagraph"/>
              <w:rPr>
                <w:sz w:val="20"/>
              </w:rPr>
            </w:pPr>
          </w:p>
          <w:p>
            <w:pPr>
              <w:pStyle w:val="TableParagraph"/>
              <w:rPr>
                <w:sz w:val="16"/>
              </w:rPr>
            </w:pPr>
          </w:p>
          <w:p>
            <w:pPr>
              <w:pStyle w:val="TableParagraph"/>
              <w:ind w:left="109"/>
              <w:rPr>
                <w:sz w:val="21"/>
              </w:rPr>
            </w:pPr>
            <w:r>
              <w:rPr>
                <w:sz w:val="21"/>
              </w:rPr>
              <w:t>六十、肺源性心脏病</w:t>
            </w:r>
          </w:p>
          <w:p>
            <w:pPr>
              <w:pStyle w:val="TableParagraph"/>
              <w:spacing w:line="237" w:lineRule="auto" w:before="80"/>
              <w:ind w:left="109" w:right="261"/>
              <w:jc w:val="both"/>
              <w:rPr>
                <w:sz w:val="21"/>
              </w:rPr>
            </w:pPr>
            <w:r>
              <w:rPr>
                <w:spacing w:val="-3"/>
                <w:sz w:val="21"/>
              </w:rPr>
              <w:t>指被保险人因慢性肺部疾病导致慢性心功能损害造成永久不可逆性的心功能衰竭。</w:t>
            </w:r>
            <w:r>
              <w:rPr>
                <w:spacing w:val="-5"/>
                <w:sz w:val="21"/>
              </w:rPr>
              <w:t>心功能衰竭程度达到纽约心脏病学会的心功能分级标准之心功能 </w:t>
            </w:r>
            <w:r>
              <w:rPr>
                <w:sz w:val="21"/>
              </w:rPr>
              <w:t>IV</w:t>
            </w:r>
            <w:r>
              <w:rPr>
                <w:spacing w:val="-16"/>
                <w:sz w:val="21"/>
              </w:rPr>
              <w:t> 级。被保险人永</w:t>
            </w:r>
            <w:r>
              <w:rPr>
                <w:spacing w:val="-7"/>
                <w:sz w:val="21"/>
              </w:rPr>
              <w:t>久不可逆性的体力活动能力受限，不能从事任何体力活动。</w:t>
            </w:r>
          </w:p>
        </w:tc>
      </w:tr>
      <w:tr>
        <w:trPr>
          <w:trHeight w:val="2231" w:hRule="atLeast"/>
        </w:trPr>
        <w:tc>
          <w:tcPr>
            <w:tcW w:w="793" w:type="dxa"/>
          </w:tcPr>
          <w:p>
            <w:pPr>
              <w:pStyle w:val="TableParagraph"/>
              <w:spacing w:before="165"/>
              <w:ind w:left="200"/>
              <w:rPr>
                <w:b/>
                <w:sz w:val="21"/>
              </w:rPr>
            </w:pPr>
            <w:r>
              <w:rPr>
                <w:b/>
                <w:sz w:val="21"/>
              </w:rPr>
              <w:t>14．</w:t>
            </w:r>
          </w:p>
        </w:tc>
        <w:tc>
          <w:tcPr>
            <w:tcW w:w="1566" w:type="dxa"/>
          </w:tcPr>
          <w:p>
            <w:pPr>
              <w:pStyle w:val="TableParagraph"/>
              <w:spacing w:line="237" w:lineRule="auto" w:before="168"/>
              <w:ind w:left="170" w:right="105"/>
              <w:rPr>
                <w:b/>
                <w:sz w:val="21"/>
              </w:rPr>
            </w:pPr>
            <w:r>
              <w:rPr>
                <w:b/>
                <w:sz w:val="21"/>
              </w:rPr>
              <w:t>轻症疾病的种类与定义</w:t>
            </w:r>
          </w:p>
        </w:tc>
        <w:tc>
          <w:tcPr>
            <w:tcW w:w="7975" w:type="dxa"/>
          </w:tcPr>
          <w:p>
            <w:pPr>
              <w:pStyle w:val="TableParagraph"/>
              <w:spacing w:before="165"/>
              <w:ind w:left="109"/>
              <w:rPr>
                <w:sz w:val="21"/>
              </w:rPr>
            </w:pPr>
            <w:r>
              <w:rPr>
                <w:sz w:val="21"/>
              </w:rPr>
              <w:t>一、非危及生命的（极早期的）恶性肿瘤</w:t>
            </w:r>
          </w:p>
          <w:p>
            <w:pPr>
              <w:pStyle w:val="TableParagraph"/>
              <w:spacing w:line="273" w:lineRule="auto" w:before="79"/>
              <w:ind w:left="109" w:right="265"/>
              <w:rPr>
                <w:sz w:val="21"/>
              </w:rPr>
            </w:pPr>
            <w:r>
              <w:rPr>
                <w:sz w:val="21"/>
              </w:rPr>
              <w:t>指被保险人生前经组织病理学检查被明确诊断为下列恶性肿瘤，并且接受了相应的治疗。</w:t>
            </w:r>
          </w:p>
          <w:p>
            <w:pPr>
              <w:pStyle w:val="TableParagraph"/>
              <w:spacing w:before="69"/>
              <w:ind w:left="109"/>
              <w:rPr>
                <w:sz w:val="21"/>
              </w:rPr>
            </w:pPr>
            <w:r>
              <w:rPr>
                <w:sz w:val="21"/>
              </w:rPr>
              <w:t>（一）原位癌；</w:t>
            </w:r>
          </w:p>
          <w:p>
            <w:pPr>
              <w:pStyle w:val="TableParagraph"/>
              <w:spacing w:before="99"/>
              <w:ind w:left="109"/>
              <w:rPr>
                <w:sz w:val="21"/>
              </w:rPr>
            </w:pPr>
            <w:r>
              <w:rPr>
                <w:sz w:val="21"/>
              </w:rPr>
              <w:t>（二）相当于 Binet 分期方案 A 期程度的慢性淋巴细胞白血病；</w:t>
            </w:r>
          </w:p>
          <w:p>
            <w:pPr>
              <w:pStyle w:val="TableParagraph"/>
              <w:spacing w:line="255" w:lineRule="exact" w:before="99"/>
              <w:ind w:left="109"/>
              <w:rPr>
                <w:sz w:val="21"/>
              </w:rPr>
            </w:pPr>
            <w:r>
              <w:rPr>
                <w:sz w:val="21"/>
              </w:rPr>
              <w:t>（三）相当于 Ann Arbor 分期方案 I 期程度的何杰金氏病；</w:t>
            </w:r>
          </w:p>
        </w:tc>
      </w:tr>
    </w:tbl>
    <w:p>
      <w:pPr>
        <w:spacing w:after="0" w:line="255" w:lineRule="exact"/>
        <w:rPr>
          <w:sz w:val="21"/>
        </w:rPr>
        <w:sectPr>
          <w:pgSz w:w="11910" w:h="16840"/>
          <w:pgMar w:header="0" w:footer="809" w:top="1220" w:bottom="1000" w:left="760" w:right="580"/>
        </w:sectPr>
      </w:pPr>
    </w:p>
    <w:p>
      <w:pPr>
        <w:pStyle w:val="BodyText"/>
        <w:spacing w:before="24"/>
      </w:pPr>
      <w:r>
        <w:rPr>
          <w:w w:val="100"/>
        </w:rPr>
        <w:t>（四</w:t>
      </w:r>
      <w:r>
        <w:rPr>
          <w:spacing w:val="-3"/>
          <w:w w:val="100"/>
        </w:rPr>
        <w:t>）</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spacing w:before="77"/>
      </w:pPr>
      <w:r>
        <w:rPr>
          <w:position w:val="1"/>
        </w:rPr>
        <w:t>（五）TNM 分期为 T</w:t>
      </w:r>
      <w:r>
        <w:rPr>
          <w:sz w:val="11"/>
        </w:rPr>
        <w:t>1</w:t>
      </w:r>
      <w:r>
        <w:rPr>
          <w:position w:val="1"/>
        </w:rPr>
        <w:t>N</w:t>
      </w:r>
      <w:r>
        <w:rPr>
          <w:sz w:val="11"/>
        </w:rPr>
        <w:t>O</w:t>
      </w:r>
      <w:r>
        <w:rPr>
          <w:position w:val="1"/>
        </w:rPr>
        <w:t>M</w:t>
      </w:r>
      <w:r>
        <w:rPr>
          <w:sz w:val="11"/>
        </w:rPr>
        <w:t>O </w:t>
      </w:r>
      <w:r>
        <w:rPr>
          <w:position w:val="1"/>
        </w:rPr>
        <w:t>期或更轻分期的前列腺癌。</w:t>
      </w:r>
    </w:p>
    <w:p>
      <w:pPr>
        <w:pStyle w:val="BodyText"/>
        <w:ind w:left="0"/>
        <w:rPr>
          <w:sz w:val="20"/>
        </w:rPr>
      </w:pPr>
    </w:p>
    <w:p>
      <w:pPr>
        <w:pStyle w:val="BodyText"/>
        <w:spacing w:before="133"/>
      </w:pPr>
      <w:r>
        <w:rPr/>
        <w:t>二、不典型的急性心肌梗塞或冠状动脉介入手术</w:t>
      </w:r>
    </w:p>
    <w:p>
      <w:pPr>
        <w:pStyle w:val="BodyText"/>
        <w:spacing w:line="273" w:lineRule="auto" w:before="79"/>
        <w:ind w:right="226"/>
        <w:jc w:val="both"/>
      </w:pPr>
      <w:r>
        <w:rPr/>
        <w:t>指被保险人因冠状动脉粥样硬化性心脏病引起不典型的急性心肌梗塞或接受冠状动脉成形手术，需要符合以下定义。无论被保险人符合定义中的一项还是二项，本轻症疾病项下仅赔付一次，赔付后本项轻症疾病责任终止。</w:t>
      </w:r>
    </w:p>
    <w:p>
      <w:pPr>
        <w:pStyle w:val="BodyText"/>
        <w:spacing w:line="273" w:lineRule="auto" w:before="69"/>
        <w:ind w:right="225"/>
      </w:pPr>
      <w:r>
        <w:rPr/>
        <w:t>不典型的急性心肌梗塞指被临床诊断为急性心肌梗塞并接受了急性心肌梗塞治疗， 虽然未达到危重疾病“急性心肌梗塞”的给付标准，但满足下列全部条件：</w:t>
      </w:r>
    </w:p>
    <w:p>
      <w:pPr>
        <w:pStyle w:val="BodyText"/>
        <w:spacing w:before="69"/>
      </w:pPr>
      <w:r>
        <w:rPr/>
        <w:t>（一）肌钙蛋白有诊断意义的升高；</w:t>
      </w:r>
    </w:p>
    <w:p>
      <w:pPr>
        <w:pStyle w:val="BodyText"/>
        <w:spacing w:before="99"/>
      </w:pPr>
      <w:r>
        <w:rPr/>
        <w:t>（二）心电图有损伤性的 ST 段改变但未出现病理 Q 波。</w:t>
      </w:r>
    </w:p>
    <w:p>
      <w:pPr>
        <w:pStyle w:val="Heading2"/>
        <w:spacing w:before="99"/>
      </w:pPr>
      <w:r>
        <w:rPr>
          <w:u w:val="single"/>
        </w:rPr>
        <w:t>因存在心肌桥而出现的类似于不典型的急性心肌梗塞表现的不在本保障范围内。</w:t>
      </w:r>
    </w:p>
    <w:p>
      <w:pPr>
        <w:pStyle w:val="BodyText"/>
        <w:spacing w:line="237" w:lineRule="auto" w:before="78"/>
        <w:ind w:right="225"/>
        <w:jc w:val="both"/>
      </w:pPr>
      <w:r>
        <w:rPr/>
        <w:t>冠状动脉介入手术是指为了治疗明显的冠状动脉狭窄性疾病，首次实际实施了冠状动脉球囊扩张成形术、冠状动脉支架植入术、冠状动脉粥样斑块切除术或激光冠状动脉成形术。</w:t>
      </w:r>
    </w:p>
    <w:p>
      <w:pPr>
        <w:pStyle w:val="Heading2"/>
        <w:spacing w:before="61"/>
      </w:pPr>
      <w:r>
        <w:rPr>
          <w:u w:val="single"/>
        </w:rPr>
        <w:t>因冠状动脉先天性畸形而接受冠状动脉介入手术的不在本保障范围内。</w:t>
      </w:r>
    </w:p>
    <w:p>
      <w:pPr>
        <w:pStyle w:val="BodyText"/>
        <w:spacing w:before="2"/>
        <w:ind w:left="0"/>
        <w:rPr>
          <w:b/>
          <w:sz w:val="27"/>
        </w:rPr>
      </w:pPr>
    </w:p>
    <w:p>
      <w:pPr>
        <w:pStyle w:val="BodyText"/>
        <w:spacing w:before="37"/>
      </w:pPr>
      <w:r>
        <w:rPr/>
        <w:t>三、轻微脑中风</w:t>
      </w:r>
    </w:p>
    <w:p>
      <w:pPr>
        <w:pStyle w:val="BodyText"/>
        <w:spacing w:line="237" w:lineRule="auto" w:before="64"/>
        <w:ind w:right="115"/>
      </w:pPr>
      <w:r>
        <w:rPr>
          <w:spacing w:val="-3"/>
          <w:w w:val="100"/>
        </w:rPr>
        <w:t>指实际发生了脑血管的突发病变出现神经系统功能障碍表现，头颅断层扫描</w:t>
      </w:r>
      <w:r>
        <w:rPr>
          <w:w w:val="100"/>
        </w:rPr>
        <w:t>（C</w:t>
      </w:r>
      <w:r>
        <w:rPr>
          <w:spacing w:val="-3"/>
          <w:w w:val="100"/>
        </w:rPr>
        <w:t>T</w:t>
      </w:r>
      <w:r>
        <w:rPr>
          <w:spacing w:val="-108"/>
          <w:w w:val="100"/>
        </w:rPr>
        <w:t>）、</w:t>
      </w:r>
      <w:r>
        <w:rPr>
          <w:spacing w:val="-12"/>
        </w:rPr>
        <w:t>核磁共振</w:t>
      </w:r>
      <w:r>
        <w:rPr>
          <w:spacing w:val="-10"/>
        </w:rPr>
        <w:t>（MRI）</w:t>
      </w:r>
      <w:r>
        <w:rPr>
          <w:spacing w:val="-8"/>
        </w:rPr>
        <w:t>等影像学检查证实存在对应病灶，确诊为脑出血、脑栓塞或脑梗塞， </w:t>
      </w:r>
      <w:r>
        <w:rPr>
          <w:spacing w:val="-17"/>
        </w:rPr>
        <w:t>在确诊 </w:t>
      </w:r>
      <w:r>
        <w:rPr/>
        <w:t>180</w:t>
      </w:r>
      <w:r>
        <w:rPr>
          <w:spacing w:val="-10"/>
        </w:rPr>
        <w:t> 天后仍然遗留一肢或一肢以上肢体肌力 </w:t>
      </w:r>
      <w:r>
        <w:rPr/>
        <w:t>III</w:t>
      </w:r>
      <w:r>
        <w:rPr>
          <w:spacing w:val="-22"/>
        </w:rPr>
        <w:t> 级或 </w:t>
      </w:r>
      <w:r>
        <w:rPr/>
        <w:t>III</w:t>
      </w:r>
      <w:r>
        <w:rPr>
          <w:spacing w:val="-8"/>
        </w:rPr>
        <w:t> 级以下的运动功能障碍。</w:t>
      </w:r>
    </w:p>
    <w:p>
      <w:pPr>
        <w:pStyle w:val="BodyText"/>
        <w:ind w:left="0"/>
        <w:rPr>
          <w:sz w:val="20"/>
        </w:rPr>
      </w:pPr>
    </w:p>
    <w:p>
      <w:pPr>
        <w:pStyle w:val="BodyText"/>
        <w:spacing w:before="133"/>
      </w:pPr>
      <w:r>
        <w:rPr/>
        <w:t>四、心脏瓣膜介入手术</w:t>
      </w:r>
    </w:p>
    <w:p>
      <w:pPr>
        <w:pStyle w:val="BodyText"/>
        <w:spacing w:line="237" w:lineRule="auto" w:before="61"/>
        <w:ind w:right="226"/>
      </w:pPr>
      <w:r>
        <w:rPr/>
        <w:t>为了治疗心脏瓣膜疾病，被保险人实际接受了非开胸的经胸壁打孔内镜手术或经皮经导管介入手术进行的心脏瓣膜置换或修复手术。</w:t>
      </w:r>
    </w:p>
    <w:p>
      <w:pPr>
        <w:pStyle w:val="Heading2"/>
        <w:spacing w:before="60"/>
      </w:pPr>
      <w:r>
        <w:rPr>
          <w:u w:val="single"/>
        </w:rPr>
        <w:t>因先天性心脏病而实施心脏瓣膜介入手术的不在本保障范围内。</w:t>
      </w:r>
    </w:p>
    <w:p>
      <w:pPr>
        <w:pStyle w:val="BodyText"/>
        <w:spacing w:before="2"/>
        <w:ind w:left="0"/>
        <w:rPr>
          <w:b/>
          <w:sz w:val="27"/>
        </w:rPr>
      </w:pPr>
    </w:p>
    <w:p>
      <w:pPr>
        <w:pStyle w:val="BodyText"/>
        <w:spacing w:before="36"/>
      </w:pPr>
      <w:r>
        <w:rPr/>
        <w:t>五、脑垂体瘤、脑囊肿、脑动脉瘤及脑血管瘤</w:t>
      </w:r>
    </w:p>
    <w:p>
      <w:pPr>
        <w:pStyle w:val="BodyText"/>
        <w:spacing w:line="273" w:lineRule="auto" w:before="82"/>
        <w:ind w:right="226"/>
      </w:pPr>
      <w:r>
        <w:rPr>
          <w:spacing w:val="-1"/>
          <w:w w:val="100"/>
        </w:rPr>
        <w:t>指被保险人经头颅断层扫描</w:t>
      </w:r>
      <w:r>
        <w:rPr>
          <w:w w:val="100"/>
        </w:rPr>
        <w:t>（CT</w:t>
      </w:r>
      <w:r>
        <w:rPr>
          <w:spacing w:val="-104"/>
          <w:w w:val="100"/>
        </w:rPr>
        <w:t>）</w:t>
      </w:r>
      <w:r>
        <w:rPr>
          <w:w w:val="100"/>
        </w:rPr>
        <w:t>、核磁共振</w:t>
      </w:r>
      <w:r>
        <w:rPr>
          <w:spacing w:val="-3"/>
          <w:w w:val="100"/>
        </w:rPr>
        <w:t>（</w:t>
      </w:r>
      <w:r>
        <w:rPr>
          <w:w w:val="100"/>
        </w:rPr>
        <w:t>MR</w:t>
      </w:r>
      <w:r>
        <w:rPr>
          <w:spacing w:val="-3"/>
          <w:w w:val="100"/>
        </w:rPr>
        <w:t>I</w:t>
      </w:r>
      <w:r>
        <w:rPr>
          <w:w w:val="100"/>
        </w:rPr>
        <w:t>）</w:t>
      </w:r>
      <w:r>
        <w:rPr>
          <w:spacing w:val="-1"/>
          <w:w w:val="100"/>
        </w:rPr>
        <w:t>或其他影像学检查被确诊为下</w:t>
      </w:r>
      <w:r>
        <w:rPr>
          <w:spacing w:val="-3"/>
        </w:rPr>
        <w:t>列病变，并实际接受了手术或放射治疗。</w:t>
      </w:r>
    </w:p>
    <w:p>
      <w:pPr>
        <w:pStyle w:val="BodyText"/>
        <w:spacing w:before="70"/>
      </w:pPr>
      <w:r>
        <w:rPr/>
        <w:t>（一）脑垂体瘤；</w:t>
      </w:r>
    </w:p>
    <w:p>
      <w:pPr>
        <w:pStyle w:val="BodyText"/>
        <w:spacing w:before="97"/>
      </w:pPr>
      <w:r>
        <w:rPr/>
        <w:t>（二）脑囊肿；</w:t>
      </w:r>
    </w:p>
    <w:p>
      <w:pPr>
        <w:pStyle w:val="BodyText"/>
        <w:spacing w:before="78"/>
      </w:pPr>
      <w:r>
        <w:rPr/>
        <w:t>（三）脑动脉瘤、脑血管瘤。</w:t>
      </w:r>
    </w:p>
    <w:p>
      <w:pPr>
        <w:pStyle w:val="BodyText"/>
        <w:ind w:left="0"/>
        <w:rPr>
          <w:sz w:val="20"/>
        </w:rPr>
      </w:pPr>
    </w:p>
    <w:p>
      <w:pPr>
        <w:pStyle w:val="BodyText"/>
        <w:spacing w:before="134"/>
      </w:pPr>
      <w:r>
        <w:rPr/>
        <w:t>六、视力严重受损-被保险人出生满 36 个月后出现症状</w:t>
      </w:r>
    </w:p>
    <w:p>
      <w:pPr>
        <w:pStyle w:val="BodyText"/>
        <w:spacing w:line="273" w:lineRule="auto" w:before="80"/>
        <w:ind w:right="225"/>
      </w:pPr>
      <w:r>
        <w:rPr/>
        <w:t>指因疾病或意外伤害导致双目视力永久不可逆性丧失，虽然未达到危重疾病“双目失明”的给付标准，但满足下列条件之一：</w:t>
      </w:r>
    </w:p>
    <w:p>
      <w:pPr>
        <w:pStyle w:val="BodyText"/>
        <w:spacing w:line="273" w:lineRule="auto" w:before="69"/>
        <w:ind w:right="221"/>
      </w:pPr>
      <w:r>
        <w:rPr/>
        <w:t>（一）</w:t>
      </w:r>
      <w:r>
        <w:rPr>
          <w:spacing w:val="2"/>
        </w:rPr>
        <w:t>双眼中较好眼矫正视力低于 </w:t>
      </w:r>
      <w:r>
        <w:rPr/>
        <w:t>0.1（</w:t>
      </w:r>
      <w:r>
        <w:rPr>
          <w:spacing w:val="-1"/>
        </w:rPr>
        <w:t>采用国际标准视力表，如果使用其他视力</w:t>
      </w:r>
      <w:r>
        <w:rPr>
          <w:spacing w:val="-3"/>
          <w:w w:val="100"/>
        </w:rPr>
        <w:t>表应进行换算</w:t>
      </w:r>
      <w:r>
        <w:rPr>
          <w:spacing w:val="-108"/>
          <w:w w:val="100"/>
        </w:rPr>
        <w:t>）</w:t>
      </w:r>
      <w:r>
        <w:rPr>
          <w:w w:val="100"/>
        </w:rPr>
        <w:t>；</w:t>
      </w:r>
    </w:p>
    <w:p>
      <w:pPr>
        <w:pStyle w:val="BodyText"/>
        <w:spacing w:before="69"/>
      </w:pPr>
      <w:r>
        <w:rPr/>
        <w:t>（二）双眼中较好眼视野半径小于 20 度。</w:t>
      </w:r>
    </w:p>
    <w:p>
      <w:pPr>
        <w:pStyle w:val="BodyText"/>
        <w:spacing w:line="271" w:lineRule="auto" w:before="99"/>
        <w:ind w:right="226"/>
      </w:pPr>
      <w:r>
        <w:rPr/>
        <w:t>被保险人申请理赔时年龄必须在三周岁以上，并且提供理赔当时的视力丧失诊断及检查证据。</w:t>
      </w:r>
    </w:p>
    <w:p>
      <w:pPr>
        <w:spacing w:after="0" w:line="271" w:lineRule="auto"/>
        <w:sectPr>
          <w:pgSz w:w="11910" w:h="16840"/>
          <w:pgMar w:header="0" w:footer="809" w:top="1140" w:bottom="1000" w:left="168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344"/>
        <w:gridCol w:w="8134"/>
      </w:tblGrid>
      <w:tr>
        <w:trPr>
          <w:trHeight w:val="6813" w:hRule="atLeast"/>
        </w:trPr>
        <w:tc>
          <w:tcPr>
            <w:tcW w:w="793" w:type="dxa"/>
          </w:tcPr>
          <w:p>
            <w:pPr>
              <w:pStyle w:val="TableParagraph"/>
              <w:rPr>
                <w:rFonts w:ascii="Times New Roman"/>
                <w:sz w:val="20"/>
              </w:rPr>
            </w:pPr>
          </w:p>
        </w:tc>
        <w:tc>
          <w:tcPr>
            <w:tcW w:w="1344" w:type="dxa"/>
          </w:tcPr>
          <w:p>
            <w:pPr>
              <w:pStyle w:val="TableParagraph"/>
              <w:rPr>
                <w:rFonts w:ascii="Times New Roman"/>
                <w:sz w:val="20"/>
              </w:rPr>
            </w:pPr>
          </w:p>
        </w:tc>
        <w:tc>
          <w:tcPr>
            <w:tcW w:w="8134" w:type="dxa"/>
          </w:tcPr>
          <w:p>
            <w:pPr>
              <w:pStyle w:val="TableParagraph"/>
              <w:spacing w:line="211" w:lineRule="exact"/>
              <w:ind w:left="331"/>
              <w:rPr>
                <w:sz w:val="21"/>
              </w:rPr>
            </w:pPr>
            <w:r>
              <w:rPr>
                <w:sz w:val="21"/>
              </w:rPr>
              <w:t>七、主动脉内手术</w:t>
            </w:r>
          </w:p>
          <w:p>
            <w:pPr>
              <w:pStyle w:val="TableParagraph"/>
              <w:spacing w:line="237" w:lineRule="auto" w:before="81"/>
              <w:ind w:left="331" w:right="200"/>
              <w:rPr>
                <w:b/>
                <w:sz w:val="21"/>
              </w:rPr>
            </w:pPr>
            <w:r>
              <w:rPr>
                <w:sz w:val="21"/>
              </w:rPr>
              <w:t>为了治疗主动脉疾病实际实施了经皮经导管进行的动脉内手术。</w:t>
            </w:r>
            <w:r>
              <w:rPr>
                <w:b/>
                <w:sz w:val="21"/>
                <w:u w:val="single"/>
              </w:rPr>
              <w:t>主动脉指胸主动脉和腹主动脉，不包括胸主动脉和腹主动脉的分支血管。</w:t>
            </w:r>
          </w:p>
          <w:p>
            <w:pPr>
              <w:pStyle w:val="TableParagraph"/>
              <w:rPr>
                <w:sz w:val="20"/>
              </w:rPr>
            </w:pPr>
          </w:p>
          <w:p>
            <w:pPr>
              <w:pStyle w:val="TableParagraph"/>
              <w:spacing w:before="133"/>
              <w:ind w:left="331"/>
              <w:rPr>
                <w:sz w:val="21"/>
              </w:rPr>
            </w:pPr>
            <w:r>
              <w:rPr>
                <w:sz w:val="21"/>
              </w:rPr>
              <w:t>八、较小面积Ⅲ度烧伤（10%）</w:t>
            </w:r>
          </w:p>
          <w:p>
            <w:pPr>
              <w:pStyle w:val="TableParagraph"/>
              <w:spacing w:line="271" w:lineRule="auto" w:before="83"/>
              <w:ind w:left="331" w:right="127"/>
              <w:rPr>
                <w:sz w:val="21"/>
              </w:rPr>
            </w:pPr>
            <w:r>
              <w:rPr>
                <w:sz w:val="21"/>
              </w:rPr>
              <w:t>指烧伤程度为Ⅲ度，且Ⅲ度烧伤的面积大于全身体表面积的 10%但小于 20％。体表面积根据 《中国新九分法》计算。</w:t>
            </w:r>
          </w:p>
          <w:p>
            <w:pPr>
              <w:pStyle w:val="TableParagraph"/>
              <w:spacing w:before="7"/>
              <w:rPr>
                <w:sz w:val="29"/>
              </w:rPr>
            </w:pPr>
          </w:p>
          <w:p>
            <w:pPr>
              <w:pStyle w:val="TableParagraph"/>
              <w:ind w:left="331"/>
              <w:rPr>
                <w:sz w:val="21"/>
              </w:rPr>
            </w:pPr>
            <w:r>
              <w:rPr>
                <w:sz w:val="21"/>
              </w:rPr>
              <w:t>九、重症头部外伤</w:t>
            </w:r>
          </w:p>
          <w:p>
            <w:pPr>
              <w:pStyle w:val="TableParagraph"/>
              <w:spacing w:line="273" w:lineRule="auto" w:before="80"/>
              <w:ind w:left="331" w:right="201"/>
              <w:jc w:val="both"/>
              <w:rPr>
                <w:sz w:val="21"/>
              </w:rPr>
            </w:pPr>
            <w:r>
              <w:rPr>
                <w:spacing w:val="-3"/>
                <w:w w:val="100"/>
                <w:sz w:val="21"/>
              </w:rPr>
              <w:t>指因头部遭受机械性外力伤害，引起脑重要部位损伤，并且由头颅断层扫描</w:t>
            </w:r>
            <w:r>
              <w:rPr>
                <w:w w:val="100"/>
                <w:sz w:val="21"/>
              </w:rPr>
              <w:t>（C</w:t>
            </w:r>
            <w:r>
              <w:rPr>
                <w:spacing w:val="-3"/>
                <w:w w:val="100"/>
                <w:sz w:val="21"/>
              </w:rPr>
              <w:t>T</w:t>
            </w:r>
            <w:r>
              <w:rPr>
                <w:spacing w:val="-108"/>
                <w:w w:val="100"/>
                <w:sz w:val="21"/>
              </w:rPr>
              <w:t>）、</w:t>
            </w:r>
            <w:r>
              <w:rPr>
                <w:sz w:val="21"/>
              </w:rPr>
              <w:t>核磁共振检查（MRI）</w:t>
            </w:r>
            <w:r>
              <w:rPr>
                <w:spacing w:val="-2"/>
                <w:sz w:val="21"/>
              </w:rPr>
              <w:t>或正电子发射断层扫描</w:t>
            </w:r>
            <w:r>
              <w:rPr>
                <w:sz w:val="21"/>
              </w:rPr>
              <w:t>（PET）等影像学检查证实。头部外伤</w:t>
            </w:r>
            <w:r>
              <w:rPr>
                <w:spacing w:val="-3"/>
                <w:sz w:val="21"/>
              </w:rPr>
              <w:t>导致神经系统功能障碍，虽然未达到危重疾病“严重脑损伤”的给付标准，但是符合以下条件之一：</w:t>
            </w:r>
          </w:p>
          <w:p>
            <w:pPr>
              <w:pStyle w:val="TableParagraph"/>
              <w:spacing w:before="70"/>
              <w:ind w:left="331"/>
              <w:rPr>
                <w:sz w:val="21"/>
              </w:rPr>
            </w:pPr>
            <w:r>
              <w:rPr>
                <w:w w:val="100"/>
                <w:sz w:val="21"/>
              </w:rPr>
              <w:t>（一</w:t>
            </w:r>
            <w:r>
              <w:rPr>
                <w:spacing w:val="-3"/>
                <w:w w:val="100"/>
                <w:sz w:val="21"/>
              </w:rPr>
              <w:t>）被保险人接受了全麻下颅骨切开颅内血肿清除术（颅骨钻孔术除外</w:t>
            </w:r>
            <w:r>
              <w:rPr>
                <w:spacing w:val="-108"/>
                <w:w w:val="100"/>
                <w:sz w:val="21"/>
              </w:rPr>
              <w:t>）</w:t>
            </w:r>
            <w:r>
              <w:rPr>
                <w:w w:val="100"/>
                <w:sz w:val="21"/>
              </w:rPr>
              <w:t>；</w:t>
            </w:r>
          </w:p>
          <w:p>
            <w:pPr>
              <w:pStyle w:val="TableParagraph"/>
              <w:spacing w:line="273" w:lineRule="auto" w:before="99"/>
              <w:ind w:left="331" w:right="198"/>
              <w:rPr>
                <w:sz w:val="21"/>
              </w:rPr>
            </w:pPr>
            <w:r>
              <w:rPr>
                <w:sz w:val="21"/>
              </w:rPr>
              <w:t>（二</w:t>
            </w:r>
            <w:r>
              <w:rPr>
                <w:spacing w:val="-3"/>
                <w:sz w:val="21"/>
              </w:rPr>
              <w:t>）</w:t>
            </w:r>
            <w:r>
              <w:rPr>
                <w:spacing w:val="-12"/>
                <w:sz w:val="21"/>
              </w:rPr>
              <w:t>在外伤 </w:t>
            </w:r>
            <w:r>
              <w:rPr>
                <w:sz w:val="21"/>
              </w:rPr>
              <w:t>180</w:t>
            </w:r>
            <w:r>
              <w:rPr>
                <w:spacing w:val="-10"/>
                <w:sz w:val="21"/>
              </w:rPr>
              <w:t> 天后仍然遗留一肢或一肢以上肢体肌力 </w:t>
            </w:r>
            <w:r>
              <w:rPr>
                <w:sz w:val="21"/>
              </w:rPr>
              <w:t>III</w:t>
            </w:r>
            <w:r>
              <w:rPr>
                <w:spacing w:val="-21"/>
                <w:sz w:val="21"/>
              </w:rPr>
              <w:t> 级或 </w:t>
            </w:r>
            <w:r>
              <w:rPr>
                <w:sz w:val="21"/>
              </w:rPr>
              <w:t>III</w:t>
            </w:r>
            <w:r>
              <w:rPr>
                <w:spacing w:val="-10"/>
                <w:sz w:val="21"/>
              </w:rPr>
              <w:t> 级以下的运</w:t>
            </w:r>
            <w:r>
              <w:rPr>
                <w:spacing w:val="-5"/>
                <w:sz w:val="21"/>
              </w:rPr>
              <w:t>动功能障碍。</w:t>
            </w:r>
          </w:p>
          <w:p>
            <w:pPr>
              <w:pStyle w:val="TableParagraph"/>
              <w:rPr>
                <w:sz w:val="20"/>
              </w:rPr>
            </w:pPr>
          </w:p>
          <w:p>
            <w:pPr>
              <w:pStyle w:val="TableParagraph"/>
              <w:spacing w:before="9"/>
              <w:rPr>
                <w:sz w:val="13"/>
              </w:rPr>
            </w:pPr>
          </w:p>
          <w:p>
            <w:pPr>
              <w:pStyle w:val="TableParagraph"/>
              <w:spacing w:before="1"/>
              <w:ind w:left="331"/>
              <w:rPr>
                <w:sz w:val="21"/>
              </w:rPr>
            </w:pPr>
            <w:r>
              <w:rPr>
                <w:sz w:val="21"/>
              </w:rPr>
              <w:t>十、单个肢体缺失</w:t>
            </w:r>
          </w:p>
          <w:p>
            <w:pPr>
              <w:pStyle w:val="TableParagraph"/>
              <w:spacing w:line="237" w:lineRule="auto" w:before="81"/>
              <w:ind w:left="331" w:right="204"/>
              <w:rPr>
                <w:sz w:val="21"/>
              </w:rPr>
            </w:pPr>
            <w:r>
              <w:rPr>
                <w:sz w:val="21"/>
              </w:rPr>
              <w:t>指因疾病或意外伤害导致一个肢体自腕关节或踝关节近端（靠近躯干端）以上完全性断离。</w:t>
            </w:r>
          </w:p>
        </w:tc>
      </w:tr>
      <w:tr>
        <w:trPr>
          <w:trHeight w:val="669" w:hRule="atLeast"/>
        </w:trPr>
        <w:tc>
          <w:tcPr>
            <w:tcW w:w="793" w:type="dxa"/>
          </w:tcPr>
          <w:p>
            <w:pPr>
              <w:pStyle w:val="TableParagraph"/>
              <w:spacing w:before="165"/>
              <w:ind w:left="200"/>
              <w:rPr>
                <w:b/>
                <w:sz w:val="21"/>
              </w:rPr>
            </w:pPr>
            <w:r>
              <w:rPr>
                <w:b/>
                <w:sz w:val="21"/>
              </w:rPr>
              <w:t>15.</w:t>
            </w:r>
          </w:p>
        </w:tc>
        <w:tc>
          <w:tcPr>
            <w:tcW w:w="1344" w:type="dxa"/>
          </w:tcPr>
          <w:p>
            <w:pPr>
              <w:pStyle w:val="TableParagraph"/>
              <w:spacing w:before="165"/>
              <w:ind w:left="170"/>
              <w:rPr>
                <w:b/>
                <w:sz w:val="21"/>
              </w:rPr>
            </w:pPr>
            <w:r>
              <w:rPr>
                <w:b/>
                <w:sz w:val="21"/>
              </w:rPr>
              <w:t>释义</w:t>
            </w:r>
          </w:p>
        </w:tc>
        <w:tc>
          <w:tcPr>
            <w:tcW w:w="8134" w:type="dxa"/>
          </w:tcPr>
          <w:p>
            <w:pPr>
              <w:pStyle w:val="TableParagraph"/>
              <w:spacing w:before="165"/>
              <w:ind w:left="331"/>
              <w:rPr>
                <w:sz w:val="21"/>
              </w:rPr>
            </w:pPr>
            <w:r>
              <w:rPr>
                <w:sz w:val="21"/>
              </w:rPr>
              <w:t>在本附加合同中，下列用语具有如下特定的含义:</w:t>
            </w:r>
          </w:p>
        </w:tc>
      </w:tr>
      <w:tr>
        <w:trPr>
          <w:trHeight w:val="669" w:hRule="atLeast"/>
        </w:trPr>
        <w:tc>
          <w:tcPr>
            <w:tcW w:w="793" w:type="dxa"/>
          </w:tcPr>
          <w:p>
            <w:pPr>
              <w:pStyle w:val="TableParagraph"/>
              <w:spacing w:before="165"/>
              <w:ind w:left="200"/>
              <w:rPr>
                <w:sz w:val="21"/>
              </w:rPr>
            </w:pPr>
            <w:r>
              <w:rPr>
                <w:sz w:val="21"/>
              </w:rPr>
              <w:t>15.1</w:t>
            </w:r>
          </w:p>
        </w:tc>
        <w:tc>
          <w:tcPr>
            <w:tcW w:w="1344" w:type="dxa"/>
          </w:tcPr>
          <w:p>
            <w:pPr>
              <w:pStyle w:val="TableParagraph"/>
              <w:spacing w:before="165"/>
              <w:ind w:left="170"/>
              <w:rPr>
                <w:sz w:val="21"/>
              </w:rPr>
            </w:pPr>
            <w:r>
              <w:rPr>
                <w:sz w:val="21"/>
              </w:rPr>
              <w:t>我方</w:t>
            </w:r>
          </w:p>
        </w:tc>
        <w:tc>
          <w:tcPr>
            <w:tcW w:w="8134" w:type="dxa"/>
          </w:tcPr>
          <w:p>
            <w:pPr>
              <w:pStyle w:val="TableParagraph"/>
              <w:spacing w:before="165"/>
              <w:ind w:left="331"/>
              <w:rPr>
                <w:sz w:val="21"/>
              </w:rPr>
            </w:pPr>
            <w:r>
              <w:rPr>
                <w:sz w:val="21"/>
              </w:rPr>
              <w:t>指招商信诺人寿保险有限公司。</w:t>
            </w:r>
          </w:p>
        </w:tc>
      </w:tr>
      <w:tr>
        <w:trPr>
          <w:trHeight w:val="668" w:hRule="atLeast"/>
        </w:trPr>
        <w:tc>
          <w:tcPr>
            <w:tcW w:w="793" w:type="dxa"/>
          </w:tcPr>
          <w:p>
            <w:pPr>
              <w:pStyle w:val="TableParagraph"/>
              <w:spacing w:before="165"/>
              <w:ind w:left="200"/>
              <w:rPr>
                <w:sz w:val="21"/>
              </w:rPr>
            </w:pPr>
            <w:r>
              <w:rPr>
                <w:sz w:val="21"/>
              </w:rPr>
              <w:t>15.2</w:t>
            </w:r>
          </w:p>
        </w:tc>
        <w:tc>
          <w:tcPr>
            <w:tcW w:w="1344" w:type="dxa"/>
          </w:tcPr>
          <w:p>
            <w:pPr>
              <w:pStyle w:val="TableParagraph"/>
              <w:spacing w:before="165"/>
              <w:ind w:left="170"/>
              <w:rPr>
                <w:sz w:val="21"/>
              </w:rPr>
            </w:pPr>
            <w:r>
              <w:rPr>
                <w:sz w:val="21"/>
              </w:rPr>
              <w:t>您方</w:t>
            </w:r>
          </w:p>
        </w:tc>
        <w:tc>
          <w:tcPr>
            <w:tcW w:w="8134" w:type="dxa"/>
          </w:tcPr>
          <w:p>
            <w:pPr>
              <w:pStyle w:val="TableParagraph"/>
              <w:spacing w:before="165"/>
              <w:ind w:left="331"/>
              <w:rPr>
                <w:sz w:val="21"/>
              </w:rPr>
            </w:pPr>
            <w:r>
              <w:rPr>
                <w:sz w:val="21"/>
              </w:rPr>
              <w:t>指保险单上所显示的投保人或者被保险人。</w:t>
            </w:r>
          </w:p>
        </w:tc>
      </w:tr>
      <w:tr>
        <w:trPr>
          <w:trHeight w:val="668" w:hRule="atLeast"/>
        </w:trPr>
        <w:tc>
          <w:tcPr>
            <w:tcW w:w="793" w:type="dxa"/>
          </w:tcPr>
          <w:p>
            <w:pPr>
              <w:pStyle w:val="TableParagraph"/>
              <w:spacing w:before="164"/>
              <w:ind w:left="200"/>
              <w:rPr>
                <w:sz w:val="21"/>
              </w:rPr>
            </w:pPr>
            <w:r>
              <w:rPr>
                <w:sz w:val="21"/>
              </w:rPr>
              <w:t>15.3</w:t>
            </w:r>
          </w:p>
        </w:tc>
        <w:tc>
          <w:tcPr>
            <w:tcW w:w="1344" w:type="dxa"/>
          </w:tcPr>
          <w:p>
            <w:pPr>
              <w:pStyle w:val="TableParagraph"/>
              <w:spacing w:before="164"/>
              <w:ind w:left="170"/>
              <w:rPr>
                <w:sz w:val="21"/>
              </w:rPr>
            </w:pPr>
            <w:r>
              <w:rPr>
                <w:sz w:val="21"/>
              </w:rPr>
              <w:t>周岁</w:t>
            </w:r>
          </w:p>
        </w:tc>
        <w:tc>
          <w:tcPr>
            <w:tcW w:w="8134" w:type="dxa"/>
          </w:tcPr>
          <w:p>
            <w:pPr>
              <w:pStyle w:val="TableParagraph"/>
              <w:spacing w:before="164"/>
              <w:ind w:left="331"/>
              <w:rPr>
                <w:sz w:val="21"/>
              </w:rPr>
            </w:pPr>
            <w:r>
              <w:rPr>
                <w:sz w:val="21"/>
              </w:rPr>
              <w:t>指按法定身份证明文件中记载的出生日期计算的年龄，自出生之日起为零周岁。</w:t>
            </w:r>
          </w:p>
        </w:tc>
      </w:tr>
      <w:tr>
        <w:trPr>
          <w:trHeight w:val="940" w:hRule="atLeast"/>
        </w:trPr>
        <w:tc>
          <w:tcPr>
            <w:tcW w:w="793" w:type="dxa"/>
          </w:tcPr>
          <w:p>
            <w:pPr>
              <w:pStyle w:val="TableParagraph"/>
              <w:spacing w:before="165"/>
              <w:ind w:left="200"/>
              <w:rPr>
                <w:sz w:val="21"/>
              </w:rPr>
            </w:pPr>
            <w:r>
              <w:rPr>
                <w:sz w:val="21"/>
              </w:rPr>
              <w:t>15.4</w:t>
            </w:r>
          </w:p>
        </w:tc>
        <w:tc>
          <w:tcPr>
            <w:tcW w:w="1344" w:type="dxa"/>
          </w:tcPr>
          <w:p>
            <w:pPr>
              <w:pStyle w:val="TableParagraph"/>
              <w:spacing w:before="165"/>
              <w:ind w:left="170"/>
              <w:rPr>
                <w:sz w:val="21"/>
              </w:rPr>
            </w:pPr>
            <w:r>
              <w:rPr>
                <w:sz w:val="21"/>
              </w:rPr>
              <w:t>意外伤害</w:t>
            </w:r>
          </w:p>
        </w:tc>
        <w:tc>
          <w:tcPr>
            <w:tcW w:w="8134" w:type="dxa"/>
          </w:tcPr>
          <w:p>
            <w:pPr>
              <w:pStyle w:val="TableParagraph"/>
              <w:spacing w:line="237" w:lineRule="auto" w:before="168"/>
              <w:ind w:left="331" w:right="203"/>
              <w:rPr>
                <w:sz w:val="21"/>
              </w:rPr>
            </w:pPr>
            <w:r>
              <w:rPr>
                <w:sz w:val="21"/>
              </w:rPr>
              <w:t>指以外来的、突发的、不可预见的、非本意的和非疾病的客观事件为直接且单独的原因致使身体受到的伤害。</w:t>
            </w:r>
          </w:p>
        </w:tc>
      </w:tr>
      <w:tr>
        <w:trPr>
          <w:trHeight w:val="1758" w:hRule="atLeast"/>
        </w:trPr>
        <w:tc>
          <w:tcPr>
            <w:tcW w:w="793" w:type="dxa"/>
          </w:tcPr>
          <w:p>
            <w:pPr>
              <w:pStyle w:val="TableParagraph"/>
              <w:spacing w:before="165"/>
              <w:ind w:left="200"/>
              <w:rPr>
                <w:sz w:val="21"/>
              </w:rPr>
            </w:pPr>
            <w:r>
              <w:rPr>
                <w:sz w:val="21"/>
              </w:rPr>
              <w:t>15.5</w:t>
            </w:r>
          </w:p>
        </w:tc>
        <w:tc>
          <w:tcPr>
            <w:tcW w:w="1344" w:type="dxa"/>
          </w:tcPr>
          <w:p>
            <w:pPr>
              <w:pStyle w:val="TableParagraph"/>
              <w:spacing w:before="165"/>
              <w:ind w:left="170"/>
              <w:rPr>
                <w:sz w:val="21"/>
              </w:rPr>
            </w:pPr>
            <w:r>
              <w:rPr>
                <w:sz w:val="21"/>
              </w:rPr>
              <w:t>初次发生</w:t>
            </w:r>
          </w:p>
        </w:tc>
        <w:tc>
          <w:tcPr>
            <w:tcW w:w="8134" w:type="dxa"/>
          </w:tcPr>
          <w:p>
            <w:pPr>
              <w:pStyle w:val="TableParagraph"/>
              <w:spacing w:line="237" w:lineRule="auto" w:before="168"/>
              <w:ind w:left="331" w:right="204"/>
              <w:jc w:val="both"/>
              <w:rPr>
                <w:sz w:val="21"/>
              </w:rPr>
            </w:pPr>
            <w:r>
              <w:rPr>
                <w:sz w:val="21"/>
              </w:rPr>
              <w:t>指被保险人自出生之日起第一次出现而不是自本附加合同生效后或最后一次复效后第一次出现与本附加合同所约定的危重疾病、轻症疾病相关的</w:t>
            </w:r>
            <w:r>
              <w:rPr>
                <w:b/>
                <w:sz w:val="21"/>
              </w:rPr>
              <w:t>症状</w:t>
            </w:r>
            <w:r>
              <w:rPr>
                <w:sz w:val="21"/>
              </w:rPr>
              <w:t>（见 15.24）或体征，而该症状或体征已足以引起一般人士注意并去医院寻求医疗检查，且被诊断为本附加合同所约定的危重疾病、轻症疾病或在其后发展为本附加合同约定的危重疾病、轻症疾病。</w:t>
            </w:r>
          </w:p>
        </w:tc>
      </w:tr>
      <w:tr>
        <w:trPr>
          <w:trHeight w:val="1708" w:hRule="atLeast"/>
        </w:trPr>
        <w:tc>
          <w:tcPr>
            <w:tcW w:w="793" w:type="dxa"/>
          </w:tcPr>
          <w:p>
            <w:pPr>
              <w:pStyle w:val="TableParagraph"/>
              <w:spacing w:before="164"/>
              <w:ind w:left="200"/>
              <w:rPr>
                <w:sz w:val="21"/>
              </w:rPr>
            </w:pPr>
            <w:r>
              <w:rPr>
                <w:sz w:val="21"/>
              </w:rPr>
              <w:t>15.6</w:t>
            </w:r>
          </w:p>
        </w:tc>
        <w:tc>
          <w:tcPr>
            <w:tcW w:w="1344" w:type="dxa"/>
          </w:tcPr>
          <w:p>
            <w:pPr>
              <w:pStyle w:val="TableParagraph"/>
              <w:spacing w:before="164"/>
              <w:ind w:left="170"/>
              <w:rPr>
                <w:sz w:val="21"/>
              </w:rPr>
            </w:pPr>
            <w:r>
              <w:rPr>
                <w:sz w:val="21"/>
              </w:rPr>
              <w:t>医院</w:t>
            </w:r>
          </w:p>
        </w:tc>
        <w:tc>
          <w:tcPr>
            <w:tcW w:w="8134" w:type="dxa"/>
          </w:tcPr>
          <w:p>
            <w:pPr>
              <w:pStyle w:val="TableParagraph"/>
              <w:spacing w:line="310" w:lineRule="atLeast" w:before="150"/>
              <w:ind w:left="331" w:right="198"/>
              <w:jc w:val="both"/>
              <w:rPr>
                <w:sz w:val="21"/>
              </w:rPr>
            </w:pPr>
            <w:r>
              <w:rPr>
                <w:spacing w:val="-3"/>
                <w:sz w:val="21"/>
              </w:rPr>
              <w:t>指除下述三项所列医院以外的二级及以上公立医院，该种级别是按照中华人民共和国卫生部所颁布的分类标准划分的。本附加合同所提及的医院还包括我方所认可的香港、澳门、台湾地区医院和国外医院，该医院应该是一种合法成立并按照当地法律营运的机构，其主要业务是在居民住院的基础上接收、护理和治疗病人或伤员， </w:t>
            </w:r>
            <w:r>
              <w:rPr>
                <w:spacing w:val="-10"/>
                <w:sz w:val="21"/>
              </w:rPr>
              <w:t>并且拥有诊断和内外科设施，同时还有合格医师及护士驻院提供全天 </w:t>
            </w:r>
            <w:r>
              <w:rPr>
                <w:sz w:val="21"/>
              </w:rPr>
              <w:t>24</w:t>
            </w:r>
            <w:r>
              <w:rPr>
                <w:spacing w:val="-8"/>
                <w:sz w:val="21"/>
              </w:rPr>
              <w:t> 小时治疗和</w:t>
            </w:r>
          </w:p>
        </w:tc>
      </w:tr>
    </w:tbl>
    <w:p>
      <w:pPr>
        <w:spacing w:after="0" w:line="310" w:lineRule="atLeast"/>
        <w:jc w:val="both"/>
        <w:rPr>
          <w:sz w:val="21"/>
        </w:rPr>
        <w:sectPr>
          <w:pgSz w:w="11910" w:h="16840"/>
          <w:pgMar w:header="0" w:footer="809" w:top="1580" w:bottom="1000" w:left="76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514"/>
        <w:gridCol w:w="7911"/>
      </w:tblGrid>
      <w:tr>
        <w:trPr>
          <w:trHeight w:val="2196" w:hRule="atLeast"/>
        </w:trPr>
        <w:tc>
          <w:tcPr>
            <w:tcW w:w="846" w:type="dxa"/>
          </w:tcPr>
          <w:p>
            <w:pPr>
              <w:pStyle w:val="TableParagraph"/>
              <w:rPr>
                <w:rFonts w:ascii="Times New Roman"/>
                <w:sz w:val="20"/>
              </w:rPr>
            </w:pPr>
          </w:p>
        </w:tc>
        <w:tc>
          <w:tcPr>
            <w:tcW w:w="1514" w:type="dxa"/>
          </w:tcPr>
          <w:p>
            <w:pPr>
              <w:pStyle w:val="TableParagraph"/>
              <w:rPr>
                <w:rFonts w:ascii="Times New Roman"/>
                <w:sz w:val="20"/>
              </w:rPr>
            </w:pPr>
          </w:p>
        </w:tc>
        <w:tc>
          <w:tcPr>
            <w:tcW w:w="7911" w:type="dxa"/>
          </w:tcPr>
          <w:p>
            <w:pPr>
              <w:pStyle w:val="TableParagraph"/>
              <w:spacing w:line="211" w:lineRule="exact"/>
              <w:ind w:left="108"/>
              <w:rPr>
                <w:b/>
                <w:sz w:val="21"/>
              </w:rPr>
            </w:pPr>
            <w:r>
              <w:rPr>
                <w:sz w:val="21"/>
              </w:rPr>
              <w:t>护理服务。</w:t>
            </w:r>
            <w:r>
              <w:rPr>
                <w:b/>
                <w:sz w:val="21"/>
                <w:u w:val="single"/>
              </w:rPr>
              <w:t>本附加合同中所提及的医院不包括：</w:t>
            </w:r>
          </w:p>
          <w:p>
            <w:pPr>
              <w:pStyle w:val="TableParagraph"/>
              <w:spacing w:line="273" w:lineRule="auto" w:before="99"/>
              <w:ind w:left="108" w:right="204"/>
              <w:rPr>
                <w:b/>
                <w:sz w:val="21"/>
              </w:rPr>
            </w:pPr>
            <w:r>
              <w:rPr>
                <w:b/>
                <w:sz w:val="21"/>
                <w:u w:val="single"/>
              </w:rPr>
              <w:t>一、健康水疗或自然治疗诊所，疗养院，或医院中提供护理、康复、恢复治疗的科室或病区；</w:t>
            </w:r>
          </w:p>
          <w:p>
            <w:pPr>
              <w:pStyle w:val="TableParagraph"/>
              <w:spacing w:line="273" w:lineRule="auto" w:before="69"/>
              <w:ind w:left="108" w:right="204"/>
              <w:rPr>
                <w:b/>
                <w:sz w:val="21"/>
              </w:rPr>
            </w:pPr>
            <w:r>
              <w:rPr>
                <w:b/>
                <w:sz w:val="21"/>
                <w:u w:val="single"/>
              </w:rPr>
              <w:t>二、精神病院，主要治疗精神或心理疾病的机构，以及医院中治疗精神病的科室或病区；</w:t>
            </w:r>
          </w:p>
          <w:p>
            <w:pPr>
              <w:pStyle w:val="TableParagraph"/>
              <w:spacing w:before="69"/>
              <w:ind w:left="108"/>
              <w:rPr>
                <w:b/>
                <w:sz w:val="21"/>
              </w:rPr>
            </w:pPr>
            <w:r>
              <w:rPr>
                <w:b/>
                <w:sz w:val="21"/>
                <w:u w:val="single"/>
              </w:rPr>
              <w:t>三、养老院、戒毒所或戒酒所。</w:t>
            </w:r>
          </w:p>
        </w:tc>
      </w:tr>
      <w:tr>
        <w:trPr>
          <w:trHeight w:val="1495" w:hRule="atLeast"/>
        </w:trPr>
        <w:tc>
          <w:tcPr>
            <w:tcW w:w="846" w:type="dxa"/>
          </w:tcPr>
          <w:p>
            <w:pPr>
              <w:pStyle w:val="TableParagraph"/>
              <w:spacing w:before="174"/>
              <w:ind w:left="200"/>
              <w:rPr>
                <w:sz w:val="21"/>
              </w:rPr>
            </w:pPr>
            <w:r>
              <w:rPr>
                <w:sz w:val="21"/>
              </w:rPr>
              <w:t>15.7</w:t>
            </w:r>
          </w:p>
        </w:tc>
        <w:tc>
          <w:tcPr>
            <w:tcW w:w="1514" w:type="dxa"/>
          </w:tcPr>
          <w:p>
            <w:pPr>
              <w:pStyle w:val="TableParagraph"/>
              <w:spacing w:before="174"/>
              <w:ind w:left="117"/>
              <w:rPr>
                <w:sz w:val="21"/>
              </w:rPr>
            </w:pPr>
            <w:r>
              <w:rPr>
                <w:sz w:val="21"/>
              </w:rPr>
              <w:t>专科医生</w:t>
            </w:r>
          </w:p>
        </w:tc>
        <w:tc>
          <w:tcPr>
            <w:tcW w:w="7911" w:type="dxa"/>
          </w:tcPr>
          <w:p>
            <w:pPr>
              <w:pStyle w:val="TableParagraph"/>
              <w:spacing w:line="237" w:lineRule="auto" w:before="176"/>
              <w:ind w:left="108" w:right="201"/>
              <w:jc w:val="both"/>
              <w:rPr>
                <w:sz w:val="21"/>
              </w:rPr>
            </w:pPr>
            <w:r>
              <w:rPr>
                <w:spacing w:val="-7"/>
                <w:w w:val="100"/>
                <w:sz w:val="21"/>
              </w:rPr>
              <w:t>专科医生应当同时满足以下四项资格条件：</w:t>
            </w:r>
            <w:r>
              <w:rPr>
                <w:spacing w:val="0"/>
                <w:w w:val="100"/>
                <w:sz w:val="21"/>
              </w:rPr>
              <w:t>（</w:t>
            </w:r>
            <w:r>
              <w:rPr>
                <w:w w:val="100"/>
                <w:sz w:val="21"/>
              </w:rPr>
              <w:t>1）</w:t>
            </w:r>
            <w:r>
              <w:rPr>
                <w:spacing w:val="-3"/>
                <w:w w:val="100"/>
                <w:sz w:val="21"/>
              </w:rPr>
              <w:t>具有有效的中华人民共和国《医师</w:t>
            </w:r>
            <w:r>
              <w:rPr>
                <w:spacing w:val="-38"/>
                <w:w w:val="100"/>
                <w:sz w:val="21"/>
              </w:rPr>
              <w:t>资格证书》；</w:t>
            </w:r>
            <w:r>
              <w:rPr>
                <w:w w:val="100"/>
                <w:sz w:val="21"/>
              </w:rPr>
              <w:t>（2）</w:t>
            </w:r>
            <w:r>
              <w:rPr>
                <w:spacing w:val="-8"/>
                <w:w w:val="100"/>
                <w:sz w:val="21"/>
              </w:rPr>
              <w:t>具有有效的中华人民共和国《医师执业证书》，并按期到相关部门</w:t>
            </w:r>
            <w:r>
              <w:rPr>
                <w:spacing w:val="-28"/>
                <w:w w:val="100"/>
                <w:sz w:val="21"/>
              </w:rPr>
              <w:t>登记注册；</w:t>
            </w:r>
            <w:r>
              <w:rPr>
                <w:w w:val="100"/>
                <w:sz w:val="21"/>
              </w:rPr>
              <w:t>（3）</w:t>
            </w:r>
            <w:r>
              <w:rPr>
                <w:spacing w:val="-3"/>
                <w:w w:val="100"/>
                <w:sz w:val="21"/>
              </w:rPr>
              <w:t>具有有效的中华人民共和国主治医师或主治医师以上职称的《医师</w:t>
            </w:r>
            <w:r>
              <w:rPr>
                <w:spacing w:val="-38"/>
                <w:w w:val="100"/>
                <w:sz w:val="21"/>
              </w:rPr>
              <w:t>职称证书》；</w:t>
            </w:r>
            <w:r>
              <w:rPr>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1218" w:hRule="atLeast"/>
        </w:trPr>
        <w:tc>
          <w:tcPr>
            <w:tcW w:w="846" w:type="dxa"/>
          </w:tcPr>
          <w:p>
            <w:pPr>
              <w:pStyle w:val="TableParagraph"/>
              <w:spacing w:before="164"/>
              <w:ind w:left="200"/>
              <w:rPr>
                <w:sz w:val="21"/>
              </w:rPr>
            </w:pPr>
            <w:r>
              <w:rPr>
                <w:sz w:val="21"/>
              </w:rPr>
              <w:t>15.8</w:t>
            </w:r>
          </w:p>
        </w:tc>
        <w:tc>
          <w:tcPr>
            <w:tcW w:w="1514" w:type="dxa"/>
          </w:tcPr>
          <w:p>
            <w:pPr>
              <w:pStyle w:val="TableParagraph"/>
              <w:spacing w:before="164"/>
              <w:ind w:left="117"/>
              <w:rPr>
                <w:sz w:val="21"/>
              </w:rPr>
            </w:pPr>
            <w:r>
              <w:rPr>
                <w:sz w:val="21"/>
              </w:rPr>
              <w:t>首次确诊</w:t>
            </w:r>
          </w:p>
        </w:tc>
        <w:tc>
          <w:tcPr>
            <w:tcW w:w="7911" w:type="dxa"/>
          </w:tcPr>
          <w:p>
            <w:pPr>
              <w:pStyle w:val="TableParagraph"/>
              <w:spacing w:line="237" w:lineRule="auto" w:before="167"/>
              <w:ind w:left="108" w:right="204"/>
              <w:jc w:val="both"/>
              <w:rPr>
                <w:sz w:val="21"/>
              </w:rPr>
            </w:pPr>
            <w:r>
              <w:rPr>
                <w:sz w:val="21"/>
              </w:rPr>
              <w:t>指被保险人自出生之日起第一次被明确诊断患有本附加合同所规定的某种疾病，而不是指自本附加合同生效后或最后一次复效后的第一次被明确诊断患有本附加合同所规定的危重疾病、轻症疾病。</w:t>
            </w:r>
          </w:p>
        </w:tc>
      </w:tr>
      <w:tr>
        <w:trPr>
          <w:trHeight w:val="1223" w:hRule="atLeast"/>
        </w:trPr>
        <w:tc>
          <w:tcPr>
            <w:tcW w:w="846" w:type="dxa"/>
          </w:tcPr>
          <w:p>
            <w:pPr>
              <w:pStyle w:val="TableParagraph"/>
              <w:spacing w:before="170"/>
              <w:ind w:left="200"/>
              <w:rPr>
                <w:sz w:val="21"/>
              </w:rPr>
            </w:pPr>
            <w:r>
              <w:rPr>
                <w:sz w:val="21"/>
              </w:rPr>
              <w:t>15.9</w:t>
            </w:r>
          </w:p>
        </w:tc>
        <w:tc>
          <w:tcPr>
            <w:tcW w:w="1514" w:type="dxa"/>
          </w:tcPr>
          <w:p>
            <w:pPr>
              <w:pStyle w:val="TableParagraph"/>
              <w:spacing w:before="170"/>
              <w:ind w:left="117"/>
              <w:rPr>
                <w:sz w:val="21"/>
              </w:rPr>
            </w:pPr>
            <w:r>
              <w:rPr>
                <w:sz w:val="21"/>
              </w:rPr>
              <w:t>毒品</w:t>
            </w:r>
          </w:p>
        </w:tc>
        <w:tc>
          <w:tcPr>
            <w:tcW w:w="7911" w:type="dxa"/>
          </w:tcPr>
          <w:p>
            <w:pPr>
              <w:pStyle w:val="TableParagraph"/>
              <w:spacing w:line="237" w:lineRule="auto" w:before="173"/>
              <w:ind w:left="108" w:right="198"/>
              <w:jc w:val="both"/>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7"/>
                <w:sz w:val="21"/>
              </w:rPr>
              <w:t>、吗啡、大麻、可卡因以及国家规定管制的其他能够使人形成瘾癖的麻醉药品和精神药品，但不包括</w:t>
            </w:r>
            <w:r>
              <w:rPr>
                <w:spacing w:val="-5"/>
                <w:sz w:val="21"/>
              </w:rPr>
              <w:t>由医生开具并遵医嘱使用的用于治疗疾病但含有毒品成分的处方药品。</w:t>
            </w:r>
          </w:p>
        </w:tc>
      </w:tr>
      <w:tr>
        <w:trPr>
          <w:trHeight w:val="950" w:hRule="atLeast"/>
        </w:trPr>
        <w:tc>
          <w:tcPr>
            <w:tcW w:w="846" w:type="dxa"/>
          </w:tcPr>
          <w:p>
            <w:pPr>
              <w:pStyle w:val="TableParagraph"/>
              <w:spacing w:before="170"/>
              <w:ind w:left="200"/>
              <w:rPr>
                <w:sz w:val="21"/>
              </w:rPr>
            </w:pPr>
            <w:r>
              <w:rPr>
                <w:sz w:val="21"/>
              </w:rPr>
              <w:t>15.10</w:t>
            </w:r>
          </w:p>
        </w:tc>
        <w:tc>
          <w:tcPr>
            <w:tcW w:w="1514" w:type="dxa"/>
          </w:tcPr>
          <w:p>
            <w:pPr>
              <w:pStyle w:val="TableParagraph"/>
              <w:spacing w:before="170"/>
              <w:ind w:left="117"/>
              <w:rPr>
                <w:sz w:val="21"/>
              </w:rPr>
            </w:pPr>
            <w:r>
              <w:rPr>
                <w:sz w:val="21"/>
              </w:rPr>
              <w:t>遗传性疾病</w:t>
            </w:r>
          </w:p>
        </w:tc>
        <w:tc>
          <w:tcPr>
            <w:tcW w:w="7911" w:type="dxa"/>
          </w:tcPr>
          <w:p>
            <w:pPr>
              <w:pStyle w:val="TableParagraph"/>
              <w:spacing w:line="237" w:lineRule="auto" w:before="173"/>
              <w:ind w:left="108" w:right="204"/>
              <w:rPr>
                <w:sz w:val="21"/>
              </w:rPr>
            </w:pPr>
            <w:r>
              <w:rPr>
                <w:sz w:val="21"/>
              </w:rPr>
              <w:t>指生殖细胞或受精卵的遗传物质（染色体和基因）发生突变或畸变所引起的疾病， 通常具有由亲代传至后代的垂直传递的特征。</w:t>
            </w:r>
          </w:p>
        </w:tc>
      </w:tr>
      <w:tr>
        <w:trPr>
          <w:trHeight w:val="1255" w:hRule="atLeast"/>
        </w:trPr>
        <w:tc>
          <w:tcPr>
            <w:tcW w:w="846" w:type="dxa"/>
          </w:tcPr>
          <w:p>
            <w:pPr>
              <w:pStyle w:val="TableParagraph"/>
              <w:spacing w:before="170"/>
              <w:ind w:left="200"/>
              <w:rPr>
                <w:sz w:val="21"/>
              </w:rPr>
            </w:pPr>
            <w:r>
              <w:rPr>
                <w:sz w:val="21"/>
              </w:rPr>
              <w:t>15.11</w:t>
            </w:r>
          </w:p>
        </w:tc>
        <w:tc>
          <w:tcPr>
            <w:tcW w:w="1514" w:type="dxa"/>
          </w:tcPr>
          <w:p>
            <w:pPr>
              <w:pStyle w:val="TableParagraph"/>
              <w:spacing w:line="237" w:lineRule="auto" w:before="173"/>
              <w:ind w:left="117" w:right="106"/>
              <w:jc w:val="both"/>
              <w:rPr>
                <w:sz w:val="21"/>
              </w:rPr>
            </w:pPr>
            <w:r>
              <w:rPr>
                <w:sz w:val="21"/>
              </w:rPr>
              <w:t>先天性畸形、变形或染色体异常</w:t>
            </w:r>
          </w:p>
        </w:tc>
        <w:tc>
          <w:tcPr>
            <w:tcW w:w="7911" w:type="dxa"/>
          </w:tcPr>
          <w:p>
            <w:pPr>
              <w:pStyle w:val="TableParagraph"/>
              <w:spacing w:line="237" w:lineRule="auto" w:before="173"/>
              <w:ind w:left="108" w:right="204"/>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248" w:hRule="atLeast"/>
        </w:trPr>
        <w:tc>
          <w:tcPr>
            <w:tcW w:w="846" w:type="dxa"/>
          </w:tcPr>
          <w:p>
            <w:pPr>
              <w:pStyle w:val="TableParagraph"/>
              <w:spacing w:before="5"/>
              <w:rPr>
                <w:sz w:val="15"/>
              </w:rPr>
            </w:pPr>
          </w:p>
          <w:p>
            <w:pPr>
              <w:pStyle w:val="TableParagraph"/>
              <w:ind w:left="200"/>
              <w:rPr>
                <w:sz w:val="21"/>
              </w:rPr>
            </w:pPr>
            <w:r>
              <w:rPr>
                <w:sz w:val="21"/>
              </w:rPr>
              <w:t>15.12</w:t>
            </w:r>
          </w:p>
        </w:tc>
        <w:tc>
          <w:tcPr>
            <w:tcW w:w="1514" w:type="dxa"/>
          </w:tcPr>
          <w:p>
            <w:pPr>
              <w:pStyle w:val="TableParagraph"/>
              <w:spacing w:before="5"/>
              <w:rPr>
                <w:sz w:val="15"/>
              </w:rPr>
            </w:pPr>
          </w:p>
          <w:p>
            <w:pPr>
              <w:pStyle w:val="TableParagraph"/>
              <w:ind w:left="117"/>
              <w:rPr>
                <w:sz w:val="21"/>
              </w:rPr>
            </w:pPr>
            <w:r>
              <w:rPr>
                <w:sz w:val="21"/>
              </w:rPr>
              <w:t>酒后驾驶</w:t>
            </w:r>
          </w:p>
        </w:tc>
        <w:tc>
          <w:tcPr>
            <w:tcW w:w="7911" w:type="dxa"/>
          </w:tcPr>
          <w:p>
            <w:pPr>
              <w:pStyle w:val="TableParagraph"/>
              <w:spacing w:before="8"/>
              <w:rPr>
                <w:sz w:val="15"/>
              </w:rPr>
            </w:pPr>
          </w:p>
          <w:p>
            <w:pPr>
              <w:pStyle w:val="TableParagraph"/>
              <w:spacing w:line="237" w:lineRule="auto"/>
              <w:ind w:left="108" w:right="204"/>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280" w:hRule="atLeast"/>
        </w:trPr>
        <w:tc>
          <w:tcPr>
            <w:tcW w:w="846" w:type="dxa"/>
          </w:tcPr>
          <w:p>
            <w:pPr>
              <w:pStyle w:val="TableParagraph"/>
              <w:spacing w:before="165"/>
              <w:ind w:left="200"/>
              <w:rPr>
                <w:sz w:val="21"/>
              </w:rPr>
            </w:pPr>
            <w:r>
              <w:rPr>
                <w:sz w:val="21"/>
              </w:rPr>
              <w:t>15.13</w:t>
            </w:r>
          </w:p>
        </w:tc>
        <w:tc>
          <w:tcPr>
            <w:tcW w:w="1514" w:type="dxa"/>
          </w:tcPr>
          <w:p>
            <w:pPr>
              <w:pStyle w:val="TableParagraph"/>
              <w:spacing w:before="165"/>
              <w:ind w:left="117" w:right="106"/>
              <w:rPr>
                <w:sz w:val="21"/>
              </w:rPr>
            </w:pPr>
            <w:r>
              <w:rPr>
                <w:sz w:val="21"/>
              </w:rPr>
              <w:t>无合法有效驾驶证驾驶</w:t>
            </w:r>
          </w:p>
        </w:tc>
        <w:tc>
          <w:tcPr>
            <w:tcW w:w="7911" w:type="dxa"/>
          </w:tcPr>
          <w:p>
            <w:pPr>
              <w:pStyle w:val="TableParagraph"/>
              <w:spacing w:before="165"/>
              <w:ind w:left="108"/>
              <w:rPr>
                <w:sz w:val="21"/>
              </w:rPr>
            </w:pPr>
            <w:r>
              <w:rPr>
                <w:sz w:val="21"/>
              </w:rPr>
              <w:t>指下列情形之一：</w:t>
            </w:r>
          </w:p>
          <w:p>
            <w:pPr>
              <w:pStyle w:val="TableParagraph"/>
              <w:spacing w:before="60"/>
              <w:ind w:left="108"/>
              <w:rPr>
                <w:sz w:val="21"/>
              </w:rPr>
            </w:pPr>
            <w:r>
              <w:rPr>
                <w:sz w:val="21"/>
              </w:rPr>
              <w:t>一、没有取得驾驶资格；</w:t>
            </w:r>
          </w:p>
          <w:p>
            <w:pPr>
              <w:pStyle w:val="TableParagraph"/>
              <w:spacing w:line="290" w:lineRule="auto" w:before="58"/>
              <w:ind w:left="108" w:right="3595"/>
              <w:rPr>
                <w:sz w:val="21"/>
              </w:rPr>
            </w:pPr>
            <w:r>
              <w:rPr>
                <w:sz w:val="21"/>
              </w:rPr>
              <w:t>二、驾驶与驾驶证准驾车型不相符合的车辆； 三、持审验不合格的驾驶证驾驶；</w:t>
            </w:r>
          </w:p>
          <w:p>
            <w:pPr>
              <w:pStyle w:val="TableParagraph"/>
              <w:spacing w:before="14"/>
              <w:ind w:left="108" w:right="204"/>
              <w:rPr>
                <w:sz w:val="21"/>
              </w:rPr>
            </w:pPr>
            <w:r>
              <w:rPr>
                <w:sz w:val="21"/>
              </w:rPr>
              <w:t>四、持学习驾驶证学习驾车时，无教练员随车指导，或不按指定时间、路线学习驾车。</w:t>
            </w:r>
          </w:p>
        </w:tc>
      </w:tr>
      <w:tr>
        <w:trPr>
          <w:trHeight w:val="1337" w:hRule="atLeast"/>
        </w:trPr>
        <w:tc>
          <w:tcPr>
            <w:tcW w:w="846" w:type="dxa"/>
          </w:tcPr>
          <w:p>
            <w:pPr>
              <w:pStyle w:val="TableParagraph"/>
              <w:spacing w:before="165"/>
              <w:ind w:left="200"/>
              <w:rPr>
                <w:sz w:val="21"/>
              </w:rPr>
            </w:pPr>
            <w:r>
              <w:rPr>
                <w:sz w:val="21"/>
              </w:rPr>
              <w:t>15.14</w:t>
            </w:r>
          </w:p>
        </w:tc>
        <w:tc>
          <w:tcPr>
            <w:tcW w:w="1514" w:type="dxa"/>
          </w:tcPr>
          <w:p>
            <w:pPr>
              <w:pStyle w:val="TableParagraph"/>
              <w:spacing w:before="165"/>
              <w:ind w:left="117"/>
              <w:rPr>
                <w:sz w:val="21"/>
              </w:rPr>
            </w:pPr>
            <w:r>
              <w:rPr>
                <w:sz w:val="21"/>
              </w:rPr>
              <w:t>无有效行驶证</w:t>
            </w:r>
          </w:p>
        </w:tc>
        <w:tc>
          <w:tcPr>
            <w:tcW w:w="7911" w:type="dxa"/>
          </w:tcPr>
          <w:p>
            <w:pPr>
              <w:pStyle w:val="TableParagraph"/>
              <w:spacing w:before="165"/>
              <w:ind w:left="108"/>
              <w:rPr>
                <w:sz w:val="21"/>
              </w:rPr>
            </w:pPr>
            <w:r>
              <w:rPr>
                <w:sz w:val="21"/>
              </w:rPr>
              <w:t>指下列情形之一：</w:t>
            </w:r>
          </w:p>
          <w:p>
            <w:pPr>
              <w:pStyle w:val="TableParagraph"/>
              <w:spacing w:before="58"/>
              <w:ind w:left="108"/>
              <w:rPr>
                <w:sz w:val="21"/>
              </w:rPr>
            </w:pPr>
            <w:r>
              <w:rPr>
                <w:sz w:val="21"/>
              </w:rPr>
              <w:t>一、机动车被依法注销登记的；</w:t>
            </w:r>
          </w:p>
          <w:p>
            <w:pPr>
              <w:pStyle w:val="TableParagraph"/>
              <w:spacing w:before="58"/>
              <w:ind w:left="108"/>
              <w:rPr>
                <w:sz w:val="21"/>
              </w:rPr>
            </w:pPr>
            <w:r>
              <w:rPr>
                <w:sz w:val="21"/>
              </w:rPr>
              <w:t>二、未依法按时进行或通过机动车安全技术检验。</w:t>
            </w:r>
          </w:p>
        </w:tc>
      </w:tr>
      <w:tr>
        <w:trPr>
          <w:trHeight w:val="1047" w:hRule="atLeast"/>
        </w:trPr>
        <w:tc>
          <w:tcPr>
            <w:tcW w:w="846" w:type="dxa"/>
          </w:tcPr>
          <w:p>
            <w:pPr>
              <w:pStyle w:val="TableParagraph"/>
              <w:spacing w:before="165"/>
              <w:ind w:left="200"/>
              <w:rPr>
                <w:sz w:val="21"/>
              </w:rPr>
            </w:pPr>
            <w:r>
              <w:rPr>
                <w:sz w:val="21"/>
              </w:rPr>
              <w:t>15.15</w:t>
            </w:r>
          </w:p>
        </w:tc>
        <w:tc>
          <w:tcPr>
            <w:tcW w:w="1514" w:type="dxa"/>
          </w:tcPr>
          <w:p>
            <w:pPr>
              <w:pStyle w:val="TableParagraph"/>
              <w:spacing w:line="237" w:lineRule="auto" w:before="168"/>
              <w:ind w:left="117" w:right="106"/>
              <w:rPr>
                <w:sz w:val="21"/>
              </w:rPr>
            </w:pPr>
            <w:r>
              <w:rPr>
                <w:sz w:val="21"/>
              </w:rPr>
              <w:t>感染艾滋病病毒或患艾滋病</w:t>
            </w:r>
          </w:p>
        </w:tc>
        <w:tc>
          <w:tcPr>
            <w:tcW w:w="7911" w:type="dxa"/>
          </w:tcPr>
          <w:p>
            <w:pPr>
              <w:pStyle w:val="TableParagraph"/>
              <w:spacing w:line="237" w:lineRule="auto" w:before="168"/>
              <w:ind w:left="108" w:right="198"/>
              <w:rPr>
                <w:sz w:val="21"/>
              </w:rPr>
            </w:pPr>
            <w:r>
              <w:rPr>
                <w:sz w:val="21"/>
              </w:rPr>
              <w:t>艾滋病病毒指人类免疫缺陷病毒，英文缩写为 HIV。艾滋病指人类免疫缺陷病毒引起的获得性免疫缺陷综合征，英文缩写为 AIDS。</w:t>
            </w:r>
          </w:p>
          <w:p>
            <w:pPr>
              <w:pStyle w:val="TableParagraph"/>
              <w:spacing w:line="255" w:lineRule="exact" w:before="61"/>
              <w:ind w:left="108"/>
              <w:rPr>
                <w:sz w:val="21"/>
              </w:rPr>
            </w:pPr>
            <w:r>
              <w:rPr>
                <w:sz w:val="21"/>
              </w:rPr>
              <w:t>在人体血液或其它样本中检测到艾滋病病毒或其抗体呈阳性，没有出现临床症状或</w:t>
            </w:r>
          </w:p>
        </w:tc>
      </w:tr>
    </w:tbl>
    <w:p>
      <w:pPr>
        <w:spacing w:after="0" w:line="255" w:lineRule="exact"/>
        <w:rPr>
          <w:sz w:val="21"/>
        </w:rPr>
        <w:sectPr>
          <w:pgSz w:w="11910" w:h="16840"/>
          <w:pgMar w:header="0" w:footer="809" w:top="1160" w:bottom="1000" w:left="760" w:right="6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514"/>
        <w:gridCol w:w="8014"/>
      </w:tblGrid>
      <w:tr>
        <w:trPr>
          <w:trHeight w:val="440" w:hRule="atLeast"/>
        </w:trPr>
        <w:tc>
          <w:tcPr>
            <w:tcW w:w="846" w:type="dxa"/>
          </w:tcPr>
          <w:p>
            <w:pPr>
              <w:pStyle w:val="TableParagraph"/>
              <w:rPr>
                <w:rFonts w:ascii="Times New Roman"/>
                <w:sz w:val="20"/>
              </w:rPr>
            </w:pPr>
          </w:p>
        </w:tc>
        <w:tc>
          <w:tcPr>
            <w:tcW w:w="1514" w:type="dxa"/>
          </w:tcPr>
          <w:p>
            <w:pPr>
              <w:pStyle w:val="TableParagraph"/>
              <w:rPr>
                <w:rFonts w:ascii="Times New Roman"/>
                <w:sz w:val="20"/>
              </w:rPr>
            </w:pPr>
          </w:p>
        </w:tc>
        <w:tc>
          <w:tcPr>
            <w:tcW w:w="8014" w:type="dxa"/>
          </w:tcPr>
          <w:p>
            <w:pPr>
              <w:pStyle w:val="TableParagraph"/>
              <w:spacing w:line="211" w:lineRule="exact"/>
              <w:ind w:left="108"/>
              <w:rPr>
                <w:sz w:val="21"/>
              </w:rPr>
            </w:pPr>
            <w:r>
              <w:rPr>
                <w:sz w:val="21"/>
              </w:rPr>
              <w:t>体征的，为感染艾滋病病毒；如果同时出现了明显临床症状或体征的，为患艾滋病。</w:t>
            </w:r>
          </w:p>
        </w:tc>
      </w:tr>
      <w:tr>
        <w:trPr>
          <w:trHeight w:val="948" w:hRule="atLeast"/>
        </w:trPr>
        <w:tc>
          <w:tcPr>
            <w:tcW w:w="846" w:type="dxa"/>
          </w:tcPr>
          <w:p>
            <w:pPr>
              <w:pStyle w:val="TableParagraph"/>
              <w:spacing w:before="165"/>
              <w:ind w:right="115"/>
              <w:jc w:val="right"/>
              <w:rPr>
                <w:sz w:val="21"/>
              </w:rPr>
            </w:pPr>
            <w:r>
              <w:rPr>
                <w:sz w:val="21"/>
              </w:rPr>
              <w:t>15.16</w:t>
            </w:r>
          </w:p>
        </w:tc>
        <w:tc>
          <w:tcPr>
            <w:tcW w:w="1514" w:type="dxa"/>
          </w:tcPr>
          <w:p>
            <w:pPr>
              <w:pStyle w:val="TableParagraph"/>
              <w:spacing w:before="165"/>
              <w:ind w:left="117"/>
              <w:rPr>
                <w:sz w:val="21"/>
              </w:rPr>
            </w:pPr>
            <w:r>
              <w:rPr>
                <w:sz w:val="21"/>
              </w:rPr>
              <w:t>战争</w:t>
            </w:r>
          </w:p>
        </w:tc>
        <w:tc>
          <w:tcPr>
            <w:tcW w:w="8014" w:type="dxa"/>
          </w:tcPr>
          <w:p>
            <w:pPr>
              <w:pStyle w:val="TableParagraph"/>
              <w:spacing w:before="165"/>
              <w:ind w:left="108" w:right="307"/>
              <w:rPr>
                <w:sz w:val="21"/>
              </w:rPr>
            </w:pPr>
            <w:r>
              <w:rPr>
                <w:sz w:val="21"/>
              </w:rPr>
              <w:t>指无论宣战与否的战争，或者是任何类似战争的行动，包括由政权国家出于经济、领土、民族、政治、种族、宗教等目的所采取的任何军事行动。</w:t>
            </w:r>
          </w:p>
        </w:tc>
      </w:tr>
      <w:tr>
        <w:trPr>
          <w:trHeight w:val="950" w:hRule="atLeast"/>
        </w:trPr>
        <w:tc>
          <w:tcPr>
            <w:tcW w:w="846" w:type="dxa"/>
          </w:tcPr>
          <w:p>
            <w:pPr>
              <w:pStyle w:val="TableParagraph"/>
              <w:spacing w:before="170"/>
              <w:ind w:right="115"/>
              <w:jc w:val="right"/>
              <w:rPr>
                <w:sz w:val="21"/>
              </w:rPr>
            </w:pPr>
            <w:r>
              <w:rPr>
                <w:sz w:val="21"/>
              </w:rPr>
              <w:t>15.17</w:t>
            </w:r>
          </w:p>
        </w:tc>
        <w:tc>
          <w:tcPr>
            <w:tcW w:w="1514" w:type="dxa"/>
          </w:tcPr>
          <w:p>
            <w:pPr>
              <w:pStyle w:val="TableParagraph"/>
              <w:spacing w:before="170"/>
              <w:ind w:left="117"/>
              <w:rPr>
                <w:sz w:val="21"/>
              </w:rPr>
            </w:pPr>
            <w:r>
              <w:rPr>
                <w:sz w:val="21"/>
              </w:rPr>
              <w:t>现金价值</w:t>
            </w:r>
          </w:p>
        </w:tc>
        <w:tc>
          <w:tcPr>
            <w:tcW w:w="8014" w:type="dxa"/>
          </w:tcPr>
          <w:p>
            <w:pPr>
              <w:pStyle w:val="TableParagraph"/>
              <w:spacing w:line="237" w:lineRule="auto" w:before="173"/>
              <w:ind w:left="142" w:right="301"/>
              <w:rPr>
                <w:sz w:val="21"/>
              </w:rPr>
            </w:pPr>
            <w:r>
              <w:rPr>
                <w:sz w:val="21"/>
              </w:rPr>
              <w:t>指保险单所具有的价值，通常体现为解除合同时，根据精算原理计算的，由我方退还的那部分金额。</w:t>
            </w:r>
          </w:p>
        </w:tc>
      </w:tr>
      <w:tr>
        <w:trPr>
          <w:trHeight w:val="950" w:hRule="atLeast"/>
        </w:trPr>
        <w:tc>
          <w:tcPr>
            <w:tcW w:w="846" w:type="dxa"/>
          </w:tcPr>
          <w:p>
            <w:pPr>
              <w:pStyle w:val="TableParagraph"/>
              <w:spacing w:before="170"/>
              <w:ind w:right="117"/>
              <w:jc w:val="right"/>
              <w:rPr>
                <w:sz w:val="21"/>
              </w:rPr>
            </w:pPr>
            <w:r>
              <w:rPr>
                <w:sz w:val="21"/>
              </w:rPr>
              <w:t>15.18</w:t>
            </w:r>
          </w:p>
        </w:tc>
        <w:tc>
          <w:tcPr>
            <w:tcW w:w="1514" w:type="dxa"/>
          </w:tcPr>
          <w:p>
            <w:pPr>
              <w:pStyle w:val="TableParagraph"/>
              <w:spacing w:before="170"/>
              <w:ind w:left="117"/>
              <w:rPr>
                <w:sz w:val="21"/>
              </w:rPr>
            </w:pPr>
            <w:r>
              <w:rPr>
                <w:sz w:val="21"/>
              </w:rPr>
              <w:t>利息</w:t>
            </w:r>
          </w:p>
        </w:tc>
        <w:tc>
          <w:tcPr>
            <w:tcW w:w="8014" w:type="dxa"/>
          </w:tcPr>
          <w:p>
            <w:pPr>
              <w:pStyle w:val="TableParagraph"/>
              <w:spacing w:line="237" w:lineRule="auto" w:before="173"/>
              <w:ind w:left="108" w:right="307"/>
              <w:rPr>
                <w:sz w:val="21"/>
              </w:rPr>
            </w:pPr>
            <w:r>
              <w:rPr>
                <w:sz w:val="21"/>
              </w:rPr>
              <w:t>欠交保险费利息按借款利率计算。利息计算时，按欠交保险费的经过天数和借款利率依复利方式计算，借款利率以我方公布为准。</w:t>
            </w:r>
          </w:p>
        </w:tc>
      </w:tr>
      <w:tr>
        <w:trPr>
          <w:trHeight w:val="1224" w:hRule="atLeast"/>
        </w:trPr>
        <w:tc>
          <w:tcPr>
            <w:tcW w:w="846" w:type="dxa"/>
          </w:tcPr>
          <w:p>
            <w:pPr>
              <w:pStyle w:val="TableParagraph"/>
              <w:spacing w:before="170"/>
              <w:ind w:right="115"/>
              <w:jc w:val="right"/>
              <w:rPr>
                <w:sz w:val="21"/>
              </w:rPr>
            </w:pPr>
            <w:r>
              <w:rPr>
                <w:sz w:val="21"/>
              </w:rPr>
              <w:t>15.19</w:t>
            </w:r>
          </w:p>
        </w:tc>
        <w:tc>
          <w:tcPr>
            <w:tcW w:w="1514" w:type="dxa"/>
          </w:tcPr>
          <w:p>
            <w:pPr>
              <w:pStyle w:val="TableParagraph"/>
              <w:spacing w:before="170"/>
              <w:ind w:left="117"/>
              <w:rPr>
                <w:sz w:val="21"/>
              </w:rPr>
            </w:pPr>
            <w:r>
              <w:rPr>
                <w:sz w:val="21"/>
              </w:rPr>
              <w:t>原位癌</w:t>
            </w:r>
          </w:p>
        </w:tc>
        <w:tc>
          <w:tcPr>
            <w:tcW w:w="8014" w:type="dxa"/>
          </w:tcPr>
          <w:p>
            <w:pPr>
              <w:pStyle w:val="TableParagraph"/>
              <w:spacing w:line="237" w:lineRule="auto" w:before="173"/>
              <w:ind w:left="108" w:right="307"/>
              <w:jc w:val="both"/>
              <w:rPr>
                <w:sz w:val="21"/>
              </w:rPr>
            </w:pPr>
            <w:r>
              <w:rPr>
                <w:sz w:val="21"/>
              </w:rPr>
              <w:t>指恶性肿瘤细胞仅局限于粘膜的上皮层或皮肤的表皮层内，尚未穿透基底膜浸润到粘膜下层或真皮层的恶性肿瘤。原位癌必须经对固定活组织的组织病理学检查明确诊断,且被保险人已经接受了针对原位癌病灶的积极治疗。</w:t>
            </w:r>
          </w:p>
        </w:tc>
      </w:tr>
      <w:tr>
        <w:trPr>
          <w:trHeight w:val="950" w:hRule="atLeast"/>
        </w:trPr>
        <w:tc>
          <w:tcPr>
            <w:tcW w:w="846" w:type="dxa"/>
          </w:tcPr>
          <w:p>
            <w:pPr>
              <w:pStyle w:val="TableParagraph"/>
              <w:spacing w:before="170"/>
              <w:ind w:right="115"/>
              <w:jc w:val="right"/>
              <w:rPr>
                <w:sz w:val="21"/>
              </w:rPr>
            </w:pPr>
            <w:r>
              <w:rPr>
                <w:sz w:val="21"/>
              </w:rPr>
              <w:t>15.20</w:t>
            </w:r>
          </w:p>
        </w:tc>
        <w:tc>
          <w:tcPr>
            <w:tcW w:w="1514" w:type="dxa"/>
          </w:tcPr>
          <w:p>
            <w:pPr>
              <w:pStyle w:val="TableParagraph"/>
              <w:spacing w:line="237" w:lineRule="auto" w:before="173"/>
              <w:ind w:left="117" w:right="106"/>
              <w:rPr>
                <w:sz w:val="21"/>
              </w:rPr>
            </w:pPr>
            <w:r>
              <w:rPr>
                <w:sz w:val="21"/>
              </w:rPr>
              <w:t>肢体机能完全丧失</w:t>
            </w:r>
          </w:p>
        </w:tc>
        <w:tc>
          <w:tcPr>
            <w:tcW w:w="8014" w:type="dxa"/>
          </w:tcPr>
          <w:p>
            <w:pPr>
              <w:pStyle w:val="TableParagraph"/>
              <w:spacing w:line="237" w:lineRule="auto" w:before="173"/>
              <w:ind w:left="108" w:right="230"/>
              <w:rPr>
                <w:sz w:val="21"/>
              </w:rPr>
            </w:pPr>
            <w:r>
              <w:rPr>
                <w:sz w:val="21"/>
              </w:rPr>
              <w:t>指肢体的 3 大关节中的两大关节僵硬，或不能随意识活动。肢体是指包括肩关节的整个上肢或包括髋关节的整个下肢。</w:t>
            </w:r>
          </w:p>
        </w:tc>
      </w:tr>
      <w:tr>
        <w:trPr>
          <w:trHeight w:val="1557" w:hRule="atLeast"/>
        </w:trPr>
        <w:tc>
          <w:tcPr>
            <w:tcW w:w="846" w:type="dxa"/>
          </w:tcPr>
          <w:p>
            <w:pPr>
              <w:pStyle w:val="TableParagraph"/>
              <w:spacing w:before="170"/>
              <w:ind w:right="115"/>
              <w:jc w:val="right"/>
              <w:rPr>
                <w:sz w:val="21"/>
              </w:rPr>
            </w:pPr>
            <w:r>
              <w:rPr>
                <w:sz w:val="21"/>
              </w:rPr>
              <w:t>15.21</w:t>
            </w:r>
          </w:p>
        </w:tc>
        <w:tc>
          <w:tcPr>
            <w:tcW w:w="1514" w:type="dxa"/>
          </w:tcPr>
          <w:p>
            <w:pPr>
              <w:pStyle w:val="TableParagraph"/>
              <w:spacing w:line="237" w:lineRule="auto" w:before="173"/>
              <w:ind w:left="117" w:right="106"/>
              <w:jc w:val="both"/>
              <w:rPr>
                <w:sz w:val="21"/>
              </w:rPr>
            </w:pPr>
            <w:r>
              <w:rPr>
                <w:sz w:val="21"/>
              </w:rPr>
              <w:t>语言能力或咀嚼吞咽能力完全丧失</w:t>
            </w:r>
          </w:p>
        </w:tc>
        <w:tc>
          <w:tcPr>
            <w:tcW w:w="8014" w:type="dxa"/>
          </w:tcPr>
          <w:p>
            <w:pPr>
              <w:pStyle w:val="TableParagraph"/>
              <w:spacing w:line="237" w:lineRule="auto" w:before="173"/>
              <w:ind w:left="108" w:right="200"/>
              <w:rPr>
                <w:sz w:val="21"/>
              </w:rPr>
            </w:pPr>
            <w:r>
              <w:rPr>
                <w:spacing w:val="-7"/>
                <w:sz w:val="21"/>
              </w:rPr>
              <w:t>语言能力完全丧失，指无法发出 </w:t>
            </w:r>
            <w:r>
              <w:rPr>
                <w:sz w:val="21"/>
              </w:rPr>
              <w:t>4</w:t>
            </w:r>
            <w:r>
              <w:rPr>
                <w:spacing w:val="-15"/>
                <w:sz w:val="21"/>
              </w:rPr>
              <w:t> 种语音</w:t>
            </w:r>
            <w:r>
              <w:rPr>
                <w:spacing w:val="-3"/>
                <w:sz w:val="21"/>
              </w:rPr>
              <w:t>（</w:t>
            </w:r>
            <w:r>
              <w:rPr>
                <w:spacing w:val="-8"/>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37" w:lineRule="auto" w:before="64"/>
              <w:ind w:left="108" w:right="307"/>
              <w:rPr>
                <w:sz w:val="21"/>
              </w:rPr>
            </w:pPr>
            <w:r>
              <w:rPr>
                <w:sz w:val="21"/>
              </w:rPr>
              <w:t>咀嚼吞咽能力完全丧失，指因牙齿以外的原因导致器质障碍或机能障碍，以致不能作咀嚼吞咽运动，除流质食物外不能摄取或吞咽的状态。</w:t>
            </w:r>
          </w:p>
        </w:tc>
      </w:tr>
      <w:tr>
        <w:trPr>
          <w:trHeight w:val="1224" w:hRule="atLeast"/>
        </w:trPr>
        <w:tc>
          <w:tcPr>
            <w:tcW w:w="846" w:type="dxa"/>
          </w:tcPr>
          <w:p>
            <w:pPr>
              <w:pStyle w:val="TableParagraph"/>
              <w:spacing w:before="170"/>
              <w:ind w:right="115"/>
              <w:jc w:val="right"/>
              <w:rPr>
                <w:sz w:val="21"/>
              </w:rPr>
            </w:pPr>
            <w:r>
              <w:rPr>
                <w:sz w:val="21"/>
              </w:rPr>
              <w:t>15.22</w:t>
            </w:r>
          </w:p>
        </w:tc>
        <w:tc>
          <w:tcPr>
            <w:tcW w:w="1514" w:type="dxa"/>
          </w:tcPr>
          <w:p>
            <w:pPr>
              <w:pStyle w:val="TableParagraph"/>
              <w:spacing w:line="237" w:lineRule="auto" w:before="173"/>
              <w:ind w:left="117" w:right="106"/>
              <w:rPr>
                <w:sz w:val="21"/>
              </w:rPr>
            </w:pPr>
            <w:r>
              <w:rPr>
                <w:sz w:val="21"/>
              </w:rPr>
              <w:t>六项基本日常生活活动</w:t>
            </w:r>
          </w:p>
        </w:tc>
        <w:tc>
          <w:tcPr>
            <w:tcW w:w="8014" w:type="dxa"/>
          </w:tcPr>
          <w:p>
            <w:pPr>
              <w:pStyle w:val="TableParagraph"/>
              <w:spacing w:line="237" w:lineRule="auto" w:before="173"/>
              <w:ind w:left="108" w:right="236"/>
              <w:jc w:val="both"/>
              <w:rPr>
                <w:sz w:val="21"/>
              </w:rPr>
            </w:pPr>
            <w:r>
              <w:rPr>
                <w:w w:val="100"/>
                <w:sz w:val="21"/>
              </w:rPr>
              <w:t>（1</w:t>
            </w:r>
            <w:r>
              <w:rPr>
                <w:spacing w:val="-3"/>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10"/>
                <w:w w:val="100"/>
                <w:sz w:val="21"/>
              </w:rPr>
              <w:t>移动：自己从一个房间到另一个房间；</w:t>
            </w:r>
            <w:r>
              <w:rPr>
                <w:spacing w:val="-1"/>
                <w:w w:val="100"/>
                <w:sz w:val="21"/>
              </w:rPr>
              <w:t>（</w:t>
            </w:r>
            <w:r>
              <w:rPr>
                <w:spacing w:val="-3"/>
                <w:w w:val="100"/>
                <w:sz w:val="21"/>
              </w:rPr>
              <w:t>3</w:t>
            </w:r>
            <w:r>
              <w:rPr>
                <w:w w:val="100"/>
                <w:sz w:val="21"/>
              </w:rPr>
              <w:t>）</w:t>
            </w:r>
            <w:r>
              <w:rPr>
                <w:spacing w:val="-9"/>
                <w:w w:val="100"/>
                <w:sz w:val="21"/>
              </w:rPr>
              <w:t>行动：自己上下床或上下轮椅；</w:t>
            </w:r>
            <w:r>
              <w:rPr>
                <w:spacing w:val="0"/>
                <w:w w:val="100"/>
                <w:sz w:val="21"/>
              </w:rPr>
              <w:t>（</w:t>
            </w:r>
            <w:r>
              <w:rPr>
                <w:w w:val="100"/>
                <w:sz w:val="21"/>
              </w:rPr>
              <w:t>4）</w:t>
            </w:r>
            <w:r>
              <w:rPr>
                <w:spacing w:val="-9"/>
                <w:w w:val="100"/>
                <w:sz w:val="21"/>
              </w:rPr>
              <w:t>如厕：自己控制进行大小便；</w:t>
            </w:r>
            <w:r>
              <w:rPr>
                <w:w w:val="100"/>
                <w:sz w:val="21"/>
              </w:rPr>
              <w:t>（5）</w:t>
            </w:r>
            <w:r>
              <w:rPr>
                <w:spacing w:val="-2"/>
                <w:w w:val="100"/>
                <w:sz w:val="21"/>
              </w:rPr>
              <w:t>进食：自己</w:t>
            </w:r>
            <w:r>
              <w:rPr>
                <w:spacing w:val="-9"/>
                <w:w w:val="100"/>
                <w:sz w:val="21"/>
              </w:rPr>
              <w:t>从已准备好的碗或碟中取食物放入口中；</w:t>
            </w:r>
            <w:r>
              <w:rPr>
                <w:w w:val="100"/>
                <w:sz w:val="21"/>
              </w:rPr>
              <w:t>（6</w:t>
            </w:r>
            <w:r>
              <w:rPr>
                <w:spacing w:val="-3"/>
                <w:w w:val="100"/>
                <w:sz w:val="21"/>
              </w:rPr>
              <w:t>）洗澡：自己进行淋浴或盆浴。</w:t>
            </w:r>
          </w:p>
        </w:tc>
      </w:tr>
      <w:tr>
        <w:trPr>
          <w:trHeight w:val="950" w:hRule="atLeast"/>
        </w:trPr>
        <w:tc>
          <w:tcPr>
            <w:tcW w:w="846" w:type="dxa"/>
          </w:tcPr>
          <w:p>
            <w:pPr>
              <w:pStyle w:val="TableParagraph"/>
              <w:spacing w:before="170"/>
              <w:ind w:right="115"/>
              <w:jc w:val="right"/>
              <w:rPr>
                <w:sz w:val="21"/>
              </w:rPr>
            </w:pPr>
            <w:r>
              <w:rPr>
                <w:sz w:val="21"/>
              </w:rPr>
              <w:t>15.23</w:t>
            </w:r>
          </w:p>
        </w:tc>
        <w:tc>
          <w:tcPr>
            <w:tcW w:w="1514" w:type="dxa"/>
          </w:tcPr>
          <w:p>
            <w:pPr>
              <w:pStyle w:val="TableParagraph"/>
              <w:spacing w:before="170"/>
              <w:ind w:left="117"/>
              <w:rPr>
                <w:sz w:val="21"/>
              </w:rPr>
            </w:pPr>
            <w:r>
              <w:rPr>
                <w:sz w:val="21"/>
              </w:rPr>
              <w:t>永久不可逆</w:t>
            </w:r>
          </w:p>
        </w:tc>
        <w:tc>
          <w:tcPr>
            <w:tcW w:w="8014" w:type="dxa"/>
          </w:tcPr>
          <w:p>
            <w:pPr>
              <w:pStyle w:val="TableParagraph"/>
              <w:spacing w:line="237" w:lineRule="auto" w:before="173"/>
              <w:ind w:left="108" w:right="230"/>
              <w:rPr>
                <w:sz w:val="21"/>
              </w:rPr>
            </w:pPr>
            <w:r>
              <w:rPr>
                <w:sz w:val="21"/>
              </w:rPr>
              <w:t>指自疾病确诊或意外伤害发生之日起，经过积极治疗 180 天后，仍无法通过现有医疗手段恢复。</w:t>
            </w:r>
          </w:p>
        </w:tc>
      </w:tr>
      <w:tr>
        <w:trPr>
          <w:trHeight w:val="990" w:hRule="atLeast"/>
        </w:trPr>
        <w:tc>
          <w:tcPr>
            <w:tcW w:w="846" w:type="dxa"/>
          </w:tcPr>
          <w:p>
            <w:pPr>
              <w:pStyle w:val="TableParagraph"/>
              <w:spacing w:before="170"/>
              <w:ind w:right="115"/>
              <w:jc w:val="right"/>
              <w:rPr>
                <w:sz w:val="21"/>
              </w:rPr>
            </w:pPr>
            <w:r>
              <w:rPr>
                <w:sz w:val="21"/>
              </w:rPr>
              <w:t>15.24</w:t>
            </w:r>
          </w:p>
        </w:tc>
        <w:tc>
          <w:tcPr>
            <w:tcW w:w="1514" w:type="dxa"/>
          </w:tcPr>
          <w:p>
            <w:pPr>
              <w:pStyle w:val="TableParagraph"/>
              <w:spacing w:before="170"/>
              <w:ind w:left="117"/>
              <w:rPr>
                <w:sz w:val="21"/>
              </w:rPr>
            </w:pPr>
            <w:r>
              <w:rPr>
                <w:sz w:val="21"/>
              </w:rPr>
              <w:t>症状</w:t>
            </w:r>
          </w:p>
        </w:tc>
        <w:tc>
          <w:tcPr>
            <w:tcW w:w="8014" w:type="dxa"/>
          </w:tcPr>
          <w:p>
            <w:pPr>
              <w:pStyle w:val="TableParagraph"/>
              <w:spacing w:line="237" w:lineRule="auto" w:before="173"/>
              <w:ind w:left="108" w:right="307"/>
              <w:rPr>
                <w:sz w:val="21"/>
              </w:rPr>
            </w:pPr>
            <w:r>
              <w:rPr>
                <w:sz w:val="21"/>
              </w:rPr>
              <w:t>指机体内的一系列机能、代谢和形态结构异常变化所引起的主观上的异常感觉、异常表现或者通过检查而检出的异常体征和异常结果。症状可以在疾病诊断前已经出</w:t>
            </w:r>
          </w:p>
          <w:p>
            <w:pPr>
              <w:pStyle w:val="TableParagraph"/>
              <w:spacing w:line="254" w:lineRule="exact"/>
              <w:ind w:left="108"/>
              <w:rPr>
                <w:sz w:val="21"/>
              </w:rPr>
            </w:pPr>
            <w:r>
              <w:rPr>
                <w:sz w:val="21"/>
              </w:rPr>
              <w:t>现。</w:t>
            </w:r>
          </w:p>
        </w:tc>
      </w:tr>
    </w:tbl>
    <w:sectPr>
      <w:pgSz w:w="11910" w:h="16840"/>
      <w:pgMar w:header="0" w:footer="809" w:top="1140" w:bottom="1000" w:left="7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type id="_x0000_t202" o:spt="202" coordsize="21600,21600" path="m,l,21600r21600,l21600,xe">
          <v:stroke joinstyle="miter"/>
          <v:path gradientshapeok="t" o:connecttype="rect"/>
        </v:shapetype>
        <v:shape style="position:absolute;margin-left:290.369995pt;margin-top:786.48584pt;width:14.6pt;height:13.7pt;mso-position-horizontal-relative:page;mso-position-vertical-relative:page;z-index:-26200" type="#_x0000_t202" filled="false" stroked="false">
          <v:textbox inset="0,0,0,0">
            <w:txbxContent>
              <w:p>
                <w:pPr>
                  <w:pStyle w:val="BodyText"/>
                  <w:spacing w:before="12"/>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081" w:hanging="421"/>
        <w:jc w:val="left"/>
      </w:pPr>
      <w:rPr>
        <w:rFonts w:hint="default" w:ascii="宋体" w:hAnsi="宋体" w:eastAsia="宋体" w:cs="宋体"/>
        <w:w w:val="100"/>
        <w:sz w:val="21"/>
        <w:szCs w:val="21"/>
      </w:rPr>
    </w:lvl>
    <w:lvl w:ilvl="1">
      <w:start w:val="0"/>
      <w:numFmt w:val="bullet"/>
      <w:lvlText w:val="•"/>
      <w:lvlJc w:val="left"/>
      <w:pPr>
        <w:ind w:left="2810" w:hanging="421"/>
      </w:pPr>
      <w:rPr>
        <w:rFonts w:hint="default"/>
      </w:rPr>
    </w:lvl>
    <w:lvl w:ilvl="2">
      <w:start w:val="0"/>
      <w:numFmt w:val="bullet"/>
      <w:lvlText w:val="•"/>
      <w:lvlJc w:val="left"/>
      <w:pPr>
        <w:ind w:left="3541" w:hanging="421"/>
      </w:pPr>
      <w:rPr>
        <w:rFonts w:hint="default"/>
      </w:rPr>
    </w:lvl>
    <w:lvl w:ilvl="3">
      <w:start w:val="0"/>
      <w:numFmt w:val="bullet"/>
      <w:lvlText w:val="•"/>
      <w:lvlJc w:val="left"/>
      <w:pPr>
        <w:ind w:left="4271" w:hanging="421"/>
      </w:pPr>
      <w:rPr>
        <w:rFonts w:hint="default"/>
      </w:rPr>
    </w:lvl>
    <w:lvl w:ilvl="4">
      <w:start w:val="0"/>
      <w:numFmt w:val="bullet"/>
      <w:lvlText w:val="•"/>
      <w:lvlJc w:val="left"/>
      <w:pPr>
        <w:ind w:left="5002" w:hanging="421"/>
      </w:pPr>
      <w:rPr>
        <w:rFonts w:hint="default"/>
      </w:rPr>
    </w:lvl>
    <w:lvl w:ilvl="5">
      <w:start w:val="0"/>
      <w:numFmt w:val="bullet"/>
      <w:lvlText w:val="•"/>
      <w:lvlJc w:val="left"/>
      <w:pPr>
        <w:ind w:left="5733" w:hanging="421"/>
      </w:pPr>
      <w:rPr>
        <w:rFonts w:hint="default"/>
      </w:rPr>
    </w:lvl>
    <w:lvl w:ilvl="6">
      <w:start w:val="0"/>
      <w:numFmt w:val="bullet"/>
      <w:lvlText w:val="•"/>
      <w:lvlJc w:val="left"/>
      <w:pPr>
        <w:ind w:left="6463" w:hanging="421"/>
      </w:pPr>
      <w:rPr>
        <w:rFonts w:hint="default"/>
      </w:rPr>
    </w:lvl>
    <w:lvl w:ilvl="7">
      <w:start w:val="0"/>
      <w:numFmt w:val="bullet"/>
      <w:lvlText w:val="•"/>
      <w:lvlJc w:val="left"/>
      <w:pPr>
        <w:ind w:left="7194" w:hanging="421"/>
      </w:pPr>
      <w:rPr>
        <w:rFonts w:hint="default"/>
      </w:rPr>
    </w:lvl>
    <w:lvl w:ilvl="8">
      <w:start w:val="0"/>
      <w:numFmt w:val="bullet"/>
      <w:lvlText w:val="•"/>
      <w:lvlJc w:val="left"/>
      <w:pPr>
        <w:ind w:left="7925" w:hanging="421"/>
      </w:pPr>
      <w:rPr>
        <w:rFonts w:hint="default"/>
      </w:rPr>
    </w:lvl>
  </w:abstractNum>
  <w:abstractNum w:abstractNumId="4">
    <w:multiLevelType w:val="hybridMultilevel"/>
    <w:lvl w:ilvl="0">
      <w:start w:val="1"/>
      <w:numFmt w:val="decimal"/>
      <w:lvlText w:val="%1)"/>
      <w:lvlJc w:val="left"/>
      <w:pPr>
        <w:ind w:left="2081" w:hanging="421"/>
        <w:jc w:val="left"/>
      </w:pPr>
      <w:rPr>
        <w:rFonts w:hint="default" w:ascii="宋体" w:hAnsi="宋体" w:eastAsia="宋体" w:cs="宋体"/>
        <w:w w:val="100"/>
        <w:sz w:val="21"/>
        <w:szCs w:val="21"/>
      </w:rPr>
    </w:lvl>
    <w:lvl w:ilvl="1">
      <w:start w:val="0"/>
      <w:numFmt w:val="bullet"/>
      <w:lvlText w:val="•"/>
      <w:lvlJc w:val="left"/>
      <w:pPr>
        <w:ind w:left="2808" w:hanging="421"/>
      </w:pPr>
      <w:rPr>
        <w:rFonts w:hint="default"/>
      </w:rPr>
    </w:lvl>
    <w:lvl w:ilvl="2">
      <w:start w:val="0"/>
      <w:numFmt w:val="bullet"/>
      <w:lvlText w:val="•"/>
      <w:lvlJc w:val="left"/>
      <w:pPr>
        <w:ind w:left="3537" w:hanging="421"/>
      </w:pPr>
      <w:rPr>
        <w:rFonts w:hint="default"/>
      </w:rPr>
    </w:lvl>
    <w:lvl w:ilvl="3">
      <w:start w:val="0"/>
      <w:numFmt w:val="bullet"/>
      <w:lvlText w:val="•"/>
      <w:lvlJc w:val="left"/>
      <w:pPr>
        <w:ind w:left="4265" w:hanging="421"/>
      </w:pPr>
      <w:rPr>
        <w:rFonts w:hint="default"/>
      </w:rPr>
    </w:lvl>
    <w:lvl w:ilvl="4">
      <w:start w:val="0"/>
      <w:numFmt w:val="bullet"/>
      <w:lvlText w:val="•"/>
      <w:lvlJc w:val="left"/>
      <w:pPr>
        <w:ind w:left="4994" w:hanging="421"/>
      </w:pPr>
      <w:rPr>
        <w:rFonts w:hint="default"/>
      </w:rPr>
    </w:lvl>
    <w:lvl w:ilvl="5">
      <w:start w:val="0"/>
      <w:numFmt w:val="bullet"/>
      <w:lvlText w:val="•"/>
      <w:lvlJc w:val="left"/>
      <w:pPr>
        <w:ind w:left="5723" w:hanging="421"/>
      </w:pPr>
      <w:rPr>
        <w:rFonts w:hint="default"/>
      </w:rPr>
    </w:lvl>
    <w:lvl w:ilvl="6">
      <w:start w:val="0"/>
      <w:numFmt w:val="bullet"/>
      <w:lvlText w:val="•"/>
      <w:lvlJc w:val="left"/>
      <w:pPr>
        <w:ind w:left="6451" w:hanging="421"/>
      </w:pPr>
      <w:rPr>
        <w:rFonts w:hint="default"/>
      </w:rPr>
    </w:lvl>
    <w:lvl w:ilvl="7">
      <w:start w:val="0"/>
      <w:numFmt w:val="bullet"/>
      <w:lvlText w:val="•"/>
      <w:lvlJc w:val="left"/>
      <w:pPr>
        <w:ind w:left="7180" w:hanging="421"/>
      </w:pPr>
      <w:rPr>
        <w:rFonts w:hint="default"/>
      </w:rPr>
    </w:lvl>
    <w:lvl w:ilvl="8">
      <w:start w:val="0"/>
      <w:numFmt w:val="bullet"/>
      <w:lvlText w:val="•"/>
      <w:lvlJc w:val="left"/>
      <w:pPr>
        <w:ind w:left="7909" w:hanging="421"/>
      </w:pPr>
      <w:rPr>
        <w:rFonts w:hint="default"/>
      </w:rPr>
    </w:lvl>
  </w:abstractNum>
  <w:abstractNum w:abstractNumId="3">
    <w:multiLevelType w:val="hybridMultilevel"/>
    <w:lvl w:ilvl="0">
      <w:start w:val="1"/>
      <w:numFmt w:val="decimal"/>
      <w:lvlText w:val="%1."/>
      <w:lvlJc w:val="left"/>
      <w:pPr>
        <w:ind w:left="565" w:hanging="317"/>
        <w:jc w:val="left"/>
      </w:pPr>
      <w:rPr>
        <w:rFonts w:hint="default" w:ascii="宋体" w:hAnsi="宋体" w:eastAsia="宋体" w:cs="宋体"/>
        <w:w w:val="100"/>
        <w:sz w:val="21"/>
        <w:szCs w:val="21"/>
      </w:rPr>
    </w:lvl>
    <w:lvl w:ilvl="1">
      <w:start w:val="0"/>
      <w:numFmt w:val="bullet"/>
      <w:lvlText w:val="•"/>
      <w:lvlJc w:val="left"/>
      <w:pPr>
        <w:ind w:left="1880" w:hanging="317"/>
      </w:pPr>
      <w:rPr>
        <w:rFonts w:hint="default"/>
      </w:rPr>
    </w:lvl>
    <w:lvl w:ilvl="2">
      <w:start w:val="0"/>
      <w:numFmt w:val="bullet"/>
      <w:lvlText w:val="•"/>
      <w:lvlJc w:val="left"/>
      <w:pPr>
        <w:ind w:left="2083" w:hanging="317"/>
      </w:pPr>
      <w:rPr>
        <w:rFonts w:hint="default"/>
      </w:rPr>
    </w:lvl>
    <w:lvl w:ilvl="3">
      <w:start w:val="0"/>
      <w:numFmt w:val="bullet"/>
      <w:lvlText w:val="•"/>
      <w:lvlJc w:val="left"/>
      <w:pPr>
        <w:ind w:left="2287" w:hanging="317"/>
      </w:pPr>
      <w:rPr>
        <w:rFonts w:hint="default"/>
      </w:rPr>
    </w:lvl>
    <w:lvl w:ilvl="4">
      <w:start w:val="0"/>
      <w:numFmt w:val="bullet"/>
      <w:lvlText w:val="•"/>
      <w:lvlJc w:val="left"/>
      <w:pPr>
        <w:ind w:left="2491" w:hanging="317"/>
      </w:pPr>
      <w:rPr>
        <w:rFonts w:hint="default"/>
      </w:rPr>
    </w:lvl>
    <w:lvl w:ilvl="5">
      <w:start w:val="0"/>
      <w:numFmt w:val="bullet"/>
      <w:lvlText w:val="•"/>
      <w:lvlJc w:val="left"/>
      <w:pPr>
        <w:ind w:left="2695" w:hanging="317"/>
      </w:pPr>
      <w:rPr>
        <w:rFonts w:hint="default"/>
      </w:rPr>
    </w:lvl>
    <w:lvl w:ilvl="6">
      <w:start w:val="0"/>
      <w:numFmt w:val="bullet"/>
      <w:lvlText w:val="•"/>
      <w:lvlJc w:val="left"/>
      <w:pPr>
        <w:ind w:left="2898" w:hanging="317"/>
      </w:pPr>
      <w:rPr>
        <w:rFonts w:hint="default"/>
      </w:rPr>
    </w:lvl>
    <w:lvl w:ilvl="7">
      <w:start w:val="0"/>
      <w:numFmt w:val="bullet"/>
      <w:lvlText w:val="•"/>
      <w:lvlJc w:val="left"/>
      <w:pPr>
        <w:ind w:left="3102" w:hanging="317"/>
      </w:pPr>
      <w:rPr>
        <w:rFonts w:hint="default"/>
      </w:rPr>
    </w:lvl>
    <w:lvl w:ilvl="8">
      <w:start w:val="0"/>
      <w:numFmt w:val="bullet"/>
      <w:lvlText w:val="•"/>
      <w:lvlJc w:val="left"/>
      <w:pPr>
        <w:ind w:left="3306" w:hanging="317"/>
      </w:pPr>
      <w:rPr>
        <w:rFonts w:hint="default"/>
      </w:rPr>
    </w:lvl>
  </w:abstractNum>
  <w:abstractNum w:abstractNumId="2">
    <w:multiLevelType w:val="hybridMultilevel"/>
    <w:lvl w:ilvl="0">
      <w:start w:val="4"/>
      <w:numFmt w:val="decimal"/>
      <w:lvlText w:val="%1."/>
      <w:lvlJc w:val="left"/>
      <w:pPr>
        <w:ind w:left="882" w:hanging="317"/>
        <w:jc w:val="left"/>
      </w:pPr>
      <w:rPr>
        <w:rFonts w:hint="default" w:ascii="宋体" w:hAnsi="宋体" w:eastAsia="宋体" w:cs="宋体"/>
        <w:b/>
        <w:bCs/>
        <w:w w:val="99"/>
        <w:sz w:val="21"/>
        <w:szCs w:val="21"/>
      </w:rPr>
    </w:lvl>
    <w:lvl w:ilvl="1">
      <w:start w:val="0"/>
      <w:numFmt w:val="bullet"/>
      <w:lvlText w:val="•"/>
      <w:lvlJc w:val="left"/>
      <w:pPr>
        <w:ind w:left="1818" w:hanging="317"/>
      </w:pPr>
      <w:rPr>
        <w:rFonts w:hint="default"/>
      </w:rPr>
    </w:lvl>
    <w:lvl w:ilvl="2">
      <w:start w:val="0"/>
      <w:numFmt w:val="bullet"/>
      <w:lvlText w:val="•"/>
      <w:lvlJc w:val="left"/>
      <w:pPr>
        <w:ind w:left="2757" w:hanging="317"/>
      </w:pPr>
      <w:rPr>
        <w:rFonts w:hint="default"/>
      </w:rPr>
    </w:lvl>
    <w:lvl w:ilvl="3">
      <w:start w:val="0"/>
      <w:numFmt w:val="bullet"/>
      <w:lvlText w:val="•"/>
      <w:lvlJc w:val="left"/>
      <w:pPr>
        <w:ind w:left="3695" w:hanging="317"/>
      </w:pPr>
      <w:rPr>
        <w:rFonts w:hint="default"/>
      </w:rPr>
    </w:lvl>
    <w:lvl w:ilvl="4">
      <w:start w:val="0"/>
      <w:numFmt w:val="bullet"/>
      <w:lvlText w:val="•"/>
      <w:lvlJc w:val="left"/>
      <w:pPr>
        <w:ind w:left="4634" w:hanging="317"/>
      </w:pPr>
      <w:rPr>
        <w:rFonts w:hint="default"/>
      </w:rPr>
    </w:lvl>
    <w:lvl w:ilvl="5">
      <w:start w:val="0"/>
      <w:numFmt w:val="bullet"/>
      <w:lvlText w:val="•"/>
      <w:lvlJc w:val="left"/>
      <w:pPr>
        <w:ind w:left="5573" w:hanging="317"/>
      </w:pPr>
      <w:rPr>
        <w:rFonts w:hint="default"/>
      </w:rPr>
    </w:lvl>
    <w:lvl w:ilvl="6">
      <w:start w:val="0"/>
      <w:numFmt w:val="bullet"/>
      <w:lvlText w:val="•"/>
      <w:lvlJc w:val="left"/>
      <w:pPr>
        <w:ind w:left="6511" w:hanging="317"/>
      </w:pPr>
      <w:rPr>
        <w:rFonts w:hint="default"/>
      </w:rPr>
    </w:lvl>
    <w:lvl w:ilvl="7">
      <w:start w:val="0"/>
      <w:numFmt w:val="bullet"/>
      <w:lvlText w:val="•"/>
      <w:lvlJc w:val="left"/>
      <w:pPr>
        <w:ind w:left="7450" w:hanging="317"/>
      </w:pPr>
      <w:rPr>
        <w:rFonts w:hint="default"/>
      </w:rPr>
    </w:lvl>
    <w:lvl w:ilvl="8">
      <w:start w:val="0"/>
      <w:numFmt w:val="bullet"/>
      <w:lvlText w:val="•"/>
      <w:lvlJc w:val="left"/>
      <w:pPr>
        <w:ind w:left="8389" w:hanging="317"/>
      </w:pPr>
      <w:rPr>
        <w:rFonts w:hint="default"/>
      </w:rPr>
    </w:lvl>
  </w:abstractNum>
  <w:abstractNum w:abstractNumId="1">
    <w:multiLevelType w:val="hybridMultilevel"/>
    <w:lvl w:ilvl="0">
      <w:start w:val="1"/>
      <w:numFmt w:val="decimal"/>
      <w:lvlText w:val="%1."/>
      <w:lvlJc w:val="left"/>
      <w:pPr>
        <w:ind w:left="565" w:hanging="317"/>
        <w:jc w:val="left"/>
      </w:pPr>
      <w:rPr>
        <w:rFonts w:hint="default"/>
        <w:w w:val="99"/>
        <w:u w:val="single" w:color="000000"/>
      </w:rPr>
    </w:lvl>
    <w:lvl w:ilvl="1">
      <w:start w:val="0"/>
      <w:numFmt w:val="bullet"/>
      <w:lvlText w:val="•"/>
      <w:lvlJc w:val="left"/>
      <w:pPr>
        <w:ind w:left="1530" w:hanging="317"/>
      </w:pPr>
      <w:rPr>
        <w:rFonts w:hint="default"/>
      </w:rPr>
    </w:lvl>
    <w:lvl w:ilvl="2">
      <w:start w:val="0"/>
      <w:numFmt w:val="bullet"/>
      <w:lvlText w:val="•"/>
      <w:lvlJc w:val="left"/>
      <w:pPr>
        <w:ind w:left="2501" w:hanging="317"/>
      </w:pPr>
      <w:rPr>
        <w:rFonts w:hint="default"/>
      </w:rPr>
    </w:lvl>
    <w:lvl w:ilvl="3">
      <w:start w:val="0"/>
      <w:numFmt w:val="bullet"/>
      <w:lvlText w:val="•"/>
      <w:lvlJc w:val="left"/>
      <w:pPr>
        <w:ind w:left="3471" w:hanging="317"/>
      </w:pPr>
      <w:rPr>
        <w:rFonts w:hint="default"/>
      </w:rPr>
    </w:lvl>
    <w:lvl w:ilvl="4">
      <w:start w:val="0"/>
      <w:numFmt w:val="bullet"/>
      <w:lvlText w:val="•"/>
      <w:lvlJc w:val="left"/>
      <w:pPr>
        <w:ind w:left="4442" w:hanging="317"/>
      </w:pPr>
      <w:rPr>
        <w:rFonts w:hint="default"/>
      </w:rPr>
    </w:lvl>
    <w:lvl w:ilvl="5">
      <w:start w:val="0"/>
      <w:numFmt w:val="bullet"/>
      <w:lvlText w:val="•"/>
      <w:lvlJc w:val="left"/>
      <w:pPr>
        <w:ind w:left="5413" w:hanging="317"/>
      </w:pPr>
      <w:rPr>
        <w:rFonts w:hint="default"/>
      </w:rPr>
    </w:lvl>
    <w:lvl w:ilvl="6">
      <w:start w:val="0"/>
      <w:numFmt w:val="bullet"/>
      <w:lvlText w:val="•"/>
      <w:lvlJc w:val="left"/>
      <w:pPr>
        <w:ind w:left="6383" w:hanging="317"/>
      </w:pPr>
      <w:rPr>
        <w:rFonts w:hint="default"/>
      </w:rPr>
    </w:lvl>
    <w:lvl w:ilvl="7">
      <w:start w:val="0"/>
      <w:numFmt w:val="bullet"/>
      <w:lvlText w:val="•"/>
      <w:lvlJc w:val="left"/>
      <w:pPr>
        <w:ind w:left="7354" w:hanging="317"/>
      </w:pPr>
      <w:rPr>
        <w:rFonts w:hint="default"/>
      </w:rPr>
    </w:lvl>
    <w:lvl w:ilvl="8">
      <w:start w:val="0"/>
      <w:numFmt w:val="bullet"/>
      <w:lvlText w:val="•"/>
      <w:lvlJc w:val="left"/>
      <w:pPr>
        <w:ind w:left="8325" w:hanging="317"/>
      </w:pPr>
      <w:rPr>
        <w:rFonts w:hint="default"/>
      </w:rPr>
    </w:lvl>
  </w:abstractNum>
  <w:abstractNum w:abstractNumId="0">
    <w:multiLevelType w:val="hybridMultilevel"/>
    <w:lvl w:ilvl="0">
      <w:start w:val="0"/>
      <w:numFmt w:val="bullet"/>
      <w:lvlText w:val=""/>
      <w:lvlJc w:val="left"/>
      <w:pPr>
        <w:ind w:left="565" w:hanging="421"/>
      </w:pPr>
      <w:rPr>
        <w:rFonts w:hint="default"/>
        <w:w w:val="100"/>
      </w:rPr>
    </w:lvl>
    <w:lvl w:ilvl="1">
      <w:start w:val="1"/>
      <w:numFmt w:val="decimal"/>
      <w:lvlText w:val="%2."/>
      <w:lvlJc w:val="left"/>
      <w:pPr>
        <w:ind w:left="867" w:hanging="303"/>
        <w:jc w:val="left"/>
      </w:pPr>
      <w:rPr>
        <w:rFonts w:hint="default" w:ascii="宋体" w:hAnsi="宋体" w:eastAsia="宋体" w:cs="宋体"/>
        <w:spacing w:val="0"/>
        <w:w w:val="100"/>
        <w:sz w:val="18"/>
        <w:szCs w:val="18"/>
      </w:rPr>
    </w:lvl>
    <w:lvl w:ilvl="2">
      <w:start w:val="0"/>
      <w:numFmt w:val="bullet"/>
      <w:lvlText w:val="•"/>
      <w:lvlJc w:val="left"/>
      <w:pPr>
        <w:ind w:left="1905" w:hanging="303"/>
      </w:pPr>
      <w:rPr>
        <w:rFonts w:hint="default"/>
      </w:rPr>
    </w:lvl>
    <w:lvl w:ilvl="3">
      <w:start w:val="0"/>
      <w:numFmt w:val="bullet"/>
      <w:lvlText w:val="•"/>
      <w:lvlJc w:val="left"/>
      <w:pPr>
        <w:ind w:left="2950" w:hanging="303"/>
      </w:pPr>
      <w:rPr>
        <w:rFonts w:hint="default"/>
      </w:rPr>
    </w:lvl>
    <w:lvl w:ilvl="4">
      <w:start w:val="0"/>
      <w:numFmt w:val="bullet"/>
      <w:lvlText w:val="•"/>
      <w:lvlJc w:val="left"/>
      <w:pPr>
        <w:ind w:left="3995" w:hanging="303"/>
      </w:pPr>
      <w:rPr>
        <w:rFonts w:hint="default"/>
      </w:rPr>
    </w:lvl>
    <w:lvl w:ilvl="5">
      <w:start w:val="0"/>
      <w:numFmt w:val="bullet"/>
      <w:lvlText w:val="•"/>
      <w:lvlJc w:val="left"/>
      <w:pPr>
        <w:ind w:left="5040" w:hanging="303"/>
      </w:pPr>
      <w:rPr>
        <w:rFonts w:hint="default"/>
      </w:rPr>
    </w:lvl>
    <w:lvl w:ilvl="6">
      <w:start w:val="0"/>
      <w:numFmt w:val="bullet"/>
      <w:lvlText w:val="•"/>
      <w:lvlJc w:val="left"/>
      <w:pPr>
        <w:ind w:left="6085" w:hanging="303"/>
      </w:pPr>
      <w:rPr>
        <w:rFonts w:hint="default"/>
      </w:rPr>
    </w:lvl>
    <w:lvl w:ilvl="7">
      <w:start w:val="0"/>
      <w:numFmt w:val="bullet"/>
      <w:lvlText w:val="•"/>
      <w:lvlJc w:val="left"/>
      <w:pPr>
        <w:ind w:left="7130" w:hanging="303"/>
      </w:pPr>
      <w:rPr>
        <w:rFonts w:hint="default"/>
      </w:rPr>
    </w:lvl>
    <w:lvl w:ilvl="8">
      <w:start w:val="0"/>
      <w:numFmt w:val="bullet"/>
      <w:lvlText w:val="•"/>
      <w:lvlJc w:val="left"/>
      <w:pPr>
        <w:ind w:left="8176" w:hanging="30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661"/>
    </w:pPr>
    <w:rPr>
      <w:rFonts w:ascii="宋体" w:hAnsi="宋体" w:eastAsia="宋体" w:cs="宋体"/>
      <w:sz w:val="21"/>
      <w:szCs w:val="21"/>
    </w:rPr>
  </w:style>
  <w:style w:styleId="Heading1" w:type="paragraph">
    <w:name w:val="Heading 1"/>
    <w:basedOn w:val="Normal"/>
    <w:uiPriority w:val="1"/>
    <w:qFormat/>
    <w:pPr>
      <w:spacing w:line="336" w:lineRule="exact"/>
      <w:ind w:left="1520"/>
      <w:outlineLvl w:val="1"/>
    </w:pPr>
    <w:rPr>
      <w:rFonts w:ascii="宋体" w:hAnsi="宋体" w:eastAsia="宋体" w:cs="宋体"/>
      <w:b/>
      <w:bCs/>
      <w:sz w:val="30"/>
      <w:szCs w:val="30"/>
    </w:rPr>
  </w:style>
  <w:style w:styleId="Heading2" w:type="paragraph">
    <w:name w:val="Heading 2"/>
    <w:basedOn w:val="Normal"/>
    <w:uiPriority w:val="1"/>
    <w:qFormat/>
    <w:pPr>
      <w:spacing w:before="70"/>
      <w:ind w:left="1661"/>
      <w:outlineLvl w:val="2"/>
    </w:pPr>
    <w:rPr>
      <w:rFonts w:ascii="宋体" w:hAnsi="宋体" w:eastAsia="宋体" w:cs="宋体"/>
      <w:b/>
      <w:bCs/>
      <w:sz w:val="21"/>
      <w:szCs w:val="21"/>
    </w:rPr>
  </w:style>
  <w:style w:styleId="ListParagraph" w:type="paragraph">
    <w:name w:val="List Paragraph"/>
    <w:basedOn w:val="Normal"/>
    <w:uiPriority w:val="1"/>
    <w:qFormat/>
    <w:pPr>
      <w:spacing w:before="58"/>
      <w:ind w:left="56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c2lixx</dc:creator>
  <dcterms:created xsi:type="dcterms:W3CDTF">2018-10-19T23:33:13Z</dcterms:created>
  <dcterms:modified xsi:type="dcterms:W3CDTF">2018-10-19T23:33:13Z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Office Word 2007</vt:lpwstr>
  </property>
  <property fmtid="{D5CDD505-2E9C-101B-9397-08002B2CF9AE}" pid="4" name="LastSaved">
    <vt:filetime>2018-10-19T00:00:00Z</vt:filetime>
  </property>
</Properties>
</file>