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4"/>
        <w:ind w:left="5430" w:right="0" w:firstLine="0"/>
        <w:jc w:val="left"/>
        <w:rPr>
          <w:sz w:val="32"/>
        </w:rPr>
      </w:pPr>
      <w:r>
        <w:rPr>
          <w:sz w:val="20"/>
        </w:rPr>
        <w:t>长生人寿［2013］疾病保险 005 号</w:t>
      </w:r>
      <w:r>
        <w:rPr>
          <w:w w:val="100"/>
          <w:sz w:val="32"/>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4"/>
        </w:rPr>
      </w:pPr>
    </w:p>
    <w:p>
      <w:pPr>
        <w:spacing w:after="0"/>
        <w:rPr>
          <w:sz w:val="14"/>
        </w:rPr>
        <w:sectPr>
          <w:footerReference w:type="default" r:id="rId5"/>
          <w:type w:val="continuous"/>
          <w:pgSz w:w="11900" w:h="16840"/>
          <w:pgMar w:footer="1140" w:top="1320" w:bottom="1340" w:left="1680" w:right="1520"/>
          <w:pgNumType w:start="1"/>
        </w:sectPr>
      </w:pPr>
    </w:p>
    <w:p>
      <w:pPr>
        <w:pStyle w:val="BodyText"/>
        <w:spacing w:before="0"/>
        <w:ind w:left="0"/>
        <w:rPr>
          <w:sz w:val="32"/>
        </w:rPr>
      </w:pPr>
    </w:p>
    <w:p>
      <w:pPr>
        <w:spacing w:before="280"/>
        <w:ind w:left="2513" w:right="6" w:firstLine="0"/>
        <w:jc w:val="center"/>
        <w:rPr>
          <w:sz w:val="32"/>
        </w:rPr>
      </w:pPr>
      <w:r>
        <w:rPr>
          <w:sz w:val="32"/>
        </w:rPr>
        <w:t>长生人寿保险有限公司 </w:t>
      </w:r>
    </w:p>
    <w:p>
      <w:pPr>
        <w:pStyle w:val="Heading1"/>
        <w:spacing w:line="313" w:lineRule="exact" w:before="113"/>
        <w:ind w:left="2513"/>
      </w:pPr>
      <w:r>
        <w:rPr/>
        <w:t>长生康泰宝定期重大疾病保险条款 </w:t>
      </w:r>
    </w:p>
    <w:p>
      <w:pPr>
        <w:spacing w:line="312" w:lineRule="exact" w:before="0"/>
        <w:ind w:left="0" w:right="1806" w:firstLine="0"/>
        <w:jc w:val="right"/>
        <w:rPr>
          <w:sz w:val="24"/>
        </w:rPr>
      </w:pPr>
      <w:r>
        <w:rPr>
          <w:sz w:val="24"/>
        </w:rPr>
        <w:t> </w:t>
      </w:r>
    </w:p>
    <w:p>
      <w:pPr>
        <w:spacing w:line="312" w:lineRule="exact" w:before="0"/>
        <w:ind w:left="2513" w:right="48" w:firstLine="0"/>
        <w:jc w:val="center"/>
        <w:rPr>
          <w:sz w:val="24"/>
        </w:rPr>
      </w:pPr>
      <w:r>
        <w:rPr>
          <w:sz w:val="24"/>
        </w:rPr>
        <w:t>目  录 </w:t>
      </w:r>
    </w:p>
    <w:p>
      <w:pPr>
        <w:spacing w:line="313" w:lineRule="exact" w:before="0"/>
        <w:ind w:left="0" w:right="1806" w:firstLine="0"/>
        <w:jc w:val="right"/>
        <w:rPr>
          <w:sz w:val="24"/>
        </w:rPr>
      </w:pPr>
      <w:r>
        <w:rPr>
          <w:sz w:val="24"/>
        </w:rPr>
        <w:t> </w:t>
      </w:r>
    </w:p>
    <w:p>
      <w:pPr>
        <w:spacing w:before="36"/>
        <w:ind w:left="0" w:right="163" w:firstLine="0"/>
        <w:jc w:val="right"/>
        <w:rPr>
          <w:sz w:val="21"/>
        </w:rPr>
      </w:pPr>
      <w:r>
        <w:rPr/>
        <w:br w:type="column"/>
      </w:r>
      <w:r>
        <w:rPr>
          <w:sz w:val="21"/>
        </w:rPr>
        <w:t> </w:t>
      </w:r>
    </w:p>
    <w:p>
      <w:pPr>
        <w:spacing w:before="19"/>
        <w:ind w:left="0" w:right="107" w:firstLine="0"/>
        <w:jc w:val="right"/>
        <w:rPr>
          <w:sz w:val="32"/>
        </w:rPr>
      </w:pPr>
      <w:r>
        <w:rPr/>
        <w:drawing>
          <wp:anchor distT="0" distB="0" distL="0" distR="0" allowOverlap="1" layoutInCell="1" locked="0" behindDoc="1" simplePos="0" relativeHeight="268417415">
            <wp:simplePos x="0" y="0"/>
            <wp:positionH relativeFrom="page">
              <wp:posOffset>5695950</wp:posOffset>
            </wp:positionH>
            <wp:positionV relativeFrom="paragraph">
              <wp:posOffset>-742573</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sz w:val="20"/>
        </w:rPr>
        <w:t>请扫描以查询验证条款</w:t>
      </w:r>
      <w:r>
        <w:rPr>
          <w:w w:val="100"/>
          <w:sz w:val="32"/>
        </w:rPr>
        <w:t> </w:t>
      </w:r>
    </w:p>
    <w:p>
      <w:pPr>
        <w:spacing w:after="0"/>
        <w:jc w:val="right"/>
        <w:rPr>
          <w:sz w:val="32"/>
        </w:rPr>
        <w:sectPr>
          <w:type w:val="continuous"/>
          <w:pgSz w:w="11900" w:h="16840"/>
          <w:pgMar w:top="1320" w:bottom="1340" w:left="1680" w:right="1520"/>
          <w:cols w:num="2" w:equalWidth="0">
            <w:col w:w="6202" w:space="40"/>
            <w:col w:w="2458"/>
          </w:cols>
        </w:sectPr>
      </w:pPr>
    </w:p>
    <w:p>
      <w:pPr>
        <w:pStyle w:val="BodyText"/>
        <w:tabs>
          <w:tab w:pos="1377" w:val="left" w:leader="none"/>
          <w:tab w:pos="8419" w:val="right" w:leader="dot"/>
        </w:tabs>
        <w:spacing w:before="22"/>
        <w:rPr>
          <w:rFonts w:ascii="Times New Roman" w:eastAsia="Times New Roman"/>
          <w:b/>
        </w:rPr>
      </w:pPr>
      <w:r>
        <w:rPr/>
        <w:t>第一章</w:t>
        <w:tab/>
        <w:t>保险合同构成及投保范围</w:t>
        <w:tab/>
      </w:r>
      <w:r>
        <w:rPr>
          <w:rFonts w:ascii="Times New Roman" w:eastAsia="Times New Roman"/>
          <w:b/>
        </w:rPr>
        <w:t>2</w:t>
      </w:r>
    </w:p>
    <w:p>
      <w:pPr>
        <w:pStyle w:val="BodyText"/>
        <w:tabs>
          <w:tab w:pos="1737" w:val="left" w:leader="none"/>
          <w:tab w:pos="8413" w:val="right" w:leader="dot"/>
        </w:tabs>
        <w:spacing w:before="21"/>
        <w:ind w:left="537"/>
        <w:rPr>
          <w:rFonts w:ascii="Times New Roman" w:eastAsia="Times New Roman"/>
        </w:rPr>
      </w:pPr>
      <w:r>
        <w:rPr/>
        <w:t>第一条</w:t>
        <w:tab/>
        <w:t>保险合同构成</w:t>
        <w:tab/>
      </w:r>
      <w:r>
        <w:rPr>
          <w:rFonts w:ascii="Times New Roman" w:eastAsia="Times New Roman"/>
        </w:rPr>
        <w:t>2</w:t>
      </w:r>
    </w:p>
    <w:p>
      <w:pPr>
        <w:pStyle w:val="BodyText"/>
        <w:tabs>
          <w:tab w:pos="1737" w:val="left" w:leader="none"/>
          <w:tab w:pos="8413" w:val="right" w:leader="dot"/>
        </w:tabs>
        <w:spacing w:before="21"/>
        <w:ind w:left="537"/>
        <w:rPr>
          <w:rFonts w:ascii="Times New Roman" w:eastAsia="Times New Roman"/>
        </w:rPr>
      </w:pPr>
      <w:r>
        <w:rPr/>
        <w:t>第二条</w:t>
        <w:tab/>
        <w:t>投保范围</w:t>
        <w:tab/>
      </w:r>
      <w:r>
        <w:rPr>
          <w:rFonts w:ascii="Times New Roman" w:eastAsia="Times New Roman"/>
        </w:rPr>
        <w:t>2</w:t>
      </w:r>
    </w:p>
    <w:p>
      <w:pPr>
        <w:pStyle w:val="BodyText"/>
        <w:tabs>
          <w:tab w:pos="1377" w:val="left" w:leader="none"/>
          <w:tab w:pos="8419" w:val="right" w:leader="dot"/>
        </w:tabs>
        <w:spacing w:before="21"/>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413" w:val="right" w:leader="dot"/>
        </w:tabs>
        <w:spacing w:before="21"/>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413" w:val="right" w:leader="dot"/>
        </w:tabs>
        <w:spacing w:before="21"/>
        <w:ind w:left="537"/>
        <w:rPr>
          <w:rFonts w:ascii="Times New Roman" w:eastAsia="Times New Roman"/>
        </w:rPr>
      </w:pPr>
      <w:r>
        <w:rPr/>
        <w:t>第四条</w:t>
        <w:tab/>
        <w:t>责任免除</w:t>
        <w:tab/>
      </w:r>
      <w:r>
        <w:rPr>
          <w:rFonts w:ascii="Times New Roman" w:eastAsia="Times New Roman"/>
        </w:rPr>
        <w:t>2</w:t>
      </w:r>
    </w:p>
    <w:p>
      <w:pPr>
        <w:pStyle w:val="BodyText"/>
        <w:tabs>
          <w:tab w:pos="1377" w:val="left" w:leader="none"/>
          <w:tab w:pos="8419" w:val="right" w:leader="dot"/>
        </w:tabs>
        <w:spacing w:before="21"/>
        <w:rPr>
          <w:rFonts w:ascii="Times New Roman" w:eastAsia="Times New Roman"/>
          <w:b/>
        </w:rPr>
      </w:pPr>
      <w:r>
        <w:rPr/>
        <w:t>第三章</w:t>
        <w:tab/>
        <w:t>保险金额、保险费及宽限期</w:t>
        <w:tab/>
      </w:r>
      <w:r>
        <w:rPr>
          <w:rFonts w:ascii="Times New Roman" w:eastAsia="Times New Roman"/>
          <w:b/>
        </w:rPr>
        <w:t>3</w:t>
      </w:r>
    </w:p>
    <w:p>
      <w:pPr>
        <w:pStyle w:val="BodyText"/>
        <w:tabs>
          <w:tab w:pos="1737" w:val="left" w:leader="none"/>
          <w:tab w:pos="8413" w:val="right" w:leader="dot"/>
        </w:tabs>
        <w:spacing w:before="21"/>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413" w:val="right" w:leader="dot"/>
        </w:tabs>
        <w:spacing w:before="21"/>
        <w:ind w:left="537"/>
        <w:rPr>
          <w:rFonts w:ascii="Times New Roman" w:eastAsia="Times New Roman"/>
        </w:rPr>
      </w:pPr>
      <w:r>
        <w:rPr/>
        <w:t>第六条</w:t>
        <w:tab/>
        <w:t>保险费及宽限期</w:t>
        <w:tab/>
      </w:r>
      <w:r>
        <w:rPr>
          <w:rFonts w:ascii="Times New Roman" w:eastAsia="Times New Roman"/>
        </w:rPr>
        <w:t>3</w:t>
      </w:r>
    </w:p>
    <w:p>
      <w:pPr>
        <w:pStyle w:val="BodyText"/>
        <w:tabs>
          <w:tab w:pos="1737" w:val="left" w:leader="none"/>
          <w:tab w:pos="8413" w:val="right" w:leader="dot"/>
        </w:tabs>
        <w:spacing w:before="21"/>
        <w:ind w:left="537"/>
        <w:rPr>
          <w:rFonts w:ascii="Times New Roman" w:eastAsia="Times New Roman"/>
        </w:rPr>
      </w:pPr>
      <w:r>
        <w:rPr/>
        <w:t>第七条</w:t>
        <w:tab/>
        <w:t>欠款扣除</w:t>
        <w:tab/>
      </w:r>
      <w:r>
        <w:rPr>
          <w:rFonts w:ascii="Times New Roman" w:eastAsia="Times New Roman"/>
        </w:rPr>
        <w:t>4</w:t>
      </w:r>
    </w:p>
    <w:p>
      <w:pPr>
        <w:pStyle w:val="BodyText"/>
        <w:tabs>
          <w:tab w:pos="1377" w:val="left" w:leader="none"/>
          <w:tab w:pos="8419" w:val="right" w:leader="dot"/>
        </w:tabs>
        <w:spacing w:before="21"/>
        <w:rPr>
          <w:rFonts w:ascii="Times New Roman" w:eastAsia="Times New Roman"/>
          <w:b/>
        </w:rPr>
      </w:pPr>
      <w:r>
        <w:rPr/>
        <w:t>第四章</w:t>
        <w:tab/>
        <w:t>保险期间、保险合同成立与生效、复效及解除</w:t>
        <w:tab/>
      </w:r>
      <w:r>
        <w:rPr>
          <w:rFonts w:ascii="Times New Roman" w:eastAsia="Times New Roman"/>
          <w:b/>
        </w:rPr>
        <w:t>4</w:t>
      </w:r>
    </w:p>
    <w:p>
      <w:pPr>
        <w:pStyle w:val="BodyText"/>
        <w:tabs>
          <w:tab w:pos="1737" w:val="left" w:leader="none"/>
          <w:tab w:pos="8413" w:val="right" w:leader="dot"/>
        </w:tabs>
        <w:spacing w:before="21"/>
        <w:ind w:left="537"/>
        <w:rPr>
          <w:rFonts w:ascii="Times New Roman" w:eastAsia="Times New Roman"/>
        </w:rPr>
      </w:pPr>
      <w:r>
        <w:rPr/>
        <w:t>第八条</w:t>
        <w:tab/>
        <w:t>保险期间</w:t>
        <w:tab/>
      </w:r>
      <w:r>
        <w:rPr>
          <w:rFonts w:ascii="Times New Roman" w:eastAsia="Times New Roman"/>
        </w:rPr>
        <w:t>4</w:t>
      </w:r>
    </w:p>
    <w:p>
      <w:pPr>
        <w:pStyle w:val="BodyText"/>
        <w:tabs>
          <w:tab w:pos="1737" w:val="left" w:leader="none"/>
          <w:tab w:pos="8413" w:val="right" w:leader="dot"/>
        </w:tabs>
        <w:spacing w:before="21"/>
        <w:ind w:left="537"/>
        <w:rPr>
          <w:rFonts w:ascii="Times New Roman" w:eastAsia="Times New Roman"/>
        </w:rPr>
      </w:pPr>
      <w:r>
        <w:rPr/>
        <w:t>第九条</w:t>
        <w:tab/>
        <w:t>保险合同成立与生效</w:t>
        <w:tab/>
      </w:r>
      <w:r>
        <w:rPr>
          <w:rFonts w:ascii="Times New Roman" w:eastAsia="Times New Roman"/>
        </w:rPr>
        <w:t>4</w:t>
      </w:r>
    </w:p>
    <w:p>
      <w:pPr>
        <w:pStyle w:val="BodyText"/>
        <w:tabs>
          <w:tab w:pos="1737" w:val="left" w:leader="none"/>
          <w:tab w:pos="8413" w:val="right" w:leader="dot"/>
        </w:tabs>
        <w:spacing w:before="21"/>
        <w:ind w:left="537"/>
        <w:rPr>
          <w:rFonts w:ascii="Times New Roman" w:eastAsia="Times New Roman"/>
        </w:rPr>
      </w:pPr>
      <w:r>
        <w:rPr/>
        <w:t>第十条</w:t>
        <w:tab/>
        <w:t>合同效力恢复</w:t>
        <w:tab/>
      </w:r>
      <w:r>
        <w:rPr>
          <w:rFonts w:ascii="Times New Roman" w:eastAsia="Times New Roman"/>
        </w:rPr>
        <w:t>4</w:t>
      </w:r>
    </w:p>
    <w:p>
      <w:pPr>
        <w:pStyle w:val="BodyText"/>
        <w:tabs>
          <w:tab w:pos="1737" w:val="left" w:leader="none"/>
          <w:tab w:pos="8413" w:val="right" w:leader="dot"/>
        </w:tabs>
        <w:spacing w:before="21"/>
        <w:ind w:left="537"/>
        <w:rPr>
          <w:rFonts w:ascii="Times New Roman" w:eastAsia="Times New Roman"/>
        </w:rPr>
      </w:pPr>
      <w:r>
        <w:rPr/>
        <w:t>第十一条</w:t>
        <w:tab/>
        <w:t>投保人解除合同</w:t>
        <w:tab/>
      </w:r>
      <w:r>
        <w:rPr>
          <w:rFonts w:ascii="Times New Roman" w:eastAsia="Times New Roman"/>
        </w:rPr>
        <w:t>4</w:t>
      </w:r>
    </w:p>
    <w:p>
      <w:pPr>
        <w:pStyle w:val="BodyText"/>
        <w:tabs>
          <w:tab w:pos="1377" w:val="left" w:leader="none"/>
          <w:tab w:pos="8419" w:val="right" w:leader="dot"/>
        </w:tabs>
        <w:spacing w:before="21"/>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413" w:val="right" w:leader="dot"/>
        </w:tabs>
        <w:spacing w:before="21"/>
        <w:ind w:left="537"/>
        <w:rPr>
          <w:rFonts w:ascii="Times New Roman" w:eastAsia="Times New Roman"/>
        </w:rPr>
      </w:pPr>
      <w:r>
        <w:rPr/>
        <w:t>第十二条</w:t>
        <w:tab/>
        <w:t>保险事故通知</w:t>
        <w:tab/>
      </w:r>
      <w:r>
        <w:rPr>
          <w:rFonts w:ascii="Times New Roman" w:eastAsia="Times New Roman"/>
        </w:rPr>
        <w:t>4</w:t>
      </w:r>
    </w:p>
    <w:p>
      <w:pPr>
        <w:pStyle w:val="BodyText"/>
        <w:tabs>
          <w:tab w:pos="1737" w:val="left" w:leader="none"/>
          <w:tab w:pos="8413" w:val="right" w:leader="dot"/>
        </w:tabs>
        <w:spacing w:before="21"/>
        <w:ind w:left="537"/>
        <w:rPr>
          <w:rFonts w:ascii="Times New Roman" w:eastAsia="Times New Roman"/>
        </w:rPr>
      </w:pPr>
      <w:r>
        <w:rPr/>
        <w:t>第十三条</w:t>
        <w:tab/>
        <w:t>诉讼时效</w:t>
        <w:tab/>
      </w:r>
      <w:r>
        <w:rPr>
          <w:rFonts w:ascii="Times New Roman" w:eastAsia="Times New Roman"/>
        </w:rPr>
        <w:t>5</w:t>
      </w:r>
    </w:p>
    <w:p>
      <w:pPr>
        <w:pStyle w:val="BodyText"/>
        <w:tabs>
          <w:tab w:pos="1737" w:val="left" w:leader="none"/>
          <w:tab w:pos="8413" w:val="right" w:leader="dot"/>
        </w:tabs>
        <w:spacing w:before="21"/>
        <w:ind w:left="537"/>
        <w:rPr>
          <w:rFonts w:ascii="Times New Roman" w:eastAsia="Times New Roman"/>
        </w:rPr>
      </w:pPr>
      <w:r>
        <w:rPr/>
        <w:t>第十四条</w:t>
        <w:tab/>
        <w:t>保险金申请</w:t>
        <w:tab/>
      </w:r>
      <w:r>
        <w:rPr>
          <w:rFonts w:ascii="Times New Roman" w:eastAsia="Times New Roman"/>
        </w:rPr>
        <w:t>5</w:t>
      </w:r>
    </w:p>
    <w:p>
      <w:pPr>
        <w:pStyle w:val="BodyText"/>
        <w:tabs>
          <w:tab w:pos="1737" w:val="left" w:leader="none"/>
          <w:tab w:pos="8413" w:val="right" w:leader="dot"/>
        </w:tabs>
        <w:spacing w:before="21"/>
        <w:ind w:left="537"/>
        <w:rPr>
          <w:rFonts w:ascii="Times New Roman" w:eastAsia="Times New Roman"/>
        </w:rPr>
      </w:pPr>
      <w:r>
        <w:rPr/>
        <w:t>第十五条</w:t>
        <w:tab/>
        <w:t>保险金给付</w:t>
        <w:tab/>
      </w:r>
      <w:r>
        <w:rPr>
          <w:rFonts w:ascii="Times New Roman" w:eastAsia="Times New Roman"/>
        </w:rPr>
        <w:t>5</w:t>
      </w:r>
    </w:p>
    <w:p>
      <w:pPr>
        <w:pStyle w:val="BodyText"/>
        <w:tabs>
          <w:tab w:pos="1737" w:val="left" w:leader="none"/>
          <w:tab w:pos="8413" w:val="right" w:leader="dot"/>
        </w:tabs>
        <w:spacing w:before="21"/>
        <w:ind w:left="537"/>
        <w:rPr>
          <w:rFonts w:ascii="Times New Roman" w:eastAsia="Times New Roman"/>
        </w:rPr>
      </w:pPr>
      <w:r>
        <w:rPr/>
        <w:t>第十六条</w:t>
        <w:tab/>
        <w:t>失踪处理</w:t>
        <w:tab/>
      </w:r>
      <w:r>
        <w:rPr>
          <w:rFonts w:ascii="Times New Roman" w:eastAsia="Times New Roman"/>
        </w:rPr>
        <w:t>5</w:t>
      </w:r>
    </w:p>
    <w:p>
      <w:pPr>
        <w:pStyle w:val="BodyText"/>
        <w:tabs>
          <w:tab w:pos="1377" w:val="left" w:leader="none"/>
          <w:tab w:pos="8419" w:val="right" w:leader="dot"/>
        </w:tabs>
        <w:spacing w:before="21"/>
        <w:rPr>
          <w:rFonts w:ascii="Times New Roman" w:eastAsia="Times New Roman"/>
          <w:b/>
        </w:rPr>
      </w:pPr>
      <w:r>
        <w:rPr/>
        <w:t>第六章</w:t>
        <w:tab/>
        <w:t>一般条款</w:t>
        <w:tab/>
      </w:r>
      <w:r>
        <w:rPr>
          <w:rFonts w:ascii="Times New Roman" w:eastAsia="Times New Roman"/>
          <w:b/>
        </w:rPr>
        <w:t>6</w:t>
      </w:r>
    </w:p>
    <w:p>
      <w:pPr>
        <w:pStyle w:val="BodyText"/>
        <w:tabs>
          <w:tab w:pos="1737" w:val="left" w:leader="none"/>
          <w:tab w:pos="8413" w:val="right" w:leader="dot"/>
        </w:tabs>
        <w:spacing w:before="21"/>
        <w:ind w:left="537"/>
        <w:rPr>
          <w:rFonts w:ascii="Times New Roman" w:eastAsia="Times New Roman"/>
        </w:rPr>
      </w:pPr>
      <w:r>
        <w:rPr/>
        <w:t>第十七条</w:t>
        <w:tab/>
        <w:t>如实告知</w:t>
        <w:tab/>
      </w:r>
      <w:r>
        <w:rPr>
          <w:rFonts w:ascii="Times New Roman" w:eastAsia="Times New Roman"/>
        </w:rPr>
        <w:t>6</w:t>
      </w:r>
    </w:p>
    <w:p>
      <w:pPr>
        <w:pStyle w:val="BodyText"/>
        <w:tabs>
          <w:tab w:pos="1737" w:val="left" w:leader="none"/>
          <w:tab w:pos="8413" w:val="right" w:leader="dot"/>
        </w:tabs>
        <w:spacing w:before="21"/>
        <w:ind w:left="537"/>
        <w:rPr>
          <w:rFonts w:ascii="Times New Roman" w:eastAsia="Times New Roman"/>
        </w:rPr>
      </w:pPr>
      <w:r>
        <w:rPr/>
        <w:t>第十八条</w:t>
        <w:tab/>
        <w:t>年龄确定及错误处理</w:t>
        <w:tab/>
      </w:r>
      <w:r>
        <w:rPr>
          <w:rFonts w:ascii="Times New Roman" w:eastAsia="Times New Roman"/>
        </w:rPr>
        <w:t>6</w:t>
      </w:r>
    </w:p>
    <w:p>
      <w:pPr>
        <w:pStyle w:val="BodyText"/>
        <w:tabs>
          <w:tab w:pos="1737" w:val="left" w:leader="none"/>
          <w:tab w:pos="8413" w:val="right" w:leader="dot"/>
        </w:tabs>
        <w:spacing w:before="21"/>
        <w:ind w:left="537"/>
        <w:rPr>
          <w:rFonts w:ascii="Times New Roman" w:eastAsia="Times New Roman"/>
        </w:rPr>
      </w:pPr>
      <w:r>
        <w:rPr/>
        <w:t>第十九条</w:t>
        <w:tab/>
        <w:t>犹豫期</w:t>
        <w:tab/>
      </w:r>
      <w:r>
        <w:rPr>
          <w:rFonts w:ascii="Times New Roman" w:eastAsia="Times New Roman"/>
        </w:rPr>
        <w:t>6</w:t>
      </w:r>
    </w:p>
    <w:p>
      <w:pPr>
        <w:pStyle w:val="BodyText"/>
        <w:tabs>
          <w:tab w:pos="1737" w:val="left" w:leader="none"/>
          <w:tab w:pos="8413" w:val="right" w:leader="dot"/>
        </w:tabs>
        <w:spacing w:before="21"/>
        <w:ind w:left="537"/>
        <w:rPr>
          <w:rFonts w:ascii="Times New Roman" w:eastAsia="Times New Roman"/>
        </w:rPr>
      </w:pPr>
      <w:r>
        <w:rPr/>
        <w:t>第二十条</w:t>
        <w:tab/>
        <w:t>受益人指定与变更</w:t>
        <w:tab/>
      </w:r>
      <w:r>
        <w:rPr>
          <w:rFonts w:ascii="Times New Roman" w:eastAsia="Times New Roman"/>
        </w:rPr>
        <w:t>6</w:t>
      </w:r>
    </w:p>
    <w:p>
      <w:pPr>
        <w:pStyle w:val="BodyText"/>
        <w:tabs>
          <w:tab w:pos="8413" w:val="right" w:leader="dot"/>
        </w:tabs>
        <w:spacing w:before="21"/>
        <w:ind w:left="537"/>
        <w:rPr>
          <w:rFonts w:ascii="Times New Roman" w:eastAsia="Times New Roman"/>
        </w:rPr>
      </w:pPr>
      <w:r>
        <w:rPr/>
        <w:t>第二十一条</w:t>
      </w:r>
      <w:r>
        <w:rPr>
          <w:spacing w:val="45"/>
        </w:rPr>
        <w:t> </w:t>
      </w:r>
      <w:r>
        <w:rPr/>
        <w:t>合同内容变更</w:t>
        <w:tab/>
      </w:r>
      <w:r>
        <w:rPr>
          <w:rFonts w:ascii="Times New Roman" w:eastAsia="Times New Roman"/>
        </w:rPr>
        <w:t>7</w:t>
      </w:r>
    </w:p>
    <w:p>
      <w:pPr>
        <w:pStyle w:val="BodyText"/>
        <w:tabs>
          <w:tab w:pos="8413" w:val="right" w:leader="dot"/>
        </w:tabs>
        <w:spacing w:before="21"/>
        <w:ind w:left="537"/>
        <w:rPr>
          <w:rFonts w:ascii="Times New Roman" w:eastAsia="Times New Roman"/>
        </w:rPr>
      </w:pPr>
      <w:r>
        <w:rPr/>
        <w:t>第二十二条</w:t>
      </w:r>
      <w:r>
        <w:rPr>
          <w:spacing w:val="45"/>
        </w:rPr>
        <w:t> </w:t>
      </w:r>
      <w:r>
        <w:rPr/>
        <w:t>通讯地址变更</w:t>
        <w:tab/>
      </w:r>
      <w:r>
        <w:rPr>
          <w:rFonts w:ascii="Times New Roman" w:eastAsia="Times New Roman"/>
        </w:rPr>
        <w:t>7</w:t>
      </w:r>
    </w:p>
    <w:p>
      <w:pPr>
        <w:pStyle w:val="BodyText"/>
        <w:tabs>
          <w:tab w:pos="8413" w:val="right" w:leader="dot"/>
        </w:tabs>
        <w:spacing w:before="21"/>
        <w:ind w:left="537"/>
        <w:rPr>
          <w:rFonts w:ascii="Times New Roman" w:eastAsia="Times New Roman"/>
        </w:rPr>
      </w:pPr>
      <w:r>
        <w:rPr/>
        <w:t>第二十三条</w:t>
      </w:r>
      <w:r>
        <w:rPr>
          <w:spacing w:val="45"/>
        </w:rPr>
        <w:t> </w:t>
      </w:r>
      <w:r>
        <w:rPr/>
        <w:t>司法鉴定</w:t>
        <w:tab/>
      </w:r>
      <w:r>
        <w:rPr>
          <w:rFonts w:ascii="Times New Roman" w:eastAsia="Times New Roman"/>
        </w:rPr>
        <w:t>7</w:t>
      </w:r>
    </w:p>
    <w:p>
      <w:pPr>
        <w:pStyle w:val="BodyText"/>
        <w:tabs>
          <w:tab w:pos="8413" w:val="right" w:leader="dot"/>
        </w:tabs>
        <w:spacing w:before="21"/>
        <w:ind w:left="537"/>
        <w:rPr>
          <w:rFonts w:ascii="Times New Roman" w:eastAsia="Times New Roman"/>
        </w:rPr>
      </w:pPr>
      <w:r>
        <w:rPr/>
        <w:t>第二十四条</w:t>
      </w:r>
      <w:r>
        <w:rPr>
          <w:spacing w:val="45"/>
        </w:rPr>
        <w:t> </w:t>
      </w:r>
      <w:r>
        <w:rPr/>
        <w:t>争议处理</w:t>
        <w:tab/>
      </w:r>
      <w:r>
        <w:rPr>
          <w:rFonts w:ascii="Times New Roman" w:eastAsia="Times New Roman"/>
        </w:rPr>
        <w:t>7</w:t>
      </w:r>
    </w:p>
    <w:p>
      <w:pPr>
        <w:pStyle w:val="BodyText"/>
        <w:tabs>
          <w:tab w:pos="1377" w:val="left" w:leader="none"/>
          <w:tab w:pos="8418" w:val="right" w:leader="dot"/>
        </w:tabs>
        <w:spacing w:before="21"/>
        <w:rPr>
          <w:rFonts w:ascii="Times New Roman" w:eastAsia="Times New Roman"/>
          <w:b/>
        </w:rPr>
      </w:pPr>
      <w:r>
        <w:rPr/>
        <w:t>第七章</w:t>
        <w:tab/>
        <w:t>附表</w:t>
        <w:tab/>
      </w:r>
      <w:r>
        <w:rPr>
          <w:rFonts w:ascii="Times New Roman" w:eastAsia="Times New Roman"/>
          <w:b/>
        </w:rPr>
        <w:t>7</w:t>
      </w:r>
    </w:p>
    <w:p>
      <w:pPr>
        <w:pStyle w:val="BodyText"/>
        <w:tabs>
          <w:tab w:pos="8413" w:val="right" w:leader="dot"/>
        </w:tabs>
        <w:spacing w:before="21"/>
        <w:ind w:left="537"/>
        <w:rPr>
          <w:rFonts w:ascii="Times New Roman" w:eastAsia="Times New Roman"/>
        </w:rPr>
      </w:pPr>
      <w:r>
        <w:rPr/>
        <w:t>附表：重大疾病种类表</w:t>
        <w:tab/>
      </w:r>
      <w:r>
        <w:rPr>
          <w:rFonts w:ascii="Times New Roman" w:eastAsia="Times New Roman"/>
        </w:rPr>
        <w:t>7</w:t>
      </w:r>
    </w:p>
    <w:p>
      <w:pPr>
        <w:spacing w:after="0"/>
        <w:rPr>
          <w:rFonts w:ascii="Times New Roman" w:eastAsia="Times New Roman"/>
        </w:rPr>
        <w:sectPr>
          <w:type w:val="continuous"/>
          <w:pgSz w:w="11900" w:h="16840"/>
          <w:pgMar w:top="1320" w:bottom="1340" w:left="1680" w:right="1520"/>
        </w:sectPr>
      </w:pPr>
    </w:p>
    <w:p>
      <w:pPr>
        <w:pStyle w:val="BodyText"/>
        <w:spacing w:line="273" w:lineRule="auto" w:before="25"/>
        <w:ind w:right="187"/>
      </w:pPr>
      <w:r>
        <w:rPr>
          <w:spacing w:val="-7"/>
        </w:rPr>
        <w:t>在本条款中，“您”指投保人，“我们”、“本公司”均指长生人寿保险有限公司, “本合同”指您与我们之间订立的《长生康泰宝定期重大疾病保险》合同。 </w:t>
      </w:r>
    </w:p>
    <w:p>
      <w:pPr>
        <w:pStyle w:val="BodyText"/>
        <w:spacing w:before="7"/>
      </w:pPr>
      <w:r>
        <w:rPr/>
        <w:t> </w:t>
      </w:r>
    </w:p>
    <w:p>
      <w:pPr>
        <w:spacing w:after="0"/>
        <w:sectPr>
          <w:pgSz w:w="11900" w:h="16840"/>
          <w:pgMar w:header="0" w:footer="1140" w:top="1400" w:bottom="1340" w:left="1680" w:right="1600"/>
        </w:sectPr>
      </w:pPr>
    </w:p>
    <w:p>
      <w:pPr>
        <w:pStyle w:val="BodyText"/>
        <w:tabs>
          <w:tab w:pos="1377" w:val="left" w:leader="none"/>
        </w:tabs>
        <w:spacing w:before="660"/>
      </w:pPr>
      <w:r>
        <w:rPr/>
        <w:t>第一条</w:t>
        <w:tab/>
        <w:t>保险合同构成 </w:t>
      </w:r>
    </w:p>
    <w:p>
      <w:pPr>
        <w:pStyle w:val="BodyText"/>
        <w:spacing w:before="36"/>
        <w:ind w:left="-29" w:right="2826"/>
        <w:jc w:val="center"/>
      </w:pPr>
      <w:r>
        <w:rPr/>
        <w:br w:type="column"/>
      </w:r>
      <w:r>
        <w:rPr>
          <w:spacing w:val="-3"/>
        </w:rPr>
        <w:t>第一章 保险合同构成及投保范围</w:t>
      </w:r>
    </w:p>
    <w:p>
      <w:pPr>
        <w:pStyle w:val="BodyText"/>
        <w:spacing w:before="36"/>
        <w:ind w:left="0" w:right="2749"/>
        <w:jc w:val="center"/>
      </w:pPr>
      <w:r>
        <w:rPr/>
        <w:t> </w:t>
      </w:r>
    </w:p>
    <w:p>
      <w:pPr>
        <w:spacing w:after="0"/>
        <w:jc w:val="center"/>
        <w:sectPr>
          <w:type w:val="continuous"/>
          <w:pgSz w:w="11900" w:h="16840"/>
          <w:pgMar w:top="1320" w:bottom="1340" w:left="1680" w:right="1600"/>
          <w:cols w:num="2" w:equalWidth="0">
            <w:col w:w="2743" w:space="40"/>
            <w:col w:w="5837"/>
          </w:cols>
        </w:sectPr>
      </w:pPr>
    </w:p>
    <w:p>
      <w:pPr>
        <w:pStyle w:val="BodyText"/>
        <w:spacing w:line="273" w:lineRule="auto" w:before="36"/>
        <w:ind w:right="100"/>
      </w:pPr>
      <w:r>
        <w:rPr/>
        <w:t>本合同由保险单及其所附条款、声明、批注，以及与本合同有关的投保单、其他投保文件、体检报告书、效力恢复申请书及其他约定书共同构成。 </w:t>
      </w:r>
    </w:p>
    <w:p>
      <w:pPr>
        <w:pStyle w:val="BodyText"/>
        <w:spacing w:before="7"/>
      </w:pPr>
      <w:r>
        <w:rPr/>
        <w:t> </w:t>
      </w:r>
    </w:p>
    <w:p>
      <w:pPr>
        <w:pStyle w:val="BodyText"/>
        <w:tabs>
          <w:tab w:pos="1377" w:val="left" w:leader="none"/>
        </w:tabs>
      </w:pPr>
      <w:r>
        <w:rPr/>
        <w:t>第二条</w:t>
        <w:tab/>
        <w:t>投保范围 </w:t>
      </w:r>
    </w:p>
    <w:p>
      <w:pPr>
        <w:pStyle w:val="BodyText"/>
      </w:pPr>
      <w:r>
        <w:rPr/>
        <w:t>本合同接受的被保险人的投保年龄为十八周岁至五十五周岁。 </w:t>
      </w:r>
    </w:p>
    <w:p>
      <w:pPr>
        <w:pStyle w:val="BodyText"/>
      </w:pPr>
      <w:r>
        <w:rPr/>
        <w:t> </w:t>
      </w:r>
    </w:p>
    <w:p>
      <w:pPr>
        <w:pStyle w:val="BodyText"/>
        <w:ind w:left="2993" w:right="2961"/>
        <w:jc w:val="center"/>
      </w:pPr>
      <w:r>
        <w:rPr/>
        <w:t>第二章 保险责任及责任免除 </w:t>
      </w:r>
    </w:p>
    <w:p>
      <w:pPr>
        <w:pStyle w:val="BodyText"/>
      </w:pPr>
      <w:r>
        <w:rPr/>
        <w:t> </w:t>
      </w:r>
    </w:p>
    <w:p>
      <w:pPr>
        <w:pStyle w:val="BodyText"/>
        <w:tabs>
          <w:tab w:pos="1377" w:val="left" w:leader="none"/>
        </w:tabs>
        <w:spacing w:line="273" w:lineRule="auto"/>
        <w:ind w:right="6295"/>
      </w:pPr>
      <w:r>
        <w:rPr/>
        <w:t>第三条</w:t>
        <w:tab/>
        <w:t>保险责任 一、身故保险金 </w:t>
      </w:r>
    </w:p>
    <w:p>
      <w:pPr>
        <w:pStyle w:val="BodyText"/>
        <w:spacing w:line="273" w:lineRule="auto" w:before="7"/>
        <w:ind w:right="189"/>
      </w:pPr>
      <w:r>
        <w:rPr>
          <w:spacing w:val="-5"/>
        </w:rPr>
        <w:t>若被保险人在本合同有效期内身故，我们按本合同的基本保险金额给付身故保险金，本合同终止。 </w:t>
      </w:r>
    </w:p>
    <w:p>
      <w:pPr>
        <w:pStyle w:val="BodyText"/>
        <w:spacing w:before="7"/>
      </w:pPr>
      <w:r>
        <w:rPr/>
        <w:t>二、重大疾病保险金 </w:t>
      </w:r>
    </w:p>
    <w:p>
      <w:pPr>
        <w:pStyle w:val="BodyText"/>
        <w:spacing w:line="273" w:lineRule="auto"/>
        <w:ind w:right="186"/>
        <w:jc w:val="both"/>
      </w:pPr>
      <w:r>
        <w:rPr/>
        <w:t>若本合同有效，且被保险人于等待期后经我们指定或认可的医院</w:t>
      </w:r>
      <w:r>
        <w:rPr>
          <w:b/>
          <w:position w:val="11"/>
          <w:sz w:val="11"/>
        </w:rPr>
        <w:t>1</w:t>
      </w:r>
      <w:r>
        <w:rPr/>
        <w:t>确诊，并由我们确认初次患有本合同所定义的重大疾病</w:t>
      </w:r>
      <w:r>
        <w:rPr>
          <w:b/>
          <w:spacing w:val="-6"/>
          <w:position w:val="11"/>
          <w:sz w:val="11"/>
        </w:rPr>
        <w:t>2</w:t>
      </w:r>
      <w:r>
        <w:rPr>
          <w:spacing w:val="-6"/>
        </w:rPr>
        <w:t>（</w:t>
      </w:r>
      <w:r>
        <w:rPr/>
        <w:t>无论一种或多种</w:t>
      </w:r>
      <w:r>
        <w:rPr>
          <w:spacing w:val="-63"/>
        </w:rPr>
        <w:t>）</w:t>
      </w:r>
      <w:r>
        <w:rPr>
          <w:spacing w:val="-10"/>
        </w:rPr>
        <w:t>，我们按本合同的基本保险金额给付重大</w:t>
      </w:r>
      <w:r>
        <w:rPr/>
        <w:t>疾病保险金，本合同终止。 </w:t>
      </w:r>
    </w:p>
    <w:p>
      <w:pPr>
        <w:pStyle w:val="BodyText"/>
        <w:spacing w:before="7"/>
        <w:jc w:val="both"/>
      </w:pPr>
      <w:r>
        <w:rPr/>
        <w:t>除本合同另有约定外，等待期为自本合同生效日或复效日（以较迟者为准）起九十天。 </w:t>
      </w:r>
    </w:p>
    <w:p>
      <w:pPr>
        <w:pStyle w:val="BodyText"/>
        <w:spacing w:before="8"/>
        <w:ind w:left="0"/>
        <w:rPr>
          <w:sz w:val="26"/>
        </w:rPr>
      </w:pPr>
    </w:p>
    <w:p>
      <w:pPr>
        <w:pStyle w:val="BodyText"/>
        <w:spacing w:before="0"/>
        <w:jc w:val="both"/>
        <w:rPr>
          <w:rFonts w:ascii="黑体" w:eastAsia="黑体" w:hint="eastAsia"/>
        </w:rPr>
      </w:pPr>
      <w:r>
        <w:rPr/>
        <w:t>第四条      </w:t>
      </w:r>
      <w:r>
        <w:rPr>
          <w:rFonts w:ascii="黑体" w:eastAsia="黑体" w:hint="eastAsia"/>
        </w:rPr>
        <w:t>责任免除</w:t>
      </w:r>
    </w:p>
    <w:p>
      <w:pPr>
        <w:pStyle w:val="BodyText"/>
        <w:jc w:val="both"/>
        <w:rPr>
          <w:rFonts w:ascii="黑体" w:eastAsia="黑体" w:hint="eastAsia"/>
        </w:rPr>
      </w:pPr>
      <w:r>
        <w:rPr>
          <w:rFonts w:ascii="黑体" w:eastAsia="黑体" w:hint="eastAsia"/>
        </w:rPr>
        <w:t>一、 被保险人因下列情形之一而身故，我们不承担给付保险金的责任：</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被保险人主动吸食或注射毒品</w:t>
      </w:r>
      <w:r>
        <w:rPr>
          <w:rFonts w:ascii="黑体" w:eastAsia="黑体" w:hint="eastAsia"/>
          <w:b/>
          <w:w w:val="95"/>
          <w:position w:val="11"/>
          <w:sz w:val="11"/>
        </w:rPr>
        <w:t>3</w:t>
      </w:r>
      <w:r>
        <w:rPr>
          <w:rFonts w:ascii="黑体" w:eastAsia="黑体" w:hint="eastAsia"/>
          <w:w w:val="95"/>
          <w:sz w:val="21"/>
        </w:rPr>
        <w:t>；</w:t>
      </w:r>
    </w:p>
    <w:p>
      <w:pPr>
        <w:pStyle w:val="ListParagraph"/>
        <w:numPr>
          <w:ilvl w:val="0"/>
          <w:numId w:val="1"/>
        </w:numPr>
        <w:tabs>
          <w:tab w:pos="658" w:val="left" w:leader="none"/>
        </w:tabs>
        <w:spacing w:line="273" w:lineRule="auto" w:before="37" w:after="0"/>
        <w:ind w:left="657" w:right="189" w:hanging="360"/>
        <w:jc w:val="left"/>
        <w:rPr>
          <w:rFonts w:ascii="黑体" w:eastAsia="黑体" w:hint="eastAsia"/>
          <w:sz w:val="21"/>
        </w:rPr>
      </w:pPr>
      <w:r>
        <w:rPr>
          <w:rFonts w:ascii="黑体" w:eastAsia="黑体" w:hint="eastAsia"/>
          <w:sz w:val="21"/>
        </w:rPr>
        <w:t>被保险人自本合同成立日起二年内或本合同最后复效日起二年内自杀，但被保险人自杀时为无民事行为能力人的除外；</w:t>
      </w: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2"/>
        <w:ind w:left="0"/>
        <w:rPr>
          <w:rFonts w:ascii="黑体"/>
          <w:sz w:val="13"/>
        </w:rPr>
      </w:pPr>
      <w:r>
        <w:rPr/>
        <w:pict>
          <v:line style="position:absolute;mso-position-horizontal-relative:page;mso-position-vertical-relative:paragraph;z-index:1048;mso-wrap-distance-left:0;mso-wrap-distance-right:0" from="89.879997pt,10.855846pt" to="233.879997pt,10.855846pt" stroked="true" strokeweight=".53999pt" strokecolor="#000000">
            <v:stroke dashstyle="solid"/>
            <w10:wrap type="topAndBottom"/>
          </v:line>
        </w:pict>
      </w:r>
    </w:p>
    <w:p>
      <w:pPr>
        <w:spacing w:line="234" w:lineRule="exact" w:before="31"/>
        <w:ind w:left="117" w:right="0" w:firstLine="0"/>
        <w:jc w:val="both"/>
        <w:rPr>
          <w:sz w:val="18"/>
        </w:rPr>
      </w:pPr>
      <w:r>
        <w:rPr>
          <w:rFonts w:ascii="Times New Roman" w:eastAsia="Times New Roman"/>
          <w:position w:val="8"/>
          <w:sz w:val="12"/>
        </w:rPr>
        <w:t>1  </w:t>
      </w:r>
      <w:r>
        <w:rPr>
          <w:sz w:val="18"/>
        </w:rPr>
        <w:t>医院：是指符合下列所有条件之机构：</w:t>
      </w:r>
    </w:p>
    <w:p>
      <w:pPr>
        <w:pStyle w:val="ListParagraph"/>
        <w:numPr>
          <w:ilvl w:val="0"/>
          <w:numId w:val="2"/>
        </w:numPr>
        <w:tabs>
          <w:tab w:pos="658" w:val="left" w:leader="none"/>
        </w:tabs>
        <w:spacing w:line="233" w:lineRule="exact" w:before="0" w:after="0"/>
        <w:ind w:left="657" w:right="0" w:hanging="360"/>
        <w:jc w:val="left"/>
        <w:rPr>
          <w:sz w:val="18"/>
        </w:rPr>
      </w:pPr>
      <w:r>
        <w:rPr>
          <w:sz w:val="18"/>
        </w:rPr>
        <w:t>拥有合法经营执照； </w:t>
      </w:r>
    </w:p>
    <w:p>
      <w:pPr>
        <w:pStyle w:val="ListParagraph"/>
        <w:numPr>
          <w:ilvl w:val="0"/>
          <w:numId w:val="2"/>
        </w:numPr>
        <w:tabs>
          <w:tab w:pos="658" w:val="left" w:leader="none"/>
        </w:tabs>
        <w:spacing w:line="233" w:lineRule="exact" w:before="0" w:after="0"/>
        <w:ind w:left="657" w:right="0" w:hanging="360"/>
        <w:jc w:val="left"/>
        <w:rPr>
          <w:sz w:val="18"/>
        </w:rPr>
      </w:pPr>
      <w:r>
        <w:rPr>
          <w:sz w:val="18"/>
        </w:rPr>
        <w:t>设立的主要目的为向受伤者或患病者提供住院治疗； </w:t>
      </w:r>
    </w:p>
    <w:p>
      <w:pPr>
        <w:pStyle w:val="ListParagraph"/>
        <w:numPr>
          <w:ilvl w:val="0"/>
          <w:numId w:val="2"/>
        </w:numPr>
        <w:tabs>
          <w:tab w:pos="658" w:val="left" w:leader="none"/>
        </w:tabs>
        <w:spacing w:line="233" w:lineRule="exact" w:before="0" w:after="0"/>
        <w:ind w:left="657" w:right="0" w:hanging="360"/>
        <w:jc w:val="left"/>
        <w:rPr>
          <w:sz w:val="18"/>
        </w:rPr>
      </w:pPr>
      <w:r>
        <w:rPr>
          <w:sz w:val="18"/>
        </w:rPr>
        <w:t>有合格的医生或护士提供全日二十四小时的医疗和护理服务； </w:t>
      </w:r>
    </w:p>
    <w:p>
      <w:pPr>
        <w:pStyle w:val="ListParagraph"/>
        <w:numPr>
          <w:ilvl w:val="0"/>
          <w:numId w:val="2"/>
        </w:numPr>
        <w:tabs>
          <w:tab w:pos="658" w:val="left" w:leader="none"/>
        </w:tabs>
        <w:spacing w:line="237" w:lineRule="auto" w:before="2" w:after="0"/>
        <w:ind w:left="657" w:right="220" w:hanging="360"/>
        <w:jc w:val="left"/>
        <w:rPr>
          <w:sz w:val="18"/>
        </w:rPr>
      </w:pPr>
      <w:r>
        <w:rPr>
          <w:sz w:val="18"/>
        </w:rPr>
        <w:t>具有系统性诊疗等程序或手术设备并经中华人民共和国卫生部指定的二级或二级以上综合性医院和专科医院，但不包括观察室、联合病房和康复病房； </w:t>
      </w:r>
    </w:p>
    <w:p>
      <w:pPr>
        <w:pStyle w:val="ListParagraph"/>
        <w:numPr>
          <w:ilvl w:val="0"/>
          <w:numId w:val="2"/>
        </w:numPr>
        <w:tabs>
          <w:tab w:pos="658" w:val="left" w:leader="none"/>
        </w:tabs>
        <w:spacing w:line="233" w:lineRule="exact" w:before="0" w:after="0"/>
        <w:ind w:left="657" w:right="0" w:hanging="360"/>
        <w:jc w:val="left"/>
        <w:rPr>
          <w:sz w:val="18"/>
        </w:rPr>
      </w:pPr>
      <w:r>
        <w:rPr>
          <w:sz w:val="18"/>
        </w:rPr>
        <w:t>非主要作为康复、护理、疗养、戒酒、戒毒或类似的医疗机构。 </w:t>
      </w:r>
    </w:p>
    <w:p>
      <w:pPr>
        <w:spacing w:line="233" w:lineRule="exact" w:before="0"/>
        <w:ind w:left="117" w:right="0" w:firstLine="0"/>
        <w:jc w:val="left"/>
        <w:rPr>
          <w:sz w:val="18"/>
        </w:rPr>
      </w:pPr>
      <w:r>
        <w:rPr>
          <w:rFonts w:ascii="Times New Roman" w:eastAsia="Times New Roman"/>
          <w:position w:val="8"/>
          <w:sz w:val="12"/>
        </w:rPr>
        <w:t>2  </w:t>
      </w:r>
      <w:r>
        <w:rPr>
          <w:sz w:val="18"/>
        </w:rPr>
        <w:t>重大疾病：重大疾病种类见附表。</w:t>
      </w:r>
    </w:p>
    <w:p>
      <w:pPr>
        <w:spacing w:line="237" w:lineRule="auto" w:before="1"/>
        <w:ind w:left="117" w:right="189" w:hanging="1"/>
        <w:jc w:val="both"/>
        <w:rPr>
          <w:sz w:val="18"/>
        </w:rPr>
      </w:pPr>
      <w:r>
        <w:rPr>
          <w:rFonts w:ascii="Times New Roman" w:eastAsia="Times New Roman"/>
          <w:position w:val="8"/>
          <w:sz w:val="12"/>
        </w:rPr>
        <w:t>3 </w:t>
      </w:r>
      <w:r>
        <w:rPr>
          <w:spacing w:val="-5"/>
          <w:sz w:val="18"/>
        </w:rPr>
        <w:t>毒品：指中华人民共和国刑法规定的鸦片、海洛因、甲基苯丙胺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、吗啡、大麻、可卡因以及国家规定管制的其他能够使人形成瘾癖的麻醉药品和精神药品，但不包括由医生开具并遵医嘱使用的用于治疗疾病但含有毒品成分的处方药品。</w:t>
      </w:r>
    </w:p>
    <w:p>
      <w:pPr>
        <w:spacing w:after="0" w:line="237" w:lineRule="auto"/>
        <w:jc w:val="both"/>
        <w:rPr>
          <w:sz w:val="18"/>
        </w:rPr>
        <w:sectPr>
          <w:type w:val="continuous"/>
          <w:pgSz w:w="11900" w:h="16840"/>
          <w:pgMar w:top="1320" w:bottom="1340" w:left="1680" w:right="1600"/>
        </w:sectPr>
      </w:pPr>
    </w:p>
    <w:p>
      <w:pPr>
        <w:pStyle w:val="ListParagraph"/>
        <w:numPr>
          <w:ilvl w:val="0"/>
          <w:numId w:val="1"/>
        </w:numPr>
        <w:tabs>
          <w:tab w:pos="658" w:val="left" w:leader="none"/>
        </w:tabs>
        <w:spacing w:line="240" w:lineRule="auto" w:before="45" w:after="0"/>
        <w:ind w:left="657" w:right="0" w:hanging="360"/>
        <w:jc w:val="left"/>
        <w:rPr>
          <w:rFonts w:ascii="黑体" w:eastAsia="黑体" w:hint="eastAsia"/>
          <w:sz w:val="21"/>
        </w:rPr>
      </w:pPr>
      <w:r>
        <w:rPr>
          <w:rFonts w:ascii="黑体" w:eastAsia="黑体" w:hint="eastAsia"/>
          <w:sz w:val="21"/>
        </w:rPr>
        <w:t>被保险人酒后驾驶</w:t>
      </w:r>
      <w:r>
        <w:rPr>
          <w:rFonts w:ascii="黑体" w:eastAsia="黑体" w:hint="eastAsia"/>
          <w:b/>
          <w:position w:val="11"/>
          <w:sz w:val="11"/>
        </w:rPr>
        <w:t>4</w:t>
      </w:r>
      <w:r>
        <w:rPr>
          <w:rFonts w:ascii="黑体" w:eastAsia="黑体" w:hint="eastAsia"/>
          <w:spacing w:val="-7"/>
          <w:sz w:val="21"/>
        </w:rPr>
        <w:t>、无合法有效驾驶证驾驶</w:t>
      </w:r>
      <w:r>
        <w:rPr>
          <w:rFonts w:ascii="黑体" w:eastAsia="黑体" w:hint="eastAsia"/>
          <w:b/>
          <w:spacing w:val="-20"/>
          <w:position w:val="11"/>
          <w:sz w:val="11"/>
        </w:rPr>
        <w:t>5</w:t>
      </w:r>
      <w:r>
        <w:rPr>
          <w:rFonts w:ascii="黑体" w:eastAsia="黑体" w:hint="eastAsia"/>
          <w:spacing w:val="-5"/>
          <w:sz w:val="21"/>
        </w:rPr>
        <w:t>，或驾驶无有效行驶证</w:t>
      </w:r>
      <w:r>
        <w:rPr>
          <w:rFonts w:ascii="黑体" w:eastAsia="黑体" w:hint="eastAsia"/>
          <w:b/>
          <w:position w:val="11"/>
          <w:sz w:val="11"/>
        </w:rPr>
        <w:t>6</w:t>
      </w:r>
      <w:r>
        <w:rPr>
          <w:rFonts w:ascii="黑体" w:eastAsia="黑体" w:hint="eastAsia"/>
          <w:sz w:val="21"/>
        </w:rPr>
        <w:t>的机动交通工具；</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核爆炸、核辐射或核污染。</w:t>
      </w:r>
    </w:p>
    <w:p>
      <w:pPr>
        <w:pStyle w:val="BodyText"/>
        <w:spacing w:line="273" w:lineRule="auto"/>
        <w:ind w:right="209"/>
        <w:rPr>
          <w:rFonts w:ascii="黑体" w:eastAsia="黑体" w:hint="eastAsia"/>
        </w:rPr>
      </w:pPr>
      <w:r>
        <w:rPr>
          <w:rFonts w:ascii="黑体" w:eastAsia="黑体" w:hint="eastAsia"/>
        </w:rPr>
        <w:t>发Th</w:t>
      </w:r>
      <w:r>
        <w:rPr>
          <w:rFonts w:ascii="黑体" w:eastAsia="黑体" w:hint="eastAsia"/>
          <w:spacing w:val="-5"/>
        </w:rPr>
        <w:t>上述第一项情形导致被保险人身故的，本合同终止，我们向享有权利的受益人退还本合同的现金价值</w:t>
      </w:r>
      <w:r>
        <w:rPr>
          <w:rFonts w:ascii="黑体" w:eastAsia="黑体" w:hint="eastAsia"/>
          <w:b/>
          <w:spacing w:val="-5"/>
          <w:position w:val="11"/>
          <w:sz w:val="11"/>
        </w:rPr>
        <w:t>7</w:t>
      </w:r>
      <w:r>
        <w:rPr>
          <w:rFonts w:ascii="黑体" w:eastAsia="黑体" w:hint="eastAsia"/>
          <w:spacing w:val="-5"/>
        </w:rPr>
        <w:t>。</w:t>
      </w:r>
    </w:p>
    <w:p>
      <w:pPr>
        <w:pStyle w:val="BodyText"/>
        <w:spacing w:before="4"/>
        <w:rPr>
          <w:rFonts w:ascii="黑体" w:eastAsia="黑体" w:hint="eastAsia"/>
        </w:rPr>
      </w:pPr>
      <w:r>
        <w:rPr>
          <w:rFonts w:ascii="黑体" w:eastAsia="黑体" w:hint="eastAsia"/>
        </w:rPr>
        <w:t>发Th上述其他情形导致被保险人身故的，本合同终止，我们向您退还本合同的现金价值。</w:t>
      </w:r>
    </w:p>
    <w:p>
      <w:pPr>
        <w:pStyle w:val="BodyText"/>
        <w:spacing w:before="8"/>
        <w:ind w:left="0"/>
        <w:rPr>
          <w:rFonts w:ascii="黑体"/>
          <w:sz w:val="26"/>
        </w:rPr>
      </w:pPr>
    </w:p>
    <w:p>
      <w:pPr>
        <w:pStyle w:val="BodyText"/>
        <w:spacing w:line="273" w:lineRule="auto" w:before="0"/>
        <w:ind w:left="657" w:right="209" w:hanging="540"/>
        <w:rPr>
          <w:rFonts w:ascii="黑体" w:eastAsia="黑体" w:hint="eastAsia"/>
        </w:rPr>
      </w:pPr>
      <w:r>
        <w:rPr>
          <w:rFonts w:ascii="黑体" w:eastAsia="黑体" w:hint="eastAsia"/>
        </w:rPr>
        <w:t>二、 被保险人因下列情形之一导致发Th疾病、达到疾病状态或进行手术的，我们不承担给付重大疾病保险金的责任：</w:t>
      </w:r>
    </w:p>
    <w:p>
      <w:pPr>
        <w:pStyle w:val="ListParagraph"/>
        <w:numPr>
          <w:ilvl w:val="0"/>
          <w:numId w:val="3"/>
        </w:numPr>
        <w:tabs>
          <w:tab w:pos="658" w:val="left" w:leader="none"/>
        </w:tabs>
        <w:spacing w:line="240" w:lineRule="auto" w:before="7" w:after="0"/>
        <w:ind w:left="657" w:right="0" w:hanging="36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被保险人主动吸食或注射毒品；</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被保险人酒后驾驶、无合法有效驾驶证驾驶，或驾驶无有效行驶证的机动交通工具；</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核爆炸、核辐射或核污染；</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被保险人感染艾滋病病毒或患艾滋病</w:t>
      </w:r>
      <w:r>
        <w:rPr>
          <w:rFonts w:ascii="黑体" w:eastAsia="黑体" w:hint="eastAsia"/>
          <w:b/>
          <w:position w:val="11"/>
          <w:sz w:val="11"/>
        </w:rPr>
        <w:t>8</w:t>
      </w:r>
      <w:r>
        <w:rPr>
          <w:rFonts w:ascii="黑体" w:eastAsia="黑体" w:hint="eastAsia"/>
          <w:sz w:val="21"/>
        </w:rPr>
        <w:t>；</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遗传性疾病</w:t>
      </w:r>
      <w:r>
        <w:rPr>
          <w:rFonts w:ascii="黑体" w:eastAsia="黑体" w:hint="eastAsia"/>
          <w:b/>
          <w:position w:val="11"/>
          <w:sz w:val="11"/>
        </w:rPr>
        <w:t>9</w:t>
      </w:r>
      <w:r>
        <w:rPr>
          <w:rFonts w:ascii="黑体" w:eastAsia="黑体" w:hint="eastAsia"/>
          <w:sz w:val="21"/>
        </w:rPr>
        <w:t>，先天性畸形、变形或染色体异常</w:t>
      </w:r>
      <w:r>
        <w:rPr>
          <w:rFonts w:ascii="黑体" w:eastAsia="黑体" w:hint="eastAsia"/>
          <w:b/>
          <w:position w:val="11"/>
          <w:sz w:val="11"/>
        </w:rPr>
        <w:t>10</w:t>
      </w:r>
      <w:r>
        <w:rPr>
          <w:rFonts w:ascii="黑体" w:eastAsia="黑体" w:hint="eastAsia"/>
          <w:sz w:val="21"/>
        </w:rPr>
        <w:t>。</w:t>
      </w:r>
    </w:p>
    <w:p>
      <w:pPr>
        <w:spacing w:after="0" w:line="240" w:lineRule="auto"/>
        <w:jc w:val="left"/>
        <w:rPr>
          <w:rFonts w:ascii="黑体" w:eastAsia="黑体" w:hint="eastAsia"/>
          <w:sz w:val="21"/>
        </w:rPr>
        <w:sectPr>
          <w:pgSz w:w="11900" w:h="16840"/>
          <w:pgMar w:header="0" w:footer="1140" w:top="1380" w:bottom="1340" w:left="1680" w:right="1580"/>
        </w:sectPr>
      </w:pPr>
    </w:p>
    <w:p>
      <w:pPr>
        <w:pStyle w:val="BodyText"/>
      </w:pPr>
      <w:r>
        <w:rPr/>
        <w:t> </w:t>
      </w:r>
    </w:p>
    <w:p>
      <w:pPr>
        <w:pStyle w:val="BodyText"/>
        <w:spacing w:before="8"/>
        <w:ind w:left="0"/>
        <w:rPr>
          <w:sz w:val="26"/>
        </w:rPr>
      </w:pPr>
    </w:p>
    <w:p>
      <w:pPr>
        <w:pStyle w:val="BodyText"/>
        <w:spacing w:before="0"/>
      </w:pPr>
      <w:r>
        <w:rPr/>
        <w:t> </w:t>
      </w:r>
    </w:p>
    <w:p>
      <w:pPr>
        <w:pStyle w:val="BodyText"/>
        <w:tabs>
          <w:tab w:pos="1377" w:val="left" w:leader="none"/>
        </w:tabs>
        <w:spacing w:before="36"/>
      </w:pPr>
      <w:r>
        <w:rPr/>
        <w:t>第五条</w:t>
        <w:tab/>
        <w:t>保险金额 </w:t>
      </w:r>
    </w:p>
    <w:p>
      <w:pPr>
        <w:pStyle w:val="BodyText"/>
        <w:spacing w:before="8"/>
        <w:ind w:left="0"/>
        <w:rPr>
          <w:sz w:val="26"/>
        </w:rPr>
      </w:pPr>
      <w:r>
        <w:rPr/>
        <w:br w:type="column"/>
      </w:r>
      <w:r>
        <w:rPr>
          <w:sz w:val="26"/>
        </w:rPr>
      </w:r>
    </w:p>
    <w:p>
      <w:pPr>
        <w:pStyle w:val="BodyText"/>
        <w:spacing w:before="1"/>
      </w:pPr>
      <w:r>
        <w:rPr/>
        <w:t>第三章 保险金额、保险费及宽限期 </w:t>
      </w:r>
    </w:p>
    <w:p>
      <w:pPr>
        <w:spacing w:after="0"/>
        <w:sectPr>
          <w:type w:val="continuous"/>
          <w:pgSz w:w="11900" w:h="16840"/>
          <w:pgMar w:top="1320" w:bottom="1340" w:left="1680" w:right="1580"/>
          <w:cols w:num="2" w:equalWidth="0">
            <w:col w:w="2323" w:space="209"/>
            <w:col w:w="6108"/>
          </w:cols>
        </w:sectPr>
      </w:pPr>
    </w:p>
    <w:p>
      <w:pPr>
        <w:pStyle w:val="BodyText"/>
        <w:spacing w:before="36"/>
      </w:pPr>
      <w:r>
        <w:rPr/>
        <w:t>一、 本合同的基本保险金额由您与我们约定并于保险单上载明。 </w:t>
      </w:r>
    </w:p>
    <w:p>
      <w:pPr>
        <w:pStyle w:val="BodyText"/>
        <w:spacing w:line="273" w:lineRule="auto" w:before="36"/>
        <w:ind w:left="657" w:right="105" w:hanging="540"/>
      </w:pPr>
      <w:r>
        <w:rPr/>
        <w:t>二、 在本合同有效期内，您可以书面申请减少本合同的基本保险金额，但减少后的基本保险金额不得低于变更时我们规定的最低基本保险金额，减少部分按您解除合同处理。 </w:t>
      </w:r>
    </w:p>
    <w:p>
      <w:pPr>
        <w:pStyle w:val="BodyText"/>
        <w:spacing w:before="7"/>
      </w:pPr>
      <w:r>
        <w:rPr/>
        <w:t> </w:t>
      </w:r>
    </w:p>
    <w:p>
      <w:pPr>
        <w:pStyle w:val="BodyText"/>
        <w:tabs>
          <w:tab w:pos="1377" w:val="left" w:leader="none"/>
        </w:tabs>
      </w:pPr>
      <w:r>
        <w:rPr/>
        <w:t>第六条</w:t>
        <w:tab/>
        <w:t>保险费及宽限期 </w:t>
      </w:r>
    </w:p>
    <w:p>
      <w:pPr>
        <w:pStyle w:val="BodyText"/>
      </w:pPr>
      <w:r>
        <w:rPr/>
        <w:t>您应按本合同约定的保险费交费期间、应付日、交费方式等交付本合同的保险费。 </w:t>
      </w:r>
    </w:p>
    <w:p>
      <w:pPr>
        <w:pStyle w:val="BodyText"/>
      </w:pPr>
      <w:r>
        <w:rPr/>
        <w:t>分期支付保险费的，在您交纳首期保险费后，您应在保险费应付日或应付日前交付以后各期</w:t>
      </w:r>
    </w:p>
    <w:p>
      <w:pPr>
        <w:pStyle w:val="BodyText"/>
        <w:spacing w:before="6"/>
        <w:ind w:left="0"/>
        <w:rPr>
          <w:sz w:val="26"/>
        </w:rPr>
      </w:pPr>
      <w:r>
        <w:rPr/>
        <w:pict>
          <v:line style="position:absolute;mso-position-horizontal-relative:page;mso-position-vertical-relative:paragraph;z-index:1072;mso-wrap-distance-left:0;mso-wrap-distance-right:0" from="89.879997pt,19.564934pt" to="233.879997pt,19.564934pt" stroked="true" strokeweight=".54001pt" strokecolor="#000000">
            <v:stroke dashstyle="solid"/>
            <w10:wrap type="topAndBottom"/>
          </v:line>
        </w:pict>
      </w:r>
    </w:p>
    <w:p>
      <w:pPr>
        <w:spacing w:line="237" w:lineRule="auto" w:before="32"/>
        <w:ind w:left="117" w:right="266" w:hanging="1"/>
        <w:jc w:val="left"/>
        <w:rPr>
          <w:sz w:val="18"/>
        </w:rPr>
      </w:pPr>
      <w:r>
        <w:rPr>
          <w:rFonts w:ascii="Times New Roman" w:eastAsia="Times New Roman"/>
          <w:position w:val="8"/>
          <w:sz w:val="12"/>
        </w:rPr>
        <w:t>4 </w:t>
      </w:r>
      <w:r>
        <w:rPr>
          <w:sz w:val="18"/>
        </w:rPr>
        <w:t>酒后驾驶：指经检测或鉴定，发生事故时车辆驾驶人员每百毫升血液中的酒精含量达到或超过一定的标准，公安机关交通管理部门依据《道路交通安全法》的规定认定为饮酒后驾驶或醉酒后驾驶。</w:t>
      </w:r>
    </w:p>
    <w:p>
      <w:pPr>
        <w:spacing w:line="233" w:lineRule="exact" w:before="0"/>
        <w:ind w:left="117" w:right="0" w:firstLine="0"/>
        <w:jc w:val="left"/>
        <w:rPr>
          <w:sz w:val="18"/>
        </w:rPr>
      </w:pPr>
      <w:r>
        <w:rPr>
          <w:rFonts w:ascii="Times New Roman" w:eastAsia="Times New Roman"/>
          <w:position w:val="8"/>
          <w:sz w:val="12"/>
        </w:rPr>
        <w:t>5  </w:t>
      </w:r>
      <w:r>
        <w:rPr>
          <w:sz w:val="18"/>
        </w:rPr>
        <w:t>无合法有效驾驶证驾驶：指下列情形之一：</w:t>
      </w:r>
    </w:p>
    <w:p>
      <w:pPr>
        <w:pStyle w:val="ListParagraph"/>
        <w:numPr>
          <w:ilvl w:val="0"/>
          <w:numId w:val="4"/>
        </w:numPr>
        <w:tabs>
          <w:tab w:pos="657" w:val="left" w:leader="none"/>
          <w:tab w:pos="658" w:val="left" w:leader="none"/>
        </w:tabs>
        <w:spacing w:line="240" w:lineRule="exact" w:before="0" w:after="0"/>
        <w:ind w:left="657" w:right="0" w:hanging="360"/>
        <w:jc w:val="left"/>
        <w:rPr>
          <w:sz w:val="18"/>
        </w:rPr>
      </w:pPr>
      <w:r>
        <w:rPr>
          <w:sz w:val="18"/>
        </w:rPr>
        <w:t>没有取得驾驶资格；</w:t>
      </w:r>
    </w:p>
    <w:p>
      <w:pPr>
        <w:pStyle w:val="ListParagraph"/>
        <w:numPr>
          <w:ilvl w:val="0"/>
          <w:numId w:val="4"/>
        </w:numPr>
        <w:tabs>
          <w:tab w:pos="657" w:val="left" w:leader="none"/>
          <w:tab w:pos="658" w:val="left" w:leader="none"/>
        </w:tabs>
        <w:spacing w:line="234" w:lineRule="exact" w:before="0" w:after="0"/>
        <w:ind w:left="657" w:right="0" w:hanging="360"/>
        <w:jc w:val="left"/>
        <w:rPr>
          <w:sz w:val="18"/>
        </w:rPr>
      </w:pPr>
      <w:r>
        <w:rPr>
          <w:w w:val="95"/>
          <w:sz w:val="18"/>
        </w:rPr>
        <w:t>驾驶与驾驶证准驾车型不相符合的车辆；</w:t>
      </w:r>
    </w:p>
    <w:p>
      <w:pPr>
        <w:pStyle w:val="ListParagraph"/>
        <w:numPr>
          <w:ilvl w:val="0"/>
          <w:numId w:val="4"/>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4"/>
        </w:numPr>
        <w:tabs>
          <w:tab w:pos="657" w:val="left" w:leader="none"/>
          <w:tab w:pos="658" w:val="left" w:leader="none"/>
        </w:tabs>
        <w:spacing w:line="233"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left"/>
        <w:rPr>
          <w:sz w:val="18"/>
        </w:rPr>
      </w:pPr>
      <w:r>
        <w:rPr>
          <w:rFonts w:ascii="Times New Roman" w:eastAsia="Times New Roman"/>
          <w:position w:val="8"/>
          <w:sz w:val="12"/>
        </w:rPr>
        <w:t>6  </w:t>
      </w:r>
      <w:r>
        <w:rPr>
          <w:sz w:val="18"/>
        </w:rPr>
        <w:t>无有效行驶证：指下列情形之一： </w:t>
      </w:r>
    </w:p>
    <w:p>
      <w:pPr>
        <w:pStyle w:val="ListParagraph"/>
        <w:numPr>
          <w:ilvl w:val="0"/>
          <w:numId w:val="5"/>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5"/>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37" w:lineRule="auto" w:before="0"/>
        <w:ind w:left="117" w:right="268" w:hanging="1"/>
        <w:jc w:val="left"/>
        <w:rPr>
          <w:sz w:val="18"/>
        </w:rPr>
      </w:pPr>
      <w:r>
        <w:rPr>
          <w:rFonts w:ascii="Times New Roman" w:eastAsia="Times New Roman"/>
          <w:position w:val="8"/>
          <w:sz w:val="12"/>
        </w:rPr>
        <w:t>7 </w:t>
      </w:r>
      <w:r>
        <w:rPr>
          <w:sz w:val="18"/>
        </w:rPr>
        <w:t>现金价值：指本合同所具有的价值，通常体现为您解除合同时，根据精算原理计算的，由我们退还的那部分金额。各保险单年度末的现金价值载明于保险单现金价值表中。</w:t>
      </w:r>
    </w:p>
    <w:p>
      <w:pPr>
        <w:spacing w:line="225" w:lineRule="auto" w:before="18"/>
        <w:ind w:left="117" w:right="257" w:hanging="1"/>
        <w:jc w:val="left"/>
        <w:rPr>
          <w:sz w:val="18"/>
        </w:rPr>
      </w:pPr>
      <w:r>
        <w:rPr>
          <w:rFonts w:ascii="Times New Roman" w:eastAsia="Times New Roman"/>
          <w:position w:val="8"/>
          <w:sz w:val="12"/>
        </w:rPr>
        <w:t>8</w:t>
      </w:r>
      <w:r>
        <w:rPr>
          <w:rFonts w:ascii="Times New Roman" w:eastAsia="Times New Roman"/>
          <w:sz w:val="12"/>
        </w:rPr>
        <w:t> </w:t>
      </w:r>
      <w:r>
        <w:rPr>
          <w:sz w:val="18"/>
        </w:rPr>
        <w:t>感染艾滋病病毒或患艾滋病：艾滋病病毒指人类免疫缺陷病毒，英文缩写为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 </w:t>
      </w:r>
    </w:p>
    <w:p>
      <w:pPr>
        <w:spacing w:line="234" w:lineRule="exact" w:before="6"/>
        <w:ind w:left="117" w:right="24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9  </w:t>
      </w:r>
      <w:r>
        <w:rPr>
          <w:sz w:val="18"/>
        </w:rPr>
        <w:t>遗传性疾病：指生殖细胞或受精卵的遗传物质（染色体和基因）发生突变或畸变所引起的疾病，通常具</w:t>
      </w:r>
    </w:p>
    <w:p>
      <w:pPr>
        <w:spacing w:line="233" w:lineRule="exact" w:before="0"/>
        <w:ind w:left="117" w:right="0" w:firstLine="0"/>
        <w:jc w:val="left"/>
        <w:rPr>
          <w:sz w:val="18"/>
        </w:rPr>
      </w:pPr>
      <w:r>
        <w:rPr>
          <w:sz w:val="18"/>
        </w:rPr>
        <w:t>有由亲代传至后代的垂直传递的特征。</w:t>
      </w:r>
    </w:p>
    <w:p>
      <w:pPr>
        <w:spacing w:before="0"/>
        <w:ind w:left="117" w:right="200" w:firstLine="0"/>
        <w:jc w:val="left"/>
        <w:rPr>
          <w:sz w:val="18"/>
        </w:rPr>
      </w:pPr>
      <w:r>
        <w:rPr>
          <w:rFonts w:ascii="Times New Roman" w:eastAsia="Times New Roman"/>
          <w:position w:val="8"/>
          <w:sz w:val="12"/>
        </w:rPr>
        <w:t>10 </w:t>
      </w:r>
      <w:r>
        <w:rPr>
          <w:sz w:val="18"/>
        </w:rPr>
        <w:t>先天性畸形、变形或染色体异常：指被保险人出生时就具有的畸形、变形或染色体异常。先天性畸形、变形和染色体异常依照世界卫生组织《疾病和有关健康问题的国际统计分类》（ICD-10）确定。</w:t>
      </w:r>
    </w:p>
    <w:p>
      <w:pPr>
        <w:spacing w:after="0"/>
        <w:jc w:val="left"/>
        <w:rPr>
          <w:sz w:val="18"/>
        </w:rPr>
        <w:sectPr>
          <w:type w:val="continuous"/>
          <w:pgSz w:w="11900" w:h="16840"/>
          <w:pgMar w:top="1320" w:bottom="1340" w:left="1680" w:right="1580"/>
        </w:sectPr>
      </w:pPr>
    </w:p>
    <w:p>
      <w:pPr>
        <w:pStyle w:val="BodyText"/>
        <w:spacing w:line="273" w:lineRule="auto" w:before="25"/>
        <w:ind w:right="206"/>
        <w:jc w:val="both"/>
      </w:pPr>
      <w:r>
        <w:rPr>
          <w:spacing w:val="-9"/>
        </w:rPr>
        <w:t>保险费。若到期未交付保险费，自保险费应付日的次日零时起六十日为宽限期。宽限期内本</w:t>
      </w:r>
      <w:r>
        <w:rPr>
          <w:spacing w:val="-12"/>
        </w:rPr>
        <w:t>合同继续有效，若被保险人发生保险事故，我们仍承担保险责任，但给付保险金时须扣除已到期而未交的保险费。 </w:t>
      </w:r>
    </w:p>
    <w:p>
      <w:pPr>
        <w:pStyle w:val="BodyText"/>
        <w:spacing w:line="273" w:lineRule="auto" w:before="7"/>
        <w:ind w:right="209"/>
      </w:pPr>
      <w:r>
        <w:rPr>
          <w:spacing w:val="-7"/>
        </w:rPr>
        <w:t>除本合同另有约定外，宽限期期满日保险费仍未交付的，本合同自宽限期期满日的次日零时起效力中止。 </w:t>
      </w:r>
    </w:p>
    <w:p>
      <w:pPr>
        <w:pStyle w:val="BodyText"/>
        <w:spacing w:before="7"/>
        <w:jc w:val="both"/>
      </w:pPr>
      <w:r>
        <w:rPr/>
        <w:t> </w:t>
      </w:r>
    </w:p>
    <w:p>
      <w:pPr>
        <w:pStyle w:val="BodyText"/>
        <w:jc w:val="both"/>
      </w:pPr>
      <w:r>
        <w:rPr/>
        <w:t>第七条      欠款扣除 </w:t>
      </w:r>
    </w:p>
    <w:p>
      <w:pPr>
        <w:pStyle w:val="BodyText"/>
        <w:jc w:val="both"/>
      </w:pPr>
      <w:r>
        <w:rPr/>
        <w:t>我们给付各项保险金、退还现金价值或退还保险费时，应先扣除欠交保险费。 </w:t>
      </w:r>
    </w:p>
    <w:p>
      <w:pPr>
        <w:pStyle w:val="BodyText"/>
        <w:jc w:val="both"/>
      </w:pPr>
      <w:r>
        <w:rPr/>
        <w:t> </w:t>
      </w:r>
    </w:p>
    <w:p>
      <w:pPr>
        <w:pStyle w:val="BodyText"/>
        <w:ind w:left="1805"/>
      </w:pPr>
      <w:r>
        <w:rPr/>
        <w:t>第四章 保险期间、保险合同成立与生效、复效及解除 </w:t>
      </w:r>
    </w:p>
    <w:p>
      <w:pPr>
        <w:pStyle w:val="BodyText"/>
        <w:spacing w:before="12"/>
        <w:ind w:left="0"/>
        <w:rPr>
          <w:sz w:val="23"/>
        </w:rPr>
      </w:pPr>
    </w:p>
    <w:p>
      <w:pPr>
        <w:pStyle w:val="BodyText"/>
        <w:tabs>
          <w:tab w:pos="1377" w:val="left" w:leader="none"/>
        </w:tabs>
        <w:spacing w:before="36"/>
      </w:pPr>
      <w:r>
        <w:rPr/>
        <w:t>第八条</w:t>
        <w:tab/>
        <w:t>保险期间 </w:t>
      </w:r>
    </w:p>
    <w:p>
      <w:pPr>
        <w:pStyle w:val="BodyText"/>
      </w:pPr>
      <w:r>
        <w:rPr/>
        <w:t>本合同的保险期间由您与我们约定并于保险单上载明。</w:t>
      </w:r>
    </w:p>
    <w:p>
      <w:pPr>
        <w:pStyle w:val="BodyText"/>
      </w:pPr>
      <w:r>
        <w:rPr/>
        <w:t> </w:t>
      </w:r>
    </w:p>
    <w:p>
      <w:pPr>
        <w:pStyle w:val="BodyText"/>
        <w:tabs>
          <w:tab w:pos="1377" w:val="left" w:leader="none"/>
        </w:tabs>
      </w:pPr>
      <w:r>
        <w:rPr/>
        <w:t>第九条</w:t>
        <w:tab/>
        <w:t>保险合同成立与生效 </w:t>
      </w:r>
    </w:p>
    <w:p>
      <w:pPr>
        <w:pStyle w:val="BodyText"/>
        <w:spacing w:line="273" w:lineRule="auto"/>
        <w:ind w:right="102"/>
        <w:jc w:val="both"/>
      </w:pPr>
      <w:r>
        <w:rPr/>
        <w:t>您提出保险申请、我们同意承保，本合同成立，我们将签发保险单作为本合同成立的标志。除本合同另有约定外，本合同自我们收到首期保险费并签发保险单的次日零时起开始生效。本合同的成立日、生效日均载明于保险单上。 </w:t>
      </w:r>
    </w:p>
    <w:p>
      <w:pPr>
        <w:pStyle w:val="BodyText"/>
        <w:spacing w:line="273" w:lineRule="auto" w:before="7"/>
        <w:ind w:right="206"/>
      </w:pPr>
      <w:r>
        <w:rPr>
          <w:spacing w:val="-9"/>
        </w:rPr>
        <w:t>保险单周年日、保险单年度、保险单月份、保险费应付日和保险合同满期日均以生效日为基准计算。 </w:t>
      </w:r>
    </w:p>
    <w:p>
      <w:pPr>
        <w:pStyle w:val="BodyText"/>
        <w:spacing w:before="7"/>
      </w:pPr>
      <w:r>
        <w:rPr/>
        <w:t>除本合同另有约定外，我们自生效日零时起开始承担保险责任。 </w:t>
      </w:r>
    </w:p>
    <w:p>
      <w:pPr>
        <w:pStyle w:val="BodyText"/>
      </w:pPr>
      <w:r>
        <w:rPr/>
        <w:t> </w:t>
      </w:r>
    </w:p>
    <w:p>
      <w:pPr>
        <w:pStyle w:val="BodyText"/>
        <w:tabs>
          <w:tab w:pos="1377" w:val="left" w:leader="none"/>
        </w:tabs>
      </w:pPr>
      <w:r>
        <w:rPr/>
        <w:t>第十条</w:t>
        <w:tab/>
        <w:t>合同效力恢复 </w:t>
      </w:r>
    </w:p>
    <w:p>
      <w:pPr>
        <w:pStyle w:val="BodyText"/>
        <w:spacing w:line="273" w:lineRule="auto"/>
        <w:ind w:right="209"/>
      </w:pPr>
      <w:r>
        <w:rPr>
          <w:spacing w:val="-5"/>
        </w:rPr>
        <w:t>自本合同效力中止之日起二年内，您可书面申请恢复本合同效力。您交清所欠交的保险费及利息，经我们审核同意并于保险单上批注后的次日零时起，本合同效力恢复。</w:t>
      </w:r>
    </w:p>
    <w:p>
      <w:pPr>
        <w:pStyle w:val="BodyText"/>
        <w:spacing w:before="7"/>
      </w:pPr>
      <w:r>
        <w:rPr/>
        <w:t>本合同效力中止期间，我们对所发生的保险事故不承担给付保险金的责任。</w:t>
      </w:r>
    </w:p>
    <w:p>
      <w:pPr>
        <w:pStyle w:val="BodyText"/>
        <w:spacing w:line="273" w:lineRule="auto" w:before="36"/>
        <w:ind w:right="209"/>
      </w:pPr>
      <w:r>
        <w:rPr>
          <w:spacing w:val="-4"/>
        </w:rPr>
        <w:t>若自本合同效力中止之日起二年内双方未达成合同效力恢复协议的，我们有权解除合同，并向您退还本合同的现金价值。</w:t>
      </w:r>
    </w:p>
    <w:p>
      <w:pPr>
        <w:pStyle w:val="BodyText"/>
        <w:spacing w:before="5"/>
        <w:ind w:left="0"/>
        <w:rPr>
          <w:sz w:val="24"/>
        </w:rPr>
      </w:pPr>
    </w:p>
    <w:p>
      <w:pPr>
        <w:pStyle w:val="BodyText"/>
        <w:tabs>
          <w:tab w:pos="1377" w:val="left" w:leader="none"/>
        </w:tabs>
        <w:spacing w:before="0"/>
      </w:pPr>
      <w:r>
        <w:rPr/>
        <w:t>第十一条</w:t>
        <w:tab/>
        <w:t>投保人解除合同 </w:t>
      </w:r>
    </w:p>
    <w:p>
      <w:pPr>
        <w:pStyle w:val="BodyText"/>
        <w:spacing w:line="273" w:lineRule="auto"/>
        <w:ind w:right="2115"/>
      </w:pPr>
      <w:r>
        <w:rPr/>
        <w:t>在本合同有效期内，您在犹豫期后请出具下列文件申请解除本合同： 一、保险合同； </w:t>
      </w:r>
    </w:p>
    <w:p>
      <w:pPr>
        <w:pStyle w:val="BodyText"/>
        <w:spacing w:line="273" w:lineRule="auto" w:before="8"/>
        <w:ind w:right="6315"/>
      </w:pPr>
      <w:r>
        <w:rPr/>
        <w:t>二、解除合同申请书； 三、您的身份证明。 </w:t>
      </w:r>
    </w:p>
    <w:p>
      <w:pPr>
        <w:pStyle w:val="BodyText"/>
        <w:spacing w:line="273" w:lineRule="auto" w:before="8"/>
        <w:ind w:right="120"/>
      </w:pPr>
      <w:r>
        <w:rPr/>
        <w:t>自我们收到解除合同申请书时，本合同终止。我们自收到解除合同通知书之日起三十日内， 向您退还本合同的现金价值。 </w:t>
      </w:r>
    </w:p>
    <w:p>
      <w:pPr>
        <w:pStyle w:val="BodyText"/>
        <w:spacing w:before="8"/>
      </w:pPr>
      <w:r>
        <w:rPr/>
        <w:t> </w:t>
      </w:r>
    </w:p>
    <w:p>
      <w:pPr>
        <w:pStyle w:val="BodyText"/>
        <w:ind w:left="3413" w:right="3402"/>
        <w:jc w:val="center"/>
      </w:pPr>
      <w:r>
        <w:rPr/>
        <w:t>第五章 保险金申请 </w:t>
      </w:r>
    </w:p>
    <w:p>
      <w:pPr>
        <w:pStyle w:val="BodyText"/>
      </w:pPr>
      <w:r>
        <w:rPr/>
        <w:t> </w:t>
      </w:r>
    </w:p>
    <w:p>
      <w:pPr>
        <w:pStyle w:val="BodyText"/>
        <w:tabs>
          <w:tab w:pos="1377" w:val="left" w:leader="none"/>
        </w:tabs>
      </w:pPr>
      <w:r>
        <w:rPr/>
        <w:t>第十二条</w:t>
        <w:tab/>
        <w:t>保险事故通知 </w:t>
      </w:r>
    </w:p>
    <w:p>
      <w:pPr>
        <w:pStyle w:val="BodyText"/>
        <w:spacing w:line="273" w:lineRule="auto"/>
        <w:ind w:right="209"/>
      </w:pPr>
      <w:r>
        <w:rPr>
          <w:spacing w:val="-4"/>
        </w:rPr>
        <w:t>您或受益人应于知道保险事故发生之日起十日内通知我们。否则，您或受益人应承担由于通知迟延致使我们增加的勘查、检验等项费用，但因不可抗力</w:t>
      </w:r>
      <w:r>
        <w:rPr>
          <w:b/>
          <w:spacing w:val="-4"/>
          <w:position w:val="11"/>
          <w:sz w:val="11"/>
        </w:rPr>
        <w:t>11</w:t>
      </w:r>
      <w:r>
        <w:rPr>
          <w:spacing w:val="-4"/>
        </w:rPr>
        <w:t>导致的迟延除外。 </w:t>
      </w:r>
    </w:p>
    <w:p>
      <w:pPr>
        <w:pStyle w:val="BodyText"/>
        <w:spacing w:before="1"/>
        <w:ind w:left="0"/>
        <w:rPr>
          <w:sz w:val="29"/>
        </w:rPr>
      </w:pPr>
      <w:r>
        <w:rPr/>
        <w:pict>
          <v:line style="position:absolute;mso-position-horizontal-relative:page;mso-position-vertical-relative:paragraph;z-index:1096;mso-wrap-distance-left:0;mso-wrap-distance-right:0" from="89.879997pt,21.290039pt" to="233.879997pt,21.290039pt" stroked="true" strokeweight=".54001pt" strokecolor="#000000">
            <v:stroke dashstyle="solid"/>
            <w10:wrap type="topAndBottom"/>
          </v:line>
        </w:pict>
      </w:r>
    </w:p>
    <w:p>
      <w:pPr>
        <w:spacing w:before="30"/>
        <w:ind w:left="117" w:right="0" w:firstLine="0"/>
        <w:jc w:val="left"/>
        <w:rPr>
          <w:sz w:val="18"/>
        </w:rPr>
      </w:pPr>
      <w:r>
        <w:rPr>
          <w:rFonts w:ascii="Times New Roman" w:eastAsia="Times New Roman"/>
          <w:position w:val="8"/>
          <w:sz w:val="12"/>
        </w:rPr>
        <w:t>11</w:t>
      </w:r>
      <w:r>
        <w:rPr>
          <w:rFonts w:ascii="Times New Roman" w:eastAsia="Times New Roman"/>
          <w:sz w:val="12"/>
        </w:rPr>
        <w:t>   </w:t>
      </w:r>
      <w:r>
        <w:rPr>
          <w:sz w:val="18"/>
        </w:rPr>
        <w:t>不可抗力：指无法预见、不可避免并不能克服的客观情况。</w:t>
      </w:r>
    </w:p>
    <w:p>
      <w:pPr>
        <w:spacing w:after="0"/>
        <w:jc w:val="left"/>
        <w:rPr>
          <w:sz w:val="18"/>
        </w:rPr>
        <w:sectPr>
          <w:pgSz w:w="11900" w:h="16840"/>
          <w:pgMar w:header="0" w:footer="1140" w:top="1400" w:bottom="1340" w:left="1680" w:right="1580"/>
        </w:sectPr>
      </w:pPr>
    </w:p>
    <w:p>
      <w:pPr>
        <w:pStyle w:val="BodyText"/>
        <w:spacing w:line="273" w:lineRule="auto" w:before="25"/>
        <w:ind w:right="206"/>
        <w:jc w:val="both"/>
      </w:pPr>
      <w:r>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 </w:t>
      </w:r>
    </w:p>
    <w:p>
      <w:pPr>
        <w:pStyle w:val="BodyText"/>
        <w:spacing w:before="7"/>
      </w:pPr>
      <w:r>
        <w:rPr/>
        <w:t> </w:t>
      </w:r>
    </w:p>
    <w:p>
      <w:pPr>
        <w:pStyle w:val="BodyText"/>
        <w:tabs>
          <w:tab w:pos="1377" w:val="left" w:leader="none"/>
        </w:tabs>
        <w:spacing w:before="36"/>
      </w:pPr>
      <w:r>
        <w:rPr/>
        <w:t>第十三条</w:t>
        <w:tab/>
        <w:t>诉讼时效 </w:t>
      </w:r>
    </w:p>
    <w:p>
      <w:pPr>
        <w:pStyle w:val="BodyText"/>
        <w:spacing w:line="273" w:lineRule="auto" w:before="36"/>
        <w:ind w:right="207"/>
        <w:jc w:val="both"/>
      </w:pPr>
      <w:r>
        <w:rPr>
          <w:spacing w:val="-4"/>
        </w:rPr>
        <w:t>受益人向我们请求给付身故保险金的诉讼时效期间为五年，自其知道或者应当知道保险事故</w:t>
      </w:r>
      <w:r>
        <w:rPr>
          <w:spacing w:val="-10"/>
        </w:rPr>
        <w:t>发生之日起计算；受益人向我们请求给付重大疾病保险金的诉讼时效期间为二年，自其知道或者应当知道保险事故发生之日起计算。 </w:t>
      </w:r>
    </w:p>
    <w:p>
      <w:pPr>
        <w:pStyle w:val="BodyText"/>
        <w:spacing w:before="7"/>
      </w:pPr>
      <w:r>
        <w:rPr/>
        <w:t> </w:t>
      </w:r>
    </w:p>
    <w:p>
      <w:pPr>
        <w:pStyle w:val="BodyText"/>
        <w:tabs>
          <w:tab w:pos="1377" w:val="left" w:leader="none"/>
        </w:tabs>
        <w:spacing w:line="273" w:lineRule="auto"/>
        <w:ind w:right="6105"/>
      </w:pPr>
      <w:r>
        <w:rPr/>
        <w:t>第十四条</w:t>
        <w:tab/>
        <w:t>保险金申请 一、</w:t>
      </w:r>
      <w:r>
        <w:rPr>
          <w:spacing w:val="12"/>
        </w:rPr>
        <w:t> </w:t>
      </w:r>
      <w:r>
        <w:rPr/>
        <w:t>身故保险金 </w:t>
      </w:r>
    </w:p>
    <w:p>
      <w:pPr>
        <w:pStyle w:val="BodyText"/>
        <w:spacing w:before="7"/>
      </w:pPr>
      <w:r>
        <w:rPr/>
        <w:t>在申请身故保险金时，申请人须填写保险金给付申请书，并提供下列证明和资料： </w:t>
      </w:r>
    </w:p>
    <w:p>
      <w:pPr>
        <w:pStyle w:val="ListParagraph"/>
        <w:numPr>
          <w:ilvl w:val="0"/>
          <w:numId w:val="6"/>
        </w:numPr>
        <w:tabs>
          <w:tab w:pos="478" w:val="left" w:leader="none"/>
        </w:tabs>
        <w:spacing w:line="240" w:lineRule="auto" w:before="36" w:after="0"/>
        <w:ind w:left="477" w:right="0" w:hanging="360"/>
        <w:jc w:val="left"/>
        <w:rPr>
          <w:sz w:val="21"/>
        </w:rPr>
      </w:pPr>
      <w:r>
        <w:rPr>
          <w:sz w:val="21"/>
        </w:rPr>
        <w:t>保险合同； </w:t>
      </w:r>
    </w:p>
    <w:p>
      <w:pPr>
        <w:pStyle w:val="ListParagraph"/>
        <w:numPr>
          <w:ilvl w:val="0"/>
          <w:numId w:val="6"/>
        </w:numPr>
        <w:tabs>
          <w:tab w:pos="478" w:val="left" w:leader="none"/>
        </w:tabs>
        <w:spacing w:line="240" w:lineRule="auto" w:before="36" w:after="0"/>
        <w:ind w:left="477" w:right="0" w:hanging="360"/>
        <w:jc w:val="left"/>
        <w:rPr>
          <w:sz w:val="21"/>
        </w:rPr>
      </w:pPr>
      <w:r>
        <w:rPr>
          <w:sz w:val="21"/>
        </w:rPr>
        <w:t>申请人的有效身份证件； </w:t>
      </w:r>
    </w:p>
    <w:p>
      <w:pPr>
        <w:pStyle w:val="ListParagraph"/>
        <w:numPr>
          <w:ilvl w:val="0"/>
          <w:numId w:val="6"/>
        </w:numPr>
        <w:tabs>
          <w:tab w:pos="478" w:val="left" w:leader="none"/>
        </w:tabs>
        <w:spacing w:line="273" w:lineRule="auto" w:before="36" w:after="0"/>
        <w:ind w:left="477" w:right="207" w:hanging="360"/>
        <w:jc w:val="left"/>
        <w:rPr>
          <w:sz w:val="21"/>
        </w:rPr>
      </w:pPr>
      <w:r>
        <w:rPr>
          <w:spacing w:val="-2"/>
          <w:sz w:val="21"/>
        </w:rPr>
        <w:t>国家卫生行政部门认定的医疗机构、公安部门或其他相关机构出具的被保险人的死亡证明； </w:t>
      </w:r>
    </w:p>
    <w:p>
      <w:pPr>
        <w:pStyle w:val="ListParagraph"/>
        <w:numPr>
          <w:ilvl w:val="0"/>
          <w:numId w:val="6"/>
        </w:numPr>
        <w:tabs>
          <w:tab w:pos="478" w:val="left" w:leader="none"/>
        </w:tabs>
        <w:spacing w:line="273" w:lineRule="auto" w:before="7" w:after="0"/>
        <w:ind w:left="117" w:right="1755" w:firstLine="0"/>
        <w:jc w:val="left"/>
        <w:rPr>
          <w:sz w:val="21"/>
        </w:rPr>
      </w:pPr>
      <w:r>
        <w:rPr>
          <w:sz w:val="21"/>
        </w:rPr>
        <w:t>所能提供的与确认保险事故的性质、原因等有关的其他证明和资料。二、 重大疾病保险金 </w:t>
      </w:r>
    </w:p>
    <w:p>
      <w:pPr>
        <w:pStyle w:val="BodyText"/>
        <w:spacing w:before="7"/>
      </w:pPr>
      <w:r>
        <w:rPr/>
        <w:t>在申请重大疾病保险金时，申请人须填写保险金给付申请书，并提供下列证明和资料： </w:t>
      </w:r>
    </w:p>
    <w:p>
      <w:pPr>
        <w:pStyle w:val="ListParagraph"/>
        <w:numPr>
          <w:ilvl w:val="0"/>
          <w:numId w:val="7"/>
        </w:numPr>
        <w:tabs>
          <w:tab w:pos="478" w:val="left" w:leader="none"/>
        </w:tabs>
        <w:spacing w:line="240" w:lineRule="auto" w:before="36" w:after="0"/>
        <w:ind w:left="477" w:right="0" w:hanging="360"/>
        <w:jc w:val="left"/>
        <w:rPr>
          <w:sz w:val="21"/>
        </w:rPr>
      </w:pPr>
      <w:r>
        <w:rPr>
          <w:sz w:val="21"/>
        </w:rPr>
        <w:t>保险合同； </w:t>
      </w:r>
    </w:p>
    <w:p>
      <w:pPr>
        <w:pStyle w:val="ListParagraph"/>
        <w:numPr>
          <w:ilvl w:val="0"/>
          <w:numId w:val="7"/>
        </w:numPr>
        <w:tabs>
          <w:tab w:pos="478" w:val="left" w:leader="none"/>
        </w:tabs>
        <w:spacing w:line="240" w:lineRule="auto" w:before="36" w:after="0"/>
        <w:ind w:left="477" w:right="0" w:hanging="360"/>
        <w:jc w:val="left"/>
        <w:rPr>
          <w:sz w:val="21"/>
        </w:rPr>
      </w:pPr>
      <w:r>
        <w:rPr>
          <w:sz w:val="21"/>
        </w:rPr>
        <w:t>申请人的有效身份证件； </w:t>
      </w:r>
    </w:p>
    <w:p>
      <w:pPr>
        <w:pStyle w:val="ListParagraph"/>
        <w:numPr>
          <w:ilvl w:val="0"/>
          <w:numId w:val="7"/>
        </w:numPr>
        <w:tabs>
          <w:tab w:pos="478" w:val="left" w:leader="none"/>
        </w:tabs>
        <w:spacing w:line="273" w:lineRule="auto" w:before="36" w:after="0"/>
        <w:ind w:left="477" w:right="209" w:hanging="360"/>
        <w:jc w:val="left"/>
        <w:rPr>
          <w:sz w:val="21"/>
        </w:rPr>
      </w:pPr>
      <w:r>
        <w:rPr>
          <w:spacing w:val="-2"/>
          <w:sz w:val="21"/>
        </w:rPr>
        <w:t>我们指定或认可的医院出具的被保险人病历、病理、血液及其他科学方法检验报告的诊断证明文件； </w:t>
      </w:r>
    </w:p>
    <w:p>
      <w:pPr>
        <w:pStyle w:val="ListParagraph"/>
        <w:numPr>
          <w:ilvl w:val="0"/>
          <w:numId w:val="7"/>
        </w:numPr>
        <w:tabs>
          <w:tab w:pos="478" w:val="left" w:leader="none"/>
        </w:tabs>
        <w:spacing w:line="240" w:lineRule="auto" w:before="7" w:after="0"/>
        <w:ind w:left="477" w:right="0" w:hanging="360"/>
        <w:jc w:val="left"/>
        <w:rPr>
          <w:sz w:val="21"/>
        </w:rPr>
      </w:pPr>
      <w:r>
        <w:rPr>
          <w:sz w:val="21"/>
        </w:rPr>
        <w:t>所能提供的与确认保险事故的性质、原因等有关的其他证明和资料。 </w:t>
      </w:r>
    </w:p>
    <w:p>
      <w:pPr>
        <w:pStyle w:val="BodyText"/>
      </w:pPr>
      <w:r>
        <w:rPr/>
        <w:t> </w:t>
      </w:r>
    </w:p>
    <w:p>
      <w:pPr>
        <w:pStyle w:val="BodyText"/>
      </w:pPr>
      <w:r>
        <w:rPr/>
        <w:t>保险金作为被保险人遗产时，必须提供可证明合法继承权的相关权利文件。 </w:t>
      </w:r>
    </w:p>
    <w:p>
      <w:pPr>
        <w:pStyle w:val="BodyText"/>
      </w:pPr>
      <w:r>
        <w:rPr/>
        <w:t>以上证明和资料不完整的，我们将及时一次性通知申请人补充提供有关证明或资料。 </w:t>
      </w:r>
    </w:p>
    <w:p>
      <w:pPr>
        <w:pStyle w:val="BodyText"/>
      </w:pPr>
      <w:r>
        <w:rPr/>
        <w:t> </w:t>
      </w:r>
    </w:p>
    <w:p>
      <w:pPr>
        <w:pStyle w:val="BodyText"/>
        <w:tabs>
          <w:tab w:pos="1377" w:val="left" w:leader="none"/>
        </w:tabs>
      </w:pPr>
      <w:r>
        <w:rPr/>
        <w:t>第十五条</w:t>
        <w:tab/>
        <w:t>保险金给付 </w:t>
      </w:r>
    </w:p>
    <w:p>
      <w:pPr>
        <w:pStyle w:val="BodyText"/>
        <w:spacing w:line="273" w:lineRule="auto"/>
        <w:ind w:right="206"/>
        <w:jc w:val="both"/>
      </w:pPr>
      <w:r>
        <w:rPr>
          <w:spacing w:val="-4"/>
        </w:rPr>
        <w:t>我们在收到保险金给付申请书及合同约定的证明和资料后，将在五个工作日内作出核定；情</w:t>
      </w:r>
      <w:r>
        <w:rPr>
          <w:spacing w:val="-10"/>
        </w:rPr>
        <w:t>形复杂的，在三十日内作出核定。对属于保险责任的，我们在与受益人达成给付保险金的协议后十日内，履行给付保险金义务。 </w:t>
      </w:r>
    </w:p>
    <w:p>
      <w:pPr>
        <w:pStyle w:val="BodyText"/>
        <w:spacing w:line="273" w:lineRule="auto" w:before="7"/>
        <w:ind w:right="207"/>
      </w:pPr>
      <w:r>
        <w:rPr/>
        <w:t>我们未及时履行前款规定义务的，除支付保险金外，应当赔偿受益人因此受到的损失。  </w:t>
      </w:r>
      <w:r>
        <w:rPr>
          <w:spacing w:val="-9"/>
        </w:rPr>
        <w:t>对不属于保险责任的，我们自作出核定之日起三日内向受益人发出拒绝给付保险金通知书并说明理由。 </w:t>
      </w:r>
    </w:p>
    <w:p>
      <w:pPr>
        <w:pStyle w:val="BodyText"/>
        <w:spacing w:line="273" w:lineRule="auto" w:before="7"/>
        <w:ind w:right="102"/>
      </w:pPr>
      <w:r>
        <w:rPr>
          <w:spacing w:val="-4"/>
        </w:rPr>
        <w:t>我们在收到保险金给付申请书及有关证明和资料之日起六十日内，对给付保险金的数额不能</w:t>
      </w:r>
      <w:r>
        <w:rPr>
          <w:spacing w:val="-15"/>
        </w:rPr>
        <w:t>确定的，根据已有证明和资料可以确定的数额先予支付；我们最终确定给付保险金的数额后， 将支付相应的差额。 </w:t>
      </w:r>
    </w:p>
    <w:p>
      <w:pPr>
        <w:pStyle w:val="BodyText"/>
        <w:spacing w:before="7"/>
      </w:pPr>
      <w:r>
        <w:rPr/>
        <w:t> </w:t>
      </w:r>
    </w:p>
    <w:p>
      <w:pPr>
        <w:pStyle w:val="BodyText"/>
        <w:tabs>
          <w:tab w:pos="1377" w:val="left" w:leader="none"/>
        </w:tabs>
        <w:spacing w:before="36"/>
      </w:pPr>
      <w:r>
        <w:rPr/>
        <w:t>第十六条</w:t>
        <w:tab/>
        <w:t>失踪处理 </w:t>
      </w:r>
    </w:p>
    <w:p>
      <w:pPr>
        <w:pStyle w:val="BodyText"/>
        <w:spacing w:line="273" w:lineRule="auto" w:before="36"/>
        <w:ind w:right="209"/>
      </w:pPr>
      <w:r>
        <w:rPr>
          <w:spacing w:val="-5"/>
        </w:rPr>
        <w:t>被保险人在本合同有效期内失踪，若经法院宣告死亡，我们按照法院判决宣告日期确定被保险人身故时间。 </w:t>
      </w:r>
    </w:p>
    <w:p>
      <w:pPr>
        <w:pStyle w:val="BodyText"/>
        <w:spacing w:before="7"/>
      </w:pPr>
      <w:r>
        <w:rPr/>
        <w:t>若被保险人在宣告死亡后生还，身故保险金受益人应于知道被保险人生还之日起三十日内退</w:t>
      </w:r>
    </w:p>
    <w:p>
      <w:pPr>
        <w:spacing w:after="0"/>
        <w:sectPr>
          <w:pgSz w:w="11900" w:h="16840"/>
          <w:pgMar w:header="0" w:footer="1140" w:top="1400" w:bottom="1340" w:left="1680" w:right="1580"/>
        </w:sectPr>
      </w:pPr>
    </w:p>
    <w:p>
      <w:pPr>
        <w:pStyle w:val="BodyText"/>
        <w:spacing w:before="25"/>
      </w:pPr>
      <w:r>
        <w:rPr/>
        <w:t>还我们已给付的身故保险金。 </w:t>
      </w:r>
    </w:p>
    <w:p>
      <w:pPr>
        <w:pStyle w:val="BodyText"/>
      </w:pPr>
      <w:r>
        <w:rPr/>
        <w:t> </w:t>
      </w:r>
    </w:p>
    <w:p>
      <w:pPr>
        <w:pStyle w:val="BodyText"/>
        <w:spacing w:before="8"/>
        <w:ind w:left="0"/>
        <w:rPr>
          <w:sz w:val="26"/>
        </w:rPr>
      </w:pPr>
    </w:p>
    <w:p>
      <w:pPr>
        <w:pStyle w:val="BodyText"/>
        <w:spacing w:before="1"/>
      </w:pPr>
      <w:r>
        <w:rPr/>
        <w:t> </w:t>
      </w:r>
    </w:p>
    <w:p>
      <w:pPr>
        <w:pStyle w:val="BodyText"/>
        <w:tabs>
          <w:tab w:pos="1377" w:val="left" w:leader="none"/>
        </w:tabs>
      </w:pPr>
      <w:r>
        <w:rPr/>
        <w:t>第十七条</w:t>
        <w:tab/>
        <w:t>如实告知 </w:t>
      </w:r>
    </w:p>
    <w:p>
      <w:pPr>
        <w:pStyle w:val="BodyText"/>
        <w:spacing w:before="0"/>
        <w:ind w:left="0"/>
        <w:rPr>
          <w:sz w:val="20"/>
        </w:rPr>
      </w:pPr>
      <w:r>
        <w:rPr/>
        <w:br w:type="column"/>
      </w:r>
      <w:r>
        <w:rPr>
          <w:sz w:val="20"/>
        </w:rPr>
      </w:r>
    </w:p>
    <w:p>
      <w:pPr>
        <w:pStyle w:val="BodyText"/>
        <w:spacing w:before="7"/>
        <w:ind w:left="0"/>
        <w:rPr>
          <w:sz w:val="29"/>
        </w:rPr>
      </w:pPr>
    </w:p>
    <w:p>
      <w:pPr>
        <w:pStyle w:val="BodyText"/>
        <w:spacing w:before="1"/>
      </w:pPr>
      <w:r>
        <w:rPr/>
        <w:t>第六章 一般条款 </w:t>
      </w:r>
    </w:p>
    <w:p>
      <w:pPr>
        <w:spacing w:after="0"/>
        <w:sectPr>
          <w:pgSz w:w="11900" w:h="16840"/>
          <w:pgMar w:header="0" w:footer="1140" w:top="1400" w:bottom="1340" w:left="1680" w:right="1600"/>
          <w:cols w:num="2" w:equalWidth="0">
            <w:col w:w="2953" w:space="421"/>
            <w:col w:w="5246"/>
          </w:cols>
        </w:sectPr>
      </w:pPr>
    </w:p>
    <w:p>
      <w:pPr>
        <w:pStyle w:val="BodyText"/>
      </w:pPr>
      <w:r>
        <w:rPr/>
        <w:t>订立本合同时，我们应向您说明本合同的内容。 </w:t>
      </w:r>
    </w:p>
    <w:p>
      <w:pPr>
        <w:pStyle w:val="BodyText"/>
        <w:spacing w:line="273" w:lineRule="auto"/>
        <w:ind w:right="187"/>
        <w:jc w:val="both"/>
      </w:pPr>
      <w:r>
        <w:rPr>
          <w:spacing w:val="-5"/>
        </w:rPr>
        <w:t>对保险条款中免除我们责任的条款，我们在订立合同时应当在投保单、保险单或者其他保险</w:t>
      </w:r>
      <w:r>
        <w:rPr>
          <w:spacing w:val="-11"/>
        </w:rPr>
        <w:t>凭证上作出足以引起您注意的提示，并对该条款的内容以书面或者口头形式向您作出明确说明，未作提示或者明确说明的，该条款不产生效力。</w:t>
      </w:r>
    </w:p>
    <w:p>
      <w:pPr>
        <w:pStyle w:val="BodyText"/>
        <w:spacing w:before="7"/>
      </w:pPr>
      <w:r>
        <w:rPr/>
        <w:t>我们就您和被保险人的有关情况提出询问，您应当如实告知。 </w:t>
      </w:r>
    </w:p>
    <w:p>
      <w:pPr>
        <w:pStyle w:val="BodyText"/>
        <w:spacing w:line="273" w:lineRule="auto" w:before="36"/>
        <w:ind w:right="187"/>
      </w:pPr>
      <w:r>
        <w:rPr>
          <w:spacing w:val="-4"/>
        </w:rPr>
        <w:t>如果您故意或者因重大过失未履行前款规定的如实告知义务，足以影响我们决定是否同意承保或者提高保险费率的，我们有权解除本合同。 </w:t>
      </w:r>
    </w:p>
    <w:p>
      <w:pPr>
        <w:pStyle w:val="BodyText"/>
        <w:spacing w:line="273" w:lineRule="auto" w:before="7"/>
        <w:ind w:right="280"/>
      </w:pPr>
      <w:r>
        <w:rPr/>
        <w:t>如果您故意不履行如实告知义务，对于本合同解除前发生的保险事故，我们不承担给付保险金的责任，并不退还保险费。 </w:t>
      </w:r>
    </w:p>
    <w:p>
      <w:pPr>
        <w:pStyle w:val="BodyText"/>
        <w:spacing w:line="273" w:lineRule="auto" w:before="7"/>
        <w:ind w:right="280"/>
      </w:pPr>
      <w:r>
        <w:rPr/>
        <w:t>如果您因重大过失未履行如实告知义务，对保险事故的发生有严重影响的，对于本合同解除前发生的保险事故，我们不承担给付保险金的责任，但应当退还保险费。 </w:t>
      </w:r>
    </w:p>
    <w:p>
      <w:pPr>
        <w:pStyle w:val="BodyText"/>
        <w:spacing w:line="273" w:lineRule="auto" w:before="7"/>
        <w:ind w:right="100"/>
      </w:pPr>
      <w:r>
        <w:rPr/>
        <w:t>我们在合同订立时已经知道您未如实告知的情况的，我们不得解除合同；发生保险事故的， 我们承担给付保险金的责任。 </w:t>
      </w:r>
    </w:p>
    <w:p>
      <w:pPr>
        <w:pStyle w:val="BodyText"/>
        <w:spacing w:line="273" w:lineRule="auto" w:before="7"/>
        <w:ind w:right="186"/>
        <w:jc w:val="both"/>
      </w:pPr>
      <w:r>
        <w:rPr>
          <w:spacing w:val="-6"/>
        </w:rPr>
        <w:t>本条规定的合同解除权，自我们知道有解除事由之日起，超过三十日不行使而消灭。自本合</w:t>
      </w:r>
      <w:r>
        <w:rPr>
          <w:spacing w:val="-10"/>
        </w:rPr>
        <w:t>同成立之日起超过二年的，我们不得解除合同；发生保险事故的，我们承担给付保险金的责任。 </w:t>
      </w:r>
    </w:p>
    <w:p>
      <w:pPr>
        <w:pStyle w:val="Heading1"/>
        <w:spacing w:line="298" w:lineRule="exact"/>
        <w:ind w:left="117" w:right="0"/>
        <w:jc w:val="left"/>
      </w:pPr>
      <w:r>
        <w:rPr/>
        <w:t> </w:t>
      </w:r>
    </w:p>
    <w:p>
      <w:pPr>
        <w:pStyle w:val="BodyText"/>
        <w:tabs>
          <w:tab w:pos="1377" w:val="left" w:leader="none"/>
        </w:tabs>
        <w:spacing w:before="23"/>
      </w:pPr>
      <w:r>
        <w:rPr/>
        <w:t>第十八条</w:t>
        <w:tab/>
        <w:t>年龄确定及错误处理 </w:t>
      </w:r>
    </w:p>
    <w:p>
      <w:pPr>
        <w:pStyle w:val="BodyText"/>
        <w:spacing w:line="273" w:lineRule="auto"/>
        <w:ind w:right="189"/>
      </w:pPr>
      <w:r>
        <w:rPr>
          <w:spacing w:val="-4"/>
        </w:rPr>
        <w:t>被保险人的投保年龄为以法定证件载明的出生日期计算的周岁年龄。您在申请投保时，应按被保险人的周岁年龄填写。若发生错误，我们依下列约定处理： </w:t>
      </w:r>
    </w:p>
    <w:p>
      <w:pPr>
        <w:pStyle w:val="BodyText"/>
        <w:spacing w:line="273" w:lineRule="auto" w:before="7"/>
        <w:ind w:left="537" w:right="189" w:hanging="420"/>
      </w:pPr>
      <w:r>
        <w:rPr>
          <w:spacing w:val="-5"/>
        </w:rPr>
        <w:t>一、申报的被保险人年龄不真实，并且其真实年龄不符合本合同约定投保年龄限制的，在保险事故发生之前我们有权解除合同，并向您退还本合同的现金价值。</w:t>
      </w:r>
    </w:p>
    <w:p>
      <w:pPr>
        <w:pStyle w:val="BodyText"/>
        <w:spacing w:line="273" w:lineRule="auto" w:before="7"/>
        <w:ind w:left="537" w:right="186"/>
        <w:jc w:val="both"/>
      </w:pPr>
      <w:r>
        <w:rPr>
          <w:spacing w:val="-6"/>
        </w:rPr>
        <w:t>本款规定的合同解除权，自我们知道有解除事由之日起，超过三十日不行使而消灭。自</w:t>
      </w:r>
      <w:r>
        <w:rPr>
          <w:spacing w:val="-10"/>
        </w:rPr>
        <w:t>本合同成立之日起超过二年的，我们不得解除合同；发生保险事故的，我们承担给付保险金的责任。 </w:t>
      </w:r>
    </w:p>
    <w:p>
      <w:pPr>
        <w:pStyle w:val="BodyText"/>
        <w:spacing w:line="273" w:lineRule="auto" w:before="7"/>
        <w:ind w:left="537" w:right="189"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求您补交保险费。若已经发生保险事故，在给付保险金时按实付保险费和应付保险费的比例给付。 </w:t>
      </w:r>
    </w:p>
    <w:p>
      <w:pPr>
        <w:pStyle w:val="BodyText"/>
        <w:spacing w:line="273" w:lineRule="auto" w:before="7"/>
        <w:ind w:left="537" w:right="189" w:hanging="420"/>
      </w:pPr>
      <w:r>
        <w:rPr>
          <w:spacing w:val="-5"/>
        </w:rPr>
        <w:t>三、申报的被保险人年龄不真实，致使您实付保险费多于应付保险费的，我们会将多收的保险费退还给您。 </w:t>
      </w:r>
    </w:p>
    <w:p>
      <w:pPr>
        <w:pStyle w:val="BodyText"/>
        <w:spacing w:before="7"/>
      </w:pPr>
      <w:r>
        <w:rPr/>
        <w:t> </w:t>
      </w:r>
    </w:p>
    <w:p>
      <w:pPr>
        <w:pStyle w:val="BodyText"/>
        <w:tabs>
          <w:tab w:pos="1377" w:val="left" w:leader="none"/>
        </w:tabs>
        <w:spacing w:before="36"/>
      </w:pPr>
      <w:r>
        <w:rPr/>
        <w:t>第十九条</w:t>
        <w:tab/>
        <w:t>犹豫期 </w:t>
      </w:r>
    </w:p>
    <w:p>
      <w:pPr>
        <w:pStyle w:val="BodyText"/>
        <w:spacing w:line="273" w:lineRule="auto" w:before="36"/>
        <w:ind w:right="186"/>
        <w:jc w:val="both"/>
      </w:pPr>
      <w:r>
        <w:rPr>
          <w:spacing w:val="-5"/>
        </w:rPr>
        <w:t>自您签收本合同起十日内为犹豫期。在犹豫期内，若未发生保险金给付，您可以书面申请解</w:t>
      </w:r>
      <w:r>
        <w:rPr>
          <w:spacing w:val="-3"/>
        </w:rPr>
        <w:t>除本合同。自我们收到解除申请时起</w:t>
      </w:r>
      <w:r>
        <w:rPr/>
        <w:t>（若为邮寄，则以寄发邮戳为准</w:t>
      </w:r>
      <w:r>
        <w:rPr>
          <w:spacing w:val="-104"/>
        </w:rPr>
        <w:t>）</w:t>
      </w:r>
      <w:r>
        <w:rPr/>
        <w:t>，本合同自始无效。您向我们退回保险合同，我们无息向您退还已收到的保险费。 </w:t>
      </w:r>
    </w:p>
    <w:p>
      <w:pPr>
        <w:pStyle w:val="BodyText"/>
        <w:spacing w:before="7"/>
        <w:jc w:val="both"/>
      </w:pPr>
      <w:r>
        <w:rPr/>
        <w:t> </w:t>
      </w:r>
    </w:p>
    <w:p>
      <w:pPr>
        <w:pStyle w:val="BodyText"/>
        <w:jc w:val="both"/>
      </w:pPr>
      <w:r>
        <w:rPr/>
        <w:t>第二十条    受益人指定与变更 </w:t>
      </w:r>
    </w:p>
    <w:p>
      <w:pPr>
        <w:pStyle w:val="BodyText"/>
        <w:jc w:val="both"/>
      </w:pPr>
      <w:r>
        <w:rPr/>
        <w:t>除本合同另有约定外，重大疾病保险金的受益人为被保险人本人。 </w:t>
      </w:r>
    </w:p>
    <w:p>
      <w:pPr>
        <w:pStyle w:val="BodyText"/>
        <w:jc w:val="both"/>
      </w:pPr>
      <w:r>
        <w:rPr/>
        <w:t>您或被保险人可以指定或变更身故保险金受益人。但您指定或变更身故保险金受益人须征得</w:t>
      </w:r>
    </w:p>
    <w:p>
      <w:pPr>
        <w:spacing w:after="0"/>
        <w:jc w:val="both"/>
        <w:sectPr>
          <w:type w:val="continuous"/>
          <w:pgSz w:w="11900" w:h="16840"/>
          <w:pgMar w:top="1320" w:bottom="1340" w:left="1680" w:right="1600"/>
        </w:sectPr>
      </w:pPr>
    </w:p>
    <w:p>
      <w:pPr>
        <w:pStyle w:val="BodyText"/>
        <w:spacing w:before="25"/>
      </w:pPr>
      <w:r>
        <w:rPr/>
        <w:t>被保险人书面同意。变更受益人须书面通知我们，并经我们在保险单上批注。 </w:t>
      </w:r>
    </w:p>
    <w:p>
      <w:pPr>
        <w:pStyle w:val="BodyText"/>
        <w:spacing w:line="273" w:lineRule="auto"/>
        <w:ind w:right="206"/>
      </w:pPr>
      <w:r>
        <w:rPr>
          <w:spacing w:val="-6"/>
        </w:rPr>
        <w:t>若受益人为数人时，您或被保险人应确定受益顺序和受益份额；未确定受益份额的，各受益人享有相等份额的受益权。 </w:t>
      </w:r>
    </w:p>
    <w:p>
      <w:pPr>
        <w:pStyle w:val="BodyText"/>
        <w:spacing w:line="273" w:lineRule="auto" w:before="7"/>
        <w:ind w:right="206"/>
      </w:pPr>
      <w:r>
        <w:rPr/>
        <w:t>被保险人为无民事行为能力人或限制民事行为能力人的，可以由其监护人指定受益人。  </w:t>
      </w:r>
      <w:r>
        <w:rPr>
          <w:spacing w:val="-7"/>
        </w:rPr>
        <w:t>被保险人身故后，有下列情形之一的，保险金作为被保险人的遗产，由我们依照《中华人民共和国继承法》的规定履行给付保险金的义务： </w:t>
      </w:r>
    </w:p>
    <w:p>
      <w:pPr>
        <w:pStyle w:val="BodyText"/>
        <w:spacing w:line="273" w:lineRule="auto" w:before="7"/>
        <w:ind w:right="3165"/>
      </w:pPr>
      <w:r>
        <w:rPr/>
        <w:t>一、没有指定受益人，或者受益人指定不明无法确定的； 二、受益人先于被保险人身故，没有其他受益人的； </w:t>
      </w:r>
    </w:p>
    <w:p>
      <w:pPr>
        <w:pStyle w:val="BodyText"/>
        <w:spacing w:before="7"/>
      </w:pPr>
      <w:r>
        <w:rPr/>
        <w:t>三、受益人依法丧失受益权或者放弃受益权，没有其他受益人的。 </w:t>
      </w:r>
    </w:p>
    <w:p>
      <w:pPr>
        <w:pStyle w:val="BodyText"/>
        <w:spacing w:line="273" w:lineRule="auto" w:before="36"/>
        <w:ind w:right="209"/>
      </w:pPr>
      <w:r>
        <w:rPr>
          <w:spacing w:val="-5"/>
        </w:rPr>
        <w:t>若受益人与被保险人在同一事件中身故，且不能确定身故先后顺序的，则推定受益人先于被保险人身故。 </w:t>
      </w:r>
    </w:p>
    <w:p>
      <w:pPr>
        <w:pStyle w:val="BodyText"/>
        <w:spacing w:line="273" w:lineRule="auto" w:before="7"/>
        <w:ind w:right="208"/>
      </w:pPr>
      <w:r>
        <w:rPr>
          <w:spacing w:val="-6"/>
        </w:rPr>
        <w:t>受益人故意造成被保险人身故、伤残、疾病的，或者故意杀害被保险人未遂的，该受益人丧失受益权。</w:t>
      </w:r>
    </w:p>
    <w:p>
      <w:pPr>
        <w:pStyle w:val="BodyText"/>
        <w:spacing w:before="5"/>
        <w:ind w:left="0"/>
        <w:rPr>
          <w:sz w:val="24"/>
        </w:rPr>
      </w:pPr>
    </w:p>
    <w:p>
      <w:pPr>
        <w:pStyle w:val="BodyText"/>
        <w:spacing w:before="0"/>
      </w:pPr>
      <w:r>
        <w:rPr/>
        <w:t>第二十一条  合同内容变更 </w:t>
      </w:r>
    </w:p>
    <w:p>
      <w:pPr>
        <w:pStyle w:val="BodyText"/>
        <w:spacing w:line="273" w:lineRule="auto" w:before="36"/>
        <w:ind w:right="206"/>
      </w:pPr>
      <w:r>
        <w:rPr>
          <w:spacing w:val="-7"/>
        </w:rPr>
        <w:t>在本合同有效期内，经与我们协商一致，您可以变更本合同的有关内容，并经我们在保险单上批注。 </w:t>
      </w:r>
    </w:p>
    <w:p>
      <w:pPr>
        <w:pStyle w:val="BodyText"/>
        <w:spacing w:before="7"/>
      </w:pPr>
      <w:r>
        <w:rPr/>
        <w:t> </w:t>
      </w:r>
    </w:p>
    <w:p>
      <w:pPr>
        <w:pStyle w:val="BodyText"/>
      </w:pPr>
      <w:r>
        <w:rPr/>
        <w:t>第二十二条  通讯地址变更 </w:t>
      </w:r>
    </w:p>
    <w:p>
      <w:pPr>
        <w:pStyle w:val="BodyText"/>
        <w:spacing w:line="273" w:lineRule="auto"/>
        <w:ind w:right="206"/>
      </w:pPr>
      <w:r>
        <w:rPr>
          <w:spacing w:val="-6"/>
        </w:rPr>
        <w:t>您的通讯地址变更时，应及时书面通知我们。您不作前项通知时，我们按本合同所载的最新通讯地址发送的通知，视为已送达您。 </w:t>
      </w:r>
    </w:p>
    <w:p>
      <w:pPr>
        <w:pStyle w:val="BodyText"/>
        <w:spacing w:before="7"/>
      </w:pPr>
      <w:r>
        <w:rPr/>
        <w:t> </w:t>
      </w:r>
    </w:p>
    <w:p>
      <w:pPr>
        <w:pStyle w:val="BodyText"/>
        <w:spacing w:before="36"/>
      </w:pPr>
      <w:r>
        <w:rPr/>
        <w:t>第二十三条  司法鉴定 </w:t>
      </w:r>
    </w:p>
    <w:p>
      <w:pPr>
        <w:pStyle w:val="BodyText"/>
        <w:spacing w:before="36"/>
      </w:pPr>
      <w:r>
        <w:rPr/>
        <w:t>我们有权要求司法鉴定机构对保险事故进行鉴定。 </w:t>
      </w:r>
    </w:p>
    <w:p>
      <w:pPr>
        <w:pStyle w:val="BodyText"/>
        <w:spacing w:before="36"/>
      </w:pPr>
      <w:r>
        <w:rPr/>
        <w:t> </w:t>
      </w:r>
    </w:p>
    <w:p>
      <w:pPr>
        <w:pStyle w:val="BodyText"/>
        <w:spacing w:before="36"/>
      </w:pPr>
      <w:r>
        <w:rPr/>
        <w:t>第二十四条  争议处理 </w:t>
      </w:r>
    </w:p>
    <w:p>
      <w:pPr>
        <w:pStyle w:val="BodyText"/>
        <w:spacing w:line="273" w:lineRule="auto" w:before="36"/>
        <w:ind w:right="207"/>
      </w:pPr>
      <w:r>
        <w:rPr>
          <w:spacing w:val="-6"/>
        </w:rPr>
        <w:t>本合同受中华人民共和国的法律管辖。合同争议解决方式由当事人在合同约定从下列两种方式中选择一种： </w:t>
      </w:r>
    </w:p>
    <w:p>
      <w:pPr>
        <w:pStyle w:val="BodyText"/>
        <w:spacing w:line="273" w:lineRule="auto" w:before="7"/>
        <w:ind w:right="102"/>
      </w:pPr>
      <w:r>
        <w:rPr>
          <w:spacing w:val="-18"/>
        </w:rPr>
        <w:t>一、因履行本合同发生的争议，由当事人协商解决，协商不成的，提交××仲裁委员会仲裁；</w:t>
      </w:r>
      <w:r>
        <w:rPr>
          <w:spacing w:val="-103"/>
        </w:rPr>
        <w:t> </w:t>
      </w:r>
      <w:r>
        <w:rPr/>
        <w:t>二、因履行本合同发生的争议，由当事人协商解决，协商不成的，依法向人民法院起诉。 </w:t>
      </w:r>
    </w:p>
    <w:p>
      <w:pPr>
        <w:pStyle w:val="BodyText"/>
        <w:spacing w:before="9"/>
        <w:ind w:left="0"/>
      </w:pPr>
    </w:p>
    <w:p>
      <w:pPr>
        <w:pStyle w:val="BodyText"/>
        <w:spacing w:before="35"/>
        <w:ind w:left="3413" w:right="3401"/>
        <w:jc w:val="center"/>
      </w:pPr>
      <w:r>
        <w:rPr/>
        <w:t>第七章 附表 </w:t>
      </w:r>
    </w:p>
    <w:p>
      <w:pPr>
        <w:pStyle w:val="BodyText"/>
        <w:spacing w:before="36"/>
      </w:pPr>
      <w:r>
        <w:rPr/>
        <w:t> </w:t>
      </w:r>
    </w:p>
    <w:p>
      <w:pPr>
        <w:pStyle w:val="BodyText"/>
        <w:spacing w:before="36"/>
      </w:pPr>
      <w:r>
        <w:rPr/>
        <w:t>附表：重大疾病种类表  </w:t>
      </w:r>
    </w:p>
    <w:p>
      <w:pPr>
        <w:pStyle w:val="BodyText"/>
        <w:spacing w:line="273" w:lineRule="auto" w:before="36"/>
        <w:ind w:right="12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12</w:t>
      </w:r>
      <w:r>
        <w:rPr>
          <w:spacing w:val="-6"/>
        </w:rPr>
        <w:t>明确诊断。 </w:t>
      </w:r>
    </w:p>
    <w:p>
      <w:pPr>
        <w:pStyle w:val="BodyText"/>
        <w:spacing w:before="0"/>
        <w:ind w:left="0"/>
        <w:rPr>
          <w:sz w:val="20"/>
        </w:rPr>
      </w:pPr>
    </w:p>
    <w:p>
      <w:pPr>
        <w:pStyle w:val="BodyText"/>
        <w:spacing w:before="0"/>
        <w:ind w:left="0"/>
        <w:rPr>
          <w:sz w:val="20"/>
        </w:rPr>
      </w:pPr>
    </w:p>
    <w:p>
      <w:pPr>
        <w:pStyle w:val="BodyText"/>
        <w:spacing w:before="0"/>
        <w:ind w:left="0"/>
        <w:rPr>
          <w:sz w:val="13"/>
        </w:rPr>
      </w:pPr>
      <w:r>
        <w:rPr/>
        <w:pict>
          <v:line style="position:absolute;mso-position-horizontal-relative:page;mso-position-vertical-relative:paragraph;z-index:1120;mso-wrap-distance-left:0;mso-wrap-distance-right:0" from="89.879997pt,10.799283pt" to="233.879997pt,10.799283pt" stroked="true" strokeweight=".54001pt" strokecolor="#000000">
            <v:stroke dashstyle="solid"/>
            <w10:wrap type="topAndBottom"/>
          </v:line>
        </w:pict>
      </w:r>
    </w:p>
    <w:p>
      <w:pPr>
        <w:spacing w:line="234" w:lineRule="exact" w:before="30"/>
        <w:ind w:left="117" w:right="0" w:firstLine="0"/>
        <w:jc w:val="left"/>
        <w:rPr>
          <w:sz w:val="18"/>
        </w:rPr>
      </w:pPr>
      <w:r>
        <w:rPr>
          <w:rFonts w:ascii="Times New Roman" w:eastAsia="Times New Roman"/>
          <w:position w:val="8"/>
          <w:sz w:val="12"/>
        </w:rPr>
        <w:t>12  </w:t>
      </w:r>
      <w:r>
        <w:rPr>
          <w:sz w:val="18"/>
        </w:rPr>
        <w:t>专科医生：专科医生应当同时满足以下四项资格条件： </w:t>
      </w:r>
    </w:p>
    <w:p>
      <w:pPr>
        <w:pStyle w:val="ListParagraph"/>
        <w:numPr>
          <w:ilvl w:val="1"/>
          <w:numId w:val="7"/>
        </w:numPr>
        <w:tabs>
          <w:tab w:pos="658" w:val="left" w:leader="none"/>
        </w:tabs>
        <w:spacing w:line="233" w:lineRule="exact" w:before="0" w:after="0"/>
        <w:ind w:left="657" w:right="0" w:hanging="360"/>
        <w:jc w:val="left"/>
        <w:rPr>
          <w:sz w:val="18"/>
        </w:rPr>
      </w:pPr>
      <w:r>
        <w:rPr>
          <w:spacing w:val="-5"/>
          <w:sz w:val="18"/>
        </w:rPr>
        <w:t>具有有效的中华人民共和国《医师资格证书》； </w:t>
      </w:r>
    </w:p>
    <w:p>
      <w:pPr>
        <w:pStyle w:val="ListParagraph"/>
        <w:numPr>
          <w:ilvl w:val="1"/>
          <w:numId w:val="7"/>
        </w:numPr>
        <w:tabs>
          <w:tab w:pos="658" w:val="left" w:leader="none"/>
        </w:tabs>
        <w:spacing w:line="233" w:lineRule="exact" w:before="0" w:after="0"/>
        <w:ind w:left="657" w:right="0" w:hanging="360"/>
        <w:jc w:val="left"/>
        <w:rPr>
          <w:sz w:val="18"/>
        </w:rPr>
      </w:pPr>
      <w:r>
        <w:rPr>
          <w:spacing w:val="-5"/>
          <w:sz w:val="18"/>
        </w:rPr>
        <w:t>具有有效的中华人民共和国《医师执业证书》，并按期到相关部门登记注册； </w:t>
      </w:r>
    </w:p>
    <w:p>
      <w:pPr>
        <w:pStyle w:val="ListParagraph"/>
        <w:numPr>
          <w:ilvl w:val="1"/>
          <w:numId w:val="7"/>
        </w:numPr>
        <w:tabs>
          <w:tab w:pos="658" w:val="left" w:leader="none"/>
        </w:tabs>
        <w:spacing w:line="233" w:lineRule="exact" w:before="0" w:after="0"/>
        <w:ind w:left="657" w:right="0" w:hanging="360"/>
        <w:jc w:val="left"/>
        <w:rPr>
          <w:sz w:val="18"/>
        </w:rPr>
      </w:pPr>
      <w:r>
        <w:rPr>
          <w:spacing w:val="-3"/>
          <w:sz w:val="18"/>
        </w:rPr>
        <w:t>具有有效的中华人民共和国主治医师或主治医师以上职称的《医师职称证书》； </w:t>
      </w:r>
    </w:p>
    <w:p>
      <w:pPr>
        <w:pStyle w:val="ListParagraph"/>
        <w:numPr>
          <w:ilvl w:val="1"/>
          <w:numId w:val="7"/>
        </w:numPr>
        <w:tabs>
          <w:tab w:pos="658" w:val="left" w:leader="none"/>
        </w:tabs>
        <w:spacing w:line="235" w:lineRule="exact" w:before="0" w:after="0"/>
        <w:ind w:left="657" w:right="0" w:hanging="360"/>
        <w:jc w:val="left"/>
        <w:rPr>
          <w:sz w:val="18"/>
        </w:rPr>
      </w:pPr>
      <w:r>
        <w:rPr>
          <w:sz w:val="18"/>
        </w:rPr>
        <w:t>在二级或二级以上医院的相应科室从事临床工作三年以上。 </w:t>
      </w:r>
    </w:p>
    <w:p>
      <w:pPr>
        <w:spacing w:after="0" w:line="235" w:lineRule="exact"/>
        <w:jc w:val="left"/>
        <w:rPr>
          <w:sz w:val="18"/>
        </w:rPr>
        <w:sectPr>
          <w:pgSz w:w="11900" w:h="16840"/>
          <w:pgMar w:header="0" w:footer="1140" w:top="1400" w:bottom="1340" w:left="1680" w:right="15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sz w:val="21"/>
              </w:rPr>
              <w:t>一、恶性肿瘤 </w:t>
            </w:r>
          </w:p>
        </w:tc>
        <w:tc>
          <w:tcPr>
            <w:tcW w:w="6810" w:type="dxa"/>
          </w:tcPr>
          <w:p>
            <w:pPr>
              <w:pStyle w:val="TableParagraph"/>
              <w:spacing w:line="260" w:lineRule="exact" w:before="0"/>
              <w:rPr>
                <w:sz w:val="21"/>
              </w:rPr>
            </w:pPr>
            <w:r>
              <w:rPr>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 </w:t>
            </w:r>
          </w:p>
          <w:p>
            <w:pPr>
              <w:pStyle w:val="TableParagraph"/>
              <w:spacing w:before="7"/>
              <w:jc w:val="both"/>
              <w:rPr>
                <w:sz w:val="21"/>
              </w:rPr>
            </w:pPr>
            <w:r>
              <w:rPr>
                <w:sz w:val="21"/>
              </w:rPr>
              <w:t>下列疾病不在保障范围内： </w:t>
            </w:r>
          </w:p>
          <w:p>
            <w:pPr>
              <w:pStyle w:val="TableParagraph"/>
              <w:numPr>
                <w:ilvl w:val="0"/>
                <w:numId w:val="8"/>
              </w:numPr>
              <w:tabs>
                <w:tab w:pos="468" w:val="left" w:leader="none"/>
              </w:tabs>
              <w:spacing w:line="240" w:lineRule="auto" w:before="36" w:after="0"/>
              <w:ind w:left="467" w:right="0" w:hanging="360"/>
              <w:jc w:val="both"/>
              <w:rPr>
                <w:sz w:val="21"/>
              </w:rPr>
            </w:pPr>
            <w:r>
              <w:rPr>
                <w:sz w:val="21"/>
              </w:rPr>
              <w:t>原位癌； </w:t>
            </w:r>
          </w:p>
          <w:p>
            <w:pPr>
              <w:pStyle w:val="TableParagraph"/>
              <w:numPr>
                <w:ilvl w:val="0"/>
                <w:numId w:val="8"/>
              </w:numPr>
              <w:tabs>
                <w:tab w:pos="468" w:val="left" w:leader="none"/>
              </w:tabs>
              <w:spacing w:line="240" w:lineRule="auto" w:before="36" w:after="0"/>
              <w:ind w:left="467" w:right="0" w:hanging="360"/>
              <w:jc w:val="both"/>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  </w:t>
            </w:r>
          </w:p>
          <w:p>
            <w:pPr>
              <w:pStyle w:val="TableParagraph"/>
              <w:numPr>
                <w:ilvl w:val="0"/>
                <w:numId w:val="8"/>
              </w:numPr>
              <w:tabs>
                <w:tab w:pos="468" w:val="left" w:leader="none"/>
              </w:tabs>
              <w:spacing w:line="240" w:lineRule="auto" w:before="36" w:after="0"/>
              <w:ind w:left="467" w:right="0" w:hanging="360"/>
              <w:jc w:val="both"/>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  </w:t>
            </w:r>
          </w:p>
          <w:p>
            <w:pPr>
              <w:pStyle w:val="TableParagraph"/>
              <w:numPr>
                <w:ilvl w:val="0"/>
                <w:numId w:val="8"/>
              </w:numPr>
              <w:tabs>
                <w:tab w:pos="468" w:val="left" w:leader="none"/>
              </w:tabs>
              <w:spacing w:line="240" w:lineRule="auto" w:before="36" w:after="0"/>
              <w:ind w:left="467" w:right="0" w:hanging="360"/>
              <w:jc w:val="both"/>
              <w:rPr>
                <w:sz w:val="21"/>
              </w:rPr>
            </w:pPr>
            <w:r>
              <w:rPr>
                <w:sz w:val="21"/>
              </w:rPr>
              <w:t>皮肤癌（不包括恶性黑色素瘤及已发生转移的皮肤癌</w:t>
            </w:r>
            <w:r>
              <w:rPr>
                <w:spacing w:val="-105"/>
                <w:sz w:val="21"/>
              </w:rPr>
              <w:t>）</w:t>
            </w:r>
            <w:r>
              <w:rPr>
                <w:spacing w:val="-1"/>
                <w:sz w:val="21"/>
              </w:rPr>
              <w:t>；  </w:t>
            </w:r>
          </w:p>
          <w:p>
            <w:pPr>
              <w:pStyle w:val="TableParagraph"/>
              <w:numPr>
                <w:ilvl w:val="0"/>
                <w:numId w:val="8"/>
              </w:numPr>
              <w:tabs>
                <w:tab w:pos="468" w:val="left" w:leader="none"/>
              </w:tabs>
              <w:spacing w:line="240" w:lineRule="auto" w:before="36" w:after="0"/>
              <w:ind w:left="467" w:right="0" w:hanging="360"/>
              <w:jc w:val="both"/>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 </w:t>
            </w:r>
          </w:p>
          <w:p>
            <w:pPr>
              <w:pStyle w:val="TableParagraph"/>
              <w:numPr>
                <w:ilvl w:val="0"/>
                <w:numId w:val="8"/>
              </w:numPr>
              <w:tabs>
                <w:tab w:pos="468" w:val="left" w:leader="none"/>
              </w:tabs>
              <w:spacing w:line="240" w:lineRule="auto" w:before="37" w:after="0"/>
              <w:ind w:left="467" w:right="0" w:hanging="360"/>
              <w:jc w:val="both"/>
              <w:rPr>
                <w:sz w:val="21"/>
              </w:rPr>
            </w:pPr>
            <w:r>
              <w:rPr>
                <w:sz w:val="21"/>
              </w:rPr>
              <w:t>感染艾滋病病毒或患艾滋病期间所患恶性肿瘤。 </w:t>
            </w:r>
          </w:p>
        </w:tc>
      </w:tr>
      <w:tr>
        <w:trPr>
          <w:trHeight w:val="2496" w:hRule="atLeast"/>
        </w:trPr>
        <w:tc>
          <w:tcPr>
            <w:tcW w:w="1908" w:type="dxa"/>
          </w:tcPr>
          <w:p>
            <w:pPr>
              <w:pStyle w:val="TableParagraph"/>
              <w:spacing w:line="261" w:lineRule="exact" w:before="0"/>
              <w:rPr>
                <w:sz w:val="21"/>
              </w:rPr>
            </w:pPr>
            <w:r>
              <w:rPr>
                <w:sz w:val="21"/>
              </w:rPr>
              <w:t>二、急性心肌梗塞 </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sz w:val="21"/>
              </w:rPr>
              <w:t>下列至少三项条件： </w:t>
            </w:r>
          </w:p>
          <w:p>
            <w:pPr>
              <w:pStyle w:val="TableParagraph"/>
              <w:numPr>
                <w:ilvl w:val="0"/>
                <w:numId w:val="9"/>
              </w:numPr>
              <w:tabs>
                <w:tab w:pos="528" w:val="left" w:leader="none"/>
              </w:tabs>
              <w:spacing w:line="240" w:lineRule="auto" w:before="37" w:after="0"/>
              <w:ind w:left="527" w:right="0" w:hanging="420"/>
              <w:jc w:val="left"/>
              <w:rPr>
                <w:sz w:val="21"/>
              </w:rPr>
            </w:pPr>
            <w:r>
              <w:rPr>
                <w:sz w:val="21"/>
              </w:rPr>
              <w:t>典型临床表现，例如急性胸痛等； </w:t>
            </w:r>
          </w:p>
          <w:p>
            <w:pPr>
              <w:pStyle w:val="TableParagraph"/>
              <w:numPr>
                <w:ilvl w:val="0"/>
                <w:numId w:val="9"/>
              </w:numPr>
              <w:tabs>
                <w:tab w:pos="528" w:val="left" w:leader="none"/>
              </w:tabs>
              <w:spacing w:line="240" w:lineRule="auto" w:before="37" w:after="0"/>
              <w:ind w:left="527" w:right="0" w:hanging="420"/>
              <w:jc w:val="left"/>
              <w:rPr>
                <w:sz w:val="21"/>
              </w:rPr>
            </w:pPr>
            <w:r>
              <w:rPr>
                <w:sz w:val="21"/>
              </w:rPr>
              <w:t>新近的心电图改变提示急性心肌梗塞； </w:t>
            </w:r>
          </w:p>
          <w:p>
            <w:pPr>
              <w:pStyle w:val="TableParagraph"/>
              <w:numPr>
                <w:ilvl w:val="0"/>
                <w:numId w:val="9"/>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肌酶或肌钙蛋白有诊断意义的升高，或呈符合急性心肌梗塞的动态性变化； </w:t>
            </w:r>
          </w:p>
          <w:p>
            <w:pPr>
              <w:pStyle w:val="TableParagraph"/>
              <w:numPr>
                <w:ilvl w:val="0"/>
                <w:numId w:val="9"/>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8"/>
                <w:sz w:val="21"/>
              </w:rPr>
              <w:t>于 </w:t>
            </w:r>
            <w:r>
              <w:rPr>
                <w:rFonts w:ascii="Times New Roman" w:eastAsia="Times New Roman"/>
                <w:sz w:val="21"/>
              </w:rPr>
              <w:t>50%</w:t>
            </w:r>
            <w:r>
              <w:rPr>
                <w:sz w:val="21"/>
              </w:rPr>
              <w:t>。 </w:t>
            </w:r>
          </w:p>
        </w:tc>
      </w:tr>
      <w:tr>
        <w:trPr>
          <w:trHeight w:val="2183" w:hRule="atLeast"/>
        </w:trPr>
        <w:tc>
          <w:tcPr>
            <w:tcW w:w="1908" w:type="dxa"/>
          </w:tcPr>
          <w:p>
            <w:pPr>
              <w:pStyle w:val="TableParagraph"/>
              <w:spacing w:line="260" w:lineRule="exact" w:before="0"/>
              <w:rPr>
                <w:sz w:val="21"/>
              </w:rPr>
            </w:pPr>
            <w:r>
              <w:rPr>
                <w:sz w:val="21"/>
              </w:rPr>
              <w:t>三、脑中风后遗症 </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spacing w:line="273" w:lineRule="auto"/>
              <w:ind w:right="92"/>
              <w:rPr>
                <w:sz w:val="21"/>
              </w:rPr>
            </w:pPr>
            <w:r>
              <w:rPr>
                <w:sz w:val="21"/>
              </w:rPr>
              <w:t>永久性的功能障碍。神经系统永久性的功能障碍，指疾病确诊一百八十天后，仍遗留下列一种或一种以上障碍： </w:t>
            </w:r>
          </w:p>
          <w:p>
            <w:pPr>
              <w:pStyle w:val="TableParagraph"/>
              <w:numPr>
                <w:ilvl w:val="0"/>
                <w:numId w:val="10"/>
              </w:numPr>
              <w:tabs>
                <w:tab w:pos="528" w:val="left" w:leader="none"/>
              </w:tabs>
              <w:spacing w:line="240" w:lineRule="auto" w:before="7" w:after="0"/>
              <w:ind w:left="527" w:right="0" w:hanging="420"/>
              <w:jc w:val="left"/>
              <w:rPr>
                <w:sz w:val="21"/>
              </w:rPr>
            </w:pPr>
            <w:r>
              <w:rPr>
                <w:sz w:val="21"/>
              </w:rPr>
              <w:t>一肢或一肢以上肢体机能完全丧失</w:t>
            </w:r>
            <w:r>
              <w:rPr>
                <w:b/>
                <w:position w:val="11"/>
                <w:sz w:val="11"/>
              </w:rPr>
              <w:t>13</w:t>
            </w:r>
            <w:r>
              <w:rPr>
                <w:sz w:val="21"/>
              </w:rPr>
              <w:t>； </w:t>
            </w:r>
          </w:p>
          <w:p>
            <w:pPr>
              <w:pStyle w:val="TableParagraph"/>
              <w:numPr>
                <w:ilvl w:val="0"/>
                <w:numId w:val="10"/>
              </w:numPr>
              <w:tabs>
                <w:tab w:pos="528" w:val="left" w:leader="none"/>
              </w:tabs>
              <w:spacing w:line="240" w:lineRule="auto" w:before="36" w:after="0"/>
              <w:ind w:left="527" w:right="0" w:hanging="420"/>
              <w:jc w:val="left"/>
              <w:rPr>
                <w:sz w:val="21"/>
              </w:rPr>
            </w:pPr>
            <w:r>
              <w:rPr>
                <w:sz w:val="21"/>
              </w:rPr>
              <w:t>语言能力或咀嚼吞咽能力完全丧失</w:t>
            </w:r>
            <w:r>
              <w:rPr>
                <w:b/>
                <w:position w:val="11"/>
                <w:sz w:val="11"/>
              </w:rPr>
              <w:t>14</w:t>
            </w:r>
            <w:r>
              <w:rPr>
                <w:sz w:val="21"/>
              </w:rPr>
              <w:t>； </w:t>
            </w:r>
          </w:p>
          <w:p>
            <w:pPr>
              <w:pStyle w:val="TableParagraph"/>
              <w:numPr>
                <w:ilvl w:val="0"/>
                <w:numId w:val="10"/>
              </w:numPr>
              <w:tabs>
                <w:tab w:pos="528" w:val="left" w:leader="none"/>
              </w:tabs>
              <w:spacing w:line="273" w:lineRule="auto" w:before="36" w:after="0"/>
              <w:ind w:left="527" w:right="96" w:hanging="420"/>
              <w:jc w:val="left"/>
              <w:rPr>
                <w:sz w:val="21"/>
              </w:rPr>
            </w:pPr>
            <w:r>
              <w:rPr>
                <w:spacing w:val="-4"/>
                <w:sz w:val="21"/>
              </w:rPr>
              <w:t>自主生活能力完全丧失，无法独立完成六项基本日常生活活动</w:t>
            </w:r>
            <w:r>
              <w:rPr>
                <w:b/>
                <w:position w:val="11"/>
                <w:sz w:val="11"/>
              </w:rPr>
              <w:t>15</w:t>
            </w:r>
            <w:r>
              <w:rPr>
                <w:sz w:val="21"/>
              </w:rPr>
              <w:t>中的三项或三项以上。 </w:t>
            </w:r>
          </w:p>
        </w:tc>
      </w:tr>
      <w:tr>
        <w:trPr>
          <w:trHeight w:val="1559" w:hRule="atLeast"/>
        </w:trPr>
        <w:tc>
          <w:tcPr>
            <w:tcW w:w="1908" w:type="dxa"/>
          </w:tcPr>
          <w:p>
            <w:pPr>
              <w:pStyle w:val="TableParagraph"/>
              <w:spacing w:line="260" w:lineRule="exact" w:before="0"/>
              <w:rPr>
                <w:sz w:val="21"/>
              </w:rPr>
            </w:pPr>
            <w:r>
              <w:rPr>
                <w:sz w:val="21"/>
              </w:rPr>
              <w:t>四、重大器官移植</w:t>
            </w:r>
          </w:p>
          <w:p>
            <w:pPr>
              <w:pStyle w:val="TableParagraph"/>
              <w:spacing w:line="273" w:lineRule="auto"/>
              <w:ind w:right="108"/>
              <w:rPr>
                <w:sz w:val="21"/>
              </w:rPr>
            </w:pPr>
            <w:r>
              <w:rPr>
                <w:sz w:val="21"/>
              </w:rPr>
              <w:t>术或造血干细胞移植术 </w:t>
            </w:r>
          </w:p>
        </w:tc>
        <w:tc>
          <w:tcPr>
            <w:tcW w:w="6810" w:type="dxa"/>
          </w:tcPr>
          <w:p>
            <w:pPr>
              <w:pStyle w:val="TableParagraph"/>
              <w:spacing w:line="260" w:lineRule="exact" w:before="0"/>
              <w:rPr>
                <w:sz w:val="21"/>
              </w:rPr>
            </w:pPr>
            <w:r>
              <w:rPr>
                <w:sz w:val="21"/>
              </w:rPr>
              <w:t>重大器官移植术，指因相应器官功能衰竭，已经实施了肾脏、肝脏、心</w:t>
            </w:r>
          </w:p>
          <w:p>
            <w:pPr>
              <w:pStyle w:val="TableParagraph"/>
              <w:rPr>
                <w:sz w:val="21"/>
              </w:rPr>
            </w:pPr>
            <w:r>
              <w:rPr>
                <w:sz w:val="21"/>
              </w:rPr>
              <w:t>脏或肺脏的异体移植手术。 </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造血干细胞移植术，指因造血功能损害或造血系统恶性肿瘤，已经实施了造血干细胞（包括骨髓造血干细胞、外周血造血干细胞和脐血造血干细胞）的异体移植手术。 </w:t>
            </w:r>
          </w:p>
        </w:tc>
      </w:tr>
      <w:tr>
        <w:trPr>
          <w:trHeight w:val="624" w:hRule="atLeast"/>
        </w:trPr>
        <w:tc>
          <w:tcPr>
            <w:tcW w:w="1908" w:type="dxa"/>
          </w:tcPr>
          <w:p>
            <w:pPr>
              <w:pStyle w:val="TableParagraph"/>
              <w:spacing w:line="261" w:lineRule="exact" w:before="0"/>
              <w:rPr>
                <w:sz w:val="21"/>
              </w:rPr>
            </w:pPr>
            <w:r>
              <w:rPr>
                <w:sz w:val="21"/>
              </w:rPr>
              <w:t>五、冠状动脉搭桥</w:t>
            </w:r>
          </w:p>
          <w:p>
            <w:pPr>
              <w:pStyle w:val="TableParagraph"/>
              <w:rPr>
                <w:sz w:val="21"/>
              </w:rPr>
            </w:pPr>
            <w:r>
              <w:rPr>
                <w:sz w:val="21"/>
              </w:rPr>
              <w:t>术（或称冠状动脉</w:t>
            </w:r>
          </w:p>
        </w:tc>
        <w:tc>
          <w:tcPr>
            <w:tcW w:w="6810" w:type="dxa"/>
          </w:tcPr>
          <w:p>
            <w:pPr>
              <w:pStyle w:val="TableParagraph"/>
              <w:spacing w:line="261" w:lineRule="exact" w:before="0"/>
              <w:rPr>
                <w:sz w:val="21"/>
              </w:rPr>
            </w:pPr>
            <w:r>
              <w:rPr>
                <w:sz w:val="21"/>
              </w:rPr>
              <w:t>指为治疗严重的冠心病，实际实施了开胸进行的冠状动脉血管旁路移植</w:t>
            </w:r>
          </w:p>
          <w:p>
            <w:pPr>
              <w:pStyle w:val="TableParagraph"/>
              <w:rPr>
                <w:sz w:val="21"/>
              </w:rPr>
            </w:pPr>
            <w:r>
              <w:rPr>
                <w:sz w:val="21"/>
              </w:rPr>
              <w:t>的手术。 </w:t>
            </w:r>
          </w:p>
        </w:tc>
      </w:tr>
    </w:tbl>
    <w:p>
      <w:pPr>
        <w:pStyle w:val="BodyText"/>
        <w:spacing w:before="6"/>
        <w:ind w:left="0"/>
        <w:rPr>
          <w:sz w:val="23"/>
        </w:rPr>
      </w:pPr>
      <w:r>
        <w:rPr/>
        <w:pict>
          <v:line style="position:absolute;mso-position-horizontal-relative:page;mso-position-vertical-relative:paragraph;z-index:1144;mso-wrap-distance-left:0;mso-wrap-distance-right:0" from="89.879997pt,17.609955pt" to="233.879997pt,17.609955pt" stroked="true" strokeweight=".54001pt" strokecolor="#000000">
            <v:stroke dashstyle="solid"/>
            <w10:wrap type="topAndBottom"/>
          </v:line>
        </w:pict>
      </w:r>
    </w:p>
    <w:p>
      <w:pPr>
        <w:spacing w:line="237" w:lineRule="auto" w:before="33"/>
        <w:ind w:left="217" w:right="409" w:firstLine="0"/>
        <w:jc w:val="left"/>
        <w:rPr>
          <w:sz w:val="18"/>
        </w:rPr>
      </w:pPr>
      <w:r>
        <w:rPr>
          <w:rFonts w:ascii="Times New Roman" w:eastAsia="Times New Roman"/>
          <w:position w:val="8"/>
          <w:sz w:val="12"/>
        </w:rPr>
        <w:t>13 </w:t>
      </w:r>
      <w:r>
        <w:rPr>
          <w:sz w:val="18"/>
        </w:rPr>
        <w:t>肢体机能完全丧失：指肢体的三大关节中的两大关节僵硬，或不能随意识活动。肢体是指包括肩关节的整个上肢或包括髋关节的整个下肢。</w:t>
      </w:r>
    </w:p>
    <w:p>
      <w:pPr>
        <w:spacing w:line="233" w:lineRule="exact" w:before="0"/>
        <w:ind w:left="217" w:right="0" w:firstLine="0"/>
        <w:jc w:val="left"/>
        <w:rPr>
          <w:sz w:val="18"/>
        </w:rPr>
      </w:pPr>
      <w:r>
        <w:rPr>
          <w:rFonts w:ascii="Times New Roman" w:eastAsia="Times New Roman"/>
          <w:position w:val="8"/>
          <w:sz w:val="12"/>
        </w:rPr>
        <w:t>14</w:t>
      </w:r>
      <w:r>
        <w:rPr>
          <w:rFonts w:ascii="Times New Roman" w:eastAsia="Times New Roman"/>
          <w:sz w:val="12"/>
        </w:rPr>
        <w:t>   </w:t>
      </w:r>
      <w:r>
        <w:rPr>
          <w:sz w:val="18"/>
        </w:rPr>
        <w:t>语言能力或咀嚼吞咽能力完全丧失：语言能力完全丧失，指无法发出四种语音（包括口唇音、齿舌音、</w:t>
      </w:r>
    </w:p>
    <w:p>
      <w:pPr>
        <w:spacing w:line="233" w:lineRule="exact" w:before="0"/>
        <w:ind w:left="217" w:right="0" w:firstLine="0"/>
        <w:jc w:val="left"/>
        <w:rPr>
          <w:sz w:val="18"/>
        </w:rPr>
      </w:pPr>
      <w:r>
        <w:rPr>
          <w:sz w:val="18"/>
        </w:rPr>
        <w:t>口盖音和喉头音）中的任何三种、或声带全部切除，或因大脑语言中枢受伤害而患失语症。 </w:t>
      </w:r>
    </w:p>
    <w:p>
      <w:pPr>
        <w:spacing w:line="237" w:lineRule="auto" w:before="1"/>
        <w:ind w:left="217" w:right="440"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rFonts w:ascii="Times New Roman" w:eastAsia="Times New Roman"/>
          <w:position w:val="8"/>
          <w:sz w:val="12"/>
        </w:rPr>
        <w:t>15  </w:t>
      </w:r>
      <w:r>
        <w:rPr>
          <w:sz w:val="18"/>
        </w:rPr>
        <w:t>六项基本日常生活活动：六项基本日常生活活动是指： </w:t>
      </w:r>
    </w:p>
    <w:p>
      <w:pPr>
        <w:pStyle w:val="ListParagraph"/>
        <w:numPr>
          <w:ilvl w:val="2"/>
          <w:numId w:val="7"/>
        </w:numPr>
        <w:tabs>
          <w:tab w:pos="758" w:val="left" w:leader="none"/>
        </w:tabs>
        <w:spacing w:line="233" w:lineRule="exact" w:before="0" w:after="0"/>
        <w:ind w:left="757" w:right="0" w:hanging="360"/>
        <w:jc w:val="left"/>
        <w:rPr>
          <w:sz w:val="18"/>
        </w:rPr>
      </w:pPr>
      <w:r>
        <w:rPr>
          <w:sz w:val="18"/>
        </w:rPr>
        <w:t>穿衣：自己能够穿衣及脱衣； </w:t>
      </w:r>
    </w:p>
    <w:p>
      <w:pPr>
        <w:pStyle w:val="ListParagraph"/>
        <w:numPr>
          <w:ilvl w:val="2"/>
          <w:numId w:val="7"/>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2"/>
          <w:numId w:val="7"/>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2"/>
          <w:numId w:val="7"/>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2"/>
          <w:numId w:val="7"/>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2"/>
          <w:numId w:val="7"/>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footerReference w:type="default" r:id="rId7"/>
          <w:pgSz w:w="11900" w:h="16840"/>
          <w:pgMar w:footer="1060" w:header="0" w:top="1440" w:bottom="1260" w:left="1580" w:right="1380"/>
          <w:pgNumType w:start="8"/>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623" w:hRule="atLeast"/>
        </w:trPr>
        <w:tc>
          <w:tcPr>
            <w:tcW w:w="1908" w:type="dxa"/>
          </w:tcPr>
          <w:p>
            <w:pPr>
              <w:pStyle w:val="TableParagraph"/>
              <w:spacing w:line="260" w:lineRule="exact" w:before="0"/>
              <w:rPr>
                <w:sz w:val="21"/>
              </w:rPr>
            </w:pPr>
            <w:r>
              <w:rPr>
                <w:sz w:val="21"/>
              </w:rPr>
              <w:t>旁路移植术） </w:t>
            </w:r>
          </w:p>
        </w:tc>
        <w:tc>
          <w:tcPr>
            <w:tcW w:w="6810" w:type="dxa"/>
          </w:tcPr>
          <w:p>
            <w:pPr>
              <w:pStyle w:val="TableParagraph"/>
              <w:spacing w:line="260" w:lineRule="exact" w:before="0"/>
              <w:rPr>
                <w:sz w:val="21"/>
              </w:rPr>
            </w:pPr>
            <w:r>
              <w:rPr>
                <w:sz w:val="21"/>
              </w:rPr>
              <w:t>冠状动脉支架植入术、心导管球囊扩张术、激光射频技术及其它非开胸</w:t>
            </w:r>
          </w:p>
          <w:p>
            <w:pPr>
              <w:pStyle w:val="TableParagraph"/>
              <w:rPr>
                <w:sz w:val="21"/>
              </w:rPr>
            </w:pPr>
            <w:r>
              <w:rPr>
                <w:sz w:val="21"/>
              </w:rPr>
              <w:t>的介入手术、腔镜手术不在保障范围内。 </w:t>
            </w:r>
          </w:p>
        </w:tc>
      </w:tr>
      <w:tr>
        <w:trPr>
          <w:trHeight w:val="936" w:hRule="atLeast"/>
        </w:trPr>
        <w:tc>
          <w:tcPr>
            <w:tcW w:w="1908" w:type="dxa"/>
          </w:tcPr>
          <w:p>
            <w:pPr>
              <w:pStyle w:val="TableParagraph"/>
              <w:spacing w:line="261" w:lineRule="exact" w:before="0"/>
              <w:rPr>
                <w:sz w:val="21"/>
              </w:rPr>
            </w:pPr>
            <w:r>
              <w:rPr>
                <w:spacing w:val="-30"/>
                <w:sz w:val="21"/>
              </w:rPr>
              <w:t>六、终末期肾病</w:t>
            </w:r>
            <w:r>
              <w:rPr>
                <w:sz w:val="21"/>
              </w:rPr>
              <w:t>（或</w:t>
            </w:r>
          </w:p>
          <w:p>
            <w:pPr>
              <w:pStyle w:val="TableParagraph"/>
              <w:spacing w:line="273" w:lineRule="auto"/>
              <w:ind w:right="108"/>
              <w:rPr>
                <w:sz w:val="21"/>
              </w:rPr>
            </w:pPr>
            <w:r>
              <w:rPr>
                <w:sz w:val="21"/>
              </w:rPr>
              <w:t>称慢性肾功能衰竭尿毒症期） </w:t>
            </w:r>
          </w:p>
        </w:tc>
        <w:tc>
          <w:tcPr>
            <w:tcW w:w="6810" w:type="dxa"/>
          </w:tcPr>
          <w:p>
            <w:pPr>
              <w:pStyle w:val="TableParagraph"/>
              <w:spacing w:line="261" w:lineRule="exact" w:before="0"/>
              <w:rPr>
                <w:sz w:val="21"/>
              </w:rPr>
            </w:pPr>
            <w:r>
              <w:rPr>
                <w:sz w:val="21"/>
              </w:rPr>
              <w:t>指双肾功能慢性不可逆性衰竭，达到尿毒症期，经诊断后已经进行了至</w:t>
            </w:r>
          </w:p>
          <w:p>
            <w:pPr>
              <w:pStyle w:val="TableParagraph"/>
              <w:rPr>
                <w:sz w:val="21"/>
              </w:rPr>
            </w:pPr>
            <w:r>
              <w:rPr>
                <w:sz w:val="21"/>
              </w:rPr>
              <w:t>少九十天的规律性透析治疗或实施了肾脏移植手术。 </w:t>
            </w:r>
          </w:p>
        </w:tc>
      </w:tr>
      <w:tr>
        <w:trPr>
          <w:trHeight w:val="623" w:hRule="atLeast"/>
        </w:trPr>
        <w:tc>
          <w:tcPr>
            <w:tcW w:w="1908" w:type="dxa"/>
          </w:tcPr>
          <w:p>
            <w:pPr>
              <w:pStyle w:val="TableParagraph"/>
              <w:spacing w:line="260" w:lineRule="exact" w:before="0"/>
              <w:rPr>
                <w:sz w:val="21"/>
              </w:rPr>
            </w:pPr>
            <w:r>
              <w:rPr>
                <w:sz w:val="21"/>
              </w:rPr>
              <w:t>七、多个肢体缺失 </w:t>
            </w:r>
          </w:p>
        </w:tc>
        <w:tc>
          <w:tcPr>
            <w:tcW w:w="6810" w:type="dxa"/>
          </w:tcPr>
          <w:p>
            <w:pPr>
              <w:pStyle w:val="TableParagraph"/>
              <w:spacing w:line="260" w:lineRule="exact" w:before="0"/>
              <w:rPr>
                <w:sz w:val="21"/>
              </w:rPr>
            </w:pPr>
            <w:r>
              <w:rPr>
                <w:sz w:val="21"/>
              </w:rPr>
              <w:t>指因疾病或意外伤害导致两个或两个以上肢体自腕关节或踝关节近端</w:t>
            </w:r>
          </w:p>
          <w:p>
            <w:pPr>
              <w:pStyle w:val="TableParagraph"/>
              <w:rPr>
                <w:sz w:val="21"/>
              </w:rPr>
            </w:pPr>
            <w:r>
              <w:rPr>
                <w:sz w:val="21"/>
              </w:rPr>
              <w:t>（靠近躯干端）以上完全性断离。 </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sz w:val="21"/>
              </w:rPr>
              <w:t>重症肝炎 </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sz w:val="21"/>
              </w:rPr>
              <w:t>经血清学或病毒学检查证实，并须满足下列全部条件： </w:t>
            </w:r>
          </w:p>
          <w:p>
            <w:pPr>
              <w:pStyle w:val="TableParagraph"/>
              <w:numPr>
                <w:ilvl w:val="0"/>
                <w:numId w:val="11"/>
              </w:numPr>
              <w:tabs>
                <w:tab w:pos="528" w:val="left" w:leader="none"/>
              </w:tabs>
              <w:spacing w:line="240" w:lineRule="auto" w:before="37" w:after="0"/>
              <w:ind w:left="527" w:right="0" w:hanging="420"/>
              <w:jc w:val="left"/>
              <w:rPr>
                <w:sz w:val="21"/>
              </w:rPr>
            </w:pPr>
            <w:r>
              <w:rPr>
                <w:sz w:val="21"/>
              </w:rPr>
              <w:t>重度黄疸或黄疸迅速加重； </w:t>
            </w:r>
          </w:p>
          <w:p>
            <w:pPr>
              <w:pStyle w:val="TableParagraph"/>
              <w:numPr>
                <w:ilvl w:val="0"/>
                <w:numId w:val="11"/>
              </w:numPr>
              <w:tabs>
                <w:tab w:pos="528" w:val="left" w:leader="none"/>
              </w:tabs>
              <w:spacing w:line="240" w:lineRule="auto" w:before="37" w:after="0"/>
              <w:ind w:left="527" w:right="0" w:hanging="420"/>
              <w:jc w:val="left"/>
              <w:rPr>
                <w:sz w:val="21"/>
              </w:rPr>
            </w:pPr>
            <w:r>
              <w:rPr>
                <w:sz w:val="21"/>
              </w:rPr>
              <w:t>肝性脑病； </w:t>
            </w:r>
          </w:p>
          <w:p>
            <w:pPr>
              <w:pStyle w:val="TableParagraph"/>
              <w:numPr>
                <w:ilvl w:val="0"/>
                <w:numId w:val="11"/>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 </w:t>
            </w:r>
          </w:p>
          <w:p>
            <w:pPr>
              <w:pStyle w:val="TableParagraph"/>
              <w:numPr>
                <w:ilvl w:val="0"/>
                <w:numId w:val="11"/>
              </w:numPr>
              <w:tabs>
                <w:tab w:pos="528" w:val="left" w:leader="none"/>
              </w:tabs>
              <w:spacing w:line="240" w:lineRule="auto" w:before="37" w:after="0"/>
              <w:ind w:left="527" w:right="0" w:hanging="420"/>
              <w:jc w:val="left"/>
              <w:rPr>
                <w:sz w:val="21"/>
              </w:rPr>
            </w:pPr>
            <w:r>
              <w:rPr>
                <w:sz w:val="21"/>
              </w:rPr>
              <w:t>肝功能指标进行性恶化。 </w:t>
            </w:r>
          </w:p>
        </w:tc>
      </w:tr>
      <w:tr>
        <w:trPr>
          <w:trHeight w:val="2184" w:hRule="atLeast"/>
        </w:trPr>
        <w:tc>
          <w:tcPr>
            <w:tcW w:w="1908" w:type="dxa"/>
          </w:tcPr>
          <w:p>
            <w:pPr>
              <w:pStyle w:val="TableParagraph"/>
              <w:spacing w:line="261" w:lineRule="exact" w:before="0"/>
              <w:rPr>
                <w:sz w:val="21"/>
              </w:rPr>
            </w:pPr>
            <w:r>
              <w:rPr>
                <w:sz w:val="21"/>
              </w:rPr>
              <w:t>九、良性脑肿瘤 </w:t>
            </w:r>
          </w:p>
        </w:tc>
        <w:tc>
          <w:tcPr>
            <w:tcW w:w="6810" w:type="dxa"/>
          </w:tcPr>
          <w:p>
            <w:pPr>
              <w:pStyle w:val="TableParagraph"/>
              <w:spacing w:line="261"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sz w:val="21"/>
              </w:rPr>
              <w:t>精神症状、癫痫及运动感觉障碍等，并危及生命。须由头颅断层扫描</w:t>
            </w:r>
            <w:r>
              <w:rPr>
                <w:spacing w:val="-1"/>
                <w:sz w:val="21"/>
              </w:rPr>
              <w:t>（CT</w:t>
            </w:r>
            <w:r>
              <w:rPr>
                <w:spacing w:val="-104"/>
                <w:sz w:val="21"/>
              </w:rPr>
              <w:t>）</w:t>
            </w:r>
            <w:r>
              <w:rPr>
                <w:sz w:val="21"/>
              </w:rPr>
              <w:t>、</w:t>
            </w:r>
            <w:r>
              <w:rPr>
                <w:spacing w:val="-2"/>
                <w:sz w:val="21"/>
              </w:rPr>
              <w:t>核磁共振检查</w:t>
            </w:r>
            <w:r>
              <w:rPr>
                <w:spacing w:val="-1"/>
                <w:sz w:val="21"/>
              </w:rPr>
              <w:t>（MRI）或正电子发射断层扫描</w:t>
            </w:r>
            <w:r>
              <w:rPr>
                <w:sz w:val="21"/>
              </w:rPr>
              <w:t>（PET）等影像学检查证实， </w:t>
            </w:r>
            <w:r>
              <w:rPr>
                <w:spacing w:val="-1"/>
                <w:sz w:val="21"/>
              </w:rPr>
              <w:t>并须满足下列至少一项条件：  </w:t>
            </w:r>
          </w:p>
          <w:p>
            <w:pPr>
              <w:pStyle w:val="TableParagraph"/>
              <w:numPr>
                <w:ilvl w:val="0"/>
                <w:numId w:val="12"/>
              </w:numPr>
              <w:tabs>
                <w:tab w:pos="528" w:val="left" w:leader="none"/>
              </w:tabs>
              <w:spacing w:line="240" w:lineRule="auto" w:before="7" w:after="0"/>
              <w:ind w:left="527" w:right="0" w:hanging="420"/>
              <w:jc w:val="both"/>
              <w:rPr>
                <w:sz w:val="21"/>
              </w:rPr>
            </w:pPr>
            <w:r>
              <w:rPr>
                <w:sz w:val="21"/>
              </w:rPr>
              <w:t>实际实施了开颅进行的脑肿瘤完全切除或部分切除的手术； </w:t>
            </w:r>
          </w:p>
          <w:p>
            <w:pPr>
              <w:pStyle w:val="TableParagraph"/>
              <w:numPr>
                <w:ilvl w:val="0"/>
                <w:numId w:val="12"/>
              </w:numPr>
              <w:tabs>
                <w:tab w:pos="528" w:val="left" w:leader="none"/>
              </w:tabs>
              <w:spacing w:line="240" w:lineRule="auto" w:before="36" w:after="0"/>
              <w:ind w:left="527" w:right="0" w:hanging="420"/>
              <w:jc w:val="both"/>
              <w:rPr>
                <w:sz w:val="21"/>
              </w:rPr>
            </w:pPr>
            <w:r>
              <w:rPr>
                <w:sz w:val="21"/>
              </w:rPr>
              <w:t>实际实施了对脑肿瘤进行的放射治疗。 </w:t>
            </w:r>
          </w:p>
          <w:p>
            <w:pPr>
              <w:pStyle w:val="TableParagraph"/>
              <w:spacing w:before="36"/>
              <w:jc w:val="both"/>
              <w:rPr>
                <w:sz w:val="21"/>
              </w:rPr>
            </w:pPr>
            <w:r>
              <w:rPr>
                <w:sz w:val="21"/>
              </w:rPr>
              <w:t>脑垂体瘤、脑囊肿、脑血管性疾病不在保障范围内。 </w:t>
            </w:r>
          </w:p>
        </w:tc>
      </w:tr>
      <w:tr>
        <w:trPr>
          <w:trHeight w:val="1871" w:hRule="atLeast"/>
        </w:trPr>
        <w:tc>
          <w:tcPr>
            <w:tcW w:w="1908" w:type="dxa"/>
          </w:tcPr>
          <w:p>
            <w:pPr>
              <w:pStyle w:val="TableParagraph"/>
              <w:spacing w:line="260" w:lineRule="exact" w:before="0"/>
              <w:rPr>
                <w:sz w:val="21"/>
              </w:rPr>
            </w:pPr>
            <w:r>
              <w:rPr>
                <w:sz w:val="21"/>
              </w:rPr>
              <w:t>十、慢性肝功能衰</w:t>
            </w:r>
          </w:p>
          <w:p>
            <w:pPr>
              <w:pStyle w:val="TableParagraph"/>
              <w:rPr>
                <w:sz w:val="21"/>
              </w:rPr>
            </w:pPr>
            <w:r>
              <w:rPr>
                <w:sz w:val="21"/>
              </w:rPr>
              <w:t>竭失代偿期 </w:t>
            </w:r>
          </w:p>
        </w:tc>
        <w:tc>
          <w:tcPr>
            <w:tcW w:w="6810" w:type="dxa"/>
          </w:tcPr>
          <w:p>
            <w:pPr>
              <w:pStyle w:val="TableParagraph"/>
              <w:spacing w:line="260" w:lineRule="exact" w:before="0"/>
              <w:rPr>
                <w:sz w:val="21"/>
              </w:rPr>
            </w:pPr>
            <w:r>
              <w:rPr>
                <w:sz w:val="21"/>
              </w:rPr>
              <w:t>指因慢性肝脏疾病导致肝功能衰竭。须满足下列全部条件：  </w:t>
            </w:r>
          </w:p>
          <w:p>
            <w:pPr>
              <w:pStyle w:val="TableParagraph"/>
              <w:numPr>
                <w:ilvl w:val="0"/>
                <w:numId w:val="13"/>
              </w:numPr>
              <w:tabs>
                <w:tab w:pos="528" w:val="left" w:leader="none"/>
              </w:tabs>
              <w:spacing w:line="240" w:lineRule="auto" w:before="37" w:after="0"/>
              <w:ind w:left="99" w:right="0" w:firstLine="8"/>
              <w:jc w:val="left"/>
              <w:rPr>
                <w:sz w:val="21"/>
              </w:rPr>
            </w:pPr>
            <w:r>
              <w:rPr>
                <w:spacing w:val="-1"/>
                <w:sz w:val="21"/>
              </w:rPr>
              <w:t>持续性黄疸；  </w:t>
            </w:r>
          </w:p>
          <w:p>
            <w:pPr>
              <w:pStyle w:val="TableParagraph"/>
              <w:numPr>
                <w:ilvl w:val="0"/>
                <w:numId w:val="13"/>
              </w:numPr>
              <w:tabs>
                <w:tab w:pos="528" w:val="left" w:leader="none"/>
              </w:tabs>
              <w:spacing w:line="240" w:lineRule="auto" w:before="37" w:after="0"/>
              <w:ind w:left="99" w:right="0" w:firstLine="8"/>
              <w:jc w:val="left"/>
              <w:rPr>
                <w:sz w:val="21"/>
              </w:rPr>
            </w:pPr>
            <w:r>
              <w:rPr>
                <w:sz w:val="21"/>
              </w:rPr>
              <w:t>腹水； </w:t>
            </w:r>
          </w:p>
          <w:p>
            <w:pPr>
              <w:pStyle w:val="TableParagraph"/>
              <w:numPr>
                <w:ilvl w:val="0"/>
                <w:numId w:val="13"/>
              </w:numPr>
              <w:tabs>
                <w:tab w:pos="528" w:val="left" w:leader="none"/>
              </w:tabs>
              <w:spacing w:line="240" w:lineRule="auto" w:before="37" w:after="0"/>
              <w:ind w:left="99" w:right="0" w:firstLine="8"/>
              <w:jc w:val="left"/>
              <w:rPr>
                <w:sz w:val="21"/>
              </w:rPr>
            </w:pPr>
            <w:r>
              <w:rPr>
                <w:sz w:val="21"/>
              </w:rPr>
              <w:t>肝性脑病； </w:t>
            </w:r>
          </w:p>
          <w:p>
            <w:pPr>
              <w:pStyle w:val="TableParagraph"/>
              <w:numPr>
                <w:ilvl w:val="0"/>
                <w:numId w:val="13"/>
              </w:numPr>
              <w:tabs>
                <w:tab w:pos="528" w:val="left" w:leader="none"/>
              </w:tabs>
              <w:spacing w:line="273" w:lineRule="auto" w:before="37" w:after="0"/>
              <w:ind w:left="99" w:right="1440" w:firstLine="8"/>
              <w:jc w:val="left"/>
              <w:rPr>
                <w:sz w:val="21"/>
              </w:rPr>
            </w:pPr>
            <w:r>
              <w:rPr>
                <w:sz w:val="21"/>
              </w:rPr>
              <w:t>充血性脾肿大伴脾功能亢进或食管胃底静脉曲张。 因酗酒或药物滥用导致的肝功能衰竭不在保障范围内。 </w:t>
            </w:r>
          </w:p>
        </w:tc>
      </w:tr>
      <w:tr>
        <w:trPr>
          <w:trHeight w:val="2183"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sz w:val="21"/>
              </w:rPr>
              <w:t>或脑膜炎后遗症 </w:t>
            </w:r>
          </w:p>
        </w:tc>
        <w:tc>
          <w:tcPr>
            <w:tcW w:w="6810" w:type="dxa"/>
          </w:tcPr>
          <w:p>
            <w:pPr>
              <w:pStyle w:val="TableParagraph"/>
              <w:spacing w:line="260"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性的功能障碍，指疾病确诊一百八十天后，仍遗留下列一种或一种以上障碍：  </w:t>
            </w:r>
          </w:p>
          <w:p>
            <w:pPr>
              <w:pStyle w:val="TableParagraph"/>
              <w:numPr>
                <w:ilvl w:val="0"/>
                <w:numId w:val="14"/>
              </w:numPr>
              <w:tabs>
                <w:tab w:pos="528" w:val="left" w:leader="none"/>
              </w:tabs>
              <w:spacing w:line="240" w:lineRule="auto" w:before="7" w:after="0"/>
              <w:ind w:left="527" w:right="0" w:hanging="420"/>
              <w:jc w:val="left"/>
              <w:rPr>
                <w:sz w:val="21"/>
              </w:rPr>
            </w:pPr>
            <w:r>
              <w:rPr>
                <w:sz w:val="21"/>
              </w:rPr>
              <w:t>一肢或一肢以上肢体机能完全丧失； </w:t>
            </w:r>
          </w:p>
          <w:p>
            <w:pPr>
              <w:pStyle w:val="TableParagraph"/>
              <w:numPr>
                <w:ilvl w:val="0"/>
                <w:numId w:val="14"/>
              </w:numPr>
              <w:tabs>
                <w:tab w:pos="528" w:val="left" w:leader="none"/>
              </w:tabs>
              <w:spacing w:line="240" w:lineRule="auto" w:before="36" w:after="0"/>
              <w:ind w:left="527" w:right="0" w:hanging="420"/>
              <w:jc w:val="left"/>
              <w:rPr>
                <w:sz w:val="21"/>
              </w:rPr>
            </w:pPr>
            <w:r>
              <w:rPr>
                <w:spacing w:val="-1"/>
                <w:sz w:val="21"/>
              </w:rPr>
              <w:t>语言能力或咀嚼吞咽能力完全丧失；  </w:t>
            </w:r>
          </w:p>
          <w:p>
            <w:pPr>
              <w:pStyle w:val="TableParagraph"/>
              <w:numPr>
                <w:ilvl w:val="0"/>
                <w:numId w:val="14"/>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 </w:t>
            </w:r>
          </w:p>
        </w:tc>
      </w:tr>
      <w:tr>
        <w:trPr>
          <w:trHeight w:val="1248" w:hRule="atLeast"/>
        </w:trPr>
        <w:tc>
          <w:tcPr>
            <w:tcW w:w="1908" w:type="dxa"/>
          </w:tcPr>
          <w:p>
            <w:pPr>
              <w:pStyle w:val="TableParagraph"/>
              <w:spacing w:line="261" w:lineRule="exact" w:before="0"/>
              <w:rPr>
                <w:sz w:val="21"/>
              </w:rPr>
            </w:pPr>
            <w:r>
              <w:rPr>
                <w:sz w:val="21"/>
              </w:rPr>
              <w:t>十二、深度昏迷 </w:t>
            </w:r>
          </w:p>
        </w:tc>
        <w:tc>
          <w:tcPr>
            <w:tcW w:w="6810" w:type="dxa"/>
          </w:tcPr>
          <w:p>
            <w:pPr>
              <w:pStyle w:val="TableParagraph"/>
              <w:spacing w:line="261" w:lineRule="exact" w:before="0"/>
              <w:rPr>
                <w:sz w:val="21"/>
              </w:rPr>
            </w:pPr>
            <w:r>
              <w:rPr>
                <w:sz w:val="21"/>
              </w:rPr>
              <w:t>指因疾病或意外伤害导致意识丧失,对外界刺激和体内需求均无反应,昏</w:t>
            </w:r>
          </w:p>
          <w:p>
            <w:pPr>
              <w:pStyle w:val="TableParagraph"/>
              <w:spacing w:line="273" w:lineRule="auto"/>
              <w:ind w:right="75"/>
              <w:jc w:val="both"/>
              <w:rPr>
                <w:sz w:val="21"/>
              </w:rPr>
            </w:pPr>
            <w:r>
              <w:rPr>
                <w:sz w:val="21"/>
              </w:rPr>
              <w:t>迷程度按照格拉斯哥昏迷分级（Glasgow coma scale）结果为 5 分或 5 分以下，且已经持续使用呼吸机及其它生命维持系统九十六小时以上。因酗酒或药物滥用导致的深度昏迷不在保障范围内。 </w:t>
            </w:r>
          </w:p>
        </w:tc>
      </w:tr>
      <w:tr>
        <w:trPr>
          <w:trHeight w:val="935" w:hRule="atLeast"/>
        </w:trPr>
        <w:tc>
          <w:tcPr>
            <w:tcW w:w="1908" w:type="dxa"/>
          </w:tcPr>
          <w:p>
            <w:pPr>
              <w:pStyle w:val="TableParagraph"/>
              <w:spacing w:line="260" w:lineRule="exact" w:before="0"/>
              <w:rPr>
                <w:sz w:val="21"/>
              </w:rPr>
            </w:pPr>
            <w:r>
              <w:rPr>
                <w:sz w:val="21"/>
              </w:rPr>
              <w:t>十三、双耳失聪 </w:t>
            </w:r>
          </w:p>
        </w:tc>
        <w:tc>
          <w:tcPr>
            <w:tcW w:w="6810" w:type="dxa"/>
          </w:tcPr>
          <w:p>
            <w:pPr>
              <w:pStyle w:val="TableParagraph"/>
              <w:spacing w:line="260" w:lineRule="exact" w:before="0"/>
              <w:rPr>
                <w:sz w:val="21"/>
              </w:rPr>
            </w:pPr>
            <w:r>
              <w:rPr>
                <w:sz w:val="21"/>
              </w:rPr>
              <w:t>指因疾病或意外伤害导致双耳听力永久不可逆</w:t>
            </w:r>
            <w:r>
              <w:rPr>
                <w:b/>
                <w:position w:val="11"/>
                <w:sz w:val="11"/>
              </w:rPr>
              <w:t>16</w:t>
            </w:r>
            <w:r>
              <w:rPr>
                <w:spacing w:val="-15"/>
                <w:sz w:val="21"/>
              </w:rPr>
              <w:t>性丧失，在</w:t>
            </w:r>
            <w:r>
              <w:rPr>
                <w:sz w:val="21"/>
              </w:rPr>
              <w:t>500</w:t>
            </w:r>
            <w:r>
              <w:rPr>
                <w:spacing w:val="-44"/>
                <w:sz w:val="21"/>
              </w:rPr>
              <w:t> 赫兹、</w:t>
            </w:r>
            <w:r>
              <w:rPr>
                <w:sz w:val="21"/>
              </w:rPr>
              <w:t>1000</w:t>
            </w:r>
          </w:p>
          <w:p>
            <w:pPr>
              <w:pStyle w:val="TableParagraph"/>
              <w:spacing w:line="273" w:lineRule="auto"/>
              <w:ind w:right="96"/>
              <w:rPr>
                <w:sz w:val="21"/>
              </w:rPr>
            </w:pPr>
            <w:r>
              <w:rPr>
                <w:spacing w:val="-8"/>
                <w:sz w:val="21"/>
              </w:rPr>
              <w:t>赫兹和 </w:t>
            </w:r>
            <w:r>
              <w:rPr>
                <w:sz w:val="21"/>
              </w:rPr>
              <w:t>2000</w:t>
            </w:r>
            <w:r>
              <w:rPr>
                <w:spacing w:val="-8"/>
                <w:sz w:val="21"/>
              </w:rPr>
              <w:t> 赫兹语音频率下，平均听阈大于 </w:t>
            </w:r>
            <w:r>
              <w:rPr>
                <w:sz w:val="21"/>
              </w:rPr>
              <w:t>90</w:t>
            </w:r>
            <w:r>
              <w:rPr>
                <w:spacing w:val="-6"/>
                <w:sz w:val="21"/>
              </w:rPr>
              <w:t> 分贝，且经纯音听力测试、声导抗检测或听觉诱发电位检测等证实。 </w:t>
            </w:r>
          </w:p>
        </w:tc>
      </w:tr>
      <w:tr>
        <w:trPr>
          <w:trHeight w:val="312" w:hRule="atLeast"/>
        </w:trPr>
        <w:tc>
          <w:tcPr>
            <w:tcW w:w="1908" w:type="dxa"/>
          </w:tcPr>
          <w:p>
            <w:pPr>
              <w:pStyle w:val="TableParagraph"/>
              <w:spacing w:line="260" w:lineRule="exact" w:before="0"/>
              <w:rPr>
                <w:sz w:val="21"/>
              </w:rPr>
            </w:pPr>
            <w:r>
              <w:rPr>
                <w:sz w:val="21"/>
              </w:rPr>
              <w:t>十四、双目失明 </w:t>
            </w:r>
          </w:p>
        </w:tc>
        <w:tc>
          <w:tcPr>
            <w:tcW w:w="6810" w:type="dxa"/>
          </w:tcPr>
          <w:p>
            <w:pPr>
              <w:pStyle w:val="TableParagraph"/>
              <w:spacing w:line="260" w:lineRule="exact" w:before="0"/>
              <w:rPr>
                <w:sz w:val="21"/>
              </w:rPr>
            </w:pPr>
            <w:r>
              <w:rPr>
                <w:sz w:val="21"/>
              </w:rPr>
              <w:t>指因疾病或意外伤害导致双眼视力永久不可逆性丧失，双眼中较好眼须</w:t>
            </w:r>
          </w:p>
        </w:tc>
      </w:tr>
    </w:tbl>
    <w:p>
      <w:pPr>
        <w:pStyle w:val="BodyText"/>
        <w:spacing w:before="1"/>
        <w:ind w:left="0"/>
        <w:rPr>
          <w:sz w:val="25"/>
        </w:rPr>
      </w:pPr>
      <w:r>
        <w:rPr/>
        <w:pict>
          <v:line style="position:absolute;mso-position-horizontal-relative:page;mso-position-vertical-relative:paragraph;z-index:1168;mso-wrap-distance-left:0;mso-wrap-distance-right:0" from="89.879997pt,18.68997pt" to="233.879997pt,18.68997pt" stroked="true" strokeweight=".53998pt" strokecolor="#000000">
            <v:stroke dashstyle="solid"/>
            <w10:wrap type="topAndBottom"/>
          </v:line>
        </w:pict>
      </w:r>
    </w:p>
    <w:p>
      <w:pPr>
        <w:spacing w:before="30"/>
        <w:ind w:left="217" w:right="408" w:firstLine="0"/>
        <w:jc w:val="left"/>
        <w:rPr>
          <w:sz w:val="18"/>
        </w:rPr>
      </w:pPr>
      <w:r>
        <w:rPr>
          <w:rFonts w:ascii="Times New Roman" w:eastAsia="Times New Roman"/>
          <w:position w:val="8"/>
          <w:sz w:val="12"/>
        </w:rPr>
        <w:t>16 </w:t>
      </w:r>
      <w:r>
        <w:rPr>
          <w:sz w:val="18"/>
        </w:rPr>
        <w:t>永久不可逆：指自疾病确诊或意外伤害发生之日起，经过积极治疗一百八十天后，仍无法通过现有医疗手段恢复。</w:t>
      </w:r>
    </w:p>
    <w:p>
      <w:pPr>
        <w:spacing w:after="0"/>
        <w:jc w:val="left"/>
        <w:rPr>
          <w:sz w:val="18"/>
        </w:rPr>
        <w:sectPr>
          <w:pgSz w:w="1190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sz w:val="21"/>
              </w:rPr>
              <w:t>满足下列至少一项条件：  </w:t>
            </w:r>
          </w:p>
          <w:p>
            <w:pPr>
              <w:pStyle w:val="TableParagraph"/>
              <w:numPr>
                <w:ilvl w:val="0"/>
                <w:numId w:val="15"/>
              </w:numPr>
              <w:tabs>
                <w:tab w:pos="528" w:val="left" w:leader="none"/>
              </w:tabs>
              <w:spacing w:line="240" w:lineRule="auto" w:before="37" w:after="0"/>
              <w:ind w:left="527" w:right="0" w:hanging="420"/>
              <w:jc w:val="left"/>
              <w:rPr>
                <w:sz w:val="21"/>
              </w:rPr>
            </w:pPr>
            <w:r>
              <w:rPr>
                <w:sz w:val="21"/>
              </w:rPr>
              <w:t>眼球缺失或摘除； </w:t>
            </w:r>
          </w:p>
          <w:p>
            <w:pPr>
              <w:pStyle w:val="TableParagraph"/>
              <w:numPr>
                <w:ilvl w:val="0"/>
                <w:numId w:val="15"/>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0.02（采用国际标准视力表，如果使用其它视力表应进行换算</w:t>
            </w:r>
            <w:r>
              <w:rPr>
                <w:spacing w:val="-105"/>
                <w:sz w:val="21"/>
              </w:rPr>
              <w:t>）</w:t>
            </w:r>
            <w:r>
              <w:rPr>
                <w:spacing w:val="-1"/>
                <w:sz w:val="21"/>
              </w:rPr>
              <w:t>；  </w:t>
            </w:r>
          </w:p>
          <w:p>
            <w:pPr>
              <w:pStyle w:val="TableParagraph"/>
              <w:numPr>
                <w:ilvl w:val="0"/>
                <w:numId w:val="15"/>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 </w:t>
            </w:r>
          </w:p>
        </w:tc>
      </w:tr>
      <w:tr>
        <w:trPr>
          <w:trHeight w:val="936" w:hRule="atLeast"/>
        </w:trPr>
        <w:tc>
          <w:tcPr>
            <w:tcW w:w="1908" w:type="dxa"/>
          </w:tcPr>
          <w:p>
            <w:pPr>
              <w:pStyle w:val="TableParagraph"/>
              <w:spacing w:line="261" w:lineRule="exact" w:before="0"/>
              <w:rPr>
                <w:sz w:val="21"/>
              </w:rPr>
            </w:pPr>
            <w:r>
              <w:rPr>
                <w:sz w:val="21"/>
              </w:rPr>
              <w:t>十五、瘫痪 </w:t>
            </w:r>
          </w:p>
        </w:tc>
        <w:tc>
          <w:tcPr>
            <w:tcW w:w="6810" w:type="dxa"/>
          </w:tcPr>
          <w:p>
            <w:pPr>
              <w:pStyle w:val="TableParagraph"/>
              <w:spacing w:line="261" w:lineRule="exact" w:before="0"/>
              <w:rPr>
                <w:sz w:val="21"/>
              </w:rPr>
            </w:pPr>
            <w:r>
              <w:rPr>
                <w:sz w:val="21"/>
              </w:rPr>
              <w:t>指因疾病或意外伤害导致两肢或两肢以上肢体机能永久完全丧失。肢体</w:t>
            </w:r>
          </w:p>
          <w:p>
            <w:pPr>
              <w:pStyle w:val="TableParagraph"/>
              <w:spacing w:line="273" w:lineRule="auto"/>
              <w:ind w:right="75"/>
              <w:rPr>
                <w:sz w:val="21"/>
              </w:rPr>
            </w:pPr>
            <w:r>
              <w:rPr>
                <w:sz w:val="21"/>
              </w:rPr>
              <w:t>机能永久完全丧失，指疾病确诊一百八十天后或意外伤害发生一百八十天后，每肢三大关节中的两大关节仍然完全僵硬，或不能随意识活动。 </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 </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sz w:val="21"/>
              </w:rPr>
              <w:t>手术。 </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sz w:val="21"/>
              </w:rPr>
              <w:t>海默病 </w:t>
            </w:r>
          </w:p>
        </w:tc>
        <w:tc>
          <w:tcPr>
            <w:tcW w:w="6810" w:type="dxa"/>
          </w:tcPr>
          <w:p>
            <w:pPr>
              <w:pStyle w:val="TableParagraph"/>
              <w:spacing w:line="260"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明显的认知能力障碍、行为异常和社交能力减退，其日常生活必须持续受到他人监护。须由头颅断层扫描</w:t>
            </w:r>
            <w:r>
              <w:rPr>
                <w:spacing w:val="1"/>
                <w:sz w:val="21"/>
              </w:rPr>
              <w:t>（</w:t>
            </w:r>
            <w:r>
              <w:rPr>
                <w:sz w:val="21"/>
              </w:rPr>
              <w:t>C</w:t>
            </w:r>
            <w:r>
              <w:rPr>
                <w:spacing w:val="2"/>
                <w:sz w:val="21"/>
              </w:rPr>
              <w:t>T</w:t>
            </w:r>
            <w:r>
              <w:rPr>
                <w:spacing w:val="-102"/>
                <w:sz w:val="21"/>
              </w:rPr>
              <w:t>）</w:t>
            </w:r>
            <w:r>
              <w:rPr>
                <w:sz w:val="21"/>
              </w:rPr>
              <w:t>、核磁共振检查</w:t>
            </w:r>
            <w:r>
              <w:rPr>
                <w:spacing w:val="1"/>
                <w:sz w:val="21"/>
              </w:rPr>
              <w:t>（</w:t>
            </w:r>
            <w:r>
              <w:rPr>
                <w:sz w:val="21"/>
              </w:rPr>
              <w:t>MR</w:t>
            </w:r>
            <w:r>
              <w:rPr>
                <w:spacing w:val="2"/>
                <w:sz w:val="21"/>
              </w:rPr>
              <w:t>I</w:t>
            </w:r>
            <w:r>
              <w:rPr>
                <w:spacing w:val="1"/>
                <w:sz w:val="21"/>
              </w:rPr>
              <w:t>）或正电</w:t>
            </w:r>
            <w:r>
              <w:rPr>
                <w:sz w:val="21"/>
              </w:rPr>
              <w:t>子发射断层扫描（PET）等影像学检查证实，且自主生活能力完全丧失， </w:t>
            </w:r>
            <w:r>
              <w:rPr>
                <w:spacing w:val="-1"/>
                <w:sz w:val="21"/>
              </w:rPr>
              <w:t>无法独立完成六项基本日常生活活动中的三项或三项以上。  </w:t>
            </w:r>
          </w:p>
          <w:p>
            <w:pPr>
              <w:pStyle w:val="TableParagraph"/>
              <w:spacing w:before="7"/>
              <w:jc w:val="both"/>
              <w:rPr>
                <w:sz w:val="21"/>
              </w:rPr>
            </w:pPr>
            <w:r>
              <w:rPr>
                <w:sz w:val="21"/>
              </w:rPr>
              <w:t>神经官能症和精神疾病不在保障范围内。 </w:t>
            </w:r>
          </w:p>
        </w:tc>
      </w:tr>
      <w:tr>
        <w:trPr>
          <w:trHeight w:val="2496" w:hRule="atLeast"/>
        </w:trPr>
        <w:tc>
          <w:tcPr>
            <w:tcW w:w="1908" w:type="dxa"/>
          </w:tcPr>
          <w:p>
            <w:pPr>
              <w:pStyle w:val="TableParagraph"/>
              <w:spacing w:line="261" w:lineRule="exact" w:before="0"/>
              <w:rPr>
                <w:sz w:val="21"/>
              </w:rPr>
            </w:pPr>
            <w:r>
              <w:rPr>
                <w:sz w:val="21"/>
              </w:rPr>
              <w:t>十八、严重脑损伤 </w:t>
            </w:r>
          </w:p>
        </w:tc>
        <w:tc>
          <w:tcPr>
            <w:tcW w:w="6810" w:type="dxa"/>
          </w:tcPr>
          <w:p>
            <w:pPr>
              <w:pStyle w:val="TableParagraph"/>
              <w:spacing w:line="261"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sz w:val="21"/>
              </w:rPr>
              <w:t>的功能障碍。须由头颅断层扫描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w:t>
            </w:r>
            <w:r>
              <w:rPr>
                <w:sz w:val="21"/>
              </w:rPr>
              <w:t>MR</w:t>
            </w:r>
            <w:r>
              <w:rPr>
                <w:spacing w:val="2"/>
                <w:sz w:val="21"/>
              </w:rPr>
              <w:t>I</w:t>
            </w:r>
            <w:r>
              <w:rPr>
                <w:spacing w:val="1"/>
                <w:sz w:val="21"/>
              </w:rPr>
              <w:t>）或正电子</w:t>
            </w:r>
            <w:r>
              <w:rPr>
                <w:sz w:val="21"/>
              </w:rPr>
              <w:t>发射断层扫描（PET）等影像学检查证实。神经系统永久性的功能障碍， 指脑损伤一百八十天后，仍遗留下列一种或一种以上障碍： </w:t>
            </w:r>
          </w:p>
          <w:p>
            <w:pPr>
              <w:pStyle w:val="TableParagraph"/>
              <w:numPr>
                <w:ilvl w:val="0"/>
                <w:numId w:val="16"/>
              </w:numPr>
              <w:tabs>
                <w:tab w:pos="528" w:val="left" w:leader="none"/>
              </w:tabs>
              <w:spacing w:line="240" w:lineRule="auto" w:before="7" w:after="0"/>
              <w:ind w:left="527" w:right="0" w:hanging="420"/>
              <w:jc w:val="left"/>
              <w:rPr>
                <w:sz w:val="21"/>
              </w:rPr>
            </w:pPr>
            <w:r>
              <w:rPr>
                <w:sz w:val="21"/>
              </w:rPr>
              <w:t>一肢或一肢以上肢体机能完全丧失； </w:t>
            </w:r>
          </w:p>
          <w:p>
            <w:pPr>
              <w:pStyle w:val="TableParagraph"/>
              <w:numPr>
                <w:ilvl w:val="0"/>
                <w:numId w:val="16"/>
              </w:numPr>
              <w:tabs>
                <w:tab w:pos="528" w:val="left" w:leader="none"/>
              </w:tabs>
              <w:spacing w:line="240" w:lineRule="auto" w:before="36" w:after="0"/>
              <w:ind w:left="527" w:right="0" w:hanging="420"/>
              <w:jc w:val="left"/>
              <w:rPr>
                <w:sz w:val="21"/>
              </w:rPr>
            </w:pPr>
            <w:r>
              <w:rPr>
                <w:sz w:val="21"/>
              </w:rPr>
              <w:t>语言能力或咀嚼吞咽能力完全丧失； </w:t>
            </w:r>
          </w:p>
          <w:p>
            <w:pPr>
              <w:pStyle w:val="TableParagraph"/>
              <w:numPr>
                <w:ilvl w:val="0"/>
                <w:numId w:val="16"/>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自主生活能力完全丧失，无法独立完成六项基本日常生活活动中的三项或三项以上。 </w:t>
            </w:r>
          </w:p>
        </w:tc>
      </w:tr>
      <w:tr>
        <w:trPr>
          <w:trHeight w:val="1871" w:hRule="atLeast"/>
        </w:trPr>
        <w:tc>
          <w:tcPr>
            <w:tcW w:w="1908" w:type="dxa"/>
          </w:tcPr>
          <w:p>
            <w:pPr>
              <w:pStyle w:val="TableParagraph"/>
              <w:spacing w:line="260" w:lineRule="exact" w:before="0"/>
              <w:rPr>
                <w:sz w:val="21"/>
              </w:rPr>
            </w:pPr>
            <w:r>
              <w:rPr>
                <w:sz w:val="21"/>
              </w:rPr>
              <w:t>十九、严重帕金森</w:t>
            </w:r>
          </w:p>
          <w:p>
            <w:pPr>
              <w:pStyle w:val="TableParagraph"/>
              <w:rPr>
                <w:sz w:val="21"/>
              </w:rPr>
            </w:pPr>
            <w:r>
              <w:rPr>
                <w:sz w:val="21"/>
              </w:rPr>
              <w:t>病 </w:t>
            </w:r>
          </w:p>
        </w:tc>
        <w:tc>
          <w:tcPr>
            <w:tcW w:w="6810" w:type="dxa"/>
          </w:tcPr>
          <w:p>
            <w:pPr>
              <w:pStyle w:val="TableParagraph"/>
              <w:spacing w:line="260" w:lineRule="exact" w:before="0"/>
              <w:ind w:right="-15"/>
              <w:rPr>
                <w:sz w:val="21"/>
              </w:rPr>
            </w:pPr>
            <w:r>
              <w:rPr>
                <w:spacing w:val="-2"/>
                <w:sz w:val="21"/>
              </w:rPr>
              <w:t>是一种中枢神经系统的退行性疾病，临床表现为震颤麻痹、共济失调等。</w:t>
            </w:r>
          </w:p>
          <w:p>
            <w:pPr>
              <w:pStyle w:val="TableParagraph"/>
              <w:rPr>
                <w:sz w:val="21"/>
              </w:rPr>
            </w:pPr>
            <w:r>
              <w:rPr>
                <w:sz w:val="21"/>
              </w:rPr>
              <w:t>须满足下列全部条件： </w:t>
            </w:r>
          </w:p>
          <w:p>
            <w:pPr>
              <w:pStyle w:val="TableParagraph"/>
              <w:numPr>
                <w:ilvl w:val="0"/>
                <w:numId w:val="17"/>
              </w:numPr>
              <w:tabs>
                <w:tab w:pos="528" w:val="left" w:leader="none"/>
              </w:tabs>
              <w:spacing w:line="240" w:lineRule="auto" w:before="37" w:after="0"/>
              <w:ind w:left="527" w:right="0" w:hanging="420"/>
              <w:jc w:val="left"/>
              <w:rPr>
                <w:sz w:val="21"/>
              </w:rPr>
            </w:pPr>
            <w:r>
              <w:rPr>
                <w:sz w:val="21"/>
              </w:rPr>
              <w:t>药物治疗无法控制病情； </w:t>
            </w:r>
          </w:p>
          <w:p>
            <w:pPr>
              <w:pStyle w:val="TableParagraph"/>
              <w:numPr>
                <w:ilvl w:val="0"/>
                <w:numId w:val="17"/>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自主生活能力完全丧失，无法独立完成六项基本日常生活活动中的三项或三项以上。 </w:t>
            </w:r>
          </w:p>
          <w:p>
            <w:pPr>
              <w:pStyle w:val="TableParagraph"/>
              <w:spacing w:before="7"/>
              <w:rPr>
                <w:sz w:val="21"/>
              </w:rPr>
            </w:pPr>
            <w:r>
              <w:rPr>
                <w:sz w:val="21"/>
              </w:rPr>
              <w:t>继发性帕金森综合征不在保障范围内。 </w:t>
            </w:r>
          </w:p>
        </w:tc>
      </w:tr>
      <w:tr>
        <w:trPr>
          <w:trHeight w:val="623" w:hRule="atLeast"/>
        </w:trPr>
        <w:tc>
          <w:tcPr>
            <w:tcW w:w="1908" w:type="dxa"/>
          </w:tcPr>
          <w:p>
            <w:pPr>
              <w:pStyle w:val="TableParagraph"/>
              <w:spacing w:line="260" w:lineRule="exact" w:before="0"/>
              <w:rPr>
                <w:sz w:val="21"/>
              </w:rPr>
            </w:pPr>
            <w:r>
              <w:rPr>
                <w:sz w:val="21"/>
              </w:rPr>
              <w:t>二十、严重Ⅲ度烧</w:t>
            </w:r>
          </w:p>
          <w:p>
            <w:pPr>
              <w:pStyle w:val="TableParagraph"/>
              <w:rPr>
                <w:sz w:val="21"/>
              </w:rPr>
            </w:pPr>
            <w:r>
              <w:rPr>
                <w:sz w:val="21"/>
              </w:rPr>
              <w:t>伤 </w:t>
            </w:r>
          </w:p>
        </w:tc>
        <w:tc>
          <w:tcPr>
            <w:tcW w:w="6810" w:type="dxa"/>
          </w:tcPr>
          <w:p>
            <w:pPr>
              <w:pStyle w:val="TableParagraph"/>
              <w:spacing w:line="260" w:lineRule="exact" w:before="0"/>
              <w:rPr>
                <w:sz w:val="21"/>
              </w:rPr>
            </w:pPr>
            <w:r>
              <w:rPr>
                <w:spacing w:val="-5"/>
                <w:sz w:val="21"/>
              </w:rPr>
              <w:t>指烧伤程度为Ⅲ度，且Ⅲ度烧伤的面积达到全身体表面积的 </w:t>
            </w:r>
            <w:r>
              <w:rPr>
                <w:sz w:val="21"/>
              </w:rPr>
              <w:t>20%</w:t>
            </w:r>
            <w:r>
              <w:rPr>
                <w:spacing w:val="-27"/>
                <w:sz w:val="21"/>
              </w:rPr>
              <w:t>或 </w:t>
            </w:r>
            <w:r>
              <w:rPr>
                <w:sz w:val="21"/>
              </w:rPr>
              <w:t>20%以</w:t>
            </w:r>
          </w:p>
          <w:p>
            <w:pPr>
              <w:pStyle w:val="TableParagraph"/>
              <w:rPr>
                <w:sz w:val="21"/>
              </w:rPr>
            </w:pPr>
            <w:r>
              <w:rPr>
                <w:sz w:val="21"/>
              </w:rPr>
              <w:t>上。体表面积根据《中国新九分法》计算。 </w:t>
            </w:r>
          </w:p>
        </w:tc>
      </w:tr>
      <w:tr>
        <w:trPr>
          <w:trHeight w:val="936" w:hRule="atLeast"/>
        </w:trPr>
        <w:tc>
          <w:tcPr>
            <w:tcW w:w="1908" w:type="dxa"/>
          </w:tcPr>
          <w:p>
            <w:pPr>
              <w:pStyle w:val="TableParagraph"/>
              <w:spacing w:line="261" w:lineRule="exact" w:before="0"/>
              <w:rPr>
                <w:sz w:val="21"/>
              </w:rPr>
            </w:pPr>
            <w:r>
              <w:rPr>
                <w:sz w:val="21"/>
              </w:rPr>
              <w:t>二十一、严重原发</w:t>
            </w:r>
          </w:p>
          <w:p>
            <w:pPr>
              <w:pStyle w:val="TableParagraph"/>
              <w:rPr>
                <w:sz w:val="21"/>
              </w:rPr>
            </w:pPr>
            <w:r>
              <w:rPr>
                <w:sz w:val="21"/>
              </w:rPr>
              <w:t>性肺动脉高压 </w:t>
            </w:r>
          </w:p>
        </w:tc>
        <w:tc>
          <w:tcPr>
            <w:tcW w:w="6810" w:type="dxa"/>
          </w:tcPr>
          <w:p>
            <w:pPr>
              <w:pStyle w:val="TableParagraph"/>
              <w:spacing w:line="261"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已经造成永久不可逆性的体力活动能力受限，达到美国纽约心脏病学会心功能状态分级Ⅳ级，且静息状态下肺动脉平均压超过 30mmHg。 </w:t>
            </w:r>
          </w:p>
        </w:tc>
      </w:tr>
      <w:tr>
        <w:trPr>
          <w:trHeight w:val="1247" w:hRule="atLeast"/>
        </w:trPr>
        <w:tc>
          <w:tcPr>
            <w:tcW w:w="1908" w:type="dxa"/>
          </w:tcPr>
          <w:p>
            <w:pPr>
              <w:pStyle w:val="TableParagraph"/>
              <w:spacing w:line="260" w:lineRule="exact" w:before="0"/>
              <w:rPr>
                <w:sz w:val="21"/>
              </w:rPr>
            </w:pPr>
            <w:r>
              <w:rPr>
                <w:sz w:val="21"/>
              </w:rPr>
              <w:t>二十二、严重运动</w:t>
            </w:r>
          </w:p>
          <w:p>
            <w:pPr>
              <w:pStyle w:val="TableParagraph"/>
              <w:rPr>
                <w:sz w:val="21"/>
              </w:rPr>
            </w:pPr>
            <w:r>
              <w:rPr>
                <w:sz w:val="21"/>
              </w:rPr>
              <w:t>神经元病 </w:t>
            </w:r>
          </w:p>
        </w:tc>
        <w:tc>
          <w:tcPr>
            <w:tcW w:w="6810" w:type="dxa"/>
          </w:tcPr>
          <w:p>
            <w:pPr>
              <w:pStyle w:val="TableParagraph"/>
              <w:spacing w:line="260"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缩症、进行性延髓麻痹症、原发性侧索硬化症、肌萎缩性侧索硬化症。须满足自主生活能力完全丧失，无法独立完成六项基本日常生活活动中的三项或三项以上的条件。 </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sz w:val="21"/>
              </w:rPr>
              <w:t>丧失 </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180"/>
              <w:rPr>
                <w:sz w:val="21"/>
              </w:rPr>
            </w:pPr>
            <w:r>
              <w:rPr>
                <w:sz w:val="21"/>
              </w:rPr>
              <w:t>月（声带完全切除不受此时间限制</w:t>
            </w:r>
            <w:r>
              <w:rPr>
                <w:spacing w:val="-106"/>
                <w:sz w:val="21"/>
              </w:rPr>
              <w:t>）</w:t>
            </w:r>
            <w:r>
              <w:rPr>
                <w:sz w:val="21"/>
              </w:rPr>
              <w:t>，仍无法通过现有医疗手段恢复。 精神心理因素所致的语言能力丧失不在保障范围内。 </w:t>
            </w:r>
          </w:p>
        </w:tc>
      </w:tr>
      <w:tr>
        <w:trPr>
          <w:trHeight w:val="312" w:hRule="atLeast"/>
        </w:trPr>
        <w:tc>
          <w:tcPr>
            <w:tcW w:w="1908" w:type="dxa"/>
          </w:tcPr>
          <w:p>
            <w:pPr>
              <w:pStyle w:val="TableParagraph"/>
              <w:spacing w:line="261" w:lineRule="exact" w:before="0"/>
              <w:rPr>
                <w:sz w:val="21"/>
              </w:rPr>
            </w:pPr>
            <w:r>
              <w:rPr>
                <w:sz w:val="21"/>
              </w:rPr>
              <w:t>二十四、重型再生</w:t>
            </w:r>
          </w:p>
        </w:tc>
        <w:tc>
          <w:tcPr>
            <w:tcW w:w="6810" w:type="dxa"/>
          </w:tcPr>
          <w:p>
            <w:pPr>
              <w:pStyle w:val="TableParagraph"/>
              <w:spacing w:line="261" w:lineRule="exact" w:before="0"/>
              <w:rPr>
                <w:sz w:val="21"/>
              </w:rPr>
            </w:pPr>
            <w:r>
              <w:rPr>
                <w:sz w:val="21"/>
              </w:rPr>
              <w:t>指因骨髓造血功能慢性持续性衰竭导致的贫血、中性粒细胞减少及血小</w:t>
            </w:r>
          </w:p>
        </w:tc>
      </w:tr>
    </w:tbl>
    <w:p>
      <w:pPr>
        <w:spacing w:after="0" w:line="261" w:lineRule="exact"/>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1" w:hRule="atLeast"/>
        </w:trPr>
        <w:tc>
          <w:tcPr>
            <w:tcW w:w="1908" w:type="dxa"/>
          </w:tcPr>
          <w:p>
            <w:pPr>
              <w:pStyle w:val="TableParagraph"/>
              <w:spacing w:line="260" w:lineRule="exact" w:before="0"/>
              <w:rPr>
                <w:sz w:val="21"/>
              </w:rPr>
            </w:pPr>
            <w:r>
              <w:rPr>
                <w:sz w:val="21"/>
              </w:rPr>
              <w:t>障碍性贫血 </w:t>
            </w:r>
          </w:p>
        </w:tc>
        <w:tc>
          <w:tcPr>
            <w:tcW w:w="6810" w:type="dxa"/>
          </w:tcPr>
          <w:p>
            <w:pPr>
              <w:pStyle w:val="TableParagraph"/>
              <w:spacing w:line="260" w:lineRule="exact" w:before="0"/>
              <w:rPr>
                <w:sz w:val="21"/>
              </w:rPr>
            </w:pPr>
            <w:r>
              <w:rPr>
                <w:sz w:val="21"/>
              </w:rPr>
              <w:t>板减少。须满足下列全部条件：  </w:t>
            </w:r>
          </w:p>
          <w:p>
            <w:pPr>
              <w:pStyle w:val="TableParagraph"/>
              <w:numPr>
                <w:ilvl w:val="0"/>
                <w:numId w:val="18"/>
              </w:numPr>
              <w:tabs>
                <w:tab w:pos="528" w:val="left" w:leader="none"/>
              </w:tabs>
              <w:spacing w:line="240" w:lineRule="auto" w:before="37" w:after="0"/>
              <w:ind w:left="527" w:right="0" w:hanging="420"/>
              <w:jc w:val="left"/>
              <w:rPr>
                <w:sz w:val="21"/>
              </w:rPr>
            </w:pPr>
            <w:r>
              <w:rPr>
                <w:sz w:val="21"/>
              </w:rPr>
              <w:t>骨髓穿刺检查或骨髓活检结果支持诊断； </w:t>
            </w:r>
          </w:p>
          <w:p>
            <w:pPr>
              <w:pStyle w:val="TableParagraph"/>
              <w:numPr>
                <w:ilvl w:val="0"/>
                <w:numId w:val="18"/>
              </w:numPr>
              <w:tabs>
                <w:tab w:pos="528" w:val="left" w:leader="none"/>
              </w:tabs>
              <w:spacing w:line="240" w:lineRule="auto" w:before="37" w:after="0"/>
              <w:ind w:left="527" w:right="0" w:hanging="420"/>
              <w:jc w:val="left"/>
              <w:rPr>
                <w:sz w:val="21"/>
              </w:rPr>
            </w:pPr>
            <w:r>
              <w:rPr>
                <w:spacing w:val="-1"/>
                <w:sz w:val="21"/>
              </w:rPr>
              <w:t>外周血象须具备以下三项条件：  </w:t>
            </w:r>
          </w:p>
          <w:p>
            <w:pPr>
              <w:pStyle w:val="TableParagraph"/>
              <w:ind w:left="527"/>
              <w:rPr>
                <w:sz w:val="21"/>
              </w:rPr>
            </w:pPr>
            <w:r>
              <w:rPr>
                <w:sz w:val="21"/>
              </w:rPr>
              <w:t>① 中性粒细胞绝对值≤0.5×10</w:t>
            </w:r>
            <w:r>
              <w:rPr>
                <w:position w:val="11"/>
                <w:sz w:val="11"/>
              </w:rPr>
              <w:t>9</w:t>
            </w:r>
            <w:r>
              <w:rPr>
                <w:sz w:val="21"/>
              </w:rPr>
              <w:t>/L；  </w:t>
            </w:r>
          </w:p>
          <w:p>
            <w:pPr>
              <w:pStyle w:val="TableParagraph"/>
              <w:ind w:left="527"/>
              <w:rPr>
                <w:sz w:val="21"/>
              </w:rPr>
            </w:pPr>
            <w:r>
              <w:rPr>
                <w:sz w:val="21"/>
              </w:rPr>
              <w:t>② 网织红细胞＜1%；  </w:t>
            </w:r>
          </w:p>
          <w:p>
            <w:pPr>
              <w:pStyle w:val="TableParagraph"/>
              <w:ind w:left="527"/>
              <w:rPr>
                <w:sz w:val="21"/>
              </w:rPr>
            </w:pPr>
            <w:r>
              <w:rPr>
                <w:sz w:val="21"/>
              </w:rPr>
              <w:t>③ 血小板绝对值≤20×10</w:t>
            </w:r>
            <w:r>
              <w:rPr>
                <w:position w:val="11"/>
                <w:sz w:val="11"/>
              </w:rPr>
              <w:t>9</w:t>
            </w:r>
            <w:r>
              <w:rPr>
                <w:sz w:val="21"/>
              </w:rPr>
              <w:t>/L。 </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 </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病损主动脉血管的手术。主动脉指胸主动脉和腹主动脉，不包括胸主动脉和腹主动脉的分支血管。 </w:t>
            </w:r>
          </w:p>
          <w:p>
            <w:pPr>
              <w:pStyle w:val="TableParagraph"/>
              <w:spacing w:before="7"/>
              <w:rPr>
                <w:sz w:val="21"/>
              </w:rPr>
            </w:pPr>
            <w:r>
              <w:rPr>
                <w:sz w:val="21"/>
              </w:rPr>
              <w:t>动脉内血管成形术不在保障范围内。 </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 </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对自身和环境的意识丧失和中枢神经系统功能丧失，仅残存植物神经功能的疾病状态。诊断必须明确并且具有严重颅脑外伤和脑损害的证据。植物人状态必须持续三十天以上方可申请理赔。 </w:t>
            </w:r>
          </w:p>
        </w:tc>
      </w:tr>
      <w:tr>
        <w:trPr>
          <w:trHeight w:val="1871"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sz w:val="21"/>
              </w:rPr>
              <w:t>灰质炎 </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在此保障范围以内。 </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sz w:val="21"/>
              </w:rPr>
              <w:t>化症 </w:t>
            </w:r>
          </w:p>
        </w:tc>
        <w:tc>
          <w:tcPr>
            <w:tcW w:w="6810" w:type="dxa"/>
          </w:tcPr>
          <w:p>
            <w:pPr>
              <w:pStyle w:val="TableParagraph"/>
              <w:spacing w:line="261" w:lineRule="exact" w:before="0"/>
              <w:rPr>
                <w:sz w:val="21"/>
              </w:rPr>
            </w:pPr>
            <w:r>
              <w:rPr>
                <w:sz w:val="21"/>
              </w:rPr>
              <w:t>多发性硬化症为中枢神经系统脱髓鞘病变。其诊断必须由医疗机构的神</w:t>
            </w:r>
          </w:p>
          <w:p>
            <w:pPr>
              <w:pStyle w:val="TableParagraph"/>
              <w:spacing w:line="273" w:lineRule="auto"/>
              <w:ind w:right="92"/>
              <w:jc w:val="both"/>
              <w:rPr>
                <w:sz w:val="21"/>
              </w:rPr>
            </w:pPr>
            <w:r>
              <w:rPr>
                <w:spacing w:val="-6"/>
                <w:sz w:val="21"/>
              </w:rPr>
              <w:t>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我们认可医院的神经专科</w:t>
            </w:r>
            <w:r>
              <w:rPr>
                <w:spacing w:val="-1"/>
                <w:sz w:val="21"/>
              </w:rPr>
              <w:t>医生确诊。诊断须包括：  </w:t>
            </w:r>
          </w:p>
          <w:p>
            <w:pPr>
              <w:pStyle w:val="TableParagraph"/>
              <w:numPr>
                <w:ilvl w:val="0"/>
                <w:numId w:val="19"/>
              </w:numPr>
              <w:tabs>
                <w:tab w:pos="467" w:val="left" w:leader="none"/>
                <w:tab w:pos="468" w:val="left" w:leader="none"/>
              </w:tabs>
              <w:spacing w:line="240" w:lineRule="auto" w:before="7" w:after="0"/>
              <w:ind w:left="467" w:right="0" w:hanging="360"/>
              <w:jc w:val="left"/>
              <w:rPr>
                <w:sz w:val="21"/>
              </w:rPr>
            </w:pPr>
            <w:r>
              <w:rPr>
                <w:spacing w:val="-1"/>
                <w:sz w:val="21"/>
              </w:rPr>
              <w:t>神经异常症状必须不间断地持续至少六个月，或  </w:t>
            </w:r>
          </w:p>
          <w:p>
            <w:pPr>
              <w:pStyle w:val="TableParagraph"/>
              <w:numPr>
                <w:ilvl w:val="0"/>
                <w:numId w:val="19"/>
              </w:numPr>
              <w:tabs>
                <w:tab w:pos="467" w:val="left" w:leader="none"/>
                <w:tab w:pos="468" w:val="left" w:leader="none"/>
              </w:tabs>
              <w:spacing w:line="240" w:lineRule="auto" w:before="20" w:after="0"/>
              <w:ind w:left="467" w:right="0" w:hanging="360"/>
              <w:jc w:val="left"/>
              <w:rPr>
                <w:sz w:val="21"/>
              </w:rPr>
            </w:pPr>
            <w:r>
              <w:rPr>
                <w:spacing w:val="-1"/>
                <w:sz w:val="21"/>
              </w:rPr>
              <w:t>有至少两次发作的临床记录且发作间隔至少一个月，或  </w:t>
            </w:r>
          </w:p>
          <w:p>
            <w:pPr>
              <w:pStyle w:val="TableParagraph"/>
              <w:numPr>
                <w:ilvl w:val="0"/>
                <w:numId w:val="19"/>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sz w:val="21"/>
              </w:rPr>
              <w:t>现。  </w:t>
            </w:r>
          </w:p>
          <w:p>
            <w:pPr>
              <w:pStyle w:val="TableParagraph"/>
              <w:spacing w:line="273" w:lineRule="auto" w:before="22"/>
              <w:ind w:right="46"/>
              <w:rPr>
                <w:sz w:val="21"/>
              </w:rPr>
            </w:pPr>
            <w:r>
              <w:rPr>
                <w:sz w:val="21"/>
              </w:rPr>
              <w:t>必须伴有典型的脱髓鞘症状和运动及感觉功能障碍的证据并有 MRI 检查的典型改变。 </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sz w:val="21"/>
              </w:rPr>
              <w:t>肌病 </w:t>
            </w:r>
          </w:p>
        </w:tc>
        <w:tc>
          <w:tcPr>
            <w:tcW w:w="6810" w:type="dxa"/>
          </w:tcPr>
          <w:p>
            <w:pPr>
              <w:pStyle w:val="TableParagraph"/>
              <w:spacing w:line="260"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），且有相关住院医疗记录显示四级心功能衰竭状态持续至少一百八十天。</w:t>
            </w:r>
          </w:p>
          <w:p>
            <w:pPr>
              <w:pStyle w:val="TableParagraph"/>
              <w:spacing w:line="273" w:lineRule="auto" w:before="12"/>
              <w:ind w:right="92"/>
              <w:jc w:val="both"/>
              <w:rPr>
                <w:sz w:val="21"/>
              </w:rPr>
            </w:pPr>
            <w:r>
              <w:rPr>
                <w:sz w:val="21"/>
              </w:rPr>
              <w:t>本病须经专科医师明确诊断。继发于全身性疾病或其它器官系统疾病造成的心肌病变除外。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美国纽约心脏协会分类标准心功能四级是指有医院的医疗记录显示病人不能进行任何活动，休息时仍有心悸、呼吸困难等心力衰竭表现。 </w:t>
            </w:r>
          </w:p>
        </w:tc>
      </w:tr>
      <w:tr>
        <w:trPr>
          <w:trHeight w:val="936"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sz w:val="21"/>
              </w:rPr>
              <w:t>湿性关节炎 </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疫性疾病，诊断须符合国际认可的疾病诊断标准；严重的类风湿性关节炎是指符合下列三项标准的类风湿性关节炎：</w:t>
            </w:r>
          </w:p>
        </w:tc>
      </w:tr>
    </w:tbl>
    <w:p>
      <w:pPr>
        <w:spacing w:after="0" w:line="273" w:lineRule="auto"/>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872"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20"/>
              </w:numPr>
              <w:tabs>
                <w:tab w:pos="528" w:val="left" w:leader="none"/>
              </w:tabs>
              <w:spacing w:line="260" w:lineRule="exact" w:before="0" w:after="0"/>
              <w:ind w:left="527" w:right="0" w:hanging="420"/>
              <w:jc w:val="left"/>
              <w:rPr>
                <w:sz w:val="21"/>
              </w:rPr>
            </w:pPr>
            <w:r>
              <w:rPr>
                <w:sz w:val="21"/>
              </w:rPr>
              <w:t>至少包括下列关节中的三组或三组以上有广泛受损和畸形改变：手</w:t>
            </w:r>
          </w:p>
          <w:p>
            <w:pPr>
              <w:pStyle w:val="TableParagraph"/>
              <w:spacing w:line="273" w:lineRule="auto"/>
              <w:ind w:left="527" w:right="98"/>
              <w:rPr>
                <w:sz w:val="21"/>
              </w:rPr>
            </w:pPr>
            <w:r>
              <w:rPr>
                <w:sz w:val="21"/>
              </w:rPr>
              <w:t>指关节、腕关节、肘关节、膝关节、髋关节、踝关节、脊椎或脚趾关节； </w:t>
            </w:r>
          </w:p>
          <w:p>
            <w:pPr>
              <w:pStyle w:val="TableParagraph"/>
              <w:numPr>
                <w:ilvl w:val="0"/>
                <w:numId w:val="20"/>
              </w:numPr>
              <w:tabs>
                <w:tab w:pos="528" w:val="left" w:leader="none"/>
              </w:tabs>
              <w:spacing w:line="273" w:lineRule="auto" w:before="7" w:after="0"/>
              <w:ind w:left="527" w:right="96" w:hanging="420"/>
              <w:jc w:val="left"/>
              <w:rPr>
                <w:sz w:val="21"/>
              </w:rPr>
            </w:pPr>
            <w:r>
              <w:rPr>
                <w:spacing w:val="-2"/>
                <w:sz w:val="21"/>
              </w:rPr>
              <w:t>手和腕的后前位 </w:t>
            </w:r>
            <w:r>
              <w:rPr>
                <w:sz w:val="21"/>
              </w:rPr>
              <w:t>X</w:t>
            </w:r>
            <w:r>
              <w:rPr>
                <w:spacing w:val="-3"/>
                <w:sz w:val="21"/>
              </w:rPr>
              <w:t> 线检查可见类风湿关节炎的典型变化，包括骨质侵蚀或钙流失，在受累关节及其临近部位尤其明显； </w:t>
            </w:r>
          </w:p>
          <w:p>
            <w:pPr>
              <w:pStyle w:val="TableParagraph"/>
              <w:numPr>
                <w:ilvl w:val="0"/>
                <w:numId w:val="20"/>
              </w:numPr>
              <w:tabs>
                <w:tab w:pos="528" w:val="left" w:leader="none"/>
              </w:tabs>
              <w:spacing w:line="240" w:lineRule="auto" w:before="7" w:after="0"/>
              <w:ind w:left="527" w:right="0" w:hanging="420"/>
              <w:jc w:val="left"/>
              <w:rPr>
                <w:sz w:val="21"/>
              </w:rPr>
            </w:pPr>
            <w:r>
              <w:rPr>
                <w:sz w:val="21"/>
              </w:rPr>
              <w:t>关节的畸形改变伴功能障碍至少持续六个月。 </w:t>
            </w:r>
          </w:p>
        </w:tc>
      </w:tr>
    </w:tbl>
    <w:sectPr>
      <w:pgSz w:w="1190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98.999908pt;margin-top:773.979675pt;width:8.5pt;height:12pt;mso-position-horizontal-relative:page;mso-position-vertical-relative:page;z-index:-18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r>
      <w:rPr/>
      <w:pict>
        <v:shape style="position:absolute;margin-left:88.879997pt;margin-top:775.021912pt;width:105.95pt;height:10pt;mso-position-horizontal-relative:page;mso-position-vertical-relative:page;z-index:-18016" type="#_x0000_t202" filled="false" stroked="false">
          <v:textbox inset="0,0,0,0">
            <w:txbxContent>
              <w:p>
                <w:pPr>
                  <w:spacing w:line="180" w:lineRule="exact" w:before="0"/>
                  <w:ind w:left="20" w:right="0" w:firstLine="0"/>
                  <w:jc w:val="left"/>
                  <w:rPr>
                    <w:sz w:val="16"/>
                  </w:rPr>
                </w:pPr>
                <w:r>
                  <w:rPr>
                    <w:w w:val="95"/>
                    <w:sz w:val="16"/>
                  </w:rPr>
                  <w:t>长生康泰宝定期重大疾病保险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 style="position:absolute;margin-left:494.499908pt;margin-top:773.979675pt;width:13pt;height:12pt;mso-position-horizontal-relative:page;mso-position-vertical-relative:page;z-index:-17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r>
      <w:rPr/>
      <w:pict>
        <v:shape style="position:absolute;margin-left:88.879997pt;margin-top:775.021912pt;width:105.95pt;height:10pt;mso-position-horizontal-relative:page;mso-position-vertical-relative:page;z-index:-17968" type="#_x0000_t202" filled="false" stroked="false">
          <v:textbox inset="0,0,0,0">
            <w:txbxContent>
              <w:p>
                <w:pPr>
                  <w:spacing w:line="180" w:lineRule="exact" w:before="0"/>
                  <w:ind w:left="20" w:right="0" w:firstLine="0"/>
                  <w:jc w:val="left"/>
                  <w:rPr>
                    <w:sz w:val="16"/>
                  </w:rPr>
                </w:pPr>
                <w:r>
                  <w:rPr>
                    <w:w w:val="95"/>
                    <w:sz w:val="16"/>
                  </w:rPr>
                  <w:t>长生康泰宝定期重大疾病保险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8">
    <w:multiLevelType w:val="hybridMultilevel"/>
    <w:lvl w:ilvl="0">
      <w:start w:val="0"/>
      <w:numFmt w:val="bullet"/>
      <w:lvlText w:val=""/>
      <w:lvlJc w:val="left"/>
      <w:pPr>
        <w:ind w:left="467" w:hanging="360"/>
      </w:pPr>
      <w:rPr>
        <w:rFonts w:hint="default" w:ascii="Symbol" w:hAnsi="Symbol" w:eastAsia="Symbol" w:cs="Symbol"/>
        <w:w w:val="100"/>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7">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5">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4">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3">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2">
    <w:multiLevelType w:val="hybridMultilevel"/>
    <w:lvl w:ilvl="0">
      <w:start w:val="1"/>
      <w:numFmt w:val="decimal"/>
      <w:lvlText w:val="(%1)"/>
      <w:lvlJc w:val="left"/>
      <w:pPr>
        <w:ind w:left="99" w:hanging="420"/>
        <w:jc w:val="left"/>
      </w:pPr>
      <w:rPr>
        <w:rFonts w:hint="default" w:ascii="宋体" w:hAnsi="宋体" w:eastAsia="宋体" w:cs="宋体"/>
        <w:spacing w:val="-1"/>
        <w:w w:val="100"/>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9">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8">
    <w:multiLevelType w:val="hybridMultilevel"/>
    <w:lvl w:ilvl="0">
      <w:start w:val="1"/>
      <w:numFmt w:val="decimal"/>
      <w:lvlText w:val="(%1)"/>
      <w:lvlJc w:val="left"/>
      <w:pPr>
        <w:ind w:left="527" w:hanging="420"/>
        <w:jc w:val="left"/>
      </w:pPr>
      <w:rPr>
        <w:rFonts w:hint="default" w:ascii="宋体" w:hAnsi="宋体" w:eastAsia="宋体" w:cs="宋体"/>
        <w:spacing w:val="-1"/>
        <w:w w:val="100"/>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467" w:hanging="361"/>
        <w:jc w:val="left"/>
      </w:pPr>
      <w:rPr>
        <w:rFonts w:hint="default" w:ascii="宋体" w:hAnsi="宋体" w:eastAsia="宋体" w:cs="宋体"/>
        <w:spacing w:val="-1"/>
        <w:w w:val="100"/>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6">
    <w:multiLevelType w:val="hybridMultilevel"/>
    <w:lvl w:ilvl="0">
      <w:start w:val="1"/>
      <w:numFmt w:val="decimal"/>
      <w:lvlText w:val="%1."/>
      <w:lvlJc w:val="left"/>
      <w:pPr>
        <w:ind w:left="477" w:hanging="361"/>
        <w:jc w:val="left"/>
      </w:pPr>
      <w:rPr>
        <w:rFonts w:hint="default" w:ascii="宋体" w:hAnsi="宋体" w:eastAsia="宋体" w:cs="宋体"/>
        <w:w w:val="100"/>
        <w:sz w:val="21"/>
        <w:szCs w:val="21"/>
      </w:rPr>
    </w:lvl>
    <w:lvl w:ilvl="1">
      <w:start w:val="1"/>
      <w:numFmt w:val="decimal"/>
      <w:lvlText w:val="%2)"/>
      <w:lvlJc w:val="left"/>
      <w:pPr>
        <w:ind w:left="657" w:hanging="360"/>
        <w:jc w:val="left"/>
      </w:pPr>
      <w:rPr>
        <w:rFonts w:hint="default" w:ascii="宋体" w:hAnsi="宋体" w:eastAsia="宋体" w:cs="宋体"/>
        <w:spacing w:val="-90"/>
        <w:w w:val="100"/>
        <w:sz w:val="18"/>
        <w:szCs w:val="18"/>
      </w:rPr>
    </w:lvl>
    <w:lvl w:ilvl="2">
      <w:start w:val="1"/>
      <w:numFmt w:val="decimal"/>
      <w:lvlText w:val="%3)"/>
      <w:lvlJc w:val="left"/>
      <w:pPr>
        <w:ind w:left="757" w:hanging="360"/>
        <w:jc w:val="left"/>
      </w:pPr>
      <w:rPr>
        <w:rFonts w:hint="default"/>
        <w:w w:val="100"/>
      </w:rPr>
    </w:lvl>
    <w:lvl w:ilvl="3">
      <w:start w:val="0"/>
      <w:numFmt w:val="bullet"/>
      <w:lvlText w:val="•"/>
      <w:lvlJc w:val="left"/>
      <w:pPr>
        <w:ind w:left="1745" w:hanging="360"/>
      </w:pPr>
      <w:rPr>
        <w:rFonts w:hint="default"/>
      </w:rPr>
    </w:lvl>
    <w:lvl w:ilvl="4">
      <w:start w:val="0"/>
      <w:numFmt w:val="bullet"/>
      <w:lvlText w:val="•"/>
      <w:lvlJc w:val="left"/>
      <w:pPr>
        <w:ind w:left="2730" w:hanging="360"/>
      </w:pPr>
      <w:rPr>
        <w:rFonts w:hint="default"/>
      </w:rPr>
    </w:lvl>
    <w:lvl w:ilvl="5">
      <w:start w:val="0"/>
      <w:numFmt w:val="bullet"/>
      <w:lvlText w:val="•"/>
      <w:lvlJc w:val="left"/>
      <w:pPr>
        <w:ind w:left="3715" w:hanging="360"/>
      </w:pPr>
      <w:rPr>
        <w:rFonts w:hint="default"/>
      </w:rPr>
    </w:lvl>
    <w:lvl w:ilvl="6">
      <w:start w:val="0"/>
      <w:numFmt w:val="bullet"/>
      <w:lvlText w:val="•"/>
      <w:lvlJc w:val="left"/>
      <w:pPr>
        <w:ind w:left="4700" w:hanging="360"/>
      </w:pPr>
      <w:rPr>
        <w:rFonts w:hint="default"/>
      </w:rPr>
    </w:lvl>
    <w:lvl w:ilvl="7">
      <w:start w:val="0"/>
      <w:numFmt w:val="bullet"/>
      <w:lvlText w:val="•"/>
      <w:lvlJc w:val="left"/>
      <w:pPr>
        <w:ind w:left="5685" w:hanging="360"/>
      </w:pPr>
      <w:rPr>
        <w:rFonts w:hint="default"/>
      </w:rPr>
    </w:lvl>
    <w:lvl w:ilvl="8">
      <w:start w:val="0"/>
      <w:numFmt w:val="bullet"/>
      <w:lvlText w:val="•"/>
      <w:lvlJc w:val="left"/>
      <w:pPr>
        <w:ind w:left="6670" w:hanging="360"/>
      </w:pPr>
      <w:rPr>
        <w:rFonts w:hint="default"/>
      </w:rPr>
    </w:lvl>
  </w:abstractNum>
  <w:abstractNum w:abstractNumId="5">
    <w:multiLevelType w:val="hybridMultilevel"/>
    <w:lvl w:ilvl="0">
      <w:start w:val="1"/>
      <w:numFmt w:val="decimal"/>
      <w:lvlText w:val="%1."/>
      <w:lvlJc w:val="left"/>
      <w:pPr>
        <w:ind w:left="477" w:hanging="361"/>
        <w:jc w:val="left"/>
      </w:pPr>
      <w:rPr>
        <w:rFonts w:hint="default" w:ascii="宋体" w:hAnsi="宋体" w:eastAsia="宋体" w:cs="宋体"/>
        <w:w w:val="100"/>
        <w:sz w:val="21"/>
        <w:szCs w:val="21"/>
      </w:rPr>
    </w:lvl>
    <w:lvl w:ilvl="1">
      <w:start w:val="0"/>
      <w:numFmt w:val="bullet"/>
      <w:lvlText w:val="•"/>
      <w:lvlJc w:val="left"/>
      <w:pPr>
        <w:ind w:left="1296" w:hanging="361"/>
      </w:pPr>
      <w:rPr>
        <w:rFonts w:hint="default"/>
      </w:rPr>
    </w:lvl>
    <w:lvl w:ilvl="2">
      <w:start w:val="0"/>
      <w:numFmt w:val="bullet"/>
      <w:lvlText w:val="•"/>
      <w:lvlJc w:val="left"/>
      <w:pPr>
        <w:ind w:left="2112" w:hanging="361"/>
      </w:pPr>
      <w:rPr>
        <w:rFonts w:hint="default"/>
      </w:rPr>
    </w:lvl>
    <w:lvl w:ilvl="3">
      <w:start w:val="0"/>
      <w:numFmt w:val="bullet"/>
      <w:lvlText w:val="•"/>
      <w:lvlJc w:val="left"/>
      <w:pPr>
        <w:ind w:left="2928" w:hanging="361"/>
      </w:pPr>
      <w:rPr>
        <w:rFonts w:hint="default"/>
      </w:rPr>
    </w:lvl>
    <w:lvl w:ilvl="4">
      <w:start w:val="0"/>
      <w:numFmt w:val="bullet"/>
      <w:lvlText w:val="•"/>
      <w:lvlJc w:val="left"/>
      <w:pPr>
        <w:ind w:left="3744" w:hanging="361"/>
      </w:pPr>
      <w:rPr>
        <w:rFonts w:hint="default"/>
      </w:rPr>
    </w:lvl>
    <w:lvl w:ilvl="5">
      <w:start w:val="0"/>
      <w:numFmt w:val="bullet"/>
      <w:lvlText w:val="•"/>
      <w:lvlJc w:val="left"/>
      <w:pPr>
        <w:ind w:left="4560" w:hanging="361"/>
      </w:pPr>
      <w:rPr>
        <w:rFonts w:hint="default"/>
      </w:rPr>
    </w:lvl>
    <w:lvl w:ilvl="6">
      <w:start w:val="0"/>
      <w:numFmt w:val="bullet"/>
      <w:lvlText w:val="•"/>
      <w:lvlJc w:val="left"/>
      <w:pPr>
        <w:ind w:left="5376" w:hanging="361"/>
      </w:pPr>
      <w:rPr>
        <w:rFonts w:hint="default"/>
      </w:rPr>
    </w:lvl>
    <w:lvl w:ilvl="7">
      <w:start w:val="0"/>
      <w:numFmt w:val="bullet"/>
      <w:lvlText w:val="•"/>
      <w:lvlJc w:val="left"/>
      <w:pPr>
        <w:ind w:left="6192" w:hanging="361"/>
      </w:pPr>
      <w:rPr>
        <w:rFonts w:hint="default"/>
      </w:rPr>
    </w:lvl>
    <w:lvl w:ilvl="8">
      <w:start w:val="0"/>
      <w:numFmt w:val="bullet"/>
      <w:lvlText w:val="•"/>
      <w:lvlJc w:val="left"/>
      <w:pPr>
        <w:ind w:left="7008" w:hanging="361"/>
      </w:pPr>
      <w:rPr>
        <w:rFonts w:hint="default"/>
      </w:rPr>
    </w:lvl>
  </w:abstractNum>
  <w:abstractNum w:abstractNumId="4">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3">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2">
    <w:multiLevelType w:val="hybridMultilevel"/>
    <w:lvl w:ilvl="0">
      <w:start w:val="1"/>
      <w:numFmt w:val="decimal"/>
      <w:lvlText w:val="%1."/>
      <w:lvlJc w:val="left"/>
      <w:pPr>
        <w:ind w:left="657" w:hanging="361"/>
        <w:jc w:val="left"/>
      </w:pPr>
      <w:rPr>
        <w:rFonts w:hint="default" w:ascii="黑体" w:hAnsi="黑体" w:eastAsia="黑体" w:cs="黑体"/>
        <w:w w:val="100"/>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4" w:hanging="361"/>
      </w:pPr>
      <w:rPr>
        <w:rFonts w:hint="default"/>
      </w:rPr>
    </w:lvl>
    <w:lvl w:ilvl="4">
      <w:start w:val="0"/>
      <w:numFmt w:val="bullet"/>
      <w:lvlText w:val="•"/>
      <w:lvlJc w:val="left"/>
      <w:pPr>
        <w:ind w:left="3852" w:hanging="361"/>
      </w:pPr>
      <w:rPr>
        <w:rFonts w:hint="default"/>
      </w:rPr>
    </w:lvl>
    <w:lvl w:ilvl="5">
      <w:start w:val="0"/>
      <w:numFmt w:val="bullet"/>
      <w:lvlText w:val="•"/>
      <w:lvlJc w:val="left"/>
      <w:pPr>
        <w:ind w:left="4650" w:hanging="361"/>
      </w:pPr>
      <w:rPr>
        <w:rFonts w:hint="default"/>
      </w:rPr>
    </w:lvl>
    <w:lvl w:ilvl="6">
      <w:start w:val="0"/>
      <w:numFmt w:val="bullet"/>
      <w:lvlText w:val="•"/>
      <w:lvlJc w:val="left"/>
      <w:pPr>
        <w:ind w:left="5448" w:hanging="361"/>
      </w:pPr>
      <w:rPr>
        <w:rFonts w:hint="default"/>
      </w:rPr>
    </w:lvl>
    <w:lvl w:ilvl="7">
      <w:start w:val="0"/>
      <w:numFmt w:val="bullet"/>
      <w:lvlText w:val="•"/>
      <w:lvlJc w:val="left"/>
      <w:pPr>
        <w:ind w:left="6246" w:hanging="361"/>
      </w:pPr>
      <w:rPr>
        <w:rFonts w:hint="default"/>
      </w:rPr>
    </w:lvl>
    <w:lvl w:ilvl="8">
      <w:start w:val="0"/>
      <w:numFmt w:val="bullet"/>
      <w:lvlText w:val="•"/>
      <w:lvlJc w:val="left"/>
      <w:pPr>
        <w:ind w:left="7044" w:hanging="361"/>
      </w:pPr>
      <w:rPr>
        <w:rFonts w:hint="default"/>
      </w:rPr>
    </w:lvl>
  </w:abstractNum>
  <w:abstractNum w:abstractNumId="1">
    <w:multiLevelType w:val="hybridMultilevel"/>
    <w:lvl w:ilvl="0">
      <w:start w:val="1"/>
      <w:numFmt w:val="decimal"/>
      <w:lvlText w:val="%1)"/>
      <w:lvlJc w:val="left"/>
      <w:pPr>
        <w:ind w:left="657" w:hanging="360"/>
        <w:jc w:val="left"/>
      </w:pPr>
      <w:rPr>
        <w:rFonts w:hint="default" w:ascii="宋体" w:hAnsi="宋体" w:eastAsia="宋体" w:cs="宋体"/>
        <w:w w:val="100"/>
        <w:sz w:val="18"/>
        <w:szCs w:val="18"/>
      </w:rPr>
    </w:lvl>
    <w:lvl w:ilvl="1">
      <w:start w:val="0"/>
      <w:numFmt w:val="bullet"/>
      <w:lvlText w:val="•"/>
      <w:lvlJc w:val="left"/>
      <w:pPr>
        <w:ind w:left="1456" w:hanging="360"/>
      </w:pPr>
      <w:rPr>
        <w:rFonts w:hint="default"/>
      </w:rPr>
    </w:lvl>
    <w:lvl w:ilvl="2">
      <w:start w:val="0"/>
      <w:numFmt w:val="bullet"/>
      <w:lvlText w:val="•"/>
      <w:lvlJc w:val="left"/>
      <w:pPr>
        <w:ind w:left="2252" w:hanging="360"/>
      </w:pPr>
      <w:rPr>
        <w:rFonts w:hint="default"/>
      </w:rPr>
    </w:lvl>
    <w:lvl w:ilvl="3">
      <w:start w:val="0"/>
      <w:numFmt w:val="bullet"/>
      <w:lvlText w:val="•"/>
      <w:lvlJc w:val="left"/>
      <w:pPr>
        <w:ind w:left="3048" w:hanging="360"/>
      </w:pPr>
      <w:rPr>
        <w:rFonts w:hint="default"/>
      </w:rPr>
    </w:lvl>
    <w:lvl w:ilvl="4">
      <w:start w:val="0"/>
      <w:numFmt w:val="bullet"/>
      <w:lvlText w:val="•"/>
      <w:lvlJc w:val="left"/>
      <w:pPr>
        <w:ind w:left="3844" w:hanging="360"/>
      </w:pPr>
      <w:rPr>
        <w:rFonts w:hint="default"/>
      </w:rPr>
    </w:lvl>
    <w:lvl w:ilvl="5">
      <w:start w:val="0"/>
      <w:numFmt w:val="bullet"/>
      <w:lvlText w:val="•"/>
      <w:lvlJc w:val="left"/>
      <w:pPr>
        <w:ind w:left="4640" w:hanging="360"/>
      </w:pPr>
      <w:rPr>
        <w:rFonts w:hint="default"/>
      </w:rPr>
    </w:lvl>
    <w:lvl w:ilvl="6">
      <w:start w:val="0"/>
      <w:numFmt w:val="bullet"/>
      <w:lvlText w:val="•"/>
      <w:lvlJc w:val="left"/>
      <w:pPr>
        <w:ind w:left="5436" w:hanging="360"/>
      </w:pPr>
      <w:rPr>
        <w:rFonts w:hint="default"/>
      </w:rPr>
    </w:lvl>
    <w:lvl w:ilvl="7">
      <w:start w:val="0"/>
      <w:numFmt w:val="bullet"/>
      <w:lvlText w:val="•"/>
      <w:lvlJc w:val="left"/>
      <w:pPr>
        <w:ind w:left="6232" w:hanging="360"/>
      </w:pPr>
      <w:rPr>
        <w:rFonts w:hint="default"/>
      </w:rPr>
    </w:lvl>
    <w:lvl w:ilvl="8">
      <w:start w:val="0"/>
      <w:numFmt w:val="bullet"/>
      <w:lvlText w:val="•"/>
      <w:lvlJc w:val="left"/>
      <w:pPr>
        <w:ind w:left="7028" w:hanging="360"/>
      </w:pPr>
      <w:rPr>
        <w:rFonts w:hint="default"/>
      </w:rPr>
    </w:lvl>
  </w:abstractNum>
  <w:abstractNum w:abstractNumId="0">
    <w:multiLevelType w:val="hybridMultilevel"/>
    <w:lvl w:ilvl="0">
      <w:start w:val="1"/>
      <w:numFmt w:val="decimal"/>
      <w:lvlText w:val="%1."/>
      <w:lvlJc w:val="left"/>
      <w:pPr>
        <w:ind w:left="657" w:hanging="361"/>
        <w:jc w:val="left"/>
      </w:pPr>
      <w:rPr>
        <w:rFonts w:hint="default" w:ascii="黑体" w:hAnsi="黑体" w:eastAsia="黑体" w:cs="黑体"/>
        <w:w w:val="100"/>
        <w:sz w:val="21"/>
        <w:szCs w:val="21"/>
      </w:rPr>
    </w:lvl>
    <w:lvl w:ilvl="1">
      <w:start w:val="0"/>
      <w:numFmt w:val="bullet"/>
      <w:lvlText w:val="•"/>
      <w:lvlJc w:val="left"/>
      <w:pPr>
        <w:ind w:left="1456" w:hanging="361"/>
      </w:pPr>
      <w:rPr>
        <w:rFonts w:hint="default"/>
      </w:rPr>
    </w:lvl>
    <w:lvl w:ilvl="2">
      <w:start w:val="0"/>
      <w:numFmt w:val="bullet"/>
      <w:lvlText w:val="•"/>
      <w:lvlJc w:val="left"/>
      <w:pPr>
        <w:ind w:left="2252" w:hanging="361"/>
      </w:pPr>
      <w:rPr>
        <w:rFonts w:hint="default"/>
      </w:rPr>
    </w:lvl>
    <w:lvl w:ilvl="3">
      <w:start w:val="0"/>
      <w:numFmt w:val="bullet"/>
      <w:lvlText w:val="•"/>
      <w:lvlJc w:val="left"/>
      <w:pPr>
        <w:ind w:left="3048" w:hanging="361"/>
      </w:pPr>
      <w:rPr>
        <w:rFonts w:hint="default"/>
      </w:rPr>
    </w:lvl>
    <w:lvl w:ilvl="4">
      <w:start w:val="0"/>
      <w:numFmt w:val="bullet"/>
      <w:lvlText w:val="•"/>
      <w:lvlJc w:val="left"/>
      <w:pPr>
        <w:ind w:left="3844" w:hanging="361"/>
      </w:pPr>
      <w:rPr>
        <w:rFonts w:hint="default"/>
      </w:rPr>
    </w:lvl>
    <w:lvl w:ilvl="5">
      <w:start w:val="0"/>
      <w:numFmt w:val="bullet"/>
      <w:lvlText w:val="•"/>
      <w:lvlJc w:val="left"/>
      <w:pPr>
        <w:ind w:left="4640" w:hanging="361"/>
      </w:pPr>
      <w:rPr>
        <w:rFonts w:hint="default"/>
      </w:rPr>
    </w:lvl>
    <w:lvl w:ilvl="6">
      <w:start w:val="0"/>
      <w:numFmt w:val="bullet"/>
      <w:lvlText w:val="•"/>
      <w:lvlJc w:val="left"/>
      <w:pPr>
        <w:ind w:left="5436" w:hanging="361"/>
      </w:pPr>
      <w:rPr>
        <w:rFonts w:hint="default"/>
      </w:rPr>
    </w:lvl>
    <w:lvl w:ilvl="7">
      <w:start w:val="0"/>
      <w:numFmt w:val="bullet"/>
      <w:lvlText w:val="•"/>
      <w:lvlJc w:val="left"/>
      <w:pPr>
        <w:ind w:left="6232" w:hanging="361"/>
      </w:pPr>
      <w:rPr>
        <w:rFonts w:hint="default"/>
      </w:rPr>
    </w:lvl>
    <w:lvl w:ilvl="8">
      <w:start w:val="0"/>
      <w:numFmt w:val="bullet"/>
      <w:lvlText w:val="•"/>
      <w:lvlJc w:val="left"/>
      <w:pPr>
        <w:ind w:left="7028" w:hanging="361"/>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spacing w:line="312" w:lineRule="exact"/>
      <w:ind w:right="48"/>
      <w:jc w:val="center"/>
      <w:outlineLvl w:val="1"/>
    </w:pPr>
    <w:rPr>
      <w:rFonts w:ascii="宋体" w:hAnsi="宋体" w:eastAsia="宋体" w:cs="宋体"/>
      <w:sz w:val="24"/>
      <w:szCs w:val="24"/>
    </w:rPr>
  </w:style>
  <w:style w:styleId="ListParagraph" w:type="paragraph">
    <w:name w:val="List Paragraph"/>
    <w:basedOn w:val="Normal"/>
    <w:uiPriority w:val="1"/>
    <w:qFormat/>
    <w:pPr>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2018-10-19T21:43:02Z</dcterms:created>
  <dcterms:modified xsi:type="dcterms:W3CDTF">2018-10-19T21:43:02Z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