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04" w:firstLine="0"/>
        <w:jc w:val="right"/>
        <w:rPr>
          <w:b/>
          <w:sz w:val="18"/>
        </w:rPr>
      </w:pPr>
      <w:r>
        <w:rPr>
          <w:b/>
          <w:sz w:val="18"/>
        </w:rPr>
        <w:t>金盛人寿〔</w:t>
      </w:r>
      <w:r>
        <w:rPr>
          <w:rFonts w:ascii="Times New Roman" w:eastAsia="Times New Roman"/>
          <w:b/>
          <w:sz w:val="18"/>
        </w:rPr>
        <w:t>2009</w:t>
      </w:r>
      <w:r>
        <w:rPr>
          <w:b/>
          <w:sz w:val="18"/>
        </w:rPr>
        <w:t>〕疾病保险 </w:t>
      </w:r>
      <w:r>
        <w:rPr>
          <w:rFonts w:ascii="Times New Roman" w:eastAsia="Times New Roman"/>
          <w:b/>
          <w:sz w:val="18"/>
        </w:rPr>
        <w:t>035 </w:t>
      </w:r>
      <w:r>
        <w:rPr>
          <w:b/>
          <w:sz w:val="18"/>
        </w:rPr>
        <w:t>号</w:t>
      </w:r>
    </w:p>
    <w:p>
      <w:pPr>
        <w:pStyle w:val="BodyText"/>
        <w:ind w:left="8237"/>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line="205" w:lineRule="exact" w:before="0"/>
        <w:ind w:left="0" w:right="104" w:firstLine="0"/>
        <w:jc w:val="right"/>
        <w:rPr>
          <w:b/>
          <w:sz w:val="18"/>
        </w:rPr>
      </w:pPr>
      <w:r>
        <w:rPr>
          <w:b/>
          <w:w w:val="95"/>
          <w:sz w:val="18"/>
        </w:rPr>
        <w:t>请扫描以查询验证条款</w:t>
      </w:r>
    </w:p>
    <w:p>
      <w:pPr>
        <w:pStyle w:val="BodyText"/>
        <w:spacing w:before="5"/>
        <w:rPr>
          <w:b/>
          <w:sz w:val="16"/>
        </w:rPr>
      </w:pPr>
    </w:p>
    <w:p>
      <w:pPr>
        <w:spacing w:before="1"/>
        <w:ind w:left="2640" w:right="2531" w:firstLine="0"/>
        <w:jc w:val="center"/>
        <w:rPr>
          <w:b/>
          <w:sz w:val="32"/>
        </w:rPr>
      </w:pPr>
      <w:r>
        <w:rPr>
          <w:b/>
          <w:w w:val="95"/>
          <w:sz w:val="32"/>
        </w:rPr>
        <w:t>金盛人寿保险有限公司</w:t>
      </w:r>
    </w:p>
    <w:p>
      <w:pPr>
        <w:spacing w:before="78"/>
        <w:ind w:left="2645" w:right="2531" w:firstLine="0"/>
        <w:jc w:val="center"/>
        <w:rPr>
          <w:b/>
          <w:sz w:val="32"/>
        </w:rPr>
      </w:pPr>
      <w:r>
        <w:rPr>
          <w:b/>
          <w:w w:val="95"/>
          <w:sz w:val="32"/>
        </w:rPr>
        <w:t>金盛附加团体重大疾病保险条款</w:t>
      </w:r>
    </w:p>
    <w:p>
      <w:pPr>
        <w:pStyle w:val="BodyText"/>
        <w:spacing w:before="8"/>
        <w:rPr>
          <w:b/>
          <w:sz w:val="36"/>
        </w:rPr>
      </w:pPr>
    </w:p>
    <w:p>
      <w:pPr>
        <w:pStyle w:val="BodyText"/>
        <w:spacing w:before="1"/>
        <w:ind w:left="2627" w:right="2531"/>
        <w:jc w:val="center"/>
      </w:pPr>
      <w:r>
        <w:rPr/>
        <w:t>[2009]字第1-88号文呈报</w:t>
      </w:r>
    </w:p>
    <w:p>
      <w:pPr>
        <w:spacing w:before="46"/>
        <w:ind w:left="2624" w:right="2531" w:firstLine="0"/>
        <w:jc w:val="center"/>
        <w:rPr>
          <w:sz w:val="20"/>
        </w:rPr>
      </w:pPr>
      <w:r>
        <w:rPr>
          <w:w w:val="95"/>
          <w:sz w:val="20"/>
        </w:rPr>
        <w:t>中国保险监督管理委员会备案</w:t>
      </w:r>
    </w:p>
    <w:p>
      <w:pPr>
        <w:pStyle w:val="BodyText"/>
        <w:rPr>
          <w:sz w:val="20"/>
        </w:rPr>
      </w:pPr>
    </w:p>
    <w:p>
      <w:pPr>
        <w:pStyle w:val="BodyText"/>
        <w:spacing w:before="12"/>
        <w:rPr>
          <w:sz w:val="17"/>
        </w:rPr>
      </w:pPr>
    </w:p>
    <w:p>
      <w:pPr>
        <w:pStyle w:val="Heading1"/>
        <w:ind w:left="2622" w:right="2531"/>
      </w:pPr>
      <w:r>
        <w:rPr>
          <w:w w:val="95"/>
        </w:rPr>
        <w:t>目录</w:t>
      </w:r>
    </w:p>
    <w:p>
      <w:pPr>
        <w:pStyle w:val="BodyText"/>
        <w:rPr>
          <w:b/>
          <w:sz w:val="28"/>
        </w:rPr>
      </w:pPr>
    </w:p>
    <w:p>
      <w:pPr>
        <w:pStyle w:val="BodyText"/>
        <w:spacing w:before="198"/>
        <w:ind w:left="200"/>
      </w:pPr>
      <w:r>
        <w:rPr/>
        <w:t>感谢</w:t>
      </w:r>
      <w:r>
        <w:rPr>
          <w:b/>
        </w:rPr>
        <w:t>您</w:t>
      </w:r>
      <w:r>
        <w:rPr>
          <w:position w:val="11"/>
          <w:sz w:val="11"/>
        </w:rPr>
        <w:t>（1）</w:t>
      </w:r>
      <w:r>
        <w:rPr/>
        <w:t>选择了我们-金盛人寿保险有限公司。</w:t>
      </w:r>
    </w:p>
    <w:p>
      <w:pPr>
        <w:pStyle w:val="BodyText"/>
        <w:spacing w:before="99"/>
        <w:ind w:left="200"/>
      </w:pPr>
      <w:r>
        <w:rPr/>
        <w:t>在您阅读本条款之前，请浏览一下目录，以便于对条款结构有一个大致的了解。</w:t>
      </w:r>
    </w:p>
    <w:p>
      <w:pPr>
        <w:pStyle w:val="BodyText"/>
        <w:spacing w:before="10"/>
        <w:rPr>
          <w:sz w:val="1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7"/>
        <w:gridCol w:w="5245"/>
      </w:tblGrid>
      <w:tr>
        <w:trPr>
          <w:trHeight w:val="395" w:hRule="atLeast"/>
        </w:trPr>
        <w:tc>
          <w:tcPr>
            <w:tcW w:w="1947" w:type="dxa"/>
          </w:tcPr>
          <w:p>
            <w:pPr>
              <w:pStyle w:val="TableParagraph"/>
              <w:spacing w:line="240" w:lineRule="exact"/>
              <w:rPr>
                <w:b/>
                <w:sz w:val="24"/>
              </w:rPr>
            </w:pPr>
            <w:r>
              <w:rPr>
                <w:b/>
                <w:sz w:val="24"/>
              </w:rPr>
              <w:t>温馨提示</w:t>
            </w:r>
          </w:p>
        </w:tc>
        <w:tc>
          <w:tcPr>
            <w:tcW w:w="5245" w:type="dxa"/>
          </w:tcPr>
          <w:p>
            <w:pPr>
              <w:pStyle w:val="TableParagraph"/>
              <w:ind w:left="0"/>
              <w:rPr>
                <w:rFonts w:ascii="Times New Roman"/>
                <w:sz w:val="20"/>
              </w:rPr>
            </w:pPr>
          </w:p>
        </w:tc>
      </w:tr>
      <w:tr>
        <w:trPr>
          <w:trHeight w:val="563" w:hRule="atLeast"/>
        </w:trPr>
        <w:tc>
          <w:tcPr>
            <w:tcW w:w="7192" w:type="dxa"/>
            <w:gridSpan w:val="2"/>
          </w:tcPr>
          <w:p>
            <w:pPr>
              <w:pStyle w:val="TableParagraph"/>
              <w:spacing w:before="69"/>
              <w:rPr>
                <w:sz w:val="21"/>
              </w:rPr>
            </w:pPr>
            <w:r>
              <w:rPr>
                <w:b/>
                <w:sz w:val="24"/>
              </w:rPr>
              <w:t>第一章 保险责任条款</w:t>
            </w:r>
            <w:r>
              <w:rPr>
                <w:b/>
                <w:sz w:val="28"/>
              </w:rPr>
              <w:t>:</w:t>
            </w:r>
            <w:r>
              <w:rPr>
                <w:sz w:val="21"/>
              </w:rPr>
              <w:t>向您介绍本附加合同给您提供的保险保障。</w:t>
            </w:r>
          </w:p>
        </w:tc>
      </w:tr>
      <w:tr>
        <w:trPr>
          <w:trHeight w:val="419" w:hRule="atLeast"/>
        </w:trPr>
        <w:tc>
          <w:tcPr>
            <w:tcW w:w="1947" w:type="dxa"/>
          </w:tcPr>
          <w:p>
            <w:pPr>
              <w:pStyle w:val="TableParagraph"/>
              <w:spacing w:before="63"/>
              <w:ind w:left="483"/>
              <w:rPr>
                <w:sz w:val="21"/>
              </w:rPr>
            </w:pPr>
            <w:r>
              <w:rPr>
                <w:sz w:val="21"/>
              </w:rPr>
              <w:t>第一条</w:t>
            </w:r>
          </w:p>
        </w:tc>
        <w:tc>
          <w:tcPr>
            <w:tcW w:w="5245" w:type="dxa"/>
          </w:tcPr>
          <w:p>
            <w:pPr>
              <w:pStyle w:val="TableParagraph"/>
              <w:spacing w:before="63"/>
              <w:ind w:left="621"/>
              <w:rPr>
                <w:sz w:val="21"/>
              </w:rPr>
            </w:pPr>
            <w:r>
              <w:rPr>
                <w:sz w:val="21"/>
              </w:rPr>
              <w:t>合同的构成</w:t>
            </w:r>
          </w:p>
        </w:tc>
      </w:tr>
      <w:tr>
        <w:trPr>
          <w:trHeight w:val="374" w:hRule="atLeast"/>
        </w:trPr>
        <w:tc>
          <w:tcPr>
            <w:tcW w:w="1947" w:type="dxa"/>
          </w:tcPr>
          <w:p>
            <w:pPr>
              <w:pStyle w:val="TableParagraph"/>
              <w:spacing w:before="18"/>
              <w:ind w:left="483"/>
              <w:rPr>
                <w:sz w:val="21"/>
              </w:rPr>
            </w:pPr>
            <w:r>
              <w:rPr>
                <w:sz w:val="21"/>
              </w:rPr>
              <w:t>第二条</w:t>
            </w:r>
          </w:p>
        </w:tc>
        <w:tc>
          <w:tcPr>
            <w:tcW w:w="5245" w:type="dxa"/>
          </w:tcPr>
          <w:p>
            <w:pPr>
              <w:pStyle w:val="TableParagraph"/>
              <w:spacing w:before="18"/>
              <w:ind w:left="621"/>
              <w:rPr>
                <w:sz w:val="21"/>
              </w:rPr>
            </w:pPr>
            <w:r>
              <w:rPr>
                <w:sz w:val="21"/>
              </w:rPr>
              <w:t>投保范围</w:t>
            </w:r>
          </w:p>
        </w:tc>
      </w:tr>
      <w:tr>
        <w:trPr>
          <w:trHeight w:val="374" w:hRule="atLeast"/>
        </w:trPr>
        <w:tc>
          <w:tcPr>
            <w:tcW w:w="1947" w:type="dxa"/>
          </w:tcPr>
          <w:p>
            <w:pPr>
              <w:pStyle w:val="TableParagraph"/>
              <w:spacing w:before="18"/>
              <w:ind w:left="483"/>
              <w:rPr>
                <w:sz w:val="21"/>
              </w:rPr>
            </w:pPr>
            <w:r>
              <w:rPr>
                <w:sz w:val="21"/>
              </w:rPr>
              <w:t>第三条</w:t>
            </w:r>
          </w:p>
        </w:tc>
        <w:tc>
          <w:tcPr>
            <w:tcW w:w="5245" w:type="dxa"/>
          </w:tcPr>
          <w:p>
            <w:pPr>
              <w:pStyle w:val="TableParagraph"/>
              <w:spacing w:before="18"/>
              <w:ind w:left="621"/>
              <w:rPr>
                <w:sz w:val="21"/>
              </w:rPr>
            </w:pPr>
            <w:r>
              <w:rPr>
                <w:sz w:val="21"/>
              </w:rPr>
              <w:t>保险期间</w:t>
            </w:r>
          </w:p>
        </w:tc>
      </w:tr>
      <w:tr>
        <w:trPr>
          <w:trHeight w:val="374" w:hRule="atLeast"/>
        </w:trPr>
        <w:tc>
          <w:tcPr>
            <w:tcW w:w="1947" w:type="dxa"/>
          </w:tcPr>
          <w:p>
            <w:pPr>
              <w:pStyle w:val="TableParagraph"/>
              <w:spacing w:before="18"/>
              <w:ind w:left="483"/>
              <w:rPr>
                <w:sz w:val="21"/>
              </w:rPr>
            </w:pPr>
            <w:r>
              <w:rPr>
                <w:sz w:val="21"/>
              </w:rPr>
              <w:t>第四条</w:t>
            </w:r>
          </w:p>
        </w:tc>
        <w:tc>
          <w:tcPr>
            <w:tcW w:w="5245" w:type="dxa"/>
          </w:tcPr>
          <w:p>
            <w:pPr>
              <w:pStyle w:val="TableParagraph"/>
              <w:spacing w:before="18"/>
              <w:ind w:left="621"/>
              <w:rPr>
                <w:sz w:val="21"/>
              </w:rPr>
            </w:pPr>
            <w:r>
              <w:rPr>
                <w:sz w:val="21"/>
              </w:rPr>
              <w:t>保险金额</w:t>
            </w:r>
          </w:p>
        </w:tc>
      </w:tr>
      <w:tr>
        <w:trPr>
          <w:trHeight w:val="374" w:hRule="atLeast"/>
        </w:trPr>
        <w:tc>
          <w:tcPr>
            <w:tcW w:w="1947" w:type="dxa"/>
          </w:tcPr>
          <w:p>
            <w:pPr>
              <w:pStyle w:val="TableParagraph"/>
              <w:spacing w:before="18"/>
              <w:ind w:left="483"/>
              <w:rPr>
                <w:sz w:val="21"/>
              </w:rPr>
            </w:pPr>
            <w:r>
              <w:rPr>
                <w:sz w:val="21"/>
              </w:rPr>
              <w:t>第五条</w:t>
            </w:r>
          </w:p>
        </w:tc>
        <w:tc>
          <w:tcPr>
            <w:tcW w:w="5245" w:type="dxa"/>
          </w:tcPr>
          <w:p>
            <w:pPr>
              <w:pStyle w:val="TableParagraph"/>
              <w:spacing w:before="18"/>
              <w:ind w:left="621"/>
              <w:rPr>
                <w:sz w:val="21"/>
              </w:rPr>
            </w:pPr>
            <w:r>
              <w:rPr>
                <w:sz w:val="21"/>
              </w:rPr>
              <w:t>保险责任</w:t>
            </w:r>
          </w:p>
        </w:tc>
      </w:tr>
      <w:tr>
        <w:trPr>
          <w:trHeight w:val="413" w:hRule="atLeast"/>
        </w:trPr>
        <w:tc>
          <w:tcPr>
            <w:tcW w:w="1947" w:type="dxa"/>
          </w:tcPr>
          <w:p>
            <w:pPr>
              <w:pStyle w:val="TableParagraph"/>
              <w:spacing w:before="18"/>
              <w:ind w:left="483"/>
              <w:rPr>
                <w:sz w:val="21"/>
              </w:rPr>
            </w:pPr>
            <w:r>
              <w:rPr>
                <w:sz w:val="21"/>
              </w:rPr>
              <w:t>第六条</w:t>
            </w:r>
          </w:p>
        </w:tc>
        <w:tc>
          <w:tcPr>
            <w:tcW w:w="5245" w:type="dxa"/>
          </w:tcPr>
          <w:p>
            <w:pPr>
              <w:pStyle w:val="TableParagraph"/>
              <w:spacing w:before="18"/>
              <w:ind w:left="621"/>
              <w:rPr>
                <w:sz w:val="21"/>
              </w:rPr>
            </w:pPr>
            <w:r>
              <w:rPr>
                <w:sz w:val="21"/>
              </w:rPr>
              <w:t>责任免除</w:t>
            </w:r>
          </w:p>
        </w:tc>
      </w:tr>
      <w:tr>
        <w:trPr>
          <w:trHeight w:val="461" w:hRule="atLeast"/>
        </w:trPr>
        <w:tc>
          <w:tcPr>
            <w:tcW w:w="7192" w:type="dxa"/>
            <w:gridSpan w:val="2"/>
          </w:tcPr>
          <w:p>
            <w:pPr>
              <w:pStyle w:val="TableParagraph"/>
              <w:spacing w:before="46"/>
              <w:rPr>
                <w:sz w:val="21"/>
              </w:rPr>
            </w:pPr>
            <w:r>
              <w:rPr>
                <w:b/>
                <w:sz w:val="24"/>
              </w:rPr>
              <w:t>第二章 费用条款：</w:t>
            </w:r>
            <w:r>
              <w:rPr>
                <w:sz w:val="21"/>
              </w:rPr>
              <w:t>向您介绍本附加合同的保险费。</w:t>
            </w:r>
          </w:p>
        </w:tc>
      </w:tr>
      <w:tr>
        <w:trPr>
          <w:trHeight w:val="453" w:hRule="atLeast"/>
        </w:trPr>
        <w:tc>
          <w:tcPr>
            <w:tcW w:w="1947" w:type="dxa"/>
          </w:tcPr>
          <w:p>
            <w:pPr>
              <w:pStyle w:val="TableParagraph"/>
              <w:spacing w:before="37"/>
              <w:ind w:left="483"/>
              <w:rPr>
                <w:sz w:val="21"/>
              </w:rPr>
            </w:pPr>
            <w:r>
              <w:rPr>
                <w:sz w:val="21"/>
              </w:rPr>
              <w:t>第七条</w:t>
            </w:r>
          </w:p>
        </w:tc>
        <w:tc>
          <w:tcPr>
            <w:tcW w:w="5245" w:type="dxa"/>
          </w:tcPr>
          <w:p>
            <w:pPr>
              <w:pStyle w:val="TableParagraph"/>
              <w:spacing w:before="37"/>
              <w:ind w:left="621"/>
              <w:rPr>
                <w:sz w:val="21"/>
              </w:rPr>
            </w:pPr>
            <w:r>
              <w:rPr>
                <w:sz w:val="21"/>
              </w:rPr>
              <w:t>保险费</w:t>
            </w:r>
          </w:p>
        </w:tc>
      </w:tr>
      <w:tr>
        <w:trPr>
          <w:trHeight w:val="473" w:hRule="atLeast"/>
        </w:trPr>
        <w:tc>
          <w:tcPr>
            <w:tcW w:w="7192" w:type="dxa"/>
            <w:gridSpan w:val="2"/>
          </w:tcPr>
          <w:p>
            <w:pPr>
              <w:pStyle w:val="TableParagraph"/>
              <w:spacing w:before="67"/>
              <w:rPr>
                <w:sz w:val="21"/>
              </w:rPr>
            </w:pPr>
            <w:r>
              <w:rPr>
                <w:b/>
                <w:sz w:val="24"/>
              </w:rPr>
              <w:t>第三章 保单理赔服务条款：</w:t>
            </w:r>
            <w:r>
              <w:rPr>
                <w:sz w:val="21"/>
              </w:rPr>
              <w:t>向您介绍保险金申请和理赔办理的手续。</w:t>
            </w:r>
          </w:p>
        </w:tc>
      </w:tr>
      <w:tr>
        <w:trPr>
          <w:trHeight w:val="385" w:hRule="atLeast"/>
        </w:trPr>
        <w:tc>
          <w:tcPr>
            <w:tcW w:w="1947" w:type="dxa"/>
          </w:tcPr>
          <w:p>
            <w:pPr>
              <w:pStyle w:val="TableParagraph"/>
              <w:spacing w:before="29"/>
              <w:ind w:left="483"/>
              <w:rPr>
                <w:sz w:val="21"/>
              </w:rPr>
            </w:pPr>
            <w:r>
              <w:rPr>
                <w:sz w:val="21"/>
              </w:rPr>
              <w:t>第八条</w:t>
            </w:r>
          </w:p>
        </w:tc>
        <w:tc>
          <w:tcPr>
            <w:tcW w:w="5245" w:type="dxa"/>
          </w:tcPr>
          <w:p>
            <w:pPr>
              <w:pStyle w:val="TableParagraph"/>
              <w:spacing w:before="29"/>
              <w:ind w:left="621"/>
              <w:rPr>
                <w:sz w:val="21"/>
              </w:rPr>
            </w:pPr>
            <w:r>
              <w:rPr>
                <w:sz w:val="21"/>
              </w:rPr>
              <w:t>保险事故的通知</w:t>
            </w:r>
          </w:p>
        </w:tc>
      </w:tr>
      <w:tr>
        <w:trPr>
          <w:trHeight w:val="374" w:hRule="atLeast"/>
        </w:trPr>
        <w:tc>
          <w:tcPr>
            <w:tcW w:w="1947" w:type="dxa"/>
          </w:tcPr>
          <w:p>
            <w:pPr>
              <w:pStyle w:val="TableParagraph"/>
              <w:spacing w:before="18"/>
              <w:ind w:left="483"/>
              <w:rPr>
                <w:sz w:val="21"/>
              </w:rPr>
            </w:pPr>
            <w:r>
              <w:rPr>
                <w:sz w:val="21"/>
              </w:rPr>
              <w:t>第九条</w:t>
            </w:r>
          </w:p>
        </w:tc>
        <w:tc>
          <w:tcPr>
            <w:tcW w:w="5245" w:type="dxa"/>
          </w:tcPr>
          <w:p>
            <w:pPr>
              <w:pStyle w:val="TableParagraph"/>
              <w:spacing w:before="18"/>
              <w:ind w:left="621"/>
              <w:rPr>
                <w:sz w:val="21"/>
              </w:rPr>
            </w:pPr>
            <w:r>
              <w:rPr>
                <w:sz w:val="21"/>
              </w:rPr>
              <w:t>保险金的申请</w:t>
            </w:r>
          </w:p>
        </w:tc>
      </w:tr>
      <w:tr>
        <w:trPr>
          <w:trHeight w:val="435" w:hRule="atLeast"/>
        </w:trPr>
        <w:tc>
          <w:tcPr>
            <w:tcW w:w="1947" w:type="dxa"/>
          </w:tcPr>
          <w:p>
            <w:pPr>
              <w:pStyle w:val="TableParagraph"/>
              <w:spacing w:before="18"/>
              <w:ind w:left="483"/>
              <w:rPr>
                <w:sz w:val="21"/>
              </w:rPr>
            </w:pPr>
            <w:r>
              <w:rPr>
                <w:sz w:val="21"/>
              </w:rPr>
              <w:t>第十条</w:t>
            </w:r>
          </w:p>
        </w:tc>
        <w:tc>
          <w:tcPr>
            <w:tcW w:w="5245" w:type="dxa"/>
          </w:tcPr>
          <w:p>
            <w:pPr>
              <w:pStyle w:val="TableParagraph"/>
              <w:spacing w:before="18"/>
              <w:ind w:left="621"/>
              <w:rPr>
                <w:sz w:val="21"/>
              </w:rPr>
            </w:pPr>
            <w:r>
              <w:rPr>
                <w:sz w:val="21"/>
              </w:rPr>
              <w:t>保险金的给付</w:t>
            </w:r>
          </w:p>
        </w:tc>
      </w:tr>
      <w:tr>
        <w:trPr>
          <w:trHeight w:val="481" w:hRule="atLeast"/>
        </w:trPr>
        <w:tc>
          <w:tcPr>
            <w:tcW w:w="7192" w:type="dxa"/>
            <w:gridSpan w:val="2"/>
          </w:tcPr>
          <w:p>
            <w:pPr>
              <w:pStyle w:val="TableParagraph"/>
              <w:spacing w:before="68"/>
              <w:rPr>
                <w:sz w:val="21"/>
              </w:rPr>
            </w:pPr>
            <w:r>
              <w:rPr>
                <w:b/>
                <w:sz w:val="24"/>
              </w:rPr>
              <w:t>第四章 保单变更服务条款：</w:t>
            </w:r>
            <w:r>
              <w:rPr>
                <w:sz w:val="21"/>
              </w:rPr>
              <w:t>向您介绍我们为您提供的保单变更服务。</w:t>
            </w:r>
          </w:p>
        </w:tc>
      </w:tr>
      <w:tr>
        <w:trPr>
          <w:trHeight w:val="391" w:hRule="atLeast"/>
        </w:trPr>
        <w:tc>
          <w:tcPr>
            <w:tcW w:w="1947" w:type="dxa"/>
          </w:tcPr>
          <w:p>
            <w:pPr>
              <w:pStyle w:val="TableParagraph"/>
              <w:spacing w:before="35"/>
              <w:ind w:left="0" w:right="619"/>
              <w:jc w:val="right"/>
              <w:rPr>
                <w:sz w:val="21"/>
              </w:rPr>
            </w:pPr>
            <w:r>
              <w:rPr>
                <w:sz w:val="21"/>
              </w:rPr>
              <w:t>第十一条</w:t>
            </w:r>
          </w:p>
        </w:tc>
        <w:tc>
          <w:tcPr>
            <w:tcW w:w="5245" w:type="dxa"/>
          </w:tcPr>
          <w:p>
            <w:pPr>
              <w:pStyle w:val="TableParagraph"/>
              <w:spacing w:before="35"/>
              <w:ind w:left="621"/>
              <w:rPr>
                <w:sz w:val="21"/>
              </w:rPr>
            </w:pPr>
            <w:r>
              <w:rPr>
                <w:sz w:val="21"/>
              </w:rPr>
              <w:t>保险责任的变更</w:t>
            </w:r>
          </w:p>
        </w:tc>
      </w:tr>
      <w:tr>
        <w:trPr>
          <w:trHeight w:val="374" w:hRule="atLeast"/>
        </w:trPr>
        <w:tc>
          <w:tcPr>
            <w:tcW w:w="1947" w:type="dxa"/>
          </w:tcPr>
          <w:p>
            <w:pPr>
              <w:pStyle w:val="TableParagraph"/>
              <w:spacing w:before="18"/>
              <w:ind w:left="0" w:right="619"/>
              <w:jc w:val="right"/>
              <w:rPr>
                <w:sz w:val="21"/>
              </w:rPr>
            </w:pPr>
            <w:r>
              <w:rPr>
                <w:sz w:val="21"/>
              </w:rPr>
              <w:t>第十二条</w:t>
            </w:r>
          </w:p>
        </w:tc>
        <w:tc>
          <w:tcPr>
            <w:tcW w:w="5245" w:type="dxa"/>
          </w:tcPr>
          <w:p>
            <w:pPr>
              <w:pStyle w:val="TableParagraph"/>
              <w:spacing w:before="18"/>
              <w:ind w:left="621"/>
              <w:rPr>
                <w:sz w:val="21"/>
              </w:rPr>
            </w:pPr>
            <w:r>
              <w:rPr>
                <w:sz w:val="21"/>
              </w:rPr>
              <w:t>被保险人人数变更</w:t>
            </w:r>
          </w:p>
        </w:tc>
      </w:tr>
      <w:tr>
        <w:trPr>
          <w:trHeight w:val="374" w:hRule="atLeast"/>
        </w:trPr>
        <w:tc>
          <w:tcPr>
            <w:tcW w:w="1947" w:type="dxa"/>
          </w:tcPr>
          <w:p>
            <w:pPr>
              <w:pStyle w:val="TableParagraph"/>
              <w:spacing w:before="18"/>
              <w:ind w:left="0" w:right="619"/>
              <w:jc w:val="right"/>
              <w:rPr>
                <w:sz w:val="21"/>
              </w:rPr>
            </w:pPr>
            <w:r>
              <w:rPr>
                <w:sz w:val="21"/>
              </w:rPr>
              <w:t>第十三条</w:t>
            </w:r>
          </w:p>
        </w:tc>
        <w:tc>
          <w:tcPr>
            <w:tcW w:w="5245" w:type="dxa"/>
          </w:tcPr>
          <w:p>
            <w:pPr>
              <w:pStyle w:val="TableParagraph"/>
              <w:spacing w:before="18"/>
              <w:ind w:left="621"/>
              <w:rPr>
                <w:sz w:val="21"/>
              </w:rPr>
            </w:pPr>
            <w:r>
              <w:rPr>
                <w:sz w:val="21"/>
              </w:rPr>
              <w:t>受益人的指定和变更</w:t>
            </w:r>
          </w:p>
        </w:tc>
      </w:tr>
      <w:tr>
        <w:trPr>
          <w:trHeight w:val="374" w:hRule="atLeast"/>
        </w:trPr>
        <w:tc>
          <w:tcPr>
            <w:tcW w:w="1947" w:type="dxa"/>
          </w:tcPr>
          <w:p>
            <w:pPr>
              <w:pStyle w:val="TableParagraph"/>
              <w:spacing w:before="18"/>
              <w:ind w:left="0" w:right="619"/>
              <w:jc w:val="right"/>
              <w:rPr>
                <w:sz w:val="21"/>
              </w:rPr>
            </w:pPr>
            <w:r>
              <w:rPr>
                <w:sz w:val="21"/>
              </w:rPr>
              <w:t>第十四条</w:t>
            </w:r>
          </w:p>
        </w:tc>
        <w:tc>
          <w:tcPr>
            <w:tcW w:w="5245" w:type="dxa"/>
          </w:tcPr>
          <w:p>
            <w:pPr>
              <w:pStyle w:val="TableParagraph"/>
              <w:spacing w:before="18"/>
              <w:ind w:left="621"/>
              <w:rPr>
                <w:sz w:val="21"/>
              </w:rPr>
            </w:pPr>
            <w:r>
              <w:rPr>
                <w:sz w:val="21"/>
              </w:rPr>
              <w:t>地址的变更</w:t>
            </w:r>
          </w:p>
        </w:tc>
      </w:tr>
      <w:tr>
        <w:trPr>
          <w:trHeight w:val="292" w:hRule="atLeast"/>
        </w:trPr>
        <w:tc>
          <w:tcPr>
            <w:tcW w:w="1947" w:type="dxa"/>
          </w:tcPr>
          <w:p>
            <w:pPr>
              <w:pStyle w:val="TableParagraph"/>
              <w:spacing w:line="255" w:lineRule="exact" w:before="18"/>
              <w:ind w:left="0" w:right="619"/>
              <w:jc w:val="right"/>
              <w:rPr>
                <w:sz w:val="21"/>
              </w:rPr>
            </w:pPr>
            <w:r>
              <w:rPr>
                <w:sz w:val="21"/>
              </w:rPr>
              <w:t>第十五条</w:t>
            </w:r>
          </w:p>
        </w:tc>
        <w:tc>
          <w:tcPr>
            <w:tcW w:w="5245" w:type="dxa"/>
          </w:tcPr>
          <w:p>
            <w:pPr>
              <w:pStyle w:val="TableParagraph"/>
              <w:spacing w:line="255" w:lineRule="exact" w:before="18"/>
              <w:ind w:left="621"/>
              <w:rPr>
                <w:sz w:val="21"/>
              </w:rPr>
            </w:pPr>
            <w:r>
              <w:rPr>
                <w:sz w:val="21"/>
              </w:rPr>
              <w:t>年龄及性别的确定与错误处理</w:t>
            </w:r>
          </w:p>
        </w:tc>
      </w:tr>
    </w:tbl>
    <w:p>
      <w:pPr>
        <w:spacing w:after="0" w:line="255" w:lineRule="exact"/>
        <w:rPr>
          <w:sz w:val="21"/>
        </w:rPr>
        <w:sectPr>
          <w:type w:val="continuous"/>
          <w:pgSz w:w="11910" w:h="16840"/>
          <w:pgMar w:top="780" w:bottom="280" w:left="1240" w:right="11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8"/>
        <w:gridCol w:w="6400"/>
      </w:tblGrid>
      <w:tr>
        <w:trPr>
          <w:trHeight w:val="331" w:hRule="atLeast"/>
        </w:trPr>
        <w:tc>
          <w:tcPr>
            <w:tcW w:w="2348" w:type="dxa"/>
          </w:tcPr>
          <w:p>
            <w:pPr>
              <w:pStyle w:val="TableParagraph"/>
              <w:spacing w:line="240" w:lineRule="exact"/>
              <w:rPr>
                <w:b/>
                <w:sz w:val="24"/>
              </w:rPr>
            </w:pPr>
            <w:r>
              <w:rPr>
                <w:b/>
                <w:sz w:val="24"/>
              </w:rPr>
              <w:t>第五章 一般条款:</w:t>
            </w:r>
          </w:p>
        </w:tc>
        <w:tc>
          <w:tcPr>
            <w:tcW w:w="6400" w:type="dxa"/>
          </w:tcPr>
          <w:p>
            <w:pPr>
              <w:pStyle w:val="TableParagraph"/>
              <w:spacing w:line="226" w:lineRule="exact"/>
              <w:ind w:left="220"/>
              <w:rPr>
                <w:sz w:val="21"/>
              </w:rPr>
            </w:pPr>
            <w:r>
              <w:rPr>
                <w:sz w:val="21"/>
              </w:rPr>
              <w:t>向您介绍您对本附加合同所需了解的其他内容。</w:t>
            </w:r>
          </w:p>
        </w:tc>
      </w:tr>
      <w:tr>
        <w:trPr>
          <w:trHeight w:val="384" w:hRule="atLeast"/>
        </w:trPr>
        <w:tc>
          <w:tcPr>
            <w:tcW w:w="2348" w:type="dxa"/>
          </w:tcPr>
          <w:p>
            <w:pPr>
              <w:pStyle w:val="TableParagraph"/>
              <w:spacing w:before="28"/>
              <w:ind w:left="483"/>
              <w:rPr>
                <w:sz w:val="21"/>
              </w:rPr>
            </w:pPr>
            <w:r>
              <w:rPr>
                <w:sz w:val="21"/>
              </w:rPr>
              <w:t>第十六条</w:t>
            </w:r>
          </w:p>
        </w:tc>
        <w:tc>
          <w:tcPr>
            <w:tcW w:w="6400" w:type="dxa"/>
          </w:tcPr>
          <w:p>
            <w:pPr>
              <w:pStyle w:val="TableParagraph"/>
              <w:spacing w:before="28"/>
              <w:ind w:left="220"/>
              <w:rPr>
                <w:sz w:val="21"/>
              </w:rPr>
            </w:pPr>
            <w:r>
              <w:rPr>
                <w:sz w:val="21"/>
              </w:rPr>
              <w:t>如实告知</w:t>
            </w:r>
          </w:p>
        </w:tc>
      </w:tr>
      <w:tr>
        <w:trPr>
          <w:trHeight w:val="374" w:hRule="atLeast"/>
        </w:trPr>
        <w:tc>
          <w:tcPr>
            <w:tcW w:w="2348" w:type="dxa"/>
          </w:tcPr>
          <w:p>
            <w:pPr>
              <w:pStyle w:val="TableParagraph"/>
              <w:spacing w:before="18"/>
              <w:ind w:left="483"/>
              <w:rPr>
                <w:sz w:val="21"/>
              </w:rPr>
            </w:pPr>
            <w:r>
              <w:rPr>
                <w:sz w:val="21"/>
              </w:rPr>
              <w:t>第十七条</w:t>
            </w:r>
          </w:p>
        </w:tc>
        <w:tc>
          <w:tcPr>
            <w:tcW w:w="6400" w:type="dxa"/>
          </w:tcPr>
          <w:p>
            <w:pPr>
              <w:pStyle w:val="TableParagraph"/>
              <w:spacing w:before="18"/>
              <w:ind w:left="220"/>
              <w:rPr>
                <w:sz w:val="21"/>
              </w:rPr>
            </w:pPr>
            <w:r>
              <w:rPr>
                <w:sz w:val="21"/>
              </w:rPr>
              <w:t>合同解除权的限制</w:t>
            </w:r>
          </w:p>
        </w:tc>
      </w:tr>
      <w:tr>
        <w:trPr>
          <w:trHeight w:val="374" w:hRule="atLeast"/>
        </w:trPr>
        <w:tc>
          <w:tcPr>
            <w:tcW w:w="2348" w:type="dxa"/>
          </w:tcPr>
          <w:p>
            <w:pPr>
              <w:pStyle w:val="TableParagraph"/>
              <w:spacing w:before="18"/>
              <w:ind w:left="483"/>
              <w:rPr>
                <w:sz w:val="21"/>
              </w:rPr>
            </w:pPr>
            <w:r>
              <w:rPr>
                <w:sz w:val="21"/>
              </w:rPr>
              <w:t>第十八条</w:t>
            </w:r>
          </w:p>
        </w:tc>
        <w:tc>
          <w:tcPr>
            <w:tcW w:w="6400" w:type="dxa"/>
          </w:tcPr>
          <w:p>
            <w:pPr>
              <w:pStyle w:val="TableParagraph"/>
              <w:spacing w:before="18"/>
              <w:ind w:left="220"/>
              <w:rPr>
                <w:sz w:val="21"/>
              </w:rPr>
            </w:pPr>
            <w:r>
              <w:rPr>
                <w:sz w:val="21"/>
              </w:rPr>
              <w:t>资料提供</w:t>
            </w:r>
          </w:p>
        </w:tc>
      </w:tr>
      <w:tr>
        <w:trPr>
          <w:trHeight w:val="374" w:hRule="atLeast"/>
        </w:trPr>
        <w:tc>
          <w:tcPr>
            <w:tcW w:w="2348" w:type="dxa"/>
          </w:tcPr>
          <w:p>
            <w:pPr>
              <w:pStyle w:val="TableParagraph"/>
              <w:spacing w:before="18"/>
              <w:ind w:left="483"/>
              <w:rPr>
                <w:sz w:val="21"/>
              </w:rPr>
            </w:pPr>
            <w:r>
              <w:rPr>
                <w:sz w:val="21"/>
              </w:rPr>
              <w:t>第十九条</w:t>
            </w:r>
          </w:p>
        </w:tc>
        <w:tc>
          <w:tcPr>
            <w:tcW w:w="6400" w:type="dxa"/>
          </w:tcPr>
          <w:p>
            <w:pPr>
              <w:pStyle w:val="TableParagraph"/>
              <w:spacing w:before="18"/>
              <w:ind w:left="220"/>
              <w:rPr>
                <w:sz w:val="21"/>
              </w:rPr>
            </w:pPr>
            <w:r>
              <w:rPr>
                <w:sz w:val="21"/>
              </w:rPr>
              <w:t>特别约定</w:t>
            </w:r>
          </w:p>
        </w:tc>
      </w:tr>
      <w:tr>
        <w:trPr>
          <w:trHeight w:val="374" w:hRule="atLeast"/>
        </w:trPr>
        <w:tc>
          <w:tcPr>
            <w:tcW w:w="2348" w:type="dxa"/>
          </w:tcPr>
          <w:p>
            <w:pPr>
              <w:pStyle w:val="TableParagraph"/>
              <w:spacing w:before="18"/>
              <w:ind w:left="483"/>
              <w:rPr>
                <w:sz w:val="21"/>
              </w:rPr>
            </w:pPr>
            <w:r>
              <w:rPr>
                <w:sz w:val="21"/>
              </w:rPr>
              <w:t>第二十条</w:t>
            </w:r>
          </w:p>
        </w:tc>
        <w:tc>
          <w:tcPr>
            <w:tcW w:w="6400" w:type="dxa"/>
          </w:tcPr>
          <w:p>
            <w:pPr>
              <w:pStyle w:val="TableParagraph"/>
              <w:spacing w:before="18"/>
              <w:ind w:left="220"/>
              <w:rPr>
                <w:sz w:val="21"/>
              </w:rPr>
            </w:pPr>
            <w:r>
              <w:rPr>
                <w:sz w:val="21"/>
              </w:rPr>
              <w:t>合同的解除</w:t>
            </w:r>
          </w:p>
        </w:tc>
      </w:tr>
      <w:tr>
        <w:trPr>
          <w:trHeight w:val="425" w:hRule="atLeast"/>
        </w:trPr>
        <w:tc>
          <w:tcPr>
            <w:tcW w:w="2348" w:type="dxa"/>
          </w:tcPr>
          <w:p>
            <w:pPr>
              <w:pStyle w:val="TableParagraph"/>
              <w:spacing w:before="18"/>
              <w:ind w:left="483"/>
              <w:rPr>
                <w:sz w:val="21"/>
              </w:rPr>
            </w:pPr>
            <w:r>
              <w:rPr>
                <w:sz w:val="21"/>
              </w:rPr>
              <w:t>第二十一条</w:t>
            </w:r>
          </w:p>
        </w:tc>
        <w:tc>
          <w:tcPr>
            <w:tcW w:w="6400" w:type="dxa"/>
          </w:tcPr>
          <w:p>
            <w:pPr>
              <w:pStyle w:val="TableParagraph"/>
              <w:spacing w:before="18"/>
              <w:ind w:left="220"/>
              <w:rPr>
                <w:sz w:val="21"/>
              </w:rPr>
            </w:pPr>
            <w:r>
              <w:rPr>
                <w:sz w:val="21"/>
              </w:rPr>
              <w:t>争议处理</w:t>
            </w:r>
          </w:p>
        </w:tc>
      </w:tr>
      <w:tr>
        <w:trPr>
          <w:trHeight w:val="718" w:hRule="atLeast"/>
        </w:trPr>
        <w:tc>
          <w:tcPr>
            <w:tcW w:w="2348" w:type="dxa"/>
          </w:tcPr>
          <w:p>
            <w:pPr>
              <w:pStyle w:val="TableParagraph"/>
              <w:spacing w:before="8"/>
              <w:ind w:left="0"/>
              <w:rPr>
                <w:sz w:val="17"/>
              </w:rPr>
            </w:pPr>
          </w:p>
          <w:p>
            <w:pPr>
              <w:pStyle w:val="TableParagraph"/>
              <w:rPr>
                <w:b/>
                <w:sz w:val="24"/>
              </w:rPr>
            </w:pPr>
            <w:r>
              <w:rPr>
                <w:b/>
                <w:sz w:val="24"/>
              </w:rPr>
              <w:t>第六章 名词释义:</w:t>
            </w:r>
          </w:p>
        </w:tc>
        <w:tc>
          <w:tcPr>
            <w:tcW w:w="6400" w:type="dxa"/>
          </w:tcPr>
          <w:p>
            <w:pPr>
              <w:pStyle w:val="TableParagraph"/>
              <w:spacing w:line="374" w:lineRule="exact" w:before="15"/>
              <w:ind w:left="220" w:right="198"/>
              <w:rPr>
                <w:sz w:val="21"/>
              </w:rPr>
            </w:pPr>
            <w:r>
              <w:rPr>
                <w:sz w:val="21"/>
              </w:rPr>
              <w:t>向您解释本附加合同中所提到的一些专用名词，便于您更好地理解。</w:t>
            </w:r>
          </w:p>
        </w:tc>
      </w:tr>
    </w:tbl>
    <w:p>
      <w:pPr>
        <w:spacing w:after="0" w:line="374" w:lineRule="exact"/>
        <w:rPr>
          <w:sz w:val="21"/>
        </w:rPr>
        <w:sectPr>
          <w:footerReference w:type="even" r:id="rId6"/>
          <w:footerReference w:type="default" r:id="rId7"/>
          <w:pgSz w:w="11910" w:h="16840"/>
          <w:pgMar w:footer="917" w:header="0" w:top="1520" w:bottom="1100" w:left="1240" w:right="1680"/>
          <w:pgNumType w:start="2"/>
        </w:sectPr>
      </w:pPr>
    </w:p>
    <w:p>
      <w:pPr>
        <w:pStyle w:val="Heading1"/>
        <w:spacing w:line="362" w:lineRule="exact"/>
        <w:ind w:left="13"/>
      </w:pPr>
      <w:r>
        <w:rPr/>
        <w:t>温馨提示</w:t>
      </w:r>
    </w:p>
    <w:p>
      <w:pPr>
        <w:pStyle w:val="BodyText"/>
        <w:rPr>
          <w:b/>
          <w:sz w:val="22"/>
        </w:rPr>
      </w:pPr>
    </w:p>
    <w:p>
      <w:pPr>
        <w:pStyle w:val="Heading2"/>
        <w:spacing w:before="26"/>
      </w:pPr>
      <w:r>
        <w:rPr>
          <w:w w:val="95"/>
        </w:rPr>
        <w:t>产品概述：</w:t>
      </w:r>
    </w:p>
    <w:p>
      <w:pPr>
        <w:pStyle w:val="BodyText"/>
        <w:spacing w:before="12"/>
        <w:rPr>
          <w:b/>
          <w:sz w:val="23"/>
        </w:rPr>
      </w:pPr>
    </w:p>
    <w:p>
      <w:pPr>
        <w:pStyle w:val="BodyText"/>
        <w:ind w:left="120" w:right="101" w:firstLine="492"/>
        <w:jc w:val="both"/>
      </w:pPr>
      <w:r>
        <w:rPr/>
        <w:t>您购买的保险是金盛附加团体重大疾病保险，英文简称 GCI。这是一种为</w:t>
      </w:r>
      <w:r>
        <w:rPr>
          <w:b/>
        </w:rPr>
        <w:t>团体</w:t>
      </w:r>
      <w:r>
        <w:rPr>
          <w:position w:val="11"/>
          <w:sz w:val="11"/>
        </w:rPr>
        <w:t>（2）</w:t>
      </w:r>
      <w:r>
        <w:rPr/>
        <w:t>成员因首次被诊断为患有重大疾病而提供保障的保险。</w:t>
      </w:r>
    </w:p>
    <w:p>
      <w:pPr>
        <w:pStyle w:val="BodyText"/>
        <w:spacing w:before="1"/>
        <w:rPr>
          <w:sz w:val="20"/>
        </w:rPr>
      </w:pPr>
    </w:p>
    <w:p>
      <w:pPr>
        <w:pStyle w:val="Heading2"/>
      </w:pPr>
      <w:r>
        <w:rPr>
          <w:w w:val="95"/>
        </w:rPr>
        <w:t>合同的构成：</w:t>
      </w:r>
    </w:p>
    <w:p>
      <w:pPr>
        <w:pStyle w:val="BodyText"/>
        <w:spacing w:before="2"/>
        <w:rPr>
          <w:b/>
          <w:sz w:val="24"/>
        </w:rPr>
      </w:pPr>
    </w:p>
    <w:p>
      <w:pPr>
        <w:pStyle w:val="BodyText"/>
        <w:spacing w:line="237" w:lineRule="auto"/>
        <w:ind w:left="119" w:right="104" w:firstLine="492"/>
        <w:jc w:val="both"/>
      </w:pPr>
      <w:r>
        <w:rPr>
          <w:spacing w:val="-7"/>
          <w:w w:val="100"/>
        </w:rPr>
        <w:t>《金盛附加团体重大疾病保险合同》</w:t>
      </w:r>
      <w:r>
        <w:rPr>
          <w:w w:val="100"/>
        </w:rPr>
        <w:t>（</w:t>
      </w:r>
      <w:r>
        <w:rPr>
          <w:spacing w:val="-10"/>
          <w:w w:val="100"/>
        </w:rPr>
        <w:t>以下简称“本附加合同”</w:t>
      </w:r>
      <w:r>
        <w:rPr>
          <w:w w:val="100"/>
        </w:rPr>
        <w:t>）由保单首页、保单利益表和其</w:t>
      </w:r>
      <w:r>
        <w:rPr>
          <w:spacing w:val="-9"/>
        </w:rPr>
        <w:t>他保险凭证及所附条款、投保单、与本附加合同有关的投保文件、声明、批注、附贴批单及其他书面</w:t>
      </w:r>
      <w:r>
        <w:rPr>
          <w:spacing w:val="-5"/>
        </w:rPr>
        <w:t>协议构成。</w:t>
      </w:r>
    </w:p>
    <w:p>
      <w:pPr>
        <w:pStyle w:val="BodyText"/>
        <w:spacing w:before="8"/>
        <w:rPr>
          <w:sz w:val="20"/>
        </w:rPr>
      </w:pPr>
    </w:p>
    <w:p>
      <w:pPr>
        <w:pStyle w:val="BodyText"/>
        <w:ind w:left="119" w:right="98" w:firstLine="420"/>
        <w:jc w:val="both"/>
      </w:pPr>
      <w:r>
        <w:rPr>
          <w:spacing w:val="-7"/>
        </w:rPr>
        <w:t>如上述文件正本留我们存档，其复印件或电子影印件效力与正本相同；若复印件或电子影印件的</w:t>
      </w:r>
      <w:r>
        <w:rPr>
          <w:spacing w:val="-5"/>
        </w:rPr>
        <w:t>内容与正本不同，则以正本为准。</w:t>
      </w:r>
    </w:p>
    <w:p>
      <w:pPr>
        <w:pStyle w:val="BodyText"/>
        <w:spacing w:before="2"/>
        <w:rPr>
          <w:sz w:val="20"/>
        </w:rPr>
      </w:pPr>
    </w:p>
    <w:p>
      <w:pPr>
        <w:pStyle w:val="Heading2"/>
      </w:pPr>
      <w:r>
        <w:rPr>
          <w:w w:val="95"/>
        </w:rPr>
        <w:t>投保范围：</w:t>
      </w:r>
    </w:p>
    <w:p>
      <w:pPr>
        <w:pStyle w:val="BodyText"/>
        <w:spacing w:before="2"/>
        <w:rPr>
          <w:b/>
          <w:sz w:val="24"/>
        </w:rPr>
      </w:pPr>
    </w:p>
    <w:p>
      <w:pPr>
        <w:pStyle w:val="BodyText"/>
        <w:spacing w:line="237" w:lineRule="auto"/>
        <w:ind w:left="120" w:right="104" w:firstLine="491"/>
        <w:jc w:val="both"/>
      </w:pPr>
      <w:r>
        <w:rPr>
          <w:w w:val="100"/>
        </w:rPr>
        <w:t>本附加合同接受的</w:t>
      </w:r>
      <w:r>
        <w:rPr>
          <w:b/>
          <w:w w:val="100"/>
        </w:rPr>
        <w:t>被保险人</w:t>
      </w:r>
      <w:r>
        <w:rPr>
          <w:w w:val="100"/>
          <w:position w:val="11"/>
          <w:sz w:val="11"/>
        </w:rPr>
        <w:t>（</w:t>
      </w:r>
      <w:r>
        <w:rPr>
          <w:spacing w:val="1"/>
          <w:w w:val="100"/>
          <w:position w:val="11"/>
          <w:sz w:val="11"/>
        </w:rPr>
        <w:t>3</w:t>
      </w:r>
      <w:r>
        <w:rPr>
          <w:spacing w:val="-56"/>
          <w:w w:val="100"/>
          <w:position w:val="11"/>
          <w:sz w:val="11"/>
        </w:rPr>
        <w:t>）</w:t>
      </w:r>
      <w:r>
        <w:rPr>
          <w:w w:val="100"/>
        </w:rPr>
        <w:t>，必须是身体健康、能正常生活工作或学习的人员；其身体健康</w:t>
      </w:r>
      <w:r>
        <w:rPr>
          <w:spacing w:val="-3"/>
        </w:rPr>
        <w:t>的配偶或者子女经我们审核同意后也可作为本附加合同的被保险人。</w:t>
      </w:r>
    </w:p>
    <w:p>
      <w:pPr>
        <w:pStyle w:val="BodyText"/>
        <w:spacing w:before="1"/>
        <w:rPr>
          <w:sz w:val="20"/>
        </w:rPr>
      </w:pPr>
    </w:p>
    <w:p>
      <w:pPr>
        <w:pStyle w:val="Heading2"/>
        <w:spacing w:before="1"/>
      </w:pPr>
      <w:r>
        <w:rPr>
          <w:w w:val="95"/>
        </w:rPr>
        <w:t>如实告知：</w:t>
      </w:r>
    </w:p>
    <w:p>
      <w:pPr>
        <w:pStyle w:val="BodyText"/>
        <w:spacing w:before="4"/>
        <w:rPr>
          <w:b/>
          <w:sz w:val="24"/>
        </w:rPr>
      </w:pPr>
    </w:p>
    <w:p>
      <w:pPr>
        <w:pStyle w:val="BodyText"/>
        <w:spacing w:line="237" w:lineRule="auto" w:before="1"/>
        <w:ind w:left="119" w:right="102" w:firstLine="420"/>
        <w:jc w:val="both"/>
      </w:pPr>
      <w:r>
        <w:rPr>
          <w:spacing w:val="-7"/>
        </w:rPr>
        <w:t>订立本附加合同时，我们将向您明确说明本附加合同的条款内容，特别是责任免除条款，您也应</w:t>
      </w:r>
      <w:r>
        <w:rPr>
          <w:spacing w:val="-3"/>
        </w:rPr>
        <w:t>当如实告知与本附加合同有关的情况。</w:t>
      </w:r>
    </w:p>
    <w:p>
      <w:pPr>
        <w:pStyle w:val="BodyText"/>
        <w:spacing w:before="2"/>
        <w:rPr>
          <w:sz w:val="20"/>
        </w:rPr>
      </w:pPr>
    </w:p>
    <w:p>
      <w:pPr>
        <w:pStyle w:val="Heading2"/>
      </w:pPr>
      <w:r>
        <w:rPr>
          <w:w w:val="95"/>
        </w:rPr>
        <w:t>及时通知：</w:t>
      </w:r>
    </w:p>
    <w:p>
      <w:pPr>
        <w:pStyle w:val="BodyText"/>
        <w:spacing w:before="12"/>
        <w:rPr>
          <w:b/>
          <w:sz w:val="23"/>
        </w:rPr>
      </w:pPr>
    </w:p>
    <w:p>
      <w:pPr>
        <w:pStyle w:val="BodyText"/>
        <w:ind w:left="119" w:right="101" w:firstLine="420"/>
        <w:jc w:val="both"/>
      </w:pPr>
      <w:r>
        <w:rPr>
          <w:spacing w:val="-8"/>
        </w:rPr>
        <w:t>被保险人人数、职业或工种变动时，您应及时书面通知我们。您、被保险人或受益人应于知道保</w:t>
      </w:r>
      <w:r>
        <w:rPr>
          <w:spacing w:val="-10"/>
        </w:rPr>
        <w:t>险事故发生之日起 </w:t>
      </w:r>
      <w:r>
        <w:rPr/>
        <w:t>10</w:t>
      </w:r>
      <w:r>
        <w:rPr>
          <w:spacing w:val="-8"/>
        </w:rPr>
        <w:t> 日内通知我们。</w:t>
      </w:r>
    </w:p>
    <w:p>
      <w:pPr>
        <w:spacing w:after="0"/>
        <w:jc w:val="both"/>
        <w:sectPr>
          <w:pgSz w:w="11910" w:h="16840"/>
          <w:pgMar w:header="0" w:footer="990" w:top="1380" w:bottom="1180" w:left="1320" w:right="1180"/>
        </w:sectPr>
      </w:pPr>
    </w:p>
    <w:p>
      <w:pPr>
        <w:tabs>
          <w:tab w:pos="1271" w:val="left" w:leader="none"/>
        </w:tabs>
        <w:spacing w:line="354" w:lineRule="exact" w:before="0"/>
        <w:ind w:left="11" w:right="0" w:firstLine="0"/>
        <w:jc w:val="center"/>
        <w:rPr>
          <w:b/>
          <w:sz w:val="28"/>
        </w:rPr>
      </w:pPr>
      <w:r>
        <w:rPr>
          <w:b/>
          <w:sz w:val="24"/>
        </w:rPr>
        <w:t>第一章</w:t>
        <w:tab/>
      </w:r>
      <w:r>
        <w:rPr>
          <w:b/>
          <w:sz w:val="28"/>
        </w:rPr>
        <w:t>保险责任条款</w:t>
      </w:r>
    </w:p>
    <w:p>
      <w:pPr>
        <w:pStyle w:val="BodyText"/>
        <w:rPr>
          <w:b/>
          <w:sz w:val="20"/>
        </w:rPr>
      </w:pPr>
    </w:p>
    <w:p>
      <w:pPr>
        <w:pStyle w:val="Heading2"/>
        <w:tabs>
          <w:tab w:pos="1559" w:val="left" w:leader="none"/>
        </w:tabs>
        <w:spacing w:before="181"/>
      </w:pPr>
      <w:r>
        <w:rPr/>
        <w:t>第一条</w:t>
        <w:tab/>
      </w:r>
      <w:r>
        <w:rPr>
          <w:w w:val="95"/>
        </w:rPr>
        <w:t>合同的构成</w:t>
      </w:r>
    </w:p>
    <w:p>
      <w:pPr>
        <w:pStyle w:val="BodyText"/>
        <w:rPr>
          <w:b/>
          <w:sz w:val="24"/>
        </w:rPr>
      </w:pPr>
    </w:p>
    <w:p>
      <w:pPr>
        <w:pStyle w:val="BodyText"/>
        <w:spacing w:before="9"/>
        <w:rPr>
          <w:b/>
          <w:sz w:val="23"/>
        </w:rPr>
      </w:pPr>
    </w:p>
    <w:p>
      <w:pPr>
        <w:pStyle w:val="BodyText"/>
        <w:spacing w:line="355" w:lineRule="auto" w:before="1"/>
        <w:ind w:left="119" w:right="104" w:firstLine="492"/>
        <w:jc w:val="both"/>
      </w:pPr>
      <w:r>
        <w:rPr>
          <w:spacing w:val="-7"/>
          <w:w w:val="100"/>
        </w:rPr>
        <w:t>《金盛附加团体重大疾病保险合同》</w:t>
      </w:r>
      <w:r>
        <w:rPr>
          <w:w w:val="100"/>
        </w:rPr>
        <w:t>（</w:t>
      </w:r>
      <w:r>
        <w:rPr>
          <w:spacing w:val="-10"/>
          <w:w w:val="100"/>
        </w:rPr>
        <w:t>以下简称“本附加合同”</w:t>
      </w:r>
      <w:r>
        <w:rPr>
          <w:w w:val="100"/>
        </w:rPr>
        <w:t>）由保单首页、保单利益表和其</w:t>
      </w:r>
      <w:r>
        <w:rPr>
          <w:spacing w:val="-9"/>
        </w:rPr>
        <w:t>他保险凭证及所附条款、投保单、与本附加合同有关的投保文件、声明、批注、附贴批单及其他书面</w:t>
      </w:r>
      <w:r>
        <w:rPr>
          <w:spacing w:val="-5"/>
        </w:rPr>
        <w:t>协议构成。</w:t>
      </w:r>
    </w:p>
    <w:p>
      <w:pPr>
        <w:pStyle w:val="BodyText"/>
        <w:rPr>
          <w:sz w:val="20"/>
        </w:rPr>
      </w:pPr>
    </w:p>
    <w:p>
      <w:pPr>
        <w:pStyle w:val="BodyText"/>
        <w:spacing w:before="11"/>
        <w:rPr>
          <w:sz w:val="13"/>
        </w:rPr>
      </w:pPr>
    </w:p>
    <w:p>
      <w:pPr>
        <w:pStyle w:val="BodyText"/>
        <w:spacing w:line="355" w:lineRule="auto"/>
        <w:ind w:left="119" w:right="104" w:firstLine="492"/>
        <w:jc w:val="both"/>
      </w:pPr>
      <w:r>
        <w:rPr/>
        <w:t>如上述文件正本留我们存档，其复印件或电子影印件效力与正本相同；若复印件或电子影印件的内容与正本不同，则以正本为准。</w:t>
      </w:r>
    </w:p>
    <w:p>
      <w:pPr>
        <w:pStyle w:val="BodyText"/>
        <w:rPr>
          <w:sz w:val="20"/>
        </w:rPr>
      </w:pPr>
    </w:p>
    <w:p>
      <w:pPr>
        <w:pStyle w:val="BodyText"/>
        <w:spacing w:before="10"/>
        <w:rPr>
          <w:sz w:val="13"/>
        </w:rPr>
      </w:pPr>
    </w:p>
    <w:p>
      <w:pPr>
        <w:pStyle w:val="BodyText"/>
        <w:spacing w:before="1"/>
        <w:ind w:left="611"/>
      </w:pPr>
      <w:r>
        <w:rPr/>
        <w:t>本附加合同的英文简称 GCI。</w:t>
      </w:r>
    </w:p>
    <w:p>
      <w:pPr>
        <w:pStyle w:val="BodyText"/>
        <w:rPr>
          <w:sz w:val="20"/>
        </w:rPr>
      </w:pPr>
    </w:p>
    <w:p>
      <w:pPr>
        <w:pStyle w:val="Heading2"/>
        <w:tabs>
          <w:tab w:pos="1559" w:val="left" w:leader="none"/>
        </w:tabs>
        <w:spacing w:before="177"/>
      </w:pPr>
      <w:r>
        <w:rPr/>
        <w:t>第二条</w:t>
        <w:tab/>
        <w:t>投保范围</w:t>
      </w:r>
    </w:p>
    <w:p>
      <w:pPr>
        <w:pStyle w:val="BodyText"/>
        <w:rPr>
          <w:b/>
          <w:sz w:val="24"/>
        </w:rPr>
      </w:pPr>
    </w:p>
    <w:p>
      <w:pPr>
        <w:pStyle w:val="BodyText"/>
        <w:spacing w:before="10"/>
        <w:rPr>
          <w:b/>
          <w:sz w:val="23"/>
        </w:rPr>
      </w:pPr>
    </w:p>
    <w:p>
      <w:pPr>
        <w:pStyle w:val="BodyText"/>
        <w:spacing w:line="355" w:lineRule="auto"/>
        <w:ind w:left="119" w:right="105" w:firstLine="492"/>
        <w:jc w:val="both"/>
      </w:pPr>
      <w:r>
        <w:rPr/>
        <w:t>本附加合同接受的被保险人，必须是身体健康、能正常生活、工作或学习的人员；其身体健康的配偶或者子女经我们审核同意后也可作为本附加合同的被保险人。</w:t>
      </w:r>
    </w:p>
    <w:p>
      <w:pPr>
        <w:pStyle w:val="BodyText"/>
        <w:spacing w:before="10"/>
        <w:rPr>
          <w:sz w:val="25"/>
        </w:rPr>
      </w:pPr>
    </w:p>
    <w:p>
      <w:pPr>
        <w:pStyle w:val="Heading2"/>
        <w:tabs>
          <w:tab w:pos="1559" w:val="left" w:leader="none"/>
        </w:tabs>
      </w:pPr>
      <w:r>
        <w:rPr/>
        <w:t>第三条</w:t>
        <w:tab/>
        <w:t>保险期间</w:t>
      </w:r>
    </w:p>
    <w:p>
      <w:pPr>
        <w:pStyle w:val="BodyText"/>
        <w:rPr>
          <w:b/>
          <w:sz w:val="24"/>
        </w:rPr>
      </w:pPr>
    </w:p>
    <w:p>
      <w:pPr>
        <w:pStyle w:val="BodyText"/>
        <w:spacing w:before="10"/>
        <w:rPr>
          <w:b/>
          <w:sz w:val="23"/>
        </w:rPr>
      </w:pPr>
    </w:p>
    <w:p>
      <w:pPr>
        <w:pStyle w:val="BodyText"/>
        <w:spacing w:line="357" w:lineRule="auto"/>
        <w:ind w:left="119" w:right="104" w:firstLine="492"/>
        <w:jc w:val="both"/>
      </w:pPr>
      <w:r>
        <w:rPr/>
        <w:t>本附加合同自我们收取保险费且同意承保后成立，我们将签发保险合同作为承保凭证。本附加合同生效日与主保险合同生效日一致，我们自保险合同所载生效日当日 24 时起开始承担保险责任,</w:t>
      </w:r>
    </w:p>
    <w:p>
      <w:pPr>
        <w:pStyle w:val="BodyText"/>
        <w:spacing w:before="30"/>
        <w:ind w:left="119"/>
      </w:pPr>
      <w:r>
        <w:rPr/>
        <w:t>保险责任至约定的终止日 24 时止。但被保险人的主合同保险责任终止时，则该被保险人的附加合同</w:t>
      </w:r>
    </w:p>
    <w:p>
      <w:pPr>
        <w:pStyle w:val="BodyText"/>
        <w:spacing w:before="133"/>
        <w:ind w:left="119"/>
      </w:pPr>
      <w:r>
        <w:rPr/>
        <w:t>保险责任终止。除有特殊约定，本附加合同的保险期间为 1 年。</w:t>
      </w:r>
    </w:p>
    <w:p>
      <w:pPr>
        <w:pStyle w:val="BodyText"/>
        <w:rPr>
          <w:sz w:val="20"/>
        </w:rPr>
      </w:pPr>
    </w:p>
    <w:p>
      <w:pPr>
        <w:pStyle w:val="BodyText"/>
        <w:spacing w:before="5"/>
        <w:rPr>
          <w:sz w:val="25"/>
        </w:rPr>
      </w:pPr>
    </w:p>
    <w:p>
      <w:pPr>
        <w:pStyle w:val="Heading2"/>
        <w:tabs>
          <w:tab w:pos="1559" w:val="left" w:leader="none"/>
        </w:tabs>
        <w:spacing w:before="1"/>
      </w:pPr>
      <w:r>
        <w:rPr/>
        <w:t>第四条</w:t>
        <w:tab/>
        <w:t>保险金额</w:t>
      </w:r>
    </w:p>
    <w:p>
      <w:pPr>
        <w:pStyle w:val="BodyText"/>
        <w:rPr>
          <w:b/>
          <w:sz w:val="24"/>
        </w:rPr>
      </w:pPr>
    </w:p>
    <w:p>
      <w:pPr>
        <w:pStyle w:val="BodyText"/>
        <w:spacing w:before="10"/>
        <w:rPr>
          <w:b/>
          <w:sz w:val="23"/>
        </w:rPr>
      </w:pPr>
    </w:p>
    <w:p>
      <w:pPr>
        <w:pStyle w:val="BodyText"/>
        <w:spacing w:line="355" w:lineRule="auto" w:before="1"/>
        <w:ind w:left="119" w:right="98" w:firstLine="360"/>
      </w:pPr>
      <w:r>
        <w:rPr/>
        <w:t>本附加合同的保险金额由您和我们约定并于本保单利益表合同内载明。若该保险金额按本附加合同其他条款修正而发生变更，则以变更后的金额为准。</w:t>
      </w:r>
    </w:p>
    <w:p>
      <w:pPr>
        <w:pStyle w:val="BodyText"/>
        <w:rPr>
          <w:sz w:val="20"/>
        </w:rPr>
      </w:pPr>
    </w:p>
    <w:p>
      <w:pPr>
        <w:pStyle w:val="Heading2"/>
        <w:tabs>
          <w:tab w:pos="1559" w:val="left" w:leader="none"/>
        </w:tabs>
        <w:spacing w:before="172"/>
      </w:pPr>
      <w:r>
        <w:rPr/>
        <w:t>第五条</w:t>
        <w:tab/>
        <w:t>保险责任</w:t>
      </w:r>
    </w:p>
    <w:p>
      <w:pPr>
        <w:pStyle w:val="BodyText"/>
        <w:rPr>
          <w:b/>
          <w:sz w:val="24"/>
        </w:rPr>
      </w:pPr>
    </w:p>
    <w:p>
      <w:pPr>
        <w:pStyle w:val="BodyText"/>
        <w:spacing w:before="10"/>
        <w:rPr>
          <w:b/>
          <w:sz w:val="23"/>
        </w:rPr>
      </w:pPr>
    </w:p>
    <w:p>
      <w:pPr>
        <w:pStyle w:val="BodyText"/>
        <w:ind w:left="611"/>
      </w:pPr>
      <w:r>
        <w:rPr/>
        <w:t>根据您选择的保障类型，我们对相应的被保险人按以下两种方式之一承担相应的保险责任：</w:t>
      </w:r>
    </w:p>
    <w:p>
      <w:pPr>
        <w:spacing w:after="0"/>
        <w:sectPr>
          <w:pgSz w:w="11910" w:h="16840"/>
          <w:pgMar w:header="0" w:footer="917" w:top="1520" w:bottom="1100" w:left="1320" w:right="1180"/>
        </w:sectPr>
      </w:pPr>
    </w:p>
    <w:p>
      <w:pPr>
        <w:spacing w:before="7"/>
        <w:ind w:left="611" w:right="0" w:firstLine="0"/>
        <w:jc w:val="left"/>
        <w:rPr>
          <w:sz w:val="21"/>
        </w:rPr>
      </w:pPr>
      <w:r>
        <w:rPr>
          <w:b/>
          <w:sz w:val="21"/>
        </w:rPr>
        <w:t>保障类型一：基本保障 </w:t>
      </w:r>
      <w:r>
        <w:rPr>
          <w:sz w:val="21"/>
        </w:rPr>
        <w:t>英文简称:GCIA</w:t>
      </w:r>
    </w:p>
    <w:p>
      <w:pPr>
        <w:pStyle w:val="BodyText"/>
        <w:spacing w:before="1"/>
        <w:rPr>
          <w:sz w:val="23"/>
        </w:rPr>
      </w:pPr>
    </w:p>
    <w:p>
      <w:pPr>
        <w:spacing w:line="362" w:lineRule="auto" w:before="0"/>
        <w:ind w:left="119" w:right="141" w:firstLine="492"/>
        <w:jc w:val="both"/>
        <w:rPr>
          <w:rFonts w:ascii="黑体" w:eastAsia="黑体" w:hint="eastAsia"/>
          <w:b/>
          <w:sz w:val="21"/>
        </w:rPr>
      </w:pPr>
      <w:r>
        <w:rPr>
          <w:sz w:val="21"/>
        </w:rPr>
        <w:t>被保险人在本附加合同有效期内，被</w:t>
      </w:r>
      <w:r>
        <w:rPr>
          <w:b/>
          <w:sz w:val="21"/>
        </w:rPr>
        <w:t>专科医生</w:t>
      </w:r>
      <w:r>
        <w:rPr>
          <w:position w:val="12"/>
          <w:sz w:val="12"/>
        </w:rPr>
        <w:t>（4）</w:t>
      </w:r>
      <w:r>
        <w:rPr>
          <w:sz w:val="21"/>
        </w:rPr>
        <w:t>或</w:t>
      </w:r>
      <w:r>
        <w:rPr>
          <w:b/>
          <w:sz w:val="21"/>
        </w:rPr>
        <w:t>符合条件的医疗机构</w:t>
      </w:r>
      <w:r>
        <w:rPr>
          <w:position w:val="12"/>
          <w:sz w:val="12"/>
        </w:rPr>
        <w:t>（5）</w:t>
      </w:r>
      <w:r>
        <w:rPr>
          <w:sz w:val="21"/>
        </w:rPr>
        <w:t>首次诊断为患有本</w:t>
      </w:r>
      <w:r>
        <w:rPr>
          <w:w w:val="100"/>
          <w:sz w:val="21"/>
        </w:rPr>
        <w:t>附加合同所附</w:t>
      </w:r>
      <w:r>
        <w:rPr>
          <w:b/>
          <w:spacing w:val="0"/>
          <w:w w:val="100"/>
          <w:sz w:val="21"/>
        </w:rPr>
        <w:t>重大疾病</w:t>
      </w:r>
      <w:r>
        <w:rPr>
          <w:w w:val="100"/>
          <w:position w:val="11"/>
          <w:sz w:val="11"/>
        </w:rPr>
        <w:t>（</w:t>
      </w:r>
      <w:r>
        <w:rPr>
          <w:spacing w:val="1"/>
          <w:w w:val="100"/>
          <w:position w:val="11"/>
          <w:sz w:val="11"/>
        </w:rPr>
        <w:t>6</w:t>
      </w:r>
      <w:r>
        <w:rPr>
          <w:spacing w:val="-1"/>
          <w:w w:val="100"/>
          <w:position w:val="11"/>
          <w:sz w:val="11"/>
        </w:rPr>
        <w:t>）</w:t>
      </w:r>
      <w:r>
        <w:rPr>
          <w:w w:val="100"/>
          <w:sz w:val="21"/>
        </w:rPr>
        <w:t>之</w:t>
      </w:r>
      <w:r>
        <w:rPr>
          <w:b/>
          <w:w w:val="100"/>
          <w:sz w:val="21"/>
        </w:rPr>
        <w:t>第一至第六种及第二十种疾病</w:t>
      </w:r>
      <w:r>
        <w:rPr>
          <w:w w:val="100"/>
          <w:sz w:val="21"/>
        </w:rPr>
        <w:t>（无论一种或多种</w:t>
      </w:r>
      <w:r>
        <w:rPr>
          <w:spacing w:val="-106"/>
          <w:w w:val="100"/>
          <w:sz w:val="21"/>
        </w:rPr>
        <w:t>）</w:t>
      </w:r>
      <w:r>
        <w:rPr>
          <w:w w:val="100"/>
          <w:sz w:val="21"/>
        </w:rPr>
        <w:t>，且自确诊之日起</w:t>
      </w:r>
      <w:r>
        <w:rPr>
          <w:sz w:val="21"/>
        </w:rPr>
        <w:t> </w:t>
      </w:r>
      <w:r>
        <w:rPr>
          <w:w w:val="100"/>
          <w:sz w:val="21"/>
        </w:rPr>
        <w:t>28</w:t>
      </w:r>
      <w:r>
        <w:rPr>
          <w:spacing w:val="-8"/>
          <w:sz w:val="21"/>
        </w:rPr>
        <w:t>天后仍生存，我们按约定保险金额给付重大疾病保险金，同时对该被保险人的保险责任终止。</w:t>
      </w:r>
      <w:r>
        <w:rPr>
          <w:rFonts w:ascii="黑体" w:eastAsia="黑体" w:hint="eastAsia"/>
          <w:b/>
          <w:sz w:val="21"/>
        </w:rPr>
        <w:t>若被保</w:t>
      </w:r>
      <w:r>
        <w:rPr>
          <w:rFonts w:ascii="黑体" w:eastAsia="黑体" w:hint="eastAsia"/>
          <w:b/>
          <w:spacing w:val="-6"/>
          <w:sz w:val="21"/>
        </w:rPr>
        <w:t>险人自确诊之日起 </w:t>
      </w:r>
      <w:r>
        <w:rPr>
          <w:rFonts w:ascii="黑体" w:eastAsia="黑体" w:hint="eastAsia"/>
          <w:b/>
          <w:sz w:val="21"/>
        </w:rPr>
        <w:t>28</w:t>
      </w:r>
      <w:r>
        <w:rPr>
          <w:rFonts w:ascii="黑体" w:eastAsia="黑体" w:hint="eastAsia"/>
          <w:b/>
          <w:spacing w:val="-7"/>
          <w:sz w:val="21"/>
        </w:rPr>
        <w:t> 天内死亡的，则我们不承担给付重大疾病保险金责任，仅退还自以上确诊之日</w:t>
      </w:r>
      <w:r>
        <w:rPr>
          <w:rFonts w:ascii="黑体" w:eastAsia="黑体" w:hint="eastAsia"/>
          <w:b/>
          <w:spacing w:val="-7"/>
          <w:w w:val="100"/>
          <w:sz w:val="21"/>
        </w:rPr>
        <w:t>起算的本保单年度未满期保险费</w:t>
      </w:r>
      <w:r>
        <w:rPr>
          <w:rFonts w:ascii="黑体" w:eastAsia="黑体" w:hint="eastAsia"/>
          <w:b/>
          <w:w w:val="99"/>
          <w:position w:val="11"/>
          <w:sz w:val="11"/>
        </w:rPr>
        <w:t>（</w:t>
      </w:r>
      <w:r>
        <w:rPr>
          <w:rFonts w:ascii="黑体" w:eastAsia="黑体" w:hint="eastAsia"/>
          <w:b/>
          <w:w w:val="99"/>
          <w:position w:val="11"/>
          <w:sz w:val="11"/>
        </w:rPr>
        <w:t>7</w:t>
      </w:r>
      <w:r>
        <w:rPr>
          <w:rFonts w:ascii="黑体" w:eastAsia="黑体" w:hint="eastAsia"/>
          <w:b/>
          <w:spacing w:val="-56"/>
          <w:w w:val="99"/>
          <w:position w:val="11"/>
          <w:sz w:val="11"/>
        </w:rPr>
        <w:t>）</w:t>
      </w:r>
      <w:r>
        <w:rPr>
          <w:rFonts w:ascii="黑体" w:eastAsia="黑体" w:hint="eastAsia"/>
          <w:b/>
          <w:spacing w:val="-3"/>
          <w:w w:val="100"/>
          <w:sz w:val="21"/>
        </w:rPr>
        <w:t>，同时我们对该被保险人的保险责任终止。</w:t>
      </w:r>
    </w:p>
    <w:p>
      <w:pPr>
        <w:spacing w:before="171"/>
        <w:ind w:left="611" w:right="0" w:firstLine="0"/>
        <w:jc w:val="left"/>
        <w:rPr>
          <w:sz w:val="21"/>
        </w:rPr>
      </w:pPr>
      <w:r>
        <w:rPr>
          <w:b/>
          <w:sz w:val="21"/>
        </w:rPr>
        <w:t>保障类型二：全面保障 </w:t>
      </w:r>
      <w:r>
        <w:rPr>
          <w:sz w:val="21"/>
        </w:rPr>
        <w:t>英文简称:GCIB</w:t>
      </w:r>
    </w:p>
    <w:p>
      <w:pPr>
        <w:pStyle w:val="BodyText"/>
        <w:rPr>
          <w:sz w:val="22"/>
        </w:rPr>
      </w:pPr>
    </w:p>
    <w:p>
      <w:pPr>
        <w:pStyle w:val="BodyText"/>
        <w:spacing w:line="355" w:lineRule="auto"/>
        <w:ind w:left="120" w:right="141" w:firstLine="491"/>
        <w:jc w:val="both"/>
        <w:rPr>
          <w:rFonts w:ascii="黑体" w:eastAsia="黑体" w:hint="eastAsia"/>
          <w:b/>
        </w:rPr>
      </w:pPr>
      <w:r>
        <w:rPr/>
        <w:t>被保险人在本附加合同有效期内，被专科医生或符合条件的医疗机构首次诊断为患有本附加合</w:t>
      </w:r>
      <w:r>
        <w:rPr>
          <w:spacing w:val="-3"/>
        </w:rPr>
        <w:t>同所附重大疾病之</w:t>
      </w:r>
      <w:r>
        <w:rPr>
          <w:b/>
          <w:spacing w:val="-3"/>
        </w:rPr>
        <w:t>第一至第二十九种疾病</w:t>
      </w:r>
      <w:r>
        <w:rPr>
          <w:spacing w:val="-3"/>
        </w:rPr>
        <w:t>（无论一种或多种</w:t>
      </w:r>
      <w:r>
        <w:rPr>
          <w:spacing w:val="-67"/>
        </w:rPr>
        <w:t>）</w:t>
      </w:r>
      <w:r>
        <w:rPr>
          <w:spacing w:val="-14"/>
        </w:rPr>
        <w:t>，且自确诊之日起 </w:t>
      </w:r>
      <w:r>
        <w:rPr/>
        <w:t>28</w:t>
      </w:r>
      <w:r>
        <w:rPr>
          <w:spacing w:val="-11"/>
        </w:rPr>
        <w:t> 天后仍生存，我们</w:t>
      </w:r>
      <w:r>
        <w:rPr>
          <w:spacing w:val="-5"/>
        </w:rPr>
        <w:t>按约定保险金额给付重大疾病保险金，同时对该被保险人的保险责任终止</w:t>
      </w:r>
      <w:r>
        <w:rPr>
          <w:rFonts w:ascii="黑体" w:eastAsia="黑体" w:hint="eastAsia"/>
          <w:b/>
          <w:spacing w:val="-6"/>
        </w:rPr>
        <w:t>。若被保险人自确诊之日起</w:t>
      </w:r>
    </w:p>
    <w:p>
      <w:pPr>
        <w:pStyle w:val="Heading3"/>
        <w:spacing w:line="357" w:lineRule="auto" w:before="31"/>
        <w:ind w:left="120" w:right="144"/>
      </w:pPr>
      <w:r>
        <w:rPr/>
        <w:t>28 天内死亡的，则我们不承担给付重大疾病保险金责任，仅退还自以上确诊之日起算的本保单年度未满期保险费，同时我们对该被保险人的保险责任终止。</w:t>
      </w:r>
    </w:p>
    <w:p>
      <w:pPr>
        <w:pStyle w:val="BodyText"/>
        <w:rPr>
          <w:rFonts w:ascii="黑体"/>
          <w:b/>
          <w:sz w:val="20"/>
        </w:rPr>
      </w:pPr>
    </w:p>
    <w:p>
      <w:pPr>
        <w:spacing w:line="357" w:lineRule="auto" w:before="176"/>
        <w:ind w:left="119" w:right="142" w:firstLine="492"/>
        <w:jc w:val="both"/>
        <w:rPr>
          <w:rFonts w:ascii="黑体" w:eastAsia="黑体" w:hint="eastAsia"/>
          <w:b/>
          <w:sz w:val="21"/>
        </w:rPr>
      </w:pPr>
      <w:r>
        <w:rPr>
          <w:sz w:val="21"/>
        </w:rPr>
        <w:t>对以上两种保障类型，被保险人首次投保本附加合同或非连续投保本附加合同时，等待期为自</w:t>
      </w:r>
      <w:r>
        <w:rPr>
          <w:spacing w:val="-6"/>
          <w:sz w:val="21"/>
        </w:rPr>
        <w:t>本附加合同生效之日起 </w:t>
      </w:r>
      <w:r>
        <w:rPr>
          <w:sz w:val="21"/>
        </w:rPr>
        <w:t>30</w:t>
      </w:r>
      <w:r>
        <w:rPr>
          <w:spacing w:val="-10"/>
          <w:sz w:val="21"/>
        </w:rPr>
        <w:t> 日；续保或因</w:t>
      </w:r>
      <w:r>
        <w:rPr>
          <w:b/>
          <w:sz w:val="21"/>
        </w:rPr>
        <w:t>意外伤害</w:t>
      </w:r>
      <w:r>
        <w:rPr>
          <w:position w:val="11"/>
          <w:sz w:val="11"/>
        </w:rPr>
        <w:t>（8）</w:t>
      </w:r>
      <w:r>
        <w:rPr>
          <w:spacing w:val="-4"/>
          <w:sz w:val="21"/>
        </w:rPr>
        <w:t>发生重大疾病的，无等待期</w:t>
      </w:r>
      <w:r>
        <w:rPr>
          <w:rFonts w:ascii="黑体" w:eastAsia="黑体" w:hint="eastAsia"/>
          <w:spacing w:val="-27"/>
          <w:sz w:val="21"/>
        </w:rPr>
        <w:t>。</w:t>
      </w:r>
      <w:r>
        <w:rPr>
          <w:rFonts w:ascii="黑体" w:eastAsia="黑体" w:hint="eastAsia"/>
          <w:b/>
          <w:sz w:val="21"/>
        </w:rPr>
        <w:t>等待期届满前被保</w:t>
      </w:r>
      <w:r>
        <w:rPr>
          <w:rFonts w:ascii="黑体" w:eastAsia="黑体" w:hint="eastAsia"/>
          <w:b/>
          <w:spacing w:val="-3"/>
          <w:sz w:val="21"/>
        </w:rPr>
        <w:t>险人被诊断为患有重大疾病的，我们对该被保险人不承担保险责任。</w:t>
      </w:r>
    </w:p>
    <w:p>
      <w:pPr>
        <w:pStyle w:val="BodyText"/>
        <w:rPr>
          <w:rFonts w:ascii="黑体"/>
          <w:b/>
          <w:sz w:val="20"/>
        </w:rPr>
      </w:pPr>
    </w:p>
    <w:p>
      <w:pPr>
        <w:pStyle w:val="BodyText"/>
        <w:spacing w:before="5"/>
        <w:rPr>
          <w:rFonts w:ascii="黑体"/>
          <w:b/>
          <w:sz w:val="17"/>
        </w:rPr>
      </w:pPr>
    </w:p>
    <w:p>
      <w:pPr>
        <w:pStyle w:val="Heading2"/>
        <w:tabs>
          <w:tab w:pos="1559" w:val="left" w:leader="none"/>
        </w:tabs>
        <w:rPr>
          <w:rFonts w:ascii="黑体" w:eastAsia="黑体" w:hint="eastAsia"/>
        </w:rPr>
      </w:pPr>
      <w:r>
        <w:rPr>
          <w:rFonts w:ascii="黑体" w:eastAsia="黑体" w:hint="eastAsia"/>
        </w:rPr>
        <w:t>第六条</w:t>
        <w:tab/>
        <w:t>责任免除</w:t>
      </w:r>
    </w:p>
    <w:p>
      <w:pPr>
        <w:pStyle w:val="BodyText"/>
        <w:rPr>
          <w:rFonts w:ascii="黑体"/>
          <w:b/>
          <w:sz w:val="24"/>
        </w:rPr>
      </w:pPr>
    </w:p>
    <w:p>
      <w:pPr>
        <w:pStyle w:val="BodyText"/>
        <w:spacing w:before="10"/>
        <w:rPr>
          <w:rFonts w:ascii="黑体"/>
          <w:b/>
          <w:sz w:val="23"/>
        </w:rPr>
      </w:pPr>
    </w:p>
    <w:p>
      <w:pPr>
        <w:pStyle w:val="Heading3"/>
        <w:spacing w:line="444" w:lineRule="auto"/>
        <w:ind w:left="480" w:right="107"/>
      </w:pPr>
      <w:r>
        <w:rPr/>
        <w:t>因下列情形之一，导致被保险人发Th疾病、达到疾病状态或进行手术的，我们不承担保险责任： 一、您对被保险人的故意杀害、故意伤害；</w:t>
      </w:r>
    </w:p>
    <w:p>
      <w:pPr>
        <w:spacing w:line="408" w:lineRule="auto" w:before="14"/>
        <w:ind w:left="480" w:right="2426" w:firstLine="0"/>
        <w:jc w:val="left"/>
        <w:rPr>
          <w:rFonts w:ascii="黑体" w:eastAsia="黑体" w:hint="eastAsia"/>
          <w:b/>
          <w:sz w:val="21"/>
        </w:rPr>
      </w:pPr>
      <w:r>
        <w:rPr>
          <w:rFonts w:ascii="黑体" w:eastAsia="黑体" w:hint="eastAsia"/>
          <w:b/>
          <w:spacing w:val="-3"/>
          <w:sz w:val="21"/>
        </w:rPr>
        <w:t>二、被保险人故意自伤、故意犯罪或者抗拒依法采取的刑事强制措施； </w:t>
      </w:r>
      <w:r>
        <w:rPr>
          <w:rFonts w:ascii="黑体" w:eastAsia="黑体" w:hint="eastAsia"/>
          <w:b/>
          <w:spacing w:val="-3"/>
          <w:w w:val="100"/>
          <w:sz w:val="21"/>
        </w:rPr>
        <w:t>三、被保险人主动吸食或注射毒品</w:t>
      </w:r>
      <w:r>
        <w:rPr>
          <w:rFonts w:ascii="黑体" w:eastAsia="黑体" w:hint="eastAsia"/>
          <w:b/>
          <w:w w:val="99"/>
          <w:position w:val="11"/>
          <w:sz w:val="11"/>
        </w:rPr>
        <w:t>（</w:t>
      </w:r>
      <w:r>
        <w:rPr>
          <w:rFonts w:ascii="黑体" w:eastAsia="黑体" w:hint="eastAsia"/>
          <w:b/>
          <w:w w:val="99"/>
          <w:position w:val="11"/>
          <w:sz w:val="11"/>
        </w:rPr>
        <w:t>9</w:t>
      </w:r>
      <w:r>
        <w:rPr>
          <w:rFonts w:ascii="黑体" w:eastAsia="黑体" w:hint="eastAsia"/>
          <w:b/>
          <w:spacing w:val="-56"/>
          <w:w w:val="99"/>
          <w:position w:val="11"/>
          <w:sz w:val="11"/>
        </w:rPr>
        <w:t>）</w:t>
      </w:r>
      <w:r>
        <w:rPr>
          <w:rFonts w:ascii="黑体" w:eastAsia="黑体" w:hint="eastAsia"/>
          <w:b/>
          <w:w w:val="100"/>
          <w:sz w:val="21"/>
        </w:rPr>
        <w:t>；</w:t>
      </w:r>
    </w:p>
    <w:p>
      <w:pPr>
        <w:spacing w:line="408" w:lineRule="auto" w:before="29"/>
        <w:ind w:left="480" w:right="487" w:firstLine="0"/>
        <w:jc w:val="left"/>
        <w:rPr>
          <w:rFonts w:ascii="黑体" w:eastAsia="黑体" w:hint="eastAsia"/>
          <w:b/>
          <w:sz w:val="21"/>
        </w:rPr>
      </w:pPr>
      <w:r>
        <w:rPr>
          <w:rFonts w:ascii="黑体" w:eastAsia="黑体" w:hint="eastAsia"/>
          <w:b/>
          <w:spacing w:val="-1"/>
          <w:w w:val="100"/>
          <w:sz w:val="21"/>
        </w:rPr>
        <w:t>四、被保险人酒后驾驶</w:t>
      </w:r>
      <w:r>
        <w:rPr>
          <w:rFonts w:ascii="黑体" w:eastAsia="黑体" w:hint="eastAsia"/>
          <w:b/>
          <w:w w:val="99"/>
          <w:position w:val="11"/>
          <w:sz w:val="11"/>
        </w:rPr>
        <w:t>（</w:t>
      </w:r>
      <w:r>
        <w:rPr>
          <w:rFonts w:ascii="黑体" w:eastAsia="黑体" w:hint="eastAsia"/>
          <w:b/>
          <w:w w:val="99"/>
          <w:position w:val="11"/>
          <w:sz w:val="11"/>
        </w:rPr>
        <w:t>10</w:t>
      </w:r>
      <w:r>
        <w:rPr>
          <w:rFonts w:ascii="黑体" w:eastAsia="黑体" w:hint="eastAsia"/>
          <w:b/>
          <w:spacing w:val="-56"/>
          <w:w w:val="99"/>
          <w:position w:val="11"/>
          <w:sz w:val="11"/>
        </w:rPr>
        <w:t>）</w:t>
      </w:r>
      <w:r>
        <w:rPr>
          <w:rFonts w:ascii="黑体" w:eastAsia="黑体" w:hint="eastAsia"/>
          <w:b/>
          <w:spacing w:val="-1"/>
          <w:w w:val="100"/>
          <w:sz w:val="21"/>
        </w:rPr>
        <w:t>，无合法有效驾驶证驾驶</w:t>
      </w:r>
      <w:r>
        <w:rPr>
          <w:rFonts w:ascii="黑体" w:eastAsia="黑体" w:hint="eastAsia"/>
          <w:b/>
          <w:spacing w:val="-3"/>
          <w:w w:val="99"/>
          <w:position w:val="11"/>
          <w:sz w:val="11"/>
        </w:rPr>
        <w:t>（</w:t>
      </w:r>
      <w:r>
        <w:rPr>
          <w:rFonts w:ascii="黑体" w:eastAsia="黑体" w:hint="eastAsia"/>
          <w:b/>
          <w:w w:val="99"/>
          <w:position w:val="11"/>
          <w:sz w:val="11"/>
        </w:rPr>
        <w:t>11</w:t>
      </w:r>
      <w:r>
        <w:rPr>
          <w:rFonts w:ascii="黑体" w:eastAsia="黑体" w:hint="eastAsia"/>
          <w:b/>
          <w:spacing w:val="-56"/>
          <w:w w:val="99"/>
          <w:position w:val="11"/>
          <w:sz w:val="11"/>
        </w:rPr>
        <w:t>）</w:t>
      </w:r>
      <w:r>
        <w:rPr>
          <w:rFonts w:ascii="黑体" w:eastAsia="黑体" w:hint="eastAsia"/>
          <w:b/>
          <w:w w:val="100"/>
          <w:sz w:val="21"/>
        </w:rPr>
        <w:t>，或驾驶无有效行驶证</w:t>
      </w:r>
      <w:r>
        <w:rPr>
          <w:rFonts w:ascii="黑体" w:eastAsia="黑体" w:hint="eastAsia"/>
          <w:b/>
          <w:w w:val="99"/>
          <w:position w:val="11"/>
          <w:sz w:val="11"/>
        </w:rPr>
        <w:t>（</w:t>
      </w:r>
      <w:r>
        <w:rPr>
          <w:rFonts w:ascii="黑体" w:eastAsia="黑体" w:hint="eastAsia"/>
          <w:b/>
          <w:spacing w:val="-3"/>
          <w:w w:val="99"/>
          <w:position w:val="11"/>
          <w:sz w:val="11"/>
        </w:rPr>
        <w:t>1</w:t>
      </w:r>
      <w:r>
        <w:rPr>
          <w:rFonts w:ascii="黑体" w:eastAsia="黑体" w:hint="eastAsia"/>
          <w:b/>
          <w:w w:val="99"/>
          <w:position w:val="11"/>
          <w:sz w:val="11"/>
        </w:rPr>
        <w:t>2</w:t>
      </w:r>
      <w:r>
        <w:rPr>
          <w:rFonts w:ascii="黑体" w:eastAsia="黑体" w:hint="eastAsia"/>
          <w:b/>
          <w:w w:val="99"/>
          <w:position w:val="11"/>
          <w:sz w:val="11"/>
        </w:rPr>
        <w:t>）</w:t>
      </w:r>
      <w:r>
        <w:rPr>
          <w:rFonts w:ascii="黑体" w:eastAsia="黑体" w:hint="eastAsia"/>
          <w:b/>
          <w:w w:val="100"/>
          <w:sz w:val="21"/>
        </w:rPr>
        <w:t>的机动车；</w:t>
      </w:r>
      <w:r>
        <w:rPr>
          <w:rFonts w:ascii="黑体" w:eastAsia="黑体" w:hint="eastAsia"/>
          <w:b/>
          <w:spacing w:val="-2"/>
          <w:sz w:val="21"/>
        </w:rPr>
        <w:t>五、战争、军事冲突、暴乱或武装叛乱；</w:t>
      </w:r>
    </w:p>
    <w:p>
      <w:pPr>
        <w:spacing w:before="46"/>
        <w:ind w:left="480" w:right="0" w:firstLine="0"/>
        <w:jc w:val="left"/>
        <w:rPr>
          <w:rFonts w:ascii="黑体" w:eastAsia="黑体" w:hint="eastAsia"/>
          <w:b/>
          <w:sz w:val="21"/>
        </w:rPr>
      </w:pPr>
      <w:r>
        <w:rPr>
          <w:rFonts w:ascii="黑体" w:eastAsia="黑体" w:hint="eastAsia"/>
          <w:b/>
          <w:sz w:val="21"/>
        </w:rPr>
        <w:t>六、核爆炸、核辐射或核污染；</w:t>
      </w:r>
    </w:p>
    <w:p>
      <w:pPr>
        <w:pStyle w:val="BodyText"/>
        <w:spacing w:before="9"/>
        <w:rPr>
          <w:rFonts w:ascii="黑体"/>
          <w:b/>
          <w:sz w:val="14"/>
        </w:rPr>
      </w:pPr>
    </w:p>
    <w:p>
      <w:pPr>
        <w:spacing w:before="0"/>
        <w:ind w:left="480" w:right="0" w:firstLine="0"/>
        <w:jc w:val="left"/>
        <w:rPr>
          <w:rFonts w:ascii="黑体" w:eastAsia="黑体" w:hint="eastAsia"/>
          <w:b/>
          <w:sz w:val="21"/>
        </w:rPr>
      </w:pPr>
      <w:r>
        <w:rPr>
          <w:rFonts w:ascii="黑体" w:eastAsia="黑体" w:hint="eastAsia"/>
          <w:b/>
          <w:w w:val="100"/>
          <w:sz w:val="21"/>
        </w:rPr>
        <w:t>七、遗传性疾病</w:t>
      </w:r>
      <w:r>
        <w:rPr>
          <w:rFonts w:ascii="黑体" w:eastAsia="黑体" w:hint="eastAsia"/>
          <w:b/>
          <w:w w:val="99"/>
          <w:position w:val="11"/>
          <w:sz w:val="11"/>
        </w:rPr>
        <w:t>（</w:t>
      </w:r>
      <w:r>
        <w:rPr>
          <w:rFonts w:ascii="黑体" w:eastAsia="黑体" w:hint="eastAsia"/>
          <w:b/>
          <w:w w:val="99"/>
          <w:position w:val="11"/>
          <w:sz w:val="11"/>
        </w:rPr>
        <w:t>13</w:t>
      </w:r>
      <w:r>
        <w:rPr>
          <w:rFonts w:ascii="黑体" w:eastAsia="黑体" w:hint="eastAsia"/>
          <w:b/>
          <w:spacing w:val="-56"/>
          <w:w w:val="99"/>
          <w:position w:val="11"/>
          <w:sz w:val="11"/>
        </w:rPr>
        <w:t>）</w:t>
      </w:r>
      <w:r>
        <w:rPr>
          <w:rFonts w:ascii="黑体" w:eastAsia="黑体" w:hint="eastAsia"/>
          <w:b/>
          <w:spacing w:val="-3"/>
          <w:w w:val="100"/>
          <w:sz w:val="21"/>
        </w:rPr>
        <w:t>，先天性畸形、变形或染色体异常</w:t>
      </w:r>
      <w:r>
        <w:rPr>
          <w:rFonts w:ascii="黑体" w:eastAsia="黑体" w:hint="eastAsia"/>
          <w:b/>
          <w:w w:val="99"/>
          <w:position w:val="11"/>
          <w:sz w:val="11"/>
        </w:rPr>
        <w:t>（</w:t>
      </w:r>
      <w:r>
        <w:rPr>
          <w:rFonts w:ascii="黑体" w:eastAsia="黑体" w:hint="eastAsia"/>
          <w:b/>
          <w:w w:val="99"/>
          <w:position w:val="11"/>
          <w:sz w:val="11"/>
        </w:rPr>
        <w:t>14</w:t>
      </w:r>
      <w:r>
        <w:rPr>
          <w:rFonts w:ascii="黑体" w:eastAsia="黑体" w:hint="eastAsia"/>
          <w:b/>
          <w:spacing w:val="-56"/>
          <w:w w:val="99"/>
          <w:position w:val="11"/>
          <w:sz w:val="11"/>
        </w:rPr>
        <w:t>）</w:t>
      </w:r>
      <w:r>
        <w:rPr>
          <w:rFonts w:ascii="黑体" w:eastAsia="黑体" w:hint="eastAsia"/>
          <w:b/>
          <w:w w:val="100"/>
          <w:sz w:val="21"/>
        </w:rPr>
        <w:t>。</w:t>
      </w:r>
    </w:p>
    <w:p>
      <w:pPr>
        <w:pStyle w:val="BodyText"/>
        <w:rPr>
          <w:rFonts w:ascii="黑体"/>
          <w:b/>
          <w:sz w:val="22"/>
        </w:rPr>
      </w:pPr>
    </w:p>
    <w:p>
      <w:pPr>
        <w:pStyle w:val="BodyText"/>
        <w:spacing w:before="4"/>
        <w:rPr>
          <w:rFonts w:ascii="黑体"/>
          <w:b/>
          <w:sz w:val="16"/>
        </w:rPr>
      </w:pPr>
    </w:p>
    <w:p>
      <w:pPr>
        <w:pStyle w:val="Heading3"/>
        <w:spacing w:line="355" w:lineRule="auto" w:before="1"/>
        <w:ind w:left="120" w:right="143" w:firstLine="422"/>
        <w:jc w:val="both"/>
      </w:pPr>
      <w:r>
        <w:rPr/>
        <w:t>发Th</w:t>
      </w:r>
      <w:r>
        <w:rPr>
          <w:spacing w:val="-6"/>
        </w:rPr>
        <w:t>上述情形导致被保险人首次被诊断为患有本附加合同所指定的重大疾病的，我们对该被保险人的保险责任终止，我们将向您退还该被保险人的未满期保险费。</w:t>
      </w:r>
    </w:p>
    <w:p>
      <w:pPr>
        <w:spacing w:after="0" w:line="355" w:lineRule="auto"/>
        <w:jc w:val="both"/>
        <w:sectPr>
          <w:pgSz w:w="11910" w:h="16840"/>
          <w:pgMar w:header="0" w:footer="990" w:top="1380" w:bottom="1180" w:left="1320" w:right="1140"/>
        </w:sectPr>
      </w:pPr>
    </w:p>
    <w:p>
      <w:pPr>
        <w:tabs>
          <w:tab w:pos="1259" w:val="left" w:leader="none"/>
        </w:tabs>
        <w:spacing w:line="359" w:lineRule="exact" w:before="0"/>
        <w:ind w:left="0" w:right="126" w:firstLine="0"/>
        <w:jc w:val="center"/>
        <w:rPr>
          <w:b/>
          <w:sz w:val="28"/>
        </w:rPr>
      </w:pPr>
      <w:r>
        <w:rPr>
          <w:b/>
          <w:sz w:val="28"/>
        </w:rPr>
        <w:t>第二章</w:t>
        <w:tab/>
        <w:t>费用条款</w:t>
      </w:r>
    </w:p>
    <w:p>
      <w:pPr>
        <w:pStyle w:val="BodyText"/>
        <w:rPr>
          <w:b/>
          <w:sz w:val="20"/>
        </w:rPr>
      </w:pPr>
    </w:p>
    <w:p>
      <w:pPr>
        <w:pStyle w:val="BodyText"/>
        <w:spacing w:before="11"/>
        <w:rPr>
          <w:b/>
          <w:sz w:val="27"/>
        </w:rPr>
      </w:pPr>
    </w:p>
    <w:p>
      <w:pPr>
        <w:tabs>
          <w:tab w:pos="1539" w:val="left" w:leader="none"/>
        </w:tabs>
        <w:spacing w:before="26"/>
        <w:ind w:left="100" w:right="0" w:firstLine="0"/>
        <w:jc w:val="left"/>
        <w:rPr>
          <w:b/>
          <w:sz w:val="24"/>
        </w:rPr>
      </w:pPr>
      <w:r>
        <w:rPr>
          <w:b/>
          <w:sz w:val="24"/>
        </w:rPr>
        <w:t>第七条</w:t>
        <w:tab/>
      </w:r>
      <w:r>
        <w:rPr>
          <w:b/>
          <w:w w:val="95"/>
          <w:sz w:val="24"/>
        </w:rPr>
        <w:t>保险费</w:t>
      </w:r>
    </w:p>
    <w:p>
      <w:pPr>
        <w:pStyle w:val="BodyText"/>
        <w:rPr>
          <w:b/>
          <w:sz w:val="24"/>
        </w:rPr>
      </w:pPr>
    </w:p>
    <w:p>
      <w:pPr>
        <w:pStyle w:val="BodyText"/>
        <w:spacing w:before="12"/>
        <w:rPr>
          <w:b/>
          <w:sz w:val="23"/>
        </w:rPr>
      </w:pPr>
    </w:p>
    <w:p>
      <w:pPr>
        <w:pStyle w:val="BodyText"/>
        <w:spacing w:before="1"/>
        <w:ind w:left="591"/>
      </w:pPr>
      <w:r>
        <w:rPr/>
        <w:t>您应当按照本附加合同约定向我们支付保险费。</w:t>
      </w:r>
    </w:p>
    <w:p>
      <w:pPr>
        <w:pStyle w:val="BodyText"/>
        <w:rPr>
          <w:sz w:val="20"/>
        </w:rPr>
      </w:pPr>
    </w:p>
    <w:p>
      <w:pPr>
        <w:pStyle w:val="BodyText"/>
        <w:spacing w:before="4"/>
      </w:pPr>
    </w:p>
    <w:p>
      <w:pPr>
        <w:pStyle w:val="BodyText"/>
        <w:spacing w:before="1"/>
        <w:ind w:left="591"/>
      </w:pPr>
      <w:r>
        <w:rPr/>
        <w:t>本附加合同为非保证续保合同，若我们不接受续保，将于主合同的保险期间届满前书面通知您。</w:t>
      </w:r>
    </w:p>
    <w:p>
      <w:pPr>
        <w:spacing w:after="0"/>
        <w:sectPr>
          <w:pgSz w:w="11910" w:h="16840"/>
          <w:pgMar w:header="0" w:footer="917" w:top="1380" w:bottom="1180" w:left="1340" w:right="1060"/>
        </w:sectPr>
      </w:pPr>
    </w:p>
    <w:p>
      <w:pPr>
        <w:pStyle w:val="BodyText"/>
        <w:spacing w:before="11"/>
        <w:rPr>
          <w:sz w:val="18"/>
        </w:rPr>
      </w:pPr>
    </w:p>
    <w:p>
      <w:pPr>
        <w:pStyle w:val="Heading1"/>
        <w:tabs>
          <w:tab w:pos="4194" w:val="left" w:leader="none"/>
        </w:tabs>
        <w:spacing w:before="14"/>
        <w:ind w:left="2934"/>
        <w:jc w:val="left"/>
      </w:pPr>
      <w:r>
        <w:rPr/>
        <w:t>第三章</w:t>
        <w:tab/>
      </w:r>
      <w:r>
        <w:rPr>
          <w:w w:val="95"/>
        </w:rPr>
        <w:t>保单理赔服务条款</w:t>
      </w:r>
    </w:p>
    <w:p>
      <w:pPr>
        <w:pStyle w:val="BodyText"/>
        <w:spacing w:before="11"/>
        <w:rPr>
          <w:b/>
          <w:sz w:val="37"/>
        </w:rPr>
      </w:pPr>
    </w:p>
    <w:p>
      <w:pPr>
        <w:pStyle w:val="Heading2"/>
        <w:tabs>
          <w:tab w:pos="1539" w:val="left" w:leader="none"/>
        </w:tabs>
        <w:ind w:left="100"/>
        <w:rPr>
          <w:rFonts w:ascii="黑体" w:eastAsia="黑体" w:hint="eastAsia"/>
        </w:rPr>
      </w:pPr>
      <w:r>
        <w:rPr>
          <w:rFonts w:ascii="黑体" w:eastAsia="黑体" w:hint="eastAsia"/>
        </w:rPr>
        <w:t>第八条</w:t>
        <w:tab/>
      </w:r>
      <w:r>
        <w:rPr>
          <w:rFonts w:ascii="黑体" w:eastAsia="黑体" w:hint="eastAsia"/>
          <w:w w:val="95"/>
        </w:rPr>
        <w:t>保险事故的通知</w:t>
      </w:r>
    </w:p>
    <w:p>
      <w:pPr>
        <w:pStyle w:val="BodyText"/>
        <w:rPr>
          <w:rFonts w:ascii="黑体"/>
          <w:b/>
          <w:sz w:val="24"/>
        </w:rPr>
      </w:pPr>
    </w:p>
    <w:p>
      <w:pPr>
        <w:pStyle w:val="BodyText"/>
        <w:spacing w:before="12"/>
        <w:rPr>
          <w:rFonts w:ascii="黑体"/>
          <w:b/>
          <w:sz w:val="23"/>
        </w:rPr>
      </w:pPr>
    </w:p>
    <w:p>
      <w:pPr>
        <w:pStyle w:val="Heading3"/>
        <w:spacing w:line="355" w:lineRule="auto"/>
        <w:ind w:left="100" w:right="103" w:firstLine="420"/>
        <w:jc w:val="both"/>
      </w:pPr>
      <w:r>
        <w:rPr>
          <w:spacing w:val="-2"/>
        </w:rPr>
        <w:t>您、被保险人或受益人应于知道保险事故发</w:t>
      </w:r>
      <w:r>
        <w:rPr/>
        <w:t>Th</w:t>
      </w:r>
      <w:r>
        <w:rPr>
          <w:spacing w:val="-13"/>
        </w:rPr>
        <w:t>之日起 </w:t>
      </w:r>
      <w:r>
        <w:rPr/>
        <w:t>10</w:t>
      </w:r>
      <w:r>
        <w:rPr>
          <w:spacing w:val="-7"/>
        </w:rPr>
        <w:t> 日内通知我们。如果您、被保险人或受</w:t>
      </w:r>
      <w:r>
        <w:rPr>
          <w:spacing w:val="-12"/>
        </w:rPr>
        <w:t>益人故意或者因重大过失未及时通知，致使保险事故的性质、原因、损失程度等难以确定的，我们对</w:t>
      </w:r>
      <w:r>
        <w:rPr>
          <w:spacing w:val="-14"/>
        </w:rPr>
        <w:t>无法确定的部分，不承担给付保险金的责任，但我们通过其他途径已经及时知道或者应当及时知道保险事故发Th</w:t>
      </w:r>
      <w:r>
        <w:rPr>
          <w:spacing w:val="-7"/>
        </w:rPr>
        <w:t>或者虽未及时通知但不影响我们确定保险事故的性质、原因、损失程度的除外。</w:t>
      </w:r>
    </w:p>
    <w:p>
      <w:pPr>
        <w:pStyle w:val="BodyText"/>
        <w:rPr>
          <w:rFonts w:ascii="黑体"/>
          <w:b/>
          <w:sz w:val="20"/>
        </w:rPr>
      </w:pPr>
    </w:p>
    <w:p>
      <w:pPr>
        <w:tabs>
          <w:tab w:pos="1539" w:val="left" w:leader="none"/>
        </w:tabs>
        <w:spacing w:before="174"/>
        <w:ind w:left="100" w:right="0" w:firstLine="0"/>
        <w:jc w:val="left"/>
        <w:rPr>
          <w:b/>
          <w:sz w:val="24"/>
        </w:rPr>
      </w:pPr>
      <w:r>
        <w:rPr>
          <w:b/>
          <w:sz w:val="24"/>
        </w:rPr>
        <w:t>第九条</w:t>
        <w:tab/>
      </w:r>
      <w:r>
        <w:rPr>
          <w:b/>
          <w:w w:val="95"/>
          <w:sz w:val="24"/>
        </w:rPr>
        <w:t>保险金的申请</w:t>
      </w:r>
    </w:p>
    <w:p>
      <w:pPr>
        <w:pStyle w:val="BodyText"/>
        <w:rPr>
          <w:b/>
          <w:sz w:val="24"/>
        </w:rPr>
      </w:pPr>
    </w:p>
    <w:p>
      <w:pPr>
        <w:pStyle w:val="BodyText"/>
        <w:spacing w:before="10"/>
        <w:rPr>
          <w:b/>
          <w:sz w:val="23"/>
        </w:rPr>
      </w:pPr>
    </w:p>
    <w:p>
      <w:pPr>
        <w:pStyle w:val="BodyText"/>
        <w:spacing w:line="355" w:lineRule="auto"/>
        <w:ind w:left="997" w:right="99" w:hanging="406"/>
        <w:jc w:val="both"/>
      </w:pPr>
      <w:r>
        <w:rPr/>
        <w:t>一、在本附加合同有效期内，被保险人首次被诊断为患有本附加合同所指定的重大疾病的，由受益人（受益人委托代理人或法定代理人）作为申请人填写保险金给付申请书，并凭下列证明、资料向我们申请给付保险金：</w:t>
      </w:r>
    </w:p>
    <w:p>
      <w:pPr>
        <w:pStyle w:val="BodyText"/>
        <w:rPr>
          <w:sz w:val="20"/>
        </w:rPr>
      </w:pPr>
    </w:p>
    <w:p>
      <w:pPr>
        <w:pStyle w:val="BodyText"/>
        <w:spacing w:before="10"/>
        <w:rPr>
          <w:sz w:val="13"/>
        </w:rPr>
      </w:pPr>
    </w:p>
    <w:p>
      <w:pPr>
        <w:pStyle w:val="ListParagraph"/>
        <w:numPr>
          <w:ilvl w:val="0"/>
          <w:numId w:val="1"/>
        </w:numPr>
        <w:tabs>
          <w:tab w:pos="1360" w:val="left" w:leader="none"/>
        </w:tabs>
        <w:spacing w:line="240" w:lineRule="auto" w:before="0" w:after="0"/>
        <w:ind w:left="1357" w:right="0" w:hanging="358"/>
        <w:jc w:val="left"/>
        <w:rPr>
          <w:sz w:val="21"/>
        </w:rPr>
      </w:pPr>
      <w:r>
        <w:rPr>
          <w:spacing w:val="-3"/>
          <w:sz w:val="21"/>
        </w:rPr>
        <w:t>保险合同或其他保险凭证原件；</w:t>
      </w:r>
    </w:p>
    <w:p>
      <w:pPr>
        <w:pStyle w:val="ListParagraph"/>
        <w:numPr>
          <w:ilvl w:val="0"/>
          <w:numId w:val="1"/>
        </w:numPr>
        <w:tabs>
          <w:tab w:pos="1361" w:val="left" w:leader="none"/>
        </w:tabs>
        <w:spacing w:line="240" w:lineRule="auto" w:before="132" w:after="0"/>
        <w:ind w:left="1360" w:right="0" w:hanging="360"/>
        <w:jc w:val="left"/>
        <w:rPr>
          <w:sz w:val="21"/>
        </w:rPr>
      </w:pPr>
      <w:r>
        <w:rPr>
          <w:spacing w:val="-3"/>
          <w:sz w:val="21"/>
        </w:rPr>
        <w:t>被保险人和受益人的有效身份证件复印件；</w:t>
      </w:r>
    </w:p>
    <w:p>
      <w:pPr>
        <w:pStyle w:val="ListParagraph"/>
        <w:numPr>
          <w:ilvl w:val="0"/>
          <w:numId w:val="1"/>
        </w:numPr>
        <w:tabs>
          <w:tab w:pos="1358" w:val="left" w:leader="none"/>
        </w:tabs>
        <w:spacing w:line="355" w:lineRule="auto" w:before="132" w:after="0"/>
        <w:ind w:left="1357" w:right="100" w:hanging="357"/>
        <w:jc w:val="left"/>
        <w:rPr>
          <w:sz w:val="21"/>
        </w:rPr>
      </w:pPr>
      <w:r>
        <w:rPr>
          <w:spacing w:val="-6"/>
          <w:sz w:val="21"/>
        </w:rPr>
        <w:t>由专科医生或符合条件的医疗机构出具的病历、必要的病理报告、血液检查及其他科学</w:t>
      </w:r>
      <w:r>
        <w:rPr>
          <w:spacing w:val="-4"/>
          <w:sz w:val="21"/>
        </w:rPr>
        <w:t>诊断报告复印件；</w:t>
      </w:r>
    </w:p>
    <w:p>
      <w:pPr>
        <w:pStyle w:val="ListParagraph"/>
        <w:numPr>
          <w:ilvl w:val="0"/>
          <w:numId w:val="1"/>
        </w:numPr>
        <w:tabs>
          <w:tab w:pos="1358" w:val="left" w:leader="none"/>
        </w:tabs>
        <w:spacing w:line="357" w:lineRule="auto" w:before="32" w:after="0"/>
        <w:ind w:left="1357" w:right="101" w:hanging="357"/>
        <w:jc w:val="left"/>
        <w:rPr>
          <w:sz w:val="21"/>
        </w:rPr>
      </w:pPr>
      <w:r>
        <w:rPr>
          <w:sz w:val="21"/>
        </w:rPr>
        <w:t>受益人委托代理人或法定代理人的有效身份证件及委托授权书或法定代理关系证明原件；</w:t>
      </w:r>
    </w:p>
    <w:p>
      <w:pPr>
        <w:pStyle w:val="ListParagraph"/>
        <w:numPr>
          <w:ilvl w:val="0"/>
          <w:numId w:val="1"/>
        </w:numPr>
        <w:tabs>
          <w:tab w:pos="1358" w:val="left" w:leader="none"/>
        </w:tabs>
        <w:spacing w:line="355" w:lineRule="auto" w:before="30" w:after="0"/>
        <w:ind w:left="1357" w:right="101" w:hanging="357"/>
        <w:jc w:val="left"/>
        <w:rPr>
          <w:sz w:val="21"/>
        </w:rPr>
      </w:pPr>
      <w:r>
        <w:rPr>
          <w:spacing w:val="-5"/>
          <w:sz w:val="21"/>
        </w:rPr>
        <w:t>受益人或其委托代理人或法定代理人所能提供的与确认保险事故的性质、原因、伤害程</w:t>
      </w:r>
      <w:r>
        <w:rPr>
          <w:spacing w:val="-4"/>
          <w:sz w:val="21"/>
        </w:rPr>
        <w:t>度等有关的其他证明、资料原件；</w:t>
      </w:r>
    </w:p>
    <w:p>
      <w:pPr>
        <w:pStyle w:val="ListParagraph"/>
        <w:numPr>
          <w:ilvl w:val="0"/>
          <w:numId w:val="1"/>
        </w:numPr>
        <w:tabs>
          <w:tab w:pos="1361" w:val="left" w:leader="none"/>
        </w:tabs>
        <w:spacing w:line="355" w:lineRule="auto" w:before="32" w:after="0"/>
        <w:ind w:left="1360" w:right="98" w:hanging="360"/>
        <w:jc w:val="left"/>
        <w:rPr>
          <w:sz w:val="21"/>
        </w:rPr>
      </w:pPr>
      <w:r>
        <w:rPr>
          <w:spacing w:val="-6"/>
          <w:sz w:val="21"/>
        </w:rPr>
        <w:t>我们有权要求被保险人作身体检查或提供有关的检验报告；若被保险人身故，我们有权</w:t>
      </w:r>
      <w:r>
        <w:rPr>
          <w:spacing w:val="-4"/>
          <w:sz w:val="21"/>
        </w:rPr>
        <w:t>要求有权鉴定机构对保险事故进行鉴定。</w:t>
      </w:r>
    </w:p>
    <w:p>
      <w:pPr>
        <w:pStyle w:val="BodyText"/>
        <w:rPr>
          <w:sz w:val="20"/>
        </w:rPr>
      </w:pPr>
    </w:p>
    <w:p>
      <w:pPr>
        <w:pStyle w:val="BodyText"/>
        <w:spacing w:before="11"/>
        <w:rPr>
          <w:sz w:val="13"/>
        </w:rPr>
      </w:pPr>
    </w:p>
    <w:p>
      <w:pPr>
        <w:pStyle w:val="BodyText"/>
        <w:ind w:left="1000"/>
      </w:pPr>
      <w:r>
        <w:rPr/>
        <w:t>保险金作为被保险人遗产时，必须提供可证明合法继承权的相关权利文件。</w:t>
      </w:r>
    </w:p>
    <w:p>
      <w:pPr>
        <w:pStyle w:val="BodyText"/>
        <w:rPr>
          <w:sz w:val="20"/>
        </w:rPr>
      </w:pPr>
    </w:p>
    <w:p>
      <w:pPr>
        <w:pStyle w:val="BodyText"/>
        <w:spacing w:before="4"/>
      </w:pPr>
    </w:p>
    <w:p>
      <w:pPr>
        <w:pStyle w:val="BodyText"/>
        <w:spacing w:line="715" w:lineRule="auto"/>
        <w:ind w:left="520" w:right="667"/>
      </w:pPr>
      <w:r>
        <w:rPr/>
        <w:t>二、以上证明和资料不完整的，我们将及时一次性通知申请人补充提供有关证明和资料。三、受益人未满 18 </w:t>
      </w:r>
      <w:r>
        <w:rPr>
          <w:b/>
        </w:rPr>
        <w:t>周岁</w:t>
      </w:r>
      <w:r>
        <w:rPr>
          <w:position w:val="11"/>
          <w:sz w:val="11"/>
        </w:rPr>
        <w:t>（15）</w:t>
      </w:r>
      <w:r>
        <w:rPr/>
        <w:t>的，由其父母或监护人作为申请人向我们申请给付保险金。</w:t>
      </w:r>
    </w:p>
    <w:p>
      <w:pPr>
        <w:spacing w:after="0" w:line="715" w:lineRule="auto"/>
        <w:sectPr>
          <w:pgSz w:w="11910" w:h="16840"/>
          <w:pgMar w:header="0" w:footer="990" w:top="1580" w:bottom="1180" w:left="1340" w:right="1180"/>
        </w:sectPr>
      </w:pPr>
    </w:p>
    <w:p>
      <w:pPr>
        <w:pStyle w:val="BodyText"/>
        <w:spacing w:line="355" w:lineRule="auto" w:before="7"/>
        <w:ind w:left="939" w:right="159" w:hanging="420"/>
      </w:pPr>
      <w:r>
        <w:rPr>
          <w:spacing w:val="-9"/>
        </w:rPr>
        <w:t>四、受益人向我们请求给付保险金的诉讼时效期间为 </w:t>
      </w:r>
      <w:r>
        <w:rPr/>
        <w:t>2</w:t>
      </w:r>
      <w:r>
        <w:rPr>
          <w:spacing w:val="-10"/>
        </w:rPr>
        <w:t> 年，自其知道或者应当知道保险事故发生</w:t>
      </w:r>
      <w:r>
        <w:rPr>
          <w:spacing w:val="-5"/>
        </w:rPr>
        <w:t>之日起计算。</w:t>
      </w:r>
    </w:p>
    <w:p>
      <w:pPr>
        <w:pStyle w:val="BodyText"/>
        <w:rPr>
          <w:sz w:val="20"/>
        </w:rPr>
      </w:pPr>
    </w:p>
    <w:p>
      <w:pPr>
        <w:pStyle w:val="Heading2"/>
        <w:tabs>
          <w:tab w:pos="1539" w:val="left" w:leader="none"/>
        </w:tabs>
        <w:spacing w:before="174"/>
        <w:ind w:left="100"/>
      </w:pPr>
      <w:r>
        <w:rPr/>
        <w:t>第十条</w:t>
        <w:tab/>
      </w:r>
      <w:r>
        <w:rPr>
          <w:w w:val="95"/>
        </w:rPr>
        <w:t>保险金的给付</w:t>
      </w:r>
    </w:p>
    <w:p>
      <w:pPr>
        <w:pStyle w:val="BodyText"/>
        <w:rPr>
          <w:b/>
          <w:sz w:val="24"/>
        </w:rPr>
      </w:pPr>
    </w:p>
    <w:p>
      <w:pPr>
        <w:pStyle w:val="BodyText"/>
        <w:spacing w:before="2"/>
        <w:rPr>
          <w:b/>
          <w:sz w:val="19"/>
        </w:rPr>
      </w:pPr>
    </w:p>
    <w:p>
      <w:pPr>
        <w:pStyle w:val="BodyText"/>
        <w:spacing w:before="1"/>
        <w:ind w:left="100"/>
      </w:pPr>
      <w:r>
        <w:rPr/>
        <w:t>一、我们在收到保险金给付申请书及合同约定的证明和资料后，将在 5 日内作出核定；情形复杂的，</w:t>
      </w:r>
    </w:p>
    <w:p>
      <w:pPr>
        <w:pStyle w:val="BodyText"/>
        <w:spacing w:before="135"/>
        <w:ind w:left="520"/>
      </w:pPr>
      <w:r>
        <w:rPr>
          <w:spacing w:val="-14"/>
        </w:rPr>
        <w:t>在 </w:t>
      </w:r>
      <w:r>
        <w:rPr/>
        <w:t>30</w:t>
      </w:r>
      <w:r>
        <w:rPr>
          <w:spacing w:val="-9"/>
        </w:rPr>
        <w:t> 日内作出核定</w:t>
      </w:r>
      <w:r>
        <w:rPr>
          <w:spacing w:val="-3"/>
        </w:rPr>
        <w:t>（</w:t>
      </w:r>
      <w:r>
        <w:rPr>
          <w:spacing w:val="-5"/>
        </w:rPr>
        <w:t>若需补充资料，以我们收到补充资料之日起算</w:t>
      </w:r>
      <w:r>
        <w:rPr>
          <w:spacing w:val="-108"/>
        </w:rPr>
        <w:t>）</w:t>
      </w:r>
      <w:r>
        <w:rPr>
          <w:spacing w:val="-7"/>
        </w:rPr>
        <w:t>。对属于保险责任的，我们</w:t>
      </w:r>
    </w:p>
    <w:p>
      <w:pPr>
        <w:pStyle w:val="BodyText"/>
        <w:spacing w:before="132"/>
        <w:ind w:left="520"/>
      </w:pPr>
      <w:r>
        <w:rPr/>
        <w:t>在与受益人达成给付保险金的协议后 10 日内，履行给付保险金义务。</w:t>
      </w:r>
    </w:p>
    <w:p>
      <w:pPr>
        <w:pStyle w:val="BodyText"/>
        <w:rPr>
          <w:sz w:val="20"/>
        </w:rPr>
      </w:pPr>
    </w:p>
    <w:p>
      <w:pPr>
        <w:pStyle w:val="BodyText"/>
        <w:spacing w:before="4"/>
      </w:pPr>
    </w:p>
    <w:p>
      <w:pPr>
        <w:pStyle w:val="BodyText"/>
        <w:ind w:left="520"/>
      </w:pPr>
      <w:r>
        <w:rPr/>
        <w:t>我们未及时履行前款规定义务的，除支付保险金外，应当赔偿受益人因此受到的损失。</w:t>
      </w:r>
    </w:p>
    <w:p>
      <w:pPr>
        <w:pStyle w:val="BodyText"/>
        <w:rPr>
          <w:sz w:val="20"/>
        </w:rPr>
      </w:pPr>
    </w:p>
    <w:p>
      <w:pPr>
        <w:pStyle w:val="BodyText"/>
        <w:spacing w:before="6"/>
      </w:pPr>
    </w:p>
    <w:p>
      <w:pPr>
        <w:pStyle w:val="BodyText"/>
        <w:spacing w:line="355" w:lineRule="auto" w:before="1"/>
        <w:ind w:left="520" w:right="158"/>
      </w:pPr>
      <w:r>
        <w:rPr>
          <w:spacing w:val="-11"/>
        </w:rPr>
        <w:t>对不属于保险责任的，我们自作出核定之日起 </w:t>
      </w:r>
      <w:r>
        <w:rPr/>
        <w:t>3</w:t>
      </w:r>
      <w:r>
        <w:rPr>
          <w:spacing w:val="-7"/>
        </w:rPr>
        <w:t> 日内向受益人发出拒绝给付保险金通知书并说明理由。</w:t>
      </w:r>
    </w:p>
    <w:p>
      <w:pPr>
        <w:pStyle w:val="BodyText"/>
        <w:rPr>
          <w:sz w:val="20"/>
        </w:rPr>
      </w:pPr>
    </w:p>
    <w:p>
      <w:pPr>
        <w:pStyle w:val="BodyText"/>
        <w:spacing w:line="357" w:lineRule="auto" w:before="178"/>
        <w:ind w:left="519" w:right="159" w:hanging="420"/>
        <w:jc w:val="both"/>
      </w:pPr>
      <w:r>
        <w:rPr>
          <w:spacing w:val="-4"/>
        </w:rPr>
        <w:t>二、我们在收到保险金给付申请书及有关证明和资料之日起 </w:t>
      </w:r>
      <w:r>
        <w:rPr/>
        <w:t>60</w:t>
      </w:r>
      <w:r>
        <w:rPr>
          <w:spacing w:val="-4"/>
        </w:rPr>
        <w:t> 日内，对给付保险金的数额不能确定</w:t>
      </w:r>
      <w:r>
        <w:rPr>
          <w:spacing w:val="-8"/>
        </w:rPr>
        <w:t>的，根据已有证明和资料可以确定的数额先予支付；我们最终确定给付保险金的数额后，将支付</w:t>
      </w:r>
      <w:r>
        <w:rPr>
          <w:spacing w:val="-2"/>
        </w:rPr>
        <w:t>相应的差额。</w:t>
      </w:r>
    </w:p>
    <w:p>
      <w:pPr>
        <w:spacing w:after="0" w:line="357" w:lineRule="auto"/>
        <w:jc w:val="both"/>
        <w:sectPr>
          <w:pgSz w:w="11910" w:h="16840"/>
          <w:pgMar w:header="0" w:footer="917" w:top="1380" w:bottom="1180" w:left="1340" w:right="1120"/>
        </w:sectPr>
      </w:pPr>
    </w:p>
    <w:p>
      <w:pPr>
        <w:pStyle w:val="BodyText"/>
        <w:spacing w:before="11"/>
        <w:rPr>
          <w:sz w:val="18"/>
        </w:rPr>
      </w:pPr>
    </w:p>
    <w:p>
      <w:pPr>
        <w:pStyle w:val="Heading1"/>
        <w:tabs>
          <w:tab w:pos="4214" w:val="left" w:leader="none"/>
        </w:tabs>
        <w:spacing w:before="14"/>
        <w:ind w:left="2954"/>
        <w:jc w:val="left"/>
      </w:pPr>
      <w:r>
        <w:rPr/>
        <w:t>第四章</w:t>
        <w:tab/>
      </w:r>
      <w:r>
        <w:rPr>
          <w:w w:val="95"/>
        </w:rPr>
        <w:t>保单变更服务条款</w:t>
      </w:r>
    </w:p>
    <w:p>
      <w:pPr>
        <w:pStyle w:val="BodyText"/>
        <w:rPr>
          <w:b/>
          <w:sz w:val="28"/>
        </w:rPr>
      </w:pPr>
    </w:p>
    <w:p>
      <w:pPr>
        <w:pStyle w:val="BodyText"/>
        <w:spacing w:before="8"/>
        <w:rPr>
          <w:b/>
          <w:sz w:val="27"/>
        </w:rPr>
      </w:pPr>
    </w:p>
    <w:p>
      <w:pPr>
        <w:pStyle w:val="Heading2"/>
        <w:tabs>
          <w:tab w:pos="1559" w:val="left" w:leader="none"/>
        </w:tabs>
        <w:spacing w:before="1"/>
      </w:pPr>
      <w:r>
        <w:rPr/>
        <w:t>第十一条</w:t>
        <w:tab/>
      </w:r>
      <w:r>
        <w:rPr>
          <w:w w:val="95"/>
        </w:rPr>
        <w:t>保险责任的变更</w:t>
      </w:r>
    </w:p>
    <w:p>
      <w:pPr>
        <w:pStyle w:val="BodyText"/>
        <w:rPr>
          <w:b/>
          <w:sz w:val="24"/>
        </w:rPr>
      </w:pPr>
    </w:p>
    <w:p>
      <w:pPr>
        <w:pStyle w:val="BodyText"/>
        <w:rPr>
          <w:b/>
          <w:sz w:val="24"/>
        </w:rPr>
      </w:pPr>
    </w:p>
    <w:p>
      <w:pPr>
        <w:pStyle w:val="BodyText"/>
        <w:spacing w:line="355" w:lineRule="auto"/>
        <w:ind w:left="119" w:right="98" w:firstLine="540"/>
        <w:jc w:val="both"/>
      </w:pPr>
      <w:r>
        <w:rPr>
          <w:spacing w:val="-3"/>
        </w:rPr>
        <w:t>在本附加合同有效期内，您可以申请变更本附加合同的保险责任。但必须符合我们的投保和核</w:t>
      </w:r>
      <w:r>
        <w:rPr>
          <w:spacing w:val="-10"/>
        </w:rPr>
        <w:t>保规定。您的变更申请经我们审核同意后，应当由我们在保险合同或者其他保险凭证上批注或者附贴</w:t>
      </w:r>
      <w:r>
        <w:rPr>
          <w:spacing w:val="-5"/>
        </w:rPr>
        <w:t>批单，或者由您和我们订立变更合同内容的书面协议。</w:t>
      </w:r>
    </w:p>
    <w:p>
      <w:pPr>
        <w:pStyle w:val="BodyText"/>
        <w:rPr>
          <w:sz w:val="20"/>
        </w:rPr>
      </w:pPr>
    </w:p>
    <w:p>
      <w:pPr>
        <w:pStyle w:val="BodyText"/>
        <w:spacing w:before="8"/>
        <w:rPr>
          <w:sz w:val="23"/>
        </w:rPr>
      </w:pPr>
    </w:p>
    <w:p>
      <w:pPr>
        <w:pStyle w:val="Heading2"/>
        <w:tabs>
          <w:tab w:pos="1559" w:val="left" w:leader="none"/>
        </w:tabs>
      </w:pPr>
      <w:r>
        <w:rPr/>
        <w:t>第十二条</w:t>
        <w:tab/>
      </w:r>
      <w:r>
        <w:rPr>
          <w:w w:val="95"/>
        </w:rPr>
        <w:t>被保险人人数变更</w:t>
      </w:r>
    </w:p>
    <w:p>
      <w:pPr>
        <w:pStyle w:val="BodyText"/>
        <w:rPr>
          <w:b/>
          <w:sz w:val="24"/>
        </w:rPr>
      </w:pPr>
    </w:p>
    <w:p>
      <w:pPr>
        <w:pStyle w:val="BodyText"/>
        <w:spacing w:before="10"/>
        <w:rPr>
          <w:b/>
          <w:sz w:val="23"/>
        </w:rPr>
      </w:pPr>
    </w:p>
    <w:p>
      <w:pPr>
        <w:pStyle w:val="BodyText"/>
        <w:spacing w:line="355" w:lineRule="auto"/>
        <w:ind w:left="904" w:right="99" w:hanging="425"/>
      </w:pPr>
      <w:r>
        <w:rPr/>
        <w:t>一、您需要增加被保险人的，应书面通知我们，经我们审核同意，除有特别约定的，我们于收到保险费的当日 24 时起开始对增加的被保险人承担保险责任。</w:t>
      </w:r>
    </w:p>
    <w:p>
      <w:pPr>
        <w:pStyle w:val="BodyText"/>
        <w:rPr>
          <w:sz w:val="20"/>
        </w:rPr>
      </w:pPr>
    </w:p>
    <w:p>
      <w:pPr>
        <w:pStyle w:val="BodyText"/>
        <w:spacing w:before="10"/>
        <w:rPr>
          <w:sz w:val="13"/>
        </w:rPr>
      </w:pPr>
    </w:p>
    <w:p>
      <w:pPr>
        <w:pStyle w:val="BodyText"/>
        <w:spacing w:line="355" w:lineRule="auto"/>
        <w:ind w:left="900" w:right="101" w:hanging="363"/>
      </w:pPr>
      <w:r>
        <w:rPr>
          <w:spacing w:val="-9"/>
        </w:rPr>
        <w:t>二、您需要减少被保险人的，应书面通知我们，我们按照本附加合同对该被保险人所承担的保险</w:t>
      </w:r>
      <w:r>
        <w:rPr>
          <w:spacing w:val="-8"/>
        </w:rPr>
        <w:t>责任于我们收到通知之日 </w:t>
      </w:r>
      <w:r>
        <w:rPr>
          <w:rFonts w:ascii="Times New Roman" w:eastAsia="Times New Roman"/>
        </w:rPr>
        <w:t>24 </w:t>
      </w:r>
      <w:r>
        <w:rPr>
          <w:spacing w:val="-3"/>
        </w:rPr>
        <w:t>时终止，并退还该被保险人的未满期保险费。</w:t>
      </w:r>
    </w:p>
    <w:p>
      <w:pPr>
        <w:pStyle w:val="BodyText"/>
        <w:spacing w:before="1"/>
        <w:rPr>
          <w:sz w:val="28"/>
        </w:rPr>
      </w:pPr>
    </w:p>
    <w:p>
      <w:pPr>
        <w:pStyle w:val="BodyText"/>
        <w:spacing w:line="336" w:lineRule="auto"/>
        <w:ind w:left="900" w:right="104" w:hanging="421"/>
      </w:pPr>
      <w:r>
        <w:rPr>
          <w:spacing w:val="-6"/>
        </w:rPr>
        <w:t>三、如本附加合同的被保险人人数少于 </w:t>
      </w:r>
      <w:r>
        <w:rPr>
          <w:rFonts w:ascii="Times New Roman" w:eastAsia="Times New Roman"/>
        </w:rPr>
        <w:t>5 </w:t>
      </w:r>
      <w:r>
        <w:rPr>
          <w:spacing w:val="-6"/>
        </w:rPr>
        <w:t>人，或低于团体中符合参保条件人数的 </w:t>
      </w:r>
      <w:r>
        <w:rPr>
          <w:rFonts w:ascii="Times New Roman" w:eastAsia="Times New Roman"/>
        </w:rPr>
        <w:t>75%</w:t>
      </w:r>
      <w:r>
        <w:rPr>
          <w:spacing w:val="-4"/>
        </w:rPr>
        <w:t>时，我们有</w:t>
      </w:r>
      <w:r>
        <w:rPr>
          <w:spacing w:val="-3"/>
        </w:rPr>
        <w:t>权解除本附加合同，并在扣除</w:t>
      </w:r>
      <w:r>
        <w:rPr>
          <w:b/>
        </w:rPr>
        <w:t>手续费</w:t>
      </w:r>
      <w:r>
        <w:rPr>
          <w:position w:val="11"/>
          <w:sz w:val="11"/>
        </w:rPr>
        <w:t>（16）</w:t>
      </w:r>
      <w:r>
        <w:rPr>
          <w:spacing w:val="-3"/>
        </w:rPr>
        <w:t>后退还未满期保险费。</w:t>
      </w:r>
    </w:p>
    <w:p>
      <w:pPr>
        <w:pStyle w:val="BodyText"/>
        <w:rPr>
          <w:sz w:val="24"/>
        </w:rPr>
      </w:pPr>
    </w:p>
    <w:p>
      <w:pPr>
        <w:pStyle w:val="Heading2"/>
        <w:tabs>
          <w:tab w:pos="1559" w:val="left" w:leader="none"/>
        </w:tabs>
        <w:spacing w:before="187"/>
      </w:pPr>
      <w:r>
        <w:rPr/>
        <w:t>第十三条</w:t>
        <w:tab/>
      </w:r>
      <w:r>
        <w:rPr>
          <w:w w:val="95"/>
        </w:rPr>
        <w:t>受益人的指定和变更</w:t>
      </w:r>
    </w:p>
    <w:p>
      <w:pPr>
        <w:pStyle w:val="BodyText"/>
        <w:rPr>
          <w:b/>
          <w:sz w:val="24"/>
        </w:rPr>
      </w:pPr>
    </w:p>
    <w:p>
      <w:pPr>
        <w:pStyle w:val="BodyText"/>
        <w:spacing w:before="10"/>
        <w:rPr>
          <w:b/>
          <w:sz w:val="23"/>
        </w:rPr>
      </w:pPr>
    </w:p>
    <w:p>
      <w:pPr>
        <w:pStyle w:val="BodyText"/>
        <w:ind w:left="540"/>
      </w:pPr>
      <w:r>
        <w:rPr/>
        <w:t>除有特殊约定，本附加合同保险金的受益人为被保险人本人。</w:t>
      </w:r>
    </w:p>
    <w:p>
      <w:pPr>
        <w:pStyle w:val="BodyText"/>
        <w:rPr>
          <w:sz w:val="20"/>
        </w:rPr>
      </w:pPr>
    </w:p>
    <w:p>
      <w:pPr>
        <w:pStyle w:val="BodyText"/>
        <w:spacing w:before="5"/>
        <w:rPr>
          <w:sz w:val="25"/>
        </w:rPr>
      </w:pPr>
    </w:p>
    <w:p>
      <w:pPr>
        <w:pStyle w:val="Heading2"/>
        <w:tabs>
          <w:tab w:pos="1559" w:val="left" w:leader="none"/>
        </w:tabs>
      </w:pPr>
      <w:r>
        <w:rPr/>
        <w:t>第十四条</w:t>
        <w:tab/>
      </w:r>
      <w:r>
        <w:rPr>
          <w:w w:val="95"/>
        </w:rPr>
        <w:t>地址的变更</w:t>
      </w:r>
    </w:p>
    <w:p>
      <w:pPr>
        <w:pStyle w:val="BodyText"/>
        <w:rPr>
          <w:b/>
          <w:sz w:val="24"/>
        </w:rPr>
      </w:pPr>
    </w:p>
    <w:p>
      <w:pPr>
        <w:pStyle w:val="BodyText"/>
        <w:spacing w:before="10"/>
        <w:rPr>
          <w:b/>
          <w:sz w:val="23"/>
        </w:rPr>
      </w:pPr>
    </w:p>
    <w:p>
      <w:pPr>
        <w:pStyle w:val="BodyText"/>
        <w:spacing w:line="355" w:lineRule="auto"/>
        <w:ind w:left="119" w:right="102" w:firstLine="420"/>
      </w:pPr>
      <w:r>
        <w:rPr>
          <w:spacing w:val="-7"/>
        </w:rPr>
        <w:t>您的通讯地址变更时，应及时以书面形式通知我们；您未以书面形式通知的，我们按本附加合同</w:t>
      </w:r>
      <w:r>
        <w:rPr>
          <w:spacing w:val="-3"/>
        </w:rPr>
        <w:t>所载最后通讯地址发送的有关通知，均视为已送达。</w:t>
      </w:r>
    </w:p>
    <w:p>
      <w:pPr>
        <w:pStyle w:val="BodyText"/>
        <w:rPr>
          <w:sz w:val="20"/>
        </w:rPr>
      </w:pPr>
    </w:p>
    <w:p>
      <w:pPr>
        <w:pStyle w:val="BodyText"/>
        <w:spacing w:before="9"/>
        <w:rPr>
          <w:sz w:val="17"/>
        </w:rPr>
      </w:pPr>
    </w:p>
    <w:p>
      <w:pPr>
        <w:pStyle w:val="Heading2"/>
        <w:tabs>
          <w:tab w:pos="1559" w:val="left" w:leader="none"/>
        </w:tabs>
      </w:pPr>
      <w:r>
        <w:rPr/>
        <w:t>第十五条</w:t>
        <w:tab/>
      </w:r>
      <w:r>
        <w:rPr>
          <w:w w:val="95"/>
        </w:rPr>
        <w:t>年龄及性别的确定与错误处理</w:t>
      </w:r>
    </w:p>
    <w:p>
      <w:pPr>
        <w:spacing w:after="0"/>
        <w:sectPr>
          <w:pgSz w:w="11910" w:h="16840"/>
          <w:pgMar w:header="0" w:footer="990" w:top="1580" w:bottom="1180" w:left="1320" w:right="1180"/>
        </w:sectPr>
      </w:pPr>
    </w:p>
    <w:p>
      <w:pPr>
        <w:pStyle w:val="BodyText"/>
        <w:spacing w:before="7"/>
        <w:ind w:left="540"/>
      </w:pPr>
      <w:r>
        <w:rPr/>
        <w:t>被保险人的年龄以周岁计算。</w:t>
      </w:r>
    </w:p>
    <w:p>
      <w:pPr>
        <w:pStyle w:val="BodyText"/>
        <w:rPr>
          <w:sz w:val="20"/>
        </w:rPr>
      </w:pPr>
    </w:p>
    <w:p>
      <w:pPr>
        <w:pStyle w:val="BodyText"/>
        <w:spacing w:before="4"/>
      </w:pPr>
    </w:p>
    <w:p>
      <w:pPr>
        <w:pStyle w:val="BodyText"/>
        <w:spacing w:line="357" w:lineRule="auto"/>
        <w:ind w:left="119" w:right="99" w:firstLine="420"/>
      </w:pPr>
      <w:r>
        <w:rPr>
          <w:spacing w:val="-8"/>
        </w:rPr>
        <w:t>您在申请投保时，应将与有效身份证件相符的被保险人的年龄及性别在投保单上写明。如果发生</w:t>
      </w:r>
      <w:r>
        <w:rPr>
          <w:spacing w:val="-5"/>
        </w:rPr>
        <w:t>错误则根据下列规定办理：</w:t>
      </w:r>
    </w:p>
    <w:p>
      <w:pPr>
        <w:pStyle w:val="BodyText"/>
        <w:rPr>
          <w:sz w:val="20"/>
        </w:rPr>
      </w:pPr>
    </w:p>
    <w:p>
      <w:pPr>
        <w:pStyle w:val="Heading3"/>
        <w:spacing w:line="355" w:lineRule="auto" w:before="176"/>
        <w:ind w:left="931" w:right="104" w:hanging="392"/>
        <w:jc w:val="both"/>
      </w:pPr>
      <w:r>
        <w:rPr>
          <w:spacing w:val="-9"/>
        </w:rPr>
        <w:t>一、如果被保险人的真实年龄不符合投保当时我们投保规则中的年龄限制，我们不承担对该被保险人的保险责任，并退还该被保险人的未满期保险费。</w:t>
      </w:r>
    </w:p>
    <w:p>
      <w:pPr>
        <w:pStyle w:val="BodyText"/>
        <w:rPr>
          <w:rFonts w:ascii="黑体"/>
          <w:b/>
          <w:sz w:val="20"/>
        </w:rPr>
      </w:pPr>
    </w:p>
    <w:p>
      <w:pPr>
        <w:pStyle w:val="BodyText"/>
        <w:spacing w:before="10"/>
        <w:rPr>
          <w:rFonts w:ascii="黑体"/>
          <w:b/>
          <w:sz w:val="13"/>
        </w:rPr>
      </w:pPr>
    </w:p>
    <w:p>
      <w:pPr>
        <w:spacing w:line="355" w:lineRule="auto" w:before="0"/>
        <w:ind w:left="931" w:right="101" w:hanging="392"/>
        <w:jc w:val="both"/>
        <w:rPr>
          <w:rFonts w:ascii="黑体" w:eastAsia="黑体" w:hint="eastAsia"/>
          <w:b/>
          <w:sz w:val="21"/>
        </w:rPr>
      </w:pPr>
      <w:r>
        <w:rPr>
          <w:rFonts w:ascii="黑体" w:eastAsia="黑体" w:hint="eastAsia"/>
          <w:b/>
          <w:spacing w:val="-9"/>
          <w:sz w:val="21"/>
        </w:rPr>
        <w:t>二、如果按被保险人的真实年龄或性别所需收取的保险费多于已交保险费的，我们有权更正并要</w:t>
      </w:r>
      <w:r>
        <w:rPr>
          <w:rFonts w:ascii="黑体" w:eastAsia="黑体" w:hint="eastAsia"/>
          <w:b/>
          <w:spacing w:val="-11"/>
          <w:sz w:val="21"/>
        </w:rPr>
        <w:t>求您补交保险费。若已发</w:t>
      </w:r>
      <w:r>
        <w:rPr>
          <w:rFonts w:ascii="黑体" w:eastAsia="黑体" w:hint="eastAsia"/>
          <w:b/>
          <w:sz w:val="21"/>
        </w:rPr>
        <w:t>Th</w:t>
      </w:r>
      <w:r>
        <w:rPr>
          <w:rFonts w:ascii="黑体" w:eastAsia="黑体" w:hint="eastAsia"/>
          <w:b/>
          <w:spacing w:val="-6"/>
          <w:sz w:val="21"/>
        </w:rPr>
        <w:t>保险事故，我们有权在给付保险金时按已交保险费和应交保险费的比例给付。</w:t>
      </w:r>
    </w:p>
    <w:p>
      <w:pPr>
        <w:pStyle w:val="BodyText"/>
        <w:rPr>
          <w:rFonts w:ascii="黑体"/>
          <w:b/>
          <w:sz w:val="20"/>
        </w:rPr>
      </w:pPr>
    </w:p>
    <w:p>
      <w:pPr>
        <w:pStyle w:val="BodyText"/>
        <w:spacing w:before="10"/>
        <w:rPr>
          <w:rFonts w:ascii="黑体"/>
          <w:b/>
          <w:sz w:val="13"/>
        </w:rPr>
      </w:pPr>
    </w:p>
    <w:p>
      <w:pPr>
        <w:spacing w:line="355" w:lineRule="auto" w:before="0"/>
        <w:ind w:left="931" w:right="104" w:hanging="392"/>
        <w:jc w:val="both"/>
        <w:rPr>
          <w:rFonts w:ascii="黑体" w:eastAsia="黑体" w:hint="eastAsia"/>
          <w:b/>
          <w:sz w:val="21"/>
        </w:rPr>
      </w:pPr>
      <w:r>
        <w:rPr>
          <w:rFonts w:ascii="黑体" w:eastAsia="黑体" w:hint="eastAsia"/>
          <w:b/>
          <w:spacing w:val="-9"/>
          <w:sz w:val="21"/>
        </w:rPr>
        <w:t>三、如果按被保险人的真实年龄或性别所需收取的保险费少于已交保险费的，我们将多收的保险费无息退还您。</w:t>
      </w:r>
    </w:p>
    <w:p>
      <w:pPr>
        <w:spacing w:after="0" w:line="355" w:lineRule="auto"/>
        <w:jc w:val="both"/>
        <w:rPr>
          <w:rFonts w:ascii="黑体" w:eastAsia="黑体" w:hint="eastAsia"/>
          <w:sz w:val="21"/>
        </w:rPr>
        <w:sectPr>
          <w:pgSz w:w="11910" w:h="16840"/>
          <w:pgMar w:header="0" w:footer="917" w:top="1380" w:bottom="1180" w:left="1320" w:right="1180"/>
        </w:sectPr>
      </w:pPr>
    </w:p>
    <w:p>
      <w:pPr>
        <w:pStyle w:val="BodyText"/>
        <w:spacing w:before="2"/>
        <w:rPr>
          <w:rFonts w:ascii="黑体"/>
          <w:b/>
          <w:sz w:val="17"/>
        </w:rPr>
      </w:pPr>
    </w:p>
    <w:p>
      <w:pPr>
        <w:tabs>
          <w:tab w:pos="1271" w:val="left" w:leader="none"/>
        </w:tabs>
        <w:spacing w:before="15"/>
        <w:ind w:left="11" w:right="0" w:firstLine="0"/>
        <w:jc w:val="center"/>
        <w:rPr>
          <w:b/>
          <w:sz w:val="28"/>
        </w:rPr>
      </w:pPr>
      <w:r>
        <w:rPr>
          <w:b/>
          <w:sz w:val="28"/>
        </w:rPr>
        <w:t>第五章</w:t>
        <w:tab/>
        <w:t>一般条款</w:t>
      </w:r>
    </w:p>
    <w:p>
      <w:pPr>
        <w:pStyle w:val="BodyText"/>
        <w:rPr>
          <w:b/>
          <w:sz w:val="20"/>
        </w:rPr>
      </w:pPr>
    </w:p>
    <w:p>
      <w:pPr>
        <w:tabs>
          <w:tab w:pos="1559" w:val="left" w:leader="none"/>
        </w:tabs>
        <w:spacing w:before="182"/>
        <w:ind w:left="120" w:right="0" w:firstLine="0"/>
        <w:jc w:val="left"/>
        <w:rPr>
          <w:rFonts w:ascii="黑体" w:eastAsia="黑体" w:hint="eastAsia"/>
          <w:b/>
          <w:sz w:val="24"/>
        </w:rPr>
      </w:pPr>
      <w:r>
        <w:rPr>
          <w:rFonts w:ascii="黑体" w:eastAsia="黑体" w:hint="eastAsia"/>
          <w:b/>
          <w:sz w:val="24"/>
        </w:rPr>
        <w:t>第十六条</w:t>
        <w:tab/>
        <w:t>如实告知</w:t>
      </w:r>
    </w:p>
    <w:p>
      <w:pPr>
        <w:pStyle w:val="BodyText"/>
        <w:rPr>
          <w:rFonts w:ascii="黑体"/>
          <w:b/>
          <w:sz w:val="24"/>
        </w:rPr>
      </w:pPr>
    </w:p>
    <w:p>
      <w:pPr>
        <w:pStyle w:val="BodyText"/>
        <w:spacing w:before="4"/>
        <w:rPr>
          <w:rFonts w:ascii="黑体"/>
          <w:b/>
          <w:sz w:val="29"/>
        </w:rPr>
      </w:pPr>
    </w:p>
    <w:p>
      <w:pPr>
        <w:spacing w:before="0"/>
        <w:ind w:left="542" w:right="0" w:firstLine="0"/>
        <w:jc w:val="left"/>
        <w:rPr>
          <w:rFonts w:ascii="黑体" w:eastAsia="黑体" w:hint="eastAsia"/>
          <w:b/>
          <w:sz w:val="21"/>
        </w:rPr>
      </w:pPr>
      <w:r>
        <w:rPr>
          <w:rFonts w:ascii="黑体" w:eastAsia="黑体" w:hint="eastAsia"/>
          <w:b/>
          <w:sz w:val="21"/>
        </w:rPr>
        <w:t>订立本附加合同时，我们应向您说明本附加合同的内容。</w:t>
      </w:r>
    </w:p>
    <w:p>
      <w:pPr>
        <w:pStyle w:val="BodyText"/>
        <w:rPr>
          <w:rFonts w:ascii="黑体"/>
          <w:b/>
          <w:sz w:val="20"/>
        </w:rPr>
      </w:pPr>
    </w:p>
    <w:p>
      <w:pPr>
        <w:pStyle w:val="BodyText"/>
        <w:spacing w:before="5"/>
        <w:rPr>
          <w:rFonts w:ascii="黑体"/>
          <w:b/>
          <w:sz w:val="22"/>
        </w:rPr>
      </w:pPr>
    </w:p>
    <w:p>
      <w:pPr>
        <w:spacing w:line="362" w:lineRule="auto" w:before="0"/>
        <w:ind w:left="120" w:right="104" w:firstLine="422"/>
        <w:jc w:val="both"/>
        <w:rPr>
          <w:rFonts w:ascii="黑体" w:eastAsia="黑体" w:hint="eastAsia"/>
          <w:b/>
          <w:sz w:val="21"/>
        </w:rPr>
      </w:pPr>
      <w:r>
        <w:rPr>
          <w:rFonts w:ascii="黑体" w:eastAsia="黑体" w:hint="eastAsia"/>
          <w:b/>
          <w:spacing w:val="-7"/>
          <w:sz w:val="21"/>
        </w:rPr>
        <w:t>对保险条款中免除我们责任的条款，我们在订立本附加合同时应当在投保单、保险单或者其他保</w:t>
      </w:r>
      <w:r>
        <w:rPr>
          <w:rFonts w:ascii="黑体" w:eastAsia="黑体" w:hint="eastAsia"/>
          <w:b/>
          <w:spacing w:val="-11"/>
          <w:sz w:val="21"/>
        </w:rPr>
        <w:t>险凭证上作出足以引起您注意的提示，并对该条款的内容以书面或者口头形式向您作出明确说明，未</w:t>
      </w:r>
      <w:r>
        <w:rPr>
          <w:rFonts w:ascii="黑体" w:eastAsia="黑体" w:hint="eastAsia"/>
          <w:b/>
          <w:spacing w:val="-3"/>
          <w:sz w:val="21"/>
        </w:rPr>
        <w:t>作提示或者明确说明的，该条款不产</w:t>
      </w:r>
      <w:r>
        <w:rPr>
          <w:rFonts w:ascii="黑体" w:eastAsia="黑体" w:hint="eastAsia"/>
          <w:b/>
          <w:sz w:val="21"/>
        </w:rPr>
        <w:t>Th效力。</w:t>
      </w:r>
    </w:p>
    <w:p>
      <w:pPr>
        <w:pStyle w:val="BodyText"/>
        <w:rPr>
          <w:rFonts w:ascii="黑体"/>
          <w:b/>
          <w:sz w:val="20"/>
        </w:rPr>
      </w:pPr>
    </w:p>
    <w:p>
      <w:pPr>
        <w:pStyle w:val="BodyText"/>
        <w:spacing w:before="2"/>
        <w:rPr>
          <w:rFonts w:ascii="黑体"/>
          <w:b/>
          <w:sz w:val="14"/>
        </w:rPr>
      </w:pPr>
    </w:p>
    <w:p>
      <w:pPr>
        <w:spacing w:before="1"/>
        <w:ind w:left="542" w:right="0" w:firstLine="0"/>
        <w:jc w:val="left"/>
        <w:rPr>
          <w:rFonts w:ascii="黑体" w:eastAsia="黑体" w:hint="eastAsia"/>
          <w:b/>
          <w:sz w:val="21"/>
        </w:rPr>
      </w:pPr>
      <w:r>
        <w:rPr>
          <w:rFonts w:ascii="黑体" w:eastAsia="黑体" w:hint="eastAsia"/>
          <w:b/>
          <w:sz w:val="21"/>
        </w:rPr>
        <w:t>我们就您和被保险人的有关情况提出询问，您应当如实告知。</w:t>
      </w:r>
    </w:p>
    <w:p>
      <w:pPr>
        <w:pStyle w:val="BodyText"/>
        <w:rPr>
          <w:rFonts w:ascii="黑体"/>
          <w:b/>
          <w:sz w:val="20"/>
        </w:rPr>
      </w:pPr>
    </w:p>
    <w:p>
      <w:pPr>
        <w:pStyle w:val="BodyText"/>
        <w:spacing w:before="3"/>
        <w:rPr>
          <w:rFonts w:ascii="黑体"/>
          <w:b/>
          <w:sz w:val="22"/>
        </w:rPr>
      </w:pPr>
    </w:p>
    <w:p>
      <w:pPr>
        <w:spacing w:line="362" w:lineRule="auto" w:before="0"/>
        <w:ind w:left="120" w:right="102" w:firstLine="422"/>
        <w:jc w:val="left"/>
        <w:rPr>
          <w:rFonts w:ascii="黑体" w:eastAsia="黑体" w:hint="eastAsia"/>
          <w:b/>
          <w:sz w:val="21"/>
        </w:rPr>
      </w:pPr>
      <w:r>
        <w:rPr>
          <w:rFonts w:ascii="黑体" w:eastAsia="黑体" w:hint="eastAsia"/>
          <w:b/>
          <w:spacing w:val="-7"/>
          <w:sz w:val="21"/>
        </w:rPr>
        <w:t>如果您故意或者因重大过失未履行前款规定的如实告知义务，足以影响我们决定是否同意承保或者提高保险费率的，我们有权解除本附加合同。</w:t>
      </w:r>
    </w:p>
    <w:p>
      <w:pPr>
        <w:pStyle w:val="BodyText"/>
        <w:rPr>
          <w:rFonts w:ascii="黑体"/>
          <w:b/>
          <w:sz w:val="20"/>
        </w:rPr>
      </w:pPr>
    </w:p>
    <w:p>
      <w:pPr>
        <w:pStyle w:val="BodyText"/>
        <w:spacing w:before="2"/>
        <w:rPr>
          <w:rFonts w:ascii="黑体"/>
          <w:b/>
          <w:sz w:val="14"/>
        </w:rPr>
      </w:pPr>
    </w:p>
    <w:p>
      <w:pPr>
        <w:spacing w:line="362" w:lineRule="auto" w:before="1"/>
        <w:ind w:left="120" w:right="101" w:firstLine="422"/>
        <w:jc w:val="left"/>
        <w:rPr>
          <w:rFonts w:ascii="黑体" w:eastAsia="黑体" w:hint="eastAsia"/>
          <w:b/>
          <w:sz w:val="21"/>
        </w:rPr>
      </w:pPr>
      <w:r>
        <w:rPr>
          <w:rFonts w:ascii="黑体" w:eastAsia="黑体" w:hint="eastAsia"/>
          <w:b/>
          <w:spacing w:val="-6"/>
          <w:sz w:val="21"/>
        </w:rPr>
        <w:t>如果您故意不履行如实告知义务，对于本附加合同解除前发</w:t>
      </w:r>
      <w:r>
        <w:rPr>
          <w:rFonts w:ascii="黑体" w:eastAsia="黑体" w:hint="eastAsia"/>
          <w:b/>
          <w:sz w:val="21"/>
        </w:rPr>
        <w:t>Th</w:t>
      </w:r>
      <w:r>
        <w:rPr>
          <w:rFonts w:ascii="黑体" w:eastAsia="黑体" w:hint="eastAsia"/>
          <w:b/>
          <w:spacing w:val="-8"/>
          <w:sz w:val="21"/>
        </w:rPr>
        <w:t>的保险事故，我们不承担给付保险金的责任，并不退还保险费。</w:t>
      </w:r>
    </w:p>
    <w:p>
      <w:pPr>
        <w:pStyle w:val="BodyText"/>
        <w:rPr>
          <w:rFonts w:ascii="黑体"/>
          <w:b/>
          <w:sz w:val="20"/>
        </w:rPr>
      </w:pPr>
    </w:p>
    <w:p>
      <w:pPr>
        <w:pStyle w:val="BodyText"/>
        <w:spacing w:before="1"/>
        <w:rPr>
          <w:rFonts w:ascii="黑体"/>
          <w:b/>
          <w:sz w:val="14"/>
        </w:rPr>
      </w:pPr>
    </w:p>
    <w:p>
      <w:pPr>
        <w:spacing w:line="362" w:lineRule="auto" w:before="0"/>
        <w:ind w:left="120" w:right="101" w:firstLine="422"/>
        <w:jc w:val="left"/>
        <w:rPr>
          <w:rFonts w:ascii="黑体" w:eastAsia="黑体" w:hint="eastAsia"/>
          <w:b/>
          <w:sz w:val="21"/>
        </w:rPr>
      </w:pPr>
      <w:r>
        <w:rPr>
          <w:rFonts w:ascii="黑体" w:eastAsia="黑体" w:hint="eastAsia"/>
          <w:b/>
          <w:spacing w:val="-5"/>
          <w:sz w:val="21"/>
        </w:rPr>
        <w:t>如果您因重大过失未履行如实告知义务，对保险事故的发</w:t>
      </w:r>
      <w:r>
        <w:rPr>
          <w:rFonts w:ascii="黑体" w:eastAsia="黑体" w:hint="eastAsia"/>
          <w:b/>
          <w:sz w:val="21"/>
        </w:rPr>
        <w:t>Th</w:t>
      </w:r>
      <w:r>
        <w:rPr>
          <w:rFonts w:ascii="黑体" w:eastAsia="黑体" w:hint="eastAsia"/>
          <w:b/>
          <w:spacing w:val="-8"/>
          <w:sz w:val="21"/>
        </w:rPr>
        <w:t>有严重影响的，对于本附加合同解除前发Th</w:t>
      </w:r>
      <w:r>
        <w:rPr>
          <w:rFonts w:ascii="黑体" w:eastAsia="黑体" w:hint="eastAsia"/>
          <w:b/>
          <w:spacing w:val="-7"/>
          <w:sz w:val="21"/>
        </w:rPr>
        <w:t>的保险事故，我们不承担给付保险金的责任，但应当退还未满期保险费。</w:t>
      </w:r>
    </w:p>
    <w:p>
      <w:pPr>
        <w:pStyle w:val="BodyText"/>
        <w:spacing w:before="7"/>
        <w:rPr>
          <w:rFonts w:ascii="黑体"/>
          <w:b/>
          <w:sz w:val="28"/>
        </w:rPr>
      </w:pPr>
    </w:p>
    <w:p>
      <w:pPr>
        <w:spacing w:line="357" w:lineRule="auto" w:before="0"/>
        <w:ind w:left="120" w:right="103" w:firstLine="422"/>
        <w:jc w:val="left"/>
        <w:rPr>
          <w:rFonts w:ascii="黑体" w:eastAsia="黑体" w:hint="eastAsia"/>
          <w:b/>
          <w:sz w:val="21"/>
        </w:rPr>
      </w:pPr>
      <w:r>
        <w:rPr>
          <w:rFonts w:ascii="黑体" w:eastAsia="黑体" w:hint="eastAsia"/>
          <w:b/>
          <w:spacing w:val="-7"/>
          <w:sz w:val="21"/>
        </w:rPr>
        <w:t>我们在本附加合同订立时已经知道您未如实告知的情况的，我们不得解除本附加合同；发</w:t>
      </w:r>
      <w:r>
        <w:rPr>
          <w:rFonts w:ascii="黑体" w:eastAsia="黑体" w:hint="eastAsia"/>
          <w:b/>
          <w:sz w:val="21"/>
        </w:rPr>
        <w:t>Th保险</w:t>
      </w:r>
      <w:r>
        <w:rPr>
          <w:rFonts w:ascii="黑体" w:eastAsia="黑体" w:hint="eastAsia"/>
          <w:b/>
          <w:spacing w:val="-2"/>
          <w:sz w:val="21"/>
        </w:rPr>
        <w:t>事故的，我们承担给付保险金的责任。</w:t>
      </w:r>
    </w:p>
    <w:p>
      <w:pPr>
        <w:pStyle w:val="BodyText"/>
        <w:rPr>
          <w:rFonts w:ascii="黑体"/>
          <w:b/>
          <w:sz w:val="20"/>
        </w:rPr>
      </w:pPr>
    </w:p>
    <w:p>
      <w:pPr>
        <w:tabs>
          <w:tab w:pos="1559" w:val="left" w:leader="none"/>
        </w:tabs>
        <w:spacing w:before="170"/>
        <w:ind w:left="120" w:right="0" w:firstLine="0"/>
        <w:jc w:val="left"/>
        <w:rPr>
          <w:b/>
          <w:sz w:val="24"/>
        </w:rPr>
      </w:pPr>
      <w:r>
        <w:rPr>
          <w:b/>
          <w:sz w:val="24"/>
        </w:rPr>
        <w:t>第十七条</w:t>
        <w:tab/>
      </w:r>
      <w:r>
        <w:rPr>
          <w:b/>
          <w:w w:val="95"/>
          <w:sz w:val="24"/>
        </w:rPr>
        <w:t>合同解除权的限制</w:t>
      </w:r>
    </w:p>
    <w:p>
      <w:pPr>
        <w:pStyle w:val="BodyText"/>
        <w:rPr>
          <w:b/>
          <w:sz w:val="24"/>
        </w:rPr>
      </w:pPr>
    </w:p>
    <w:p>
      <w:pPr>
        <w:pStyle w:val="BodyText"/>
        <w:spacing w:before="10"/>
        <w:rPr>
          <w:b/>
          <w:sz w:val="23"/>
        </w:rPr>
      </w:pPr>
    </w:p>
    <w:p>
      <w:pPr>
        <w:pStyle w:val="BodyText"/>
        <w:spacing w:before="1"/>
        <w:ind w:left="540"/>
      </w:pPr>
      <w:r>
        <w:rPr/>
        <w:t>前条规定的合同解除权，自我们知道有解除事由之日起，超过 30 日不行使而消灭。</w:t>
      </w:r>
    </w:p>
    <w:p>
      <w:pPr>
        <w:pStyle w:val="BodyText"/>
        <w:rPr>
          <w:sz w:val="20"/>
        </w:rPr>
      </w:pPr>
    </w:p>
    <w:p>
      <w:pPr>
        <w:pStyle w:val="BodyText"/>
        <w:spacing w:before="6"/>
        <w:rPr>
          <w:sz w:val="16"/>
        </w:rPr>
      </w:pPr>
    </w:p>
    <w:p>
      <w:pPr>
        <w:pStyle w:val="Heading2"/>
        <w:tabs>
          <w:tab w:pos="1559" w:val="left" w:leader="none"/>
        </w:tabs>
      </w:pPr>
      <w:r>
        <w:rPr/>
        <w:t>第十八条</w:t>
        <w:tab/>
        <w:t>资料提供</w:t>
      </w:r>
    </w:p>
    <w:p>
      <w:pPr>
        <w:pStyle w:val="BodyText"/>
        <w:rPr>
          <w:b/>
          <w:sz w:val="24"/>
        </w:rPr>
      </w:pPr>
    </w:p>
    <w:p>
      <w:pPr>
        <w:pStyle w:val="BodyText"/>
        <w:spacing w:before="10"/>
        <w:rPr>
          <w:b/>
          <w:sz w:val="23"/>
        </w:rPr>
      </w:pPr>
    </w:p>
    <w:p>
      <w:pPr>
        <w:pStyle w:val="BodyText"/>
        <w:spacing w:line="357" w:lineRule="auto"/>
        <w:ind w:left="119" w:right="105" w:firstLine="492"/>
      </w:pPr>
      <w:r>
        <w:rPr/>
        <w:t>您应向我们提供每一个被保险人的姓名、性别、年龄、出生日期、交费金额以及其他与本附加合同有关的一切资料，并建议您详细记录并保存以上资料。</w:t>
      </w:r>
    </w:p>
    <w:p>
      <w:pPr>
        <w:spacing w:after="0" w:line="357" w:lineRule="auto"/>
        <w:sectPr>
          <w:pgSz w:w="11910" w:h="16840"/>
          <w:pgMar w:header="0" w:footer="990" w:top="1580" w:bottom="1180" w:left="1320" w:right="1180"/>
        </w:sectPr>
      </w:pPr>
    </w:p>
    <w:p>
      <w:pPr>
        <w:pStyle w:val="Heading2"/>
        <w:tabs>
          <w:tab w:pos="1559" w:val="left" w:leader="none"/>
        </w:tabs>
        <w:spacing w:before="113"/>
      </w:pPr>
      <w:r>
        <w:rPr/>
        <w:t>第十九条</w:t>
        <w:tab/>
        <w:t>特别约定</w:t>
      </w:r>
    </w:p>
    <w:p>
      <w:pPr>
        <w:pStyle w:val="BodyText"/>
        <w:rPr>
          <w:b/>
          <w:sz w:val="24"/>
        </w:rPr>
      </w:pPr>
    </w:p>
    <w:p>
      <w:pPr>
        <w:pStyle w:val="BodyText"/>
        <w:spacing w:before="10"/>
        <w:rPr>
          <w:b/>
          <w:sz w:val="23"/>
        </w:rPr>
      </w:pPr>
    </w:p>
    <w:p>
      <w:pPr>
        <w:pStyle w:val="BodyText"/>
        <w:spacing w:line="355" w:lineRule="auto"/>
        <w:ind w:left="119" w:right="105" w:firstLine="492"/>
        <w:jc w:val="both"/>
      </w:pPr>
      <w:r>
        <w:rPr/>
        <w:t>如我们以特别约定或附加条件承保本附加合同，我们将在保单利益表或批注上载明特别约定。如该特别约定与本附加合同有不一致的，以该特别约定为准。</w:t>
      </w:r>
    </w:p>
    <w:p>
      <w:pPr>
        <w:pStyle w:val="BodyText"/>
        <w:spacing w:before="10"/>
        <w:rPr>
          <w:sz w:val="25"/>
        </w:rPr>
      </w:pPr>
    </w:p>
    <w:p>
      <w:pPr>
        <w:pStyle w:val="Heading2"/>
        <w:tabs>
          <w:tab w:pos="1559" w:val="left" w:leader="none"/>
        </w:tabs>
      </w:pPr>
      <w:r>
        <w:rPr/>
        <w:t>第二十条</w:t>
        <w:tab/>
      </w:r>
      <w:r>
        <w:rPr>
          <w:w w:val="95"/>
        </w:rPr>
        <w:t>合同的解除</w:t>
      </w:r>
    </w:p>
    <w:p>
      <w:pPr>
        <w:pStyle w:val="BodyText"/>
        <w:rPr>
          <w:b/>
          <w:sz w:val="24"/>
        </w:rPr>
      </w:pPr>
    </w:p>
    <w:p>
      <w:pPr>
        <w:pStyle w:val="BodyText"/>
        <w:spacing w:before="12"/>
        <w:rPr>
          <w:b/>
          <w:sz w:val="23"/>
        </w:rPr>
      </w:pPr>
    </w:p>
    <w:p>
      <w:pPr>
        <w:pStyle w:val="BodyText"/>
        <w:spacing w:line="355" w:lineRule="auto"/>
        <w:ind w:left="119" w:right="98" w:firstLine="420"/>
        <w:jc w:val="both"/>
      </w:pPr>
      <w:r>
        <w:rPr>
          <w:spacing w:val="-8"/>
        </w:rPr>
        <w:t>本附加合同有效期内，您可向我们提出解除合同的书面申请，并将本附加合同及其他保险凭证退</w:t>
      </w:r>
      <w:r>
        <w:rPr>
          <w:spacing w:val="-10"/>
        </w:rPr>
        <w:t>还我们。本附加合同自我们收到书面申请之日起，保险责任终止。我们于收到您的书面申请、本附加</w:t>
      </w:r>
      <w:r>
        <w:rPr>
          <w:spacing w:val="-6"/>
        </w:rPr>
        <w:t>合同及其他保险凭证之日起 </w:t>
      </w:r>
      <w:r>
        <w:rPr/>
        <w:t>30</w:t>
      </w:r>
      <w:r>
        <w:rPr>
          <w:spacing w:val="-7"/>
        </w:rPr>
        <w:t> 日内在扣除手续费后退还您的未满期保险费。</w:t>
      </w:r>
    </w:p>
    <w:p>
      <w:pPr>
        <w:pStyle w:val="BodyText"/>
        <w:spacing w:before="10"/>
        <w:rPr>
          <w:sz w:val="25"/>
        </w:rPr>
      </w:pPr>
    </w:p>
    <w:p>
      <w:pPr>
        <w:pStyle w:val="Heading2"/>
        <w:tabs>
          <w:tab w:pos="1559" w:val="left" w:leader="none"/>
        </w:tabs>
      </w:pPr>
      <w:r>
        <w:rPr/>
        <w:t>第二十一条</w:t>
        <w:tab/>
        <w:t>争议处理</w:t>
      </w:r>
    </w:p>
    <w:p>
      <w:pPr>
        <w:pStyle w:val="BodyText"/>
        <w:rPr>
          <w:b/>
          <w:sz w:val="24"/>
        </w:rPr>
      </w:pPr>
    </w:p>
    <w:p>
      <w:pPr>
        <w:pStyle w:val="BodyText"/>
        <w:spacing w:before="10"/>
        <w:rPr>
          <w:b/>
          <w:sz w:val="23"/>
        </w:rPr>
      </w:pPr>
    </w:p>
    <w:p>
      <w:pPr>
        <w:pStyle w:val="BodyText"/>
        <w:spacing w:line="355" w:lineRule="auto"/>
        <w:ind w:left="119" w:right="98" w:firstLine="420"/>
        <w:jc w:val="both"/>
      </w:pPr>
      <w:r>
        <w:rPr>
          <w:spacing w:val="-7"/>
        </w:rPr>
        <w:t>本附加合同履行过程中发生任何争议，解决方式由当事人根据合同约定从下列两种方式中选择一种：</w:t>
      </w:r>
    </w:p>
    <w:p>
      <w:pPr>
        <w:pStyle w:val="BodyText"/>
        <w:rPr>
          <w:sz w:val="20"/>
        </w:rPr>
      </w:pPr>
    </w:p>
    <w:p>
      <w:pPr>
        <w:pStyle w:val="BodyText"/>
        <w:spacing w:before="10"/>
        <w:rPr>
          <w:sz w:val="13"/>
        </w:rPr>
      </w:pPr>
    </w:p>
    <w:p>
      <w:pPr>
        <w:pStyle w:val="BodyText"/>
        <w:spacing w:line="336" w:lineRule="auto"/>
        <w:ind w:left="943" w:right="36" w:hanging="284"/>
      </w:pPr>
      <w:r>
        <w:rPr/>
        <w:t>一、因履行本附加合同发生的争议，由当事人协商解决，协商不成的，提交 </w:t>
      </w:r>
      <w:r>
        <w:rPr>
          <w:rFonts w:ascii="Times New Roman" w:eastAsia="Times New Roman"/>
          <w:u w:val="single"/>
        </w:rPr>
        <w:t>X X </w:t>
      </w:r>
      <w:r>
        <w:rPr/>
        <w:t>仲裁委员会仲裁；</w:t>
      </w:r>
    </w:p>
    <w:p>
      <w:pPr>
        <w:pStyle w:val="BodyText"/>
        <w:rPr>
          <w:sz w:val="20"/>
        </w:rPr>
      </w:pPr>
    </w:p>
    <w:p>
      <w:pPr>
        <w:pStyle w:val="BodyText"/>
        <w:spacing w:before="1"/>
        <w:rPr>
          <w:sz w:val="15"/>
        </w:rPr>
      </w:pPr>
    </w:p>
    <w:p>
      <w:pPr>
        <w:pStyle w:val="BodyText"/>
        <w:spacing w:line="355" w:lineRule="auto"/>
        <w:ind w:left="1017" w:right="100" w:hanging="406"/>
      </w:pPr>
      <w:r>
        <w:rPr/>
        <w:t>二、因履行本附加合同发生的争议，由当事人协商解决，协商不成的，依法向人民法院提起诉讼。</w:t>
      </w:r>
    </w:p>
    <w:p>
      <w:pPr>
        <w:spacing w:after="0" w:line="355" w:lineRule="auto"/>
        <w:sectPr>
          <w:pgSz w:w="11910" w:h="16840"/>
          <w:pgMar w:header="0" w:footer="917" w:top="1580" w:bottom="1180" w:left="1320" w:right="1180"/>
        </w:sectPr>
      </w:pPr>
    </w:p>
    <w:p>
      <w:pPr>
        <w:pStyle w:val="Heading2"/>
        <w:tabs>
          <w:tab w:pos="5486" w:val="left" w:leader="none"/>
        </w:tabs>
        <w:spacing w:before="1"/>
        <w:ind w:left="3818"/>
      </w:pPr>
      <w:r>
        <w:rPr/>
        <w:t>第六章</w:t>
        <w:tab/>
        <w:t>名词释义</w:t>
      </w:r>
    </w:p>
    <w:p>
      <w:pPr>
        <w:pStyle w:val="BodyText"/>
        <w:spacing w:before="1"/>
        <w:rPr>
          <w:b/>
          <w:sz w:val="16"/>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3"/>
        <w:gridCol w:w="7606"/>
      </w:tblGrid>
      <w:tr>
        <w:trPr>
          <w:trHeight w:val="287" w:hRule="atLeast"/>
        </w:trPr>
        <w:tc>
          <w:tcPr>
            <w:tcW w:w="1743" w:type="dxa"/>
          </w:tcPr>
          <w:p>
            <w:pPr>
              <w:pStyle w:val="TableParagraph"/>
              <w:spacing w:line="253" w:lineRule="exact"/>
              <w:rPr>
                <w:sz w:val="12"/>
              </w:rPr>
            </w:pPr>
            <w:r>
              <w:rPr>
                <w:position w:val="-11"/>
                <w:sz w:val="21"/>
              </w:rPr>
              <w:t>您</w:t>
            </w:r>
            <w:r>
              <w:rPr>
                <w:sz w:val="12"/>
              </w:rPr>
              <w:t>（1）</w:t>
            </w:r>
          </w:p>
        </w:tc>
        <w:tc>
          <w:tcPr>
            <w:tcW w:w="7606" w:type="dxa"/>
          </w:tcPr>
          <w:p>
            <w:pPr>
              <w:pStyle w:val="TableParagraph"/>
              <w:spacing w:line="245" w:lineRule="exact"/>
              <w:ind w:left="91"/>
              <w:rPr>
                <w:sz w:val="21"/>
              </w:rPr>
            </w:pPr>
            <w:r>
              <w:rPr>
                <w:sz w:val="21"/>
              </w:rPr>
              <w:t>：是指投保团体。</w:t>
            </w:r>
          </w:p>
        </w:tc>
      </w:tr>
      <w:tr>
        <w:trPr>
          <w:trHeight w:val="620" w:hRule="atLeast"/>
        </w:trPr>
        <w:tc>
          <w:tcPr>
            <w:tcW w:w="1743" w:type="dxa"/>
          </w:tcPr>
          <w:p>
            <w:pPr>
              <w:pStyle w:val="TableParagraph"/>
              <w:spacing w:line="269" w:lineRule="exact"/>
              <w:rPr>
                <w:sz w:val="11"/>
              </w:rPr>
            </w:pPr>
            <w:r>
              <w:rPr>
                <w:position w:val="-10"/>
                <w:sz w:val="21"/>
              </w:rPr>
              <w:t>团体</w:t>
            </w:r>
            <w:r>
              <w:rPr>
                <w:sz w:val="11"/>
              </w:rPr>
              <w:t>（2）</w:t>
            </w:r>
          </w:p>
        </w:tc>
        <w:tc>
          <w:tcPr>
            <w:tcW w:w="7606" w:type="dxa"/>
          </w:tcPr>
          <w:p>
            <w:pPr>
              <w:pStyle w:val="TableParagraph"/>
              <w:spacing w:line="270" w:lineRule="exact"/>
              <w:ind w:left="91"/>
              <w:rPr>
                <w:sz w:val="21"/>
              </w:rPr>
            </w:pPr>
            <w:r>
              <w:rPr>
                <w:sz w:val="21"/>
              </w:rPr>
              <w:t>：是指中国境内非因购买保险而组织的合法团体，包括国家机关、院校、企事</w:t>
            </w:r>
          </w:p>
          <w:p>
            <w:pPr>
              <w:pStyle w:val="TableParagraph"/>
              <w:spacing w:before="37"/>
              <w:ind w:left="302"/>
              <w:rPr>
                <w:sz w:val="21"/>
              </w:rPr>
            </w:pPr>
            <w:r>
              <w:rPr>
                <w:sz w:val="21"/>
              </w:rPr>
              <w:t>业单位、行业组织、职业工会等。</w:t>
            </w:r>
          </w:p>
        </w:tc>
      </w:tr>
      <w:tr>
        <w:trPr>
          <w:trHeight w:val="311" w:hRule="atLeast"/>
        </w:trPr>
        <w:tc>
          <w:tcPr>
            <w:tcW w:w="1743" w:type="dxa"/>
          </w:tcPr>
          <w:p>
            <w:pPr>
              <w:pStyle w:val="TableParagraph"/>
              <w:spacing w:line="273" w:lineRule="exact"/>
              <w:rPr>
                <w:sz w:val="11"/>
              </w:rPr>
            </w:pPr>
            <w:r>
              <w:rPr>
                <w:sz w:val="21"/>
              </w:rPr>
              <w:t>被保险人</w:t>
            </w:r>
            <w:r>
              <w:rPr>
                <w:position w:val="11"/>
                <w:sz w:val="11"/>
              </w:rPr>
              <w:t>（3）</w:t>
            </w:r>
          </w:p>
        </w:tc>
        <w:tc>
          <w:tcPr>
            <w:tcW w:w="7606" w:type="dxa"/>
          </w:tcPr>
          <w:p>
            <w:pPr>
              <w:pStyle w:val="TableParagraph"/>
              <w:spacing w:line="273" w:lineRule="exact"/>
              <w:ind w:left="91"/>
              <w:rPr>
                <w:sz w:val="21"/>
              </w:rPr>
            </w:pPr>
            <w:r>
              <w:rPr>
                <w:sz w:val="21"/>
              </w:rPr>
              <w:t>：是指本附加合同所附被保险人名册中所载人员。</w:t>
            </w:r>
          </w:p>
        </w:tc>
      </w:tr>
      <w:tr>
        <w:trPr>
          <w:trHeight w:val="1571" w:hRule="atLeast"/>
        </w:trPr>
        <w:tc>
          <w:tcPr>
            <w:tcW w:w="1743" w:type="dxa"/>
          </w:tcPr>
          <w:p>
            <w:pPr>
              <w:pStyle w:val="TableParagraph"/>
              <w:spacing w:line="273" w:lineRule="exact"/>
              <w:rPr>
                <w:sz w:val="11"/>
              </w:rPr>
            </w:pPr>
            <w:r>
              <w:rPr>
                <w:sz w:val="21"/>
              </w:rPr>
              <w:t>专科医生</w:t>
            </w:r>
            <w:r>
              <w:rPr>
                <w:position w:val="11"/>
                <w:sz w:val="11"/>
              </w:rPr>
              <w:t>（4）</w:t>
            </w:r>
          </w:p>
        </w:tc>
        <w:tc>
          <w:tcPr>
            <w:tcW w:w="7606" w:type="dxa"/>
          </w:tcPr>
          <w:p>
            <w:pPr>
              <w:pStyle w:val="TableParagraph"/>
              <w:spacing w:line="289" w:lineRule="exact"/>
              <w:ind w:left="91"/>
              <w:rPr>
                <w:sz w:val="21"/>
              </w:rPr>
            </w:pPr>
            <w:r>
              <w:rPr>
                <w:spacing w:val="-6"/>
                <w:w w:val="100"/>
                <w:sz w:val="21"/>
              </w:rPr>
              <w:t>：专科医生应当同时满足以下四项资格条件：</w:t>
            </w:r>
            <w:r>
              <w:rPr>
                <w:spacing w:val="1"/>
                <w:w w:val="100"/>
                <w:sz w:val="21"/>
              </w:rPr>
              <w:t>（</w:t>
            </w:r>
            <w:r>
              <w:rPr>
                <w:rFonts w:ascii="Times New Roman" w:eastAsia="Times New Roman"/>
                <w:w w:val="100"/>
                <w:sz w:val="21"/>
              </w:rPr>
              <w:t>1</w:t>
            </w:r>
            <w:r>
              <w:rPr>
                <w:w w:val="100"/>
                <w:sz w:val="21"/>
              </w:rPr>
              <w:t>）具有有效的中华人民共和国</w:t>
            </w:r>
          </w:p>
          <w:p>
            <w:pPr>
              <w:pStyle w:val="TableParagraph"/>
              <w:spacing w:line="256" w:lineRule="auto" w:before="21"/>
              <w:ind w:left="252" w:right="299"/>
              <w:jc w:val="both"/>
              <w:rPr>
                <w:sz w:val="21"/>
              </w:rPr>
            </w:pPr>
            <w:r>
              <w:rPr>
                <w:spacing w:val="-29"/>
                <w:w w:val="100"/>
                <w:sz w:val="21"/>
              </w:rPr>
              <w:t>《医师资格证书》；</w:t>
            </w:r>
            <w:r>
              <w:rPr>
                <w:w w:val="100"/>
                <w:sz w:val="21"/>
              </w:rPr>
              <w:t>（</w:t>
            </w:r>
            <w:r>
              <w:rPr>
                <w:rFonts w:ascii="Times New Roman" w:eastAsia="Times New Roman"/>
                <w:spacing w:val="-3"/>
                <w:w w:val="100"/>
                <w:sz w:val="21"/>
              </w:rPr>
              <w:t>2</w:t>
            </w:r>
            <w:r>
              <w:rPr>
                <w:spacing w:val="-25"/>
                <w:w w:val="100"/>
                <w:sz w:val="21"/>
              </w:rPr>
              <w:t>）</w:t>
            </w:r>
            <w:r>
              <w:rPr>
                <w:spacing w:val="-12"/>
                <w:w w:val="100"/>
                <w:sz w:val="21"/>
              </w:rPr>
              <w:t>具有有效的中华人民共和国《医师执业证书》，并按期</w:t>
            </w:r>
            <w:r>
              <w:rPr>
                <w:spacing w:val="-6"/>
                <w:w w:val="100"/>
                <w:sz w:val="21"/>
              </w:rPr>
              <w:t>到相关部门登记注册</w:t>
            </w:r>
            <w:r>
              <w:rPr>
                <w:spacing w:val="-154"/>
                <w:w w:val="100"/>
                <w:sz w:val="21"/>
              </w:rPr>
              <w:t>；</w:t>
            </w:r>
            <w:r>
              <w:rPr>
                <w:w w:val="100"/>
                <w:sz w:val="21"/>
              </w:rPr>
              <w:t>（</w:t>
            </w:r>
            <w:r>
              <w:rPr>
                <w:rFonts w:ascii="Times New Roman" w:eastAsia="Times New Roman"/>
                <w:w w:val="100"/>
                <w:sz w:val="21"/>
              </w:rPr>
              <w:t>3</w:t>
            </w:r>
            <w:r>
              <w:rPr>
                <w:spacing w:val="-51"/>
                <w:w w:val="100"/>
                <w:sz w:val="21"/>
              </w:rPr>
              <w:t>）</w:t>
            </w:r>
            <w:r>
              <w:rPr>
                <w:spacing w:val="-3"/>
                <w:w w:val="100"/>
                <w:sz w:val="21"/>
              </w:rPr>
              <w:t>具有有效的中华人民共和国主治医师或主治医师以</w:t>
            </w:r>
            <w:r>
              <w:rPr>
                <w:spacing w:val="-20"/>
                <w:w w:val="100"/>
                <w:sz w:val="21"/>
              </w:rPr>
              <w:t>上职称的《医师职称证书》；</w:t>
            </w:r>
            <w:r>
              <w:rPr>
                <w:w w:val="100"/>
                <w:sz w:val="21"/>
              </w:rPr>
              <w:t>（</w:t>
            </w:r>
            <w:r>
              <w:rPr>
                <w:rFonts w:ascii="Times New Roman" w:eastAsia="Times New Roman"/>
                <w:w w:val="100"/>
                <w:sz w:val="21"/>
              </w:rPr>
              <w:t>4</w:t>
            </w:r>
            <w:r>
              <w:rPr>
                <w:w w:val="100"/>
                <w:sz w:val="21"/>
              </w:rPr>
              <w:t>）</w:t>
            </w:r>
            <w:r>
              <w:rPr>
                <w:spacing w:val="-3"/>
                <w:w w:val="100"/>
                <w:sz w:val="21"/>
              </w:rPr>
              <w:t>在二级或二级以上医疗机构的相应科室从事</w:t>
            </w:r>
            <w:r>
              <w:rPr>
                <w:spacing w:val="-3"/>
                <w:sz w:val="21"/>
              </w:rPr>
              <w:t>临床工作三年以上。</w:t>
            </w:r>
          </w:p>
        </w:tc>
      </w:tr>
      <w:tr>
        <w:trPr>
          <w:trHeight w:val="312" w:hRule="atLeast"/>
        </w:trPr>
        <w:tc>
          <w:tcPr>
            <w:tcW w:w="1743" w:type="dxa"/>
            <w:vMerge w:val="restart"/>
          </w:tcPr>
          <w:p>
            <w:pPr>
              <w:pStyle w:val="TableParagraph"/>
              <w:spacing w:line="261" w:lineRule="exact"/>
              <w:rPr>
                <w:sz w:val="21"/>
              </w:rPr>
            </w:pPr>
            <w:r>
              <w:rPr>
                <w:sz w:val="21"/>
              </w:rPr>
              <w:t>符合条件的医</w:t>
            </w:r>
          </w:p>
          <w:p>
            <w:pPr>
              <w:pStyle w:val="TableParagraph"/>
              <w:spacing w:before="36"/>
              <w:rPr>
                <w:sz w:val="11"/>
              </w:rPr>
            </w:pPr>
            <w:r>
              <w:rPr>
                <w:position w:val="-10"/>
                <w:sz w:val="21"/>
              </w:rPr>
              <w:t>疗机构</w:t>
            </w:r>
            <w:r>
              <w:rPr>
                <w:sz w:val="11"/>
              </w:rPr>
              <w:t>（5）</w:t>
            </w:r>
          </w:p>
        </w:tc>
        <w:tc>
          <w:tcPr>
            <w:tcW w:w="7606" w:type="dxa"/>
          </w:tcPr>
          <w:p>
            <w:pPr>
              <w:pStyle w:val="TableParagraph"/>
              <w:spacing w:line="262" w:lineRule="exact"/>
              <w:ind w:left="91"/>
              <w:rPr>
                <w:sz w:val="21"/>
              </w:rPr>
            </w:pPr>
            <w:r>
              <w:rPr>
                <w:sz w:val="21"/>
              </w:rPr>
              <w:t>：是指符合下列所有条件之中国境内机构：</w:t>
            </w:r>
          </w:p>
        </w:tc>
      </w:tr>
      <w:tr>
        <w:trPr>
          <w:trHeight w:val="311" w:hRule="atLeast"/>
        </w:trPr>
        <w:tc>
          <w:tcPr>
            <w:tcW w:w="1743" w:type="dxa"/>
            <w:vMerge/>
            <w:tcBorders>
              <w:top w:val="nil"/>
            </w:tcBorders>
          </w:tcPr>
          <w:p>
            <w:pPr>
              <w:rPr>
                <w:sz w:val="2"/>
                <w:szCs w:val="2"/>
              </w:rPr>
            </w:pPr>
          </w:p>
        </w:tc>
        <w:tc>
          <w:tcPr>
            <w:tcW w:w="7606" w:type="dxa"/>
          </w:tcPr>
          <w:p>
            <w:pPr>
              <w:pStyle w:val="TableParagraph"/>
              <w:spacing w:line="261" w:lineRule="exact"/>
              <w:ind w:left="302"/>
              <w:rPr>
                <w:sz w:val="21"/>
              </w:rPr>
            </w:pPr>
            <w:r>
              <w:rPr>
                <w:sz w:val="21"/>
              </w:rPr>
              <w:t>1.拥有合法经营执照；</w:t>
            </w:r>
          </w:p>
        </w:tc>
      </w:tr>
      <w:tr>
        <w:trPr>
          <w:trHeight w:val="311" w:hRule="atLeast"/>
        </w:trPr>
        <w:tc>
          <w:tcPr>
            <w:tcW w:w="1743" w:type="dxa"/>
          </w:tcPr>
          <w:p>
            <w:pPr>
              <w:pStyle w:val="TableParagraph"/>
              <w:ind w:left="0"/>
              <w:rPr>
                <w:rFonts w:ascii="Times New Roman"/>
                <w:sz w:val="20"/>
              </w:rPr>
            </w:pPr>
          </w:p>
        </w:tc>
        <w:tc>
          <w:tcPr>
            <w:tcW w:w="7606" w:type="dxa"/>
          </w:tcPr>
          <w:p>
            <w:pPr>
              <w:pStyle w:val="TableParagraph"/>
              <w:spacing w:line="261" w:lineRule="exact"/>
              <w:ind w:left="302"/>
              <w:rPr>
                <w:sz w:val="21"/>
              </w:rPr>
            </w:pPr>
            <w:r>
              <w:rPr>
                <w:sz w:val="21"/>
              </w:rPr>
              <w:t>2.设立的目的为向受伤者和病患者提供住院治疗；</w:t>
            </w:r>
          </w:p>
        </w:tc>
      </w:tr>
      <w:tr>
        <w:trPr>
          <w:trHeight w:val="311" w:hRule="atLeast"/>
        </w:trPr>
        <w:tc>
          <w:tcPr>
            <w:tcW w:w="1743" w:type="dxa"/>
          </w:tcPr>
          <w:p>
            <w:pPr>
              <w:pStyle w:val="TableParagraph"/>
              <w:ind w:left="0"/>
              <w:rPr>
                <w:rFonts w:ascii="Times New Roman"/>
                <w:sz w:val="20"/>
              </w:rPr>
            </w:pPr>
          </w:p>
        </w:tc>
        <w:tc>
          <w:tcPr>
            <w:tcW w:w="7606" w:type="dxa"/>
          </w:tcPr>
          <w:p>
            <w:pPr>
              <w:pStyle w:val="TableParagraph"/>
              <w:spacing w:line="261" w:lineRule="exact"/>
              <w:ind w:left="302"/>
              <w:rPr>
                <w:sz w:val="21"/>
              </w:rPr>
            </w:pPr>
            <w:r>
              <w:rPr>
                <w:sz w:val="21"/>
              </w:rPr>
              <w:t>3.有合格的医生和护士提供全日 24 小时的医疗和护理服务；</w:t>
            </w:r>
          </w:p>
        </w:tc>
      </w:tr>
      <w:tr>
        <w:trPr>
          <w:trHeight w:val="311" w:hRule="atLeast"/>
        </w:trPr>
        <w:tc>
          <w:tcPr>
            <w:tcW w:w="1743" w:type="dxa"/>
          </w:tcPr>
          <w:p>
            <w:pPr>
              <w:pStyle w:val="TableParagraph"/>
              <w:ind w:left="0"/>
              <w:rPr>
                <w:rFonts w:ascii="Times New Roman"/>
                <w:sz w:val="20"/>
              </w:rPr>
            </w:pPr>
          </w:p>
        </w:tc>
        <w:tc>
          <w:tcPr>
            <w:tcW w:w="7606" w:type="dxa"/>
          </w:tcPr>
          <w:p>
            <w:pPr>
              <w:pStyle w:val="TableParagraph"/>
              <w:spacing w:line="261" w:lineRule="exact"/>
              <w:ind w:left="303"/>
              <w:rPr>
                <w:sz w:val="21"/>
              </w:rPr>
            </w:pPr>
            <w:r>
              <w:rPr>
                <w:sz w:val="21"/>
              </w:rPr>
              <w:t>4.非主要为康复、护理、疗养、戒酒、戒毒、或类似的医疗机构；</w:t>
            </w:r>
          </w:p>
        </w:tc>
      </w:tr>
      <w:tr>
        <w:trPr>
          <w:trHeight w:val="297" w:hRule="atLeast"/>
        </w:trPr>
        <w:tc>
          <w:tcPr>
            <w:tcW w:w="1743" w:type="dxa"/>
          </w:tcPr>
          <w:p>
            <w:pPr>
              <w:pStyle w:val="TableParagraph"/>
              <w:ind w:left="0"/>
              <w:rPr>
                <w:rFonts w:ascii="Times New Roman"/>
                <w:sz w:val="20"/>
              </w:rPr>
            </w:pPr>
          </w:p>
        </w:tc>
        <w:tc>
          <w:tcPr>
            <w:tcW w:w="7606" w:type="dxa"/>
          </w:tcPr>
          <w:p>
            <w:pPr>
              <w:pStyle w:val="TableParagraph"/>
              <w:spacing w:line="261" w:lineRule="exact"/>
              <w:ind w:left="300"/>
              <w:rPr>
                <w:sz w:val="21"/>
              </w:rPr>
            </w:pPr>
            <w:r>
              <w:rPr>
                <w:sz w:val="21"/>
              </w:rPr>
              <w:t>5.为当地社会（基本）医疗保险指定的二级或二级以上的医疗机构。</w:t>
            </w:r>
          </w:p>
        </w:tc>
      </w:tr>
      <w:tr>
        <w:trPr>
          <w:trHeight w:val="8579" w:hRule="atLeast"/>
        </w:trPr>
        <w:tc>
          <w:tcPr>
            <w:tcW w:w="1743" w:type="dxa"/>
          </w:tcPr>
          <w:p>
            <w:pPr>
              <w:pStyle w:val="TableParagraph"/>
              <w:rPr>
                <w:sz w:val="11"/>
              </w:rPr>
            </w:pPr>
            <w:r>
              <w:rPr>
                <w:sz w:val="21"/>
              </w:rPr>
              <w:t>重大疾病</w:t>
            </w:r>
            <w:r>
              <w:rPr>
                <w:position w:val="11"/>
                <w:sz w:val="11"/>
              </w:rPr>
              <w:t>（6）</w:t>
            </w:r>
          </w:p>
        </w:tc>
        <w:tc>
          <w:tcPr>
            <w:tcW w:w="7606" w:type="dxa"/>
          </w:tcPr>
          <w:p>
            <w:pPr>
              <w:pStyle w:val="TableParagraph"/>
              <w:spacing w:line="260" w:lineRule="exact"/>
              <w:ind w:left="252"/>
              <w:rPr>
                <w:sz w:val="21"/>
              </w:rPr>
            </w:pPr>
            <w:r>
              <w:rPr>
                <w:sz w:val="21"/>
              </w:rPr>
              <w:t>重大疾病是指下列所定义的</w:t>
            </w:r>
            <w:r>
              <w:rPr>
                <w:rFonts w:ascii="Times New Roman" w:eastAsia="Times New Roman"/>
                <w:sz w:val="21"/>
              </w:rPr>
              <w:t>29</w:t>
            </w:r>
            <w:r>
              <w:rPr>
                <w:sz w:val="21"/>
              </w:rPr>
              <w:t>项疾病或手术，不包括任何其他疾病或手术。</w:t>
            </w:r>
          </w:p>
          <w:p>
            <w:pPr>
              <w:pStyle w:val="TableParagraph"/>
              <w:spacing w:line="271" w:lineRule="exact"/>
              <w:ind w:left="252"/>
              <w:rPr>
                <w:b/>
                <w:sz w:val="21"/>
              </w:rPr>
            </w:pPr>
            <w:r>
              <w:rPr>
                <w:rFonts w:ascii="Times New Roman" w:eastAsia="Times New Roman"/>
                <w:b/>
                <w:sz w:val="21"/>
              </w:rPr>
              <w:t>1</w:t>
            </w:r>
            <w:r>
              <w:rPr>
                <w:b/>
                <w:sz w:val="21"/>
              </w:rPr>
              <w:t>、恶性肿瘤</w:t>
            </w:r>
          </w:p>
          <w:p>
            <w:pPr>
              <w:pStyle w:val="TableParagraph"/>
              <w:spacing w:line="237" w:lineRule="auto"/>
              <w:ind w:left="252" w:right="301"/>
              <w:jc w:val="both"/>
              <w:rPr>
                <w:sz w:val="21"/>
              </w:rPr>
            </w:pPr>
            <w:r>
              <w:rPr>
                <w:spacing w:val="-8"/>
                <w:sz w:val="21"/>
              </w:rPr>
              <w:t>指恶性细胞不受控制的进行性增长和扩散，浸润和破坏周围正常组织，可以经</w:t>
            </w:r>
            <w:r>
              <w:rPr>
                <w:spacing w:val="-12"/>
                <w:sz w:val="21"/>
              </w:rPr>
              <w:t>血管、淋巴管和体腔扩散转移到身体其它部位的疾病。经病理学检查结果明确</w:t>
            </w:r>
            <w:r>
              <w:rPr>
                <w:spacing w:val="-6"/>
                <w:sz w:val="21"/>
              </w:rPr>
              <w:t>诊断，临床诊断属于世界卫生组织《疾病和有关健康问题的国际统计分类》</w:t>
            </w:r>
          </w:p>
          <w:p>
            <w:pPr>
              <w:pStyle w:val="TableParagraph"/>
              <w:spacing w:line="289" w:lineRule="exact" w:before="7"/>
              <w:ind w:left="252"/>
              <w:jc w:val="both"/>
              <w:rPr>
                <w:sz w:val="21"/>
              </w:rPr>
            </w:pPr>
            <w:r>
              <w:rPr>
                <w:sz w:val="21"/>
              </w:rPr>
              <w:t>（</w:t>
            </w:r>
            <w:r>
              <w:rPr>
                <w:rFonts w:ascii="Times New Roman" w:eastAsia="Times New Roman"/>
                <w:sz w:val="21"/>
              </w:rPr>
              <w:t>ICD-10</w:t>
            </w:r>
            <w:r>
              <w:rPr>
                <w:sz w:val="21"/>
              </w:rPr>
              <w:t>）的恶性肿瘤范畴。</w:t>
            </w:r>
          </w:p>
          <w:p>
            <w:pPr>
              <w:pStyle w:val="TableParagraph"/>
              <w:spacing w:line="274" w:lineRule="exact" w:before="136"/>
              <w:ind w:left="379"/>
              <w:rPr>
                <w:rFonts w:ascii="黑体" w:eastAsia="黑体" w:hint="eastAsia"/>
                <w:b/>
                <w:sz w:val="21"/>
              </w:rPr>
            </w:pPr>
            <w:r>
              <w:rPr>
                <w:rFonts w:ascii="黑体" w:eastAsia="黑体" w:hint="eastAsia"/>
                <w:b/>
                <w:sz w:val="21"/>
              </w:rPr>
              <w:t>下列疾病不在保障范围内：</w:t>
            </w:r>
          </w:p>
          <w:p>
            <w:pPr>
              <w:pStyle w:val="TableParagraph"/>
              <w:numPr>
                <w:ilvl w:val="0"/>
                <w:numId w:val="2"/>
              </w:numPr>
              <w:tabs>
                <w:tab w:pos="793" w:val="left" w:leader="none"/>
              </w:tabs>
              <w:spacing w:line="272" w:lineRule="exact" w:before="0" w:after="0"/>
              <w:ind w:left="792" w:right="0" w:hanging="360"/>
              <w:jc w:val="left"/>
              <w:rPr>
                <w:rFonts w:ascii="黑体" w:eastAsia="黑体" w:hint="eastAsia"/>
                <w:b/>
                <w:sz w:val="21"/>
              </w:rPr>
            </w:pPr>
            <w:r>
              <w:rPr>
                <w:rFonts w:ascii="黑体" w:eastAsia="黑体" w:hint="eastAsia"/>
                <w:b/>
                <w:sz w:val="21"/>
              </w:rPr>
              <w:t>原位癌；</w:t>
            </w:r>
          </w:p>
          <w:p>
            <w:pPr>
              <w:pStyle w:val="TableParagraph"/>
              <w:numPr>
                <w:ilvl w:val="0"/>
                <w:numId w:val="2"/>
              </w:numPr>
              <w:tabs>
                <w:tab w:pos="793" w:val="left" w:leader="none"/>
              </w:tabs>
              <w:spacing w:line="272" w:lineRule="exact" w:before="0" w:after="0"/>
              <w:ind w:left="792" w:right="0" w:hanging="360"/>
              <w:jc w:val="left"/>
              <w:rPr>
                <w:rFonts w:ascii="黑体" w:eastAsia="黑体" w:hint="eastAsia"/>
                <w:b/>
                <w:sz w:val="21"/>
              </w:rPr>
            </w:pPr>
            <w:r>
              <w:rPr>
                <w:rFonts w:ascii="黑体" w:eastAsia="黑体" w:hint="eastAsia"/>
                <w:b/>
                <w:sz w:val="21"/>
              </w:rPr>
              <w:t>相当于Binet分期方案A</w:t>
            </w:r>
            <w:r>
              <w:rPr>
                <w:rFonts w:ascii="黑体" w:eastAsia="黑体" w:hint="eastAsia"/>
                <w:b/>
                <w:spacing w:val="-3"/>
                <w:sz w:val="21"/>
              </w:rPr>
              <w:t>期程度的慢性淋巴细胞白血病；</w:t>
            </w:r>
          </w:p>
          <w:p>
            <w:pPr>
              <w:pStyle w:val="TableParagraph"/>
              <w:numPr>
                <w:ilvl w:val="0"/>
                <w:numId w:val="2"/>
              </w:numPr>
              <w:tabs>
                <w:tab w:pos="793" w:val="left" w:leader="none"/>
              </w:tabs>
              <w:spacing w:line="272" w:lineRule="exact" w:before="0" w:after="0"/>
              <w:ind w:left="792" w:right="0" w:hanging="360"/>
              <w:jc w:val="left"/>
              <w:rPr>
                <w:rFonts w:ascii="黑体" w:eastAsia="黑体" w:hint="eastAsia"/>
                <w:b/>
                <w:sz w:val="21"/>
              </w:rPr>
            </w:pPr>
            <w:r>
              <w:rPr>
                <w:rFonts w:ascii="黑体" w:eastAsia="黑体" w:hint="eastAsia"/>
                <w:b/>
                <w:sz w:val="21"/>
              </w:rPr>
              <w:t>相当于Ann</w:t>
            </w:r>
            <w:r>
              <w:rPr>
                <w:rFonts w:ascii="黑体" w:eastAsia="黑体" w:hint="eastAsia"/>
                <w:b/>
                <w:spacing w:val="2"/>
                <w:sz w:val="21"/>
              </w:rPr>
              <w:t> </w:t>
            </w:r>
            <w:r>
              <w:rPr>
                <w:rFonts w:ascii="黑体" w:eastAsia="黑体" w:hint="eastAsia"/>
                <w:b/>
                <w:sz w:val="21"/>
              </w:rPr>
              <w:t>Arbor分期方案I期程度的何杰金氏病；</w:t>
            </w:r>
          </w:p>
          <w:p>
            <w:pPr>
              <w:pStyle w:val="TableParagraph"/>
              <w:numPr>
                <w:ilvl w:val="0"/>
                <w:numId w:val="2"/>
              </w:numPr>
              <w:tabs>
                <w:tab w:pos="793" w:val="left" w:leader="none"/>
              </w:tabs>
              <w:spacing w:line="272" w:lineRule="exact" w:before="0" w:after="0"/>
              <w:ind w:left="792" w:right="0" w:hanging="360"/>
              <w:jc w:val="left"/>
              <w:rPr>
                <w:rFonts w:ascii="黑体" w:eastAsia="黑体" w:hint="eastAsia"/>
                <w:b/>
                <w:sz w:val="21"/>
              </w:rPr>
            </w:pPr>
            <w:r>
              <w:rPr>
                <w:rFonts w:ascii="黑体" w:eastAsia="黑体" w:hint="eastAsia"/>
                <w:b/>
                <w:w w:val="100"/>
                <w:sz w:val="21"/>
              </w:rPr>
              <w:t>皮肤癌（</w:t>
            </w:r>
            <w:r>
              <w:rPr>
                <w:rFonts w:ascii="黑体" w:eastAsia="黑体" w:hint="eastAsia"/>
                <w:b/>
                <w:spacing w:val="-2"/>
                <w:w w:val="100"/>
                <w:sz w:val="21"/>
              </w:rPr>
              <w:t>不包括恶性黑色</w:t>
            </w:r>
            <w:r>
              <w:rPr>
                <w:rFonts w:ascii="黑体" w:eastAsia="黑体" w:hint="eastAsia"/>
                <w:b/>
                <w:w w:val="100"/>
                <w:sz w:val="21"/>
              </w:rPr>
              <w:t>素瘤及已发Th</w:t>
            </w:r>
            <w:r>
              <w:rPr>
                <w:rFonts w:ascii="黑体" w:eastAsia="黑体" w:hint="eastAsia"/>
                <w:b/>
                <w:spacing w:val="-1"/>
                <w:w w:val="100"/>
                <w:sz w:val="21"/>
              </w:rPr>
              <w:t>转移的</w:t>
            </w:r>
            <w:r>
              <w:rPr>
                <w:rFonts w:ascii="黑体" w:eastAsia="黑体" w:hint="eastAsia"/>
                <w:b/>
                <w:spacing w:val="-2"/>
                <w:w w:val="100"/>
                <w:sz w:val="21"/>
              </w:rPr>
              <w:t>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2"/>
              </w:numPr>
              <w:tabs>
                <w:tab w:pos="793" w:val="left" w:leader="none"/>
              </w:tabs>
              <w:spacing w:line="272" w:lineRule="exact" w:before="0" w:after="0"/>
              <w:ind w:left="792" w:right="0" w:hanging="360"/>
              <w:jc w:val="left"/>
              <w:rPr>
                <w:rFonts w:ascii="黑体" w:eastAsia="黑体" w:hint="eastAsia"/>
                <w:b/>
                <w:sz w:val="21"/>
              </w:rPr>
            </w:pPr>
            <w:r>
              <w:rPr>
                <w:rFonts w:ascii="黑体" w:eastAsia="黑体" w:hint="eastAsia"/>
                <w:b/>
                <w:position w:val="1"/>
                <w:sz w:val="21"/>
              </w:rPr>
              <w:t>TNM分期为</w:t>
            </w:r>
            <w:r>
              <w:rPr>
                <w:rFonts w:ascii="黑体" w:eastAsia="黑体" w:hint="eastAsia"/>
                <w:b/>
                <w:spacing w:val="7"/>
                <w:position w:val="1"/>
                <w:sz w:val="21"/>
              </w:rPr>
              <w:t>T</w:t>
            </w:r>
            <w:r>
              <w:rPr>
                <w:rFonts w:ascii="黑体" w:eastAsia="黑体" w:hint="eastAsia"/>
                <w:b/>
                <w:spacing w:val="7"/>
                <w:sz w:val="11"/>
              </w:rPr>
              <w:t>1</w:t>
            </w:r>
            <w:r>
              <w:rPr>
                <w:rFonts w:ascii="黑体" w:eastAsia="黑体" w:hint="eastAsia"/>
                <w:b/>
                <w:spacing w:val="7"/>
                <w:position w:val="1"/>
                <w:sz w:val="21"/>
              </w:rPr>
              <w:t>N</w:t>
            </w:r>
            <w:r>
              <w:rPr>
                <w:rFonts w:ascii="黑体" w:eastAsia="黑体" w:hint="eastAsia"/>
                <w:b/>
                <w:spacing w:val="7"/>
                <w:sz w:val="11"/>
              </w:rPr>
              <w:t>0</w:t>
            </w:r>
            <w:r>
              <w:rPr>
                <w:rFonts w:ascii="黑体" w:eastAsia="黑体" w:hint="eastAsia"/>
                <w:b/>
                <w:spacing w:val="7"/>
                <w:position w:val="1"/>
                <w:sz w:val="21"/>
              </w:rPr>
              <w:t>M</w:t>
            </w:r>
            <w:r>
              <w:rPr>
                <w:rFonts w:ascii="黑体" w:eastAsia="黑体" w:hint="eastAsia"/>
                <w:b/>
                <w:spacing w:val="7"/>
                <w:sz w:val="11"/>
              </w:rPr>
              <w:t>0</w:t>
            </w:r>
            <w:r>
              <w:rPr>
                <w:rFonts w:ascii="黑体" w:eastAsia="黑体" w:hint="eastAsia"/>
                <w:b/>
                <w:position w:val="1"/>
                <w:sz w:val="21"/>
              </w:rPr>
              <w:t>期或更轻分期的前列腺癌；</w:t>
            </w:r>
          </w:p>
          <w:p>
            <w:pPr>
              <w:pStyle w:val="TableParagraph"/>
              <w:numPr>
                <w:ilvl w:val="0"/>
                <w:numId w:val="2"/>
              </w:numPr>
              <w:tabs>
                <w:tab w:pos="749" w:val="left" w:leader="none"/>
              </w:tabs>
              <w:spacing w:line="273" w:lineRule="exact" w:before="0" w:after="0"/>
              <w:ind w:left="749" w:right="0" w:hanging="317"/>
              <w:jc w:val="left"/>
              <w:rPr>
                <w:rFonts w:ascii="黑体" w:eastAsia="黑体" w:hint="eastAsia"/>
                <w:b/>
                <w:sz w:val="21"/>
              </w:rPr>
            </w:pPr>
            <w:r>
              <w:rPr>
                <w:rFonts w:ascii="黑体" w:eastAsia="黑体" w:hint="eastAsia"/>
                <w:b/>
                <w:spacing w:val="-2"/>
                <w:sz w:val="21"/>
              </w:rPr>
              <w:t>感染艾滋病病毒或患艾滋病期间所患恶性肿瘤。</w:t>
            </w:r>
          </w:p>
          <w:p>
            <w:pPr>
              <w:pStyle w:val="TableParagraph"/>
              <w:spacing w:line="280" w:lineRule="exact"/>
              <w:ind w:left="252"/>
              <w:jc w:val="both"/>
              <w:rPr>
                <w:b/>
                <w:sz w:val="21"/>
              </w:rPr>
            </w:pPr>
            <w:r>
              <w:rPr>
                <w:rFonts w:ascii="Times New Roman" w:eastAsia="Times New Roman"/>
                <w:b/>
                <w:sz w:val="21"/>
              </w:rPr>
              <w:t>2</w:t>
            </w:r>
            <w:r>
              <w:rPr>
                <w:b/>
                <w:sz w:val="21"/>
              </w:rPr>
              <w:t>、急性心肌梗塞</w:t>
            </w:r>
          </w:p>
          <w:p>
            <w:pPr>
              <w:pStyle w:val="TableParagraph"/>
              <w:ind w:left="252" w:right="299"/>
              <w:rPr>
                <w:sz w:val="21"/>
              </w:rPr>
            </w:pPr>
            <w:r>
              <w:rPr>
                <w:spacing w:val="-7"/>
                <w:sz w:val="21"/>
              </w:rPr>
              <w:t>指因冠状动脉阻塞导致的相应区域供血不足造成部分心肌坏死。须满足下列至</w:t>
            </w:r>
            <w:r>
              <w:rPr>
                <w:spacing w:val="-5"/>
                <w:sz w:val="21"/>
              </w:rPr>
              <w:t>少三项条件：</w:t>
            </w:r>
          </w:p>
          <w:p>
            <w:pPr>
              <w:pStyle w:val="TableParagraph"/>
              <w:numPr>
                <w:ilvl w:val="0"/>
                <w:numId w:val="3"/>
              </w:numPr>
              <w:tabs>
                <w:tab w:pos="793" w:val="left" w:leader="none"/>
              </w:tabs>
              <w:spacing w:line="278" w:lineRule="exact" w:before="9" w:after="0"/>
              <w:ind w:left="792" w:right="0" w:hanging="360"/>
              <w:jc w:val="left"/>
              <w:rPr>
                <w:rFonts w:ascii="Times New Roman" w:eastAsia="Times New Roman"/>
                <w:sz w:val="21"/>
              </w:rPr>
            </w:pPr>
            <w:r>
              <w:rPr>
                <w:spacing w:val="-3"/>
                <w:sz w:val="21"/>
              </w:rPr>
              <w:t>典型临床表现，例如急性胸痛等；</w:t>
            </w:r>
          </w:p>
          <w:p>
            <w:pPr>
              <w:pStyle w:val="TableParagraph"/>
              <w:numPr>
                <w:ilvl w:val="0"/>
                <w:numId w:val="3"/>
              </w:numPr>
              <w:tabs>
                <w:tab w:pos="793" w:val="left" w:leader="none"/>
              </w:tabs>
              <w:spacing w:line="272" w:lineRule="exact" w:before="0" w:after="0"/>
              <w:ind w:left="792" w:right="0" w:hanging="360"/>
              <w:jc w:val="left"/>
              <w:rPr>
                <w:rFonts w:ascii="Times New Roman" w:eastAsia="Times New Roman"/>
                <w:sz w:val="21"/>
              </w:rPr>
            </w:pPr>
            <w:r>
              <w:rPr>
                <w:spacing w:val="-3"/>
                <w:sz w:val="21"/>
              </w:rPr>
              <w:t>新近的心电图改变提示急性心肌梗塞；</w:t>
            </w:r>
          </w:p>
          <w:p>
            <w:pPr>
              <w:pStyle w:val="TableParagraph"/>
              <w:numPr>
                <w:ilvl w:val="0"/>
                <w:numId w:val="3"/>
              </w:numPr>
              <w:tabs>
                <w:tab w:pos="793" w:val="left" w:leader="none"/>
              </w:tabs>
              <w:spacing w:line="225" w:lineRule="auto" w:before="8" w:after="0"/>
              <w:ind w:left="792" w:right="301" w:hanging="360"/>
              <w:jc w:val="left"/>
              <w:rPr>
                <w:rFonts w:ascii="Times New Roman" w:eastAsia="Times New Roman"/>
                <w:sz w:val="21"/>
              </w:rPr>
            </w:pPr>
            <w:r>
              <w:rPr>
                <w:spacing w:val="-4"/>
                <w:sz w:val="21"/>
              </w:rPr>
              <w:t>心肌酶或肌钙蛋白有诊断意义的升高，或呈符合急性心肌梗塞的动态性变化；</w:t>
            </w:r>
          </w:p>
          <w:p>
            <w:pPr>
              <w:pStyle w:val="TableParagraph"/>
              <w:numPr>
                <w:ilvl w:val="0"/>
                <w:numId w:val="3"/>
              </w:numPr>
              <w:tabs>
                <w:tab w:pos="793" w:val="left" w:leader="none"/>
              </w:tabs>
              <w:spacing w:line="279" w:lineRule="exact" w:before="0" w:after="0"/>
              <w:ind w:left="792" w:right="0" w:hanging="360"/>
              <w:jc w:val="left"/>
              <w:rPr>
                <w:rFonts w:ascii="Times New Roman" w:eastAsia="Times New Roman"/>
                <w:sz w:val="20"/>
              </w:rPr>
            </w:pPr>
            <w:r>
              <w:rPr>
                <w:spacing w:val="-1"/>
                <w:sz w:val="21"/>
              </w:rPr>
              <w:t>发病</w:t>
            </w:r>
            <w:r>
              <w:rPr>
                <w:rFonts w:ascii="Times New Roman" w:eastAsia="Times New Roman"/>
                <w:spacing w:val="-1"/>
                <w:sz w:val="21"/>
              </w:rPr>
              <w:t>90</w:t>
            </w:r>
            <w:r>
              <w:rPr>
                <w:spacing w:val="-10"/>
                <w:sz w:val="21"/>
              </w:rPr>
              <w:t>天后，经检查证实左心室功能降低，如左心室射血分数低于</w:t>
            </w:r>
            <w:r>
              <w:rPr>
                <w:rFonts w:ascii="Times New Roman" w:eastAsia="Times New Roman"/>
                <w:sz w:val="21"/>
              </w:rPr>
              <w:t>50%</w:t>
            </w:r>
            <w:r>
              <w:rPr>
                <w:sz w:val="21"/>
              </w:rPr>
              <w:t>。</w:t>
            </w:r>
          </w:p>
          <w:p>
            <w:pPr>
              <w:pStyle w:val="TableParagraph"/>
              <w:spacing w:line="272" w:lineRule="exact"/>
              <w:ind w:left="252"/>
              <w:rPr>
                <w:b/>
                <w:sz w:val="21"/>
              </w:rPr>
            </w:pPr>
            <w:r>
              <w:rPr>
                <w:rFonts w:ascii="Times New Roman" w:eastAsia="Times New Roman"/>
                <w:b/>
                <w:sz w:val="21"/>
              </w:rPr>
              <w:t>3</w:t>
            </w:r>
            <w:r>
              <w:rPr>
                <w:b/>
                <w:sz w:val="21"/>
              </w:rPr>
              <w:t>、脑中风后遗症</w:t>
            </w:r>
          </w:p>
          <w:p>
            <w:pPr>
              <w:pStyle w:val="TableParagraph"/>
              <w:spacing w:line="230" w:lineRule="auto" w:before="1"/>
              <w:ind w:left="252" w:right="301"/>
              <w:jc w:val="both"/>
              <w:rPr>
                <w:sz w:val="21"/>
              </w:rPr>
            </w:pPr>
            <w:r>
              <w:rPr>
                <w:spacing w:val="-8"/>
                <w:sz w:val="21"/>
              </w:rPr>
              <w:t>指因脑血管的突发病变引起脑血管出血、栓塞或梗塞，并导致神经系统永久性</w:t>
            </w:r>
            <w:r>
              <w:rPr>
                <w:spacing w:val="-5"/>
                <w:sz w:val="21"/>
              </w:rPr>
              <w:t>的功能障碍。神经系统永久性的功能障碍，指疾病确诊</w:t>
            </w:r>
            <w:r>
              <w:rPr>
                <w:rFonts w:ascii="Times New Roman" w:eastAsia="Times New Roman"/>
                <w:sz w:val="21"/>
              </w:rPr>
              <w:t>180</w:t>
            </w:r>
            <w:r>
              <w:rPr>
                <w:spacing w:val="-3"/>
                <w:sz w:val="21"/>
              </w:rPr>
              <w:t>天后，仍遗留下列一种或一种以上障碍：</w:t>
            </w:r>
          </w:p>
          <w:p>
            <w:pPr>
              <w:pStyle w:val="TableParagraph"/>
              <w:numPr>
                <w:ilvl w:val="0"/>
                <w:numId w:val="4"/>
              </w:numPr>
              <w:tabs>
                <w:tab w:pos="793" w:val="left" w:leader="none"/>
              </w:tabs>
              <w:spacing w:line="279" w:lineRule="exact" w:before="0" w:after="0"/>
              <w:ind w:left="792" w:right="0" w:hanging="360"/>
              <w:jc w:val="left"/>
              <w:rPr>
                <w:sz w:val="21"/>
              </w:rPr>
            </w:pPr>
            <w:r>
              <w:rPr>
                <w:spacing w:val="-3"/>
                <w:w w:val="100"/>
                <w:sz w:val="21"/>
              </w:rPr>
              <w:t>一肢或一肢以上肢体机能完全丧失</w:t>
            </w:r>
            <w:r>
              <w:rPr>
                <w:w w:val="100"/>
                <w:position w:val="10"/>
                <w:sz w:val="10"/>
              </w:rPr>
              <w:t>(17</w:t>
            </w:r>
            <w:r>
              <w:rPr>
                <w:spacing w:val="-2"/>
                <w:w w:val="100"/>
                <w:position w:val="10"/>
                <w:sz w:val="10"/>
              </w:rPr>
              <w:t>)</w:t>
            </w:r>
            <w:r>
              <w:rPr>
                <w:w w:val="100"/>
                <w:sz w:val="21"/>
              </w:rPr>
              <w:t>；</w:t>
            </w:r>
          </w:p>
          <w:p>
            <w:pPr>
              <w:pStyle w:val="TableParagraph"/>
              <w:numPr>
                <w:ilvl w:val="0"/>
                <w:numId w:val="4"/>
              </w:numPr>
              <w:tabs>
                <w:tab w:pos="793" w:val="left" w:leader="none"/>
              </w:tabs>
              <w:spacing w:line="272" w:lineRule="exact" w:before="0" w:after="0"/>
              <w:ind w:left="792" w:right="0" w:hanging="360"/>
              <w:jc w:val="left"/>
              <w:rPr>
                <w:sz w:val="21"/>
              </w:rPr>
            </w:pPr>
            <w:r>
              <w:rPr>
                <w:spacing w:val="-3"/>
                <w:w w:val="100"/>
                <w:sz w:val="21"/>
              </w:rPr>
              <w:t>语言能力或咀嚼吞咽能力完全丧失</w:t>
            </w:r>
            <w:r>
              <w:rPr>
                <w:w w:val="100"/>
                <w:position w:val="10"/>
                <w:sz w:val="10"/>
              </w:rPr>
              <w:t>(18</w:t>
            </w:r>
            <w:r>
              <w:rPr>
                <w:spacing w:val="-2"/>
                <w:w w:val="100"/>
                <w:position w:val="10"/>
                <w:sz w:val="10"/>
              </w:rPr>
              <w:t>)</w:t>
            </w:r>
            <w:r>
              <w:rPr>
                <w:w w:val="100"/>
                <w:sz w:val="21"/>
              </w:rPr>
              <w:t>；</w:t>
            </w:r>
          </w:p>
          <w:p>
            <w:pPr>
              <w:pStyle w:val="TableParagraph"/>
              <w:numPr>
                <w:ilvl w:val="0"/>
                <w:numId w:val="4"/>
              </w:numPr>
              <w:tabs>
                <w:tab w:pos="793" w:val="left" w:leader="none"/>
              </w:tabs>
              <w:spacing w:line="225" w:lineRule="auto" w:before="7" w:after="0"/>
              <w:ind w:left="792" w:right="310" w:hanging="360"/>
              <w:jc w:val="left"/>
              <w:rPr>
                <w:sz w:val="21"/>
              </w:rPr>
            </w:pPr>
            <w:r>
              <w:rPr>
                <w:spacing w:val="-4"/>
                <w:sz w:val="21"/>
              </w:rPr>
              <w:t>自主生活能力完全丧失，无法独立完成六项基本日常生活活动</w:t>
            </w:r>
            <w:r>
              <w:rPr>
                <w:position w:val="10"/>
                <w:sz w:val="10"/>
              </w:rPr>
              <w:t>(19)</w:t>
            </w:r>
            <w:r>
              <w:rPr>
                <w:spacing w:val="-3"/>
                <w:sz w:val="21"/>
              </w:rPr>
              <w:t>中的三</w:t>
            </w:r>
            <w:r>
              <w:rPr>
                <w:spacing w:val="-2"/>
                <w:sz w:val="21"/>
              </w:rPr>
              <w:t>项或三项以上。</w:t>
            </w:r>
          </w:p>
          <w:p>
            <w:pPr>
              <w:pStyle w:val="TableParagraph"/>
              <w:spacing w:line="279" w:lineRule="exact"/>
              <w:ind w:left="252"/>
              <w:jc w:val="both"/>
              <w:rPr>
                <w:b/>
                <w:sz w:val="21"/>
              </w:rPr>
            </w:pPr>
            <w:r>
              <w:rPr>
                <w:rFonts w:ascii="Times New Roman" w:eastAsia="Times New Roman"/>
                <w:b/>
                <w:sz w:val="21"/>
              </w:rPr>
              <w:t>4</w:t>
            </w:r>
            <w:r>
              <w:rPr>
                <w:b/>
                <w:sz w:val="21"/>
              </w:rPr>
              <w:t>、重大器官移植术或造血干细胞移植术</w:t>
            </w:r>
          </w:p>
          <w:p>
            <w:pPr>
              <w:pStyle w:val="TableParagraph"/>
              <w:spacing w:line="246" w:lineRule="exact"/>
              <w:ind w:left="252"/>
              <w:jc w:val="both"/>
              <w:rPr>
                <w:sz w:val="21"/>
              </w:rPr>
            </w:pPr>
            <w:r>
              <w:rPr>
                <w:sz w:val="21"/>
              </w:rPr>
              <w:t>重大器官移植术，指因相应器官功能衰竭，已经实施了肾脏、肝脏、心脏或肺</w:t>
            </w:r>
          </w:p>
        </w:tc>
      </w:tr>
    </w:tbl>
    <w:p>
      <w:pPr>
        <w:spacing w:after="0" w:line="246" w:lineRule="exact"/>
        <w:jc w:val="both"/>
        <w:rPr>
          <w:sz w:val="21"/>
        </w:rPr>
        <w:sectPr>
          <w:pgSz w:w="11910" w:h="16840"/>
          <w:pgMar w:header="0" w:footer="990" w:top="1380" w:bottom="1180" w:left="1140" w:right="1200"/>
        </w:sectPr>
      </w:pPr>
    </w:p>
    <w:p>
      <w:pPr>
        <w:pStyle w:val="BodyText"/>
        <w:spacing w:before="7"/>
        <w:ind w:left="1900"/>
      </w:pPr>
      <w:r>
        <w:rPr/>
        <w:t>脏的异体移植手术。</w:t>
      </w:r>
    </w:p>
    <w:p>
      <w:pPr>
        <w:pStyle w:val="BodyText"/>
        <w:spacing w:line="297" w:lineRule="auto" w:before="65"/>
        <w:ind w:left="1900" w:right="214"/>
        <w:jc w:val="both"/>
      </w:pPr>
      <w:r>
        <w:rPr>
          <w:spacing w:val="-11"/>
        </w:rPr>
        <w:t>造血干细胞移植术，指因造血功能损害或造血系统恶性肿瘤，已经实施了造血</w:t>
      </w:r>
      <w:r>
        <w:rPr>
          <w:spacing w:val="-19"/>
        </w:rPr>
        <w:t>干细胞</w:t>
      </w:r>
      <w:r>
        <w:rPr>
          <w:spacing w:val="-3"/>
        </w:rPr>
        <w:t>（</w:t>
      </w:r>
      <w:r>
        <w:rPr>
          <w:spacing w:val="-6"/>
        </w:rPr>
        <w:t>包括骨髓造血干细胞、外周血造血干细胞和脐血造血干细胞</w:t>
      </w:r>
      <w:r>
        <w:rPr>
          <w:spacing w:val="-34"/>
        </w:rPr>
        <w:t>）</w:t>
      </w:r>
      <w:r>
        <w:rPr>
          <w:spacing w:val="-2"/>
        </w:rPr>
        <w:t>的异体</w:t>
      </w:r>
      <w:r>
        <w:rPr>
          <w:spacing w:val="-3"/>
        </w:rPr>
        <w:t>移植手术。</w:t>
      </w:r>
    </w:p>
    <w:p>
      <w:pPr>
        <w:pStyle w:val="Heading3"/>
        <w:spacing w:before="12"/>
        <w:ind w:left="1900"/>
        <w:rPr>
          <w:rFonts w:ascii="宋体" w:eastAsia="宋体" w:hint="eastAsia"/>
        </w:rPr>
      </w:pPr>
      <w:r>
        <w:rPr>
          <w:rFonts w:ascii="Times New Roman" w:eastAsia="Times New Roman"/>
        </w:rPr>
        <w:t>5</w:t>
      </w:r>
      <w:r>
        <w:rPr>
          <w:rFonts w:ascii="宋体" w:eastAsia="宋体" w:hint="eastAsia"/>
        </w:rPr>
        <w:t>、冠状动脉搭桥术（或称冠状动脉旁路移植术）</w:t>
      </w:r>
    </w:p>
    <w:p>
      <w:pPr>
        <w:pStyle w:val="BodyText"/>
        <w:spacing w:line="297" w:lineRule="auto" w:before="49"/>
        <w:ind w:left="1900" w:right="327"/>
      </w:pPr>
      <w:r>
        <w:rPr/>
        <w:t>指为治疗严重的冠心病，实际实施了开胸进行的冠状动脉血管旁路移植的手术。</w:t>
      </w:r>
    </w:p>
    <w:p>
      <w:pPr>
        <w:pStyle w:val="Heading3"/>
        <w:spacing w:line="297" w:lineRule="auto" w:before="15"/>
        <w:ind w:left="1900" w:right="306"/>
      </w:pPr>
      <w:r>
        <w:rPr/>
        <w:t>冠状动脉支架植入术、心导管球囊扩张术、激光射频技术及其它非开胸的介入手术、腔镜手术不在保障范围内。</w:t>
      </w:r>
    </w:p>
    <w:p>
      <w:pPr>
        <w:spacing w:before="15"/>
        <w:ind w:left="1900" w:right="0" w:firstLine="0"/>
        <w:jc w:val="left"/>
        <w:rPr>
          <w:b/>
          <w:sz w:val="21"/>
        </w:rPr>
      </w:pPr>
      <w:r>
        <w:rPr>
          <w:rFonts w:ascii="Times New Roman" w:eastAsia="Times New Roman"/>
          <w:b/>
          <w:sz w:val="21"/>
        </w:rPr>
        <w:t>6</w:t>
      </w:r>
      <w:r>
        <w:rPr>
          <w:b/>
          <w:sz w:val="21"/>
        </w:rPr>
        <w:t>、终末期肾病（或称慢性肾功能衰竭尿毒症期）</w:t>
      </w:r>
    </w:p>
    <w:p>
      <w:pPr>
        <w:pStyle w:val="BodyText"/>
        <w:spacing w:line="280" w:lineRule="auto" w:before="47"/>
        <w:ind w:left="1900" w:right="327"/>
      </w:pPr>
      <w:r>
        <w:rPr/>
        <w:t>指双肾功能慢性不可逆性衰竭，达到尿毒症期，经诊断后已经进行了至少</w:t>
      </w:r>
      <w:r>
        <w:rPr>
          <w:rFonts w:ascii="Times New Roman" w:eastAsia="Times New Roman"/>
        </w:rPr>
        <w:t>90 </w:t>
      </w:r>
      <w:r>
        <w:rPr/>
        <w:t>天的规律性透析治疗或实施了肾脏移植手术。</w:t>
      </w:r>
    </w:p>
    <w:p>
      <w:pPr>
        <w:pStyle w:val="BodyText"/>
        <w:spacing w:before="2"/>
        <w:rPr>
          <w:sz w:val="14"/>
        </w:rPr>
      </w:pPr>
    </w:p>
    <w:p>
      <w:pPr>
        <w:pStyle w:val="Heading3"/>
        <w:ind w:left="1940"/>
        <w:rPr>
          <w:rFonts w:ascii="宋体" w:eastAsia="宋体" w:hint="eastAsia"/>
        </w:rPr>
      </w:pPr>
      <w:r>
        <w:rPr>
          <w:rFonts w:ascii="宋体" w:eastAsia="宋体" w:hint="eastAsia"/>
          <w:sz w:val="20"/>
        </w:rPr>
        <w:t>7、</w:t>
      </w:r>
      <w:r>
        <w:rPr>
          <w:rFonts w:ascii="宋体" w:eastAsia="宋体" w:hint="eastAsia"/>
        </w:rPr>
        <w:t>急性或亚急性重症肝炎</w:t>
      </w:r>
    </w:p>
    <w:p>
      <w:pPr>
        <w:pStyle w:val="BodyText"/>
        <w:spacing w:line="297" w:lineRule="auto" w:before="65"/>
        <w:ind w:left="1950" w:right="216"/>
      </w:pPr>
      <w:r>
        <w:rPr/>
        <w:t>指因肝炎病毒感染引起肝脏组织弥漫性坏死，导致急性肝功能衰竭，且经血清学或病毒学检查证实，并须满足下列全部条件：</w:t>
      </w:r>
    </w:p>
    <w:p>
      <w:pPr>
        <w:pStyle w:val="ListParagraph"/>
        <w:numPr>
          <w:ilvl w:val="1"/>
          <w:numId w:val="1"/>
        </w:numPr>
        <w:tabs>
          <w:tab w:pos="2160" w:val="left" w:leader="none"/>
        </w:tabs>
        <w:spacing w:line="240" w:lineRule="auto" w:before="15" w:after="0"/>
        <w:ind w:left="2159" w:right="0" w:hanging="262"/>
        <w:jc w:val="both"/>
        <w:rPr>
          <w:sz w:val="21"/>
        </w:rPr>
      </w:pPr>
      <w:r>
        <w:rPr>
          <w:spacing w:val="-3"/>
          <w:sz w:val="21"/>
        </w:rPr>
        <w:t>重度黄疸或黄疸迅速加重；</w:t>
      </w:r>
    </w:p>
    <w:p>
      <w:pPr>
        <w:pStyle w:val="ListParagraph"/>
        <w:numPr>
          <w:ilvl w:val="1"/>
          <w:numId w:val="1"/>
        </w:numPr>
        <w:tabs>
          <w:tab w:pos="2160" w:val="left" w:leader="none"/>
        </w:tabs>
        <w:spacing w:line="240" w:lineRule="auto" w:before="65" w:after="0"/>
        <w:ind w:left="2159" w:right="0" w:hanging="262"/>
        <w:jc w:val="both"/>
        <w:rPr>
          <w:sz w:val="21"/>
        </w:rPr>
      </w:pPr>
      <w:r>
        <w:rPr>
          <w:spacing w:val="-1"/>
          <w:sz w:val="21"/>
        </w:rPr>
        <w:t>肝性脑病；</w:t>
      </w:r>
    </w:p>
    <w:p>
      <w:pPr>
        <w:pStyle w:val="ListParagraph"/>
        <w:numPr>
          <w:ilvl w:val="1"/>
          <w:numId w:val="1"/>
        </w:numPr>
        <w:tabs>
          <w:tab w:pos="2160" w:val="left" w:leader="none"/>
        </w:tabs>
        <w:spacing w:line="240" w:lineRule="auto" w:before="63" w:after="0"/>
        <w:ind w:left="2159" w:right="0" w:hanging="262"/>
        <w:jc w:val="both"/>
        <w:rPr>
          <w:sz w:val="21"/>
        </w:rPr>
      </w:pPr>
      <w:r>
        <w:rPr>
          <w:sz w:val="21"/>
        </w:rPr>
        <w:t>B</w:t>
      </w:r>
      <w:r>
        <w:rPr>
          <w:spacing w:val="-3"/>
          <w:sz w:val="21"/>
        </w:rPr>
        <w:t>超或其它影像学检查显示肝脏体积急速萎缩；</w:t>
      </w:r>
    </w:p>
    <w:p>
      <w:pPr>
        <w:pStyle w:val="ListParagraph"/>
        <w:numPr>
          <w:ilvl w:val="1"/>
          <w:numId w:val="1"/>
        </w:numPr>
        <w:tabs>
          <w:tab w:pos="2160" w:val="left" w:leader="none"/>
        </w:tabs>
        <w:spacing w:line="240" w:lineRule="auto" w:before="66" w:after="0"/>
        <w:ind w:left="2159" w:right="0" w:hanging="262"/>
        <w:jc w:val="both"/>
        <w:rPr>
          <w:sz w:val="20"/>
        </w:rPr>
      </w:pPr>
      <w:r>
        <w:rPr>
          <w:spacing w:val="-3"/>
          <w:sz w:val="21"/>
        </w:rPr>
        <w:t>肝功能指标进行性恶化。</w:t>
      </w:r>
    </w:p>
    <w:p>
      <w:pPr>
        <w:pStyle w:val="Heading3"/>
        <w:spacing w:before="66"/>
        <w:ind w:left="1900"/>
        <w:jc w:val="both"/>
        <w:rPr>
          <w:rFonts w:ascii="宋体" w:eastAsia="宋体" w:hint="eastAsia"/>
        </w:rPr>
      </w:pPr>
      <w:r>
        <w:rPr>
          <w:rFonts w:ascii="Times New Roman" w:eastAsia="Times New Roman"/>
        </w:rPr>
        <w:t>8</w:t>
      </w:r>
      <w:r>
        <w:rPr>
          <w:rFonts w:ascii="宋体" w:eastAsia="宋体" w:hint="eastAsia"/>
        </w:rPr>
        <w:t>、良性脑肿瘤</w:t>
      </w:r>
    </w:p>
    <w:p>
      <w:pPr>
        <w:pStyle w:val="BodyText"/>
        <w:spacing w:line="285" w:lineRule="auto" w:before="50"/>
        <w:ind w:left="1900" w:right="212"/>
        <w:jc w:val="both"/>
      </w:pPr>
      <w:r>
        <w:rPr>
          <w:spacing w:val="-10"/>
        </w:rPr>
        <w:t>指脑的良性肿瘤，已经引起颅内压增高，临床表现为视神经乳头水肿、精神症</w:t>
      </w:r>
      <w:r>
        <w:rPr>
          <w:spacing w:val="-7"/>
          <w:w w:val="100"/>
        </w:rPr>
        <w:t>状、癫痫及运动感觉障碍等，并危及生命。须由头颅断层扫描</w:t>
      </w:r>
      <w:r>
        <w:rPr>
          <w:spacing w:val="-3"/>
          <w:w w:val="100"/>
        </w:rPr>
        <w:t>（</w:t>
      </w:r>
      <w:r>
        <w:rPr>
          <w:rFonts w:ascii="Times New Roman" w:eastAsia="Times New Roman"/>
          <w:w w:val="100"/>
        </w:rPr>
        <w:t>CT</w:t>
      </w:r>
      <w:r>
        <w:rPr>
          <w:spacing w:val="-108"/>
          <w:w w:val="100"/>
        </w:rPr>
        <w:t>）</w:t>
      </w:r>
      <w:r>
        <w:rPr>
          <w:spacing w:val="-4"/>
          <w:w w:val="100"/>
        </w:rPr>
        <w:t>、核磁共</w:t>
      </w:r>
      <w:r>
        <w:rPr>
          <w:spacing w:val="-6"/>
        </w:rPr>
        <w:t>振检查</w:t>
      </w:r>
      <w:r>
        <w:rPr>
          <w:spacing w:val="-3"/>
        </w:rPr>
        <w:t>（</w:t>
      </w:r>
      <w:r>
        <w:rPr>
          <w:rFonts w:ascii="Times New Roman" w:eastAsia="Times New Roman"/>
          <w:spacing w:val="-3"/>
        </w:rPr>
        <w:t>MRI</w:t>
      </w:r>
      <w:r>
        <w:rPr>
          <w:spacing w:val="-3"/>
        </w:rPr>
        <w:t>）</w:t>
      </w:r>
      <w:r>
        <w:rPr>
          <w:spacing w:val="-4"/>
        </w:rPr>
        <w:t>或正电子发射断层扫描</w:t>
      </w:r>
      <w:r>
        <w:rPr>
          <w:spacing w:val="-3"/>
        </w:rPr>
        <w:t>（</w:t>
      </w:r>
      <w:r>
        <w:rPr>
          <w:rFonts w:ascii="Times New Roman" w:eastAsia="Times New Roman"/>
          <w:spacing w:val="-3"/>
        </w:rPr>
        <w:t>PET</w:t>
      </w:r>
      <w:r>
        <w:rPr>
          <w:spacing w:val="-3"/>
        </w:rPr>
        <w:t>）</w:t>
      </w:r>
      <w:r>
        <w:rPr>
          <w:spacing w:val="-4"/>
        </w:rPr>
        <w:t>等影像学检查证实，并须满足</w:t>
      </w:r>
      <w:r>
        <w:rPr>
          <w:spacing w:val="-3"/>
        </w:rPr>
        <w:t>下列至少一项条件：</w:t>
      </w:r>
    </w:p>
    <w:p>
      <w:pPr>
        <w:pStyle w:val="ListParagraph"/>
        <w:numPr>
          <w:ilvl w:val="0"/>
          <w:numId w:val="5"/>
        </w:numPr>
        <w:tabs>
          <w:tab w:pos="2160" w:val="left" w:leader="none"/>
        </w:tabs>
        <w:spacing w:line="240" w:lineRule="auto" w:before="26" w:after="0"/>
        <w:ind w:left="2159" w:right="0" w:hanging="259"/>
        <w:jc w:val="both"/>
        <w:rPr>
          <w:sz w:val="21"/>
        </w:rPr>
      </w:pPr>
      <w:r>
        <w:rPr>
          <w:spacing w:val="-3"/>
          <w:sz w:val="21"/>
        </w:rPr>
        <w:t>实际实施了开颅进行的脑肿瘤完全切除或部分切除的手术；</w:t>
      </w:r>
    </w:p>
    <w:p>
      <w:pPr>
        <w:pStyle w:val="ListParagraph"/>
        <w:numPr>
          <w:ilvl w:val="0"/>
          <w:numId w:val="5"/>
        </w:numPr>
        <w:tabs>
          <w:tab w:pos="2160" w:val="left" w:leader="none"/>
        </w:tabs>
        <w:spacing w:line="240" w:lineRule="auto" w:before="66" w:after="0"/>
        <w:ind w:left="2159" w:right="0" w:hanging="259"/>
        <w:jc w:val="both"/>
        <w:rPr>
          <w:sz w:val="21"/>
        </w:rPr>
      </w:pPr>
      <w:r>
        <w:rPr>
          <w:spacing w:val="-3"/>
          <w:sz w:val="21"/>
        </w:rPr>
        <w:t>实际实施了对脑肿瘤进行的放射治疗。</w:t>
      </w:r>
    </w:p>
    <w:p>
      <w:pPr>
        <w:pStyle w:val="Heading3"/>
        <w:spacing w:before="66"/>
        <w:ind w:left="1900"/>
        <w:jc w:val="both"/>
      </w:pPr>
      <w:r>
        <w:rPr/>
        <w:t>脑垂体瘤、脑囊肿、脑血管性疾病不在保障范围内。</w:t>
      </w:r>
    </w:p>
    <w:p>
      <w:pPr>
        <w:spacing w:before="66"/>
        <w:ind w:left="1940" w:right="0" w:firstLine="0"/>
        <w:jc w:val="both"/>
        <w:rPr>
          <w:b/>
          <w:sz w:val="21"/>
        </w:rPr>
      </w:pPr>
      <w:r>
        <w:rPr>
          <w:b/>
          <w:sz w:val="20"/>
        </w:rPr>
        <w:t>9、</w:t>
      </w:r>
      <w:r>
        <w:rPr>
          <w:b/>
          <w:sz w:val="21"/>
        </w:rPr>
        <w:t>脑炎后遗症或脑膜炎后遗症</w:t>
      </w:r>
    </w:p>
    <w:p>
      <w:pPr>
        <w:pStyle w:val="BodyText"/>
        <w:spacing w:line="297" w:lineRule="auto" w:before="66"/>
        <w:ind w:left="1950" w:right="61"/>
      </w:pPr>
      <w:r>
        <w:rPr/>
        <w:t>指因患脑炎导致的神经系统永久性的功能障碍。神经系统永久性的功能障碍， 指疾病确诊180天后，仍遗留下列一种或一种以上障碍：</w:t>
      </w:r>
    </w:p>
    <w:p>
      <w:pPr>
        <w:pStyle w:val="BodyText"/>
        <w:spacing w:before="13"/>
        <w:ind w:left="1900"/>
      </w:pPr>
      <w:r>
        <w:rPr/>
        <w:t>（1）一肢或一肢以上肢体机能完全丧失；</w:t>
      </w:r>
    </w:p>
    <w:p>
      <w:pPr>
        <w:pStyle w:val="BodyText"/>
        <w:spacing w:before="65"/>
        <w:ind w:left="1900"/>
      </w:pPr>
      <w:r>
        <w:rPr/>
        <w:t>（2）语言能力或咀嚼吞咽能力完全丧失；</w:t>
      </w:r>
    </w:p>
    <w:p>
      <w:pPr>
        <w:pStyle w:val="BodyText"/>
        <w:spacing w:line="297" w:lineRule="auto" w:before="65"/>
        <w:ind w:left="2440" w:right="214" w:hanging="541"/>
      </w:pPr>
      <w:r>
        <w:rPr/>
        <w:t>（3）自主生活能力完全丧失，无法独立完成六项基本日常生活活动中的三项或三项以上。</w:t>
      </w:r>
    </w:p>
    <w:p>
      <w:pPr>
        <w:spacing w:before="15"/>
        <w:ind w:left="1900" w:right="0" w:firstLine="0"/>
        <w:jc w:val="left"/>
        <w:rPr>
          <w:b/>
          <w:sz w:val="21"/>
        </w:rPr>
      </w:pPr>
      <w:r>
        <w:rPr>
          <w:b/>
          <w:sz w:val="20"/>
        </w:rPr>
        <w:t>10、</w:t>
      </w:r>
      <w:r>
        <w:rPr>
          <w:b/>
          <w:sz w:val="21"/>
        </w:rPr>
        <w:t>双耳失聪</w:t>
      </w:r>
    </w:p>
    <w:p>
      <w:pPr>
        <w:pStyle w:val="BodyText"/>
        <w:spacing w:line="280" w:lineRule="auto" w:before="66"/>
        <w:ind w:left="1900" w:right="217" w:hanging="1"/>
        <w:jc w:val="both"/>
      </w:pPr>
      <w:r>
        <w:rPr>
          <w:spacing w:val="-4"/>
        </w:rPr>
        <w:t>指因疾病或意外伤害导致双耳听力永久不可逆性丧失，在</w:t>
      </w:r>
      <w:r>
        <w:rPr>
          <w:rFonts w:ascii="Times New Roman" w:eastAsia="Times New Roman"/>
        </w:rPr>
        <w:t>500</w:t>
      </w:r>
      <w:r>
        <w:rPr>
          <w:spacing w:val="-2"/>
        </w:rPr>
        <w:t>赫兹、</w:t>
      </w:r>
      <w:r>
        <w:rPr>
          <w:rFonts w:ascii="Times New Roman" w:eastAsia="Times New Roman"/>
        </w:rPr>
        <w:t>1000</w:t>
      </w:r>
      <w:r>
        <w:rPr>
          <w:spacing w:val="-3"/>
        </w:rPr>
        <w:t>赫兹</w:t>
      </w:r>
      <w:r>
        <w:rPr/>
        <w:t>和</w:t>
      </w:r>
      <w:r>
        <w:rPr>
          <w:rFonts w:ascii="Times New Roman" w:eastAsia="Times New Roman"/>
        </w:rPr>
        <w:t>2000</w:t>
      </w:r>
      <w:r>
        <w:rPr>
          <w:spacing w:val="-7"/>
        </w:rPr>
        <w:t>赫兹语音频率下，平均听阈大于</w:t>
      </w:r>
      <w:r>
        <w:rPr>
          <w:rFonts w:ascii="Times New Roman" w:eastAsia="Times New Roman"/>
        </w:rPr>
        <w:t>90</w:t>
      </w:r>
      <w:r>
        <w:rPr>
          <w:spacing w:val="-10"/>
        </w:rPr>
        <w:t>分贝，且经纯音听力测试、声导抗检</w:t>
      </w:r>
      <w:r>
        <w:rPr>
          <w:spacing w:val="-3"/>
        </w:rPr>
        <w:t>测或听觉诱发电位检测等证实。</w:t>
      </w:r>
    </w:p>
    <w:p>
      <w:pPr>
        <w:pStyle w:val="Heading3"/>
        <w:spacing w:before="30"/>
        <w:ind w:left="1900"/>
        <w:jc w:val="both"/>
        <w:rPr>
          <w:rFonts w:ascii="宋体" w:eastAsia="宋体" w:hint="eastAsia"/>
        </w:rPr>
      </w:pPr>
      <w:r>
        <w:rPr>
          <w:rFonts w:ascii="Times New Roman" w:eastAsia="Times New Roman"/>
        </w:rPr>
        <w:t>11</w:t>
      </w:r>
      <w:r>
        <w:rPr>
          <w:rFonts w:ascii="宋体" w:eastAsia="宋体" w:hint="eastAsia"/>
        </w:rPr>
        <w:t>、瘫痪</w:t>
      </w:r>
    </w:p>
    <w:p>
      <w:pPr>
        <w:pStyle w:val="BodyText"/>
        <w:spacing w:before="50"/>
        <w:ind w:left="1900"/>
        <w:jc w:val="both"/>
      </w:pPr>
      <w:r>
        <w:rPr/>
        <w:t>指因疾病或意外伤害导致两肢或两肢以上肢体机能永久完全丧失。肢体机能永</w:t>
      </w:r>
    </w:p>
    <w:p>
      <w:pPr>
        <w:spacing w:after="0"/>
        <w:jc w:val="both"/>
        <w:sectPr>
          <w:pgSz w:w="11910" w:h="16840"/>
          <w:pgMar w:header="0" w:footer="917" w:top="1380" w:bottom="1180" w:left="1340" w:right="1400"/>
        </w:sectPr>
      </w:pPr>
    </w:p>
    <w:p>
      <w:pPr>
        <w:pStyle w:val="BodyText"/>
        <w:spacing w:line="280" w:lineRule="auto" w:before="27"/>
        <w:ind w:left="1560" w:right="395" w:hanging="1"/>
      </w:pPr>
      <w:r>
        <w:rPr>
          <w:spacing w:val="-8"/>
        </w:rPr>
        <w:t>久完全丧失，指疾病确诊</w:t>
      </w:r>
      <w:r>
        <w:rPr>
          <w:rFonts w:ascii="Times New Roman" w:eastAsia="Times New Roman"/>
        </w:rPr>
        <w:t>180</w:t>
      </w:r>
      <w:r>
        <w:rPr>
          <w:spacing w:val="-3"/>
        </w:rPr>
        <w:t>天后或意外伤害发生</w:t>
      </w:r>
      <w:r>
        <w:rPr>
          <w:rFonts w:ascii="Times New Roman" w:eastAsia="Times New Roman"/>
        </w:rPr>
        <w:t>180</w:t>
      </w:r>
      <w:r>
        <w:rPr>
          <w:spacing w:val="-8"/>
        </w:rPr>
        <w:t>天后，每肢三大关节中的</w:t>
      </w:r>
      <w:r>
        <w:rPr>
          <w:spacing w:val="-5"/>
        </w:rPr>
        <w:t>两大关节仍然完全僵硬，或不能随意识活动。</w:t>
      </w:r>
    </w:p>
    <w:p>
      <w:pPr>
        <w:spacing w:before="29"/>
        <w:ind w:left="1560" w:right="0" w:firstLine="0"/>
        <w:jc w:val="left"/>
        <w:rPr>
          <w:b/>
          <w:sz w:val="21"/>
        </w:rPr>
      </w:pPr>
      <w:r>
        <w:rPr>
          <w:rFonts w:ascii="Times New Roman" w:eastAsia="Times New Roman"/>
          <w:sz w:val="21"/>
        </w:rPr>
        <w:t>12</w:t>
      </w:r>
      <w:r>
        <w:rPr>
          <w:sz w:val="21"/>
        </w:rPr>
        <w:t>、</w:t>
      </w:r>
      <w:r>
        <w:rPr>
          <w:b/>
          <w:sz w:val="21"/>
        </w:rPr>
        <w:t>心脏瓣膜手术</w:t>
      </w:r>
    </w:p>
    <w:p>
      <w:pPr>
        <w:pStyle w:val="BodyText"/>
        <w:spacing w:before="49"/>
        <w:ind w:left="1560"/>
      </w:pPr>
      <w:r>
        <w:rPr/>
        <w:t>指为治疗心脏瓣膜疾病，实际实施了开胸进行的心脏瓣膜置换或修复的手术。</w:t>
      </w:r>
    </w:p>
    <w:p>
      <w:pPr>
        <w:pStyle w:val="Heading3"/>
        <w:spacing w:before="63"/>
        <w:rPr>
          <w:rFonts w:ascii="宋体" w:eastAsia="宋体" w:hint="eastAsia"/>
        </w:rPr>
      </w:pPr>
      <w:r>
        <w:rPr>
          <w:rFonts w:ascii="Times New Roman" w:eastAsia="Times New Roman"/>
        </w:rPr>
        <w:t>13</w:t>
      </w:r>
      <w:r>
        <w:rPr>
          <w:rFonts w:ascii="宋体" w:eastAsia="宋体" w:hint="eastAsia"/>
        </w:rPr>
        <w:t>、严重阿尔茨海默病</w:t>
      </w:r>
    </w:p>
    <w:p>
      <w:pPr>
        <w:pStyle w:val="BodyText"/>
        <w:spacing w:line="292" w:lineRule="auto" w:before="50"/>
        <w:ind w:left="1560" w:right="286"/>
      </w:pPr>
      <w:r>
        <w:rPr>
          <w:spacing w:val="-11"/>
        </w:rPr>
        <w:t>指因大脑进行性、不可逆性改变导致智能严重衰退或丧失，临床表现为明显的</w:t>
      </w:r>
      <w:r>
        <w:rPr>
          <w:spacing w:val="-18"/>
        </w:rPr>
        <w:t>认知能力障碍、行为异常和社交能力减退，其日常生活必须持续受到他人监护。</w:t>
      </w:r>
      <w:r>
        <w:rPr>
          <w:spacing w:val="-15"/>
          <w:w w:val="100"/>
        </w:rPr>
        <w:t>须由头颅断层扫描</w:t>
      </w:r>
      <w:r>
        <w:rPr>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19"/>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4"/>
          <w:w w:val="100"/>
        </w:rPr>
        <w:t>I</w:t>
      </w:r>
      <w:r>
        <w:rPr>
          <w:spacing w:val="-58"/>
          <w:w w:val="100"/>
        </w:rPr>
        <w:t>）</w:t>
      </w:r>
      <w:r>
        <w:rPr>
          <w:spacing w:val="-9"/>
          <w:w w:val="100"/>
        </w:rPr>
        <w:t>或正电子发射断层扫描</w:t>
      </w:r>
      <w:r>
        <w:rPr>
          <w:spacing w:val="-3"/>
          <w:w w:val="100"/>
        </w:rPr>
        <w:t>（</w:t>
      </w:r>
      <w:r>
        <w:rPr>
          <w:rFonts w:ascii="Times New Roman" w:eastAsia="Times New Roman"/>
          <w:w w:val="100"/>
        </w:rPr>
        <w:t>PE</w:t>
      </w:r>
      <w:r>
        <w:rPr>
          <w:rFonts w:ascii="Times New Roman" w:eastAsia="Times New Roman"/>
          <w:w w:val="100"/>
        </w:rPr>
        <w:t>T</w:t>
      </w:r>
      <w:r>
        <w:rPr>
          <w:w w:val="100"/>
        </w:rPr>
        <w:t>）</w:t>
      </w:r>
      <w:r>
        <w:rPr>
          <w:spacing w:val="-11"/>
        </w:rPr>
        <w:t>等影像学检查证实，且自主生活能力完全丧失，无法独立完成六项基本日常生</w:t>
      </w:r>
      <w:r>
        <w:rPr>
          <w:spacing w:val="-6"/>
        </w:rPr>
        <w:t>活活动中的三项或三项以上。</w:t>
      </w:r>
    </w:p>
    <w:p>
      <w:pPr>
        <w:pStyle w:val="Heading3"/>
        <w:spacing w:before="17"/>
      </w:pPr>
      <w:r>
        <w:rPr/>
        <w:t>神经官能症和精神疾病不在保障范围内。</w:t>
      </w:r>
    </w:p>
    <w:p>
      <w:pPr>
        <w:spacing w:before="65"/>
        <w:ind w:left="1600" w:right="0" w:firstLine="0"/>
        <w:jc w:val="left"/>
        <w:rPr>
          <w:b/>
          <w:sz w:val="21"/>
        </w:rPr>
      </w:pPr>
      <w:r>
        <w:rPr>
          <w:b/>
          <w:sz w:val="20"/>
        </w:rPr>
        <w:t>14、</w:t>
      </w:r>
      <w:r>
        <w:rPr>
          <w:b/>
          <w:sz w:val="21"/>
        </w:rPr>
        <w:t>严重脑损伤</w:t>
      </w:r>
    </w:p>
    <w:p>
      <w:pPr>
        <w:pStyle w:val="BodyText"/>
        <w:spacing w:line="297" w:lineRule="auto" w:before="65"/>
        <w:ind w:left="1610" w:right="395"/>
        <w:jc w:val="both"/>
      </w:pPr>
      <w:r>
        <w:rPr/>
        <w:t>指因头部遭受机械性外力，引起脑重要部位损伤，导致神经系统永久性的功</w:t>
      </w:r>
      <w:r>
        <w:rPr>
          <w:spacing w:val="-4"/>
        </w:rPr>
        <w:t>能障碍。须由头颅断层扫描</w:t>
      </w:r>
      <w:r>
        <w:rPr>
          <w:spacing w:val="-3"/>
        </w:rPr>
        <w:t>（CT）</w:t>
      </w:r>
      <w:r>
        <w:rPr>
          <w:spacing w:val="-5"/>
        </w:rPr>
        <w:t>、核磁共振检查</w:t>
      </w:r>
      <w:r>
        <w:rPr>
          <w:spacing w:val="-3"/>
        </w:rPr>
        <w:t>（MRI）或正电子发射断层扫描（PET）等影像学检查证实。神经系统永久性的功能障碍，指脑损伤180 天后，仍遗留下列一种或一种以上障碍：</w:t>
      </w:r>
    </w:p>
    <w:p>
      <w:pPr>
        <w:pStyle w:val="ListParagraph"/>
        <w:numPr>
          <w:ilvl w:val="0"/>
          <w:numId w:val="6"/>
        </w:numPr>
        <w:tabs>
          <w:tab w:pos="1925" w:val="left" w:leader="none"/>
        </w:tabs>
        <w:spacing w:line="240" w:lineRule="auto" w:before="15" w:after="0"/>
        <w:ind w:left="1924" w:right="0" w:hanging="365"/>
        <w:jc w:val="left"/>
        <w:rPr>
          <w:sz w:val="21"/>
        </w:rPr>
      </w:pPr>
      <w:r>
        <w:rPr>
          <w:spacing w:val="-3"/>
          <w:sz w:val="21"/>
        </w:rPr>
        <w:t>一肢或一肢以上肢体机能完全丧失；</w:t>
      </w:r>
    </w:p>
    <w:p>
      <w:pPr>
        <w:pStyle w:val="ListParagraph"/>
        <w:numPr>
          <w:ilvl w:val="0"/>
          <w:numId w:val="6"/>
        </w:numPr>
        <w:tabs>
          <w:tab w:pos="1925" w:val="left" w:leader="none"/>
        </w:tabs>
        <w:spacing w:line="240" w:lineRule="auto" w:before="63" w:after="0"/>
        <w:ind w:left="1924" w:right="0" w:hanging="365"/>
        <w:jc w:val="left"/>
        <w:rPr>
          <w:sz w:val="21"/>
        </w:rPr>
      </w:pPr>
      <w:r>
        <w:rPr>
          <w:spacing w:val="-3"/>
          <w:sz w:val="21"/>
        </w:rPr>
        <w:t>语言能力或咀嚼吞咽能力完全丧失；</w:t>
      </w:r>
    </w:p>
    <w:p>
      <w:pPr>
        <w:pStyle w:val="BodyText"/>
        <w:spacing w:line="280" w:lineRule="auto" w:before="65"/>
        <w:ind w:left="1919" w:right="401" w:hanging="358"/>
      </w:pPr>
      <w:r>
        <w:rPr>
          <w:rFonts w:ascii="Times New Roman" w:eastAsia="Times New Roman"/>
        </w:rPr>
        <w:t>3</w:t>
      </w:r>
      <w:r>
        <w:rPr/>
        <w:t>）自主生活能力完全丧失，无法独立完成六项基本日常生活活动中的三项或三项以上。</w:t>
      </w:r>
    </w:p>
    <w:p>
      <w:pPr>
        <w:pStyle w:val="Heading3"/>
        <w:spacing w:before="29"/>
        <w:rPr>
          <w:rFonts w:ascii="宋体" w:eastAsia="宋体" w:hint="eastAsia"/>
        </w:rPr>
      </w:pPr>
      <w:r>
        <w:rPr>
          <w:rFonts w:ascii="Times New Roman" w:eastAsia="Times New Roman"/>
        </w:rPr>
        <w:t>15</w:t>
      </w:r>
      <w:r>
        <w:rPr>
          <w:rFonts w:ascii="宋体" w:eastAsia="宋体" w:hint="eastAsia"/>
        </w:rPr>
        <w:t>、严重帕金森氏病</w:t>
      </w:r>
    </w:p>
    <w:p>
      <w:pPr>
        <w:pStyle w:val="BodyText"/>
        <w:spacing w:line="297" w:lineRule="auto" w:before="50"/>
        <w:ind w:left="1560" w:right="394"/>
      </w:pPr>
      <w:r>
        <w:rPr>
          <w:spacing w:val="-8"/>
        </w:rPr>
        <w:t>是一种中枢神经系统的退行性疾病，临床表现为震颤麻痹、共济失调等。须满</w:t>
      </w:r>
      <w:r>
        <w:rPr>
          <w:spacing w:val="-5"/>
        </w:rPr>
        <w:t>足下列全部条件：</w:t>
      </w:r>
    </w:p>
    <w:p>
      <w:pPr>
        <w:pStyle w:val="ListParagraph"/>
        <w:numPr>
          <w:ilvl w:val="0"/>
          <w:numId w:val="7"/>
        </w:numPr>
        <w:tabs>
          <w:tab w:pos="1921" w:val="left" w:leader="none"/>
        </w:tabs>
        <w:spacing w:line="240" w:lineRule="auto" w:before="13" w:after="0"/>
        <w:ind w:left="1920" w:right="0" w:hanging="360"/>
        <w:jc w:val="left"/>
        <w:rPr>
          <w:sz w:val="21"/>
        </w:rPr>
      </w:pPr>
      <w:r>
        <w:rPr>
          <w:spacing w:val="-3"/>
          <w:sz w:val="21"/>
        </w:rPr>
        <w:t>药物治疗无法控制病情；</w:t>
      </w:r>
    </w:p>
    <w:p>
      <w:pPr>
        <w:pStyle w:val="ListParagraph"/>
        <w:numPr>
          <w:ilvl w:val="0"/>
          <w:numId w:val="7"/>
        </w:numPr>
        <w:tabs>
          <w:tab w:pos="1921" w:val="left" w:leader="none"/>
        </w:tabs>
        <w:spacing w:line="280" w:lineRule="auto" w:before="50" w:after="0"/>
        <w:ind w:left="1920" w:right="394" w:hanging="360"/>
        <w:jc w:val="left"/>
        <w:rPr>
          <w:sz w:val="21"/>
        </w:rPr>
      </w:pPr>
      <w:r>
        <w:rPr>
          <w:spacing w:val="-7"/>
          <w:sz w:val="21"/>
        </w:rPr>
        <w:t>自主生活能力完全丧失，无法独立完成六项基本日常生活活动中的三项或</w:t>
      </w:r>
      <w:r>
        <w:rPr>
          <w:spacing w:val="-4"/>
          <w:sz w:val="21"/>
        </w:rPr>
        <w:t>三项以上。</w:t>
      </w:r>
    </w:p>
    <w:p>
      <w:pPr>
        <w:pStyle w:val="Heading3"/>
        <w:spacing w:before="30"/>
      </w:pPr>
      <w:r>
        <w:rPr/>
        <w:t>继发性帕金森综合征不在保障范围内。</w:t>
      </w:r>
    </w:p>
    <w:p>
      <w:pPr>
        <w:spacing w:before="65"/>
        <w:ind w:left="1560" w:right="0" w:firstLine="0"/>
        <w:jc w:val="left"/>
        <w:rPr>
          <w:b/>
          <w:sz w:val="21"/>
        </w:rPr>
      </w:pPr>
      <w:r>
        <w:rPr>
          <w:b/>
          <w:sz w:val="20"/>
        </w:rPr>
        <w:t>16、</w:t>
      </w:r>
      <w:r>
        <w:rPr>
          <w:b/>
          <w:sz w:val="21"/>
        </w:rPr>
        <w:t>严重原发性肺动脉高压</w:t>
      </w:r>
    </w:p>
    <w:p>
      <w:pPr>
        <w:pStyle w:val="BodyText"/>
        <w:spacing w:line="297" w:lineRule="auto" w:before="65"/>
        <w:ind w:left="1560" w:right="392"/>
        <w:jc w:val="both"/>
      </w:pPr>
      <w:r>
        <w:rPr>
          <w:spacing w:val="-8"/>
        </w:rPr>
        <w:t>指不明原因的肺动脉压力持续性增高，进行性发展而导致的慢性疾病，已经造</w:t>
      </w:r>
      <w:r>
        <w:rPr>
          <w:spacing w:val="-5"/>
        </w:rPr>
        <w:t>成永久不可逆</w:t>
      </w:r>
      <w:r>
        <w:rPr>
          <w:position w:val="11"/>
          <w:sz w:val="11"/>
        </w:rPr>
        <w:t>(20)</w:t>
      </w:r>
      <w:r>
        <w:rPr>
          <w:spacing w:val="-12"/>
        </w:rPr>
        <w:t>性的体力活动能力受限，达到美国纽约心脏病学会心功能状态</w:t>
      </w:r>
      <w:r>
        <w:rPr>
          <w:spacing w:val="-1"/>
        </w:rPr>
        <w:t>分级</w:t>
      </w:r>
      <w:r>
        <w:rPr>
          <w:rFonts w:ascii="Times New Roman" w:eastAsia="Times New Roman"/>
          <w:spacing w:val="-1"/>
        </w:rPr>
        <w:t>IV</w:t>
      </w:r>
      <w:r>
        <w:rPr>
          <w:spacing w:val="-3"/>
        </w:rPr>
        <w:t>级，且静息状态下肺动脉平均压超过</w:t>
      </w:r>
      <w:r>
        <w:rPr>
          <w:rFonts w:ascii="Times New Roman" w:eastAsia="Times New Roman"/>
        </w:rPr>
        <w:t>30mmHg</w:t>
      </w:r>
      <w:r>
        <w:rPr/>
        <w:t>。</w:t>
      </w:r>
    </w:p>
    <w:p>
      <w:pPr>
        <w:spacing w:line="269" w:lineRule="exact" w:before="0"/>
        <w:ind w:left="1560" w:right="0" w:firstLine="0"/>
        <w:jc w:val="left"/>
        <w:rPr>
          <w:b/>
          <w:sz w:val="21"/>
        </w:rPr>
      </w:pPr>
      <w:r>
        <w:rPr>
          <w:b/>
          <w:sz w:val="20"/>
        </w:rPr>
        <w:t>17、</w:t>
      </w:r>
      <w:r>
        <w:rPr>
          <w:b/>
          <w:sz w:val="21"/>
        </w:rPr>
        <w:t>严重运动神经元病</w:t>
      </w:r>
    </w:p>
    <w:p>
      <w:pPr>
        <w:pStyle w:val="BodyText"/>
        <w:spacing w:line="297" w:lineRule="auto" w:before="66"/>
        <w:ind w:left="1560" w:right="298"/>
      </w:pPr>
      <w:r>
        <w:rPr>
          <w:spacing w:val="-3"/>
        </w:rPr>
        <w:t>是一组中枢神经系统运动神经元的进行性变性疾病，包括进行性脊肌萎缩症、</w:t>
      </w:r>
      <w:r>
        <w:rPr>
          <w:spacing w:val="-10"/>
        </w:rPr>
        <w:t>进行性延髓麻痹症、原发性侧索硬化症、肌萎缩性侧索硬化症。须满足自主生</w:t>
      </w:r>
      <w:r>
        <w:rPr>
          <w:spacing w:val="-13"/>
        </w:rPr>
        <w:t>活能力完全丧失，无法独立完成六项基本日常生活活动中的三项或三项以上的条件。</w:t>
      </w:r>
    </w:p>
    <w:p>
      <w:pPr>
        <w:pStyle w:val="Heading3"/>
        <w:spacing w:before="13"/>
        <w:rPr>
          <w:rFonts w:ascii="宋体" w:eastAsia="宋体" w:hint="eastAsia"/>
        </w:rPr>
      </w:pPr>
      <w:r>
        <w:rPr>
          <w:rFonts w:ascii="Times New Roman" w:eastAsia="Times New Roman"/>
        </w:rPr>
        <w:t>18</w:t>
      </w:r>
      <w:r>
        <w:rPr>
          <w:rFonts w:ascii="宋体" w:eastAsia="宋体" w:hint="eastAsia"/>
        </w:rPr>
        <w:t>、语言能力丧失</w:t>
      </w:r>
    </w:p>
    <w:p>
      <w:pPr>
        <w:pStyle w:val="BodyText"/>
        <w:spacing w:line="297" w:lineRule="auto" w:before="50"/>
        <w:ind w:left="1610" w:right="395"/>
      </w:pPr>
      <w:r>
        <w:rPr/>
        <w:t>指因疾病或意外伤害导致完全丧失语言能力，经过积极治疗至少12个月（声带完全切除不受此时间限制），仍无法通过现有医疗手段恢复。</w:t>
      </w:r>
    </w:p>
    <w:p>
      <w:pPr>
        <w:pStyle w:val="Heading3"/>
        <w:spacing w:before="171"/>
        <w:ind w:left="1610"/>
      </w:pPr>
      <w:r>
        <w:rPr/>
        <w:t>精神心理因素所致的语言能力丧失不在保障范围内。</w:t>
      </w:r>
    </w:p>
    <w:p>
      <w:pPr>
        <w:spacing w:after="0"/>
        <w:sectPr>
          <w:pgSz w:w="11910" w:h="16840"/>
          <w:pgMar w:header="0" w:footer="990" w:top="1360" w:bottom="1180" w:left="1680" w:right="1220"/>
        </w:sectPr>
      </w:pPr>
    </w:p>
    <w:p>
      <w:pPr>
        <w:spacing w:before="27"/>
        <w:ind w:left="1900" w:right="0" w:firstLine="0"/>
        <w:jc w:val="left"/>
        <w:rPr>
          <w:b/>
          <w:sz w:val="21"/>
        </w:rPr>
      </w:pPr>
      <w:r>
        <w:rPr>
          <w:rFonts w:ascii="Times New Roman" w:eastAsia="Times New Roman"/>
          <w:b/>
          <w:sz w:val="21"/>
        </w:rPr>
        <w:t>19</w:t>
      </w:r>
      <w:r>
        <w:rPr>
          <w:b/>
          <w:sz w:val="21"/>
        </w:rPr>
        <w:t>、重型再生障碍性贫血</w:t>
      </w:r>
    </w:p>
    <w:p>
      <w:pPr>
        <w:pStyle w:val="BodyText"/>
        <w:spacing w:line="297" w:lineRule="auto" w:before="193"/>
        <w:ind w:left="1950" w:right="216"/>
      </w:pPr>
      <w:r>
        <w:rPr/>
        <w:t>指因骨髓造血功能慢性持续性衰竭导致的贫血、中性粒细胞减少及血小板减少。须满足下列全部条件：</w:t>
      </w:r>
    </w:p>
    <w:p>
      <w:pPr>
        <w:pStyle w:val="ListParagraph"/>
        <w:numPr>
          <w:ilvl w:val="1"/>
          <w:numId w:val="7"/>
        </w:numPr>
        <w:tabs>
          <w:tab w:pos="2160" w:val="left" w:leader="none"/>
        </w:tabs>
        <w:spacing w:line="240" w:lineRule="auto" w:before="15" w:after="0"/>
        <w:ind w:left="2159" w:right="0" w:hanging="260"/>
        <w:jc w:val="left"/>
        <w:rPr>
          <w:sz w:val="21"/>
        </w:rPr>
      </w:pPr>
      <w:r>
        <w:rPr>
          <w:spacing w:val="-3"/>
          <w:sz w:val="21"/>
        </w:rPr>
        <w:t>骨髓穿刺检查或骨髓活检结果支持诊断；</w:t>
      </w:r>
    </w:p>
    <w:p>
      <w:pPr>
        <w:pStyle w:val="ListParagraph"/>
        <w:numPr>
          <w:ilvl w:val="1"/>
          <w:numId w:val="7"/>
        </w:numPr>
        <w:tabs>
          <w:tab w:pos="2160" w:val="left" w:leader="none"/>
        </w:tabs>
        <w:spacing w:line="240" w:lineRule="auto" w:before="66" w:after="0"/>
        <w:ind w:left="2159" w:right="0" w:hanging="260"/>
        <w:jc w:val="left"/>
        <w:rPr>
          <w:sz w:val="21"/>
        </w:rPr>
      </w:pPr>
      <w:r>
        <w:rPr>
          <w:spacing w:val="-3"/>
          <w:sz w:val="21"/>
        </w:rPr>
        <w:t>外周血象须具备以下三项条件：</w:t>
      </w:r>
    </w:p>
    <w:p>
      <w:pPr>
        <w:pStyle w:val="BodyText"/>
        <w:spacing w:before="66"/>
        <w:ind w:left="2298"/>
      </w:pPr>
      <w:r>
        <w:rPr/>
        <w:t>①中性粒细胞绝对值≤0.5×10</w:t>
      </w:r>
      <w:r>
        <w:rPr>
          <w:rFonts w:ascii="Times New Roman" w:hAnsi="Times New Roman" w:eastAsia="Times New Roman"/>
          <w:position w:val="16"/>
          <w:sz w:val="14"/>
        </w:rPr>
        <w:t>9</w:t>
      </w:r>
      <w:r>
        <w:rPr/>
        <w:t>/L ；</w:t>
      </w:r>
    </w:p>
    <w:p>
      <w:pPr>
        <w:pStyle w:val="BodyText"/>
        <w:spacing w:before="63"/>
        <w:ind w:left="2298"/>
      </w:pPr>
      <w:r>
        <w:rPr/>
        <w:t>② 网织红细胞＜1%；</w:t>
      </w:r>
    </w:p>
    <w:p>
      <w:pPr>
        <w:pStyle w:val="BodyText"/>
        <w:spacing w:before="66"/>
        <w:ind w:left="2322"/>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position w:val="16"/>
          <w:sz w:val="14"/>
        </w:rPr>
        <w:t>9</w:t>
      </w:r>
      <w:r>
        <w:rPr>
          <w:rFonts w:ascii="Times New Roman" w:hAnsi="Times New Roman" w:eastAsia="Times New Roman"/>
        </w:rPr>
        <w:t>/L</w:t>
      </w:r>
      <w:r>
        <w:rPr/>
        <w:t>。</w:t>
      </w:r>
    </w:p>
    <w:p>
      <w:pPr>
        <w:pStyle w:val="Heading3"/>
        <w:spacing w:before="47"/>
        <w:ind w:left="1900"/>
        <w:rPr>
          <w:rFonts w:ascii="宋体" w:eastAsia="宋体" w:hint="eastAsia"/>
        </w:rPr>
      </w:pPr>
      <w:r>
        <w:rPr>
          <w:rFonts w:ascii="Times New Roman" w:eastAsia="Times New Roman"/>
        </w:rPr>
        <w:t>20</w:t>
      </w:r>
      <w:r>
        <w:rPr>
          <w:rFonts w:ascii="宋体" w:eastAsia="宋体" w:hint="eastAsia"/>
        </w:rPr>
        <w:t>、主动脉手术</w:t>
      </w:r>
    </w:p>
    <w:p>
      <w:pPr>
        <w:pStyle w:val="BodyText"/>
        <w:spacing w:line="297" w:lineRule="auto" w:before="49"/>
        <w:ind w:left="1900" w:right="214"/>
        <w:jc w:val="both"/>
      </w:pPr>
      <w:r>
        <w:rPr>
          <w:spacing w:val="-9"/>
        </w:rPr>
        <w:t>指为治疗主动脉疾病，实际实施了开胸或开腹进行的切除、置换、修补病损主</w:t>
      </w:r>
      <w:r>
        <w:rPr>
          <w:spacing w:val="-11"/>
        </w:rPr>
        <w:t>动脉血管的手术。主动脉指胸主动脉和腹主动脉，不包括胸主动脉和腹主动脉</w:t>
      </w:r>
      <w:r>
        <w:rPr>
          <w:spacing w:val="-6"/>
        </w:rPr>
        <w:t>的分支血管。</w:t>
      </w:r>
    </w:p>
    <w:p>
      <w:pPr>
        <w:pStyle w:val="Heading3"/>
        <w:spacing w:before="15"/>
        <w:ind w:left="1950"/>
      </w:pPr>
      <w:r>
        <w:rPr/>
        <w:t>动脉内血管成形术不在保障范围内。</w:t>
      </w:r>
    </w:p>
    <w:p>
      <w:pPr>
        <w:spacing w:before="66"/>
        <w:ind w:left="1900" w:right="0" w:firstLine="0"/>
        <w:jc w:val="left"/>
        <w:rPr>
          <w:b/>
          <w:sz w:val="21"/>
        </w:rPr>
      </w:pPr>
      <w:r>
        <w:rPr>
          <w:rFonts w:ascii="Times New Roman" w:eastAsia="Times New Roman"/>
          <w:b/>
          <w:sz w:val="21"/>
        </w:rPr>
        <w:t>21</w:t>
      </w:r>
      <w:r>
        <w:rPr>
          <w:b/>
          <w:sz w:val="21"/>
        </w:rPr>
        <w:t>、大脑去皮层综合征（持续植物人状态）</w:t>
      </w:r>
    </w:p>
    <w:p>
      <w:pPr>
        <w:pStyle w:val="BodyText"/>
        <w:spacing w:line="297" w:lineRule="auto" w:before="50"/>
        <w:ind w:left="1900" w:right="214"/>
      </w:pPr>
      <w:r>
        <w:rPr>
          <w:spacing w:val="-3"/>
        </w:rPr>
        <w:t>是指被保险人大脑半球皮层广泛性损害而脑干功能相对保留的持续植物人状</w:t>
      </w:r>
      <w:r>
        <w:rPr>
          <w:spacing w:val="-12"/>
        </w:rPr>
        <w:t>态，这种状态需持续一个月以上。此病必须由我们认可的医疗机构的神经科医</w:t>
      </w:r>
      <w:r>
        <w:rPr>
          <w:spacing w:val="-3"/>
        </w:rPr>
        <w:t>师确诊，并提供脑部</w:t>
      </w:r>
      <w:r>
        <w:rPr>
          <w:rFonts w:ascii="Times New Roman" w:eastAsia="Times New Roman"/>
          <w:spacing w:val="-1"/>
        </w:rPr>
        <w:t>CT</w:t>
      </w:r>
      <w:r>
        <w:rPr>
          <w:spacing w:val="-3"/>
        </w:rPr>
        <w:t>、</w:t>
      </w:r>
      <w:r>
        <w:rPr>
          <w:rFonts w:ascii="Times New Roman" w:eastAsia="Times New Roman"/>
        </w:rPr>
        <w:t>MRI</w:t>
      </w:r>
      <w:r>
        <w:rPr>
          <w:spacing w:val="-3"/>
        </w:rPr>
        <w:t>或</w:t>
      </w:r>
      <w:r>
        <w:rPr>
          <w:rFonts w:ascii="Times New Roman" w:eastAsia="Times New Roman"/>
        </w:rPr>
        <w:t>PET</w:t>
      </w:r>
      <w:r>
        <w:rPr>
          <w:spacing w:val="-3"/>
        </w:rPr>
        <w:t>检查确认大脑皮层广泛受损的证据。</w:t>
      </w:r>
    </w:p>
    <w:p>
      <w:pPr>
        <w:spacing w:line="258" w:lineRule="exact" w:before="0"/>
        <w:ind w:left="1900" w:right="0" w:firstLine="0"/>
        <w:jc w:val="left"/>
        <w:rPr>
          <w:sz w:val="18"/>
        </w:rPr>
      </w:pPr>
      <w:r>
        <w:rPr>
          <w:w w:val="95"/>
          <w:sz w:val="18"/>
        </w:rPr>
        <w:t>（</w:t>
      </w:r>
      <w:r>
        <w:rPr>
          <w:w w:val="95"/>
          <w:sz w:val="20"/>
        </w:rPr>
        <w:t>中国保险行业协会标准定义范围外疾病</w:t>
      </w:r>
      <w:r>
        <w:rPr>
          <w:w w:val="95"/>
          <w:sz w:val="18"/>
        </w:rPr>
        <w:t>）</w:t>
      </w:r>
    </w:p>
    <w:p>
      <w:pPr>
        <w:pStyle w:val="Heading3"/>
        <w:spacing w:before="60"/>
        <w:ind w:left="1900"/>
        <w:rPr>
          <w:rFonts w:ascii="宋体" w:eastAsia="宋体" w:hint="eastAsia"/>
        </w:rPr>
      </w:pPr>
      <w:r>
        <w:rPr>
          <w:rFonts w:ascii="Times New Roman" w:eastAsia="Times New Roman"/>
        </w:rPr>
        <w:t>22</w:t>
      </w:r>
      <w:r>
        <w:rPr>
          <w:rFonts w:ascii="宋体" w:eastAsia="宋体" w:hint="eastAsia"/>
        </w:rPr>
        <w:t>、多发性硬化症</w:t>
      </w:r>
    </w:p>
    <w:p>
      <w:pPr>
        <w:pStyle w:val="BodyText"/>
        <w:spacing w:line="297" w:lineRule="auto" w:before="50"/>
        <w:ind w:left="1900" w:right="212"/>
      </w:pPr>
      <w:r>
        <w:rPr>
          <w:spacing w:val="-8"/>
        </w:rPr>
        <w:t>多发性硬化症为中枢神经系统白质多灶性脱髓鞘病变，病变有时累及灰质。多</w:t>
      </w:r>
      <w:r>
        <w:rPr>
          <w:spacing w:val="-5"/>
        </w:rPr>
        <w:t>发性硬化症必须由我们认可的医疗机构的专科医生确诊并须同时符合以下三项：</w:t>
      </w:r>
    </w:p>
    <w:p>
      <w:pPr>
        <w:pStyle w:val="ListParagraph"/>
        <w:numPr>
          <w:ilvl w:val="0"/>
          <w:numId w:val="8"/>
        </w:numPr>
        <w:tabs>
          <w:tab w:pos="2261" w:val="left" w:leader="none"/>
        </w:tabs>
        <w:spacing w:line="288" w:lineRule="auto" w:before="15" w:after="0"/>
        <w:ind w:left="2260" w:right="217" w:hanging="360"/>
        <w:jc w:val="both"/>
        <w:rPr>
          <w:sz w:val="21"/>
        </w:rPr>
      </w:pPr>
      <w:r>
        <w:rPr>
          <w:spacing w:val="-5"/>
          <w:sz w:val="21"/>
        </w:rPr>
        <w:t>神经异常症状必须不间断地持续至少六个月，或有至少两次发作的临床记</w:t>
      </w:r>
      <w:r>
        <w:rPr>
          <w:spacing w:val="-6"/>
          <w:sz w:val="21"/>
        </w:rPr>
        <w:t>录且发作间隔至少一个月，或至少有一次临床发作记录且有典型的脑脊液</w:t>
      </w:r>
      <w:r>
        <w:rPr>
          <w:spacing w:val="-1"/>
          <w:sz w:val="21"/>
        </w:rPr>
        <w:t>改变并伴</w:t>
      </w:r>
      <w:r>
        <w:rPr>
          <w:rFonts w:ascii="Times New Roman" w:eastAsia="Times New Roman"/>
          <w:spacing w:val="-3"/>
          <w:sz w:val="21"/>
        </w:rPr>
        <w:t>MRI</w:t>
      </w:r>
      <w:r>
        <w:rPr>
          <w:spacing w:val="-2"/>
          <w:sz w:val="21"/>
        </w:rPr>
        <w:t>的损伤表现；</w:t>
      </w:r>
    </w:p>
    <w:p>
      <w:pPr>
        <w:pStyle w:val="ListParagraph"/>
        <w:numPr>
          <w:ilvl w:val="0"/>
          <w:numId w:val="8"/>
        </w:numPr>
        <w:tabs>
          <w:tab w:pos="2261" w:val="left" w:leader="none"/>
        </w:tabs>
        <w:spacing w:line="280" w:lineRule="auto" w:before="3" w:after="0"/>
        <w:ind w:left="2260" w:right="412" w:hanging="360"/>
        <w:jc w:val="left"/>
        <w:rPr>
          <w:sz w:val="21"/>
        </w:rPr>
      </w:pPr>
      <w:r>
        <w:rPr>
          <w:spacing w:val="-4"/>
          <w:sz w:val="21"/>
        </w:rPr>
        <w:t>必须伴有典型的脱髓鞘症状和运动及感觉功能障碍的证据并有</w:t>
      </w:r>
      <w:r>
        <w:rPr>
          <w:rFonts w:ascii="Times New Roman" w:eastAsia="Times New Roman"/>
          <w:sz w:val="21"/>
        </w:rPr>
        <w:t>MRI</w:t>
      </w:r>
      <w:r>
        <w:rPr>
          <w:sz w:val="21"/>
        </w:rPr>
        <w:t>检查</w:t>
      </w:r>
      <w:r>
        <w:rPr>
          <w:spacing w:val="-2"/>
          <w:sz w:val="21"/>
        </w:rPr>
        <w:t>的典型改变；</w:t>
      </w:r>
    </w:p>
    <w:p>
      <w:pPr>
        <w:pStyle w:val="ListParagraph"/>
        <w:numPr>
          <w:ilvl w:val="0"/>
          <w:numId w:val="8"/>
        </w:numPr>
        <w:tabs>
          <w:tab w:pos="2261" w:val="left" w:leader="none"/>
        </w:tabs>
        <w:spacing w:line="288" w:lineRule="auto" w:before="30" w:after="0"/>
        <w:ind w:left="2260" w:right="111" w:hanging="360"/>
        <w:jc w:val="left"/>
        <w:rPr>
          <w:sz w:val="21"/>
        </w:rPr>
      </w:pPr>
      <w:r>
        <w:rPr>
          <w:spacing w:val="-3"/>
          <w:sz w:val="21"/>
        </w:rPr>
        <w:t>必须造成神经系统功能损害并且已导致被保险人无法独立进行六项基本  </w:t>
      </w:r>
      <w:r>
        <w:rPr>
          <w:spacing w:val="-12"/>
          <w:sz w:val="21"/>
        </w:rPr>
        <w:t>日常生活活动即穿衣、移动、行动、如厕、进食、洗澡中三项或三项以上， </w:t>
      </w:r>
      <w:r>
        <w:rPr>
          <w:spacing w:val="-3"/>
          <w:sz w:val="21"/>
        </w:rPr>
        <w:t>且上述日常生活活动经过三个月的持续治疗后仍无法完成。</w:t>
      </w:r>
    </w:p>
    <w:p>
      <w:pPr>
        <w:spacing w:before="24"/>
        <w:ind w:left="190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6"/>
        <w:ind w:left="1900"/>
        <w:rPr>
          <w:rFonts w:ascii="宋体" w:eastAsia="宋体" w:hint="eastAsia"/>
        </w:rPr>
      </w:pPr>
      <w:r>
        <w:rPr>
          <w:rFonts w:ascii="Times New Roman" w:eastAsia="Times New Roman"/>
        </w:rPr>
        <w:t>23</w:t>
      </w:r>
      <w:r>
        <w:rPr>
          <w:rFonts w:ascii="宋体" w:eastAsia="宋体" w:hint="eastAsia"/>
        </w:rPr>
        <w:t>、肌萎缩性（脊髓）侧索硬化症</w:t>
      </w:r>
    </w:p>
    <w:p>
      <w:pPr>
        <w:pStyle w:val="BodyText"/>
        <w:spacing w:line="297" w:lineRule="auto" w:before="50"/>
        <w:ind w:left="1900" w:right="212"/>
        <w:jc w:val="both"/>
      </w:pPr>
      <w:r>
        <w:rPr>
          <w:spacing w:val="-13"/>
        </w:rPr>
        <w:t>肌萎缩性</w:t>
      </w:r>
      <w:r>
        <w:rPr>
          <w:spacing w:val="-3"/>
        </w:rPr>
        <w:t>（</w:t>
      </w:r>
      <w:r>
        <w:rPr/>
        <w:t>脊髓</w:t>
      </w:r>
      <w:r>
        <w:rPr>
          <w:spacing w:val="-51"/>
        </w:rPr>
        <w:t>）</w:t>
      </w:r>
      <w:r>
        <w:rPr>
          <w:spacing w:val="-3"/>
        </w:rPr>
        <w:t>侧索硬化症是指持续的神经变性累及脊髓神经及脑干运动神</w:t>
      </w:r>
      <w:r>
        <w:rPr>
          <w:spacing w:val="-12"/>
        </w:rPr>
        <w:t>经元，出现肌肉无力、挛缩、肌束颤动及萎缩症状和体征。该疾病索赔时须要</w:t>
      </w:r>
      <w:r>
        <w:rPr>
          <w:spacing w:val="-10"/>
        </w:rPr>
        <w:t>经我们认可的医疗机构的神经专科医生做出明确诊断，且疾病进行性发展已导</w:t>
      </w:r>
      <w:r>
        <w:rPr>
          <w:spacing w:val="-5"/>
        </w:rPr>
        <w:t>致不可逆转的永久性神经系统功能障碍。</w:t>
      </w:r>
    </w:p>
    <w:p>
      <w:pPr>
        <w:pStyle w:val="BodyText"/>
        <w:spacing w:before="13"/>
        <w:ind w:left="2108"/>
      </w:pPr>
      <w:r>
        <w:rPr/>
        <w:t>永久性神经系统功能障碍是指以下六项条件中的一项或一项以上：</w:t>
      </w:r>
    </w:p>
    <w:p>
      <w:pPr>
        <w:pStyle w:val="ListParagraph"/>
        <w:numPr>
          <w:ilvl w:val="1"/>
          <w:numId w:val="8"/>
        </w:numPr>
        <w:tabs>
          <w:tab w:pos="2999" w:val="left" w:leader="none"/>
          <w:tab w:pos="3000" w:val="left" w:leader="none"/>
        </w:tabs>
        <w:spacing w:line="240" w:lineRule="auto" w:before="66" w:after="0"/>
        <w:ind w:left="2637" w:right="0" w:hanging="200"/>
        <w:jc w:val="left"/>
        <w:rPr>
          <w:sz w:val="21"/>
        </w:rPr>
      </w:pPr>
      <w:r>
        <w:rPr>
          <w:spacing w:val="-3"/>
          <w:sz w:val="21"/>
        </w:rPr>
        <w:t>一上肢或双上肢手腕以上部分的完全及永久瘫痪</w:t>
      </w:r>
    </w:p>
    <w:p>
      <w:pPr>
        <w:pStyle w:val="ListParagraph"/>
        <w:numPr>
          <w:ilvl w:val="1"/>
          <w:numId w:val="8"/>
        </w:numPr>
        <w:tabs>
          <w:tab w:pos="2999" w:val="left" w:leader="none"/>
          <w:tab w:pos="3000" w:val="left" w:leader="none"/>
        </w:tabs>
        <w:spacing w:line="240" w:lineRule="auto" w:before="50" w:after="0"/>
        <w:ind w:left="2999" w:right="0" w:hanging="562"/>
        <w:jc w:val="left"/>
        <w:rPr>
          <w:sz w:val="21"/>
        </w:rPr>
      </w:pPr>
      <w:r>
        <w:rPr>
          <w:spacing w:val="-3"/>
          <w:sz w:val="21"/>
        </w:rPr>
        <w:t>一下肢或双下肢足踝以上部分的完全及永久瘫痪</w:t>
      </w:r>
    </w:p>
    <w:p>
      <w:pPr>
        <w:pStyle w:val="ListParagraph"/>
        <w:numPr>
          <w:ilvl w:val="1"/>
          <w:numId w:val="8"/>
        </w:numPr>
        <w:tabs>
          <w:tab w:pos="2999" w:val="left" w:leader="none"/>
          <w:tab w:pos="3000" w:val="left" w:leader="none"/>
        </w:tabs>
        <w:spacing w:line="240" w:lineRule="auto" w:before="50" w:after="0"/>
        <w:ind w:left="2999" w:right="0" w:hanging="561"/>
        <w:jc w:val="left"/>
        <w:rPr>
          <w:sz w:val="21"/>
        </w:rPr>
      </w:pPr>
      <w:r>
        <w:rPr>
          <w:spacing w:val="-3"/>
          <w:sz w:val="21"/>
        </w:rPr>
        <w:t>四肢机能完全及永久丧失</w:t>
      </w:r>
    </w:p>
    <w:p>
      <w:pPr>
        <w:spacing w:after="0" w:line="240" w:lineRule="auto"/>
        <w:jc w:val="left"/>
        <w:rPr>
          <w:sz w:val="21"/>
        </w:rPr>
        <w:sectPr>
          <w:pgSz w:w="11910" w:h="16840"/>
          <w:pgMar w:header="0" w:footer="917" w:top="1420" w:bottom="1180" w:left="1340" w:right="1400"/>
        </w:sectPr>
      </w:pPr>
    </w:p>
    <w:p>
      <w:pPr>
        <w:pStyle w:val="ListParagraph"/>
        <w:numPr>
          <w:ilvl w:val="1"/>
          <w:numId w:val="8"/>
        </w:numPr>
        <w:tabs>
          <w:tab w:pos="2659" w:val="left" w:leader="none"/>
          <w:tab w:pos="2660" w:val="left" w:leader="none"/>
        </w:tabs>
        <w:spacing w:line="240" w:lineRule="auto" w:before="27" w:after="0"/>
        <w:ind w:left="2659" w:right="0" w:hanging="562"/>
        <w:jc w:val="left"/>
        <w:rPr>
          <w:sz w:val="21"/>
        </w:rPr>
      </w:pPr>
      <w:r>
        <w:rPr>
          <w:spacing w:val="-3"/>
          <w:sz w:val="21"/>
        </w:rPr>
        <w:t>完全及永久丧失语言能力</w:t>
      </w:r>
    </w:p>
    <w:p>
      <w:pPr>
        <w:pStyle w:val="ListParagraph"/>
        <w:numPr>
          <w:ilvl w:val="1"/>
          <w:numId w:val="8"/>
        </w:numPr>
        <w:tabs>
          <w:tab w:pos="2659" w:val="left" w:leader="none"/>
          <w:tab w:pos="2660" w:val="left" w:leader="none"/>
        </w:tabs>
        <w:spacing w:line="240" w:lineRule="auto" w:before="49" w:after="0"/>
        <w:ind w:left="2659" w:right="0" w:hanging="562"/>
        <w:jc w:val="left"/>
        <w:rPr>
          <w:sz w:val="21"/>
        </w:rPr>
      </w:pPr>
      <w:r>
        <w:rPr>
          <w:spacing w:val="-3"/>
          <w:w w:val="100"/>
          <w:sz w:val="21"/>
        </w:rPr>
        <w:t>完全及永久丧失吞咽能力</w:t>
      </w:r>
      <w:r>
        <w:rPr>
          <w:w w:val="100"/>
          <w:sz w:val="21"/>
        </w:rPr>
        <w:t>（</w:t>
      </w:r>
      <w:r>
        <w:rPr>
          <w:spacing w:val="-3"/>
          <w:w w:val="100"/>
          <w:sz w:val="21"/>
        </w:rPr>
        <w:t>吞咽困难</w:t>
      </w:r>
      <w:r>
        <w:rPr>
          <w:spacing w:val="-106"/>
          <w:w w:val="100"/>
          <w:sz w:val="21"/>
        </w:rPr>
        <w:t>）</w:t>
      </w:r>
      <w:r>
        <w:rPr>
          <w:spacing w:val="-3"/>
          <w:w w:val="100"/>
          <w:sz w:val="21"/>
        </w:rPr>
        <w:t>，必须永久使用喂饲管</w:t>
      </w:r>
    </w:p>
    <w:p>
      <w:pPr>
        <w:pStyle w:val="ListParagraph"/>
        <w:numPr>
          <w:ilvl w:val="1"/>
          <w:numId w:val="8"/>
        </w:numPr>
        <w:tabs>
          <w:tab w:pos="2637" w:val="left" w:leader="none"/>
          <w:tab w:pos="2638" w:val="left" w:leader="none"/>
        </w:tabs>
        <w:spacing w:line="288" w:lineRule="auto" w:before="49" w:after="0"/>
        <w:ind w:left="2637" w:right="289" w:hanging="554"/>
        <w:jc w:val="left"/>
        <w:rPr>
          <w:sz w:val="21"/>
        </w:rPr>
      </w:pPr>
      <w:r>
        <w:rPr>
          <w:spacing w:val="-6"/>
          <w:sz w:val="21"/>
        </w:rPr>
        <w:t>无法独立进行六项基本日常生活活动即穿衣、移动、行动、如厕、</w:t>
      </w:r>
      <w:r>
        <w:rPr>
          <w:spacing w:val="-4"/>
          <w:sz w:val="21"/>
        </w:rPr>
        <w:t>进食、洗澡中三项或三项以上，且上述日常生活活动经过三个月 </w:t>
      </w:r>
      <w:r>
        <w:rPr>
          <w:spacing w:val="-3"/>
          <w:sz w:val="21"/>
        </w:rPr>
        <w:t>的持续治疗后仍无法完成</w:t>
      </w:r>
    </w:p>
    <w:p>
      <w:pPr>
        <w:spacing w:before="23"/>
        <w:ind w:left="156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5"/>
        <w:rPr>
          <w:rFonts w:ascii="宋体" w:eastAsia="宋体" w:hint="eastAsia"/>
        </w:rPr>
      </w:pPr>
      <w:r>
        <w:rPr>
          <w:rFonts w:ascii="Times New Roman" w:eastAsia="Times New Roman"/>
        </w:rPr>
        <w:t>24</w:t>
      </w:r>
      <w:r>
        <w:rPr>
          <w:rFonts w:ascii="宋体" w:eastAsia="宋体" w:hint="eastAsia"/>
        </w:rPr>
        <w:t>、冠状动脉血管成形术</w:t>
      </w:r>
    </w:p>
    <w:p>
      <w:pPr>
        <w:pStyle w:val="BodyText"/>
        <w:spacing w:line="285" w:lineRule="auto" w:before="50"/>
        <w:ind w:left="1560" w:right="396"/>
        <w:jc w:val="both"/>
      </w:pPr>
      <w:r>
        <w:rPr>
          <w:spacing w:val="-3"/>
        </w:rPr>
        <w:t>是指有心绞痛等心脏不适症状，经过血管造影技术检查证实同时存在两支</w:t>
      </w:r>
      <w:r>
        <w:rPr>
          <w:rFonts w:ascii="Times New Roman" w:eastAsia="Times New Roman"/>
        </w:rPr>
        <w:t>(</w:t>
      </w:r>
      <w:r>
        <w:rPr/>
        <w:t>其</w:t>
      </w:r>
      <w:r>
        <w:rPr>
          <w:spacing w:val="-3"/>
        </w:rPr>
        <w:t>中一支为左冠状动脉主干、左前降支或左回旋支</w:t>
      </w:r>
      <w:r>
        <w:rPr>
          <w:rFonts w:ascii="Times New Roman" w:eastAsia="Times New Roman"/>
        </w:rPr>
        <w:t>)</w:t>
      </w:r>
      <w:r>
        <w:rPr>
          <w:spacing w:val="-3"/>
        </w:rPr>
        <w:t>或更多支的冠状动脉血管发</w:t>
      </w:r>
      <w:r>
        <w:rPr>
          <w:spacing w:val="-3"/>
          <w:w w:val="100"/>
        </w:rPr>
        <w:t>生严重的狭窄（狭窄程度在</w:t>
      </w:r>
      <w:r>
        <w:rPr>
          <w:rFonts w:ascii="Times New Roman" w:eastAsia="Times New Roman"/>
          <w:w w:val="100"/>
        </w:rPr>
        <w:t>70</w:t>
      </w:r>
      <w:r>
        <w:rPr>
          <w:spacing w:val="-3"/>
          <w:w w:val="100"/>
        </w:rPr>
        <w:t>％以上</w:t>
      </w:r>
      <w:r>
        <w:rPr>
          <w:spacing w:val="-106"/>
          <w:w w:val="100"/>
        </w:rPr>
        <w:t>）</w:t>
      </w:r>
      <w:r>
        <w:rPr>
          <w:spacing w:val="-3"/>
          <w:w w:val="100"/>
        </w:rPr>
        <w:t>，需要并且已实施冠状动脉气囊扩张以</w:t>
      </w:r>
      <w:r>
        <w:rPr>
          <w:spacing w:val="-8"/>
        </w:rPr>
        <w:t>改善血管的血流状况。索赔时必须提供血管造影的影像资料、报告、手术记录</w:t>
      </w:r>
      <w:r>
        <w:rPr>
          <w:spacing w:val="-1"/>
        </w:rPr>
        <w:t>和病历。</w:t>
      </w:r>
    </w:p>
    <w:p>
      <w:pPr>
        <w:spacing w:before="26"/>
        <w:ind w:left="156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5"/>
        <w:rPr>
          <w:rFonts w:ascii="宋体" w:eastAsia="宋体" w:hint="eastAsia"/>
        </w:rPr>
      </w:pPr>
      <w:r>
        <w:rPr>
          <w:rFonts w:ascii="Times New Roman" w:eastAsia="Times New Roman"/>
        </w:rPr>
        <w:t>25</w:t>
      </w:r>
      <w:r>
        <w:rPr>
          <w:rFonts w:ascii="宋体" w:eastAsia="宋体" w:hint="eastAsia"/>
        </w:rPr>
        <w:t>、脊髓灰质炎</w:t>
      </w:r>
    </w:p>
    <w:p>
      <w:pPr>
        <w:pStyle w:val="BodyText"/>
        <w:spacing w:line="297" w:lineRule="auto" w:before="49"/>
        <w:ind w:left="1560" w:right="392"/>
      </w:pPr>
      <w:r>
        <w:rPr>
          <w:spacing w:val="-3"/>
        </w:rPr>
        <w:t>是指由于脊髓灰质炎病毒感染所导致的运动功能障碍或呼吸功能减弱的瘫痪</w:t>
      </w:r>
      <w:r>
        <w:rPr>
          <w:spacing w:val="-12"/>
        </w:rPr>
        <w:t>性疾病。诊断必须由我们认可的医疗机构的神经专科医师确认并提供相关的脊</w:t>
      </w:r>
      <w:r>
        <w:rPr>
          <w:spacing w:val="-6"/>
        </w:rPr>
        <w:t>髓灰质炎病毒感染的证据</w:t>
      </w:r>
      <w:r>
        <w:rPr/>
        <w:t>（</w:t>
      </w:r>
      <w:r>
        <w:rPr>
          <w:spacing w:val="-3"/>
        </w:rPr>
        <w:t>例如：脑脊液检查或血清学抗体检查报告</w:t>
      </w:r>
      <w:r>
        <w:rPr>
          <w:spacing w:val="-108"/>
        </w:rPr>
        <w:t>）</w:t>
      </w:r>
      <w:r>
        <w:rPr/>
        <w:t>。</w:t>
      </w:r>
    </w:p>
    <w:p>
      <w:pPr>
        <w:pStyle w:val="Heading3"/>
        <w:spacing w:before="12"/>
      </w:pPr>
      <w:r>
        <w:rPr/>
        <w:t>未导致肢体瘫痪不在此保障范围以内。</w:t>
      </w:r>
    </w:p>
    <w:p>
      <w:pPr>
        <w:spacing w:before="65"/>
        <w:ind w:left="156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5"/>
        <w:rPr>
          <w:rFonts w:ascii="宋体" w:eastAsia="宋体" w:hint="eastAsia"/>
        </w:rPr>
      </w:pPr>
      <w:r>
        <w:rPr>
          <w:rFonts w:ascii="Times New Roman" w:eastAsia="Times New Roman"/>
        </w:rPr>
        <w:t>26</w:t>
      </w:r>
      <w:r>
        <w:rPr>
          <w:rFonts w:ascii="宋体" w:eastAsia="宋体" w:hint="eastAsia"/>
        </w:rPr>
        <w:t>、原发性心肌病</w:t>
      </w:r>
    </w:p>
    <w:p>
      <w:pPr>
        <w:pStyle w:val="BodyText"/>
        <w:spacing w:line="288" w:lineRule="auto" w:before="49"/>
        <w:ind w:left="1560" w:right="288"/>
        <w:rPr>
          <w:rFonts w:ascii="黑体" w:eastAsia="黑体" w:hint="eastAsia"/>
          <w:b/>
        </w:rPr>
      </w:pPr>
      <w:r>
        <w:rPr>
          <w:spacing w:val="-8"/>
        </w:rPr>
        <w:t>是指不明原因引起的一类心肌病变，包括原发性扩张型心肌病、原发性肥厚型</w:t>
      </w:r>
      <w:r>
        <w:rPr>
          <w:spacing w:val="-11"/>
        </w:rPr>
        <w:t>心肌病及原发性限制型心肌病三种，病变必须已造成事实上心室功能障碍而出</w:t>
      </w:r>
      <w:r>
        <w:rPr>
          <w:spacing w:val="-6"/>
        </w:rPr>
        <w:t>现明显的心功能衰竭</w:t>
      </w:r>
      <w:r>
        <w:rPr>
          <w:rFonts w:ascii="Times New Roman" w:eastAsia="Times New Roman"/>
          <w:spacing w:val="-4"/>
        </w:rPr>
        <w:t>(</w:t>
      </w:r>
      <w:r>
        <w:rPr>
          <w:spacing w:val="-3"/>
        </w:rPr>
        <w:t>美国纽约心脏协会心功能分类标准心功能达三级</w:t>
      </w:r>
      <w:r>
        <w:rPr>
          <w:rFonts w:ascii="Times New Roman" w:eastAsia="Times New Roman"/>
          <w:spacing w:val="-6"/>
        </w:rPr>
        <w:t>*</w:t>
      </w:r>
      <w:r>
        <w:rPr/>
        <w:t>及三 级以上</w:t>
      </w:r>
      <w:r>
        <w:rPr>
          <w:rFonts w:ascii="Times New Roman" w:eastAsia="Times New Roman"/>
        </w:rPr>
        <w:t>)</w:t>
      </w:r>
      <w:r>
        <w:rPr>
          <w:spacing w:val="-3"/>
        </w:rPr>
        <w:t>，且有相关住院医疗记录显示三级或三级以上心功能衰竭状态持续至少</w:t>
      </w:r>
      <w:r>
        <w:rPr>
          <w:rFonts w:ascii="Times New Roman" w:eastAsia="Times New Roman"/>
          <w:spacing w:val="-3"/>
        </w:rPr>
        <w:t>3</w:t>
      </w:r>
      <w:r>
        <w:rPr>
          <w:spacing w:val="-11"/>
        </w:rPr>
        <w:t>个月。该疾病索赔时须要经我们认可的医疗机构的专科医师做出明确诊断。</w:t>
      </w:r>
      <w:r>
        <w:rPr>
          <w:rFonts w:ascii="黑体" w:eastAsia="黑体" w:hint="eastAsia"/>
          <w:b/>
          <w:spacing w:val="-10"/>
        </w:rPr>
        <w:t>继发于全身性疾病或其它器官系统疾病不属本保障范围。</w:t>
      </w:r>
    </w:p>
    <w:p>
      <w:pPr>
        <w:pStyle w:val="BodyText"/>
        <w:spacing w:before="23"/>
        <w:ind w:left="1615"/>
      </w:pPr>
      <w:r>
        <w:rPr>
          <w:rFonts w:ascii="Times New Roman" w:eastAsia="Times New Roman"/>
        </w:rPr>
        <w:t>*</w:t>
      </w:r>
      <w:r>
        <w:rPr/>
        <w:t>美国纽约心脏协会分类标准心功能</w:t>
      </w:r>
      <w:r>
        <w:rPr>
          <w:rFonts w:ascii="Times New Roman" w:eastAsia="Times New Roman"/>
        </w:rPr>
        <w:t>III</w:t>
      </w:r>
      <w:r>
        <w:rPr/>
        <w:t>级及</w:t>
      </w:r>
      <w:r>
        <w:rPr>
          <w:rFonts w:ascii="Times New Roman" w:eastAsia="Times New Roman"/>
        </w:rPr>
        <w:t>IV</w:t>
      </w:r>
      <w:r>
        <w:rPr/>
        <w:t>级：</w:t>
      </w:r>
    </w:p>
    <w:p>
      <w:pPr>
        <w:pStyle w:val="BodyText"/>
        <w:spacing w:line="290" w:lineRule="auto" w:before="49"/>
        <w:ind w:left="2277" w:right="394" w:hanging="718"/>
        <w:jc w:val="both"/>
      </w:pPr>
      <w:r>
        <w:rPr>
          <w:rFonts w:ascii="Times New Roman" w:eastAsia="Times New Roman"/>
          <w:spacing w:val="-2"/>
        </w:rPr>
        <w:t>III</w:t>
      </w:r>
      <w:r>
        <w:rPr>
          <w:spacing w:val="-11"/>
        </w:rPr>
        <w:t>级：体力活动明显受限，休息时无症状，轻微体力活动即出现心悸、呼吸困</w:t>
      </w:r>
      <w:r>
        <w:rPr>
          <w:spacing w:val="-6"/>
        </w:rPr>
        <w:t>难、心绞痛、肝肿大、水肿等症状体征。卧床休息后症状好转，但不</w:t>
      </w:r>
      <w:r>
        <w:rPr>
          <w:spacing w:val="-4"/>
        </w:rPr>
        <w:t>能完全消失。</w:t>
      </w:r>
    </w:p>
    <w:p>
      <w:pPr>
        <w:pStyle w:val="BodyText"/>
        <w:spacing w:line="297" w:lineRule="auto" w:before="18"/>
        <w:ind w:left="2277" w:right="404" w:hanging="718"/>
      </w:pPr>
      <w:r>
        <w:rPr/>
        <w:t>Ⅳ 级：不能胜任任何体力活动，休息时仍有疲乏、心悸、呼吸困难或心绞痛及明显的心力衰竭体征。</w:t>
      </w:r>
    </w:p>
    <w:p>
      <w:pPr>
        <w:spacing w:before="15"/>
        <w:ind w:left="1560" w:right="0" w:firstLine="0"/>
        <w:jc w:val="left"/>
        <w:rPr>
          <w:sz w:val="21"/>
        </w:rPr>
      </w:pPr>
      <w:r>
        <w:rPr>
          <w:w w:val="95"/>
          <w:sz w:val="21"/>
        </w:rPr>
        <w:t>（</w:t>
      </w:r>
      <w:r>
        <w:rPr>
          <w:w w:val="95"/>
          <w:sz w:val="20"/>
        </w:rPr>
        <w:t>中国保险行业协会标准定义范围外疾病</w:t>
      </w:r>
      <w:r>
        <w:rPr>
          <w:w w:val="95"/>
          <w:sz w:val="21"/>
        </w:rPr>
        <w:t>）</w:t>
      </w:r>
    </w:p>
    <w:p>
      <w:pPr>
        <w:pStyle w:val="Heading3"/>
        <w:spacing w:before="66"/>
        <w:rPr>
          <w:rFonts w:ascii="宋体" w:eastAsia="宋体" w:hint="eastAsia"/>
        </w:rPr>
      </w:pPr>
      <w:r>
        <w:rPr>
          <w:rFonts w:ascii="Times New Roman" w:eastAsia="Times New Roman"/>
        </w:rPr>
        <w:t>27</w:t>
      </w:r>
      <w:r>
        <w:rPr>
          <w:rFonts w:ascii="宋体" w:eastAsia="宋体" w:hint="eastAsia"/>
        </w:rPr>
        <w:t>、系统性红斑狼疮</w:t>
      </w:r>
    </w:p>
    <w:p>
      <w:pPr>
        <w:pStyle w:val="BodyText"/>
        <w:spacing w:line="290" w:lineRule="auto" w:before="50"/>
        <w:ind w:left="1559" w:right="394"/>
      </w:pPr>
      <w:r>
        <w:rPr>
          <w:spacing w:val="-3"/>
        </w:rPr>
        <w:t>是指由于病理性自身抗体和免疫复合物的沉积破坏了血管和细胞而导致的一</w:t>
      </w:r>
      <w:r>
        <w:rPr>
          <w:spacing w:val="-11"/>
        </w:rPr>
        <w:t>种自体免疫性疾病。被保险人的肾功能由于系统性红斑狼疮而受到损害，且达</w:t>
      </w:r>
      <w:r>
        <w:rPr>
          <w:spacing w:val="-6"/>
        </w:rPr>
        <w:t>到世界卫生组织根据肾脏活检结果划分的狼疮肾炎</w:t>
      </w:r>
      <w:r>
        <w:rPr>
          <w:rFonts w:ascii="Times New Roman" w:eastAsia="Times New Roman"/>
          <w:spacing w:val="-3"/>
        </w:rPr>
        <w:t>III</w:t>
      </w:r>
      <w:r>
        <w:rPr/>
        <w:t>型、</w:t>
      </w:r>
      <w:r>
        <w:rPr>
          <w:rFonts w:ascii="Times New Roman" w:eastAsia="Times New Roman"/>
        </w:rPr>
        <w:t>IV</w:t>
      </w:r>
      <w:r>
        <w:rPr>
          <w:rFonts w:ascii="Times New Roman" w:eastAsia="Times New Roman"/>
          <w:spacing w:val="1"/>
        </w:rPr>
        <w:t>  </w:t>
      </w:r>
      <w:r>
        <w:rPr/>
        <w:t>型、</w:t>
      </w:r>
      <w:r>
        <w:rPr>
          <w:rFonts w:ascii="Times New Roman" w:eastAsia="Times New Roman"/>
        </w:rPr>
        <w:t>V</w:t>
      </w:r>
      <w:r>
        <w:rPr>
          <w:rFonts w:ascii="Times New Roman" w:eastAsia="Times New Roman"/>
          <w:spacing w:val="2"/>
        </w:rPr>
        <w:t>  </w:t>
      </w:r>
      <w:r>
        <w:rPr>
          <w:spacing w:val="-3"/>
        </w:rPr>
        <w:t>型和</w:t>
      </w:r>
      <w:r>
        <w:rPr>
          <w:rFonts w:ascii="Times New Roman" w:eastAsia="Times New Roman"/>
        </w:rPr>
        <w:t>VI </w:t>
      </w:r>
      <w:r>
        <w:rPr/>
        <w:t>型</w:t>
      </w:r>
      <w:r>
        <w:rPr>
          <w:rFonts w:ascii="Times New Roman" w:eastAsia="Times New Roman"/>
          <w:spacing w:val="-5"/>
        </w:rPr>
        <w:t>*</w:t>
      </w:r>
      <w:r>
        <w:rPr>
          <w:spacing w:val="-3"/>
        </w:rPr>
        <w:t>的程度。必须由我们认可的医疗机构的风湿病专科医师确诊。</w:t>
      </w:r>
    </w:p>
    <w:p>
      <w:pPr>
        <w:pStyle w:val="Heading3"/>
        <w:spacing w:line="297" w:lineRule="auto" w:before="1"/>
        <w:ind w:right="486"/>
      </w:pPr>
      <w:r>
        <w:rPr/>
        <w:t>其它类型的狼疮，例如盘状红斑狼疮或那些只影响血液和关节的红斑狼疮不在保障范围内。</w:t>
      </w:r>
    </w:p>
    <w:p>
      <w:pPr>
        <w:pStyle w:val="BodyText"/>
        <w:spacing w:before="15"/>
        <w:ind w:left="1560"/>
      </w:pPr>
      <w:r>
        <w:rPr>
          <w:rFonts w:ascii="Times New Roman" w:eastAsia="Times New Roman"/>
        </w:rPr>
        <w:t>*</w:t>
      </w:r>
      <w:r>
        <w:rPr/>
        <w:t>世界卫生组织（</w:t>
      </w:r>
      <w:r>
        <w:rPr>
          <w:rFonts w:ascii="Times New Roman" w:eastAsia="Times New Roman"/>
        </w:rPr>
        <w:t>WHO</w:t>
      </w:r>
      <w:r>
        <w:rPr/>
        <w:t>）对</w:t>
      </w:r>
      <w:r>
        <w:rPr>
          <w:rFonts w:ascii="Times New Roman" w:eastAsia="Times New Roman"/>
        </w:rPr>
        <w:t>III</w:t>
      </w:r>
      <w:r>
        <w:rPr/>
        <w:t>型到</w:t>
      </w:r>
      <w:r>
        <w:rPr>
          <w:rFonts w:ascii="Times New Roman" w:eastAsia="Times New Roman"/>
        </w:rPr>
        <w:t>VI</w:t>
      </w:r>
      <w:r>
        <w:rPr/>
        <w:t>型的狼疮肾炎的分类：</w:t>
      </w:r>
    </w:p>
    <w:p>
      <w:pPr>
        <w:spacing w:after="0"/>
        <w:sectPr>
          <w:pgSz w:w="11910" w:h="16840"/>
          <w:pgMar w:header="0" w:footer="990" w:top="1360" w:bottom="1180" w:left="1680" w:right="12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3"/>
        <w:gridCol w:w="7503"/>
      </w:tblGrid>
      <w:tr>
        <w:trPr>
          <w:trHeight w:val="8129" w:hRule="atLeast"/>
        </w:trPr>
        <w:tc>
          <w:tcPr>
            <w:tcW w:w="1743" w:type="dxa"/>
          </w:tcPr>
          <w:p>
            <w:pPr>
              <w:pStyle w:val="TableParagraph"/>
              <w:ind w:left="0"/>
              <w:rPr>
                <w:rFonts w:ascii="Times New Roman"/>
                <w:sz w:val="20"/>
              </w:rPr>
            </w:pPr>
          </w:p>
        </w:tc>
        <w:tc>
          <w:tcPr>
            <w:tcW w:w="7503" w:type="dxa"/>
          </w:tcPr>
          <w:p>
            <w:pPr>
              <w:pStyle w:val="TableParagraph"/>
              <w:tabs>
                <w:tab w:pos="1771" w:val="left" w:leader="none"/>
              </w:tabs>
              <w:spacing w:line="234" w:lineRule="exact"/>
              <w:ind w:left="252"/>
              <w:rPr>
                <w:sz w:val="21"/>
              </w:rPr>
            </w:pPr>
            <w:r>
              <w:rPr>
                <w:rFonts w:ascii="Times New Roman" w:eastAsia="Times New Roman"/>
                <w:sz w:val="21"/>
              </w:rPr>
              <w:t>WHO</w:t>
            </w:r>
            <w:r>
              <w:rPr>
                <w:rFonts w:ascii="Times New Roman" w:eastAsia="Times New Roman"/>
                <w:spacing w:val="0"/>
                <w:sz w:val="21"/>
              </w:rPr>
              <w:t> </w:t>
            </w:r>
            <w:r>
              <w:rPr>
                <w:rFonts w:ascii="Times New Roman" w:eastAsia="Times New Roman"/>
                <w:spacing w:val="-3"/>
                <w:sz w:val="21"/>
              </w:rPr>
              <w:t>III</w:t>
            </w:r>
            <w:r>
              <w:rPr>
                <w:sz w:val="21"/>
              </w:rPr>
              <w:t>型：</w:t>
              <w:tab/>
              <w:t>局灶</w:t>
            </w:r>
            <w:r>
              <w:rPr>
                <w:spacing w:val="-3"/>
                <w:sz w:val="21"/>
              </w:rPr>
              <w:t>型</w:t>
            </w:r>
            <w:r>
              <w:rPr>
                <w:sz w:val="21"/>
              </w:rPr>
              <w:t>或</w:t>
            </w:r>
            <w:r>
              <w:rPr>
                <w:spacing w:val="-3"/>
                <w:sz w:val="21"/>
              </w:rPr>
              <w:t>局</w:t>
            </w:r>
            <w:r>
              <w:rPr>
                <w:sz w:val="21"/>
              </w:rPr>
              <w:t>灶</w:t>
            </w:r>
            <w:r>
              <w:rPr>
                <w:spacing w:val="-3"/>
                <w:sz w:val="21"/>
              </w:rPr>
              <w:t>型</w:t>
            </w:r>
            <w:r>
              <w:rPr>
                <w:sz w:val="21"/>
              </w:rPr>
              <w:t>增</w:t>
            </w:r>
            <w:r>
              <w:rPr>
                <w:spacing w:val="-3"/>
                <w:sz w:val="21"/>
              </w:rPr>
              <w:t>殖</w:t>
            </w:r>
            <w:r>
              <w:rPr>
                <w:sz w:val="21"/>
              </w:rPr>
              <w:t>型</w:t>
            </w:r>
            <w:r>
              <w:rPr>
                <w:spacing w:val="-3"/>
                <w:sz w:val="21"/>
              </w:rPr>
              <w:t>肾</w:t>
            </w:r>
            <w:r>
              <w:rPr>
                <w:sz w:val="21"/>
              </w:rPr>
              <w:t>小球</w:t>
            </w:r>
            <w:r>
              <w:rPr>
                <w:spacing w:val="-3"/>
                <w:sz w:val="21"/>
              </w:rPr>
              <w:t>肾</w:t>
            </w:r>
            <w:r>
              <w:rPr>
                <w:sz w:val="21"/>
              </w:rPr>
              <w:t>炎</w:t>
            </w:r>
          </w:p>
          <w:p>
            <w:pPr>
              <w:pStyle w:val="TableParagraph"/>
              <w:tabs>
                <w:tab w:pos="1771" w:val="left" w:leader="none"/>
              </w:tabs>
              <w:spacing w:before="50"/>
              <w:ind w:left="252"/>
              <w:rPr>
                <w:sz w:val="21"/>
              </w:rPr>
            </w:pPr>
            <w:r>
              <w:rPr>
                <w:rFonts w:ascii="Times New Roman" w:eastAsia="Times New Roman"/>
                <w:sz w:val="21"/>
              </w:rPr>
              <w:t>WHO IV</w:t>
            </w:r>
            <w:r>
              <w:rPr>
                <w:rFonts w:ascii="Times New Roman" w:eastAsia="Times New Roman"/>
                <w:spacing w:val="50"/>
                <w:sz w:val="21"/>
              </w:rPr>
              <w:t> </w:t>
            </w:r>
            <w:r>
              <w:rPr>
                <w:spacing w:val="-3"/>
                <w:sz w:val="21"/>
              </w:rPr>
              <w:t>型</w:t>
            </w:r>
            <w:r>
              <w:rPr>
                <w:sz w:val="21"/>
              </w:rPr>
              <w:t>：</w:t>
              <w:tab/>
              <w:t>广泛</w:t>
            </w:r>
            <w:r>
              <w:rPr>
                <w:spacing w:val="-3"/>
                <w:sz w:val="21"/>
              </w:rPr>
              <w:t>的</w:t>
            </w:r>
            <w:r>
              <w:rPr>
                <w:sz w:val="21"/>
              </w:rPr>
              <w:t>肾</w:t>
            </w:r>
            <w:r>
              <w:rPr>
                <w:spacing w:val="-3"/>
                <w:sz w:val="21"/>
              </w:rPr>
              <w:t>小</w:t>
            </w:r>
            <w:r>
              <w:rPr>
                <w:sz w:val="21"/>
              </w:rPr>
              <w:t>球</w:t>
            </w:r>
            <w:r>
              <w:rPr>
                <w:spacing w:val="-3"/>
                <w:sz w:val="21"/>
              </w:rPr>
              <w:t>基</w:t>
            </w:r>
            <w:r>
              <w:rPr>
                <w:sz w:val="21"/>
              </w:rPr>
              <w:t>底</w:t>
            </w:r>
            <w:r>
              <w:rPr>
                <w:spacing w:val="-3"/>
                <w:sz w:val="21"/>
              </w:rPr>
              <w:t>膜</w:t>
            </w:r>
            <w:r>
              <w:rPr>
                <w:sz w:val="21"/>
              </w:rPr>
              <w:t>增</w:t>
            </w:r>
            <w:r>
              <w:rPr>
                <w:spacing w:val="-3"/>
                <w:sz w:val="21"/>
              </w:rPr>
              <w:t>厚</w:t>
            </w:r>
            <w:r>
              <w:rPr>
                <w:sz w:val="21"/>
              </w:rPr>
              <w:t>型肾</w:t>
            </w:r>
            <w:r>
              <w:rPr>
                <w:spacing w:val="-3"/>
                <w:sz w:val="21"/>
              </w:rPr>
              <w:t>小</w:t>
            </w:r>
            <w:r>
              <w:rPr>
                <w:sz w:val="21"/>
              </w:rPr>
              <w:t>球</w:t>
            </w:r>
            <w:r>
              <w:rPr>
                <w:spacing w:val="-3"/>
                <w:sz w:val="21"/>
              </w:rPr>
              <w:t>肾</w:t>
            </w:r>
            <w:r>
              <w:rPr>
                <w:sz w:val="21"/>
              </w:rPr>
              <w:t>炎</w:t>
            </w:r>
          </w:p>
          <w:p>
            <w:pPr>
              <w:pStyle w:val="TableParagraph"/>
              <w:tabs>
                <w:tab w:pos="1161" w:val="left" w:leader="none"/>
              </w:tabs>
              <w:spacing w:before="50"/>
              <w:ind w:left="252"/>
              <w:rPr>
                <w:sz w:val="21"/>
              </w:rPr>
            </w:pPr>
            <w:r>
              <w:rPr>
                <w:rFonts w:ascii="Times New Roman" w:eastAsia="Times New Roman"/>
                <w:sz w:val="21"/>
              </w:rPr>
              <w:t>WHO</w:t>
            </w:r>
            <w:r>
              <w:rPr>
                <w:rFonts w:ascii="Times New Roman" w:eastAsia="Times New Roman"/>
                <w:spacing w:val="-4"/>
                <w:sz w:val="21"/>
              </w:rPr>
              <w:t> </w:t>
            </w:r>
            <w:r>
              <w:rPr>
                <w:rFonts w:ascii="Times New Roman" w:eastAsia="Times New Roman"/>
                <w:sz w:val="21"/>
              </w:rPr>
              <w:t>V</w:t>
              <w:tab/>
            </w:r>
            <w:r>
              <w:rPr>
                <w:spacing w:val="1"/>
                <w:sz w:val="21"/>
              </w:rPr>
              <w:t>型： 弥漫增殖型肾小球肾炎</w:t>
            </w:r>
          </w:p>
          <w:p>
            <w:pPr>
              <w:pStyle w:val="TableParagraph"/>
              <w:tabs>
                <w:tab w:pos="1771" w:val="left" w:leader="none"/>
              </w:tabs>
              <w:spacing w:before="50"/>
              <w:ind w:left="252"/>
              <w:rPr>
                <w:sz w:val="21"/>
              </w:rPr>
            </w:pPr>
            <w:r>
              <w:rPr>
                <w:rFonts w:ascii="Times New Roman" w:eastAsia="Times New Roman"/>
                <w:sz w:val="21"/>
              </w:rPr>
              <w:t>WHO VI</w:t>
            </w:r>
            <w:r>
              <w:rPr>
                <w:rFonts w:ascii="Times New Roman" w:eastAsia="Times New Roman"/>
                <w:spacing w:val="45"/>
                <w:sz w:val="21"/>
              </w:rPr>
              <w:t> </w:t>
            </w:r>
            <w:r>
              <w:rPr>
                <w:sz w:val="21"/>
              </w:rPr>
              <w:t>型：</w:t>
              <w:tab/>
              <w:t>晚期</w:t>
            </w:r>
            <w:r>
              <w:rPr>
                <w:spacing w:val="-3"/>
                <w:sz w:val="21"/>
              </w:rPr>
              <w:t>硬</w:t>
            </w:r>
            <w:r>
              <w:rPr>
                <w:sz w:val="21"/>
              </w:rPr>
              <w:t>化</w:t>
            </w:r>
            <w:r>
              <w:rPr>
                <w:spacing w:val="-3"/>
                <w:sz w:val="21"/>
              </w:rPr>
              <w:t>型</w:t>
            </w:r>
            <w:r>
              <w:rPr>
                <w:sz w:val="21"/>
              </w:rPr>
              <w:t>肾</w:t>
            </w:r>
            <w:r>
              <w:rPr>
                <w:spacing w:val="-3"/>
                <w:sz w:val="21"/>
              </w:rPr>
              <w:t>小</w:t>
            </w:r>
            <w:r>
              <w:rPr>
                <w:sz w:val="21"/>
              </w:rPr>
              <w:t>球</w:t>
            </w:r>
            <w:r>
              <w:rPr>
                <w:spacing w:val="-3"/>
                <w:sz w:val="21"/>
              </w:rPr>
              <w:t>肾</w:t>
            </w:r>
            <w:r>
              <w:rPr>
                <w:sz w:val="21"/>
              </w:rPr>
              <w:t>炎</w:t>
            </w:r>
          </w:p>
          <w:p>
            <w:pPr>
              <w:pStyle w:val="TableParagraph"/>
              <w:spacing w:before="47"/>
              <w:ind w:left="252"/>
              <w:rPr>
                <w:sz w:val="21"/>
              </w:rPr>
            </w:pPr>
            <w:r>
              <w:rPr>
                <w:w w:val="95"/>
                <w:sz w:val="21"/>
              </w:rPr>
              <w:t>（</w:t>
            </w:r>
            <w:r>
              <w:rPr>
                <w:w w:val="95"/>
                <w:sz w:val="20"/>
              </w:rPr>
              <w:t>中国保险行业协会标准定义范围外疾病</w:t>
            </w:r>
            <w:r>
              <w:rPr>
                <w:w w:val="95"/>
                <w:sz w:val="21"/>
              </w:rPr>
              <w:t>）</w:t>
            </w:r>
          </w:p>
          <w:p>
            <w:pPr>
              <w:pStyle w:val="TableParagraph"/>
              <w:spacing w:before="65"/>
              <w:ind w:left="252"/>
              <w:rPr>
                <w:b/>
                <w:sz w:val="21"/>
              </w:rPr>
            </w:pPr>
            <w:r>
              <w:rPr>
                <w:rFonts w:ascii="Times New Roman" w:eastAsia="Times New Roman"/>
                <w:b/>
                <w:sz w:val="21"/>
              </w:rPr>
              <w:t>28</w:t>
            </w:r>
            <w:r>
              <w:rPr>
                <w:b/>
                <w:sz w:val="21"/>
              </w:rPr>
              <w:t>、慢性肝脏衰竭</w:t>
            </w:r>
          </w:p>
          <w:p>
            <w:pPr>
              <w:pStyle w:val="TableParagraph"/>
              <w:spacing w:line="340" w:lineRule="auto" w:before="109"/>
              <w:ind w:left="302" w:right="200"/>
              <w:rPr>
                <w:sz w:val="21"/>
              </w:rPr>
            </w:pPr>
            <w:r>
              <w:rPr>
                <w:sz w:val="21"/>
              </w:rPr>
              <w:t>是指乙型或丙型肝炎而导致肝硬化及慢性终末期肝功能衰竭，必须由我们认可的医院的肝病专科医师确诊。必须满足下列所有的条件：</w:t>
            </w:r>
          </w:p>
          <w:p>
            <w:pPr>
              <w:pStyle w:val="TableParagraph"/>
              <w:spacing w:before="25"/>
              <w:ind w:left="460"/>
              <w:rPr>
                <w:sz w:val="21"/>
              </w:rPr>
            </w:pPr>
            <w:r>
              <w:rPr>
                <w:sz w:val="21"/>
              </w:rPr>
              <w:t>1）持续性进行性加重性黄疸（胆红素&gt; 3mmol/L）</w:t>
            </w:r>
          </w:p>
          <w:p>
            <w:pPr>
              <w:pStyle w:val="TableParagraph"/>
              <w:spacing w:before="116"/>
              <w:ind w:left="460"/>
              <w:rPr>
                <w:sz w:val="21"/>
              </w:rPr>
            </w:pPr>
            <w:r>
              <w:rPr>
                <w:sz w:val="21"/>
              </w:rPr>
              <w:t>2）严重腹水</w:t>
            </w:r>
          </w:p>
          <w:p>
            <w:pPr>
              <w:pStyle w:val="TableParagraph"/>
              <w:spacing w:before="113"/>
              <w:ind w:left="460"/>
              <w:rPr>
                <w:sz w:val="21"/>
              </w:rPr>
            </w:pPr>
            <w:r>
              <w:rPr>
                <w:sz w:val="21"/>
              </w:rPr>
              <w:t>3）白蛋白&lt;3.5g/dl</w:t>
            </w:r>
          </w:p>
          <w:p>
            <w:pPr>
              <w:pStyle w:val="TableParagraph"/>
              <w:spacing w:before="115"/>
              <w:ind w:left="460"/>
              <w:rPr>
                <w:sz w:val="21"/>
              </w:rPr>
            </w:pPr>
            <w:r>
              <w:rPr>
                <w:sz w:val="21"/>
              </w:rPr>
              <w:t>4）凝血酶原时间&lt;70%</w:t>
            </w:r>
          </w:p>
          <w:p>
            <w:pPr>
              <w:pStyle w:val="TableParagraph"/>
              <w:spacing w:before="113"/>
              <w:ind w:left="460"/>
              <w:rPr>
                <w:sz w:val="21"/>
              </w:rPr>
            </w:pPr>
            <w:r>
              <w:rPr>
                <w:sz w:val="21"/>
              </w:rPr>
              <w:t>5）肝性脑病</w:t>
            </w:r>
          </w:p>
          <w:p>
            <w:pPr>
              <w:pStyle w:val="TableParagraph"/>
              <w:spacing w:before="56"/>
              <w:ind w:left="252"/>
              <w:rPr>
                <w:rFonts w:ascii="黑体" w:eastAsia="黑体" w:hint="eastAsia"/>
                <w:b/>
                <w:sz w:val="21"/>
              </w:rPr>
            </w:pPr>
            <w:r>
              <w:rPr>
                <w:rFonts w:ascii="黑体" w:eastAsia="黑体" w:hint="eastAsia"/>
                <w:b/>
                <w:sz w:val="21"/>
              </w:rPr>
              <w:t>继发于酒精或药物中毒的肝病不在本保障范围内。</w:t>
            </w:r>
          </w:p>
          <w:p>
            <w:pPr>
              <w:pStyle w:val="TableParagraph"/>
              <w:spacing w:before="63"/>
              <w:ind w:left="252"/>
              <w:rPr>
                <w:sz w:val="21"/>
              </w:rPr>
            </w:pPr>
            <w:r>
              <w:rPr>
                <w:w w:val="95"/>
                <w:sz w:val="21"/>
              </w:rPr>
              <w:t>（</w:t>
            </w:r>
            <w:r>
              <w:rPr>
                <w:w w:val="95"/>
                <w:sz w:val="20"/>
              </w:rPr>
              <w:t>中国保险行业协会标准定义范围外疾病</w:t>
            </w:r>
            <w:r>
              <w:rPr>
                <w:w w:val="95"/>
                <w:sz w:val="21"/>
              </w:rPr>
              <w:t>）</w:t>
            </w:r>
          </w:p>
          <w:p>
            <w:pPr>
              <w:pStyle w:val="TableParagraph"/>
              <w:spacing w:before="65"/>
              <w:ind w:left="252"/>
              <w:rPr>
                <w:b/>
                <w:sz w:val="21"/>
              </w:rPr>
            </w:pPr>
            <w:r>
              <w:rPr>
                <w:rFonts w:ascii="Times New Roman" w:eastAsia="Times New Roman"/>
                <w:b/>
                <w:sz w:val="21"/>
              </w:rPr>
              <w:t>29</w:t>
            </w:r>
            <w:r>
              <w:rPr>
                <w:b/>
                <w:sz w:val="21"/>
              </w:rPr>
              <w:t>、终末期肺病</w:t>
            </w:r>
          </w:p>
          <w:p>
            <w:pPr>
              <w:pStyle w:val="TableParagraph"/>
              <w:spacing w:line="297" w:lineRule="auto" w:before="49"/>
              <w:ind w:left="252" w:right="197"/>
              <w:rPr>
                <w:sz w:val="21"/>
              </w:rPr>
            </w:pPr>
            <w:r>
              <w:rPr>
                <w:spacing w:val="-8"/>
                <w:sz w:val="21"/>
              </w:rPr>
              <w:t>是指患有终末期肺病而出现慢性呼吸功能衰竭。必须由我们认可的医疗机构的</w:t>
            </w:r>
            <w:r>
              <w:rPr>
                <w:spacing w:val="-5"/>
                <w:sz w:val="21"/>
              </w:rPr>
              <w:t>呼吸科专科医生确诊，必须同时符合以下各项标准：</w:t>
            </w:r>
          </w:p>
          <w:p>
            <w:pPr>
              <w:pStyle w:val="TableParagraph"/>
              <w:spacing w:before="15"/>
              <w:ind w:left="252"/>
              <w:rPr>
                <w:sz w:val="21"/>
              </w:rPr>
            </w:pP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50"/>
              <w:ind w:left="252"/>
              <w:rPr>
                <w:sz w:val="21"/>
              </w:rPr>
            </w:pPr>
            <w:r>
              <w:rPr>
                <w:rFonts w:ascii="Times New Roman" w:eastAsia="Times New Roman"/>
                <w:sz w:val="21"/>
              </w:rPr>
              <w:t>2</w:t>
            </w:r>
            <w:r>
              <w:rPr>
                <w:sz w:val="21"/>
              </w:rPr>
              <w:t>）病人血氧不足必须持续地进行输氧治疗</w:t>
            </w:r>
          </w:p>
          <w:p>
            <w:pPr>
              <w:pStyle w:val="TableParagraph"/>
              <w:spacing w:before="47"/>
              <w:ind w:left="252"/>
              <w:rPr>
                <w:rFonts w:ascii="Times New Roman" w:eastAsia="Times New Roman"/>
                <w:sz w:val="21"/>
              </w:rPr>
            </w:pPr>
            <w:r>
              <w:rPr>
                <w:rFonts w:ascii="Times New Roman" w:eastAsia="Times New Roman"/>
                <w:sz w:val="21"/>
              </w:rPr>
              <w:t>3</w:t>
            </w:r>
            <w:r>
              <w:rPr>
                <w:sz w:val="21"/>
              </w:rPr>
              <w:t>）动脉血气分析氧分压等于或低于</w:t>
            </w:r>
            <w:r>
              <w:rPr>
                <w:rFonts w:ascii="Times New Roman" w:eastAsia="Times New Roman"/>
                <w:sz w:val="21"/>
              </w:rPr>
              <w:t>55mmHg</w:t>
            </w:r>
          </w:p>
          <w:p>
            <w:pPr>
              <w:pStyle w:val="TableParagraph"/>
              <w:spacing w:before="49"/>
              <w:ind w:left="252"/>
              <w:rPr>
                <w:sz w:val="21"/>
              </w:rPr>
            </w:pPr>
            <w:r>
              <w:rPr>
                <w:rFonts w:ascii="Times New Roman" w:eastAsia="Times New Roman"/>
                <w:sz w:val="21"/>
              </w:rPr>
              <w:t>4</w:t>
            </w:r>
            <w:r>
              <w:rPr>
                <w:sz w:val="21"/>
              </w:rPr>
              <w:t>） 休息时出现呼吸困难</w:t>
            </w:r>
          </w:p>
          <w:p>
            <w:pPr>
              <w:pStyle w:val="TableParagraph"/>
              <w:spacing w:before="49"/>
              <w:ind w:left="167" w:right="3666"/>
              <w:jc w:val="center"/>
              <w:rPr>
                <w:sz w:val="21"/>
              </w:rPr>
            </w:pPr>
            <w:r>
              <w:rPr>
                <w:w w:val="95"/>
                <w:sz w:val="21"/>
              </w:rPr>
              <w:t>（</w:t>
            </w:r>
            <w:r>
              <w:rPr>
                <w:w w:val="95"/>
                <w:sz w:val="20"/>
              </w:rPr>
              <w:t>中国保险行业协会标准定义范围外疾病</w:t>
            </w:r>
            <w:r>
              <w:rPr>
                <w:w w:val="95"/>
                <w:sz w:val="21"/>
              </w:rPr>
              <w:t>）</w:t>
            </w:r>
          </w:p>
        </w:tc>
      </w:tr>
      <w:tr>
        <w:trPr>
          <w:trHeight w:val="1573" w:hRule="atLeast"/>
        </w:trPr>
        <w:tc>
          <w:tcPr>
            <w:tcW w:w="1743" w:type="dxa"/>
          </w:tcPr>
          <w:p>
            <w:pPr>
              <w:pStyle w:val="TableParagraph"/>
              <w:spacing w:before="11"/>
              <w:rPr>
                <w:sz w:val="21"/>
              </w:rPr>
            </w:pPr>
            <w:r>
              <w:rPr>
                <w:sz w:val="21"/>
              </w:rPr>
              <w:t>未满期保险费</w:t>
            </w:r>
          </w:p>
          <w:p>
            <w:pPr>
              <w:pStyle w:val="TableParagraph"/>
              <w:spacing w:before="43"/>
              <w:rPr>
                <w:sz w:val="11"/>
              </w:rPr>
            </w:pPr>
            <w:r>
              <w:rPr>
                <w:sz w:val="11"/>
              </w:rPr>
              <w:t>（7）</w:t>
            </w:r>
          </w:p>
        </w:tc>
        <w:tc>
          <w:tcPr>
            <w:tcW w:w="7503" w:type="dxa"/>
          </w:tcPr>
          <w:p>
            <w:pPr>
              <w:pStyle w:val="TableParagraph"/>
              <w:spacing w:line="273" w:lineRule="auto" w:before="11"/>
              <w:ind w:left="302" w:right="200" w:hanging="212"/>
              <w:rPr>
                <w:sz w:val="21"/>
              </w:rPr>
            </w:pPr>
            <w:r>
              <w:rPr>
                <w:sz w:val="21"/>
              </w:rPr>
              <w:t>：按本期应交保险费乘以本期保险费未经过天数除以本期保险费承保日数（年交：365</w:t>
            </w:r>
            <w:r>
              <w:rPr>
                <w:spacing w:val="-1"/>
                <w:sz w:val="21"/>
              </w:rPr>
              <w:t> 日；半年交：</w:t>
            </w:r>
            <w:r>
              <w:rPr>
                <w:sz w:val="21"/>
              </w:rPr>
              <w:t>180</w:t>
            </w:r>
            <w:r>
              <w:rPr>
                <w:spacing w:val="-10"/>
                <w:sz w:val="21"/>
              </w:rPr>
              <w:t> 日；季交：</w:t>
            </w:r>
            <w:r>
              <w:rPr>
                <w:sz w:val="21"/>
              </w:rPr>
              <w:t>90</w:t>
            </w:r>
            <w:r>
              <w:rPr>
                <w:spacing w:val="-10"/>
                <w:sz w:val="21"/>
              </w:rPr>
              <w:t> 日；月交：</w:t>
            </w:r>
            <w:r>
              <w:rPr>
                <w:sz w:val="21"/>
              </w:rPr>
              <w:t>30</w:t>
            </w:r>
            <w:r>
              <w:rPr>
                <w:spacing w:val="-25"/>
                <w:sz w:val="21"/>
              </w:rPr>
              <w:t> 日</w:t>
            </w:r>
            <w:r>
              <w:rPr>
                <w:spacing w:val="-3"/>
                <w:sz w:val="21"/>
              </w:rPr>
              <w:t>）计算的保险费。</w:t>
            </w:r>
          </w:p>
          <w:p>
            <w:pPr>
              <w:pStyle w:val="TableParagraph"/>
              <w:tabs>
                <w:tab w:pos="6372" w:val="left" w:leader="none"/>
              </w:tabs>
              <w:spacing w:line="206" w:lineRule="auto" w:before="122"/>
              <w:ind w:left="300" w:right="1128" w:firstLine="3909"/>
              <w:rPr>
                <w:rFonts w:ascii="Times New Roman" w:hAnsi="Times New Roman" w:eastAsia="Times New Roman"/>
                <w:sz w:val="21"/>
              </w:rPr>
            </w:pPr>
            <w:r>
              <w:rPr>
                <w:sz w:val="21"/>
              </w:rPr>
              <w:t>本期</w:t>
            </w:r>
            <w:r>
              <w:rPr>
                <w:spacing w:val="-3"/>
                <w:sz w:val="21"/>
              </w:rPr>
              <w:t>保</w:t>
            </w:r>
            <w:r>
              <w:rPr>
                <w:sz w:val="21"/>
              </w:rPr>
              <w:t>险</w:t>
            </w:r>
            <w:r>
              <w:rPr>
                <w:spacing w:val="-3"/>
                <w:sz w:val="21"/>
              </w:rPr>
              <w:t>费</w:t>
            </w:r>
            <w:r>
              <w:rPr>
                <w:sz w:val="21"/>
              </w:rPr>
              <w:t>未</w:t>
            </w:r>
            <w:r>
              <w:rPr>
                <w:spacing w:val="-3"/>
                <w:sz w:val="21"/>
              </w:rPr>
              <w:t>经</w:t>
            </w:r>
            <w:r>
              <w:rPr>
                <w:sz w:val="21"/>
              </w:rPr>
              <w:t>过</w:t>
            </w:r>
            <w:r>
              <w:rPr>
                <w:spacing w:val="-3"/>
                <w:sz w:val="21"/>
              </w:rPr>
              <w:t>日</w:t>
            </w:r>
            <w:r>
              <w:rPr>
                <w:sz w:val="21"/>
              </w:rPr>
              <w:t>数公式</w:t>
            </w:r>
            <w:r>
              <w:rPr>
                <w:spacing w:val="-3"/>
                <w:sz w:val="21"/>
              </w:rPr>
              <w:t>：</w:t>
            </w:r>
            <w:r>
              <w:rPr>
                <w:sz w:val="21"/>
              </w:rPr>
              <w:t>未</w:t>
            </w:r>
            <w:r>
              <w:rPr>
                <w:spacing w:val="-3"/>
                <w:sz w:val="21"/>
              </w:rPr>
              <w:t>满</w:t>
            </w:r>
            <w:r>
              <w:rPr>
                <w:sz w:val="21"/>
              </w:rPr>
              <w:t>期</w:t>
            </w:r>
            <w:r>
              <w:rPr>
                <w:spacing w:val="-3"/>
                <w:sz w:val="21"/>
              </w:rPr>
              <w:t>保</w:t>
            </w:r>
            <w:r>
              <w:rPr>
                <w:sz w:val="21"/>
              </w:rPr>
              <w:t>险</w:t>
            </w:r>
            <w:r>
              <w:rPr>
                <w:spacing w:val="-3"/>
                <w:sz w:val="21"/>
              </w:rPr>
              <w:t>费</w:t>
            </w:r>
            <w:r>
              <w:rPr>
                <w:sz w:val="21"/>
              </w:rPr>
              <w:t>=</w:t>
            </w:r>
            <w:r>
              <w:rPr>
                <w:spacing w:val="-3"/>
                <w:sz w:val="21"/>
              </w:rPr>
              <w:t>本期</w:t>
            </w:r>
            <w:r>
              <w:rPr>
                <w:sz w:val="21"/>
              </w:rPr>
              <w:t>应交</w:t>
            </w:r>
            <w:r>
              <w:rPr>
                <w:spacing w:val="-3"/>
                <w:sz w:val="21"/>
              </w:rPr>
              <w:t>保</w:t>
            </w:r>
            <w:r>
              <w:rPr>
                <w:sz w:val="21"/>
              </w:rPr>
              <w:t>险</w:t>
            </w:r>
            <w:r>
              <w:rPr>
                <w:spacing w:val="-3"/>
                <w:sz w:val="21"/>
              </w:rPr>
              <w:t>费</w:t>
            </w:r>
            <w:r>
              <w:rPr>
                <w:sz w:val="21"/>
              </w:rPr>
              <w:t>× </w:t>
            </w:r>
            <w:r>
              <w:rPr>
                <w:spacing w:val="-21"/>
                <w:sz w:val="21"/>
              </w:rPr>
              <w:t> </w:t>
            </w:r>
            <w:r>
              <w:rPr>
                <w:rFonts w:ascii="Times New Roman" w:hAnsi="Times New Roman" w:eastAsia="Times New Roman"/>
                <w:w w:val="100"/>
                <w:sz w:val="21"/>
                <w:u w:val="single"/>
              </w:rPr>
              <w:t> </w:t>
            </w:r>
            <w:r>
              <w:rPr>
                <w:rFonts w:ascii="Times New Roman" w:hAnsi="Times New Roman" w:eastAsia="Times New Roman"/>
                <w:sz w:val="21"/>
                <w:u w:val="single"/>
              </w:rPr>
              <w:tab/>
            </w:r>
          </w:p>
          <w:p>
            <w:pPr>
              <w:pStyle w:val="TableParagraph"/>
              <w:spacing w:line="217" w:lineRule="exact" w:before="114"/>
              <w:ind w:left="4243"/>
              <w:rPr>
                <w:sz w:val="21"/>
              </w:rPr>
            </w:pPr>
            <w:r>
              <w:rPr>
                <w:sz w:val="21"/>
              </w:rPr>
              <w:t>本期保险费承保日数</w:t>
            </w:r>
          </w:p>
        </w:tc>
      </w:tr>
      <w:tr>
        <w:trPr>
          <w:trHeight w:val="930" w:hRule="atLeast"/>
        </w:trPr>
        <w:tc>
          <w:tcPr>
            <w:tcW w:w="1743" w:type="dxa"/>
          </w:tcPr>
          <w:p>
            <w:pPr>
              <w:pStyle w:val="TableParagraph"/>
              <w:spacing w:before="9"/>
              <w:ind w:left="0"/>
              <w:rPr>
                <w:sz w:val="23"/>
              </w:rPr>
            </w:pPr>
          </w:p>
          <w:p>
            <w:pPr>
              <w:pStyle w:val="TableParagraph"/>
              <w:rPr>
                <w:sz w:val="11"/>
              </w:rPr>
            </w:pPr>
            <w:r>
              <w:rPr>
                <w:sz w:val="21"/>
              </w:rPr>
              <w:t>意外伤害</w:t>
            </w:r>
            <w:r>
              <w:rPr>
                <w:position w:val="11"/>
                <w:sz w:val="11"/>
              </w:rPr>
              <w:t>（8）</w:t>
            </w:r>
          </w:p>
        </w:tc>
        <w:tc>
          <w:tcPr>
            <w:tcW w:w="7503" w:type="dxa"/>
          </w:tcPr>
          <w:p>
            <w:pPr>
              <w:pStyle w:val="TableParagraph"/>
              <w:ind w:left="0"/>
              <w:rPr>
                <w:sz w:val="21"/>
              </w:rPr>
            </w:pPr>
          </w:p>
          <w:p>
            <w:pPr>
              <w:pStyle w:val="TableParagraph"/>
              <w:spacing w:line="310" w:lineRule="atLeast"/>
              <w:ind w:left="302" w:right="200" w:hanging="212"/>
              <w:rPr>
                <w:sz w:val="21"/>
              </w:rPr>
            </w:pPr>
            <w:r>
              <w:rPr>
                <w:sz w:val="21"/>
              </w:rPr>
              <w:t>：是指遭受外来的、突发的、非本意的、非疾病的、使身体受到伤害且作为直接且单独原因导致被保险人伤害或死亡的客观事件。</w:t>
            </w:r>
          </w:p>
        </w:tc>
      </w:tr>
      <w:tr>
        <w:trPr>
          <w:trHeight w:val="1253" w:hRule="atLeast"/>
        </w:trPr>
        <w:tc>
          <w:tcPr>
            <w:tcW w:w="1743" w:type="dxa"/>
          </w:tcPr>
          <w:p>
            <w:pPr>
              <w:pStyle w:val="TableParagraph"/>
              <w:spacing w:line="286" w:lineRule="exact"/>
              <w:rPr>
                <w:sz w:val="12"/>
              </w:rPr>
            </w:pPr>
            <w:r>
              <w:rPr>
                <w:position w:val="-11"/>
                <w:sz w:val="21"/>
              </w:rPr>
              <w:t>毒品</w:t>
            </w:r>
            <w:r>
              <w:rPr>
                <w:sz w:val="12"/>
              </w:rPr>
              <w:t>（9）</w:t>
            </w:r>
          </w:p>
        </w:tc>
        <w:tc>
          <w:tcPr>
            <w:tcW w:w="7503" w:type="dxa"/>
          </w:tcPr>
          <w:p>
            <w:pPr>
              <w:pStyle w:val="TableParagraph"/>
              <w:spacing w:line="273" w:lineRule="auto" w:before="4"/>
              <w:ind w:left="302" w:right="200" w:hanging="212"/>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5"/>
                <w:sz w:val="21"/>
              </w:rPr>
              <w:t>、吗啡、大麻、可卡因以及国家规定管制的其他能够使人形成瘾癖的麻醉药品和精神药</w:t>
            </w:r>
          </w:p>
          <w:p>
            <w:pPr>
              <w:pStyle w:val="TableParagraph"/>
              <w:spacing w:line="312" w:lineRule="exact" w:before="3"/>
              <w:ind w:left="302" w:right="200"/>
              <w:rPr>
                <w:sz w:val="21"/>
              </w:rPr>
            </w:pPr>
            <w:r>
              <w:rPr>
                <w:sz w:val="21"/>
              </w:rPr>
              <w:t>品，但不包括由医生开具并遵医嘱使用的用于治疗疾病但含有毒品成分的处方药品。</w:t>
            </w:r>
          </w:p>
        </w:tc>
      </w:tr>
      <w:tr>
        <w:trPr>
          <w:trHeight w:val="897" w:hRule="atLeast"/>
        </w:trPr>
        <w:tc>
          <w:tcPr>
            <w:tcW w:w="1743" w:type="dxa"/>
          </w:tcPr>
          <w:p>
            <w:pPr>
              <w:pStyle w:val="TableParagraph"/>
              <w:spacing w:line="273" w:lineRule="exact"/>
              <w:rPr>
                <w:sz w:val="11"/>
              </w:rPr>
            </w:pPr>
            <w:r>
              <w:rPr>
                <w:position w:val="-10"/>
                <w:sz w:val="21"/>
              </w:rPr>
              <w:t>酒后驾驶</w:t>
            </w:r>
            <w:r>
              <w:rPr>
                <w:sz w:val="11"/>
              </w:rPr>
              <w:t>（10）</w:t>
            </w:r>
          </w:p>
        </w:tc>
        <w:tc>
          <w:tcPr>
            <w:tcW w:w="7503" w:type="dxa"/>
          </w:tcPr>
          <w:p>
            <w:pPr>
              <w:pStyle w:val="TableParagraph"/>
              <w:spacing w:line="273" w:lineRule="auto"/>
              <w:ind w:left="302" w:right="200" w:hanging="212"/>
              <w:rPr>
                <w:sz w:val="21"/>
              </w:rPr>
            </w:pPr>
            <w:r>
              <w:rPr>
                <w:sz w:val="21"/>
              </w:rPr>
              <w:t>：指经检测或鉴定，发生事故时车辆驾驶人员每百毫升血液中的酒精含量达到或超过一定的标准，公安机关交通管理部门依据《道路交通安全法》的规定</w:t>
            </w:r>
          </w:p>
          <w:p>
            <w:pPr>
              <w:pStyle w:val="TableParagraph"/>
              <w:spacing w:line="255" w:lineRule="exact" w:before="9"/>
              <w:ind w:left="302"/>
              <w:rPr>
                <w:sz w:val="21"/>
              </w:rPr>
            </w:pPr>
            <w:r>
              <w:rPr>
                <w:sz w:val="21"/>
              </w:rPr>
              <w:t>认定为饮酒后驾驶或醉酒后驾驶。</w:t>
            </w:r>
          </w:p>
        </w:tc>
      </w:tr>
    </w:tbl>
    <w:p>
      <w:pPr>
        <w:spacing w:after="0" w:line="255" w:lineRule="exact"/>
        <w:rPr>
          <w:sz w:val="21"/>
        </w:rPr>
        <w:sectPr>
          <w:pgSz w:w="11910" w:h="16840"/>
          <w:pgMar w:header="0" w:footer="917" w:top="1440" w:bottom="1100" w:left="1140" w:right="13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7626"/>
      </w:tblGrid>
      <w:tr>
        <w:trPr>
          <w:trHeight w:val="1821" w:hRule="atLeast"/>
        </w:trPr>
        <w:tc>
          <w:tcPr>
            <w:tcW w:w="1767" w:type="dxa"/>
          </w:tcPr>
          <w:p>
            <w:pPr>
              <w:pStyle w:val="TableParagraph"/>
              <w:spacing w:line="204" w:lineRule="exact"/>
              <w:ind w:left="223"/>
              <w:rPr>
                <w:sz w:val="21"/>
              </w:rPr>
            </w:pPr>
            <w:r>
              <w:rPr>
                <w:sz w:val="21"/>
              </w:rPr>
              <w:t>无合法有效驾</w:t>
            </w:r>
          </w:p>
          <w:p>
            <w:pPr>
              <w:pStyle w:val="TableParagraph"/>
              <w:spacing w:before="36"/>
              <w:ind w:left="223"/>
              <w:rPr>
                <w:sz w:val="11"/>
              </w:rPr>
            </w:pPr>
            <w:r>
              <w:rPr>
                <w:position w:val="-10"/>
                <w:sz w:val="21"/>
              </w:rPr>
              <w:t>驶证驾驶</w:t>
            </w:r>
            <w:r>
              <w:rPr>
                <w:sz w:val="11"/>
              </w:rPr>
              <w:t>（11）</w:t>
            </w:r>
          </w:p>
        </w:tc>
        <w:tc>
          <w:tcPr>
            <w:tcW w:w="7626" w:type="dxa"/>
          </w:tcPr>
          <w:p>
            <w:pPr>
              <w:pStyle w:val="TableParagraph"/>
              <w:spacing w:line="204" w:lineRule="exact"/>
              <w:ind w:left="91"/>
              <w:rPr>
                <w:sz w:val="21"/>
              </w:rPr>
            </w:pPr>
            <w:r>
              <w:rPr>
                <w:sz w:val="21"/>
              </w:rPr>
              <w:t>：指下列情形之一：</w:t>
            </w:r>
          </w:p>
          <w:p>
            <w:pPr>
              <w:pStyle w:val="TableParagraph"/>
              <w:spacing w:before="37"/>
              <w:ind w:left="91"/>
              <w:rPr>
                <w:sz w:val="21"/>
              </w:rPr>
            </w:pPr>
            <w:r>
              <w:rPr>
                <w:sz w:val="21"/>
              </w:rPr>
              <w:t>（1）没有取得驾驶资格；</w:t>
            </w:r>
          </w:p>
          <w:p>
            <w:pPr>
              <w:pStyle w:val="TableParagraph"/>
              <w:spacing w:before="37"/>
              <w:ind w:left="91"/>
              <w:rPr>
                <w:sz w:val="21"/>
              </w:rPr>
            </w:pPr>
            <w:r>
              <w:rPr>
                <w:sz w:val="21"/>
              </w:rPr>
              <w:t>（2）驾驶与驾驶证准驾车型不相符合的车辆；</w:t>
            </w:r>
          </w:p>
          <w:p>
            <w:pPr>
              <w:pStyle w:val="TableParagraph"/>
              <w:spacing w:before="37"/>
              <w:ind w:left="91"/>
              <w:rPr>
                <w:sz w:val="21"/>
              </w:rPr>
            </w:pPr>
            <w:r>
              <w:rPr>
                <w:sz w:val="21"/>
              </w:rPr>
              <w:t>（3）持审验不合格的驾驶证驾驶；</w:t>
            </w:r>
          </w:p>
          <w:p>
            <w:pPr>
              <w:pStyle w:val="TableParagraph"/>
              <w:spacing w:line="273" w:lineRule="auto" w:before="37"/>
              <w:ind w:left="302" w:right="289" w:hanging="212"/>
              <w:rPr>
                <w:sz w:val="21"/>
              </w:rPr>
            </w:pPr>
            <w:r>
              <w:rPr>
                <w:sz w:val="21"/>
              </w:rPr>
              <w:t>（4）持学习驾驶证学习驾车时，无教练员随车指导，或不按指定时间、路线学习驾车。</w:t>
            </w:r>
          </w:p>
        </w:tc>
      </w:tr>
      <w:tr>
        <w:trPr>
          <w:trHeight w:val="924" w:hRule="atLeast"/>
        </w:trPr>
        <w:tc>
          <w:tcPr>
            <w:tcW w:w="1767" w:type="dxa"/>
          </w:tcPr>
          <w:p>
            <w:pPr>
              <w:pStyle w:val="TableParagraph"/>
              <w:spacing w:line="254" w:lineRule="exact"/>
              <w:ind w:left="224"/>
              <w:rPr>
                <w:sz w:val="21"/>
              </w:rPr>
            </w:pPr>
            <w:r>
              <w:rPr>
                <w:sz w:val="21"/>
              </w:rPr>
              <w:t>无有效行驶证</w:t>
            </w:r>
          </w:p>
          <w:p>
            <w:pPr>
              <w:pStyle w:val="TableParagraph"/>
              <w:spacing w:before="44"/>
              <w:ind w:left="223"/>
              <w:rPr>
                <w:sz w:val="11"/>
              </w:rPr>
            </w:pPr>
            <w:r>
              <w:rPr>
                <w:sz w:val="11"/>
              </w:rPr>
              <w:t>（12）</w:t>
            </w:r>
          </w:p>
        </w:tc>
        <w:tc>
          <w:tcPr>
            <w:tcW w:w="7626" w:type="dxa"/>
          </w:tcPr>
          <w:p>
            <w:pPr>
              <w:pStyle w:val="TableParagraph"/>
              <w:spacing w:line="255" w:lineRule="exact"/>
              <w:ind w:left="91"/>
              <w:rPr>
                <w:sz w:val="21"/>
              </w:rPr>
            </w:pPr>
            <w:r>
              <w:rPr>
                <w:sz w:val="21"/>
              </w:rPr>
              <w:t>：指下列情形之一：</w:t>
            </w:r>
          </w:p>
          <w:p>
            <w:pPr>
              <w:pStyle w:val="TableParagraph"/>
              <w:spacing w:before="37"/>
              <w:ind w:left="91"/>
              <w:rPr>
                <w:sz w:val="21"/>
              </w:rPr>
            </w:pPr>
            <w:r>
              <w:rPr>
                <w:sz w:val="21"/>
              </w:rPr>
              <w:t>（1）机动车被依法注销登记的；</w:t>
            </w:r>
          </w:p>
          <w:p>
            <w:pPr>
              <w:pStyle w:val="TableParagraph"/>
              <w:spacing w:before="37"/>
              <w:ind w:left="91"/>
              <w:rPr>
                <w:sz w:val="21"/>
              </w:rPr>
            </w:pPr>
            <w:r>
              <w:rPr>
                <w:sz w:val="21"/>
              </w:rPr>
              <w:t>（2）未依法按时进行或通过机动车安全技术检验。</w:t>
            </w:r>
          </w:p>
        </w:tc>
      </w:tr>
      <w:tr>
        <w:trPr>
          <w:trHeight w:val="635" w:hRule="atLeast"/>
        </w:trPr>
        <w:tc>
          <w:tcPr>
            <w:tcW w:w="1767" w:type="dxa"/>
          </w:tcPr>
          <w:p>
            <w:pPr>
              <w:pStyle w:val="TableParagraph"/>
              <w:spacing w:line="266" w:lineRule="exact"/>
              <w:ind w:left="224"/>
              <w:rPr>
                <w:sz w:val="11"/>
              </w:rPr>
            </w:pPr>
            <w:r>
              <w:rPr>
                <w:sz w:val="21"/>
              </w:rPr>
              <w:t>遗传性疾病</w:t>
            </w:r>
            <w:r>
              <w:rPr>
                <w:position w:val="11"/>
                <w:sz w:val="11"/>
              </w:rPr>
              <w:t>（13）</w:t>
            </w:r>
          </w:p>
        </w:tc>
        <w:tc>
          <w:tcPr>
            <w:tcW w:w="7626" w:type="dxa"/>
          </w:tcPr>
          <w:p>
            <w:pPr>
              <w:pStyle w:val="TableParagraph"/>
              <w:spacing w:line="273" w:lineRule="auto"/>
              <w:ind w:left="302" w:right="323" w:hanging="212"/>
              <w:rPr>
                <w:sz w:val="21"/>
              </w:rPr>
            </w:pPr>
            <w:r>
              <w:rPr>
                <w:sz w:val="21"/>
              </w:rPr>
              <w:t>：指生殖细胞或受精卵的遗传物质（染色体和基因）发生突变或畸变所引起的疾病，通常具有由亲代传至后代的垂直传递的特征。</w:t>
            </w:r>
          </w:p>
        </w:tc>
      </w:tr>
      <w:tr>
        <w:trPr>
          <w:trHeight w:val="924" w:hRule="atLeast"/>
        </w:trPr>
        <w:tc>
          <w:tcPr>
            <w:tcW w:w="1767" w:type="dxa"/>
          </w:tcPr>
          <w:p>
            <w:pPr>
              <w:pStyle w:val="TableParagraph"/>
              <w:spacing w:line="254" w:lineRule="exact"/>
              <w:ind w:left="224"/>
              <w:rPr>
                <w:sz w:val="21"/>
              </w:rPr>
            </w:pPr>
            <w:r>
              <w:rPr>
                <w:sz w:val="21"/>
              </w:rPr>
              <w:t>先天性畸形、变</w:t>
            </w:r>
          </w:p>
          <w:p>
            <w:pPr>
              <w:pStyle w:val="TableParagraph"/>
              <w:spacing w:line="271" w:lineRule="auto" w:before="37"/>
              <w:ind w:left="224" w:right="88"/>
              <w:rPr>
                <w:sz w:val="11"/>
              </w:rPr>
            </w:pPr>
            <w:r>
              <w:rPr>
                <w:sz w:val="21"/>
              </w:rPr>
              <w:t>形或染色体异</w:t>
            </w:r>
            <w:r>
              <w:rPr>
                <w:position w:val="-10"/>
                <w:sz w:val="21"/>
              </w:rPr>
              <w:t>常</w:t>
            </w:r>
            <w:r>
              <w:rPr>
                <w:sz w:val="11"/>
              </w:rPr>
              <w:t>（14）</w:t>
            </w:r>
          </w:p>
        </w:tc>
        <w:tc>
          <w:tcPr>
            <w:tcW w:w="7626" w:type="dxa"/>
          </w:tcPr>
          <w:p>
            <w:pPr>
              <w:pStyle w:val="TableParagraph"/>
              <w:spacing w:line="254" w:lineRule="exact"/>
              <w:ind w:left="91"/>
              <w:rPr>
                <w:sz w:val="21"/>
              </w:rPr>
            </w:pPr>
            <w:r>
              <w:rPr>
                <w:sz w:val="21"/>
              </w:rPr>
              <w:t>：指被保险人出生时就具有的畸形、变形或染色体异常。先天性畸形、变形和</w:t>
            </w:r>
          </w:p>
          <w:p>
            <w:pPr>
              <w:pStyle w:val="TableParagraph"/>
              <w:spacing w:before="37"/>
              <w:ind w:left="302"/>
              <w:rPr>
                <w:sz w:val="21"/>
              </w:rPr>
            </w:pPr>
            <w:r>
              <w:rPr>
                <w:sz w:val="21"/>
              </w:rPr>
              <w:t>染色体异常依照世界卫生组织《疾病和有关健康问题的国际统计分类》</w:t>
            </w:r>
          </w:p>
          <w:p>
            <w:pPr>
              <w:pStyle w:val="TableParagraph"/>
              <w:spacing w:before="37"/>
              <w:ind w:left="302"/>
              <w:rPr>
                <w:sz w:val="21"/>
              </w:rPr>
            </w:pPr>
            <w:r>
              <w:rPr>
                <w:sz w:val="21"/>
              </w:rPr>
              <w:t>（ICD-10）确定。</w:t>
            </w:r>
          </w:p>
        </w:tc>
      </w:tr>
      <w:tr>
        <w:trPr>
          <w:trHeight w:val="312" w:hRule="atLeast"/>
        </w:trPr>
        <w:tc>
          <w:tcPr>
            <w:tcW w:w="1767" w:type="dxa"/>
          </w:tcPr>
          <w:p>
            <w:pPr>
              <w:pStyle w:val="TableParagraph"/>
              <w:spacing w:line="266" w:lineRule="exact"/>
              <w:ind w:left="223"/>
              <w:rPr>
                <w:sz w:val="11"/>
              </w:rPr>
            </w:pPr>
            <w:r>
              <w:rPr>
                <w:position w:val="-10"/>
                <w:sz w:val="21"/>
              </w:rPr>
              <w:t>周岁</w:t>
            </w:r>
            <w:r>
              <w:rPr>
                <w:sz w:val="11"/>
              </w:rPr>
              <w:t>(15)</w:t>
            </w:r>
          </w:p>
        </w:tc>
        <w:tc>
          <w:tcPr>
            <w:tcW w:w="7626" w:type="dxa"/>
          </w:tcPr>
          <w:p>
            <w:pPr>
              <w:pStyle w:val="TableParagraph"/>
              <w:spacing w:line="266" w:lineRule="exact"/>
              <w:ind w:left="91"/>
              <w:rPr>
                <w:sz w:val="21"/>
              </w:rPr>
            </w:pPr>
            <w:r>
              <w:rPr>
                <w:sz w:val="21"/>
              </w:rPr>
              <w:t>：以有效身份证件中记载的出生日期为计算基础。</w:t>
            </w:r>
          </w:p>
        </w:tc>
      </w:tr>
      <w:tr>
        <w:trPr>
          <w:trHeight w:val="635" w:hRule="atLeast"/>
        </w:trPr>
        <w:tc>
          <w:tcPr>
            <w:tcW w:w="1767" w:type="dxa"/>
          </w:tcPr>
          <w:p>
            <w:pPr>
              <w:pStyle w:val="TableParagraph"/>
              <w:spacing w:line="266" w:lineRule="exact"/>
              <w:ind w:left="224"/>
              <w:rPr>
                <w:sz w:val="11"/>
              </w:rPr>
            </w:pPr>
            <w:r>
              <w:rPr>
                <w:position w:val="-10"/>
                <w:sz w:val="21"/>
              </w:rPr>
              <w:t>手续费</w:t>
            </w:r>
            <w:r>
              <w:rPr>
                <w:sz w:val="11"/>
              </w:rPr>
              <w:t>（16）</w:t>
            </w:r>
          </w:p>
        </w:tc>
        <w:tc>
          <w:tcPr>
            <w:tcW w:w="7626" w:type="dxa"/>
          </w:tcPr>
          <w:p>
            <w:pPr>
              <w:pStyle w:val="TableParagraph"/>
              <w:spacing w:line="273" w:lineRule="auto"/>
              <w:ind w:left="302" w:right="323" w:hanging="212"/>
              <w:rPr>
                <w:sz w:val="21"/>
              </w:rPr>
            </w:pPr>
            <w:r>
              <w:rPr>
                <w:sz w:val="21"/>
              </w:rPr>
              <w:t>：是指每份保险合同平均承担管理费用（含营业费用、各项税金、保险保障基金）和代理费用之和。</w:t>
            </w:r>
          </w:p>
        </w:tc>
      </w:tr>
      <w:tr>
        <w:trPr>
          <w:trHeight w:val="623" w:hRule="atLeast"/>
        </w:trPr>
        <w:tc>
          <w:tcPr>
            <w:tcW w:w="1767" w:type="dxa"/>
          </w:tcPr>
          <w:p>
            <w:pPr>
              <w:pStyle w:val="TableParagraph"/>
              <w:spacing w:line="254" w:lineRule="exact"/>
              <w:rPr>
                <w:sz w:val="21"/>
              </w:rPr>
            </w:pPr>
            <w:r>
              <w:rPr>
                <w:sz w:val="21"/>
              </w:rPr>
              <w:t>肢体机能完全</w:t>
            </w:r>
          </w:p>
          <w:p>
            <w:pPr>
              <w:pStyle w:val="TableParagraph"/>
              <w:spacing w:before="36"/>
              <w:rPr>
                <w:sz w:val="11"/>
              </w:rPr>
            </w:pPr>
            <w:r>
              <w:rPr>
                <w:position w:val="-10"/>
                <w:sz w:val="21"/>
              </w:rPr>
              <w:t>丧失</w:t>
            </w:r>
            <w:r>
              <w:rPr>
                <w:sz w:val="11"/>
              </w:rPr>
              <w:t>(17)</w:t>
            </w:r>
          </w:p>
        </w:tc>
        <w:tc>
          <w:tcPr>
            <w:tcW w:w="7626" w:type="dxa"/>
          </w:tcPr>
          <w:p>
            <w:pPr>
              <w:pStyle w:val="TableParagraph"/>
              <w:spacing w:line="254" w:lineRule="exact"/>
              <w:ind w:left="91"/>
              <w:rPr>
                <w:sz w:val="21"/>
              </w:rPr>
            </w:pPr>
            <w:r>
              <w:rPr>
                <w:sz w:val="21"/>
              </w:rPr>
              <w:t>: 指肢体的三大关节中的两大关节僵硬，或不能随意识活动。肢体是指包括肩</w:t>
            </w:r>
          </w:p>
          <w:p>
            <w:pPr>
              <w:pStyle w:val="TableParagraph"/>
              <w:spacing w:before="37"/>
              <w:ind w:left="302"/>
              <w:rPr>
                <w:sz w:val="21"/>
              </w:rPr>
            </w:pPr>
            <w:r>
              <w:rPr>
                <w:sz w:val="21"/>
              </w:rPr>
              <w:t>关节的整个上肢或包括髋关节的整个下肢。</w:t>
            </w:r>
          </w:p>
        </w:tc>
      </w:tr>
      <w:tr>
        <w:trPr>
          <w:trHeight w:val="1545" w:hRule="atLeast"/>
        </w:trPr>
        <w:tc>
          <w:tcPr>
            <w:tcW w:w="1767" w:type="dxa"/>
          </w:tcPr>
          <w:p>
            <w:pPr>
              <w:pStyle w:val="TableParagraph"/>
              <w:spacing w:line="254" w:lineRule="exact"/>
              <w:rPr>
                <w:sz w:val="21"/>
              </w:rPr>
            </w:pPr>
            <w:r>
              <w:rPr>
                <w:sz w:val="21"/>
              </w:rPr>
              <w:t>语言能力或咀</w:t>
            </w:r>
          </w:p>
          <w:p>
            <w:pPr>
              <w:pStyle w:val="TableParagraph"/>
              <w:spacing w:line="271" w:lineRule="auto" w:before="37"/>
              <w:ind w:right="120"/>
              <w:rPr>
                <w:sz w:val="11"/>
              </w:rPr>
            </w:pPr>
            <w:r>
              <w:rPr>
                <w:sz w:val="21"/>
              </w:rPr>
              <w:t>嚼吞咽能力完</w:t>
            </w:r>
            <w:r>
              <w:rPr>
                <w:position w:val="-10"/>
                <w:sz w:val="21"/>
              </w:rPr>
              <w:t>全丧失</w:t>
            </w:r>
            <w:r>
              <w:rPr>
                <w:sz w:val="11"/>
              </w:rPr>
              <w:t>(18)</w:t>
            </w:r>
          </w:p>
        </w:tc>
        <w:tc>
          <w:tcPr>
            <w:tcW w:w="7626" w:type="dxa"/>
          </w:tcPr>
          <w:p>
            <w:pPr>
              <w:pStyle w:val="TableParagraph"/>
              <w:spacing w:line="254" w:lineRule="exact"/>
              <w:ind w:left="91"/>
              <w:rPr>
                <w:sz w:val="21"/>
              </w:rPr>
            </w:pPr>
            <w:r>
              <w:rPr>
                <w:sz w:val="21"/>
              </w:rPr>
              <w:t>：语言能力完全丧失，指无法发出四种语音（包括口唇音、齿舌音、口盖音和</w:t>
            </w:r>
          </w:p>
          <w:p>
            <w:pPr>
              <w:pStyle w:val="TableParagraph"/>
              <w:spacing w:line="273" w:lineRule="auto" w:before="37"/>
              <w:ind w:left="302" w:right="323"/>
              <w:rPr>
                <w:sz w:val="21"/>
              </w:rPr>
            </w:pPr>
            <w:r>
              <w:rPr>
                <w:sz w:val="21"/>
              </w:rPr>
              <w:t>喉头音）中的任何三种、或声带全部切除，或因大脑语言中枢受伤害而患失语症。</w:t>
            </w:r>
          </w:p>
          <w:p>
            <w:pPr>
              <w:pStyle w:val="TableParagraph"/>
              <w:spacing w:line="273" w:lineRule="auto" w:before="8"/>
              <w:ind w:left="302" w:right="323"/>
              <w:rPr>
                <w:sz w:val="21"/>
              </w:rPr>
            </w:pPr>
            <w:r>
              <w:rPr>
                <w:sz w:val="21"/>
              </w:rPr>
              <w:t>咀嚼吞咽能力完全丧失，指因牙齿以外的原因导致器质障碍或机能障碍，以致不能作咀嚼吞咽运动，除流质食物外不能摄取或吞咽的状态。</w:t>
            </w:r>
          </w:p>
        </w:tc>
      </w:tr>
      <w:tr>
        <w:trPr>
          <w:trHeight w:val="1644" w:hRule="atLeast"/>
        </w:trPr>
        <w:tc>
          <w:tcPr>
            <w:tcW w:w="1767" w:type="dxa"/>
          </w:tcPr>
          <w:p>
            <w:pPr>
              <w:pStyle w:val="TableParagraph"/>
              <w:spacing w:line="271" w:lineRule="auto"/>
              <w:ind w:right="120"/>
              <w:rPr>
                <w:sz w:val="11"/>
              </w:rPr>
            </w:pPr>
            <w:r>
              <w:rPr>
                <w:sz w:val="21"/>
              </w:rPr>
              <w:t>六项基本日常</w:t>
            </w:r>
            <w:r>
              <w:rPr>
                <w:position w:val="-10"/>
                <w:sz w:val="21"/>
              </w:rPr>
              <w:t>生活活动</w:t>
            </w:r>
            <w:r>
              <w:rPr>
                <w:sz w:val="11"/>
              </w:rPr>
              <w:t>(19)</w:t>
            </w:r>
          </w:p>
        </w:tc>
        <w:tc>
          <w:tcPr>
            <w:tcW w:w="7626" w:type="dxa"/>
          </w:tcPr>
          <w:p>
            <w:pPr>
              <w:pStyle w:val="TableParagraph"/>
              <w:numPr>
                <w:ilvl w:val="0"/>
                <w:numId w:val="9"/>
              </w:numPr>
              <w:tabs>
                <w:tab w:pos="511" w:val="left" w:leader="none"/>
                <w:tab w:pos="512" w:val="left" w:leader="none"/>
              </w:tabs>
              <w:spacing w:line="253" w:lineRule="exact" w:before="0" w:after="0"/>
              <w:ind w:left="511" w:right="0" w:hanging="420"/>
              <w:jc w:val="left"/>
              <w:rPr>
                <w:rFonts w:ascii="Times New Roman" w:eastAsia="Times New Roman"/>
                <w:sz w:val="21"/>
              </w:rPr>
            </w:pPr>
            <w:r>
              <w:rPr>
                <w:spacing w:val="-3"/>
                <w:sz w:val="21"/>
              </w:rPr>
              <w:t>穿衣：自己能够穿衣及脱衣；</w:t>
            </w:r>
          </w:p>
          <w:p>
            <w:pPr>
              <w:pStyle w:val="TableParagraph"/>
              <w:numPr>
                <w:ilvl w:val="0"/>
                <w:numId w:val="9"/>
              </w:numPr>
              <w:tabs>
                <w:tab w:pos="511" w:val="left" w:leader="none"/>
                <w:tab w:pos="512" w:val="left" w:leader="none"/>
              </w:tabs>
              <w:spacing w:line="272" w:lineRule="exact" w:before="0" w:after="0"/>
              <w:ind w:left="511" w:right="0" w:hanging="420"/>
              <w:jc w:val="left"/>
              <w:rPr>
                <w:rFonts w:ascii="Times New Roman" w:eastAsia="Times New Roman"/>
                <w:sz w:val="21"/>
              </w:rPr>
            </w:pPr>
            <w:r>
              <w:rPr>
                <w:spacing w:val="-3"/>
                <w:sz w:val="21"/>
              </w:rPr>
              <w:t>移动：自己从一个房间到另一个房间；</w:t>
            </w:r>
          </w:p>
          <w:p>
            <w:pPr>
              <w:pStyle w:val="TableParagraph"/>
              <w:numPr>
                <w:ilvl w:val="0"/>
                <w:numId w:val="9"/>
              </w:numPr>
              <w:tabs>
                <w:tab w:pos="511" w:val="left" w:leader="none"/>
                <w:tab w:pos="512" w:val="left" w:leader="none"/>
              </w:tabs>
              <w:spacing w:line="272" w:lineRule="exact" w:before="0" w:after="0"/>
              <w:ind w:left="511" w:right="0" w:hanging="420"/>
              <w:jc w:val="left"/>
              <w:rPr>
                <w:rFonts w:ascii="Times New Roman" w:eastAsia="Times New Roman"/>
                <w:sz w:val="21"/>
              </w:rPr>
            </w:pPr>
            <w:r>
              <w:rPr>
                <w:spacing w:val="-3"/>
                <w:sz w:val="21"/>
              </w:rPr>
              <w:t>行动：自己上下床或上下轮椅；</w:t>
            </w:r>
          </w:p>
          <w:p>
            <w:pPr>
              <w:pStyle w:val="TableParagraph"/>
              <w:numPr>
                <w:ilvl w:val="0"/>
                <w:numId w:val="9"/>
              </w:numPr>
              <w:tabs>
                <w:tab w:pos="511" w:val="left" w:leader="none"/>
                <w:tab w:pos="512" w:val="left" w:leader="none"/>
              </w:tabs>
              <w:spacing w:line="272" w:lineRule="exact" w:before="0" w:after="0"/>
              <w:ind w:left="511" w:right="0" w:hanging="420"/>
              <w:jc w:val="left"/>
              <w:rPr>
                <w:rFonts w:ascii="Times New Roman" w:eastAsia="Times New Roman"/>
                <w:sz w:val="21"/>
              </w:rPr>
            </w:pPr>
            <w:r>
              <w:rPr>
                <w:spacing w:val="-3"/>
                <w:sz w:val="21"/>
              </w:rPr>
              <w:t>如厕：自己控制进行大小便；</w:t>
            </w:r>
          </w:p>
          <w:p>
            <w:pPr>
              <w:pStyle w:val="TableParagraph"/>
              <w:numPr>
                <w:ilvl w:val="0"/>
                <w:numId w:val="9"/>
              </w:numPr>
              <w:tabs>
                <w:tab w:pos="512" w:val="left" w:leader="none"/>
                <w:tab w:pos="513" w:val="left" w:leader="none"/>
              </w:tabs>
              <w:spacing w:line="272" w:lineRule="exact" w:before="0" w:after="0"/>
              <w:ind w:left="512" w:right="0" w:hanging="420"/>
              <w:jc w:val="left"/>
              <w:rPr>
                <w:rFonts w:ascii="Times New Roman" w:eastAsia="Times New Roman"/>
                <w:sz w:val="21"/>
              </w:rPr>
            </w:pPr>
            <w:r>
              <w:rPr>
                <w:spacing w:val="-3"/>
                <w:sz w:val="21"/>
              </w:rPr>
              <w:t>进食：自己从已准备好的碗或碟中取食物放入口中；</w:t>
            </w:r>
          </w:p>
          <w:p>
            <w:pPr>
              <w:pStyle w:val="TableParagraph"/>
              <w:numPr>
                <w:ilvl w:val="0"/>
                <w:numId w:val="9"/>
              </w:numPr>
              <w:tabs>
                <w:tab w:pos="512" w:val="left" w:leader="none"/>
                <w:tab w:pos="513" w:val="left" w:leader="none"/>
              </w:tabs>
              <w:spacing w:line="265" w:lineRule="exact" w:before="0" w:after="0"/>
              <w:ind w:left="512" w:right="0" w:hanging="420"/>
              <w:jc w:val="left"/>
              <w:rPr>
                <w:sz w:val="21"/>
              </w:rPr>
            </w:pPr>
            <w:r>
              <w:rPr>
                <w:spacing w:val="-3"/>
                <w:sz w:val="21"/>
              </w:rPr>
              <w:t>洗澡：自己进行淋浴或盆浴。</w:t>
            </w:r>
          </w:p>
        </w:tc>
      </w:tr>
      <w:tr>
        <w:trPr>
          <w:trHeight w:val="577" w:hRule="atLeast"/>
        </w:trPr>
        <w:tc>
          <w:tcPr>
            <w:tcW w:w="1767" w:type="dxa"/>
          </w:tcPr>
          <w:p>
            <w:pPr>
              <w:pStyle w:val="TableParagraph"/>
              <w:spacing w:line="258" w:lineRule="exact"/>
              <w:rPr>
                <w:sz w:val="11"/>
              </w:rPr>
            </w:pPr>
            <w:r>
              <w:rPr>
                <w:sz w:val="21"/>
              </w:rPr>
              <w:t>永久不可逆</w:t>
            </w:r>
            <w:r>
              <w:rPr>
                <w:position w:val="11"/>
                <w:sz w:val="11"/>
              </w:rPr>
              <w:t>(20)</w:t>
            </w:r>
          </w:p>
        </w:tc>
        <w:tc>
          <w:tcPr>
            <w:tcW w:w="7626" w:type="dxa"/>
          </w:tcPr>
          <w:p>
            <w:pPr>
              <w:pStyle w:val="TableParagraph"/>
              <w:spacing w:line="258" w:lineRule="exact"/>
              <w:ind w:left="91"/>
              <w:rPr>
                <w:sz w:val="21"/>
              </w:rPr>
            </w:pPr>
            <w:r>
              <w:rPr>
                <w:sz w:val="21"/>
              </w:rPr>
              <w:t>：指自疾病确诊或意外伤害发生之日起，经过积极治疗 180 天后，仍无法通过</w:t>
            </w:r>
          </w:p>
          <w:p>
            <w:pPr>
              <w:pStyle w:val="TableParagraph"/>
              <w:spacing w:line="262" w:lineRule="exact" w:before="37"/>
              <w:ind w:left="302"/>
              <w:rPr>
                <w:sz w:val="21"/>
              </w:rPr>
            </w:pPr>
            <w:r>
              <w:rPr>
                <w:sz w:val="21"/>
              </w:rPr>
              <w:t>现有医疗手段恢复。</w:t>
            </w:r>
          </w:p>
        </w:tc>
      </w:tr>
    </w:tbl>
    <w:p>
      <w:pPr>
        <w:pStyle w:val="BodyText"/>
        <w:rPr>
          <w:sz w:val="22"/>
        </w:rPr>
      </w:pPr>
    </w:p>
    <w:p>
      <w:pPr>
        <w:pStyle w:val="Heading2"/>
        <w:spacing w:before="26"/>
        <w:ind w:left="4089" w:right="3876"/>
        <w:jc w:val="center"/>
      </w:pPr>
      <w:r>
        <w:rPr>
          <w:w w:val="95"/>
        </w:rPr>
        <w:t>[本页内容结束]</w:t>
      </w:r>
    </w:p>
    <w:sectPr>
      <w:pgSz w:w="11910" w:h="16840"/>
      <w:pgMar w:header="0" w:footer="990" w:top="1480" w:bottom="1200" w:left="112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71.002998pt;margin-top:781.059937pt;width:36.65pt;height:12pt;mso-position-horizontal-relative:page;mso-position-vertical-relative:page;z-index:-21424" type="#_x0000_t202" filled="false" stroked="false">
          <v:textbox inset="0,0,0,0">
            <w:txbxContent>
              <w:p>
                <w:pPr>
                  <w:spacing w:before="12"/>
                  <w:ind w:left="20" w:right="0" w:firstLine="0"/>
                  <w:jc w:val="left"/>
                  <w:rPr>
                    <w:rFonts w:ascii="Times New Roman"/>
                    <w:sz w:val="18"/>
                  </w:rPr>
                </w:pPr>
                <w:r>
                  <w:rPr>
                    <w:rFonts w:ascii="Times New Roman"/>
                    <w:sz w:val="18"/>
                  </w:rPr>
                  <w:t>GCI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489.559998pt;margin-top:780.699951pt;width:41.05pt;height:12.7pt;mso-position-horizontal-relative:page;mso-position-vertical-relative:page;z-index:-21400" type="#_x0000_t202" filled="false" stroked="false">
          <v:textbox inset="0,0,0,0">
            <w:txbxContent>
              <w:p>
                <w:pPr>
                  <w:spacing w:before="12"/>
                  <w:ind w:left="20" w:right="0" w:firstLine="0"/>
                  <w:jc w:val="left"/>
                  <w:rPr>
                    <w:rFonts w:ascii="Times New Roman"/>
                    <w:sz w:val="18"/>
                  </w:rPr>
                </w:pPr>
                <w:r>
                  <w:rPr>
                    <w:rFonts w:ascii="Times New Roman"/>
                    <w:sz w:val="18"/>
                  </w:rPr>
                  <w:t>GCI   </w:t>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57" w:hanging="361"/>
        <w:jc w:val="left"/>
      </w:pPr>
      <w:rPr>
        <w:rFonts w:hint="default" w:ascii="宋体" w:hAnsi="宋体" w:eastAsia="宋体" w:cs="宋体"/>
        <w:w w:val="100"/>
        <w:sz w:val="21"/>
        <w:szCs w:val="21"/>
      </w:rPr>
    </w:lvl>
    <w:lvl w:ilvl="1">
      <w:start w:val="1"/>
      <w:numFmt w:val="decimal"/>
      <w:lvlText w:val="%2)"/>
      <w:lvlJc w:val="left"/>
      <w:pPr>
        <w:ind w:left="2159" w:hanging="262"/>
        <w:jc w:val="left"/>
      </w:pPr>
      <w:rPr>
        <w:rFonts w:hint="default"/>
        <w:w w:val="100"/>
      </w:rPr>
    </w:lvl>
    <w:lvl w:ilvl="2">
      <w:start w:val="0"/>
      <w:numFmt w:val="bullet"/>
      <w:lvlText w:val="•"/>
      <w:lvlJc w:val="left"/>
      <w:pPr>
        <w:ind w:left="2938" w:hanging="262"/>
      </w:pPr>
      <w:rPr>
        <w:rFonts w:hint="default"/>
      </w:rPr>
    </w:lvl>
    <w:lvl w:ilvl="3">
      <w:start w:val="0"/>
      <w:numFmt w:val="bullet"/>
      <w:lvlText w:val="•"/>
      <w:lvlJc w:val="left"/>
      <w:pPr>
        <w:ind w:left="3716" w:hanging="262"/>
      </w:pPr>
      <w:rPr>
        <w:rFonts w:hint="default"/>
      </w:rPr>
    </w:lvl>
    <w:lvl w:ilvl="4">
      <w:start w:val="0"/>
      <w:numFmt w:val="bullet"/>
      <w:lvlText w:val="•"/>
      <w:lvlJc w:val="left"/>
      <w:pPr>
        <w:ind w:left="4495" w:hanging="262"/>
      </w:pPr>
      <w:rPr>
        <w:rFonts w:hint="default"/>
      </w:rPr>
    </w:lvl>
    <w:lvl w:ilvl="5">
      <w:start w:val="0"/>
      <w:numFmt w:val="bullet"/>
      <w:lvlText w:val="•"/>
      <w:lvlJc w:val="left"/>
      <w:pPr>
        <w:ind w:left="5273" w:hanging="262"/>
      </w:pPr>
      <w:rPr>
        <w:rFonts w:hint="default"/>
      </w:rPr>
    </w:lvl>
    <w:lvl w:ilvl="6">
      <w:start w:val="0"/>
      <w:numFmt w:val="bullet"/>
      <w:lvlText w:val="•"/>
      <w:lvlJc w:val="left"/>
      <w:pPr>
        <w:ind w:left="6052" w:hanging="262"/>
      </w:pPr>
      <w:rPr>
        <w:rFonts w:hint="default"/>
      </w:rPr>
    </w:lvl>
    <w:lvl w:ilvl="7">
      <w:start w:val="0"/>
      <w:numFmt w:val="bullet"/>
      <w:lvlText w:val="•"/>
      <w:lvlJc w:val="left"/>
      <w:pPr>
        <w:ind w:left="6830" w:hanging="262"/>
      </w:pPr>
      <w:rPr>
        <w:rFonts w:hint="default"/>
      </w:rPr>
    </w:lvl>
    <w:lvl w:ilvl="8">
      <w:start w:val="0"/>
      <w:numFmt w:val="bullet"/>
      <w:lvlText w:val="•"/>
      <w:lvlJc w:val="left"/>
      <w:pPr>
        <w:ind w:left="7609" w:hanging="262"/>
      </w:pPr>
      <w:rPr>
        <w:rFonts w:hint="default"/>
      </w:rPr>
    </w:lvl>
  </w:abstractNum>
  <w:abstractNum w:abstractNumId="8">
    <w:multiLevelType w:val="hybridMultilevel"/>
    <w:lvl w:ilvl="0">
      <w:start w:val="1"/>
      <w:numFmt w:val="decimal"/>
      <w:lvlText w:val="%1)"/>
      <w:lvlJc w:val="left"/>
      <w:pPr>
        <w:ind w:left="511" w:hanging="421"/>
        <w:jc w:val="left"/>
      </w:pPr>
      <w:rPr>
        <w:rFonts w:hint="default"/>
        <w:w w:val="100"/>
      </w:rPr>
    </w:lvl>
    <w:lvl w:ilvl="1">
      <w:start w:val="0"/>
      <w:numFmt w:val="bullet"/>
      <w:lvlText w:val="•"/>
      <w:lvlJc w:val="left"/>
      <w:pPr>
        <w:ind w:left="1230" w:hanging="421"/>
      </w:pPr>
      <w:rPr>
        <w:rFonts w:hint="default"/>
      </w:rPr>
    </w:lvl>
    <w:lvl w:ilvl="2">
      <w:start w:val="0"/>
      <w:numFmt w:val="bullet"/>
      <w:lvlText w:val="•"/>
      <w:lvlJc w:val="left"/>
      <w:pPr>
        <w:ind w:left="1941" w:hanging="421"/>
      </w:pPr>
      <w:rPr>
        <w:rFonts w:hint="default"/>
      </w:rPr>
    </w:lvl>
    <w:lvl w:ilvl="3">
      <w:start w:val="0"/>
      <w:numFmt w:val="bullet"/>
      <w:lvlText w:val="•"/>
      <w:lvlJc w:val="left"/>
      <w:pPr>
        <w:ind w:left="2651" w:hanging="421"/>
      </w:pPr>
      <w:rPr>
        <w:rFonts w:hint="default"/>
      </w:rPr>
    </w:lvl>
    <w:lvl w:ilvl="4">
      <w:start w:val="0"/>
      <w:numFmt w:val="bullet"/>
      <w:lvlText w:val="•"/>
      <w:lvlJc w:val="left"/>
      <w:pPr>
        <w:ind w:left="3362" w:hanging="421"/>
      </w:pPr>
      <w:rPr>
        <w:rFonts w:hint="default"/>
      </w:rPr>
    </w:lvl>
    <w:lvl w:ilvl="5">
      <w:start w:val="0"/>
      <w:numFmt w:val="bullet"/>
      <w:lvlText w:val="•"/>
      <w:lvlJc w:val="left"/>
      <w:pPr>
        <w:ind w:left="4073" w:hanging="421"/>
      </w:pPr>
      <w:rPr>
        <w:rFonts w:hint="default"/>
      </w:rPr>
    </w:lvl>
    <w:lvl w:ilvl="6">
      <w:start w:val="0"/>
      <w:numFmt w:val="bullet"/>
      <w:lvlText w:val="•"/>
      <w:lvlJc w:val="left"/>
      <w:pPr>
        <w:ind w:left="4783" w:hanging="421"/>
      </w:pPr>
      <w:rPr>
        <w:rFonts w:hint="default"/>
      </w:rPr>
    </w:lvl>
    <w:lvl w:ilvl="7">
      <w:start w:val="0"/>
      <w:numFmt w:val="bullet"/>
      <w:lvlText w:val="•"/>
      <w:lvlJc w:val="left"/>
      <w:pPr>
        <w:ind w:left="5494" w:hanging="421"/>
      </w:pPr>
      <w:rPr>
        <w:rFonts w:hint="default"/>
      </w:rPr>
    </w:lvl>
    <w:lvl w:ilvl="8">
      <w:start w:val="0"/>
      <w:numFmt w:val="bullet"/>
      <w:lvlText w:val="•"/>
      <w:lvlJc w:val="left"/>
      <w:pPr>
        <w:ind w:left="6204" w:hanging="421"/>
      </w:pPr>
      <w:rPr>
        <w:rFonts w:hint="default"/>
      </w:rPr>
    </w:lvl>
  </w:abstractNum>
  <w:abstractNum w:abstractNumId="7">
    <w:multiLevelType w:val="hybridMultilevel"/>
    <w:lvl w:ilvl="0">
      <w:start w:val="1"/>
      <w:numFmt w:val="decimal"/>
      <w:lvlText w:val="%1）"/>
      <w:lvlJc w:val="left"/>
      <w:pPr>
        <w:ind w:left="2260" w:hanging="361"/>
        <w:jc w:val="left"/>
      </w:pPr>
      <w:rPr>
        <w:rFonts w:hint="default" w:ascii="Times New Roman" w:hAnsi="Times New Roman" w:eastAsia="Times New Roman" w:cs="Times New Roman"/>
        <w:w w:val="100"/>
        <w:sz w:val="21"/>
        <w:szCs w:val="21"/>
      </w:rPr>
    </w:lvl>
    <w:lvl w:ilvl="1">
      <w:start w:val="1"/>
      <w:numFmt w:val="decimal"/>
      <w:lvlText w:val="%2)"/>
      <w:lvlJc w:val="left"/>
      <w:pPr>
        <w:ind w:left="2637" w:hanging="562"/>
        <w:jc w:val="right"/>
      </w:pPr>
      <w:rPr>
        <w:rFonts w:hint="default" w:ascii="Times New Roman" w:hAnsi="Times New Roman" w:eastAsia="Times New Roman" w:cs="Times New Roman"/>
        <w:w w:val="100"/>
        <w:sz w:val="21"/>
        <w:szCs w:val="21"/>
      </w:rPr>
    </w:lvl>
    <w:lvl w:ilvl="2">
      <w:start w:val="0"/>
      <w:numFmt w:val="bullet"/>
      <w:lvlText w:val="•"/>
      <w:lvlJc w:val="left"/>
      <w:pPr>
        <w:ind w:left="3365" w:hanging="562"/>
      </w:pPr>
      <w:rPr>
        <w:rFonts w:hint="default"/>
      </w:rPr>
    </w:lvl>
    <w:lvl w:ilvl="3">
      <w:start w:val="0"/>
      <w:numFmt w:val="bullet"/>
      <w:lvlText w:val="•"/>
      <w:lvlJc w:val="left"/>
      <w:pPr>
        <w:ind w:left="4090" w:hanging="562"/>
      </w:pPr>
      <w:rPr>
        <w:rFonts w:hint="default"/>
      </w:rPr>
    </w:lvl>
    <w:lvl w:ilvl="4">
      <w:start w:val="0"/>
      <w:numFmt w:val="bullet"/>
      <w:lvlText w:val="•"/>
      <w:lvlJc w:val="left"/>
      <w:pPr>
        <w:ind w:left="4815" w:hanging="562"/>
      </w:pPr>
      <w:rPr>
        <w:rFonts w:hint="default"/>
      </w:rPr>
    </w:lvl>
    <w:lvl w:ilvl="5">
      <w:start w:val="0"/>
      <w:numFmt w:val="bullet"/>
      <w:lvlText w:val="•"/>
      <w:lvlJc w:val="left"/>
      <w:pPr>
        <w:ind w:left="5540" w:hanging="562"/>
      </w:pPr>
      <w:rPr>
        <w:rFonts w:hint="default"/>
      </w:rPr>
    </w:lvl>
    <w:lvl w:ilvl="6">
      <w:start w:val="0"/>
      <w:numFmt w:val="bullet"/>
      <w:lvlText w:val="•"/>
      <w:lvlJc w:val="left"/>
      <w:pPr>
        <w:ind w:left="6265" w:hanging="562"/>
      </w:pPr>
      <w:rPr>
        <w:rFonts w:hint="default"/>
      </w:rPr>
    </w:lvl>
    <w:lvl w:ilvl="7">
      <w:start w:val="0"/>
      <w:numFmt w:val="bullet"/>
      <w:lvlText w:val="•"/>
      <w:lvlJc w:val="left"/>
      <w:pPr>
        <w:ind w:left="6990" w:hanging="562"/>
      </w:pPr>
      <w:rPr>
        <w:rFonts w:hint="default"/>
      </w:rPr>
    </w:lvl>
    <w:lvl w:ilvl="8">
      <w:start w:val="0"/>
      <w:numFmt w:val="bullet"/>
      <w:lvlText w:val="•"/>
      <w:lvlJc w:val="left"/>
      <w:pPr>
        <w:ind w:left="7716" w:hanging="562"/>
      </w:pPr>
      <w:rPr>
        <w:rFonts w:hint="default"/>
      </w:rPr>
    </w:lvl>
  </w:abstractNum>
  <w:abstractNum w:abstractNumId="6">
    <w:multiLevelType w:val="hybridMultilevel"/>
    <w:lvl w:ilvl="0">
      <w:start w:val="1"/>
      <w:numFmt w:val="decimal"/>
      <w:lvlText w:val="%1)"/>
      <w:lvlJc w:val="left"/>
      <w:pPr>
        <w:ind w:left="1920" w:hanging="361"/>
        <w:jc w:val="left"/>
      </w:pPr>
      <w:rPr>
        <w:rFonts w:hint="default" w:ascii="Times New Roman" w:hAnsi="Times New Roman" w:eastAsia="Times New Roman" w:cs="Times New Roman"/>
        <w:w w:val="100"/>
        <w:sz w:val="21"/>
        <w:szCs w:val="21"/>
      </w:rPr>
    </w:lvl>
    <w:lvl w:ilvl="1">
      <w:start w:val="1"/>
      <w:numFmt w:val="decimal"/>
      <w:lvlText w:val="%2)"/>
      <w:lvlJc w:val="left"/>
      <w:pPr>
        <w:ind w:left="2159" w:hanging="260"/>
        <w:jc w:val="left"/>
      </w:pPr>
      <w:rPr>
        <w:rFonts w:hint="default" w:ascii="宋体" w:hAnsi="宋体" w:eastAsia="宋体" w:cs="宋体"/>
        <w:w w:val="100"/>
        <w:sz w:val="21"/>
        <w:szCs w:val="21"/>
      </w:rPr>
    </w:lvl>
    <w:lvl w:ilvl="2">
      <w:start w:val="0"/>
      <w:numFmt w:val="bullet"/>
      <w:lvlText w:val="•"/>
      <w:lvlJc w:val="left"/>
      <w:pPr>
        <w:ind w:left="2900" w:hanging="260"/>
      </w:pPr>
      <w:rPr>
        <w:rFonts w:hint="default"/>
      </w:rPr>
    </w:lvl>
    <w:lvl w:ilvl="3">
      <w:start w:val="0"/>
      <w:numFmt w:val="bullet"/>
      <w:lvlText w:val="•"/>
      <w:lvlJc w:val="left"/>
      <w:pPr>
        <w:ind w:left="3641" w:hanging="260"/>
      </w:pPr>
      <w:rPr>
        <w:rFonts w:hint="default"/>
      </w:rPr>
    </w:lvl>
    <w:lvl w:ilvl="4">
      <w:start w:val="0"/>
      <w:numFmt w:val="bullet"/>
      <w:lvlText w:val="•"/>
      <w:lvlJc w:val="left"/>
      <w:pPr>
        <w:ind w:left="4382" w:hanging="260"/>
      </w:pPr>
      <w:rPr>
        <w:rFonts w:hint="default"/>
      </w:rPr>
    </w:lvl>
    <w:lvl w:ilvl="5">
      <w:start w:val="0"/>
      <w:numFmt w:val="bullet"/>
      <w:lvlText w:val="•"/>
      <w:lvlJc w:val="left"/>
      <w:pPr>
        <w:ind w:left="5122" w:hanging="260"/>
      </w:pPr>
      <w:rPr>
        <w:rFonts w:hint="default"/>
      </w:rPr>
    </w:lvl>
    <w:lvl w:ilvl="6">
      <w:start w:val="0"/>
      <w:numFmt w:val="bullet"/>
      <w:lvlText w:val="•"/>
      <w:lvlJc w:val="left"/>
      <w:pPr>
        <w:ind w:left="5863" w:hanging="260"/>
      </w:pPr>
      <w:rPr>
        <w:rFonts w:hint="default"/>
      </w:rPr>
    </w:lvl>
    <w:lvl w:ilvl="7">
      <w:start w:val="0"/>
      <w:numFmt w:val="bullet"/>
      <w:lvlText w:val="•"/>
      <w:lvlJc w:val="left"/>
      <w:pPr>
        <w:ind w:left="6604" w:hanging="260"/>
      </w:pPr>
      <w:rPr>
        <w:rFonts w:hint="default"/>
      </w:rPr>
    </w:lvl>
    <w:lvl w:ilvl="8">
      <w:start w:val="0"/>
      <w:numFmt w:val="bullet"/>
      <w:lvlText w:val="•"/>
      <w:lvlJc w:val="left"/>
      <w:pPr>
        <w:ind w:left="7344" w:hanging="260"/>
      </w:pPr>
      <w:rPr>
        <w:rFonts w:hint="default"/>
      </w:rPr>
    </w:lvl>
  </w:abstractNum>
  <w:abstractNum w:abstractNumId="5">
    <w:multiLevelType w:val="hybridMultilevel"/>
    <w:lvl w:ilvl="0">
      <w:start w:val="1"/>
      <w:numFmt w:val="decimal"/>
      <w:lvlText w:val="%1)"/>
      <w:lvlJc w:val="left"/>
      <w:pPr>
        <w:ind w:left="1924" w:hanging="365"/>
        <w:jc w:val="left"/>
      </w:pPr>
      <w:rPr>
        <w:rFonts w:hint="default" w:ascii="宋体" w:hAnsi="宋体" w:eastAsia="宋体" w:cs="宋体"/>
        <w:w w:val="100"/>
        <w:sz w:val="21"/>
        <w:szCs w:val="21"/>
      </w:rPr>
    </w:lvl>
    <w:lvl w:ilvl="1">
      <w:start w:val="0"/>
      <w:numFmt w:val="bullet"/>
      <w:lvlText w:val="•"/>
      <w:lvlJc w:val="left"/>
      <w:pPr>
        <w:ind w:left="2628" w:hanging="365"/>
      </w:pPr>
      <w:rPr>
        <w:rFonts w:hint="default"/>
      </w:rPr>
    </w:lvl>
    <w:lvl w:ilvl="2">
      <w:start w:val="0"/>
      <w:numFmt w:val="bullet"/>
      <w:lvlText w:val="•"/>
      <w:lvlJc w:val="left"/>
      <w:pPr>
        <w:ind w:left="3337" w:hanging="365"/>
      </w:pPr>
      <w:rPr>
        <w:rFonts w:hint="default"/>
      </w:rPr>
    </w:lvl>
    <w:lvl w:ilvl="3">
      <w:start w:val="0"/>
      <w:numFmt w:val="bullet"/>
      <w:lvlText w:val="•"/>
      <w:lvlJc w:val="left"/>
      <w:pPr>
        <w:ind w:left="4045" w:hanging="365"/>
      </w:pPr>
      <w:rPr>
        <w:rFonts w:hint="default"/>
      </w:rPr>
    </w:lvl>
    <w:lvl w:ilvl="4">
      <w:start w:val="0"/>
      <w:numFmt w:val="bullet"/>
      <w:lvlText w:val="•"/>
      <w:lvlJc w:val="left"/>
      <w:pPr>
        <w:ind w:left="4754" w:hanging="365"/>
      </w:pPr>
      <w:rPr>
        <w:rFonts w:hint="default"/>
      </w:rPr>
    </w:lvl>
    <w:lvl w:ilvl="5">
      <w:start w:val="0"/>
      <w:numFmt w:val="bullet"/>
      <w:lvlText w:val="•"/>
      <w:lvlJc w:val="left"/>
      <w:pPr>
        <w:ind w:left="5463" w:hanging="365"/>
      </w:pPr>
      <w:rPr>
        <w:rFonts w:hint="default"/>
      </w:rPr>
    </w:lvl>
    <w:lvl w:ilvl="6">
      <w:start w:val="0"/>
      <w:numFmt w:val="bullet"/>
      <w:lvlText w:val="•"/>
      <w:lvlJc w:val="left"/>
      <w:pPr>
        <w:ind w:left="6171" w:hanging="365"/>
      </w:pPr>
      <w:rPr>
        <w:rFonts w:hint="default"/>
      </w:rPr>
    </w:lvl>
    <w:lvl w:ilvl="7">
      <w:start w:val="0"/>
      <w:numFmt w:val="bullet"/>
      <w:lvlText w:val="•"/>
      <w:lvlJc w:val="left"/>
      <w:pPr>
        <w:ind w:left="6880" w:hanging="365"/>
      </w:pPr>
      <w:rPr>
        <w:rFonts w:hint="default"/>
      </w:rPr>
    </w:lvl>
    <w:lvl w:ilvl="8">
      <w:start w:val="0"/>
      <w:numFmt w:val="bullet"/>
      <w:lvlText w:val="•"/>
      <w:lvlJc w:val="left"/>
      <w:pPr>
        <w:ind w:left="7589" w:hanging="365"/>
      </w:pPr>
      <w:rPr>
        <w:rFonts w:hint="default"/>
      </w:rPr>
    </w:lvl>
  </w:abstractNum>
  <w:abstractNum w:abstractNumId="4">
    <w:multiLevelType w:val="hybridMultilevel"/>
    <w:lvl w:ilvl="0">
      <w:start w:val="1"/>
      <w:numFmt w:val="decimal"/>
      <w:lvlText w:val="%1)"/>
      <w:lvlJc w:val="left"/>
      <w:pPr>
        <w:ind w:left="2159" w:hanging="260"/>
        <w:jc w:val="left"/>
      </w:pPr>
      <w:rPr>
        <w:rFonts w:hint="default" w:ascii="宋体" w:hAnsi="宋体" w:eastAsia="宋体" w:cs="宋体"/>
        <w:w w:val="100"/>
        <w:sz w:val="21"/>
        <w:szCs w:val="21"/>
      </w:rPr>
    </w:lvl>
    <w:lvl w:ilvl="1">
      <w:start w:val="0"/>
      <w:numFmt w:val="bullet"/>
      <w:lvlText w:val="•"/>
      <w:lvlJc w:val="left"/>
      <w:pPr>
        <w:ind w:left="2860" w:hanging="260"/>
      </w:pPr>
      <w:rPr>
        <w:rFonts w:hint="default"/>
      </w:rPr>
    </w:lvl>
    <w:lvl w:ilvl="2">
      <w:start w:val="0"/>
      <w:numFmt w:val="bullet"/>
      <w:lvlText w:val="•"/>
      <w:lvlJc w:val="left"/>
      <w:pPr>
        <w:ind w:left="3561" w:hanging="260"/>
      </w:pPr>
      <w:rPr>
        <w:rFonts w:hint="default"/>
      </w:rPr>
    </w:lvl>
    <w:lvl w:ilvl="3">
      <w:start w:val="0"/>
      <w:numFmt w:val="bullet"/>
      <w:lvlText w:val="•"/>
      <w:lvlJc w:val="left"/>
      <w:pPr>
        <w:ind w:left="4261" w:hanging="260"/>
      </w:pPr>
      <w:rPr>
        <w:rFonts w:hint="default"/>
      </w:rPr>
    </w:lvl>
    <w:lvl w:ilvl="4">
      <w:start w:val="0"/>
      <w:numFmt w:val="bullet"/>
      <w:lvlText w:val="•"/>
      <w:lvlJc w:val="left"/>
      <w:pPr>
        <w:ind w:left="4962" w:hanging="260"/>
      </w:pPr>
      <w:rPr>
        <w:rFonts w:hint="default"/>
      </w:rPr>
    </w:lvl>
    <w:lvl w:ilvl="5">
      <w:start w:val="0"/>
      <w:numFmt w:val="bullet"/>
      <w:lvlText w:val="•"/>
      <w:lvlJc w:val="left"/>
      <w:pPr>
        <w:ind w:left="5663" w:hanging="260"/>
      </w:pPr>
      <w:rPr>
        <w:rFonts w:hint="default"/>
      </w:rPr>
    </w:lvl>
    <w:lvl w:ilvl="6">
      <w:start w:val="0"/>
      <w:numFmt w:val="bullet"/>
      <w:lvlText w:val="•"/>
      <w:lvlJc w:val="left"/>
      <w:pPr>
        <w:ind w:left="6363" w:hanging="260"/>
      </w:pPr>
      <w:rPr>
        <w:rFonts w:hint="default"/>
      </w:rPr>
    </w:lvl>
    <w:lvl w:ilvl="7">
      <w:start w:val="0"/>
      <w:numFmt w:val="bullet"/>
      <w:lvlText w:val="•"/>
      <w:lvlJc w:val="left"/>
      <w:pPr>
        <w:ind w:left="7064" w:hanging="260"/>
      </w:pPr>
      <w:rPr>
        <w:rFonts w:hint="default"/>
      </w:rPr>
    </w:lvl>
    <w:lvl w:ilvl="8">
      <w:start w:val="0"/>
      <w:numFmt w:val="bullet"/>
      <w:lvlText w:val="•"/>
      <w:lvlJc w:val="left"/>
      <w:pPr>
        <w:ind w:left="7765" w:hanging="260"/>
      </w:pPr>
      <w:rPr>
        <w:rFonts w:hint="default"/>
      </w:rPr>
    </w:lvl>
  </w:abstractNum>
  <w:abstractNum w:abstractNumId="3">
    <w:multiLevelType w:val="hybridMultilevel"/>
    <w:lvl w:ilvl="0">
      <w:start w:val="1"/>
      <w:numFmt w:val="decimal"/>
      <w:lvlText w:val="%1)"/>
      <w:lvlJc w:val="left"/>
      <w:pPr>
        <w:ind w:left="792" w:hanging="361"/>
        <w:jc w:val="left"/>
      </w:pPr>
      <w:rPr>
        <w:rFonts w:hint="default" w:ascii="Times New Roman" w:hAnsi="Times New Roman" w:eastAsia="Times New Roman" w:cs="Times New Roman"/>
        <w:w w:val="100"/>
        <w:sz w:val="21"/>
        <w:szCs w:val="21"/>
      </w:rPr>
    </w:lvl>
    <w:lvl w:ilvl="1">
      <w:start w:val="0"/>
      <w:numFmt w:val="bullet"/>
      <w:lvlText w:val="•"/>
      <w:lvlJc w:val="left"/>
      <w:pPr>
        <w:ind w:left="1480" w:hanging="361"/>
      </w:pPr>
      <w:rPr>
        <w:rFonts w:hint="default"/>
      </w:rPr>
    </w:lvl>
    <w:lvl w:ilvl="2">
      <w:start w:val="0"/>
      <w:numFmt w:val="bullet"/>
      <w:lvlText w:val="•"/>
      <w:lvlJc w:val="left"/>
      <w:pPr>
        <w:ind w:left="2161" w:hanging="361"/>
      </w:pPr>
      <w:rPr>
        <w:rFonts w:hint="default"/>
      </w:rPr>
    </w:lvl>
    <w:lvl w:ilvl="3">
      <w:start w:val="0"/>
      <w:numFmt w:val="bullet"/>
      <w:lvlText w:val="•"/>
      <w:lvlJc w:val="left"/>
      <w:pPr>
        <w:ind w:left="2841" w:hanging="361"/>
      </w:pPr>
      <w:rPr>
        <w:rFonts w:hint="default"/>
      </w:rPr>
    </w:lvl>
    <w:lvl w:ilvl="4">
      <w:start w:val="0"/>
      <w:numFmt w:val="bullet"/>
      <w:lvlText w:val="•"/>
      <w:lvlJc w:val="left"/>
      <w:pPr>
        <w:ind w:left="3522" w:hanging="361"/>
      </w:pPr>
      <w:rPr>
        <w:rFonts w:hint="default"/>
      </w:rPr>
    </w:lvl>
    <w:lvl w:ilvl="5">
      <w:start w:val="0"/>
      <w:numFmt w:val="bullet"/>
      <w:lvlText w:val="•"/>
      <w:lvlJc w:val="left"/>
      <w:pPr>
        <w:ind w:left="4203" w:hanging="361"/>
      </w:pPr>
      <w:rPr>
        <w:rFonts w:hint="default"/>
      </w:rPr>
    </w:lvl>
    <w:lvl w:ilvl="6">
      <w:start w:val="0"/>
      <w:numFmt w:val="bullet"/>
      <w:lvlText w:val="•"/>
      <w:lvlJc w:val="left"/>
      <w:pPr>
        <w:ind w:left="4883" w:hanging="361"/>
      </w:pPr>
      <w:rPr>
        <w:rFonts w:hint="default"/>
      </w:rPr>
    </w:lvl>
    <w:lvl w:ilvl="7">
      <w:start w:val="0"/>
      <w:numFmt w:val="bullet"/>
      <w:lvlText w:val="•"/>
      <w:lvlJc w:val="left"/>
      <w:pPr>
        <w:ind w:left="5564" w:hanging="361"/>
      </w:pPr>
      <w:rPr>
        <w:rFonts w:hint="default"/>
      </w:rPr>
    </w:lvl>
    <w:lvl w:ilvl="8">
      <w:start w:val="0"/>
      <w:numFmt w:val="bullet"/>
      <w:lvlText w:val="•"/>
      <w:lvlJc w:val="left"/>
      <w:pPr>
        <w:ind w:left="6244" w:hanging="361"/>
      </w:pPr>
      <w:rPr>
        <w:rFonts w:hint="default"/>
      </w:rPr>
    </w:lvl>
  </w:abstractNum>
  <w:abstractNum w:abstractNumId="2">
    <w:multiLevelType w:val="hybridMultilevel"/>
    <w:lvl w:ilvl="0">
      <w:start w:val="1"/>
      <w:numFmt w:val="decimal"/>
      <w:lvlText w:val="%1)"/>
      <w:lvlJc w:val="left"/>
      <w:pPr>
        <w:ind w:left="792" w:hanging="361"/>
        <w:jc w:val="left"/>
      </w:pPr>
      <w:rPr>
        <w:rFonts w:hint="default"/>
        <w:w w:val="100"/>
      </w:rPr>
    </w:lvl>
    <w:lvl w:ilvl="1">
      <w:start w:val="0"/>
      <w:numFmt w:val="bullet"/>
      <w:lvlText w:val="•"/>
      <w:lvlJc w:val="left"/>
      <w:pPr>
        <w:ind w:left="1480" w:hanging="361"/>
      </w:pPr>
      <w:rPr>
        <w:rFonts w:hint="default"/>
      </w:rPr>
    </w:lvl>
    <w:lvl w:ilvl="2">
      <w:start w:val="0"/>
      <w:numFmt w:val="bullet"/>
      <w:lvlText w:val="•"/>
      <w:lvlJc w:val="left"/>
      <w:pPr>
        <w:ind w:left="2161" w:hanging="361"/>
      </w:pPr>
      <w:rPr>
        <w:rFonts w:hint="default"/>
      </w:rPr>
    </w:lvl>
    <w:lvl w:ilvl="3">
      <w:start w:val="0"/>
      <w:numFmt w:val="bullet"/>
      <w:lvlText w:val="•"/>
      <w:lvlJc w:val="left"/>
      <w:pPr>
        <w:ind w:left="2841" w:hanging="361"/>
      </w:pPr>
      <w:rPr>
        <w:rFonts w:hint="default"/>
      </w:rPr>
    </w:lvl>
    <w:lvl w:ilvl="4">
      <w:start w:val="0"/>
      <w:numFmt w:val="bullet"/>
      <w:lvlText w:val="•"/>
      <w:lvlJc w:val="left"/>
      <w:pPr>
        <w:ind w:left="3522" w:hanging="361"/>
      </w:pPr>
      <w:rPr>
        <w:rFonts w:hint="default"/>
      </w:rPr>
    </w:lvl>
    <w:lvl w:ilvl="5">
      <w:start w:val="0"/>
      <w:numFmt w:val="bullet"/>
      <w:lvlText w:val="•"/>
      <w:lvlJc w:val="left"/>
      <w:pPr>
        <w:ind w:left="4203" w:hanging="361"/>
      </w:pPr>
      <w:rPr>
        <w:rFonts w:hint="default"/>
      </w:rPr>
    </w:lvl>
    <w:lvl w:ilvl="6">
      <w:start w:val="0"/>
      <w:numFmt w:val="bullet"/>
      <w:lvlText w:val="•"/>
      <w:lvlJc w:val="left"/>
      <w:pPr>
        <w:ind w:left="4883" w:hanging="361"/>
      </w:pPr>
      <w:rPr>
        <w:rFonts w:hint="default"/>
      </w:rPr>
    </w:lvl>
    <w:lvl w:ilvl="7">
      <w:start w:val="0"/>
      <w:numFmt w:val="bullet"/>
      <w:lvlText w:val="•"/>
      <w:lvlJc w:val="left"/>
      <w:pPr>
        <w:ind w:left="5564" w:hanging="361"/>
      </w:pPr>
      <w:rPr>
        <w:rFonts w:hint="default"/>
      </w:rPr>
    </w:lvl>
    <w:lvl w:ilvl="8">
      <w:start w:val="0"/>
      <w:numFmt w:val="bullet"/>
      <w:lvlText w:val="•"/>
      <w:lvlJc w:val="left"/>
      <w:pPr>
        <w:ind w:left="6244" w:hanging="361"/>
      </w:pPr>
      <w:rPr>
        <w:rFonts w:hint="default"/>
      </w:rPr>
    </w:lvl>
  </w:abstractNum>
  <w:abstractNum w:abstractNumId="1">
    <w:multiLevelType w:val="hybridMultilevel"/>
    <w:lvl w:ilvl="0">
      <w:start w:val="1"/>
      <w:numFmt w:val="decimal"/>
      <w:lvlText w:val="%1)"/>
      <w:lvlJc w:val="left"/>
      <w:pPr>
        <w:ind w:left="792" w:hanging="360"/>
        <w:jc w:val="left"/>
      </w:pPr>
      <w:rPr>
        <w:rFonts w:hint="default" w:ascii="黑体" w:hAnsi="黑体" w:eastAsia="黑体" w:cs="黑体"/>
        <w:b/>
        <w:bCs/>
        <w:w w:val="99"/>
        <w:sz w:val="21"/>
        <w:szCs w:val="21"/>
      </w:rPr>
    </w:lvl>
    <w:lvl w:ilvl="1">
      <w:start w:val="0"/>
      <w:numFmt w:val="bullet"/>
      <w:lvlText w:val="•"/>
      <w:lvlJc w:val="left"/>
      <w:pPr>
        <w:ind w:left="1480" w:hanging="360"/>
      </w:pPr>
      <w:rPr>
        <w:rFonts w:hint="default"/>
      </w:rPr>
    </w:lvl>
    <w:lvl w:ilvl="2">
      <w:start w:val="0"/>
      <w:numFmt w:val="bullet"/>
      <w:lvlText w:val="•"/>
      <w:lvlJc w:val="left"/>
      <w:pPr>
        <w:ind w:left="2161" w:hanging="360"/>
      </w:pPr>
      <w:rPr>
        <w:rFonts w:hint="default"/>
      </w:rPr>
    </w:lvl>
    <w:lvl w:ilvl="3">
      <w:start w:val="0"/>
      <w:numFmt w:val="bullet"/>
      <w:lvlText w:val="•"/>
      <w:lvlJc w:val="left"/>
      <w:pPr>
        <w:ind w:left="2841" w:hanging="360"/>
      </w:pPr>
      <w:rPr>
        <w:rFonts w:hint="default"/>
      </w:rPr>
    </w:lvl>
    <w:lvl w:ilvl="4">
      <w:start w:val="0"/>
      <w:numFmt w:val="bullet"/>
      <w:lvlText w:val="•"/>
      <w:lvlJc w:val="left"/>
      <w:pPr>
        <w:ind w:left="3522" w:hanging="360"/>
      </w:pPr>
      <w:rPr>
        <w:rFonts w:hint="default"/>
      </w:rPr>
    </w:lvl>
    <w:lvl w:ilvl="5">
      <w:start w:val="0"/>
      <w:numFmt w:val="bullet"/>
      <w:lvlText w:val="•"/>
      <w:lvlJc w:val="left"/>
      <w:pPr>
        <w:ind w:left="4203" w:hanging="360"/>
      </w:pPr>
      <w:rPr>
        <w:rFonts w:hint="default"/>
      </w:rPr>
    </w:lvl>
    <w:lvl w:ilvl="6">
      <w:start w:val="0"/>
      <w:numFmt w:val="bullet"/>
      <w:lvlText w:val="•"/>
      <w:lvlJc w:val="left"/>
      <w:pPr>
        <w:ind w:left="4883" w:hanging="360"/>
      </w:pPr>
      <w:rPr>
        <w:rFonts w:hint="default"/>
      </w:rPr>
    </w:lvl>
    <w:lvl w:ilvl="7">
      <w:start w:val="0"/>
      <w:numFmt w:val="bullet"/>
      <w:lvlText w:val="•"/>
      <w:lvlJc w:val="left"/>
      <w:pPr>
        <w:ind w:left="5564" w:hanging="360"/>
      </w:pPr>
      <w:rPr>
        <w:rFonts w:hint="default"/>
      </w:rPr>
    </w:lvl>
    <w:lvl w:ilvl="8">
      <w:start w:val="0"/>
      <w:numFmt w:val="bullet"/>
      <w:lvlText w:val="•"/>
      <w:lvlJc w:val="left"/>
      <w:pPr>
        <w:ind w:left="6244" w:hanging="360"/>
      </w:pPr>
      <w:rPr>
        <w:rFonts w:hint="default"/>
      </w:rPr>
    </w:lvl>
  </w:abstractNum>
  <w:num w:numId="1">
    <w:abstractNumId w:val="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8"/>
      <w:szCs w:val="28"/>
    </w:rPr>
  </w:style>
  <w:style w:styleId="Heading2" w:type="paragraph">
    <w:name w:val="Heading 2"/>
    <w:basedOn w:val="Normal"/>
    <w:uiPriority w:val="1"/>
    <w:qFormat/>
    <w:pPr>
      <w:ind w:left="120"/>
      <w:outlineLvl w:val="2"/>
    </w:pPr>
    <w:rPr>
      <w:rFonts w:ascii="宋体" w:hAnsi="宋体" w:eastAsia="宋体" w:cs="宋体"/>
      <w:b/>
      <w:bCs/>
      <w:sz w:val="24"/>
      <w:szCs w:val="24"/>
    </w:rPr>
  </w:style>
  <w:style w:styleId="Heading3" w:type="paragraph">
    <w:name w:val="Heading 3"/>
    <w:basedOn w:val="Normal"/>
    <w:uiPriority w:val="1"/>
    <w:qFormat/>
    <w:pPr>
      <w:ind w:left="1560"/>
      <w:outlineLvl w:val="3"/>
    </w:pPr>
    <w:rPr>
      <w:rFonts w:ascii="黑体" w:hAnsi="黑体" w:eastAsia="黑体" w:cs="黑体"/>
      <w:b/>
      <w:bCs/>
      <w:sz w:val="21"/>
      <w:szCs w:val="21"/>
    </w:rPr>
  </w:style>
  <w:style w:styleId="ListParagraph" w:type="paragraph">
    <w:name w:val="List Paragraph"/>
    <w:basedOn w:val="Normal"/>
    <w:uiPriority w:val="1"/>
    <w:qFormat/>
    <w:pPr>
      <w:spacing w:before="15"/>
      <w:ind w:left="2159" w:hanging="360"/>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p000800234</dc:creator>
  <dc:title>产品名称</dc:title>
  <dcterms:created xsi:type="dcterms:W3CDTF">2018-10-19T21:45:14Z</dcterms:created>
  <dcterms:modified xsi:type="dcterms:W3CDTF">2018-10-19T21:45:14Z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