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0"/>
        <w:ind w:left="252" w:right="0" w:firstLine="0"/>
        <w:jc w:val="left"/>
        <w:rPr>
          <w:sz w:val="28"/>
        </w:rPr>
      </w:pPr>
      <w:r>
        <w:rPr>
          <w:spacing w:val="-23"/>
          <w:sz w:val="28"/>
        </w:rPr>
        <w:t>附件 </w:t>
      </w:r>
      <w:r>
        <w:rPr>
          <w:sz w:val="28"/>
        </w:rPr>
        <w:t>2</w:t>
      </w:r>
    </w:p>
    <w:p>
      <w:pPr>
        <w:spacing w:before="101"/>
        <w:ind w:left="6362" w:right="0" w:firstLine="0"/>
        <w:jc w:val="left"/>
        <w:rPr>
          <w:sz w:val="15"/>
        </w:rPr>
      </w:pPr>
      <w:r>
        <w:rPr/>
        <w:br w:type="column"/>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2"/>
          <w:w w:val="100"/>
          <w:sz w:val="15"/>
        </w:rPr>
        <w:t>疾病保险</w:t>
      </w:r>
      <w:r>
        <w:rPr>
          <w:spacing w:val="-47"/>
          <w:sz w:val="15"/>
        </w:rPr>
        <w:t> </w:t>
      </w:r>
      <w:r>
        <w:rPr>
          <w:spacing w:val="-1"/>
          <w:w w:val="122"/>
          <w:sz w:val="15"/>
        </w:rPr>
        <w:t>05</w:t>
      </w:r>
      <w:r>
        <w:rPr>
          <w:w w:val="122"/>
          <w:sz w:val="15"/>
        </w:rPr>
        <w:t>7</w:t>
      </w:r>
      <w:r>
        <w:rPr>
          <w:spacing w:val="-50"/>
          <w:sz w:val="15"/>
        </w:rPr>
        <w:t> </w:t>
      </w:r>
      <w:r>
        <w:rPr>
          <w:w w:val="100"/>
          <w:sz w:val="15"/>
        </w:rPr>
        <w:t>号</w:t>
      </w:r>
    </w:p>
    <w:p>
      <w:pPr>
        <w:pStyle w:val="BodyText"/>
        <w:spacing w:before="4"/>
        <w:rPr>
          <w:sz w:val="23"/>
        </w:rPr>
      </w:pPr>
    </w:p>
    <w:p>
      <w:pPr>
        <w:spacing w:line="256" w:lineRule="auto" w:before="0"/>
        <w:ind w:left="2528" w:right="2159" w:hanging="2276"/>
        <w:jc w:val="left"/>
        <w:rPr>
          <w:sz w:val="32"/>
        </w:rPr>
      </w:pPr>
      <w:r>
        <w:rPr/>
        <w:pict>
          <v:group style="position:absolute;margin-left:438pt;margin-top:-26.332525pt;width:120.25pt;height:81.4pt;mso-position-horizontal-relative:page;mso-position-vertical-relative:paragraph;z-index:-46984" coordorigin="8760,-527" coordsize="2405,1628">
            <v:shape style="position:absolute;left:8760;top:-527;width:2405;height:312" type="#_x0000_t75" stroked="false">
              <v:imagedata r:id="rId5" o:title=""/>
            </v:shape>
            <v:shape style="position:absolute;left:9139;top:853;width:1817;height:248" type="#_x0000_t75" stroked="false">
              <v:imagedata r:id="rId6" o:title=""/>
            </v:shape>
            <v:shape style="position:absolute;left:9511;top:-249;width:1140;height:1140" type="#_x0000_t75" stroked="false">
              <v:imagedata r:id="rId7" o:title=""/>
            </v:shape>
            <w10:wrap type="none"/>
          </v:group>
        </w:pict>
      </w:r>
      <w:r>
        <w:rPr>
          <w:spacing w:val="-17"/>
          <w:sz w:val="32"/>
        </w:rPr>
        <w:t>信美相互 </w:t>
      </w:r>
      <w:r>
        <w:rPr>
          <w:rFonts w:ascii="Arial" w:eastAsia="Arial"/>
          <w:sz w:val="32"/>
        </w:rPr>
        <w:t>i </w:t>
      </w:r>
      <w:r>
        <w:rPr>
          <w:sz w:val="32"/>
        </w:rPr>
        <w:t>健康基础保短期团体疾病保险条款</w:t>
      </w:r>
      <w:r>
        <w:rPr>
          <w:spacing w:val="-1"/>
          <w:sz w:val="32"/>
        </w:rPr>
        <w:t>阅 读 指 引</w:t>
      </w:r>
    </w:p>
    <w:p>
      <w:pPr>
        <w:spacing w:after="0" w:line="256" w:lineRule="auto"/>
        <w:jc w:val="left"/>
        <w:rPr>
          <w:sz w:val="32"/>
        </w:rPr>
        <w:sectPr>
          <w:type w:val="continuous"/>
          <w:pgSz w:w="11910" w:h="16840"/>
          <w:pgMar w:top="1200" w:bottom="280" w:left="880" w:right="640"/>
          <w:cols w:num="2" w:equalWidth="0">
            <w:col w:w="1025" w:space="638"/>
            <w:col w:w="8727"/>
          </w:cols>
        </w:sectPr>
      </w:pPr>
    </w:p>
    <w:p>
      <w:pPr>
        <w:spacing w:line="162" w:lineRule="exact" w:before="0"/>
        <w:ind w:left="0" w:right="476" w:firstLine="0"/>
        <w:jc w:val="right"/>
        <w:rPr>
          <w:sz w:val="15"/>
        </w:rPr>
      </w:pPr>
      <w:r>
        <w:rPr>
          <w:sz w:val="15"/>
        </w:rPr>
        <w:t>请扫描以查询验证条款</w:t>
      </w:r>
    </w:p>
    <w:p>
      <w:pPr>
        <w:pStyle w:val="BodyText"/>
        <w:spacing w:before="81"/>
        <w:ind w:left="664" w:right="84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4"/>
        <w:rPr>
          <w:sz w:val="24"/>
        </w:rPr>
      </w:pPr>
    </w:p>
    <w:p>
      <w:pPr>
        <w:tabs>
          <w:tab w:pos="807" w:val="left" w:leader="none"/>
        </w:tabs>
        <w:spacing w:line="446" w:lineRule="exact" w:before="1"/>
        <w:ind w:left="219" w:right="0" w:firstLine="0"/>
        <w:jc w:val="left"/>
        <w:rPr>
          <w:rFonts w:ascii="微软雅黑" w:hAnsi="微软雅黑" w:eastAsia="微软雅黑" w:hint="eastAsia"/>
          <w:b/>
          <w:sz w:val="21"/>
        </w:rPr>
      </w:pPr>
      <w:r>
        <w:rPr/>
        <w:pict>
          <v:group style="position:absolute;margin-left:49.32pt;margin-top:-5.083323pt;width:496.8pt;height:573.7pt;mso-position-horizontal-relative:page;mso-position-vertical-relative:paragraph;z-index:-47008" coordorigin="986,-102" coordsize="9936,11474">
            <v:rect style="position:absolute;left:986;top:-102;width:10;height:10" filled="true" fillcolor="#000000" stroked="false">
              <v:fill type="solid"/>
            </v:rect>
            <v:line style="position:absolute" from="996,-97" to="10912,-97" stroked="true" strokeweight=".48pt" strokecolor="#000000">
              <v:stroke dashstyle="solid"/>
            </v:line>
            <v:rect style="position:absolute;left:10912;top:-102;width:10;height:10" filled="true" fillcolor="#000000" stroked="false">
              <v:fill type="solid"/>
            </v:rect>
            <v:line style="position:absolute" from="991,-92" to="991,11372" stroked="true" strokeweight=".48pt" strokecolor="#000000">
              <v:stroke dashstyle="solid"/>
            </v:line>
            <v:line style="position:absolute" from="10917,-92" to="10917,11372" stroked="true" strokeweight=".47998pt" strokecolor="#000000">
              <v:stroke dashstyle="solid"/>
            </v:line>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5" w:val="right" w:leader="dot"/>
        </w:tabs>
        <w:spacing w:line="223" w:lineRule="exact" w:before="0"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1.4</w:t>
      </w:r>
    </w:p>
    <w:p>
      <w:pPr>
        <w:pStyle w:val="ListParagraph"/>
        <w:numPr>
          <w:ilvl w:val="0"/>
          <w:numId w:val="1"/>
        </w:numPr>
        <w:tabs>
          <w:tab w:pos="1270" w:val="left" w:leader="none"/>
          <w:tab w:pos="1271" w:val="left" w:leader="none"/>
          <w:tab w:pos="9447" w:val="right" w:leader="dot"/>
        </w:tabs>
        <w:spacing w:line="240" w:lineRule="auto" w:before="22"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解</w:t>
      </w:r>
      <w:r>
        <w:rPr>
          <w:w w:val="100"/>
          <w:sz w:val="21"/>
        </w:rPr>
        <w:t>除</w:t>
      </w:r>
      <w:r>
        <w:rPr>
          <w:spacing w:val="-3"/>
          <w:w w:val="100"/>
          <w:sz w:val="21"/>
        </w:rPr>
        <w:t>合</w:t>
      </w:r>
      <w:r>
        <w:rPr>
          <w:w w:val="100"/>
          <w:sz w:val="21"/>
        </w:rPr>
        <w:t>同</w:t>
      </w:r>
      <w:r>
        <w:rPr>
          <w:spacing w:val="-3"/>
          <w:w w:val="100"/>
          <w:sz w:val="21"/>
        </w:rPr>
        <w:t>的</w:t>
      </w:r>
      <w:r>
        <w:rPr>
          <w:w w:val="100"/>
          <w:sz w:val="21"/>
        </w:rPr>
        <w:t>权利</w:t>
      </w:r>
      <w:r>
        <w:rPr>
          <w:w w:val="55"/>
          <w:sz w:val="21"/>
        </w:rPr>
        <w:t> </w:t>
      </w:r>
      <w:r>
        <w:rPr>
          <w:sz w:val="21"/>
        </w:rPr>
        <w:tab/>
      </w:r>
      <w:r>
        <w:rPr>
          <w:w w:val="122"/>
          <w:sz w:val="21"/>
        </w:rPr>
        <w:t>5</w:t>
      </w:r>
      <w:r>
        <w:rPr>
          <w:spacing w:val="-2"/>
          <w:w w:val="58"/>
          <w:sz w:val="21"/>
        </w:rPr>
        <w:t>.</w:t>
      </w:r>
      <w:r>
        <w:rPr>
          <w:w w:val="97"/>
          <w:sz w:val="21"/>
        </w:rPr>
        <w:t>1</w:t>
      </w:r>
    </w:p>
    <w:p>
      <w:pPr>
        <w:tabs>
          <w:tab w:pos="807" w:val="left" w:leader="none"/>
        </w:tabs>
        <w:spacing w:line="447" w:lineRule="exact" w:before="142"/>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93" w:val="right" w:leader="dot"/>
        </w:tabs>
        <w:spacing w:line="224" w:lineRule="exact" w:before="0" w:after="0"/>
        <w:ind w:left="1270" w:right="0" w:hanging="420"/>
        <w:jc w:val="left"/>
        <w:rPr>
          <w:sz w:val="21"/>
        </w:rPr>
      </w:pPr>
      <w:r>
        <w:rPr>
          <w:w w:val="100"/>
          <w:sz w:val="21"/>
        </w:rPr>
        <w:t>本合</w:t>
      </w:r>
      <w:r>
        <w:rPr>
          <w:spacing w:val="-3"/>
          <w:w w:val="100"/>
          <w:sz w:val="21"/>
        </w:rPr>
        <w:t>同</w:t>
      </w:r>
      <w:r>
        <w:rPr>
          <w:w w:val="100"/>
          <w:sz w:val="21"/>
        </w:rPr>
        <w:t>设</w:t>
      </w:r>
      <w:r>
        <w:rPr>
          <w:spacing w:val="-3"/>
          <w:w w:val="100"/>
          <w:sz w:val="21"/>
        </w:rPr>
        <w:t>有</w:t>
      </w:r>
      <w:r>
        <w:rPr>
          <w:w w:val="100"/>
          <w:sz w:val="21"/>
        </w:rPr>
        <w:t>等</w:t>
      </w:r>
      <w:r>
        <w:rPr>
          <w:spacing w:val="-3"/>
          <w:w w:val="100"/>
          <w:sz w:val="21"/>
        </w:rPr>
        <w:t>待</w:t>
      </w:r>
      <w:r>
        <w:rPr>
          <w:w w:val="100"/>
          <w:sz w:val="21"/>
        </w:rPr>
        <w:t>期</w:t>
      </w:r>
      <w:r>
        <w:rPr>
          <w:w w:val="55"/>
          <w:sz w:val="21"/>
        </w:rPr>
        <w:t> </w:t>
      </w:r>
      <w:r>
        <w:rPr>
          <w:sz w:val="21"/>
        </w:rPr>
        <w:tab/>
      </w:r>
      <w:r>
        <w:rPr>
          <w:w w:val="97"/>
          <w:sz w:val="21"/>
        </w:rPr>
        <w:t>1</w:t>
      </w:r>
      <w:r>
        <w:rPr>
          <w:spacing w:val="-2"/>
          <w:w w:val="58"/>
          <w:sz w:val="21"/>
        </w:rPr>
        <w:t>.</w:t>
      </w:r>
      <w:r>
        <w:rPr>
          <w:w w:val="121"/>
          <w:sz w:val="21"/>
        </w:rPr>
        <w:t>3</w:t>
      </w:r>
    </w:p>
    <w:p>
      <w:pPr>
        <w:pStyle w:val="ListParagraph"/>
        <w:numPr>
          <w:ilvl w:val="0"/>
          <w:numId w:val="1"/>
        </w:numPr>
        <w:tabs>
          <w:tab w:pos="1270" w:val="left" w:leader="none"/>
          <w:tab w:pos="1271" w:val="left" w:leader="none"/>
          <w:tab w:pos="9466" w:val="right" w:leader="dot"/>
        </w:tabs>
        <w:spacing w:line="240" w:lineRule="auto" w:before="2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93" w:val="right" w:leader="dot"/>
        </w:tabs>
        <w:spacing w:line="240" w:lineRule="auto" w:before="22"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投</w:t>
      </w:r>
      <w:r>
        <w:rPr>
          <w:spacing w:val="-3"/>
          <w:sz w:val="21"/>
        </w:rPr>
        <w:t>保</w:t>
      </w:r>
      <w:r>
        <w:rPr>
          <w:sz w:val="21"/>
        </w:rPr>
        <w:t>人及</w:t>
      </w:r>
      <w:r>
        <w:rPr>
          <w:spacing w:val="-3"/>
          <w:sz w:val="21"/>
        </w:rPr>
        <w:t>时</w:t>
      </w:r>
      <w:r>
        <w:rPr>
          <w:sz w:val="21"/>
        </w:rPr>
        <w:t>通</w:t>
      </w:r>
      <w:r>
        <w:rPr>
          <w:spacing w:val="-3"/>
          <w:sz w:val="21"/>
        </w:rPr>
        <w:t>知</w:t>
      </w:r>
      <w:r>
        <w:rPr>
          <w:sz w:val="21"/>
        </w:rPr>
        <w:t>我们</w:t>
        <w:tab/>
        <w:t>4.2</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5.1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有</w:t>
      </w:r>
      <w:r>
        <w:rPr>
          <w:spacing w:val="-3"/>
          <w:sz w:val="21"/>
        </w:rPr>
        <w:t>如</w:t>
      </w:r>
      <w:r>
        <w:rPr>
          <w:sz w:val="21"/>
        </w:rPr>
        <w:t>实</w:t>
      </w:r>
      <w:r>
        <w:rPr>
          <w:spacing w:val="-3"/>
          <w:sz w:val="21"/>
        </w:rPr>
        <w:t>告</w:t>
      </w:r>
      <w:r>
        <w:rPr>
          <w:sz w:val="21"/>
        </w:rPr>
        <w:t>知</w:t>
      </w:r>
      <w:r>
        <w:rPr>
          <w:spacing w:val="-3"/>
          <w:sz w:val="21"/>
        </w:rPr>
        <w:t>的</w:t>
      </w:r>
      <w:r>
        <w:rPr>
          <w:sz w:val="21"/>
        </w:rPr>
        <w:t>义务</w:t>
        <w:tab/>
        <w:t>6.5</w:t>
      </w:r>
    </w:p>
    <w:p>
      <w:pPr>
        <w:pStyle w:val="ListParagraph"/>
        <w:numPr>
          <w:ilvl w:val="0"/>
          <w:numId w:val="1"/>
        </w:numPr>
        <w:tabs>
          <w:tab w:pos="1270" w:val="left" w:leader="none"/>
          <w:tab w:pos="1271" w:val="left" w:leader="none"/>
          <w:tab w:pos="9475"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7</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5"/>
          <w:sz w:val="21"/>
        </w:rPr>
        <w:t>我们</w:t>
      </w:r>
      <w:r>
        <w:rPr>
          <w:spacing w:val="-3"/>
          <w:w w:val="105"/>
          <w:sz w:val="21"/>
        </w:rPr>
        <w:t>对</w:t>
      </w:r>
      <w:r>
        <w:rPr>
          <w:w w:val="105"/>
          <w:sz w:val="21"/>
        </w:rPr>
        <w:t>一</w:t>
      </w:r>
      <w:r>
        <w:rPr>
          <w:spacing w:val="-3"/>
          <w:w w:val="105"/>
          <w:sz w:val="21"/>
        </w:rPr>
        <w:t>些</w:t>
      </w:r>
      <w:r>
        <w:rPr>
          <w:w w:val="105"/>
          <w:sz w:val="21"/>
        </w:rPr>
        <w:t>重</w:t>
      </w:r>
      <w:r>
        <w:rPr>
          <w:spacing w:val="-3"/>
          <w:w w:val="105"/>
          <w:sz w:val="21"/>
        </w:rPr>
        <w:t>要</w:t>
      </w:r>
      <w:r>
        <w:rPr>
          <w:w w:val="105"/>
          <w:sz w:val="21"/>
        </w:rPr>
        <w:t>术</w:t>
      </w:r>
      <w:r>
        <w:rPr>
          <w:spacing w:val="-3"/>
          <w:w w:val="105"/>
          <w:sz w:val="21"/>
        </w:rPr>
        <w:t>语</w:t>
      </w:r>
      <w:r>
        <w:rPr>
          <w:w w:val="105"/>
          <w:sz w:val="21"/>
        </w:rPr>
        <w:t>进</w:t>
      </w:r>
      <w:r>
        <w:rPr>
          <w:spacing w:val="-3"/>
          <w:w w:val="105"/>
          <w:sz w:val="21"/>
        </w:rPr>
        <w:t>行</w:t>
      </w:r>
      <w:r>
        <w:rPr>
          <w:w w:val="105"/>
          <w:sz w:val="21"/>
        </w:rPr>
        <w:t>了解</w:t>
      </w:r>
      <w:r>
        <w:rPr>
          <w:spacing w:val="-3"/>
          <w:w w:val="105"/>
          <w:sz w:val="21"/>
        </w:rPr>
        <w:t>释</w:t>
      </w:r>
      <w:r>
        <w:rPr>
          <w:w w:val="105"/>
          <w:sz w:val="21"/>
        </w:rPr>
        <w:t>，</w:t>
      </w:r>
      <w:r>
        <w:rPr>
          <w:spacing w:val="-3"/>
          <w:w w:val="105"/>
          <w:sz w:val="21"/>
        </w:rPr>
        <w:t>并</w:t>
      </w:r>
      <w:r>
        <w:rPr>
          <w:w w:val="105"/>
          <w:sz w:val="21"/>
        </w:rPr>
        <w:t>作</w:t>
      </w:r>
      <w:r>
        <w:rPr>
          <w:spacing w:val="-3"/>
          <w:w w:val="105"/>
          <w:sz w:val="21"/>
        </w:rPr>
        <w:t>了</w:t>
      </w:r>
      <w:r>
        <w:rPr>
          <w:w w:val="105"/>
          <w:sz w:val="21"/>
        </w:rPr>
        <w:t>显</w:t>
      </w:r>
      <w:r>
        <w:rPr>
          <w:spacing w:val="-3"/>
          <w:w w:val="105"/>
          <w:sz w:val="21"/>
        </w:rPr>
        <w:t>著</w:t>
      </w:r>
      <w:r>
        <w:rPr>
          <w:w w:val="105"/>
          <w:sz w:val="21"/>
        </w:rPr>
        <w:t>标</w:t>
      </w:r>
      <w:r>
        <w:rPr>
          <w:spacing w:val="-3"/>
          <w:w w:val="105"/>
          <w:sz w:val="21"/>
        </w:rPr>
        <w:t>识</w:t>
      </w:r>
      <w:r>
        <w:rPr>
          <w:w w:val="105"/>
          <w:sz w:val="21"/>
        </w:rPr>
        <w:t>，请</w:t>
      </w:r>
      <w:r>
        <w:rPr>
          <w:spacing w:val="-3"/>
          <w:w w:val="105"/>
          <w:sz w:val="21"/>
        </w:rPr>
        <w:t>投</w:t>
      </w:r>
      <w:r>
        <w:rPr>
          <w:w w:val="105"/>
          <w:sz w:val="21"/>
        </w:rPr>
        <w:t>保</w:t>
      </w:r>
      <w:r>
        <w:rPr>
          <w:spacing w:val="-3"/>
          <w:w w:val="105"/>
          <w:sz w:val="21"/>
        </w:rPr>
        <w:t>人</w:t>
      </w:r>
      <w:r>
        <w:rPr>
          <w:w w:val="105"/>
          <w:sz w:val="21"/>
        </w:rPr>
        <w:t>注意</w:t>
        <w:tab/>
        <w:t>8</w:t>
      </w:r>
    </w:p>
    <w:p>
      <w:pPr>
        <w:tabs>
          <w:tab w:pos="807" w:val="left" w:leader="none"/>
        </w:tabs>
        <w:spacing w:line="506" w:lineRule="exact" w:before="142"/>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line="506" w:lineRule="exact" w:before="0"/>
        <w:ind w:left="219"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49.560001pt;margin-top:21.612934pt;width:496.3pt;height:331.6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6"/>
                    <w:gridCol w:w="2802"/>
                    <w:gridCol w:w="3437"/>
                  </w:tblGrid>
                  <w:tr>
                    <w:trPr>
                      <w:trHeight w:val="6623" w:hRule="atLeast"/>
                    </w:trPr>
                    <w:tc>
                      <w:tcPr>
                        <w:tcW w:w="3686" w:type="dxa"/>
                        <w:tcBorders>
                          <w:bottom w:val="single" w:sz="4" w:space="0" w:color="000000"/>
                        </w:tcBorders>
                      </w:tcPr>
                      <w:p>
                        <w:pPr>
                          <w:pStyle w:val="TableParagraph"/>
                          <w:numPr>
                            <w:ilvl w:val="0"/>
                            <w:numId w:val="2"/>
                          </w:numPr>
                          <w:tabs>
                            <w:tab w:pos="813" w:val="left" w:leader="none"/>
                            <w:tab w:pos="815" w:val="left" w:leader="none"/>
                          </w:tabs>
                          <w:spacing w:line="241" w:lineRule="exact" w:before="0" w:after="0"/>
                          <w:ind w:left="814" w:right="0" w:hanging="420"/>
                          <w:jc w:val="left"/>
                          <w:rPr>
                            <w:rFonts w:ascii="微软雅黑" w:eastAsia="微软雅黑" w:hint="eastAsia"/>
                            <w:b/>
                            <w:sz w:val="21"/>
                          </w:rPr>
                        </w:pPr>
                        <w:r>
                          <w:rPr>
                            <w:rFonts w:ascii="微软雅黑" w:eastAsia="微软雅黑" w:hint="eastAsia"/>
                            <w:b/>
                            <w:sz w:val="21"/>
                          </w:rPr>
                          <w:t>我们保什么</w:t>
                        </w:r>
                      </w:p>
                      <w:p>
                        <w:pPr>
                          <w:pStyle w:val="TableParagraph"/>
                          <w:numPr>
                            <w:ilvl w:val="1"/>
                            <w:numId w:val="2"/>
                          </w:numPr>
                          <w:tabs>
                            <w:tab w:pos="815" w:val="left" w:leader="none"/>
                          </w:tabs>
                          <w:spacing w:line="240" w:lineRule="auto" w:before="11" w:after="0"/>
                          <w:ind w:left="814" w:right="0" w:hanging="420"/>
                          <w:jc w:val="left"/>
                          <w:rPr>
                            <w:sz w:val="21"/>
                          </w:rPr>
                        </w:pPr>
                        <w:r>
                          <w:rPr>
                            <w:spacing w:val="-2"/>
                            <w:sz w:val="21"/>
                          </w:rPr>
                          <w:t>基本保险金额</w:t>
                        </w:r>
                      </w:p>
                      <w:p>
                        <w:pPr>
                          <w:pStyle w:val="TableParagraph"/>
                          <w:numPr>
                            <w:ilvl w:val="1"/>
                            <w:numId w:val="2"/>
                          </w:numPr>
                          <w:tabs>
                            <w:tab w:pos="815" w:val="left" w:leader="none"/>
                          </w:tabs>
                          <w:spacing w:line="240" w:lineRule="auto" w:before="36" w:after="0"/>
                          <w:ind w:left="814" w:right="0" w:hanging="420"/>
                          <w:jc w:val="left"/>
                          <w:rPr>
                            <w:sz w:val="21"/>
                          </w:rPr>
                        </w:pPr>
                        <w:r>
                          <w:rPr>
                            <w:spacing w:val="-1"/>
                            <w:sz w:val="21"/>
                          </w:rPr>
                          <w:t>保险期间</w:t>
                        </w:r>
                      </w:p>
                      <w:p>
                        <w:pPr>
                          <w:pStyle w:val="TableParagraph"/>
                          <w:numPr>
                            <w:ilvl w:val="1"/>
                            <w:numId w:val="2"/>
                          </w:numPr>
                          <w:tabs>
                            <w:tab w:pos="815" w:val="left" w:leader="none"/>
                          </w:tabs>
                          <w:spacing w:line="240" w:lineRule="auto" w:before="37" w:after="0"/>
                          <w:ind w:left="814" w:right="0" w:hanging="420"/>
                          <w:jc w:val="left"/>
                          <w:rPr>
                            <w:sz w:val="21"/>
                          </w:rPr>
                        </w:pPr>
                        <w:r>
                          <w:rPr>
                            <w:sz w:val="21"/>
                          </w:rPr>
                          <w:t>等待期</w:t>
                        </w:r>
                      </w:p>
                      <w:p>
                        <w:pPr>
                          <w:pStyle w:val="TableParagraph"/>
                          <w:numPr>
                            <w:ilvl w:val="1"/>
                            <w:numId w:val="2"/>
                          </w:numPr>
                          <w:tabs>
                            <w:tab w:pos="815" w:val="left" w:leader="none"/>
                          </w:tabs>
                          <w:spacing w:line="262" w:lineRule="exact" w:before="37" w:after="0"/>
                          <w:ind w:left="814" w:right="0" w:hanging="420"/>
                          <w:jc w:val="left"/>
                          <w:rPr>
                            <w:sz w:val="21"/>
                          </w:rPr>
                        </w:pPr>
                        <w:r>
                          <w:rPr>
                            <w:spacing w:val="-1"/>
                            <w:sz w:val="21"/>
                          </w:rPr>
                          <w:t>保险责任</w:t>
                        </w:r>
                      </w:p>
                      <w:p>
                        <w:pPr>
                          <w:pStyle w:val="TableParagraph"/>
                          <w:numPr>
                            <w:ilvl w:val="0"/>
                            <w:numId w:val="2"/>
                          </w:numPr>
                          <w:tabs>
                            <w:tab w:pos="813" w:val="left" w:leader="none"/>
                            <w:tab w:pos="815" w:val="left" w:leader="none"/>
                          </w:tabs>
                          <w:spacing w:line="350" w:lineRule="exact" w:before="0" w:after="0"/>
                          <w:ind w:left="814" w:right="0" w:hanging="420"/>
                          <w:jc w:val="left"/>
                          <w:rPr>
                            <w:rFonts w:ascii="微软雅黑" w:eastAsia="微软雅黑" w:hint="eastAsia"/>
                            <w:b/>
                            <w:sz w:val="21"/>
                          </w:rPr>
                        </w:pPr>
                        <w:r>
                          <w:rPr>
                            <w:rFonts w:ascii="微软雅黑" w:eastAsia="微软雅黑" w:hint="eastAsia"/>
                            <w:b/>
                            <w:sz w:val="21"/>
                          </w:rPr>
                          <w:t>我们不保什么</w:t>
                        </w:r>
                      </w:p>
                      <w:p>
                        <w:pPr>
                          <w:pStyle w:val="TableParagraph"/>
                          <w:numPr>
                            <w:ilvl w:val="1"/>
                            <w:numId w:val="2"/>
                          </w:numPr>
                          <w:tabs>
                            <w:tab w:pos="815" w:val="left" w:leader="none"/>
                          </w:tabs>
                          <w:spacing w:line="262" w:lineRule="exact" w:before="11" w:after="0"/>
                          <w:ind w:left="814" w:right="0" w:hanging="420"/>
                          <w:jc w:val="left"/>
                          <w:rPr>
                            <w:sz w:val="21"/>
                          </w:rPr>
                        </w:pPr>
                        <w:r>
                          <w:rPr>
                            <w:spacing w:val="-1"/>
                            <w:sz w:val="21"/>
                          </w:rPr>
                          <w:t>责任免除</w:t>
                        </w:r>
                      </w:p>
                      <w:p>
                        <w:pPr>
                          <w:pStyle w:val="TableParagraph"/>
                          <w:numPr>
                            <w:ilvl w:val="0"/>
                            <w:numId w:val="2"/>
                          </w:numPr>
                          <w:tabs>
                            <w:tab w:pos="813" w:val="left" w:leader="none"/>
                            <w:tab w:pos="815" w:val="left" w:leader="none"/>
                          </w:tabs>
                          <w:spacing w:line="350" w:lineRule="exact" w:before="0" w:after="0"/>
                          <w:ind w:left="814" w:right="0" w:hanging="420"/>
                          <w:jc w:val="left"/>
                          <w:rPr>
                            <w:rFonts w:ascii="微软雅黑" w:eastAsia="微软雅黑" w:hint="eastAsia"/>
                            <w:b/>
                            <w:sz w:val="21"/>
                          </w:rPr>
                        </w:pPr>
                        <w:r>
                          <w:rPr>
                            <w:rFonts w:ascii="微软雅黑" w:eastAsia="微软雅黑" w:hint="eastAsia"/>
                            <w:b/>
                            <w:sz w:val="21"/>
                          </w:rPr>
                          <w:t>如何交纳保险费</w:t>
                        </w:r>
                      </w:p>
                      <w:p>
                        <w:pPr>
                          <w:pStyle w:val="TableParagraph"/>
                          <w:numPr>
                            <w:ilvl w:val="1"/>
                            <w:numId w:val="2"/>
                          </w:numPr>
                          <w:tabs>
                            <w:tab w:pos="815" w:val="left" w:leader="none"/>
                          </w:tabs>
                          <w:spacing w:line="240" w:lineRule="auto" w:before="12" w:after="0"/>
                          <w:ind w:left="814" w:right="0" w:hanging="420"/>
                          <w:jc w:val="left"/>
                          <w:rPr>
                            <w:sz w:val="21"/>
                          </w:rPr>
                        </w:pPr>
                        <w:r>
                          <w:rPr>
                            <w:spacing w:val="-2"/>
                            <w:sz w:val="21"/>
                          </w:rPr>
                          <w:t>保险费的交纳</w:t>
                        </w:r>
                      </w:p>
                      <w:p>
                        <w:pPr>
                          <w:pStyle w:val="TableParagraph"/>
                          <w:numPr>
                            <w:ilvl w:val="1"/>
                            <w:numId w:val="2"/>
                          </w:numPr>
                          <w:tabs>
                            <w:tab w:pos="815" w:val="left" w:leader="none"/>
                          </w:tabs>
                          <w:spacing w:line="240" w:lineRule="auto" w:before="36" w:after="0"/>
                          <w:ind w:left="814" w:right="0" w:hanging="420"/>
                          <w:jc w:val="left"/>
                          <w:rPr>
                            <w:sz w:val="21"/>
                          </w:rPr>
                        </w:pPr>
                        <w:r>
                          <w:rPr>
                            <w:sz w:val="21"/>
                          </w:rPr>
                          <w:t>宽限期</w:t>
                        </w:r>
                      </w:p>
                      <w:p>
                        <w:pPr>
                          <w:pStyle w:val="TableParagraph"/>
                          <w:numPr>
                            <w:ilvl w:val="1"/>
                            <w:numId w:val="2"/>
                          </w:numPr>
                          <w:tabs>
                            <w:tab w:pos="815" w:val="left" w:leader="none"/>
                          </w:tabs>
                          <w:spacing w:line="262" w:lineRule="exact" w:before="36" w:after="0"/>
                          <w:ind w:left="814" w:right="0" w:hanging="420"/>
                          <w:jc w:val="left"/>
                          <w:rPr>
                            <w:sz w:val="21"/>
                          </w:rPr>
                        </w:pPr>
                        <w:r>
                          <w:rPr>
                            <w:sz w:val="21"/>
                          </w:rPr>
                          <w:t>续保</w:t>
                        </w:r>
                      </w:p>
                      <w:p>
                        <w:pPr>
                          <w:pStyle w:val="TableParagraph"/>
                          <w:numPr>
                            <w:ilvl w:val="0"/>
                            <w:numId w:val="2"/>
                          </w:numPr>
                          <w:tabs>
                            <w:tab w:pos="813" w:val="left" w:leader="none"/>
                            <w:tab w:pos="815" w:val="left" w:leader="none"/>
                          </w:tabs>
                          <w:spacing w:line="350" w:lineRule="exact" w:before="0" w:after="0"/>
                          <w:ind w:left="814" w:right="0" w:hanging="420"/>
                          <w:jc w:val="left"/>
                          <w:rPr>
                            <w:rFonts w:ascii="微软雅黑" w:eastAsia="微软雅黑" w:hint="eastAsia"/>
                            <w:b/>
                            <w:sz w:val="21"/>
                          </w:rPr>
                        </w:pPr>
                        <w:r>
                          <w:rPr>
                            <w:rFonts w:ascii="微软雅黑" w:eastAsia="微软雅黑" w:hint="eastAsia"/>
                            <w:b/>
                            <w:sz w:val="21"/>
                          </w:rPr>
                          <w:t>如何领取保险金</w:t>
                        </w:r>
                      </w:p>
                      <w:p>
                        <w:pPr>
                          <w:pStyle w:val="TableParagraph"/>
                          <w:numPr>
                            <w:ilvl w:val="1"/>
                            <w:numId w:val="2"/>
                          </w:numPr>
                          <w:tabs>
                            <w:tab w:pos="815" w:val="left" w:leader="none"/>
                          </w:tabs>
                          <w:spacing w:line="240" w:lineRule="auto" w:before="12" w:after="0"/>
                          <w:ind w:left="814" w:right="0" w:hanging="420"/>
                          <w:jc w:val="left"/>
                          <w:rPr>
                            <w:sz w:val="21"/>
                          </w:rPr>
                        </w:pPr>
                        <w:r>
                          <w:rPr>
                            <w:sz w:val="21"/>
                          </w:rPr>
                          <w:t>受益人</w:t>
                        </w:r>
                      </w:p>
                      <w:p>
                        <w:pPr>
                          <w:pStyle w:val="TableParagraph"/>
                          <w:numPr>
                            <w:ilvl w:val="1"/>
                            <w:numId w:val="2"/>
                          </w:numPr>
                          <w:tabs>
                            <w:tab w:pos="815" w:val="left" w:leader="none"/>
                          </w:tabs>
                          <w:spacing w:line="240" w:lineRule="auto" w:before="37" w:after="0"/>
                          <w:ind w:left="814" w:right="0" w:hanging="420"/>
                          <w:jc w:val="left"/>
                          <w:rPr>
                            <w:sz w:val="21"/>
                          </w:rPr>
                        </w:pPr>
                        <w:r>
                          <w:rPr>
                            <w:spacing w:val="-2"/>
                            <w:sz w:val="21"/>
                          </w:rPr>
                          <w:t>保险事故通知</w:t>
                        </w:r>
                      </w:p>
                      <w:p>
                        <w:pPr>
                          <w:pStyle w:val="TableParagraph"/>
                          <w:numPr>
                            <w:ilvl w:val="1"/>
                            <w:numId w:val="2"/>
                          </w:numPr>
                          <w:tabs>
                            <w:tab w:pos="815" w:val="left" w:leader="none"/>
                          </w:tabs>
                          <w:spacing w:line="240" w:lineRule="auto" w:before="37" w:after="0"/>
                          <w:ind w:left="814" w:right="0" w:hanging="420"/>
                          <w:jc w:val="left"/>
                          <w:rPr>
                            <w:sz w:val="21"/>
                          </w:rPr>
                        </w:pPr>
                        <w:r>
                          <w:rPr>
                            <w:spacing w:val="-1"/>
                            <w:sz w:val="21"/>
                          </w:rPr>
                          <w:t>保险金申请</w:t>
                        </w:r>
                      </w:p>
                      <w:p>
                        <w:pPr>
                          <w:pStyle w:val="TableParagraph"/>
                          <w:numPr>
                            <w:ilvl w:val="1"/>
                            <w:numId w:val="2"/>
                          </w:numPr>
                          <w:tabs>
                            <w:tab w:pos="815" w:val="left" w:leader="none"/>
                          </w:tabs>
                          <w:spacing w:line="240" w:lineRule="auto" w:before="37" w:after="0"/>
                          <w:ind w:left="814" w:right="0" w:hanging="420"/>
                          <w:jc w:val="left"/>
                          <w:rPr>
                            <w:sz w:val="21"/>
                          </w:rPr>
                        </w:pPr>
                        <w:r>
                          <w:rPr>
                            <w:spacing w:val="-1"/>
                            <w:sz w:val="21"/>
                          </w:rPr>
                          <w:t>保险金给付</w:t>
                        </w:r>
                      </w:p>
                      <w:p>
                        <w:pPr>
                          <w:pStyle w:val="TableParagraph"/>
                          <w:numPr>
                            <w:ilvl w:val="1"/>
                            <w:numId w:val="2"/>
                          </w:numPr>
                          <w:tabs>
                            <w:tab w:pos="815" w:val="left" w:leader="none"/>
                          </w:tabs>
                          <w:spacing w:line="262" w:lineRule="exact" w:before="36" w:after="0"/>
                          <w:ind w:left="814" w:right="0" w:hanging="420"/>
                          <w:jc w:val="left"/>
                          <w:rPr>
                            <w:sz w:val="21"/>
                          </w:rPr>
                        </w:pPr>
                        <w:r>
                          <w:rPr>
                            <w:spacing w:val="-1"/>
                            <w:sz w:val="21"/>
                          </w:rPr>
                          <w:t>诉讼时效</w:t>
                        </w:r>
                      </w:p>
                      <w:p>
                        <w:pPr>
                          <w:pStyle w:val="TableParagraph"/>
                          <w:numPr>
                            <w:ilvl w:val="0"/>
                            <w:numId w:val="2"/>
                          </w:numPr>
                          <w:tabs>
                            <w:tab w:pos="813" w:val="left" w:leader="none"/>
                            <w:tab w:pos="815" w:val="left" w:leader="none"/>
                          </w:tabs>
                          <w:spacing w:line="350" w:lineRule="exact" w:before="0" w:after="0"/>
                          <w:ind w:left="814" w:right="0" w:hanging="420"/>
                          <w:jc w:val="left"/>
                          <w:rPr>
                            <w:rFonts w:ascii="微软雅黑" w:eastAsia="微软雅黑" w:hint="eastAsia"/>
                            <w:b/>
                            <w:sz w:val="21"/>
                          </w:rPr>
                        </w:pPr>
                        <w:r>
                          <w:rPr>
                            <w:rFonts w:ascii="微软雅黑" w:eastAsia="微软雅黑" w:hint="eastAsia"/>
                            <w:b/>
                            <w:sz w:val="21"/>
                          </w:rPr>
                          <w:t>如何退保</w:t>
                        </w:r>
                      </w:p>
                      <w:p>
                        <w:pPr>
                          <w:pStyle w:val="TableParagraph"/>
                          <w:numPr>
                            <w:ilvl w:val="1"/>
                            <w:numId w:val="2"/>
                          </w:numPr>
                          <w:tabs>
                            <w:tab w:pos="815" w:val="left" w:leader="none"/>
                          </w:tabs>
                          <w:spacing w:line="262" w:lineRule="exact" w:before="12" w:after="0"/>
                          <w:ind w:left="814" w:right="0" w:hanging="420"/>
                          <w:jc w:val="left"/>
                          <w:rPr>
                            <w:sz w:val="21"/>
                          </w:rPr>
                        </w:pPr>
                        <w:r>
                          <w:rPr>
                            <w:spacing w:val="-3"/>
                            <w:sz w:val="21"/>
                          </w:rPr>
                          <w:t>投保人解除合同的手续及风险</w:t>
                        </w:r>
                      </w:p>
                      <w:p>
                        <w:pPr>
                          <w:pStyle w:val="TableParagraph"/>
                          <w:numPr>
                            <w:ilvl w:val="0"/>
                            <w:numId w:val="2"/>
                          </w:numPr>
                          <w:tabs>
                            <w:tab w:pos="813" w:val="left" w:leader="none"/>
                            <w:tab w:pos="815" w:val="left" w:leader="none"/>
                          </w:tabs>
                          <w:spacing w:line="350" w:lineRule="exact" w:before="0" w:after="0"/>
                          <w:ind w:left="814" w:right="0" w:hanging="420"/>
                          <w:jc w:val="left"/>
                          <w:rPr>
                            <w:rFonts w:ascii="微软雅黑" w:eastAsia="微软雅黑" w:hint="eastAsia"/>
                            <w:b/>
                            <w:sz w:val="21"/>
                          </w:rPr>
                        </w:pPr>
                        <w:r>
                          <w:rPr>
                            <w:rFonts w:ascii="微软雅黑" w:eastAsia="微软雅黑" w:hint="eastAsia"/>
                            <w:b/>
                            <w:sz w:val="21"/>
                          </w:rPr>
                          <w:t>其他需要关注的事项</w:t>
                        </w:r>
                      </w:p>
                      <w:p>
                        <w:pPr>
                          <w:pStyle w:val="TableParagraph"/>
                          <w:numPr>
                            <w:ilvl w:val="1"/>
                            <w:numId w:val="2"/>
                          </w:numPr>
                          <w:tabs>
                            <w:tab w:pos="815" w:val="left" w:leader="none"/>
                          </w:tabs>
                          <w:spacing w:line="240" w:lineRule="auto" w:before="12" w:after="0"/>
                          <w:ind w:left="814" w:right="0" w:hanging="420"/>
                          <w:jc w:val="left"/>
                          <w:rPr>
                            <w:sz w:val="21"/>
                          </w:rPr>
                        </w:pPr>
                        <w:r>
                          <w:rPr>
                            <w:spacing w:val="-1"/>
                            <w:sz w:val="21"/>
                          </w:rPr>
                          <w:t>合同构成</w:t>
                        </w:r>
                      </w:p>
                    </w:tc>
                    <w:tc>
                      <w:tcPr>
                        <w:tcW w:w="2802" w:type="dxa"/>
                        <w:tcBorders>
                          <w:bottom w:val="single" w:sz="4" w:space="0" w:color="000000"/>
                        </w:tcBorders>
                      </w:tcPr>
                      <w:p>
                        <w:pPr>
                          <w:pStyle w:val="TableParagraph"/>
                          <w:numPr>
                            <w:ilvl w:val="1"/>
                            <w:numId w:val="3"/>
                          </w:numPr>
                          <w:tabs>
                            <w:tab w:pos="559" w:val="left" w:leader="none"/>
                          </w:tabs>
                          <w:spacing w:line="215" w:lineRule="exact" w:before="0" w:after="0"/>
                          <w:ind w:left="558" w:right="0" w:hanging="420"/>
                          <w:jc w:val="left"/>
                          <w:rPr>
                            <w:sz w:val="21"/>
                          </w:rPr>
                        </w:pPr>
                        <w:r>
                          <w:rPr>
                            <w:spacing w:val="-2"/>
                            <w:sz w:val="21"/>
                          </w:rPr>
                          <w:t>合同成立及</w:t>
                        </w:r>
                        <w:r>
                          <w:rPr>
                            <w:sz w:val="21"/>
                          </w:rPr>
                          <w:t>Th效</w:t>
                        </w:r>
                      </w:p>
                      <w:p>
                        <w:pPr>
                          <w:pStyle w:val="TableParagraph"/>
                          <w:numPr>
                            <w:ilvl w:val="1"/>
                            <w:numId w:val="3"/>
                          </w:numPr>
                          <w:tabs>
                            <w:tab w:pos="559" w:val="left" w:leader="none"/>
                          </w:tabs>
                          <w:spacing w:line="240" w:lineRule="auto" w:before="37" w:after="0"/>
                          <w:ind w:left="558" w:right="0" w:hanging="420"/>
                          <w:jc w:val="left"/>
                          <w:rPr>
                            <w:sz w:val="21"/>
                          </w:rPr>
                        </w:pPr>
                        <w:r>
                          <w:rPr>
                            <w:spacing w:val="-1"/>
                            <w:sz w:val="21"/>
                          </w:rPr>
                          <w:t>投保范围</w:t>
                        </w:r>
                      </w:p>
                      <w:p>
                        <w:pPr>
                          <w:pStyle w:val="TableParagraph"/>
                          <w:numPr>
                            <w:ilvl w:val="1"/>
                            <w:numId w:val="3"/>
                          </w:numPr>
                          <w:tabs>
                            <w:tab w:pos="559" w:val="left" w:leader="none"/>
                          </w:tabs>
                          <w:spacing w:line="240" w:lineRule="auto" w:before="37" w:after="0"/>
                          <w:ind w:left="558" w:right="0" w:hanging="420"/>
                          <w:jc w:val="left"/>
                          <w:rPr>
                            <w:sz w:val="21"/>
                          </w:rPr>
                        </w:pPr>
                        <w:r>
                          <w:rPr>
                            <w:spacing w:val="-1"/>
                            <w:sz w:val="21"/>
                          </w:rPr>
                          <w:t>投保年龄</w:t>
                        </w:r>
                      </w:p>
                      <w:p>
                        <w:pPr>
                          <w:pStyle w:val="TableParagraph"/>
                          <w:numPr>
                            <w:ilvl w:val="1"/>
                            <w:numId w:val="3"/>
                          </w:numPr>
                          <w:tabs>
                            <w:tab w:pos="559" w:val="left" w:leader="none"/>
                          </w:tabs>
                          <w:spacing w:line="240" w:lineRule="auto" w:before="37" w:after="0"/>
                          <w:ind w:left="558" w:right="0" w:hanging="420"/>
                          <w:jc w:val="left"/>
                          <w:rPr>
                            <w:sz w:val="21"/>
                          </w:rPr>
                        </w:pPr>
                        <w:r>
                          <w:rPr>
                            <w:spacing w:val="-3"/>
                            <w:sz w:val="21"/>
                          </w:rPr>
                          <w:t>明确说明与如实告知</w:t>
                        </w:r>
                      </w:p>
                      <w:p>
                        <w:pPr>
                          <w:pStyle w:val="TableParagraph"/>
                          <w:numPr>
                            <w:ilvl w:val="1"/>
                            <w:numId w:val="3"/>
                          </w:numPr>
                          <w:tabs>
                            <w:tab w:pos="559" w:val="left" w:leader="none"/>
                          </w:tabs>
                          <w:spacing w:line="240" w:lineRule="auto" w:before="36" w:after="0"/>
                          <w:ind w:left="558" w:right="0" w:hanging="420"/>
                          <w:jc w:val="left"/>
                          <w:rPr>
                            <w:sz w:val="21"/>
                          </w:rPr>
                        </w:pPr>
                        <w:r>
                          <w:rPr>
                            <w:spacing w:val="-3"/>
                            <w:sz w:val="21"/>
                          </w:rPr>
                          <w:t>我们合同解除权的限制</w:t>
                        </w:r>
                      </w:p>
                      <w:p>
                        <w:pPr>
                          <w:pStyle w:val="TableParagraph"/>
                          <w:numPr>
                            <w:ilvl w:val="1"/>
                            <w:numId w:val="3"/>
                          </w:numPr>
                          <w:tabs>
                            <w:tab w:pos="559" w:val="left" w:leader="none"/>
                          </w:tabs>
                          <w:spacing w:line="240" w:lineRule="auto" w:before="36" w:after="0"/>
                          <w:ind w:left="558" w:right="0" w:hanging="420"/>
                          <w:jc w:val="left"/>
                          <w:rPr>
                            <w:sz w:val="21"/>
                          </w:rPr>
                        </w:pPr>
                        <w:r>
                          <w:rPr>
                            <w:spacing w:val="-2"/>
                            <w:sz w:val="21"/>
                          </w:rPr>
                          <w:t>年龄性别错误</w:t>
                        </w:r>
                      </w:p>
                      <w:p>
                        <w:pPr>
                          <w:pStyle w:val="TableParagraph"/>
                          <w:numPr>
                            <w:ilvl w:val="1"/>
                            <w:numId w:val="3"/>
                          </w:numPr>
                          <w:tabs>
                            <w:tab w:pos="559" w:val="left" w:leader="none"/>
                          </w:tabs>
                          <w:spacing w:line="240" w:lineRule="auto" w:before="36" w:after="0"/>
                          <w:ind w:left="558" w:right="0" w:hanging="420"/>
                          <w:jc w:val="left"/>
                          <w:rPr>
                            <w:sz w:val="21"/>
                          </w:rPr>
                        </w:pPr>
                        <w:r>
                          <w:rPr>
                            <w:spacing w:val="-2"/>
                            <w:sz w:val="21"/>
                          </w:rPr>
                          <w:t>被保险人变动</w:t>
                        </w:r>
                      </w:p>
                      <w:p>
                        <w:pPr>
                          <w:pStyle w:val="TableParagraph"/>
                          <w:numPr>
                            <w:ilvl w:val="1"/>
                            <w:numId w:val="3"/>
                          </w:numPr>
                          <w:tabs>
                            <w:tab w:pos="559" w:val="left" w:leader="none"/>
                          </w:tabs>
                          <w:spacing w:line="240" w:lineRule="auto" w:before="36" w:after="0"/>
                          <w:ind w:left="558" w:right="0" w:hanging="420"/>
                          <w:jc w:val="left"/>
                          <w:rPr>
                            <w:sz w:val="21"/>
                          </w:rPr>
                        </w:pPr>
                        <w:r>
                          <w:rPr>
                            <w:spacing w:val="-2"/>
                            <w:sz w:val="21"/>
                          </w:rPr>
                          <w:t>合同内容变更</w:t>
                        </w:r>
                      </w:p>
                      <w:p>
                        <w:pPr>
                          <w:pStyle w:val="TableParagraph"/>
                          <w:numPr>
                            <w:ilvl w:val="1"/>
                            <w:numId w:val="3"/>
                          </w:numPr>
                          <w:tabs>
                            <w:tab w:pos="662" w:val="left" w:leader="none"/>
                          </w:tabs>
                          <w:spacing w:line="240" w:lineRule="auto" w:before="36" w:after="0"/>
                          <w:ind w:left="661" w:right="0" w:hanging="523"/>
                          <w:jc w:val="left"/>
                          <w:rPr>
                            <w:sz w:val="21"/>
                          </w:rPr>
                        </w:pPr>
                        <w:r>
                          <w:rPr>
                            <w:sz w:val="21"/>
                          </w:rPr>
                          <w:t>未还款项</w:t>
                        </w:r>
                      </w:p>
                      <w:p>
                        <w:pPr>
                          <w:pStyle w:val="TableParagraph"/>
                          <w:numPr>
                            <w:ilvl w:val="1"/>
                            <w:numId w:val="3"/>
                          </w:numPr>
                          <w:tabs>
                            <w:tab w:pos="664" w:val="left" w:leader="none"/>
                          </w:tabs>
                          <w:spacing w:line="240" w:lineRule="auto" w:before="36" w:after="0"/>
                          <w:ind w:left="663" w:right="0" w:hanging="525"/>
                          <w:jc w:val="left"/>
                          <w:rPr>
                            <w:sz w:val="21"/>
                          </w:rPr>
                        </w:pPr>
                        <w:r>
                          <w:rPr>
                            <w:spacing w:val="-2"/>
                            <w:sz w:val="21"/>
                          </w:rPr>
                          <w:t>联系方式变更</w:t>
                        </w:r>
                      </w:p>
                      <w:p>
                        <w:pPr>
                          <w:pStyle w:val="TableParagraph"/>
                          <w:numPr>
                            <w:ilvl w:val="1"/>
                            <w:numId w:val="3"/>
                          </w:numPr>
                          <w:tabs>
                            <w:tab w:pos="664" w:val="left" w:leader="none"/>
                          </w:tabs>
                          <w:spacing w:line="240" w:lineRule="auto" w:before="36" w:after="0"/>
                          <w:ind w:left="663" w:right="0" w:hanging="525"/>
                          <w:jc w:val="left"/>
                          <w:rPr>
                            <w:sz w:val="21"/>
                          </w:rPr>
                        </w:pPr>
                        <w:r>
                          <w:rPr>
                            <w:spacing w:val="-1"/>
                            <w:sz w:val="21"/>
                          </w:rPr>
                          <w:t>争议处理</w:t>
                        </w:r>
                      </w:p>
                      <w:p>
                        <w:pPr>
                          <w:pStyle w:val="TableParagraph"/>
                          <w:numPr>
                            <w:ilvl w:val="1"/>
                            <w:numId w:val="3"/>
                          </w:numPr>
                          <w:tabs>
                            <w:tab w:pos="664" w:val="left" w:leader="none"/>
                          </w:tabs>
                          <w:spacing w:line="262" w:lineRule="exact" w:before="36" w:after="0"/>
                          <w:ind w:left="663" w:right="0" w:hanging="525"/>
                          <w:jc w:val="left"/>
                          <w:rPr>
                            <w:sz w:val="21"/>
                          </w:rPr>
                        </w:pPr>
                        <w:r>
                          <w:rPr>
                            <w:spacing w:val="-1"/>
                            <w:sz w:val="21"/>
                          </w:rPr>
                          <w:t>合同终止</w:t>
                        </w:r>
                      </w:p>
                      <w:p>
                        <w:pPr>
                          <w:pStyle w:val="TableParagraph"/>
                          <w:numPr>
                            <w:ilvl w:val="0"/>
                            <w:numId w:val="4"/>
                          </w:numPr>
                          <w:tabs>
                            <w:tab w:pos="558" w:val="left" w:leader="none"/>
                            <w:tab w:pos="559" w:val="left" w:leader="none"/>
                          </w:tabs>
                          <w:spacing w:line="350" w:lineRule="exact" w:before="0" w:after="0"/>
                          <w:ind w:left="558" w:right="0" w:hanging="420"/>
                          <w:jc w:val="left"/>
                          <w:rPr>
                            <w:rFonts w:ascii="微软雅黑" w:eastAsia="微软雅黑" w:hint="eastAsia"/>
                            <w:b/>
                            <w:sz w:val="21"/>
                          </w:rPr>
                        </w:pPr>
                        <w:r>
                          <w:rPr>
                            <w:rFonts w:ascii="微软雅黑" w:eastAsia="微软雅黑" w:hint="eastAsia"/>
                            <w:b/>
                            <w:sz w:val="21"/>
                          </w:rPr>
                          <w:t>疾病定义</w:t>
                        </w:r>
                      </w:p>
                      <w:p>
                        <w:pPr>
                          <w:pStyle w:val="TableParagraph"/>
                          <w:numPr>
                            <w:ilvl w:val="1"/>
                            <w:numId w:val="4"/>
                          </w:numPr>
                          <w:tabs>
                            <w:tab w:pos="559" w:val="left" w:leader="none"/>
                          </w:tabs>
                          <w:spacing w:line="262" w:lineRule="exact" w:before="12" w:after="0"/>
                          <w:ind w:left="558" w:right="0" w:hanging="420"/>
                          <w:jc w:val="left"/>
                          <w:rPr>
                            <w:sz w:val="21"/>
                          </w:rPr>
                        </w:pPr>
                        <w:r>
                          <w:rPr>
                            <w:spacing w:val="-2"/>
                            <w:sz w:val="21"/>
                          </w:rPr>
                          <w:t>重症疾病</w:t>
                        </w:r>
                      </w:p>
                      <w:p>
                        <w:pPr>
                          <w:pStyle w:val="TableParagraph"/>
                          <w:numPr>
                            <w:ilvl w:val="0"/>
                            <w:numId w:val="4"/>
                          </w:numPr>
                          <w:tabs>
                            <w:tab w:pos="558" w:val="left" w:leader="none"/>
                            <w:tab w:pos="559" w:val="left" w:leader="none"/>
                          </w:tabs>
                          <w:spacing w:line="350" w:lineRule="exact" w:before="0" w:after="0"/>
                          <w:ind w:left="558" w:right="0" w:hanging="420"/>
                          <w:jc w:val="left"/>
                          <w:rPr>
                            <w:rFonts w:ascii="微软雅黑" w:eastAsia="微软雅黑" w:hint="eastAsia"/>
                            <w:b/>
                            <w:sz w:val="21"/>
                          </w:rPr>
                        </w:pPr>
                        <w:r>
                          <w:rPr>
                            <w:rFonts w:ascii="微软雅黑" w:eastAsia="微软雅黑" w:hint="eastAsia"/>
                            <w:b/>
                            <w:sz w:val="21"/>
                          </w:rPr>
                          <w:t>释义</w:t>
                        </w:r>
                      </w:p>
                      <w:p>
                        <w:pPr>
                          <w:pStyle w:val="TableParagraph"/>
                          <w:numPr>
                            <w:ilvl w:val="1"/>
                            <w:numId w:val="4"/>
                          </w:numPr>
                          <w:tabs>
                            <w:tab w:pos="559" w:val="left" w:leader="none"/>
                          </w:tabs>
                          <w:spacing w:line="240" w:lineRule="auto" w:before="12" w:after="0"/>
                          <w:ind w:left="558" w:right="0" w:hanging="420"/>
                          <w:jc w:val="left"/>
                          <w:rPr>
                            <w:sz w:val="21"/>
                          </w:rPr>
                        </w:pPr>
                        <w:r>
                          <w:rPr>
                            <w:sz w:val="21"/>
                          </w:rPr>
                          <w:t>医院</w:t>
                        </w:r>
                      </w:p>
                      <w:p>
                        <w:pPr>
                          <w:pStyle w:val="TableParagraph"/>
                          <w:numPr>
                            <w:ilvl w:val="1"/>
                            <w:numId w:val="4"/>
                          </w:numPr>
                          <w:tabs>
                            <w:tab w:pos="559" w:val="left" w:leader="none"/>
                          </w:tabs>
                          <w:spacing w:line="240" w:lineRule="auto" w:before="36" w:after="0"/>
                          <w:ind w:left="558" w:right="0" w:hanging="420"/>
                          <w:jc w:val="left"/>
                          <w:rPr>
                            <w:sz w:val="21"/>
                          </w:rPr>
                        </w:pPr>
                        <w:r>
                          <w:rPr>
                            <w:spacing w:val="-1"/>
                            <w:sz w:val="21"/>
                          </w:rPr>
                          <w:t>初次确诊</w:t>
                        </w:r>
                      </w:p>
                      <w:p>
                        <w:pPr>
                          <w:pStyle w:val="TableParagraph"/>
                          <w:numPr>
                            <w:ilvl w:val="1"/>
                            <w:numId w:val="4"/>
                          </w:numPr>
                          <w:tabs>
                            <w:tab w:pos="559" w:val="left" w:leader="none"/>
                          </w:tabs>
                          <w:spacing w:line="240" w:lineRule="auto" w:before="36" w:after="0"/>
                          <w:ind w:left="558" w:right="0" w:hanging="420"/>
                          <w:jc w:val="left"/>
                          <w:rPr>
                            <w:sz w:val="21"/>
                          </w:rPr>
                        </w:pPr>
                        <w:r>
                          <w:rPr>
                            <w:spacing w:val="-1"/>
                            <w:sz w:val="21"/>
                          </w:rPr>
                          <w:t>意外伤害</w:t>
                        </w:r>
                      </w:p>
                      <w:p>
                        <w:pPr>
                          <w:pStyle w:val="TableParagraph"/>
                          <w:numPr>
                            <w:ilvl w:val="1"/>
                            <w:numId w:val="4"/>
                          </w:numPr>
                          <w:tabs>
                            <w:tab w:pos="559" w:val="left" w:leader="none"/>
                          </w:tabs>
                          <w:spacing w:line="240" w:lineRule="auto" w:before="36" w:after="0"/>
                          <w:ind w:left="558" w:right="0" w:hanging="420"/>
                          <w:jc w:val="left"/>
                          <w:rPr>
                            <w:sz w:val="21"/>
                          </w:rPr>
                        </w:pPr>
                        <w:r>
                          <w:rPr>
                            <w:sz w:val="21"/>
                          </w:rPr>
                          <w:t>毒品</w:t>
                        </w:r>
                      </w:p>
                      <w:p>
                        <w:pPr>
                          <w:pStyle w:val="TableParagraph"/>
                          <w:numPr>
                            <w:ilvl w:val="1"/>
                            <w:numId w:val="4"/>
                          </w:numPr>
                          <w:tabs>
                            <w:tab w:pos="559" w:val="left" w:leader="none"/>
                          </w:tabs>
                          <w:spacing w:line="240" w:lineRule="auto" w:before="36" w:after="0"/>
                          <w:ind w:left="558" w:right="0" w:hanging="420"/>
                          <w:jc w:val="left"/>
                          <w:rPr>
                            <w:sz w:val="21"/>
                          </w:rPr>
                        </w:pPr>
                        <w:r>
                          <w:rPr>
                            <w:spacing w:val="-1"/>
                            <w:sz w:val="21"/>
                          </w:rPr>
                          <w:t>酒后驾驶</w:t>
                        </w:r>
                      </w:p>
                      <w:p>
                        <w:pPr>
                          <w:pStyle w:val="TableParagraph"/>
                          <w:numPr>
                            <w:ilvl w:val="1"/>
                            <w:numId w:val="4"/>
                          </w:numPr>
                          <w:tabs>
                            <w:tab w:pos="559" w:val="left" w:leader="none"/>
                          </w:tabs>
                          <w:spacing w:line="240" w:lineRule="auto" w:before="36" w:after="0"/>
                          <w:ind w:left="558" w:right="0" w:hanging="420"/>
                          <w:jc w:val="left"/>
                          <w:rPr>
                            <w:sz w:val="21"/>
                          </w:rPr>
                        </w:pPr>
                        <w:r>
                          <w:rPr>
                            <w:spacing w:val="-3"/>
                            <w:sz w:val="21"/>
                          </w:rPr>
                          <w:t>无合法有效驾驶证驾驶</w:t>
                        </w:r>
                      </w:p>
                    </w:tc>
                    <w:tc>
                      <w:tcPr>
                        <w:tcW w:w="3437" w:type="dxa"/>
                        <w:tcBorders>
                          <w:bottom w:val="single" w:sz="4" w:space="0" w:color="000000"/>
                        </w:tcBorders>
                      </w:tcPr>
                      <w:p>
                        <w:pPr>
                          <w:pStyle w:val="TableParagraph"/>
                          <w:numPr>
                            <w:ilvl w:val="1"/>
                            <w:numId w:val="5"/>
                          </w:numPr>
                          <w:tabs>
                            <w:tab w:pos="563" w:val="left" w:leader="none"/>
                          </w:tabs>
                          <w:spacing w:line="215" w:lineRule="exact" w:before="0" w:after="0"/>
                          <w:ind w:left="562" w:right="0" w:hanging="420"/>
                          <w:jc w:val="left"/>
                          <w:rPr>
                            <w:sz w:val="21"/>
                          </w:rPr>
                        </w:pPr>
                        <w:r>
                          <w:rPr>
                            <w:spacing w:val="-3"/>
                            <w:sz w:val="21"/>
                          </w:rPr>
                          <w:t>无合法有效行驶证</w:t>
                        </w:r>
                      </w:p>
                      <w:p>
                        <w:pPr>
                          <w:pStyle w:val="TableParagraph"/>
                          <w:numPr>
                            <w:ilvl w:val="1"/>
                            <w:numId w:val="5"/>
                          </w:numPr>
                          <w:tabs>
                            <w:tab w:pos="563" w:val="left" w:leader="none"/>
                          </w:tabs>
                          <w:spacing w:line="240" w:lineRule="auto" w:before="37" w:after="0"/>
                          <w:ind w:left="562" w:right="0" w:hanging="420"/>
                          <w:jc w:val="left"/>
                          <w:rPr>
                            <w:sz w:val="21"/>
                          </w:rPr>
                        </w:pPr>
                        <w:r>
                          <w:rPr>
                            <w:sz w:val="21"/>
                          </w:rPr>
                          <w:t>机动车</w:t>
                        </w:r>
                      </w:p>
                      <w:p>
                        <w:pPr>
                          <w:pStyle w:val="TableParagraph"/>
                          <w:numPr>
                            <w:ilvl w:val="1"/>
                            <w:numId w:val="5"/>
                          </w:numPr>
                          <w:tabs>
                            <w:tab w:pos="563" w:val="left" w:leader="none"/>
                          </w:tabs>
                          <w:spacing w:line="273" w:lineRule="auto" w:before="37" w:after="0"/>
                          <w:ind w:left="562" w:right="558" w:hanging="420"/>
                          <w:jc w:val="left"/>
                          <w:rPr>
                            <w:sz w:val="21"/>
                          </w:rPr>
                        </w:pPr>
                        <w:r>
                          <w:rPr>
                            <w:spacing w:val="-3"/>
                            <w:sz w:val="21"/>
                          </w:rPr>
                          <w:t>感染艾滋病病毒或者患艾滋病</w:t>
                        </w:r>
                      </w:p>
                      <w:p>
                        <w:pPr>
                          <w:pStyle w:val="TableParagraph"/>
                          <w:numPr>
                            <w:ilvl w:val="1"/>
                            <w:numId w:val="5"/>
                          </w:numPr>
                          <w:tabs>
                            <w:tab w:pos="668" w:val="left" w:leader="none"/>
                          </w:tabs>
                          <w:spacing w:line="240" w:lineRule="auto" w:before="7" w:after="0"/>
                          <w:ind w:left="667" w:right="0" w:hanging="525"/>
                          <w:jc w:val="left"/>
                          <w:rPr>
                            <w:sz w:val="21"/>
                          </w:rPr>
                        </w:pPr>
                        <w:r>
                          <w:rPr>
                            <w:spacing w:val="-1"/>
                            <w:sz w:val="21"/>
                          </w:rPr>
                          <w:t>遗传性疾病</w:t>
                        </w:r>
                      </w:p>
                      <w:p>
                        <w:pPr>
                          <w:pStyle w:val="TableParagraph"/>
                          <w:numPr>
                            <w:ilvl w:val="1"/>
                            <w:numId w:val="5"/>
                          </w:numPr>
                          <w:tabs>
                            <w:tab w:pos="668" w:val="left" w:leader="none"/>
                          </w:tabs>
                          <w:spacing w:line="273" w:lineRule="auto" w:before="36" w:after="0"/>
                          <w:ind w:left="667" w:right="453" w:hanging="525"/>
                          <w:jc w:val="left"/>
                          <w:rPr>
                            <w:sz w:val="21"/>
                          </w:rPr>
                        </w:pPr>
                        <w:r>
                          <w:rPr>
                            <w:spacing w:val="-3"/>
                            <w:sz w:val="21"/>
                          </w:rPr>
                          <w:t>先天性畸形、变形或者染色体异常</w:t>
                        </w:r>
                      </w:p>
                      <w:p>
                        <w:pPr>
                          <w:pStyle w:val="TableParagraph"/>
                          <w:numPr>
                            <w:ilvl w:val="1"/>
                            <w:numId w:val="5"/>
                          </w:numPr>
                          <w:tabs>
                            <w:tab w:pos="668" w:val="left" w:leader="none"/>
                          </w:tabs>
                          <w:spacing w:line="240" w:lineRule="auto" w:before="7" w:after="0"/>
                          <w:ind w:left="667" w:right="0" w:hanging="525"/>
                          <w:jc w:val="left"/>
                          <w:rPr>
                            <w:sz w:val="21"/>
                          </w:rPr>
                        </w:pPr>
                        <w:r>
                          <w:rPr>
                            <w:spacing w:val="-1"/>
                            <w:sz w:val="21"/>
                          </w:rPr>
                          <w:t>现金价值</w:t>
                        </w:r>
                      </w:p>
                      <w:p>
                        <w:pPr>
                          <w:pStyle w:val="TableParagraph"/>
                          <w:numPr>
                            <w:ilvl w:val="1"/>
                            <w:numId w:val="5"/>
                          </w:numPr>
                          <w:tabs>
                            <w:tab w:pos="668" w:val="left" w:leader="none"/>
                          </w:tabs>
                          <w:spacing w:line="240" w:lineRule="auto" w:before="37" w:after="0"/>
                          <w:ind w:left="667" w:right="0" w:hanging="525"/>
                          <w:jc w:val="left"/>
                          <w:rPr>
                            <w:sz w:val="21"/>
                          </w:rPr>
                        </w:pPr>
                        <w:r>
                          <w:rPr>
                            <w:spacing w:val="-3"/>
                            <w:sz w:val="21"/>
                          </w:rPr>
                          <w:t>保险费约定交纳日</w:t>
                        </w:r>
                      </w:p>
                      <w:p>
                        <w:pPr>
                          <w:pStyle w:val="TableParagraph"/>
                          <w:numPr>
                            <w:ilvl w:val="1"/>
                            <w:numId w:val="5"/>
                          </w:numPr>
                          <w:tabs>
                            <w:tab w:pos="668" w:val="left" w:leader="none"/>
                          </w:tabs>
                          <w:spacing w:line="240" w:lineRule="auto" w:before="37" w:after="0"/>
                          <w:ind w:left="667" w:right="0" w:hanging="525"/>
                          <w:jc w:val="left"/>
                          <w:rPr>
                            <w:sz w:val="21"/>
                          </w:rPr>
                        </w:pPr>
                        <w:r>
                          <w:rPr>
                            <w:sz w:val="21"/>
                          </w:rPr>
                          <w:t>周岁</w:t>
                        </w:r>
                      </w:p>
                      <w:p>
                        <w:pPr>
                          <w:pStyle w:val="TableParagraph"/>
                          <w:numPr>
                            <w:ilvl w:val="1"/>
                            <w:numId w:val="5"/>
                          </w:numPr>
                          <w:tabs>
                            <w:tab w:pos="668" w:val="left" w:leader="none"/>
                          </w:tabs>
                          <w:spacing w:line="240" w:lineRule="auto" w:before="37" w:after="0"/>
                          <w:ind w:left="667" w:right="0" w:hanging="525"/>
                          <w:jc w:val="left"/>
                          <w:rPr>
                            <w:sz w:val="21"/>
                          </w:rPr>
                        </w:pPr>
                        <w:r>
                          <w:rPr>
                            <w:spacing w:val="-2"/>
                            <w:sz w:val="21"/>
                          </w:rPr>
                          <w:t>有效身份证件</w:t>
                        </w:r>
                      </w:p>
                      <w:p>
                        <w:pPr>
                          <w:pStyle w:val="TableParagraph"/>
                          <w:numPr>
                            <w:ilvl w:val="1"/>
                            <w:numId w:val="5"/>
                          </w:numPr>
                          <w:tabs>
                            <w:tab w:pos="668" w:val="left" w:leader="none"/>
                          </w:tabs>
                          <w:spacing w:line="240" w:lineRule="auto" w:before="37" w:after="0"/>
                          <w:ind w:left="667" w:right="0" w:hanging="525"/>
                          <w:jc w:val="left"/>
                          <w:rPr>
                            <w:sz w:val="21"/>
                          </w:rPr>
                        </w:pPr>
                        <w:r>
                          <w:rPr>
                            <w:spacing w:val="-1"/>
                            <w:sz w:val="21"/>
                          </w:rPr>
                          <w:t>专科医</w:t>
                        </w:r>
                        <w:r>
                          <w:rPr>
                            <w:sz w:val="21"/>
                          </w:rPr>
                          <w:t>Th</w:t>
                        </w:r>
                      </w:p>
                      <w:p>
                        <w:pPr>
                          <w:pStyle w:val="TableParagraph"/>
                          <w:numPr>
                            <w:ilvl w:val="1"/>
                            <w:numId w:val="5"/>
                          </w:numPr>
                          <w:tabs>
                            <w:tab w:pos="668" w:val="left" w:leader="none"/>
                          </w:tabs>
                          <w:spacing w:line="240" w:lineRule="auto" w:before="37" w:after="0"/>
                          <w:ind w:left="667" w:right="0" w:hanging="525"/>
                          <w:jc w:val="left"/>
                          <w:rPr>
                            <w:sz w:val="21"/>
                          </w:rPr>
                        </w:pPr>
                        <w:r>
                          <w:rPr>
                            <w:sz w:val="21"/>
                          </w:rPr>
                          <w:t>复利</w:t>
                        </w:r>
                      </w:p>
                      <w:p>
                        <w:pPr>
                          <w:pStyle w:val="TableParagraph"/>
                          <w:numPr>
                            <w:ilvl w:val="1"/>
                            <w:numId w:val="5"/>
                          </w:numPr>
                          <w:tabs>
                            <w:tab w:pos="668" w:val="left" w:leader="none"/>
                          </w:tabs>
                          <w:spacing w:line="240" w:lineRule="auto" w:before="37" w:after="0"/>
                          <w:ind w:left="667" w:right="0" w:hanging="525"/>
                          <w:jc w:val="left"/>
                          <w:rPr>
                            <w:sz w:val="21"/>
                          </w:rPr>
                        </w:pPr>
                        <w:r>
                          <w:rPr>
                            <w:sz w:val="21"/>
                          </w:rPr>
                          <w:t>团体</w:t>
                        </w:r>
                      </w:p>
                      <w:p>
                        <w:pPr>
                          <w:pStyle w:val="TableParagraph"/>
                          <w:numPr>
                            <w:ilvl w:val="1"/>
                            <w:numId w:val="5"/>
                          </w:numPr>
                          <w:tabs>
                            <w:tab w:pos="668" w:val="left" w:leader="none"/>
                          </w:tabs>
                          <w:spacing w:line="240" w:lineRule="auto" w:before="37" w:after="0"/>
                          <w:ind w:left="667" w:right="0" w:hanging="525"/>
                          <w:jc w:val="left"/>
                          <w:rPr>
                            <w:sz w:val="21"/>
                          </w:rPr>
                        </w:pPr>
                        <w:r>
                          <w:rPr>
                            <w:spacing w:val="-1"/>
                            <w:sz w:val="21"/>
                          </w:rPr>
                          <w:t>永久不可逆</w:t>
                        </w:r>
                      </w:p>
                      <w:p>
                        <w:pPr>
                          <w:pStyle w:val="TableParagraph"/>
                          <w:numPr>
                            <w:ilvl w:val="1"/>
                            <w:numId w:val="5"/>
                          </w:numPr>
                          <w:tabs>
                            <w:tab w:pos="668" w:val="left" w:leader="none"/>
                          </w:tabs>
                          <w:spacing w:line="273" w:lineRule="auto" w:before="38" w:after="0"/>
                          <w:ind w:left="667" w:right="453" w:hanging="525"/>
                          <w:jc w:val="left"/>
                          <w:rPr>
                            <w:sz w:val="21"/>
                          </w:rPr>
                        </w:pPr>
                        <w:r>
                          <w:rPr>
                            <w:spacing w:val="-3"/>
                            <w:sz w:val="21"/>
                          </w:rPr>
                          <w:t>美国纽约心脏病学会心功能状态分级</w:t>
                        </w:r>
                      </w:p>
                      <w:p>
                        <w:pPr>
                          <w:pStyle w:val="TableParagraph"/>
                          <w:numPr>
                            <w:ilvl w:val="1"/>
                            <w:numId w:val="5"/>
                          </w:numPr>
                          <w:tabs>
                            <w:tab w:pos="668" w:val="left" w:leader="none"/>
                          </w:tabs>
                          <w:spacing w:line="240" w:lineRule="auto" w:before="8" w:after="0"/>
                          <w:ind w:left="667" w:right="0" w:hanging="525"/>
                          <w:jc w:val="left"/>
                          <w:rPr>
                            <w:sz w:val="21"/>
                          </w:rPr>
                        </w:pPr>
                        <w:r>
                          <w:rPr>
                            <w:spacing w:val="-3"/>
                            <w:sz w:val="21"/>
                          </w:rPr>
                          <w:t>肢体机能完全丧失</w:t>
                        </w:r>
                      </w:p>
                      <w:p>
                        <w:pPr>
                          <w:pStyle w:val="TableParagraph"/>
                          <w:numPr>
                            <w:ilvl w:val="1"/>
                            <w:numId w:val="5"/>
                          </w:numPr>
                          <w:tabs>
                            <w:tab w:pos="668" w:val="left" w:leader="none"/>
                          </w:tabs>
                          <w:spacing w:line="273" w:lineRule="auto" w:before="37" w:after="0"/>
                          <w:ind w:left="667" w:right="453" w:hanging="525"/>
                          <w:jc w:val="left"/>
                          <w:rPr>
                            <w:sz w:val="21"/>
                          </w:rPr>
                        </w:pPr>
                        <w:r>
                          <w:rPr>
                            <w:spacing w:val="-3"/>
                            <w:sz w:val="21"/>
                          </w:rPr>
                          <w:t>语言能力或者咀嚼吞咽能力完全丧失</w:t>
                        </w:r>
                      </w:p>
                      <w:p>
                        <w:pPr>
                          <w:pStyle w:val="TableParagraph"/>
                          <w:numPr>
                            <w:ilvl w:val="1"/>
                            <w:numId w:val="5"/>
                          </w:numPr>
                          <w:tabs>
                            <w:tab w:pos="668" w:val="left" w:leader="none"/>
                          </w:tabs>
                          <w:spacing w:line="240" w:lineRule="auto" w:before="7" w:after="0"/>
                          <w:ind w:left="667" w:right="0" w:hanging="525"/>
                          <w:jc w:val="left"/>
                          <w:rPr>
                            <w:sz w:val="21"/>
                          </w:rPr>
                        </w:pPr>
                        <w:r>
                          <w:rPr>
                            <w:spacing w:val="-3"/>
                            <w:sz w:val="21"/>
                          </w:rPr>
                          <w:t>六项基本日常</w:t>
                        </w:r>
                        <w:r>
                          <w:rPr>
                            <w:sz w:val="21"/>
                          </w:rPr>
                          <w:t>Th</w:t>
                        </w:r>
                        <w:r>
                          <w:rPr>
                            <w:spacing w:val="-2"/>
                            <w:sz w:val="21"/>
                          </w:rPr>
                          <w:t>活活动</w:t>
                        </w:r>
                      </w:p>
                    </w:tc>
                  </w:tr>
                </w:tbl>
                <w:p>
                  <w:pPr>
                    <w:pStyle w:val="BodyText"/>
                  </w:pPr>
                </w:p>
              </w:txbxContent>
            </v:textbox>
            <w10:wrap type="none"/>
          </v:shape>
        </w:pict>
      </w:r>
      <w:r>
        <w:rPr>
          <w:rFonts w:ascii="Arial" w:hAnsi="Arial" w:eastAsia="Arial"/>
          <w:b/>
          <w:w w:val="110"/>
          <w:position w:val="-11"/>
          <w:sz w:val="40"/>
        </w:rPr>
        <w:t></w:t>
        <w:tab/>
      </w:r>
      <w:r>
        <w:rPr>
          <w:rFonts w:ascii="微软雅黑" w:hAnsi="微软雅黑" w:eastAsia="微软雅黑" w:hint="eastAsia"/>
          <w:b/>
          <w:sz w:val="21"/>
        </w:rPr>
        <w:t>条款目录</w:t>
      </w:r>
    </w:p>
    <w:p>
      <w:pPr>
        <w:spacing w:after="0" w:line="506" w:lineRule="exact"/>
        <w:jc w:val="left"/>
        <w:rPr>
          <w:rFonts w:ascii="微软雅黑" w:hAnsi="微软雅黑" w:eastAsia="微软雅黑" w:hint="eastAsia"/>
          <w:sz w:val="21"/>
        </w:rPr>
        <w:sectPr>
          <w:type w:val="continuous"/>
          <w:pgSz w:w="11910" w:h="16840"/>
          <w:pgMar w:top="1200" w:bottom="280" w:left="880" w:right="640"/>
        </w:sectPr>
      </w:pPr>
    </w:p>
    <w:p>
      <w:pPr>
        <w:spacing w:line="410" w:lineRule="exact" w:before="0"/>
        <w:ind w:left="3546" w:right="3987" w:firstLine="0"/>
        <w:jc w:val="center"/>
        <w:rPr>
          <w:sz w:val="32"/>
        </w:rPr>
      </w:pPr>
      <w:r>
        <w:rPr>
          <w:w w:val="95"/>
          <w:sz w:val="32"/>
        </w:rPr>
        <w:t>信美人寿相互保险社</w:t>
      </w:r>
    </w:p>
    <w:p>
      <w:pPr>
        <w:spacing w:before="205"/>
        <w:ind w:left="1769" w:right="0" w:firstLine="0"/>
        <w:jc w:val="left"/>
        <w:rPr>
          <w:sz w:val="32"/>
        </w:rPr>
      </w:pPr>
      <w:r>
        <w:rPr>
          <w:spacing w:val="-22"/>
          <w:sz w:val="32"/>
        </w:rPr>
        <w:t>信美相互 </w:t>
      </w:r>
      <w:r>
        <w:rPr>
          <w:w w:val="85"/>
          <w:sz w:val="32"/>
        </w:rPr>
        <w:t>i</w:t>
      </w:r>
      <w:r>
        <w:rPr>
          <w:spacing w:val="-85"/>
          <w:w w:val="85"/>
          <w:sz w:val="32"/>
        </w:rPr>
        <w:t> </w:t>
      </w:r>
      <w:r>
        <w:rPr>
          <w:sz w:val="32"/>
        </w:rPr>
        <w:t>健康基础保短期团体疾病保险条款</w:t>
      </w:r>
    </w:p>
    <w:p>
      <w:pPr>
        <w:pStyle w:val="BodyText"/>
        <w:spacing w:before="8"/>
        <w:rPr>
          <w:sz w:val="34"/>
        </w:rPr>
      </w:pPr>
    </w:p>
    <w:p>
      <w:pPr>
        <w:pStyle w:val="BodyText"/>
        <w:spacing w:line="273" w:lineRule="auto"/>
        <w:ind w:left="112" w:right="59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健康基</w:t>
      </w:r>
      <w:r>
        <w:rPr>
          <w:spacing w:val="-11"/>
        </w:rPr>
        <w:t>础保短期团体疾病保险合同”。</w:t>
      </w:r>
    </w:p>
    <w:p>
      <w:pPr>
        <w:pStyle w:val="BodyText"/>
        <w:rPr>
          <w:sz w:val="20"/>
        </w:rPr>
      </w:pPr>
    </w:p>
    <w:p>
      <w:pPr>
        <w:pStyle w:val="BodyText"/>
        <w:spacing w:before="3"/>
        <w:rPr>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837"/>
        <w:gridCol w:w="7578"/>
      </w:tblGrid>
      <w:tr>
        <w:trPr>
          <w:trHeight w:val="726" w:hRule="atLeast"/>
        </w:trPr>
        <w:tc>
          <w:tcPr>
            <w:tcW w:w="679" w:type="dxa"/>
            <w:tcBorders>
              <w:bottom w:val="single" w:sz="8" w:space="0" w:color="000000"/>
            </w:tcBorders>
          </w:tcPr>
          <w:p>
            <w:pPr>
              <w:pStyle w:val="TableParagraph"/>
              <w:spacing w:line="504" w:lineRule="exact" w:before="0"/>
              <w:ind w:left="108"/>
              <w:rPr>
                <w:rFonts w:ascii="微软雅黑"/>
                <w:b/>
                <w:sz w:val="36"/>
              </w:rPr>
            </w:pPr>
            <w:r>
              <w:rPr>
                <w:rFonts w:ascii="微软雅黑"/>
                <w:b/>
                <w:w w:val="95"/>
                <w:sz w:val="36"/>
              </w:rPr>
              <w:t>1.</w:t>
            </w:r>
          </w:p>
        </w:tc>
        <w:tc>
          <w:tcPr>
            <w:tcW w:w="9415" w:type="dxa"/>
            <w:gridSpan w:val="2"/>
            <w:tcBorders>
              <w:bottom w:val="single" w:sz="8" w:space="0" w:color="000000"/>
            </w:tcBorders>
          </w:tcPr>
          <w:p>
            <w:pPr>
              <w:pStyle w:val="TableParagraph"/>
              <w:spacing w:line="274" w:lineRule="exact" w:before="0"/>
              <w:ind w:left="245"/>
              <w:rPr>
                <w:rFonts w:ascii="微软雅黑" w:eastAsia="微软雅黑" w:hint="eastAsia"/>
                <w:b/>
                <w:sz w:val="24"/>
              </w:rPr>
            </w:pPr>
            <w:r>
              <w:rPr>
                <w:rFonts w:ascii="微软雅黑" w:eastAsia="微软雅黑" w:hint="eastAsia"/>
                <w:b/>
                <w:sz w:val="24"/>
              </w:rPr>
              <w:t>我们保什么</w:t>
            </w:r>
          </w:p>
          <w:p>
            <w:pPr>
              <w:pStyle w:val="TableParagraph"/>
              <w:spacing w:before="21"/>
              <w:ind w:left="245"/>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79" w:type="dxa"/>
            <w:tcBorders>
              <w:top w:val="single" w:sz="8" w:space="0" w:color="000000"/>
            </w:tcBorders>
          </w:tcPr>
          <w:p>
            <w:pPr>
              <w:pStyle w:val="TableParagraph"/>
              <w:spacing w:before="176"/>
              <w:ind w:left="108"/>
              <w:rPr>
                <w:rFonts w:ascii="微软雅黑"/>
                <w:b/>
                <w:sz w:val="21"/>
              </w:rPr>
            </w:pPr>
            <w:r>
              <w:rPr>
                <w:rFonts w:ascii="微软雅黑"/>
                <w:b/>
                <w:w w:val="95"/>
                <w:sz w:val="21"/>
              </w:rPr>
              <w:t>1.1</w:t>
            </w:r>
          </w:p>
        </w:tc>
        <w:tc>
          <w:tcPr>
            <w:tcW w:w="1837" w:type="dxa"/>
            <w:tcBorders>
              <w:top w:val="single" w:sz="8" w:space="0" w:color="000000"/>
            </w:tcBorders>
          </w:tcPr>
          <w:p>
            <w:pPr>
              <w:pStyle w:val="TableParagraph"/>
              <w:spacing w:before="176"/>
              <w:ind w:left="245"/>
              <w:rPr>
                <w:rFonts w:ascii="微软雅黑" w:eastAsia="微软雅黑" w:hint="eastAsia"/>
                <w:b/>
                <w:sz w:val="21"/>
              </w:rPr>
            </w:pPr>
            <w:r>
              <w:rPr>
                <w:rFonts w:ascii="微软雅黑" w:eastAsia="微软雅黑" w:hint="eastAsia"/>
                <w:b/>
                <w:sz w:val="21"/>
              </w:rPr>
              <w:t>基本保险金额</w:t>
            </w:r>
          </w:p>
        </w:tc>
        <w:tc>
          <w:tcPr>
            <w:tcW w:w="7578" w:type="dxa"/>
            <w:tcBorders>
              <w:top w:val="single" w:sz="8" w:space="0" w:color="000000"/>
            </w:tcBorders>
          </w:tcPr>
          <w:p>
            <w:pPr>
              <w:pStyle w:val="TableParagraph"/>
              <w:spacing w:before="3"/>
              <w:ind w:left="0"/>
              <w:rPr>
                <w:sz w:val="18"/>
              </w:rPr>
            </w:pPr>
          </w:p>
          <w:p>
            <w:pPr>
              <w:pStyle w:val="TableParagraph"/>
              <w:spacing w:line="280" w:lineRule="auto" w:before="0"/>
              <w:ind w:left="110" w:right="293"/>
              <w:rPr>
                <w:sz w:val="21"/>
              </w:rPr>
            </w:pPr>
            <w:r>
              <w:rPr>
                <w:sz w:val="21"/>
              </w:rPr>
              <w:t>本合同项下每一被保险人的基本保险金额由投保人在投保时与我们约定，并在保险单或者保险凭证上载明。</w:t>
            </w:r>
          </w:p>
        </w:tc>
      </w:tr>
      <w:tr>
        <w:trPr>
          <w:trHeight w:val="1683" w:hRule="atLeast"/>
        </w:trPr>
        <w:tc>
          <w:tcPr>
            <w:tcW w:w="679" w:type="dxa"/>
          </w:tcPr>
          <w:p>
            <w:pPr>
              <w:pStyle w:val="TableParagraph"/>
              <w:spacing w:before="41"/>
              <w:ind w:left="108"/>
              <w:rPr>
                <w:rFonts w:ascii="微软雅黑"/>
                <w:b/>
                <w:sz w:val="21"/>
              </w:rPr>
            </w:pPr>
            <w:r>
              <w:rPr>
                <w:rFonts w:ascii="微软雅黑"/>
                <w:b/>
                <w:sz w:val="21"/>
              </w:rPr>
              <w:t>1.2</w:t>
            </w:r>
          </w:p>
        </w:tc>
        <w:tc>
          <w:tcPr>
            <w:tcW w:w="1837" w:type="dxa"/>
          </w:tcPr>
          <w:p>
            <w:pPr>
              <w:pStyle w:val="TableParagraph"/>
              <w:spacing w:before="41"/>
              <w:ind w:left="245"/>
              <w:rPr>
                <w:rFonts w:ascii="微软雅黑" w:eastAsia="微软雅黑" w:hint="eastAsia"/>
                <w:b/>
                <w:sz w:val="21"/>
              </w:rPr>
            </w:pPr>
            <w:r>
              <w:rPr>
                <w:rFonts w:ascii="微软雅黑" w:eastAsia="微软雅黑" w:hint="eastAsia"/>
                <w:b/>
                <w:sz w:val="21"/>
              </w:rPr>
              <w:t>保险期间</w:t>
            </w:r>
          </w:p>
        </w:tc>
        <w:tc>
          <w:tcPr>
            <w:tcW w:w="7578" w:type="dxa"/>
          </w:tcPr>
          <w:p>
            <w:pPr>
              <w:pStyle w:val="TableParagraph"/>
              <w:spacing w:before="103"/>
              <w:ind w:left="110"/>
              <w:rPr>
                <w:sz w:val="21"/>
              </w:rPr>
            </w:pPr>
            <w:r>
              <w:rPr>
                <w:sz w:val="21"/>
              </w:rPr>
              <w:t>本合同的保险期间为 1 年，自本合同Th效日零时开始。</w:t>
            </w:r>
          </w:p>
          <w:p>
            <w:pPr>
              <w:pStyle w:val="TableParagraph"/>
              <w:spacing w:line="280" w:lineRule="auto"/>
              <w:ind w:left="110" w:right="294"/>
              <w:rPr>
                <w:sz w:val="21"/>
              </w:rPr>
            </w:pPr>
            <w:r>
              <w:rPr>
                <w:sz w:val="21"/>
              </w:rPr>
              <w:t>被保险人的保险期间是指我们对该被保险人承担保险责任的期间，由投保人与我们约定。自其保险责任开始日零时起，到其保险期间终止日 24 时止。</w:t>
            </w:r>
          </w:p>
          <w:p>
            <w:pPr>
              <w:pStyle w:val="TableParagraph"/>
              <w:spacing w:before="85"/>
              <w:ind w:left="110"/>
              <w:rPr>
                <w:sz w:val="21"/>
              </w:rPr>
            </w:pPr>
            <w:r>
              <w:rPr>
                <w:sz w:val="21"/>
              </w:rPr>
              <w:t>每个被保险人的保险期间、保险责任开始日在保险单或者保险凭证上载明。</w:t>
            </w:r>
          </w:p>
        </w:tc>
      </w:tr>
      <w:tr>
        <w:trPr>
          <w:trHeight w:val="2246" w:hRule="atLeast"/>
        </w:trPr>
        <w:tc>
          <w:tcPr>
            <w:tcW w:w="679" w:type="dxa"/>
          </w:tcPr>
          <w:p>
            <w:pPr>
              <w:pStyle w:val="TableParagraph"/>
              <w:spacing w:before="42"/>
              <w:ind w:left="108"/>
              <w:rPr>
                <w:rFonts w:ascii="微软雅黑"/>
                <w:b/>
                <w:sz w:val="21"/>
              </w:rPr>
            </w:pPr>
            <w:r>
              <w:rPr>
                <w:rFonts w:ascii="微软雅黑"/>
                <w:b/>
                <w:sz w:val="21"/>
              </w:rPr>
              <w:t>1.3</w:t>
            </w:r>
          </w:p>
        </w:tc>
        <w:tc>
          <w:tcPr>
            <w:tcW w:w="1837" w:type="dxa"/>
          </w:tcPr>
          <w:p>
            <w:pPr>
              <w:pStyle w:val="TableParagraph"/>
              <w:spacing w:before="42"/>
              <w:ind w:left="245"/>
              <w:rPr>
                <w:rFonts w:ascii="微软雅黑" w:eastAsia="微软雅黑" w:hint="eastAsia"/>
                <w:b/>
                <w:sz w:val="21"/>
              </w:rPr>
            </w:pPr>
            <w:r>
              <w:rPr>
                <w:rFonts w:ascii="微软雅黑" w:eastAsia="微软雅黑" w:hint="eastAsia"/>
                <w:b/>
                <w:sz w:val="21"/>
              </w:rPr>
              <w:t>等待期</w:t>
            </w:r>
          </w:p>
        </w:tc>
        <w:tc>
          <w:tcPr>
            <w:tcW w:w="7578" w:type="dxa"/>
          </w:tcPr>
          <w:p>
            <w:pPr>
              <w:pStyle w:val="TableParagraph"/>
              <w:spacing w:line="225" w:lineRule="auto" w:before="120"/>
              <w:ind w:left="110" w:right="275"/>
              <w:rPr>
                <w:sz w:val="21"/>
              </w:rPr>
            </w:pPr>
            <w:r>
              <w:rPr>
                <w:spacing w:val="-4"/>
                <w:sz w:val="21"/>
              </w:rPr>
              <w:t>投保人为被保险人首次投保本合同或者非连续投保本合同时，自其保险责任开</w:t>
            </w:r>
            <w:r>
              <w:rPr>
                <w:spacing w:val="-9"/>
                <w:sz w:val="21"/>
              </w:rPr>
              <w:t>始之日起 </w:t>
            </w:r>
            <w:r>
              <w:rPr>
                <w:sz w:val="21"/>
              </w:rPr>
              <w:t>30</w:t>
            </w:r>
            <w:r>
              <w:rPr>
                <w:spacing w:val="-15"/>
                <w:sz w:val="21"/>
              </w:rPr>
              <w:t> 日</w:t>
            </w:r>
            <w:r>
              <w:rPr>
                <w:sz w:val="21"/>
              </w:rPr>
              <w:t>（</w:t>
            </w:r>
            <w:r>
              <w:rPr>
                <w:spacing w:val="-11"/>
                <w:sz w:val="21"/>
              </w:rPr>
              <w:t>含第 </w:t>
            </w:r>
            <w:r>
              <w:rPr>
                <w:sz w:val="21"/>
              </w:rPr>
              <w:t>30</w:t>
            </w:r>
            <w:r>
              <w:rPr>
                <w:spacing w:val="-15"/>
                <w:sz w:val="21"/>
              </w:rPr>
              <w:t> 日</w:t>
            </w:r>
            <w:r>
              <w:rPr>
                <w:sz w:val="21"/>
              </w:rPr>
              <w:t>）</w:t>
            </w:r>
            <w:r>
              <w:rPr>
                <w:spacing w:val="-3"/>
                <w:sz w:val="21"/>
              </w:rPr>
              <w:t>为等待期。等待期内被保险人经</w:t>
            </w:r>
            <w:r>
              <w:rPr>
                <w:rFonts w:ascii="Microsoft JhengHei" w:eastAsia="Microsoft JhengHei" w:hint="eastAsia"/>
                <w:b/>
                <w:sz w:val="21"/>
              </w:rPr>
              <w:t>医院</w:t>
            </w:r>
            <w:r>
              <w:rPr>
                <w:spacing w:val="-3"/>
                <w:sz w:val="21"/>
              </w:rPr>
              <w:t>（</w:t>
            </w:r>
            <w:r>
              <w:rPr>
                <w:spacing w:val="-15"/>
                <w:sz w:val="21"/>
              </w:rPr>
              <w:t>见 </w:t>
            </w:r>
            <w:r>
              <w:rPr>
                <w:sz w:val="21"/>
              </w:rPr>
              <w:t>8.1）</w:t>
            </w:r>
          </w:p>
          <w:p>
            <w:pPr>
              <w:pStyle w:val="TableParagraph"/>
              <w:spacing w:line="320" w:lineRule="exact" w:before="9"/>
              <w:ind w:left="110" w:right="272"/>
              <w:rPr>
                <w:sz w:val="21"/>
              </w:rPr>
            </w:pPr>
            <w:r>
              <w:rPr>
                <w:rFonts w:ascii="Microsoft JhengHei" w:eastAsia="Microsoft JhengHei" w:hint="eastAsia"/>
                <w:b/>
                <w:w w:val="100"/>
                <w:sz w:val="21"/>
              </w:rPr>
              <w:t>初次确诊</w:t>
            </w:r>
            <w:r>
              <w:rPr>
                <w:spacing w:val="-3"/>
                <w:w w:val="100"/>
                <w:sz w:val="21"/>
              </w:rPr>
              <w:t>（</w:t>
            </w:r>
            <w:r>
              <w:rPr>
                <w:w w:val="100"/>
                <w:sz w:val="21"/>
              </w:rPr>
              <w:t>见</w:t>
            </w:r>
            <w:r>
              <w:rPr>
                <w:sz w:val="21"/>
              </w:rPr>
              <w:t> </w:t>
            </w:r>
            <w:r>
              <w:rPr>
                <w:spacing w:val="-4"/>
                <w:w w:val="135"/>
                <w:sz w:val="21"/>
              </w:rPr>
              <w:t>8</w:t>
            </w:r>
            <w:r>
              <w:rPr>
                <w:w w:val="67"/>
                <w:sz w:val="21"/>
              </w:rPr>
              <w:t>.</w:t>
            </w:r>
            <w:r>
              <w:rPr>
                <w:spacing w:val="-1"/>
                <w:w w:val="131"/>
                <w:sz w:val="21"/>
              </w:rPr>
              <w:t>2</w:t>
            </w:r>
            <w:r>
              <w:rPr>
                <w:w w:val="100"/>
                <w:sz w:val="21"/>
              </w:rPr>
              <w:t>）</w:t>
            </w:r>
            <w:r>
              <w:rPr>
                <w:spacing w:val="-3"/>
                <w:w w:val="100"/>
                <w:sz w:val="21"/>
              </w:rPr>
              <w:t>非因</w:t>
            </w:r>
            <w:r>
              <w:rPr>
                <w:rFonts w:ascii="Microsoft JhengHei" w:eastAsia="Microsoft JhengHei" w:hint="eastAsia"/>
                <w:b/>
                <w:w w:val="100"/>
                <w:sz w:val="21"/>
              </w:rPr>
              <w:t>意外伤害</w:t>
            </w:r>
            <w:r>
              <w:rPr>
                <w:spacing w:val="-3"/>
                <w:w w:val="100"/>
                <w:sz w:val="21"/>
              </w:rPr>
              <w:t>（</w:t>
            </w:r>
            <w:r>
              <w:rPr>
                <w:w w:val="100"/>
                <w:sz w:val="21"/>
              </w:rPr>
              <w:t>见</w:t>
            </w:r>
            <w:r>
              <w:rPr>
                <w:sz w:val="21"/>
              </w:rPr>
              <w:t> </w:t>
            </w:r>
            <w:r>
              <w:rPr>
                <w:spacing w:val="-4"/>
                <w:w w:val="135"/>
                <w:sz w:val="21"/>
              </w:rPr>
              <w:t>8</w:t>
            </w:r>
            <w:r>
              <w:rPr>
                <w:w w:val="67"/>
                <w:sz w:val="21"/>
              </w:rPr>
              <w:t>.</w:t>
            </w:r>
            <w:r>
              <w:rPr>
                <w:spacing w:val="-1"/>
                <w:w w:val="132"/>
                <w:sz w:val="21"/>
              </w:rPr>
              <w:t>3</w:t>
            </w:r>
            <w:r>
              <w:rPr>
                <w:spacing w:val="-3"/>
                <w:w w:val="100"/>
                <w:sz w:val="21"/>
              </w:rPr>
              <w:t>）导致患有本合同所定义的重症疾</w:t>
            </w:r>
            <w:r>
              <w:rPr>
                <w:spacing w:val="-5"/>
                <w:sz w:val="21"/>
              </w:rPr>
              <w:t>病，我们不承担给付重症疾病保险金的责任，但向投保人无息退还该被保险人</w:t>
            </w:r>
          </w:p>
          <w:p>
            <w:pPr>
              <w:pStyle w:val="TableParagraph"/>
              <w:spacing w:before="12"/>
              <w:ind w:left="110"/>
              <w:rPr>
                <w:sz w:val="21"/>
              </w:rPr>
            </w:pPr>
            <w:r>
              <w:rPr>
                <w:sz w:val="21"/>
              </w:rPr>
              <w:t>对应的已交纳的保险费，对该被保险人的保险责任终止。</w:t>
            </w:r>
          </w:p>
          <w:p>
            <w:pPr>
              <w:pStyle w:val="TableParagraph"/>
              <w:spacing w:before="121"/>
              <w:ind w:left="110"/>
              <w:rPr>
                <w:sz w:val="21"/>
              </w:rPr>
            </w:pPr>
            <w:r>
              <w:rPr>
                <w:sz w:val="21"/>
              </w:rPr>
              <w:t>投保人为被保险人不间断连续投保本合同的续保合同无等待期。</w:t>
            </w:r>
          </w:p>
        </w:tc>
      </w:tr>
      <w:tr>
        <w:trPr>
          <w:trHeight w:val="567" w:hRule="atLeast"/>
        </w:trPr>
        <w:tc>
          <w:tcPr>
            <w:tcW w:w="679" w:type="dxa"/>
          </w:tcPr>
          <w:p>
            <w:pPr>
              <w:pStyle w:val="TableParagraph"/>
              <w:spacing w:before="42"/>
              <w:ind w:left="108"/>
              <w:rPr>
                <w:rFonts w:ascii="微软雅黑"/>
                <w:b/>
                <w:sz w:val="21"/>
              </w:rPr>
            </w:pPr>
            <w:r>
              <w:rPr>
                <w:rFonts w:ascii="微软雅黑"/>
                <w:b/>
                <w:sz w:val="21"/>
              </w:rPr>
              <w:t>1.4</w:t>
            </w:r>
          </w:p>
        </w:tc>
        <w:tc>
          <w:tcPr>
            <w:tcW w:w="1837" w:type="dxa"/>
          </w:tcPr>
          <w:p>
            <w:pPr>
              <w:pStyle w:val="TableParagraph"/>
              <w:spacing w:before="42"/>
              <w:ind w:left="245"/>
              <w:rPr>
                <w:rFonts w:ascii="微软雅黑" w:eastAsia="微软雅黑" w:hint="eastAsia"/>
                <w:b/>
                <w:sz w:val="21"/>
              </w:rPr>
            </w:pPr>
            <w:r>
              <w:rPr>
                <w:rFonts w:ascii="微软雅黑" w:eastAsia="微软雅黑" w:hint="eastAsia"/>
                <w:b/>
                <w:sz w:val="21"/>
              </w:rPr>
              <w:t>保险责任</w:t>
            </w:r>
          </w:p>
        </w:tc>
        <w:tc>
          <w:tcPr>
            <w:tcW w:w="7578" w:type="dxa"/>
          </w:tcPr>
          <w:p>
            <w:pPr>
              <w:pStyle w:val="TableParagraph"/>
              <w:spacing w:before="104"/>
              <w:ind w:left="110"/>
              <w:rPr>
                <w:sz w:val="21"/>
              </w:rPr>
            </w:pPr>
            <w:r>
              <w:rPr>
                <w:sz w:val="21"/>
              </w:rPr>
              <w:t>在被保险人的保险期间内，我们承担下列保险责任：</w:t>
            </w:r>
          </w:p>
        </w:tc>
      </w:tr>
      <w:tr>
        <w:trPr>
          <w:trHeight w:val="2261" w:hRule="atLeast"/>
        </w:trPr>
        <w:tc>
          <w:tcPr>
            <w:tcW w:w="679" w:type="dxa"/>
          </w:tcPr>
          <w:p>
            <w:pPr>
              <w:pStyle w:val="TableParagraph"/>
              <w:spacing w:before="0"/>
              <w:ind w:left="0"/>
              <w:rPr>
                <w:rFonts w:ascii="Times New Roman"/>
                <w:sz w:val="20"/>
              </w:rPr>
            </w:pPr>
          </w:p>
        </w:tc>
        <w:tc>
          <w:tcPr>
            <w:tcW w:w="1837" w:type="dxa"/>
          </w:tcPr>
          <w:p>
            <w:pPr>
              <w:pStyle w:val="TableParagraph"/>
              <w:spacing w:before="40"/>
              <w:ind w:left="245"/>
              <w:rPr>
                <w:rFonts w:ascii="微软雅黑" w:eastAsia="微软雅黑" w:hint="eastAsia"/>
                <w:b/>
                <w:sz w:val="21"/>
              </w:rPr>
            </w:pPr>
            <w:r>
              <w:rPr>
                <w:rFonts w:ascii="微软雅黑" w:eastAsia="微软雅黑" w:hint="eastAsia"/>
                <w:b/>
                <w:sz w:val="21"/>
              </w:rPr>
              <w:t>重症疾病保险金</w:t>
            </w:r>
          </w:p>
        </w:tc>
        <w:tc>
          <w:tcPr>
            <w:tcW w:w="7578" w:type="dxa"/>
          </w:tcPr>
          <w:p>
            <w:pPr>
              <w:pStyle w:val="TableParagraph"/>
              <w:spacing w:line="280" w:lineRule="auto" w:before="103"/>
              <w:ind w:left="110" w:right="319"/>
              <w:jc w:val="both"/>
              <w:rPr>
                <w:sz w:val="21"/>
              </w:rPr>
            </w:pPr>
            <w:r>
              <w:rPr>
                <w:sz w:val="21"/>
              </w:rPr>
              <w:t>被保险人经医院初次确诊因意外伤害导致患有本合同所定义的重症疾病，或者于等待期后经医院初次确诊非因意外伤害导致患有本合同所定义的重症疾病， 我们按该被保险人对应的基本保险金额给付重症疾病保险金，对该被保险人的保险责任终止。</w:t>
            </w:r>
          </w:p>
          <w:p>
            <w:pPr>
              <w:pStyle w:val="TableParagraph"/>
              <w:spacing w:line="280" w:lineRule="auto" w:before="85"/>
              <w:ind w:left="110" w:right="343"/>
              <w:jc w:val="both"/>
              <w:rPr>
                <w:sz w:val="21"/>
              </w:rPr>
            </w:pPr>
            <w:r>
              <w:rPr>
                <w:spacing w:val="-3"/>
                <w:w w:val="100"/>
                <w:sz w:val="21"/>
              </w:rPr>
              <w:t>本合同所定义的重症疾病指载明于本合同“</w:t>
            </w:r>
            <w:r>
              <w:rPr>
                <w:w w:val="122"/>
                <w:sz w:val="21"/>
              </w:rPr>
              <w:t>7</w:t>
            </w:r>
            <w:r>
              <w:rPr>
                <w:spacing w:val="-4"/>
                <w:w w:val="58"/>
                <w:sz w:val="21"/>
              </w:rPr>
              <w:t>.</w:t>
            </w:r>
            <w:r>
              <w:rPr>
                <w:w w:val="97"/>
                <w:sz w:val="21"/>
              </w:rPr>
              <w:t>1</w:t>
            </w:r>
            <w:r>
              <w:rPr>
                <w:sz w:val="21"/>
              </w:rPr>
              <w:t> </w:t>
            </w:r>
            <w:r>
              <w:rPr>
                <w:spacing w:val="-3"/>
                <w:w w:val="100"/>
                <w:sz w:val="21"/>
              </w:rPr>
              <w:t>重症疾病”中的疾病、疾病状</w:t>
            </w:r>
            <w:r>
              <w:rPr>
                <w:spacing w:val="-3"/>
                <w:sz w:val="21"/>
              </w:rPr>
              <w:t>态或者手术。</w:t>
            </w:r>
          </w:p>
        </w:tc>
      </w:tr>
      <w:tr>
        <w:trPr>
          <w:trHeight w:val="907" w:hRule="atLeast"/>
        </w:trPr>
        <w:tc>
          <w:tcPr>
            <w:tcW w:w="679" w:type="dxa"/>
            <w:tcBorders>
              <w:bottom w:val="single" w:sz="8" w:space="0" w:color="000000"/>
            </w:tcBorders>
          </w:tcPr>
          <w:p>
            <w:pPr>
              <w:pStyle w:val="TableParagraph"/>
              <w:spacing w:before="60"/>
              <w:ind w:left="108"/>
              <w:rPr>
                <w:rFonts w:ascii="微软雅黑"/>
                <w:b/>
                <w:sz w:val="36"/>
              </w:rPr>
            </w:pPr>
            <w:r>
              <w:rPr>
                <w:rFonts w:ascii="微软雅黑"/>
                <w:b/>
                <w:sz w:val="36"/>
              </w:rPr>
              <w:t>2.</w:t>
            </w:r>
          </w:p>
        </w:tc>
        <w:tc>
          <w:tcPr>
            <w:tcW w:w="9415" w:type="dxa"/>
            <w:gridSpan w:val="2"/>
            <w:tcBorders>
              <w:bottom w:val="single" w:sz="8" w:space="0" w:color="000000"/>
            </w:tcBorders>
          </w:tcPr>
          <w:p>
            <w:pPr>
              <w:pStyle w:val="TableParagraph"/>
              <w:spacing w:before="37"/>
              <w:ind w:left="245"/>
              <w:rPr>
                <w:rFonts w:ascii="微软雅黑" w:eastAsia="微软雅黑" w:hint="eastAsia"/>
                <w:b/>
                <w:sz w:val="24"/>
              </w:rPr>
            </w:pPr>
            <w:r>
              <w:rPr>
                <w:rFonts w:ascii="微软雅黑" w:eastAsia="微软雅黑" w:hint="eastAsia"/>
                <w:b/>
                <w:sz w:val="24"/>
              </w:rPr>
              <w:t>我们不保什么</w:t>
            </w:r>
          </w:p>
          <w:p>
            <w:pPr>
              <w:pStyle w:val="TableParagraph"/>
              <w:spacing w:before="24"/>
              <w:ind w:left="245"/>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2058" w:hRule="atLeast"/>
        </w:trPr>
        <w:tc>
          <w:tcPr>
            <w:tcW w:w="679" w:type="dxa"/>
            <w:tcBorders>
              <w:top w:val="single" w:sz="8" w:space="0" w:color="000000"/>
            </w:tcBorders>
          </w:tcPr>
          <w:p>
            <w:pPr>
              <w:pStyle w:val="TableParagraph"/>
              <w:spacing w:before="176"/>
              <w:ind w:left="108"/>
              <w:rPr>
                <w:rFonts w:ascii="微软雅黑"/>
                <w:b/>
                <w:sz w:val="21"/>
              </w:rPr>
            </w:pPr>
            <w:r>
              <w:rPr>
                <w:rFonts w:ascii="微软雅黑"/>
                <w:b/>
                <w:sz w:val="21"/>
              </w:rPr>
              <w:t>2.1</w:t>
            </w:r>
          </w:p>
        </w:tc>
        <w:tc>
          <w:tcPr>
            <w:tcW w:w="1837" w:type="dxa"/>
            <w:tcBorders>
              <w:top w:val="single" w:sz="8" w:space="0" w:color="000000"/>
            </w:tcBorders>
          </w:tcPr>
          <w:p>
            <w:pPr>
              <w:pStyle w:val="TableParagraph"/>
              <w:spacing w:before="176"/>
              <w:ind w:left="245"/>
              <w:rPr>
                <w:rFonts w:ascii="微软雅黑" w:eastAsia="微软雅黑" w:hint="eastAsia"/>
                <w:b/>
                <w:sz w:val="21"/>
              </w:rPr>
            </w:pPr>
            <w:r>
              <w:rPr>
                <w:rFonts w:ascii="微软雅黑" w:eastAsia="微软雅黑" w:hint="eastAsia"/>
                <w:b/>
                <w:sz w:val="21"/>
              </w:rPr>
              <w:t>责任免除</w:t>
            </w:r>
          </w:p>
        </w:tc>
        <w:tc>
          <w:tcPr>
            <w:tcW w:w="7578" w:type="dxa"/>
            <w:tcBorders>
              <w:top w:val="single" w:sz="8" w:space="0" w:color="000000"/>
            </w:tcBorders>
          </w:tcPr>
          <w:p>
            <w:pPr>
              <w:pStyle w:val="TableParagraph"/>
              <w:spacing w:before="3"/>
              <w:ind w:left="0"/>
              <w:rPr>
                <w:sz w:val="18"/>
              </w:rPr>
            </w:pPr>
          </w:p>
          <w:p>
            <w:pPr>
              <w:pStyle w:val="TableParagraph"/>
              <w:spacing w:line="280" w:lineRule="auto" w:before="0"/>
              <w:ind w:left="110" w:right="299"/>
              <w:rPr>
                <w:sz w:val="21"/>
              </w:rPr>
            </w:pPr>
            <w:r>
              <w:rPr>
                <w:sz w:val="21"/>
              </w:rPr>
              <w:t>因下列第（1）至第（7）项情形之一导致被保险人发Th本合同定义的重症疾病的，我们不承担给付重症疾病保险金的责任：</w:t>
            </w:r>
          </w:p>
          <w:p>
            <w:pPr>
              <w:pStyle w:val="TableParagraph"/>
              <w:numPr>
                <w:ilvl w:val="0"/>
                <w:numId w:val="6"/>
              </w:numPr>
              <w:tabs>
                <w:tab w:pos="711" w:val="left" w:leader="none"/>
              </w:tabs>
              <w:spacing w:line="240" w:lineRule="auto" w:before="85" w:after="0"/>
              <w:ind w:left="710" w:right="0" w:hanging="600"/>
              <w:jc w:val="left"/>
              <w:rPr>
                <w:sz w:val="21"/>
              </w:rPr>
            </w:pPr>
            <w:r>
              <w:rPr>
                <w:spacing w:val="-3"/>
                <w:sz w:val="21"/>
              </w:rPr>
              <w:t>投保人对被保险人的故意杀害、故意伤害；</w:t>
            </w:r>
          </w:p>
          <w:p>
            <w:pPr>
              <w:pStyle w:val="TableParagraph"/>
              <w:numPr>
                <w:ilvl w:val="0"/>
                <w:numId w:val="6"/>
              </w:numPr>
              <w:tabs>
                <w:tab w:pos="711" w:val="left" w:leader="none"/>
              </w:tabs>
              <w:spacing w:line="240" w:lineRule="auto" w:before="123" w:after="0"/>
              <w:ind w:left="710" w:right="0" w:hanging="600"/>
              <w:jc w:val="left"/>
              <w:rPr>
                <w:sz w:val="21"/>
              </w:rPr>
            </w:pPr>
            <w:r>
              <w:rPr>
                <w:spacing w:val="-3"/>
                <w:sz w:val="21"/>
              </w:rPr>
              <w:t>被保险人故意犯罪或者抗拒依法采取的刑事强制措施；</w:t>
            </w:r>
          </w:p>
          <w:p>
            <w:pPr>
              <w:pStyle w:val="TableParagraph"/>
              <w:numPr>
                <w:ilvl w:val="0"/>
                <w:numId w:val="6"/>
              </w:numPr>
              <w:tabs>
                <w:tab w:pos="711" w:val="left" w:leader="none"/>
              </w:tabs>
              <w:spacing w:line="351" w:lineRule="exact" w:before="56" w:after="0"/>
              <w:ind w:left="710" w:right="0" w:hanging="600"/>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2"/>
                <w:w w:val="135"/>
                <w:sz w:val="21"/>
              </w:rPr>
              <w:t>8</w:t>
            </w:r>
            <w:r>
              <w:rPr>
                <w:spacing w:val="-2"/>
                <w:w w:val="101"/>
                <w:sz w:val="21"/>
              </w:rPr>
              <w:t>.</w:t>
            </w:r>
            <w:r>
              <w:rPr>
                <w:spacing w:val="-1"/>
                <w:w w:val="101"/>
                <w:sz w:val="21"/>
              </w:rPr>
              <w:t>4</w:t>
            </w:r>
            <w:r>
              <w:rPr>
                <w:spacing w:val="-106"/>
                <w:w w:val="100"/>
                <w:sz w:val="21"/>
              </w:rPr>
              <w:t>）；</w:t>
            </w:r>
          </w:p>
        </w:tc>
      </w:tr>
    </w:tbl>
    <w:p>
      <w:pPr>
        <w:spacing w:after="0" w:line="351" w:lineRule="exact"/>
        <w:jc w:val="left"/>
        <w:rPr>
          <w:sz w:val="21"/>
        </w:rPr>
        <w:sectPr>
          <w:pgSz w:w="11910" w:h="16840"/>
          <w:pgMar w:top="11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729"/>
        <w:gridCol w:w="7683"/>
      </w:tblGrid>
      <w:tr>
        <w:trPr>
          <w:trHeight w:val="4259" w:hRule="atLeast"/>
        </w:trPr>
        <w:tc>
          <w:tcPr>
            <w:tcW w:w="680" w:type="dxa"/>
          </w:tcPr>
          <w:p>
            <w:pPr>
              <w:pStyle w:val="TableParagraph"/>
              <w:spacing w:before="0"/>
              <w:ind w:left="0"/>
              <w:rPr>
                <w:rFonts w:ascii="Times New Roman"/>
                <w:sz w:val="20"/>
              </w:rPr>
            </w:pPr>
          </w:p>
        </w:tc>
        <w:tc>
          <w:tcPr>
            <w:tcW w:w="1729" w:type="dxa"/>
          </w:tcPr>
          <w:p>
            <w:pPr>
              <w:pStyle w:val="TableParagraph"/>
              <w:spacing w:before="0"/>
              <w:ind w:left="0"/>
              <w:rPr>
                <w:rFonts w:ascii="Times New Roman"/>
                <w:sz w:val="20"/>
              </w:rPr>
            </w:pPr>
          </w:p>
        </w:tc>
        <w:tc>
          <w:tcPr>
            <w:tcW w:w="7683" w:type="dxa"/>
          </w:tcPr>
          <w:p>
            <w:pPr>
              <w:pStyle w:val="TableParagraph"/>
              <w:numPr>
                <w:ilvl w:val="0"/>
                <w:numId w:val="7"/>
              </w:numPr>
              <w:tabs>
                <w:tab w:pos="818" w:val="left" w:leader="none"/>
              </w:tabs>
              <w:spacing w:line="220" w:lineRule="exact" w:before="0" w:after="0"/>
              <w:ind w:left="841" w:right="0" w:hanging="624"/>
              <w:jc w:val="left"/>
              <w:rPr>
                <w:sz w:val="21"/>
              </w:rPr>
            </w:pPr>
            <w:r>
              <w:rPr>
                <w:spacing w:val="-2"/>
                <w:w w:val="100"/>
                <w:sz w:val="21"/>
              </w:rPr>
              <w:t>被保险人</w:t>
            </w:r>
            <w:r>
              <w:rPr>
                <w:rFonts w:ascii="Microsoft JhengHei" w:eastAsia="Microsoft JhengHei" w:hint="eastAsia"/>
                <w:b/>
                <w:w w:val="100"/>
                <w:sz w:val="21"/>
              </w:rPr>
              <w:t>酒后驾驶</w:t>
            </w:r>
            <w:r>
              <w:rPr>
                <w:w w:val="100"/>
                <w:sz w:val="21"/>
              </w:rPr>
              <w:t>（见</w:t>
            </w:r>
            <w:r>
              <w:rPr>
                <w:spacing w:val="-38"/>
                <w:sz w:val="21"/>
              </w:rPr>
              <w:t> </w:t>
            </w:r>
            <w:r>
              <w:rPr>
                <w:spacing w:val="-4"/>
                <w:w w:val="135"/>
                <w:sz w:val="21"/>
              </w:rPr>
              <w:t>8</w:t>
            </w:r>
            <w:r>
              <w:rPr>
                <w:spacing w:val="-2"/>
                <w:w w:val="67"/>
                <w:sz w:val="21"/>
              </w:rPr>
              <w:t>.</w:t>
            </w:r>
            <w:r>
              <w:rPr>
                <w:spacing w:val="-1"/>
                <w:w w:val="132"/>
                <w:sz w:val="21"/>
              </w:rPr>
              <w:t>5</w:t>
            </w:r>
            <w:r>
              <w:rPr>
                <w:spacing w:val="-106"/>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38"/>
                <w:sz w:val="21"/>
              </w:rPr>
              <w:t> </w:t>
            </w:r>
            <w:r>
              <w:rPr>
                <w:spacing w:val="-2"/>
                <w:w w:val="135"/>
                <w:sz w:val="21"/>
              </w:rPr>
              <w:t>8</w:t>
            </w:r>
            <w:r>
              <w:rPr>
                <w:spacing w:val="0"/>
                <w:w w:val="67"/>
                <w:sz w:val="21"/>
              </w:rPr>
              <w:t>.</w:t>
            </w:r>
            <w:r>
              <w:rPr>
                <w:spacing w:val="-2"/>
                <w:w w:val="133"/>
                <w:sz w:val="21"/>
              </w:rPr>
              <w:t>6</w:t>
            </w:r>
            <w:r>
              <w:rPr>
                <w:spacing w:val="-108"/>
                <w:w w:val="100"/>
                <w:sz w:val="21"/>
              </w:rPr>
              <w:t>）</w:t>
            </w:r>
            <w:r>
              <w:rPr>
                <w:spacing w:val="-2"/>
                <w:w w:val="100"/>
                <w:sz w:val="21"/>
              </w:rPr>
              <w:t>，或者</w:t>
            </w:r>
          </w:p>
          <w:p>
            <w:pPr>
              <w:pStyle w:val="TableParagraph"/>
              <w:spacing w:line="344" w:lineRule="exact" w:before="0"/>
              <w:ind w:left="841"/>
              <w:rPr>
                <w:sz w:val="21"/>
              </w:rPr>
            </w:pPr>
            <w:r>
              <w:rPr>
                <w:spacing w:val="-2"/>
                <w:w w:val="100"/>
                <w:sz w:val="21"/>
              </w:rPr>
              <w:t>驾驶</w:t>
            </w:r>
            <w:r>
              <w:rPr>
                <w:rFonts w:ascii="Microsoft JhengHei" w:eastAsia="Microsoft JhengHei" w:hint="eastAsia"/>
                <w:b/>
                <w:w w:val="100"/>
                <w:sz w:val="21"/>
              </w:rPr>
              <w:t>无合法有效行驶证</w:t>
            </w:r>
            <w:r>
              <w:rPr>
                <w:spacing w:val="-5"/>
                <w:w w:val="100"/>
                <w:sz w:val="21"/>
              </w:rPr>
              <w:t>（</w:t>
            </w:r>
            <w:r>
              <w:rPr>
                <w:w w:val="100"/>
                <w:sz w:val="21"/>
              </w:rPr>
              <w:t>见</w:t>
            </w:r>
            <w:r>
              <w:rPr>
                <w:spacing w:val="-53"/>
                <w:sz w:val="21"/>
              </w:rPr>
              <w:t> </w:t>
            </w:r>
            <w:r>
              <w:rPr>
                <w:spacing w:val="-2"/>
                <w:w w:val="135"/>
                <w:sz w:val="21"/>
              </w:rPr>
              <w:t>8</w:t>
            </w:r>
            <w:r>
              <w:rPr>
                <w:spacing w:val="-2"/>
                <w:w w:val="67"/>
                <w:sz w:val="21"/>
              </w:rPr>
              <w:t>.</w:t>
            </w:r>
            <w:r>
              <w:rPr>
                <w:w w:val="131"/>
                <w:sz w:val="21"/>
              </w:rPr>
              <w:t>7</w:t>
            </w:r>
            <w:r>
              <w:rPr>
                <w:spacing w:val="-3"/>
                <w:w w:val="100"/>
                <w:sz w:val="21"/>
              </w:rPr>
              <w:t>）的</w:t>
            </w:r>
            <w:r>
              <w:rPr>
                <w:rFonts w:ascii="Microsoft JhengHei" w:eastAsia="Microsoft JhengHei" w:hint="eastAsia"/>
                <w:b/>
                <w:w w:val="100"/>
                <w:sz w:val="21"/>
              </w:rPr>
              <w:t>机动车</w:t>
            </w:r>
            <w:r>
              <w:rPr>
                <w:w w:val="100"/>
                <w:sz w:val="21"/>
              </w:rPr>
              <w:t>（见</w:t>
            </w:r>
            <w:r>
              <w:rPr>
                <w:spacing w:val="-52"/>
                <w:sz w:val="21"/>
              </w:rPr>
              <w:t> </w:t>
            </w:r>
            <w:r>
              <w:rPr>
                <w:spacing w:val="-4"/>
                <w:w w:val="135"/>
                <w:sz w:val="21"/>
              </w:rPr>
              <w:t>8</w:t>
            </w:r>
            <w:r>
              <w:rPr>
                <w:spacing w:val="-2"/>
                <w:w w:val="67"/>
                <w:sz w:val="21"/>
              </w:rPr>
              <w:t>.</w:t>
            </w:r>
            <w:r>
              <w:rPr>
                <w:spacing w:val="-2"/>
                <w:w w:val="135"/>
                <w:sz w:val="21"/>
              </w:rPr>
              <w:t>8</w:t>
            </w:r>
            <w:r>
              <w:rPr>
                <w:spacing w:val="-106"/>
                <w:w w:val="100"/>
                <w:sz w:val="21"/>
              </w:rPr>
              <w:t>）；</w:t>
            </w:r>
          </w:p>
          <w:p>
            <w:pPr>
              <w:pStyle w:val="TableParagraph"/>
              <w:numPr>
                <w:ilvl w:val="0"/>
                <w:numId w:val="7"/>
              </w:numPr>
              <w:tabs>
                <w:tab w:pos="818" w:val="left" w:leader="none"/>
              </w:tabs>
              <w:spacing w:line="240" w:lineRule="auto" w:before="100" w:after="0"/>
              <w:ind w:left="841" w:right="0" w:hanging="624"/>
              <w:jc w:val="left"/>
              <w:rPr>
                <w:sz w:val="21"/>
              </w:rPr>
            </w:pPr>
            <w:r>
              <w:rPr>
                <w:spacing w:val="-3"/>
                <w:sz w:val="21"/>
              </w:rPr>
              <w:t>被保险人故意自伤；</w:t>
            </w:r>
          </w:p>
          <w:p>
            <w:pPr>
              <w:pStyle w:val="TableParagraph"/>
              <w:numPr>
                <w:ilvl w:val="0"/>
                <w:numId w:val="7"/>
              </w:numPr>
              <w:tabs>
                <w:tab w:pos="818" w:val="left" w:leader="none"/>
              </w:tabs>
              <w:spacing w:line="254" w:lineRule="auto" w:before="54" w:after="0"/>
              <w:ind w:left="841" w:right="336" w:hanging="624"/>
              <w:jc w:val="left"/>
              <w:rPr>
                <w:sz w:val="21"/>
              </w:rPr>
            </w:pPr>
            <w:r>
              <w:rPr>
                <w:spacing w:val="-2"/>
                <w:w w:val="100"/>
                <w:sz w:val="21"/>
              </w:rPr>
              <w:t>被保险人</w:t>
            </w:r>
            <w:r>
              <w:rPr>
                <w:rFonts w:ascii="Microsoft JhengHei" w:eastAsia="Microsoft JhengHei" w:hint="eastAsia"/>
                <w:b/>
                <w:spacing w:val="-5"/>
                <w:w w:val="100"/>
                <w:sz w:val="21"/>
              </w:rPr>
              <w:t>感染艾滋病病毒或者患艾滋病</w:t>
            </w:r>
            <w:r>
              <w:rPr>
                <w:spacing w:val="-3"/>
                <w:w w:val="100"/>
                <w:sz w:val="21"/>
              </w:rPr>
              <w:t>（</w:t>
            </w:r>
            <w:r>
              <w:rPr>
                <w:w w:val="100"/>
                <w:sz w:val="21"/>
              </w:rPr>
              <w:t>见</w:t>
            </w:r>
            <w:r>
              <w:rPr>
                <w:spacing w:val="-53"/>
                <w:sz w:val="21"/>
              </w:rPr>
              <w:t> </w:t>
            </w:r>
            <w:r>
              <w:rPr>
                <w:spacing w:val="-2"/>
                <w:w w:val="135"/>
                <w:sz w:val="21"/>
              </w:rPr>
              <w:t>8</w:t>
            </w:r>
            <w:r>
              <w:rPr>
                <w:spacing w:val="-2"/>
                <w:w w:val="67"/>
                <w:sz w:val="21"/>
              </w:rPr>
              <w:t>.</w:t>
            </w:r>
            <w:r>
              <w:rPr>
                <w:spacing w:val="0"/>
                <w:w w:val="134"/>
                <w:sz w:val="21"/>
              </w:rPr>
              <w:t>9</w:t>
            </w:r>
            <w:r>
              <w:rPr>
                <w:spacing w:val="-106"/>
                <w:w w:val="100"/>
                <w:sz w:val="21"/>
              </w:rPr>
              <w:t>）</w:t>
            </w:r>
            <w:r>
              <w:rPr>
                <w:spacing w:val="-8"/>
                <w:w w:val="100"/>
                <w:sz w:val="21"/>
              </w:rPr>
              <w:t>，但本合同另有约定的</w:t>
            </w:r>
            <w:r>
              <w:rPr>
                <w:spacing w:val="-8"/>
                <w:sz w:val="21"/>
              </w:rPr>
              <w:t>除外；</w:t>
            </w:r>
          </w:p>
          <w:p>
            <w:pPr>
              <w:pStyle w:val="TableParagraph"/>
              <w:numPr>
                <w:ilvl w:val="0"/>
                <w:numId w:val="7"/>
              </w:numPr>
              <w:tabs>
                <w:tab w:pos="818" w:val="left" w:leader="none"/>
              </w:tabs>
              <w:spacing w:line="254" w:lineRule="auto" w:before="44" w:after="0"/>
              <w:ind w:left="844" w:right="336" w:hanging="627"/>
              <w:jc w:val="left"/>
              <w:rPr>
                <w:sz w:val="21"/>
              </w:rPr>
            </w:pPr>
            <w:r>
              <w:rPr>
                <w:rFonts w:ascii="Microsoft JhengHei" w:eastAsia="Microsoft JhengHei" w:hint="eastAsia"/>
                <w:b/>
                <w:spacing w:val="-3"/>
                <w:w w:val="100"/>
                <w:sz w:val="21"/>
              </w:rPr>
              <w:t>遗传性疾病</w:t>
            </w:r>
            <w:r>
              <w:rPr>
                <w:spacing w:val="-3"/>
                <w:w w:val="100"/>
                <w:sz w:val="21"/>
              </w:rPr>
              <w:t>（</w:t>
            </w:r>
            <w:r>
              <w:rPr>
                <w:w w:val="100"/>
                <w:sz w:val="21"/>
              </w:rPr>
              <w:t>见</w:t>
            </w:r>
            <w:r>
              <w:rPr>
                <w:spacing w:val="-53"/>
                <w:sz w:val="21"/>
              </w:rPr>
              <w:t> </w:t>
            </w:r>
            <w:r>
              <w:rPr>
                <w:spacing w:val="-4"/>
                <w:w w:val="135"/>
                <w:sz w:val="21"/>
              </w:rPr>
              <w:t>8</w:t>
            </w:r>
            <w:r>
              <w:rPr>
                <w:spacing w:val="0"/>
                <w:w w:val="67"/>
                <w:sz w:val="21"/>
              </w:rPr>
              <w:t>.</w:t>
            </w:r>
            <w:r>
              <w:rPr>
                <w:spacing w:val="-1"/>
                <w:w w:val="120"/>
                <w:sz w:val="21"/>
              </w:rPr>
              <w:t>1</w:t>
            </w:r>
            <w:r>
              <w:rPr>
                <w:w w:val="120"/>
                <w:sz w:val="21"/>
              </w:rPr>
              <w:t>0</w:t>
            </w:r>
            <w:r>
              <w:rPr>
                <w:spacing w:val="-108"/>
                <w:w w:val="100"/>
                <w:sz w:val="21"/>
              </w:rPr>
              <w:t>）</w:t>
            </w:r>
            <w:r>
              <w:rPr>
                <w:spacing w:val="-17"/>
                <w:w w:val="100"/>
                <w:sz w:val="21"/>
              </w:rPr>
              <w:t>，</w:t>
            </w:r>
            <w:r>
              <w:rPr>
                <w:rFonts w:ascii="Microsoft JhengHei" w:eastAsia="Microsoft JhengHei" w:hint="eastAsia"/>
                <w:b/>
                <w:spacing w:val="-4"/>
                <w:w w:val="100"/>
                <w:sz w:val="21"/>
              </w:rPr>
              <w:t>先天性畸形、变形或者染色体异常</w:t>
            </w:r>
            <w:r>
              <w:rPr>
                <w:spacing w:val="-3"/>
                <w:w w:val="100"/>
                <w:sz w:val="21"/>
              </w:rPr>
              <w:t>（</w:t>
            </w:r>
            <w:r>
              <w:rPr>
                <w:w w:val="100"/>
                <w:sz w:val="21"/>
              </w:rPr>
              <w:t>见</w:t>
            </w:r>
            <w:r>
              <w:rPr>
                <w:spacing w:val="-53"/>
                <w:sz w:val="21"/>
              </w:rPr>
              <w:t> </w:t>
            </w:r>
            <w:r>
              <w:rPr>
                <w:spacing w:val="-4"/>
                <w:w w:val="135"/>
                <w:sz w:val="21"/>
              </w:rPr>
              <w:t>8</w:t>
            </w:r>
            <w:r>
              <w:rPr>
                <w:spacing w:val="0"/>
                <w:w w:val="67"/>
                <w:sz w:val="21"/>
              </w:rPr>
              <w:t>.</w:t>
            </w:r>
            <w:r>
              <w:rPr>
                <w:spacing w:val="-1"/>
                <w:w w:val="105"/>
                <w:sz w:val="21"/>
              </w:rPr>
              <w:t>11</w:t>
            </w:r>
            <w:r>
              <w:rPr>
                <w:spacing w:val="-106"/>
                <w:w w:val="100"/>
                <w:sz w:val="21"/>
              </w:rPr>
              <w:t>），</w:t>
            </w:r>
            <w:r>
              <w:rPr>
                <w:spacing w:val="-3"/>
                <w:sz w:val="21"/>
              </w:rPr>
              <w:t>但本合同另有约定的除外。</w:t>
            </w:r>
          </w:p>
          <w:p>
            <w:pPr>
              <w:pStyle w:val="TableParagraph"/>
              <w:spacing w:before="111"/>
              <w:ind w:left="217"/>
              <w:rPr>
                <w:sz w:val="21"/>
              </w:rPr>
            </w:pPr>
            <w:r>
              <w:rPr>
                <w:sz w:val="21"/>
              </w:rPr>
              <w:t>因上述第（1）项情形导致被保险人发Th本合同定义的重症疾病的，我们对该被</w:t>
            </w:r>
          </w:p>
          <w:p>
            <w:pPr>
              <w:pStyle w:val="TableParagraph"/>
              <w:spacing w:before="46"/>
              <w:ind w:left="217" w:right="336"/>
              <w:jc w:val="both"/>
              <w:rPr>
                <w:sz w:val="21"/>
              </w:rPr>
            </w:pPr>
            <w:r>
              <w:rPr>
                <w:spacing w:val="-5"/>
                <w:sz w:val="21"/>
              </w:rPr>
              <w:t>保险人的保险责任终止，向该被保险人给付保险责任终止时该被保险人对应的</w:t>
            </w:r>
            <w:r>
              <w:rPr>
                <w:spacing w:val="-5"/>
                <w:w w:val="100"/>
                <w:sz w:val="21"/>
              </w:rPr>
              <w:t>本合同的</w:t>
            </w:r>
            <w:r>
              <w:rPr>
                <w:rFonts w:ascii="Microsoft JhengHei" w:eastAsia="Microsoft JhengHei" w:hint="eastAsia"/>
                <w:b/>
                <w:spacing w:val="-3"/>
                <w:w w:val="100"/>
                <w:sz w:val="21"/>
              </w:rPr>
              <w:t>现金价值</w:t>
            </w:r>
            <w:r>
              <w:rPr>
                <w:spacing w:val="-3"/>
                <w:w w:val="100"/>
                <w:sz w:val="21"/>
              </w:rPr>
              <w:t>（</w:t>
            </w:r>
            <w:r>
              <w:rPr>
                <w:w w:val="100"/>
                <w:sz w:val="21"/>
              </w:rPr>
              <w:t>见</w:t>
            </w:r>
            <w:r>
              <w:rPr>
                <w:spacing w:val="-53"/>
                <w:sz w:val="21"/>
              </w:rPr>
              <w:t> </w:t>
            </w:r>
            <w:r>
              <w:rPr>
                <w:spacing w:val="-2"/>
                <w:w w:val="135"/>
                <w:sz w:val="21"/>
              </w:rPr>
              <w:t>8</w:t>
            </w:r>
            <w:r>
              <w:rPr>
                <w:spacing w:val="-2"/>
                <w:w w:val="67"/>
                <w:sz w:val="21"/>
              </w:rPr>
              <w:t>.</w:t>
            </w:r>
            <w:r>
              <w:rPr>
                <w:spacing w:val="-1"/>
                <w:w w:val="118"/>
                <w:sz w:val="21"/>
              </w:rPr>
              <w:t>12</w:t>
            </w:r>
            <w:r>
              <w:rPr>
                <w:spacing w:val="-106"/>
                <w:w w:val="100"/>
                <w:sz w:val="21"/>
              </w:rPr>
              <w:t>）</w:t>
            </w:r>
            <w:r>
              <w:rPr>
                <w:spacing w:val="-8"/>
                <w:w w:val="100"/>
                <w:sz w:val="21"/>
              </w:rPr>
              <w:t>；因上述第</w:t>
            </w:r>
            <w:r>
              <w:rPr>
                <w:spacing w:val="-1"/>
                <w:w w:val="100"/>
                <w:sz w:val="21"/>
              </w:rPr>
              <w:t>（</w:t>
            </w:r>
            <w:r>
              <w:rPr>
                <w:spacing w:val="-1"/>
                <w:w w:val="131"/>
                <w:sz w:val="21"/>
              </w:rPr>
              <w:t>2</w:t>
            </w:r>
            <w:r>
              <w:rPr>
                <w:spacing w:val="-15"/>
                <w:w w:val="100"/>
                <w:sz w:val="21"/>
              </w:rPr>
              <w:t>）</w:t>
            </w:r>
            <w:r>
              <w:rPr>
                <w:spacing w:val="-8"/>
                <w:w w:val="100"/>
                <w:sz w:val="21"/>
              </w:rPr>
              <w:t>至第</w:t>
            </w:r>
            <w:r>
              <w:rPr>
                <w:spacing w:val="-1"/>
                <w:w w:val="100"/>
                <w:sz w:val="21"/>
              </w:rPr>
              <w:t>（</w:t>
            </w:r>
            <w:r>
              <w:rPr>
                <w:spacing w:val="-2"/>
                <w:w w:val="132"/>
                <w:sz w:val="21"/>
              </w:rPr>
              <w:t>7</w:t>
            </w:r>
            <w:r>
              <w:rPr>
                <w:spacing w:val="-13"/>
                <w:w w:val="100"/>
                <w:sz w:val="21"/>
              </w:rPr>
              <w:t>）</w:t>
            </w:r>
            <w:r>
              <w:rPr>
                <w:spacing w:val="-3"/>
                <w:w w:val="100"/>
                <w:sz w:val="21"/>
              </w:rPr>
              <w:t>项中任一情形导致被</w:t>
            </w:r>
            <w:r>
              <w:rPr>
                <w:spacing w:val="-2"/>
                <w:sz w:val="21"/>
              </w:rPr>
              <w:t>保险人发</w:t>
            </w:r>
            <w:r>
              <w:rPr>
                <w:sz w:val="21"/>
              </w:rPr>
              <w:t>Th</w:t>
            </w:r>
            <w:r>
              <w:rPr>
                <w:spacing w:val="-5"/>
                <w:sz w:val="21"/>
              </w:rPr>
              <w:t>本合同定义的重症疾病的，我们对该被保险人的保险责任终止，向</w:t>
            </w:r>
          </w:p>
          <w:p>
            <w:pPr>
              <w:pStyle w:val="TableParagraph"/>
              <w:spacing w:before="46"/>
              <w:ind w:left="217"/>
              <w:rPr>
                <w:sz w:val="21"/>
              </w:rPr>
            </w:pPr>
            <w:r>
              <w:rPr>
                <w:sz w:val="21"/>
              </w:rPr>
              <w:t>投保人退还保险责任终止时该被保险人对应的本合同的现金价值。</w:t>
            </w:r>
          </w:p>
        </w:tc>
      </w:tr>
      <w:tr>
        <w:trPr>
          <w:trHeight w:val="904" w:hRule="atLeast"/>
        </w:trPr>
        <w:tc>
          <w:tcPr>
            <w:tcW w:w="680" w:type="dxa"/>
            <w:tcBorders>
              <w:bottom w:val="single" w:sz="8" w:space="0" w:color="000000"/>
            </w:tcBorders>
          </w:tcPr>
          <w:p>
            <w:pPr>
              <w:pStyle w:val="TableParagraph"/>
              <w:spacing w:before="58"/>
              <w:ind w:left="108"/>
              <w:rPr>
                <w:rFonts w:ascii="微软雅黑"/>
                <w:b/>
                <w:sz w:val="36"/>
              </w:rPr>
            </w:pPr>
            <w:r>
              <w:rPr>
                <w:rFonts w:ascii="微软雅黑"/>
                <w:b/>
                <w:sz w:val="36"/>
              </w:rPr>
              <w:t>3.</w:t>
            </w:r>
          </w:p>
        </w:tc>
        <w:tc>
          <w:tcPr>
            <w:tcW w:w="9412" w:type="dxa"/>
            <w:gridSpan w:val="2"/>
            <w:tcBorders>
              <w:bottom w:val="single" w:sz="8" w:space="0" w:color="000000"/>
            </w:tcBorders>
          </w:tcPr>
          <w:p>
            <w:pPr>
              <w:pStyle w:val="TableParagraph"/>
              <w:spacing w:before="35"/>
              <w:ind w:left="244"/>
              <w:rPr>
                <w:rFonts w:ascii="微软雅黑" w:eastAsia="微软雅黑" w:hint="eastAsia"/>
                <w:b/>
                <w:sz w:val="24"/>
              </w:rPr>
            </w:pPr>
            <w:r>
              <w:rPr>
                <w:rFonts w:ascii="微软雅黑" w:eastAsia="微软雅黑" w:hint="eastAsia"/>
                <w:b/>
                <w:sz w:val="24"/>
              </w:rPr>
              <w:t>如何交纳保险费</w:t>
            </w:r>
          </w:p>
          <w:p>
            <w:pPr>
              <w:pStyle w:val="TableParagraph"/>
              <w:spacing w:before="23"/>
              <w:ind w:left="244"/>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022" w:hRule="atLeast"/>
        </w:trPr>
        <w:tc>
          <w:tcPr>
            <w:tcW w:w="680" w:type="dxa"/>
            <w:tcBorders>
              <w:top w:val="single" w:sz="8" w:space="0" w:color="000000"/>
            </w:tcBorders>
          </w:tcPr>
          <w:p>
            <w:pPr>
              <w:pStyle w:val="TableParagraph"/>
              <w:spacing w:before="176"/>
              <w:ind w:left="108"/>
              <w:rPr>
                <w:rFonts w:ascii="微软雅黑"/>
                <w:b/>
                <w:sz w:val="21"/>
              </w:rPr>
            </w:pPr>
            <w:r>
              <w:rPr>
                <w:rFonts w:ascii="微软雅黑"/>
                <w:b/>
                <w:sz w:val="21"/>
              </w:rPr>
              <w:t>3.1</w:t>
            </w:r>
          </w:p>
        </w:tc>
        <w:tc>
          <w:tcPr>
            <w:tcW w:w="1729" w:type="dxa"/>
            <w:tcBorders>
              <w:top w:val="single" w:sz="8" w:space="0" w:color="000000"/>
            </w:tcBorders>
          </w:tcPr>
          <w:p>
            <w:pPr>
              <w:pStyle w:val="TableParagraph"/>
              <w:spacing w:before="176"/>
              <w:ind w:left="244"/>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4"/>
              <w:ind w:left="0"/>
              <w:rPr>
                <w:sz w:val="19"/>
              </w:rPr>
            </w:pPr>
          </w:p>
          <w:p>
            <w:pPr>
              <w:pStyle w:val="TableParagraph"/>
              <w:spacing w:line="228" w:lineRule="auto" w:before="0"/>
              <w:ind w:left="217" w:right="233"/>
              <w:rPr>
                <w:sz w:val="21"/>
              </w:rPr>
            </w:pPr>
            <w:r>
              <w:rPr>
                <w:spacing w:val="-4"/>
                <w:sz w:val="21"/>
              </w:rPr>
              <w:t>本合同的交费方式和交费期间由投保人在投保时与我们约定，并在保险单或者</w:t>
            </w:r>
            <w:r>
              <w:rPr>
                <w:spacing w:val="-10"/>
                <w:w w:val="100"/>
                <w:sz w:val="21"/>
              </w:rPr>
              <w:t>保险凭证上载明。投保人应当在每个</w:t>
            </w:r>
            <w:r>
              <w:rPr>
                <w:rFonts w:ascii="微软雅黑" w:eastAsia="微软雅黑" w:hint="eastAsia"/>
                <w:b/>
                <w:spacing w:val="-9"/>
                <w:w w:val="100"/>
                <w:sz w:val="21"/>
              </w:rPr>
              <w:t>保险费约定交纳日</w:t>
            </w:r>
            <w:r>
              <w:rPr>
                <w:spacing w:val="-3"/>
                <w:w w:val="100"/>
                <w:sz w:val="21"/>
              </w:rPr>
              <w:t>（</w:t>
            </w:r>
            <w:r>
              <w:rPr>
                <w:w w:val="100"/>
                <w:sz w:val="21"/>
              </w:rPr>
              <w:t>见</w:t>
            </w:r>
            <w:r>
              <w:rPr>
                <w:spacing w:val="-55"/>
                <w:sz w:val="21"/>
              </w:rPr>
              <w:t> </w:t>
            </w:r>
            <w:r>
              <w:rPr>
                <w:w w:val="124"/>
                <w:sz w:val="21"/>
              </w:rPr>
              <w:t>8</w:t>
            </w:r>
            <w:r>
              <w:rPr>
                <w:spacing w:val="-2"/>
                <w:w w:val="58"/>
                <w:sz w:val="21"/>
              </w:rPr>
              <w:t>.</w:t>
            </w:r>
            <w:r>
              <w:rPr>
                <w:w w:val="97"/>
                <w:sz w:val="21"/>
              </w:rPr>
              <w:t>1</w:t>
            </w:r>
            <w:r>
              <w:rPr>
                <w:spacing w:val="-1"/>
                <w:w w:val="121"/>
                <w:sz w:val="21"/>
              </w:rPr>
              <w:t>3</w:t>
            </w:r>
            <w:r>
              <w:rPr>
                <w:spacing w:val="-65"/>
                <w:w w:val="100"/>
                <w:sz w:val="21"/>
              </w:rPr>
              <w:t>）</w:t>
            </w:r>
            <w:r>
              <w:rPr>
                <w:spacing w:val="-3"/>
                <w:w w:val="100"/>
                <w:sz w:val="21"/>
              </w:rPr>
              <w:t>交纳保险费。</w:t>
            </w:r>
          </w:p>
        </w:tc>
      </w:tr>
      <w:tr>
        <w:trPr>
          <w:trHeight w:val="1928" w:hRule="atLeast"/>
        </w:trPr>
        <w:tc>
          <w:tcPr>
            <w:tcW w:w="680" w:type="dxa"/>
          </w:tcPr>
          <w:p>
            <w:pPr>
              <w:pStyle w:val="TableParagraph"/>
              <w:spacing w:before="42"/>
              <w:ind w:left="108"/>
              <w:rPr>
                <w:rFonts w:ascii="微软雅黑"/>
                <w:b/>
                <w:sz w:val="21"/>
              </w:rPr>
            </w:pPr>
            <w:r>
              <w:rPr>
                <w:rFonts w:ascii="微软雅黑"/>
                <w:b/>
                <w:sz w:val="21"/>
              </w:rPr>
              <w:t>3.2</w:t>
            </w:r>
          </w:p>
        </w:tc>
        <w:tc>
          <w:tcPr>
            <w:tcW w:w="1729" w:type="dxa"/>
          </w:tcPr>
          <w:p>
            <w:pPr>
              <w:pStyle w:val="TableParagraph"/>
              <w:spacing w:before="42"/>
              <w:ind w:left="244"/>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78" w:lineRule="auto" w:before="104"/>
              <w:ind w:left="217" w:right="231"/>
              <w:rPr>
                <w:sz w:val="21"/>
              </w:rPr>
            </w:pPr>
            <w:r>
              <w:rPr>
                <w:spacing w:val="-12"/>
                <w:sz w:val="21"/>
              </w:rPr>
              <w:t>分期交纳保险费的，在交纳首期保险费后，如果投保人到期未交纳续期保险费， </w:t>
            </w:r>
            <w:r>
              <w:rPr>
                <w:spacing w:val="-6"/>
                <w:sz w:val="21"/>
              </w:rPr>
              <w:t>自保险费约定交纳日的次日零时起 </w:t>
            </w:r>
            <w:r>
              <w:rPr>
                <w:sz w:val="21"/>
              </w:rPr>
              <w:t>60</w:t>
            </w:r>
            <w:r>
              <w:rPr>
                <w:spacing w:val="-3"/>
                <w:sz w:val="21"/>
              </w:rPr>
              <w:t> 日为保险费交纳的宽限期。宽限期内发</w:t>
            </w:r>
          </w:p>
          <w:p>
            <w:pPr>
              <w:pStyle w:val="TableParagraph"/>
              <w:spacing w:before="13"/>
              <w:ind w:left="217"/>
              <w:rPr>
                <w:sz w:val="21"/>
              </w:rPr>
            </w:pPr>
            <w:r>
              <w:rPr>
                <w:sz w:val="21"/>
              </w:rPr>
              <w:t>Th的保险事故，我们仍承担保险责任，但在给付保险金时会扣除欠交的保险费。</w:t>
            </w:r>
          </w:p>
          <w:p>
            <w:pPr>
              <w:pStyle w:val="TableParagraph"/>
              <w:spacing w:line="280" w:lineRule="auto" w:before="121"/>
              <w:ind w:left="217" w:right="268"/>
              <w:rPr>
                <w:sz w:val="21"/>
              </w:rPr>
            </w:pPr>
            <w:r>
              <w:rPr>
                <w:sz w:val="21"/>
              </w:rPr>
              <w:t>如果投保人在宽限期内未交纳保险费，则自宽限期满日的 </w:t>
            </w:r>
            <w:r>
              <w:rPr>
                <w:w w:val="115"/>
                <w:sz w:val="21"/>
              </w:rPr>
              <w:t>24 </w:t>
            </w:r>
            <w:r>
              <w:rPr>
                <w:sz w:val="21"/>
              </w:rPr>
              <w:t>时起，本合同终止，但本合同另有约定的除外。</w:t>
            </w:r>
          </w:p>
        </w:tc>
      </w:tr>
      <w:tr>
        <w:trPr>
          <w:trHeight w:val="5518" w:hRule="atLeast"/>
        </w:trPr>
        <w:tc>
          <w:tcPr>
            <w:tcW w:w="680" w:type="dxa"/>
          </w:tcPr>
          <w:p>
            <w:pPr>
              <w:pStyle w:val="TableParagraph"/>
              <w:spacing w:before="38"/>
              <w:ind w:left="108"/>
              <w:rPr>
                <w:rFonts w:ascii="微软雅黑"/>
                <w:b/>
                <w:sz w:val="21"/>
              </w:rPr>
            </w:pPr>
            <w:r>
              <w:rPr>
                <w:rFonts w:ascii="微软雅黑"/>
                <w:b/>
                <w:sz w:val="21"/>
              </w:rPr>
              <w:t>3.3</w:t>
            </w:r>
          </w:p>
        </w:tc>
        <w:tc>
          <w:tcPr>
            <w:tcW w:w="1729" w:type="dxa"/>
          </w:tcPr>
          <w:p>
            <w:pPr>
              <w:pStyle w:val="TableParagraph"/>
              <w:spacing w:before="38"/>
              <w:ind w:left="244"/>
              <w:rPr>
                <w:rFonts w:ascii="微软雅黑" w:eastAsia="微软雅黑" w:hint="eastAsia"/>
                <w:b/>
                <w:sz w:val="21"/>
              </w:rPr>
            </w:pPr>
            <w:r>
              <w:rPr>
                <w:rFonts w:ascii="微软雅黑" w:eastAsia="微软雅黑" w:hint="eastAsia"/>
                <w:b/>
                <w:sz w:val="21"/>
              </w:rPr>
              <w:t>续保</w:t>
            </w:r>
          </w:p>
        </w:tc>
        <w:tc>
          <w:tcPr>
            <w:tcW w:w="7683" w:type="dxa"/>
          </w:tcPr>
          <w:p>
            <w:pPr>
              <w:pStyle w:val="TableParagraph"/>
              <w:spacing w:line="280" w:lineRule="auto" w:before="101"/>
              <w:ind w:left="217" w:right="339"/>
              <w:jc w:val="both"/>
              <w:rPr>
                <w:sz w:val="21"/>
              </w:rPr>
            </w:pPr>
            <w:r>
              <w:rPr>
                <w:spacing w:val="-5"/>
                <w:sz w:val="21"/>
              </w:rPr>
              <w:t>投保人可以选择续保功能，如果我们同意投保人按本合同约定的承保条件继续</w:t>
            </w:r>
            <w:r>
              <w:rPr>
                <w:spacing w:val="-6"/>
                <w:sz w:val="21"/>
              </w:rPr>
              <w:t>投保本合同，且在本合同期满日前未收到投保人停止继续投保本合同的书面申请，我们将为投保人自动办理相关续保手续，新续保的合同自本合同期满日次</w:t>
            </w:r>
            <w:r>
              <w:rPr>
                <w:spacing w:val="-4"/>
                <w:sz w:val="21"/>
              </w:rPr>
              <w:t>日零时起</w:t>
            </w:r>
            <w:r>
              <w:rPr>
                <w:sz w:val="21"/>
              </w:rPr>
              <w:t>Th</w:t>
            </w:r>
            <w:r>
              <w:rPr>
                <w:spacing w:val="-9"/>
                <w:sz w:val="21"/>
              </w:rPr>
              <w:t>效，有效期为 </w:t>
            </w:r>
            <w:r>
              <w:rPr>
                <w:sz w:val="21"/>
              </w:rPr>
              <w:t>1</w:t>
            </w:r>
            <w:r>
              <w:rPr>
                <w:spacing w:val="-8"/>
                <w:sz w:val="21"/>
              </w:rPr>
              <w:t> 年。每次续保，均按前述规则类推。</w:t>
            </w:r>
          </w:p>
          <w:p>
            <w:pPr>
              <w:pStyle w:val="TableParagraph"/>
              <w:spacing w:line="280" w:lineRule="auto" w:before="85"/>
              <w:ind w:left="217" w:right="335"/>
              <w:jc w:val="both"/>
              <w:rPr>
                <w:sz w:val="21"/>
              </w:rPr>
            </w:pPr>
            <w:r>
              <w:rPr>
                <w:sz w:val="21"/>
              </w:rPr>
              <w:t>如果我们做出不同意投保人继续投保本合同决定的，我们将向投保人发出通知，自期满日的 </w:t>
            </w:r>
            <w:r>
              <w:rPr>
                <w:w w:val="115"/>
                <w:sz w:val="21"/>
              </w:rPr>
              <w:t>24 </w:t>
            </w:r>
            <w:r>
              <w:rPr>
                <w:sz w:val="21"/>
              </w:rPr>
              <w:t>时起，本合同终止。</w:t>
            </w:r>
          </w:p>
          <w:p>
            <w:pPr>
              <w:pStyle w:val="TableParagraph"/>
              <w:spacing w:line="280" w:lineRule="auto" w:before="85"/>
              <w:ind w:left="217" w:right="338"/>
              <w:jc w:val="both"/>
              <w:rPr>
                <w:sz w:val="21"/>
              </w:rPr>
            </w:pPr>
            <w:r>
              <w:rPr>
                <w:spacing w:val="-4"/>
                <w:sz w:val="21"/>
              </w:rPr>
              <w:t>如果我们同意投保人按本合同约定的承保条件继续投保本合同的，则自本合同</w:t>
            </w:r>
            <w:r>
              <w:rPr>
                <w:spacing w:val="-3"/>
                <w:sz w:val="21"/>
              </w:rPr>
              <w:t>期满日的次日零时起 </w:t>
            </w:r>
            <w:r>
              <w:rPr>
                <w:sz w:val="21"/>
              </w:rPr>
              <w:t>60</w:t>
            </w:r>
            <w:r>
              <w:rPr>
                <w:spacing w:val="-3"/>
                <w:sz w:val="21"/>
              </w:rPr>
              <w:t> 日为新续保合同的交费宽限期。宽限期内发</w:t>
            </w:r>
            <w:r>
              <w:rPr>
                <w:sz w:val="21"/>
              </w:rPr>
              <w:t>Th</w:t>
            </w:r>
            <w:r>
              <w:rPr>
                <w:spacing w:val="-2"/>
                <w:sz w:val="21"/>
              </w:rPr>
              <w:t>的保险</w:t>
            </w:r>
            <w:r>
              <w:rPr>
                <w:spacing w:val="-6"/>
                <w:sz w:val="21"/>
              </w:rPr>
              <w:t>事故，我们承担保险责任，但在给付保险金时会扣除投保人欠交的保险费，其数额以新续保合同的保险费数额为准。如果投保人在宽限期之内未交纳新续保合同的保险费，则我们视同投保人自动放弃继续投保本合同的权利，自宽限期</w:t>
            </w:r>
            <w:r>
              <w:rPr>
                <w:spacing w:val="-22"/>
                <w:w w:val="105"/>
                <w:sz w:val="21"/>
              </w:rPr>
              <w:t>期满日的 </w:t>
            </w:r>
            <w:r>
              <w:rPr>
                <w:w w:val="105"/>
                <w:sz w:val="21"/>
              </w:rPr>
              <w:t>24</w:t>
            </w:r>
            <w:r>
              <w:rPr>
                <w:spacing w:val="-12"/>
                <w:w w:val="105"/>
                <w:sz w:val="21"/>
              </w:rPr>
              <w:t> 时起，本合同终止。</w:t>
            </w:r>
          </w:p>
          <w:p>
            <w:pPr>
              <w:pStyle w:val="TableParagraph"/>
              <w:spacing w:line="280" w:lineRule="auto" w:before="87"/>
              <w:ind w:left="217" w:right="319"/>
              <w:jc w:val="both"/>
              <w:rPr>
                <w:sz w:val="21"/>
              </w:rPr>
            </w:pPr>
            <w:r>
              <w:rPr>
                <w:spacing w:val="-5"/>
                <w:sz w:val="21"/>
              </w:rPr>
              <w:t>投保人为被保险人续保合同时，根据本合同计算费率所用的计算基础与实际情</w:t>
            </w:r>
            <w:r>
              <w:rPr>
                <w:spacing w:val="-6"/>
                <w:sz w:val="21"/>
              </w:rPr>
              <w:t>况的偏差程度，我们可能调整本合同的保险费率。保险费率的调整适用于所有</w:t>
            </w:r>
            <w:r>
              <w:rPr>
                <w:spacing w:val="-4"/>
                <w:sz w:val="21"/>
              </w:rPr>
              <w:t>被保险人或者同一类被保险人。若我们决定调整费率，将向投保人发出通知。</w:t>
            </w:r>
          </w:p>
          <w:p>
            <w:pPr>
              <w:pStyle w:val="TableParagraph"/>
              <w:spacing w:line="351" w:lineRule="exact" w:before="18"/>
              <w:ind w:left="217"/>
              <w:jc w:val="both"/>
              <w:rPr>
                <w:sz w:val="21"/>
              </w:rPr>
            </w:pPr>
            <w:r>
              <w:rPr>
                <w:spacing w:val="-3"/>
                <w:w w:val="100"/>
                <w:sz w:val="21"/>
              </w:rPr>
              <w:t>我们接受继续投保本合同的被保险人的年龄最高不超过</w:t>
            </w:r>
            <w:r>
              <w:rPr>
                <w:spacing w:val="-55"/>
                <w:sz w:val="21"/>
              </w:rPr>
              <w:t> </w:t>
            </w:r>
            <w:r>
              <w:rPr>
                <w:w w:val="132"/>
                <w:sz w:val="21"/>
              </w:rPr>
              <w:t>75</w:t>
            </w:r>
            <w:r>
              <w:rPr>
                <w:spacing w:val="-55"/>
                <w:sz w:val="21"/>
              </w:rPr>
              <w:t> </w:t>
            </w:r>
            <w:r>
              <w:rPr>
                <w:rFonts w:ascii="Microsoft JhengHei" w:eastAsia="Microsoft JhengHei" w:hint="eastAsia"/>
                <w:b/>
                <w:w w:val="100"/>
                <w:sz w:val="21"/>
              </w:rPr>
              <w:t>周岁</w:t>
            </w:r>
            <w:r>
              <w:rPr>
                <w:w w:val="100"/>
                <w:sz w:val="21"/>
              </w:rPr>
              <w:t>（见</w:t>
            </w:r>
            <w:r>
              <w:rPr>
                <w:spacing w:val="-53"/>
                <w:sz w:val="21"/>
              </w:rPr>
              <w:t> </w:t>
            </w:r>
            <w:r>
              <w:rPr>
                <w:spacing w:val="-4"/>
                <w:w w:val="135"/>
                <w:sz w:val="21"/>
              </w:rPr>
              <w:t>8</w:t>
            </w:r>
            <w:r>
              <w:rPr>
                <w:w w:val="67"/>
                <w:sz w:val="21"/>
              </w:rPr>
              <w:t>.</w:t>
            </w:r>
            <w:r>
              <w:rPr>
                <w:spacing w:val="-1"/>
                <w:w w:val="120"/>
                <w:sz w:val="21"/>
              </w:rPr>
              <w:t>1</w:t>
            </w:r>
            <w:r>
              <w:rPr>
                <w:spacing w:val="-3"/>
                <w:w w:val="120"/>
                <w:sz w:val="21"/>
              </w:rPr>
              <w:t>4</w:t>
            </w:r>
            <w:r>
              <w:rPr>
                <w:spacing w:val="-108"/>
                <w:w w:val="100"/>
                <w:sz w:val="21"/>
              </w:rPr>
              <w:t>）</w:t>
            </w:r>
            <w:r>
              <w:rPr>
                <w:w w:val="100"/>
                <w:sz w:val="21"/>
              </w:rPr>
              <w:t>。</w:t>
            </w:r>
          </w:p>
        </w:tc>
      </w:tr>
    </w:tbl>
    <w:p>
      <w:pPr>
        <w:spacing w:after="0" w:line="351" w:lineRule="exact"/>
        <w:jc w:val="both"/>
        <w:rPr>
          <w:sz w:val="21"/>
        </w:rPr>
        <w:sectPr>
          <w:pgSz w:w="11910" w:h="16840"/>
          <w:pgMar w:top="12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726" w:hRule="atLeast"/>
        </w:trPr>
        <w:tc>
          <w:tcPr>
            <w:tcW w:w="681" w:type="dxa"/>
            <w:tcBorders>
              <w:bottom w:val="single" w:sz="8" w:space="0" w:color="000000"/>
            </w:tcBorders>
          </w:tcPr>
          <w:p>
            <w:pPr>
              <w:pStyle w:val="TableParagraph"/>
              <w:spacing w:line="499" w:lineRule="exact" w:before="0"/>
              <w:ind w:left="108"/>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line="268" w:lineRule="exact" w:before="0"/>
              <w:ind w:left="243"/>
              <w:rPr>
                <w:rFonts w:ascii="微软雅黑" w:eastAsia="微软雅黑" w:hint="eastAsia"/>
                <w:b/>
                <w:sz w:val="24"/>
              </w:rPr>
            </w:pPr>
            <w:r>
              <w:rPr>
                <w:rFonts w:ascii="微软雅黑" w:eastAsia="微软雅黑" w:hint="eastAsia"/>
                <w:b/>
                <w:sz w:val="24"/>
              </w:rPr>
              <w:t>如何领取保险金</w:t>
            </w:r>
          </w:p>
          <w:p>
            <w:pPr>
              <w:pStyle w:val="TableParagraph"/>
              <w:spacing w:before="21"/>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2138" w:hRule="atLeast"/>
        </w:trPr>
        <w:tc>
          <w:tcPr>
            <w:tcW w:w="681" w:type="dxa"/>
            <w:tcBorders>
              <w:top w:val="single" w:sz="8" w:space="0" w:color="000000"/>
            </w:tcBorders>
          </w:tcPr>
          <w:p>
            <w:pPr>
              <w:pStyle w:val="TableParagraph"/>
              <w:spacing w:before="171"/>
              <w:ind w:left="108"/>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1"/>
              <w:ind w:left="243"/>
              <w:rPr>
                <w:rFonts w:ascii="微软雅黑" w:eastAsia="微软雅黑" w:hint="eastAsia"/>
                <w:b/>
                <w:sz w:val="21"/>
              </w:rPr>
            </w:pPr>
            <w:r>
              <w:rPr>
                <w:rFonts w:ascii="微软雅黑" w:eastAsia="微软雅黑" w:hint="eastAsia"/>
                <w:b/>
                <w:sz w:val="21"/>
              </w:rPr>
              <w:t>受益人</w:t>
            </w:r>
          </w:p>
        </w:tc>
        <w:tc>
          <w:tcPr>
            <w:tcW w:w="7683" w:type="dxa"/>
            <w:tcBorders>
              <w:top w:val="single" w:sz="8" w:space="0" w:color="000000"/>
            </w:tcBorders>
          </w:tcPr>
          <w:p>
            <w:pPr>
              <w:pStyle w:val="TableParagraph"/>
              <w:spacing w:before="11"/>
              <w:ind w:left="0"/>
              <w:rPr>
                <w:sz w:val="17"/>
              </w:rPr>
            </w:pPr>
          </w:p>
          <w:p>
            <w:pPr>
              <w:pStyle w:val="TableParagraph"/>
              <w:spacing w:before="0"/>
              <w:ind w:left="217"/>
              <w:rPr>
                <w:sz w:val="21"/>
              </w:rPr>
            </w:pPr>
            <w:r>
              <w:rPr>
                <w:sz w:val="21"/>
              </w:rPr>
              <w:t>除另有约定外，重症疾病保险金受益人为被保险人本人。</w:t>
            </w:r>
          </w:p>
          <w:p>
            <w:pPr>
              <w:pStyle w:val="TableParagraph"/>
              <w:spacing w:line="280" w:lineRule="auto"/>
              <w:ind w:left="217" w:right="291"/>
              <w:rPr>
                <w:sz w:val="21"/>
              </w:rPr>
            </w:pPr>
            <w:r>
              <w:rPr>
                <w:sz w:val="21"/>
              </w:rPr>
              <w:t>投保人为与其有劳动关系的劳动者投保本合同，不得指定被保险人及其近亲属以外的人为受益人。</w:t>
            </w:r>
          </w:p>
          <w:p>
            <w:pPr>
              <w:pStyle w:val="TableParagraph"/>
              <w:spacing w:line="280" w:lineRule="auto" w:before="85"/>
              <w:ind w:left="217" w:right="233"/>
              <w:rPr>
                <w:sz w:val="21"/>
              </w:rPr>
            </w:pPr>
            <w:r>
              <w:rPr>
                <w:spacing w:val="-11"/>
                <w:sz w:val="21"/>
              </w:rPr>
              <w:t>受益人故意造成被保险人死亡、伤残、疾病的，或者故意杀害被保险人未遂的， </w:t>
            </w:r>
            <w:r>
              <w:rPr>
                <w:spacing w:val="-6"/>
                <w:sz w:val="21"/>
              </w:rPr>
              <w:t>该受益人丧失受益权。</w:t>
            </w:r>
          </w:p>
        </w:tc>
      </w:tr>
      <w:tr>
        <w:trPr>
          <w:trHeight w:val="1850" w:hRule="atLeast"/>
        </w:trPr>
        <w:tc>
          <w:tcPr>
            <w:tcW w:w="681" w:type="dxa"/>
          </w:tcPr>
          <w:p>
            <w:pPr>
              <w:pStyle w:val="TableParagraph"/>
              <w:spacing w:before="37"/>
              <w:ind w:left="108"/>
              <w:rPr>
                <w:rFonts w:ascii="微软雅黑"/>
                <w:b/>
                <w:sz w:val="21"/>
              </w:rPr>
            </w:pPr>
            <w:r>
              <w:rPr>
                <w:rFonts w:ascii="微软雅黑"/>
                <w:b/>
                <w:sz w:val="21"/>
              </w:rPr>
              <w:t>4.2</w:t>
            </w:r>
          </w:p>
        </w:tc>
        <w:tc>
          <w:tcPr>
            <w:tcW w:w="1728" w:type="dxa"/>
          </w:tcPr>
          <w:p>
            <w:pPr>
              <w:pStyle w:val="TableParagraph"/>
              <w:spacing w:before="37"/>
              <w:ind w:left="243"/>
              <w:rPr>
                <w:rFonts w:ascii="微软雅黑" w:eastAsia="微软雅黑" w:hint="eastAsia"/>
                <w:b/>
                <w:sz w:val="21"/>
              </w:rPr>
            </w:pPr>
            <w:r>
              <w:rPr>
                <w:rFonts w:ascii="微软雅黑" w:eastAsia="微软雅黑" w:hint="eastAsia"/>
                <w:b/>
                <w:sz w:val="21"/>
              </w:rPr>
              <w:t>保险事故通知</w:t>
            </w:r>
          </w:p>
        </w:tc>
        <w:tc>
          <w:tcPr>
            <w:tcW w:w="7683" w:type="dxa"/>
          </w:tcPr>
          <w:p>
            <w:pPr>
              <w:pStyle w:val="TableParagraph"/>
              <w:spacing w:line="280" w:lineRule="auto" w:before="99"/>
              <w:ind w:left="217" w:right="317"/>
              <w:jc w:val="both"/>
              <w:rPr>
                <w:sz w:val="21"/>
              </w:rPr>
            </w:pPr>
            <w:r>
              <w:rPr>
                <w:sz w:val="21"/>
              </w:rPr>
              <w:t>投保人或者受益人知道保险事故发Th后应当在 10 日内通知我们。故意或者因重大过失未及时通知，致使保险事故的性质、原因、损失程度等难以确定的， 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4159" w:hRule="atLeast"/>
        </w:trPr>
        <w:tc>
          <w:tcPr>
            <w:tcW w:w="681" w:type="dxa"/>
          </w:tcPr>
          <w:p>
            <w:pPr>
              <w:pStyle w:val="TableParagraph"/>
              <w:spacing w:before="35"/>
              <w:ind w:left="108"/>
              <w:rPr>
                <w:rFonts w:ascii="微软雅黑"/>
                <w:b/>
                <w:sz w:val="21"/>
              </w:rPr>
            </w:pPr>
            <w:r>
              <w:rPr>
                <w:rFonts w:ascii="微软雅黑"/>
                <w:b/>
                <w:sz w:val="21"/>
              </w:rPr>
              <w:t>4.3</w:t>
            </w:r>
          </w:p>
        </w:tc>
        <w:tc>
          <w:tcPr>
            <w:tcW w:w="1728" w:type="dxa"/>
          </w:tcPr>
          <w:p>
            <w:pPr>
              <w:pStyle w:val="TableParagraph"/>
              <w:spacing w:before="35"/>
              <w:ind w:left="243"/>
              <w:rPr>
                <w:rFonts w:ascii="微软雅黑" w:eastAsia="微软雅黑" w:hint="eastAsia"/>
                <w:b/>
                <w:sz w:val="21"/>
              </w:rPr>
            </w:pPr>
            <w:r>
              <w:rPr>
                <w:rFonts w:ascii="微软雅黑" w:eastAsia="微软雅黑" w:hint="eastAsia"/>
                <w:b/>
                <w:sz w:val="21"/>
              </w:rPr>
              <w:t>保险金申请</w:t>
            </w:r>
          </w:p>
        </w:tc>
        <w:tc>
          <w:tcPr>
            <w:tcW w:w="7683" w:type="dxa"/>
          </w:tcPr>
          <w:p>
            <w:pPr>
              <w:pStyle w:val="TableParagraph"/>
              <w:spacing w:line="280" w:lineRule="auto" w:before="97"/>
              <w:ind w:left="217" w:right="336"/>
              <w:rPr>
                <w:sz w:val="21"/>
              </w:rPr>
            </w:pPr>
            <w:r>
              <w:rPr>
                <w:sz w:val="21"/>
              </w:rPr>
              <w:t>在申请保险金时，重症疾病保险金受益人作为申请人须填写领取保险金申请书，并须提供下列证明和资料的原件：</w:t>
            </w:r>
          </w:p>
          <w:p>
            <w:pPr>
              <w:pStyle w:val="TableParagraph"/>
              <w:numPr>
                <w:ilvl w:val="0"/>
                <w:numId w:val="8"/>
              </w:numPr>
              <w:tabs>
                <w:tab w:pos="842" w:val="left" w:leader="none"/>
              </w:tabs>
              <w:spacing w:line="240" w:lineRule="auto" w:before="22" w:after="0"/>
              <w:ind w:left="848"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73"/>
                <w:sz w:val="21"/>
              </w:rPr>
              <w:t>(</w:t>
            </w:r>
            <w:r>
              <w:rPr>
                <w:w w:val="100"/>
                <w:sz w:val="21"/>
              </w:rPr>
              <w:t>见</w:t>
            </w:r>
            <w:r>
              <w:rPr>
                <w:spacing w:val="-55"/>
                <w:sz w:val="21"/>
              </w:rPr>
              <w:t> </w:t>
            </w:r>
            <w:r>
              <w:rPr>
                <w:w w:val="124"/>
                <w:sz w:val="21"/>
              </w:rPr>
              <w:t>8</w:t>
            </w:r>
            <w:r>
              <w:rPr>
                <w:spacing w:val="-2"/>
                <w:w w:val="58"/>
                <w:sz w:val="21"/>
              </w:rPr>
              <w:t>.</w:t>
            </w:r>
            <w:r>
              <w:rPr>
                <w:spacing w:val="-2"/>
                <w:w w:val="97"/>
                <w:sz w:val="21"/>
              </w:rPr>
              <w:t>1</w:t>
            </w:r>
            <w:r>
              <w:rPr>
                <w:spacing w:val="0"/>
                <w:w w:val="122"/>
                <w:sz w:val="21"/>
              </w:rPr>
              <w:t>5</w:t>
            </w:r>
            <w:r>
              <w:rPr>
                <w:w w:val="73"/>
                <w:sz w:val="21"/>
              </w:rPr>
              <w:t>)</w:t>
            </w:r>
            <w:r>
              <w:rPr>
                <w:w w:val="100"/>
                <w:sz w:val="21"/>
              </w:rPr>
              <w:t>；</w:t>
            </w:r>
          </w:p>
          <w:p>
            <w:pPr>
              <w:pStyle w:val="TableParagraph"/>
              <w:numPr>
                <w:ilvl w:val="0"/>
                <w:numId w:val="8"/>
              </w:numPr>
              <w:tabs>
                <w:tab w:pos="849" w:val="left" w:leader="none"/>
              </w:tabs>
              <w:spacing w:line="264" w:lineRule="auto" w:before="35" w:after="0"/>
              <w:ind w:left="848" w:right="336" w:hanging="631"/>
              <w:jc w:val="both"/>
              <w:rPr>
                <w:sz w:val="21"/>
              </w:rPr>
            </w:pPr>
            <w:r>
              <w:rPr>
                <w:spacing w:val="-1"/>
                <w:w w:val="100"/>
                <w:sz w:val="21"/>
              </w:rPr>
              <w:t>由医院</w:t>
            </w:r>
            <w:r>
              <w:rPr>
                <w:rFonts w:ascii="微软雅黑" w:eastAsia="微软雅黑" w:hint="eastAsia"/>
                <w:b/>
                <w:w w:val="100"/>
                <w:sz w:val="21"/>
              </w:rPr>
              <w:t>专科医</w:t>
            </w:r>
            <w:r>
              <w:rPr>
                <w:rFonts w:ascii="微软雅黑" w:eastAsia="微软雅黑" w:hint="eastAsia"/>
                <w:b/>
                <w:spacing w:val="-27"/>
                <w:w w:val="79"/>
                <w:sz w:val="21"/>
              </w:rPr>
              <w:t>Th</w:t>
            </w:r>
            <w:r>
              <w:rPr>
                <w:spacing w:val="-3"/>
                <w:w w:val="100"/>
                <w:sz w:val="21"/>
              </w:rPr>
              <w:t>（</w:t>
            </w:r>
            <w:r>
              <w:rPr>
                <w:w w:val="100"/>
                <w:sz w:val="21"/>
              </w:rPr>
              <w:t>见</w:t>
            </w:r>
            <w:r>
              <w:rPr>
                <w:spacing w:val="-55"/>
                <w:sz w:val="21"/>
              </w:rPr>
              <w:t> </w:t>
            </w:r>
            <w:r>
              <w:rPr>
                <w:w w:val="124"/>
                <w:sz w:val="21"/>
              </w:rPr>
              <w:t>8</w:t>
            </w:r>
            <w:r>
              <w:rPr>
                <w:spacing w:val="-2"/>
                <w:w w:val="58"/>
                <w:sz w:val="21"/>
              </w:rPr>
              <w:t>.</w:t>
            </w:r>
            <w:r>
              <w:rPr>
                <w:w w:val="97"/>
                <w:sz w:val="21"/>
              </w:rPr>
              <w:t>1</w:t>
            </w:r>
            <w:r>
              <w:rPr>
                <w:spacing w:val="-2"/>
                <w:w w:val="123"/>
                <w:sz w:val="21"/>
              </w:rPr>
              <w:t>6</w:t>
            </w:r>
            <w:r>
              <w:rPr>
                <w:spacing w:val="-27"/>
                <w:w w:val="100"/>
                <w:sz w:val="21"/>
              </w:rPr>
              <w:t>）</w:t>
            </w:r>
            <w:r>
              <w:rPr>
                <w:spacing w:val="-5"/>
                <w:w w:val="100"/>
                <w:sz w:val="21"/>
              </w:rPr>
              <w:t>出具的被保险人的疾病诊断证明书，以及由</w:t>
            </w:r>
            <w:r>
              <w:rPr>
                <w:spacing w:val="-5"/>
                <w:sz w:val="21"/>
              </w:rPr>
              <w:t>医院出具的与该疾病诊断证明书相关的病理显微镜检查、血液检验及其</w:t>
            </w:r>
            <w:r>
              <w:rPr>
                <w:spacing w:val="-4"/>
                <w:sz w:val="21"/>
              </w:rPr>
              <w:t>他科学方法检验报告；</w:t>
            </w:r>
          </w:p>
          <w:p>
            <w:pPr>
              <w:pStyle w:val="TableParagraph"/>
              <w:numPr>
                <w:ilvl w:val="0"/>
                <w:numId w:val="8"/>
              </w:numPr>
              <w:tabs>
                <w:tab w:pos="849" w:val="left" w:leader="none"/>
              </w:tabs>
              <w:spacing w:line="240" w:lineRule="auto" w:before="102" w:after="0"/>
              <w:ind w:left="848" w:right="0" w:hanging="631"/>
              <w:jc w:val="left"/>
              <w:rPr>
                <w:sz w:val="21"/>
              </w:rPr>
            </w:pPr>
            <w:r>
              <w:rPr>
                <w:spacing w:val="-3"/>
                <w:sz w:val="21"/>
              </w:rPr>
              <w:t>与确认保险事故的性质、原因等有关的其他证明和资料。</w:t>
            </w:r>
          </w:p>
          <w:p>
            <w:pPr>
              <w:pStyle w:val="TableParagraph"/>
              <w:spacing w:line="278" w:lineRule="auto"/>
              <w:ind w:left="217" w:right="307"/>
              <w:rPr>
                <w:sz w:val="21"/>
              </w:rPr>
            </w:pPr>
            <w:r>
              <w:rPr>
                <w:sz w:val="21"/>
              </w:rPr>
              <w:t>保险金作为被保险人遗产时，继承人还必须提供可证明其合法继承权的相关权利文件。</w:t>
            </w:r>
          </w:p>
          <w:p>
            <w:pPr>
              <w:pStyle w:val="TableParagraph"/>
              <w:spacing w:line="280" w:lineRule="auto" w:before="90"/>
              <w:ind w:left="217" w:right="307"/>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35"/>
              <w:ind w:left="108"/>
              <w:rPr>
                <w:rFonts w:ascii="微软雅黑"/>
                <w:b/>
                <w:sz w:val="21"/>
              </w:rPr>
            </w:pPr>
            <w:r>
              <w:rPr>
                <w:rFonts w:ascii="微软雅黑"/>
                <w:b/>
                <w:sz w:val="21"/>
              </w:rPr>
              <w:t>4.4</w:t>
            </w:r>
          </w:p>
        </w:tc>
        <w:tc>
          <w:tcPr>
            <w:tcW w:w="1728" w:type="dxa"/>
          </w:tcPr>
          <w:p>
            <w:pPr>
              <w:pStyle w:val="TableParagraph"/>
              <w:spacing w:before="35"/>
              <w:ind w:left="243"/>
              <w:rPr>
                <w:rFonts w:ascii="微软雅黑" w:eastAsia="微软雅黑" w:hint="eastAsia"/>
                <w:b/>
                <w:sz w:val="21"/>
              </w:rPr>
            </w:pPr>
            <w:r>
              <w:rPr>
                <w:rFonts w:ascii="微软雅黑" w:eastAsia="微软雅黑" w:hint="eastAsia"/>
                <w:b/>
                <w:sz w:val="21"/>
              </w:rPr>
              <w:t>保险金给付</w:t>
            </w:r>
          </w:p>
        </w:tc>
        <w:tc>
          <w:tcPr>
            <w:tcW w:w="7683" w:type="dxa"/>
          </w:tcPr>
          <w:p>
            <w:pPr>
              <w:pStyle w:val="TableParagraph"/>
              <w:spacing w:before="97"/>
              <w:ind w:left="217"/>
              <w:rPr>
                <w:sz w:val="21"/>
              </w:rPr>
            </w:pPr>
            <w:r>
              <w:rPr>
                <w:sz w:val="21"/>
              </w:rPr>
              <w:t>我们在收到领取保险金申请书及本合同约定的证明和资料后，将在 5 日内作出</w:t>
            </w:r>
          </w:p>
          <w:p>
            <w:pPr>
              <w:pStyle w:val="TableParagraph"/>
              <w:spacing w:before="46"/>
              <w:ind w:left="217"/>
              <w:rPr>
                <w:sz w:val="21"/>
              </w:rPr>
            </w:pPr>
            <w:r>
              <w:rPr>
                <w:sz w:val="21"/>
              </w:rPr>
              <w:t>核定；情形复杂的，在 30 日内作出核定。对属于保险责任的，我们在与受益</w:t>
            </w:r>
          </w:p>
          <w:p>
            <w:pPr>
              <w:pStyle w:val="TableParagraph"/>
              <w:spacing w:before="44"/>
              <w:ind w:left="217"/>
              <w:rPr>
                <w:sz w:val="21"/>
              </w:rPr>
            </w:pPr>
            <w:r>
              <w:rPr>
                <w:sz w:val="21"/>
              </w:rPr>
              <w:t>人达成给付保险金的协议后 10 日内，履行给付保险金义务。</w:t>
            </w:r>
          </w:p>
          <w:p>
            <w:pPr>
              <w:pStyle w:val="TableParagraph"/>
              <w:spacing w:line="242" w:lineRule="auto" w:before="121"/>
              <w:ind w:left="217" w:right="264"/>
              <w:jc w:val="both"/>
              <w:rPr>
                <w:sz w:val="21"/>
              </w:rPr>
            </w:pPr>
            <w:r>
              <w:rPr>
                <w:spacing w:val="-6"/>
                <w:sz w:val="21"/>
              </w:rPr>
              <w:t>我们未及时履行前款约定义务的，对属于保险责任的，除支付保险金外，应当</w:t>
            </w:r>
            <w:r>
              <w:rPr>
                <w:spacing w:val="-4"/>
                <w:w w:val="100"/>
                <w:sz w:val="21"/>
              </w:rPr>
              <w:t>赔偿受益人因此受到的利息损失。利息按照我们确定的利率按</w:t>
            </w:r>
            <w:r>
              <w:rPr>
                <w:rFonts w:ascii="微软雅黑" w:eastAsia="微软雅黑" w:hint="eastAsia"/>
                <w:b/>
                <w:w w:val="100"/>
                <w:sz w:val="21"/>
              </w:rPr>
              <w:t>复利</w:t>
            </w:r>
            <w:r>
              <w:rPr>
                <w:spacing w:val="-3"/>
                <w:w w:val="100"/>
                <w:sz w:val="21"/>
              </w:rPr>
              <w:t>（</w:t>
            </w:r>
            <w:r>
              <w:rPr>
                <w:w w:val="100"/>
                <w:sz w:val="21"/>
              </w:rPr>
              <w:t>见</w:t>
            </w:r>
            <w:r>
              <w:rPr>
                <w:spacing w:val="-55"/>
                <w:sz w:val="21"/>
              </w:rPr>
              <w:t> </w:t>
            </w:r>
            <w:r>
              <w:rPr>
                <w:w w:val="124"/>
                <w:sz w:val="21"/>
              </w:rPr>
              <w:t>8</w:t>
            </w:r>
            <w:r>
              <w:rPr>
                <w:spacing w:val="-2"/>
                <w:w w:val="58"/>
                <w:sz w:val="21"/>
              </w:rPr>
              <w:t>.</w:t>
            </w:r>
            <w:r>
              <w:rPr>
                <w:spacing w:val="-2"/>
                <w:w w:val="97"/>
                <w:sz w:val="21"/>
              </w:rPr>
              <w:t>1</w:t>
            </w:r>
            <w:r>
              <w:rPr>
                <w:spacing w:val="-2"/>
                <w:w w:val="122"/>
                <w:sz w:val="21"/>
              </w:rPr>
              <w:t>7</w:t>
            </w:r>
            <w:r>
              <w:rPr>
                <w:w w:val="100"/>
                <w:sz w:val="21"/>
              </w:rPr>
              <w:t>）</w:t>
            </w:r>
            <w:r>
              <w:rPr>
                <w:spacing w:val="-3"/>
                <w:sz w:val="21"/>
              </w:rPr>
              <w:t>计算，且我们确定的利率不低于中国人民银行一年期居民定期储蓄存款利率。</w:t>
            </w:r>
          </w:p>
          <w:p>
            <w:pPr>
              <w:pStyle w:val="TableParagraph"/>
              <w:spacing w:line="278" w:lineRule="auto" w:before="45"/>
              <w:ind w:left="217" w:right="339"/>
              <w:jc w:val="both"/>
              <w:rPr>
                <w:sz w:val="21"/>
              </w:rPr>
            </w:pPr>
            <w:r>
              <w:rPr>
                <w:spacing w:val="-9"/>
                <w:sz w:val="21"/>
              </w:rPr>
              <w:t>对不属于保险责任的，我们自作出核定之日起 </w:t>
            </w:r>
            <w:r>
              <w:rPr>
                <w:sz w:val="21"/>
              </w:rPr>
              <w:t>3</w:t>
            </w:r>
            <w:r>
              <w:rPr>
                <w:spacing w:val="-6"/>
                <w:sz w:val="21"/>
              </w:rPr>
              <w:t> 日内向受益人发出拒绝给付保</w:t>
            </w:r>
            <w:r>
              <w:rPr>
                <w:spacing w:val="-4"/>
                <w:sz w:val="21"/>
              </w:rPr>
              <w:t>险金通知书并说明理由。</w:t>
            </w:r>
          </w:p>
          <w:p>
            <w:pPr>
              <w:pStyle w:val="TableParagraph"/>
              <w:spacing w:line="280" w:lineRule="auto" w:before="88"/>
              <w:ind w:left="217" w:right="338"/>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725" w:hRule="atLeast"/>
        </w:trPr>
        <w:tc>
          <w:tcPr>
            <w:tcW w:w="681" w:type="dxa"/>
          </w:tcPr>
          <w:p>
            <w:pPr>
              <w:pStyle w:val="TableParagraph"/>
              <w:spacing w:before="35"/>
              <w:ind w:left="108"/>
              <w:rPr>
                <w:rFonts w:ascii="微软雅黑"/>
                <w:b/>
                <w:sz w:val="21"/>
              </w:rPr>
            </w:pPr>
            <w:r>
              <w:rPr>
                <w:rFonts w:ascii="微软雅黑"/>
                <w:b/>
                <w:sz w:val="21"/>
              </w:rPr>
              <w:t>4.5</w:t>
            </w:r>
          </w:p>
        </w:tc>
        <w:tc>
          <w:tcPr>
            <w:tcW w:w="1728" w:type="dxa"/>
          </w:tcPr>
          <w:p>
            <w:pPr>
              <w:pStyle w:val="TableParagraph"/>
              <w:spacing w:before="35"/>
              <w:ind w:left="243"/>
              <w:rPr>
                <w:rFonts w:ascii="微软雅黑" w:eastAsia="微软雅黑" w:hint="eastAsia"/>
                <w:b/>
                <w:sz w:val="21"/>
              </w:rPr>
            </w:pPr>
            <w:r>
              <w:rPr>
                <w:rFonts w:ascii="微软雅黑" w:eastAsia="微软雅黑" w:hint="eastAsia"/>
                <w:b/>
                <w:sz w:val="21"/>
              </w:rPr>
              <w:t>诉讼时效</w:t>
            </w:r>
          </w:p>
        </w:tc>
        <w:tc>
          <w:tcPr>
            <w:tcW w:w="7683" w:type="dxa"/>
          </w:tcPr>
          <w:p>
            <w:pPr>
              <w:pStyle w:val="TableParagraph"/>
              <w:spacing w:line="320" w:lineRule="atLeast" w:before="52"/>
              <w:ind w:left="217" w:right="341"/>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bl>
    <w:p>
      <w:pPr>
        <w:spacing w:after="0" w:line="320" w:lineRule="atLeast"/>
        <w:rPr>
          <w:sz w:val="21"/>
        </w:rPr>
        <w:sectPr>
          <w:pgSz w:w="11910" w:h="16840"/>
          <w:pgMar w:top="130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33"/>
        <w:gridCol w:w="7577"/>
      </w:tblGrid>
      <w:tr>
        <w:trPr>
          <w:trHeight w:val="726" w:hRule="atLeast"/>
        </w:trPr>
        <w:tc>
          <w:tcPr>
            <w:tcW w:w="681" w:type="dxa"/>
            <w:tcBorders>
              <w:bottom w:val="single" w:sz="8" w:space="0" w:color="000000"/>
            </w:tcBorders>
          </w:tcPr>
          <w:p>
            <w:pPr>
              <w:pStyle w:val="TableParagraph"/>
              <w:spacing w:line="499" w:lineRule="exact" w:before="0"/>
              <w:ind w:left="108"/>
              <w:rPr>
                <w:rFonts w:ascii="微软雅黑"/>
                <w:b/>
                <w:sz w:val="36"/>
              </w:rPr>
            </w:pPr>
            <w:r>
              <w:rPr>
                <w:rFonts w:ascii="微软雅黑"/>
                <w:b/>
                <w:sz w:val="36"/>
              </w:rPr>
              <w:t>5.</w:t>
            </w:r>
          </w:p>
        </w:tc>
        <w:tc>
          <w:tcPr>
            <w:tcW w:w="9410" w:type="dxa"/>
            <w:gridSpan w:val="2"/>
            <w:tcBorders>
              <w:bottom w:val="single" w:sz="8" w:space="0" w:color="000000"/>
            </w:tcBorders>
          </w:tcPr>
          <w:p>
            <w:pPr>
              <w:pStyle w:val="TableParagraph"/>
              <w:spacing w:line="268" w:lineRule="exact" w:before="0"/>
              <w:ind w:left="243"/>
              <w:rPr>
                <w:rFonts w:ascii="微软雅黑" w:eastAsia="微软雅黑" w:hint="eastAsia"/>
                <w:b/>
                <w:sz w:val="24"/>
              </w:rPr>
            </w:pPr>
            <w:r>
              <w:rPr>
                <w:rFonts w:ascii="微软雅黑" w:eastAsia="微软雅黑" w:hint="eastAsia"/>
                <w:b/>
                <w:sz w:val="24"/>
              </w:rPr>
              <w:t>如何退保</w:t>
            </w:r>
          </w:p>
          <w:p>
            <w:pPr>
              <w:pStyle w:val="TableParagraph"/>
              <w:spacing w:before="21"/>
              <w:ind w:left="243"/>
              <w:rPr>
                <w:rFonts w:ascii="Microsoft JhengHei" w:eastAsia="Microsoft JhengHei" w:hint="eastAsia"/>
                <w:b/>
                <w:sz w:val="21"/>
              </w:rPr>
            </w:pPr>
            <w:r>
              <w:rPr>
                <w:rFonts w:ascii="Microsoft JhengHei" w:eastAsia="Microsoft JhengHei" w:hint="eastAsia"/>
                <w:b/>
                <w:sz w:val="21"/>
              </w:rPr>
              <w:t>这部分讲的是投保人可以随时申请退保，退保会有一定损失</w:t>
            </w:r>
          </w:p>
        </w:tc>
      </w:tr>
      <w:tr>
        <w:trPr>
          <w:trHeight w:val="2157" w:hRule="atLeast"/>
        </w:trPr>
        <w:tc>
          <w:tcPr>
            <w:tcW w:w="681" w:type="dxa"/>
            <w:tcBorders>
              <w:top w:val="single" w:sz="8" w:space="0" w:color="000000"/>
            </w:tcBorders>
          </w:tcPr>
          <w:p>
            <w:pPr>
              <w:pStyle w:val="TableParagraph"/>
              <w:spacing w:before="171"/>
              <w:ind w:left="108"/>
              <w:rPr>
                <w:rFonts w:ascii="微软雅黑"/>
                <w:b/>
                <w:sz w:val="21"/>
              </w:rPr>
            </w:pPr>
            <w:r>
              <w:rPr>
                <w:rFonts w:ascii="微软雅黑"/>
                <w:b/>
                <w:sz w:val="21"/>
              </w:rPr>
              <w:t>5.1</w:t>
            </w:r>
          </w:p>
        </w:tc>
        <w:tc>
          <w:tcPr>
            <w:tcW w:w="1833" w:type="dxa"/>
            <w:tcBorders>
              <w:top w:val="single" w:sz="8" w:space="0" w:color="000000"/>
            </w:tcBorders>
          </w:tcPr>
          <w:p>
            <w:pPr>
              <w:pStyle w:val="TableParagraph"/>
              <w:spacing w:line="213" w:lineRule="auto" w:before="211"/>
              <w:ind w:left="243" w:right="109"/>
              <w:rPr>
                <w:rFonts w:ascii="微软雅黑" w:eastAsia="微软雅黑" w:hint="eastAsia"/>
                <w:b/>
                <w:sz w:val="21"/>
              </w:rPr>
            </w:pPr>
            <w:r>
              <w:rPr>
                <w:rFonts w:ascii="微软雅黑" w:eastAsia="微软雅黑" w:hint="eastAsia"/>
                <w:b/>
                <w:sz w:val="21"/>
              </w:rPr>
              <w:t>投保人解除合同的手续及风险</w:t>
            </w:r>
          </w:p>
        </w:tc>
        <w:tc>
          <w:tcPr>
            <w:tcW w:w="7577" w:type="dxa"/>
            <w:tcBorders>
              <w:top w:val="single" w:sz="8" w:space="0" w:color="000000"/>
            </w:tcBorders>
          </w:tcPr>
          <w:p>
            <w:pPr>
              <w:pStyle w:val="TableParagraph"/>
              <w:spacing w:before="11"/>
              <w:ind w:left="0"/>
              <w:rPr>
                <w:sz w:val="17"/>
              </w:rPr>
            </w:pPr>
          </w:p>
          <w:p>
            <w:pPr>
              <w:pStyle w:val="TableParagraph"/>
              <w:spacing w:line="280" w:lineRule="auto" w:before="0"/>
              <w:ind w:left="112" w:right="306"/>
              <w:rPr>
                <w:sz w:val="21"/>
              </w:rPr>
            </w:pPr>
            <w:r>
              <w:rPr>
                <w:sz w:val="21"/>
              </w:rPr>
              <w:t>如果投保人要求解除本合同，请填写解除合同申请书并签章，并向我们提供经办人的有效身份证件。</w:t>
            </w:r>
          </w:p>
          <w:p>
            <w:pPr>
              <w:pStyle w:val="TableParagraph"/>
              <w:spacing w:line="280" w:lineRule="auto" w:before="85"/>
              <w:ind w:left="112" w:right="309"/>
              <w:rPr>
                <w:sz w:val="21"/>
              </w:rPr>
            </w:pPr>
            <w:r>
              <w:rPr>
                <w:sz w:val="21"/>
              </w:rPr>
              <w:t>自我们收到解除合同申请书时起，本合同终止。我们自收到解除合同申请书之日起 30 日内按本合同约定向投保人退还本合同终止时的现金价值。</w:t>
            </w:r>
          </w:p>
          <w:p>
            <w:pPr>
              <w:pStyle w:val="TableParagraph"/>
              <w:spacing w:before="87"/>
              <w:ind w:left="112"/>
              <w:rPr>
                <w:sz w:val="21"/>
              </w:rPr>
            </w:pPr>
            <w:r>
              <w:rPr>
                <w:sz w:val="21"/>
              </w:rPr>
              <w:t>投保人解除合同会遭受一定损失。</w:t>
            </w:r>
          </w:p>
        </w:tc>
      </w:tr>
      <w:tr>
        <w:trPr>
          <w:trHeight w:val="904" w:hRule="atLeast"/>
        </w:trPr>
        <w:tc>
          <w:tcPr>
            <w:tcW w:w="681" w:type="dxa"/>
            <w:tcBorders>
              <w:bottom w:val="single" w:sz="8" w:space="0" w:color="000000"/>
            </w:tcBorders>
          </w:tcPr>
          <w:p>
            <w:pPr>
              <w:pStyle w:val="TableParagraph"/>
              <w:spacing w:before="53"/>
              <w:ind w:left="108"/>
              <w:rPr>
                <w:rFonts w:ascii="微软雅黑"/>
                <w:b/>
                <w:sz w:val="36"/>
              </w:rPr>
            </w:pPr>
            <w:r>
              <w:rPr>
                <w:rFonts w:ascii="微软雅黑"/>
                <w:b/>
                <w:sz w:val="36"/>
              </w:rPr>
              <w:t>6.</w:t>
            </w:r>
          </w:p>
        </w:tc>
        <w:tc>
          <w:tcPr>
            <w:tcW w:w="9410" w:type="dxa"/>
            <w:gridSpan w:val="2"/>
            <w:tcBorders>
              <w:bottom w:val="single" w:sz="8" w:space="0" w:color="000000"/>
            </w:tcBorders>
          </w:tcPr>
          <w:p>
            <w:pPr>
              <w:pStyle w:val="TableParagraph"/>
              <w:spacing w:before="29"/>
              <w:ind w:left="243"/>
              <w:rPr>
                <w:rFonts w:ascii="微软雅黑" w:eastAsia="微软雅黑" w:hint="eastAsia"/>
                <w:b/>
                <w:sz w:val="24"/>
              </w:rPr>
            </w:pPr>
            <w:r>
              <w:rPr>
                <w:rFonts w:ascii="微软雅黑" w:eastAsia="微软雅黑" w:hint="eastAsia"/>
                <w:b/>
                <w:sz w:val="24"/>
              </w:rPr>
              <w:t>其他需要关注的事项</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681" w:type="dxa"/>
            <w:tcBorders>
              <w:top w:val="single" w:sz="8" w:space="0" w:color="000000"/>
            </w:tcBorders>
          </w:tcPr>
          <w:p>
            <w:pPr>
              <w:pStyle w:val="TableParagraph"/>
              <w:spacing w:before="172"/>
              <w:ind w:left="108"/>
              <w:rPr>
                <w:rFonts w:ascii="微软雅黑"/>
                <w:b/>
                <w:sz w:val="21"/>
              </w:rPr>
            </w:pPr>
            <w:r>
              <w:rPr>
                <w:rFonts w:ascii="微软雅黑"/>
                <w:b/>
                <w:sz w:val="21"/>
              </w:rPr>
              <w:t>6.1</w:t>
            </w:r>
          </w:p>
        </w:tc>
        <w:tc>
          <w:tcPr>
            <w:tcW w:w="1833" w:type="dxa"/>
            <w:tcBorders>
              <w:top w:val="single" w:sz="8" w:space="0" w:color="000000"/>
            </w:tcBorders>
          </w:tcPr>
          <w:p>
            <w:pPr>
              <w:pStyle w:val="TableParagraph"/>
              <w:spacing w:before="172"/>
              <w:ind w:left="243"/>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11"/>
              <w:ind w:left="0"/>
              <w:rPr>
                <w:sz w:val="17"/>
              </w:rPr>
            </w:pPr>
          </w:p>
          <w:p>
            <w:pPr>
              <w:pStyle w:val="TableParagraph"/>
              <w:spacing w:line="280" w:lineRule="auto" w:before="1"/>
              <w:ind w:left="112" w:right="340"/>
              <w:jc w:val="both"/>
              <w:rPr>
                <w:sz w:val="21"/>
              </w:rPr>
            </w:pPr>
            <w:r>
              <w:rPr>
                <w:spacing w:val="-6"/>
                <w:sz w:val="21"/>
              </w:rPr>
              <w:t>本合同包括本保险条款、保险单或者保险凭证、投保单、被保险人名册、与本合同有关的投保文件、合法有效的声明、批单及其他投保人与我们共同认可的</w:t>
            </w:r>
            <w:r>
              <w:rPr>
                <w:spacing w:val="-4"/>
                <w:sz w:val="21"/>
              </w:rPr>
              <w:t>书面协议。</w:t>
            </w:r>
          </w:p>
        </w:tc>
      </w:tr>
      <w:tr>
        <w:trPr>
          <w:trHeight w:val="1208" w:hRule="atLeast"/>
        </w:trPr>
        <w:tc>
          <w:tcPr>
            <w:tcW w:w="681" w:type="dxa"/>
          </w:tcPr>
          <w:p>
            <w:pPr>
              <w:pStyle w:val="TableParagraph"/>
              <w:spacing w:before="35"/>
              <w:ind w:left="108"/>
              <w:rPr>
                <w:rFonts w:ascii="微软雅黑"/>
                <w:b/>
                <w:sz w:val="21"/>
              </w:rPr>
            </w:pPr>
            <w:r>
              <w:rPr>
                <w:rFonts w:ascii="微软雅黑"/>
                <w:b/>
                <w:sz w:val="21"/>
              </w:rPr>
              <w:t>6.2</w:t>
            </w:r>
          </w:p>
        </w:tc>
        <w:tc>
          <w:tcPr>
            <w:tcW w:w="1833" w:type="dxa"/>
          </w:tcPr>
          <w:p>
            <w:pPr>
              <w:pStyle w:val="TableParagraph"/>
              <w:spacing w:before="35"/>
              <w:ind w:left="243"/>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line="280" w:lineRule="auto" w:before="97"/>
              <w:ind w:left="112" w:right="337"/>
              <w:jc w:val="both"/>
              <w:rPr>
                <w:sz w:val="21"/>
              </w:rPr>
            </w:pPr>
            <w:r>
              <w:rPr>
                <w:spacing w:val="-6"/>
                <w:sz w:val="21"/>
              </w:rPr>
              <w:t>投保人提出保险申请且我们同意承保，本合同成立。本合同的成立日、</w:t>
            </w:r>
            <w:r>
              <w:rPr>
                <w:sz w:val="21"/>
              </w:rPr>
              <w:t>Th</w:t>
            </w:r>
            <w:r>
              <w:rPr>
                <w:spacing w:val="-2"/>
                <w:sz w:val="21"/>
              </w:rPr>
              <w:t>效日</w:t>
            </w:r>
            <w:r>
              <w:rPr>
                <w:spacing w:val="-4"/>
                <w:sz w:val="21"/>
              </w:rPr>
              <w:t>以保险单载明的日期为准。本合同</w:t>
            </w:r>
            <w:r>
              <w:rPr>
                <w:sz w:val="21"/>
              </w:rPr>
              <w:t>Th</w:t>
            </w:r>
            <w:r>
              <w:rPr>
                <w:spacing w:val="-4"/>
                <w:sz w:val="21"/>
              </w:rPr>
              <w:t>效，我们开始承担保险责任。除另有约定</w:t>
            </w:r>
            <w:r>
              <w:rPr>
                <w:spacing w:val="-3"/>
                <w:sz w:val="21"/>
              </w:rPr>
              <w:t>外，保险费约定交纳日依据本合同的</w:t>
            </w:r>
            <w:r>
              <w:rPr>
                <w:sz w:val="21"/>
              </w:rPr>
              <w:t>Th</w:t>
            </w:r>
            <w:r>
              <w:rPr>
                <w:spacing w:val="-3"/>
                <w:sz w:val="21"/>
              </w:rPr>
              <w:t>效日为基础进行计算。</w:t>
            </w:r>
          </w:p>
        </w:tc>
      </w:tr>
      <w:tr>
        <w:trPr>
          <w:trHeight w:val="1208" w:hRule="atLeast"/>
        </w:trPr>
        <w:tc>
          <w:tcPr>
            <w:tcW w:w="681" w:type="dxa"/>
          </w:tcPr>
          <w:p>
            <w:pPr>
              <w:pStyle w:val="TableParagraph"/>
              <w:spacing w:before="36"/>
              <w:ind w:left="108"/>
              <w:rPr>
                <w:rFonts w:ascii="微软雅黑"/>
                <w:b/>
                <w:sz w:val="21"/>
              </w:rPr>
            </w:pPr>
            <w:r>
              <w:rPr>
                <w:rFonts w:ascii="微软雅黑"/>
                <w:b/>
                <w:sz w:val="21"/>
              </w:rPr>
              <w:t>6.3</w:t>
            </w:r>
          </w:p>
        </w:tc>
        <w:tc>
          <w:tcPr>
            <w:tcW w:w="1833" w:type="dxa"/>
          </w:tcPr>
          <w:p>
            <w:pPr>
              <w:pStyle w:val="TableParagraph"/>
              <w:spacing w:before="36"/>
              <w:ind w:left="243"/>
              <w:rPr>
                <w:rFonts w:ascii="微软雅黑" w:eastAsia="微软雅黑" w:hint="eastAsia"/>
                <w:b/>
                <w:sz w:val="21"/>
              </w:rPr>
            </w:pPr>
            <w:r>
              <w:rPr>
                <w:rFonts w:ascii="微软雅黑" w:eastAsia="微软雅黑" w:hint="eastAsia"/>
                <w:b/>
                <w:sz w:val="21"/>
              </w:rPr>
              <w:t>投保范围</w:t>
            </w:r>
          </w:p>
        </w:tc>
        <w:tc>
          <w:tcPr>
            <w:tcW w:w="7577" w:type="dxa"/>
          </w:tcPr>
          <w:p>
            <w:pPr>
              <w:pStyle w:val="TableParagraph"/>
              <w:spacing w:line="264" w:lineRule="auto" w:before="36"/>
              <w:ind w:left="112" w:right="338"/>
              <w:jc w:val="both"/>
              <w:rPr>
                <w:sz w:val="21"/>
              </w:rPr>
            </w:pPr>
            <w:r>
              <w:rPr>
                <w:spacing w:val="-2"/>
                <w:w w:val="100"/>
                <w:sz w:val="21"/>
              </w:rPr>
              <w:t>投保人可将</w:t>
            </w:r>
            <w:r>
              <w:rPr>
                <w:rFonts w:ascii="微软雅黑" w:eastAsia="微软雅黑" w:hint="eastAsia"/>
                <w:b/>
                <w:spacing w:val="-14"/>
                <w:w w:val="100"/>
                <w:sz w:val="21"/>
              </w:rPr>
              <w:t>团体</w:t>
            </w:r>
            <w:r>
              <w:rPr>
                <w:spacing w:val="-3"/>
                <w:w w:val="100"/>
                <w:sz w:val="21"/>
              </w:rPr>
              <w:t>（</w:t>
            </w:r>
            <w:r>
              <w:rPr>
                <w:w w:val="100"/>
                <w:sz w:val="21"/>
              </w:rPr>
              <w:t>见</w:t>
            </w:r>
            <w:r>
              <w:rPr>
                <w:spacing w:val="-53"/>
                <w:sz w:val="21"/>
              </w:rPr>
              <w:t> </w:t>
            </w:r>
            <w:r>
              <w:rPr>
                <w:w w:val="124"/>
                <w:sz w:val="21"/>
              </w:rPr>
              <w:t>8</w:t>
            </w:r>
            <w:r>
              <w:rPr>
                <w:spacing w:val="-4"/>
                <w:w w:val="58"/>
                <w:sz w:val="21"/>
              </w:rPr>
              <w:t>.</w:t>
            </w:r>
            <w:r>
              <w:rPr>
                <w:w w:val="97"/>
                <w:sz w:val="21"/>
              </w:rPr>
              <w:t>1</w:t>
            </w:r>
            <w:r>
              <w:rPr>
                <w:spacing w:val="-2"/>
                <w:w w:val="124"/>
                <w:sz w:val="21"/>
              </w:rPr>
              <w:t>8</w:t>
            </w:r>
            <w:r>
              <w:rPr>
                <w:spacing w:val="-27"/>
                <w:w w:val="100"/>
                <w:sz w:val="21"/>
              </w:rPr>
              <w:t>）</w:t>
            </w:r>
            <w:r>
              <w:rPr>
                <w:spacing w:val="-5"/>
                <w:w w:val="100"/>
                <w:sz w:val="21"/>
              </w:rPr>
              <w:t>成员作为被保险人向我们投保本合同，团体成员的</w:t>
            </w:r>
            <w:r>
              <w:rPr>
                <w:spacing w:val="-7"/>
                <w:sz w:val="21"/>
              </w:rPr>
              <w:t>配偶、子女、父母也可以作为被保险人参加本合同。另有约定的按约定内容执行。</w:t>
            </w:r>
          </w:p>
        </w:tc>
      </w:tr>
      <w:tr>
        <w:trPr>
          <w:trHeight w:val="567" w:hRule="atLeast"/>
        </w:trPr>
        <w:tc>
          <w:tcPr>
            <w:tcW w:w="681" w:type="dxa"/>
          </w:tcPr>
          <w:p>
            <w:pPr>
              <w:pStyle w:val="TableParagraph"/>
              <w:spacing w:before="35"/>
              <w:ind w:left="108"/>
              <w:rPr>
                <w:rFonts w:ascii="微软雅黑"/>
                <w:b/>
                <w:sz w:val="21"/>
              </w:rPr>
            </w:pPr>
            <w:r>
              <w:rPr>
                <w:rFonts w:ascii="微软雅黑"/>
                <w:b/>
                <w:sz w:val="21"/>
              </w:rPr>
              <w:t>6.4</w:t>
            </w:r>
          </w:p>
        </w:tc>
        <w:tc>
          <w:tcPr>
            <w:tcW w:w="1833" w:type="dxa"/>
          </w:tcPr>
          <w:p>
            <w:pPr>
              <w:pStyle w:val="TableParagraph"/>
              <w:spacing w:before="35"/>
              <w:ind w:left="243"/>
              <w:rPr>
                <w:rFonts w:ascii="微软雅黑" w:eastAsia="微软雅黑" w:hint="eastAsia"/>
                <w:b/>
                <w:sz w:val="21"/>
              </w:rPr>
            </w:pPr>
            <w:r>
              <w:rPr>
                <w:rFonts w:ascii="微软雅黑" w:eastAsia="微软雅黑" w:hint="eastAsia"/>
                <w:b/>
                <w:sz w:val="21"/>
              </w:rPr>
              <w:t>投保年龄</w:t>
            </w:r>
          </w:p>
        </w:tc>
        <w:tc>
          <w:tcPr>
            <w:tcW w:w="7577" w:type="dxa"/>
          </w:tcPr>
          <w:p>
            <w:pPr>
              <w:pStyle w:val="TableParagraph"/>
              <w:spacing w:before="97"/>
              <w:ind w:left="112"/>
              <w:rPr>
                <w:sz w:val="21"/>
              </w:rPr>
            </w:pPr>
            <w:r>
              <w:rPr>
                <w:sz w:val="21"/>
              </w:rPr>
              <w:t>投保年龄指投保时被保险人的年龄，以周岁计算。</w:t>
            </w:r>
          </w:p>
        </w:tc>
      </w:tr>
      <w:tr>
        <w:trPr>
          <w:trHeight w:val="5759" w:hRule="atLeast"/>
        </w:trPr>
        <w:tc>
          <w:tcPr>
            <w:tcW w:w="681" w:type="dxa"/>
          </w:tcPr>
          <w:p>
            <w:pPr>
              <w:pStyle w:val="TableParagraph"/>
              <w:spacing w:before="36"/>
              <w:ind w:left="108"/>
              <w:rPr>
                <w:rFonts w:ascii="微软雅黑"/>
                <w:b/>
                <w:sz w:val="21"/>
              </w:rPr>
            </w:pPr>
            <w:r>
              <w:rPr>
                <w:rFonts w:ascii="微软雅黑"/>
                <w:b/>
                <w:sz w:val="21"/>
              </w:rPr>
              <w:t>6.5</w:t>
            </w:r>
          </w:p>
        </w:tc>
        <w:tc>
          <w:tcPr>
            <w:tcW w:w="1833" w:type="dxa"/>
          </w:tcPr>
          <w:p>
            <w:pPr>
              <w:pStyle w:val="TableParagraph"/>
              <w:spacing w:line="211" w:lineRule="auto" w:before="80"/>
              <w:ind w:left="243" w:right="109"/>
              <w:rPr>
                <w:rFonts w:ascii="微软雅黑" w:eastAsia="微软雅黑" w:hint="eastAsia"/>
                <w:b/>
                <w:sz w:val="21"/>
              </w:rPr>
            </w:pPr>
            <w:r>
              <w:rPr>
                <w:rFonts w:ascii="微软雅黑" w:eastAsia="微软雅黑" w:hint="eastAsia"/>
                <w:b/>
                <w:sz w:val="21"/>
              </w:rPr>
              <w:t>明确说明与如实告知</w:t>
            </w:r>
          </w:p>
        </w:tc>
        <w:tc>
          <w:tcPr>
            <w:tcW w:w="7577" w:type="dxa"/>
          </w:tcPr>
          <w:p>
            <w:pPr>
              <w:pStyle w:val="TableParagraph"/>
              <w:spacing w:line="278" w:lineRule="auto" w:before="99"/>
              <w:ind w:left="112" w:right="337"/>
              <w:jc w:val="both"/>
              <w:rPr>
                <w:sz w:val="21"/>
              </w:rPr>
            </w:pPr>
            <w:r>
              <w:rPr>
                <w:spacing w:val="-5"/>
                <w:sz w:val="21"/>
              </w:rPr>
              <w:t>订立本合同时，我们应当向投保人说明本合同的内容。对保险条款中免除我们</w:t>
            </w:r>
            <w:r>
              <w:rPr>
                <w:spacing w:val="-7"/>
                <w:sz w:val="21"/>
              </w:rPr>
              <w:t>责任的条款，我们在订立合同时应当在投保单、保险单或者保险凭证上作出足以引起投保人注意的提示，并对该条款的内容以书面或者口头形式向投保人作</w:t>
            </w:r>
            <w:r>
              <w:rPr>
                <w:spacing w:val="-5"/>
                <w:sz w:val="21"/>
              </w:rPr>
              <w:t>出明确说明，未作提示或者明确说明的，该条款不产</w:t>
            </w:r>
            <w:r>
              <w:rPr>
                <w:sz w:val="21"/>
              </w:rPr>
              <w:t>Th</w:t>
            </w:r>
            <w:r>
              <w:rPr>
                <w:spacing w:val="-2"/>
                <w:sz w:val="21"/>
              </w:rPr>
              <w:t>效力。</w:t>
            </w:r>
          </w:p>
          <w:p>
            <w:pPr>
              <w:pStyle w:val="TableParagraph"/>
              <w:spacing w:before="87"/>
              <w:ind w:left="112"/>
              <w:jc w:val="both"/>
              <w:rPr>
                <w:sz w:val="21"/>
              </w:rPr>
            </w:pPr>
            <w:r>
              <w:rPr>
                <w:sz w:val="21"/>
              </w:rPr>
              <w:t>我们会就投保人和被保险人的有关情况提出询问，投保人应当如实告知。</w:t>
            </w:r>
          </w:p>
          <w:p>
            <w:pPr>
              <w:pStyle w:val="TableParagraph"/>
              <w:spacing w:line="280" w:lineRule="auto"/>
              <w:ind w:left="112" w:right="334"/>
              <w:jc w:val="both"/>
              <w:rPr>
                <w:sz w:val="21"/>
              </w:rPr>
            </w:pPr>
            <w:r>
              <w:rPr>
                <w:spacing w:val="-4"/>
                <w:sz w:val="21"/>
              </w:rPr>
              <w:t>如果投保人故意或者因重大过失未履行前款约定的如实告知义务，足以影响我</w:t>
            </w:r>
            <w:r>
              <w:rPr>
                <w:spacing w:val="2"/>
                <w:sz w:val="21"/>
              </w:rPr>
              <w:t>们决定是否同意承保或者提高保险费率的，我们有权解除或者部分解除本合</w:t>
            </w:r>
            <w:r>
              <w:rPr>
                <w:sz w:val="21"/>
              </w:rPr>
              <w:t>同。</w:t>
            </w:r>
          </w:p>
          <w:p>
            <w:pPr>
              <w:pStyle w:val="TableParagraph"/>
              <w:spacing w:line="280" w:lineRule="auto" w:before="87"/>
              <w:ind w:left="112" w:right="337"/>
              <w:jc w:val="both"/>
              <w:rPr>
                <w:sz w:val="21"/>
              </w:rPr>
            </w:pPr>
            <w:r>
              <w:rPr>
                <w:spacing w:val="-5"/>
                <w:sz w:val="21"/>
              </w:rPr>
              <w:t>如果投保人故意不履行如实告知义务，对于本合同解除或者部分解除前发</w:t>
            </w:r>
            <w:r>
              <w:rPr>
                <w:sz w:val="21"/>
              </w:rPr>
              <w:t>Th的</w:t>
            </w:r>
            <w:r>
              <w:rPr>
                <w:spacing w:val="-5"/>
                <w:sz w:val="21"/>
              </w:rPr>
              <w:t>保险事故，我们对所涉及的被保险人不承担给付保险金的责任，并不退还保险费。</w:t>
            </w:r>
          </w:p>
          <w:p>
            <w:pPr>
              <w:pStyle w:val="TableParagraph"/>
              <w:spacing w:line="280" w:lineRule="auto" w:before="84"/>
              <w:ind w:left="112" w:right="334"/>
              <w:jc w:val="both"/>
              <w:rPr>
                <w:sz w:val="21"/>
              </w:rPr>
            </w:pPr>
            <w:r>
              <w:rPr>
                <w:spacing w:val="2"/>
                <w:sz w:val="21"/>
              </w:rPr>
              <w:t>如果投保人因重大过失未履行如实告知义务，对保险事故的发</w:t>
            </w:r>
            <w:r>
              <w:rPr>
                <w:sz w:val="21"/>
              </w:rPr>
              <w:t>Th</w:t>
            </w:r>
            <w:r>
              <w:rPr>
                <w:spacing w:val="2"/>
                <w:sz w:val="21"/>
              </w:rPr>
              <w:t>有严重影响</w:t>
            </w:r>
            <w:r>
              <w:rPr>
                <w:spacing w:val="-4"/>
                <w:sz w:val="21"/>
              </w:rPr>
              <w:t>的，对于本合同解除或者部分解除前发</w:t>
            </w:r>
            <w:r>
              <w:rPr>
                <w:sz w:val="21"/>
              </w:rPr>
              <w:t>Th</w:t>
            </w:r>
            <w:r>
              <w:rPr>
                <w:spacing w:val="-5"/>
                <w:sz w:val="21"/>
              </w:rPr>
              <w:t>的保险事故，我们对所涉及的被保险</w:t>
            </w:r>
            <w:r>
              <w:rPr>
                <w:spacing w:val="-4"/>
                <w:sz w:val="21"/>
              </w:rPr>
              <w:t>人不承担给付保险金的责任，但应当向投保人退还相应的保险费。</w:t>
            </w:r>
          </w:p>
          <w:p>
            <w:pPr>
              <w:pStyle w:val="TableParagraph"/>
              <w:spacing w:line="280" w:lineRule="auto" w:before="87"/>
              <w:ind w:left="112" w:right="316"/>
              <w:jc w:val="both"/>
              <w:rPr>
                <w:sz w:val="21"/>
              </w:rPr>
            </w:pPr>
            <w:r>
              <w:rPr>
                <w:sz w:val="21"/>
              </w:rPr>
              <w:t>我们在合同订立时已经知道投保人未如实告知的情况的，我们不得解除合同； 发Th保险事故的，我们承担给付保险金的责任。</w:t>
            </w:r>
          </w:p>
        </w:tc>
      </w:tr>
      <w:tr>
        <w:trPr>
          <w:trHeight w:val="403" w:hRule="atLeast"/>
        </w:trPr>
        <w:tc>
          <w:tcPr>
            <w:tcW w:w="681" w:type="dxa"/>
          </w:tcPr>
          <w:p>
            <w:pPr>
              <w:pStyle w:val="TableParagraph"/>
              <w:spacing w:line="348" w:lineRule="exact" w:before="35"/>
              <w:ind w:left="108"/>
              <w:rPr>
                <w:rFonts w:ascii="微软雅黑"/>
                <w:b/>
                <w:sz w:val="21"/>
              </w:rPr>
            </w:pPr>
            <w:r>
              <w:rPr>
                <w:rFonts w:ascii="微软雅黑"/>
                <w:b/>
                <w:sz w:val="21"/>
              </w:rPr>
              <w:t>6.6</w:t>
            </w:r>
          </w:p>
        </w:tc>
        <w:tc>
          <w:tcPr>
            <w:tcW w:w="1833" w:type="dxa"/>
          </w:tcPr>
          <w:p>
            <w:pPr>
              <w:pStyle w:val="TableParagraph"/>
              <w:spacing w:line="348" w:lineRule="exact" w:before="35"/>
              <w:ind w:left="243"/>
              <w:rPr>
                <w:rFonts w:ascii="微软雅黑" w:eastAsia="微软雅黑" w:hint="eastAsia"/>
                <w:b/>
                <w:sz w:val="21"/>
              </w:rPr>
            </w:pPr>
            <w:r>
              <w:rPr>
                <w:rFonts w:ascii="微软雅黑" w:eastAsia="微软雅黑" w:hint="eastAsia"/>
                <w:b/>
                <w:sz w:val="21"/>
              </w:rPr>
              <w:t>我们合同解除权</w:t>
            </w:r>
          </w:p>
        </w:tc>
        <w:tc>
          <w:tcPr>
            <w:tcW w:w="7577" w:type="dxa"/>
          </w:tcPr>
          <w:p>
            <w:pPr>
              <w:pStyle w:val="TableParagraph"/>
              <w:spacing w:before="97"/>
              <w:ind w:left="112"/>
              <w:rPr>
                <w:sz w:val="21"/>
              </w:rPr>
            </w:pPr>
            <w:r>
              <w:rPr>
                <w:sz w:val="21"/>
              </w:rPr>
              <w:t>前款约定的合同解除权，自我们知道有解除事由之日起，超过 30 日不行使而</w:t>
            </w:r>
          </w:p>
        </w:tc>
      </w:tr>
    </w:tbl>
    <w:p>
      <w:pPr>
        <w:spacing w:after="0"/>
        <w:rPr>
          <w:sz w:val="21"/>
        </w:rPr>
        <w:sectPr>
          <w:pgSz w:w="11910" w:h="16840"/>
          <w:pgMar w:top="1300" w:bottom="280" w:left="1020" w:right="5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681"/>
        <w:gridCol w:w="7564"/>
      </w:tblGrid>
      <w:tr>
        <w:trPr>
          <w:trHeight w:val="405" w:hRule="atLeast"/>
        </w:trPr>
        <w:tc>
          <w:tcPr>
            <w:tcW w:w="820" w:type="dxa"/>
          </w:tcPr>
          <w:p>
            <w:pPr>
              <w:pStyle w:val="TableParagraph"/>
              <w:spacing w:before="0"/>
              <w:ind w:left="0"/>
              <w:rPr>
                <w:rFonts w:ascii="Times New Roman"/>
                <w:sz w:val="20"/>
              </w:rPr>
            </w:pPr>
          </w:p>
        </w:tc>
        <w:tc>
          <w:tcPr>
            <w:tcW w:w="1681" w:type="dxa"/>
          </w:tcPr>
          <w:p>
            <w:pPr>
              <w:pStyle w:val="TableParagraph"/>
              <w:spacing w:line="241" w:lineRule="exact" w:before="0"/>
              <w:ind w:left="195"/>
              <w:rPr>
                <w:rFonts w:ascii="微软雅黑" w:eastAsia="微软雅黑" w:hint="eastAsia"/>
                <w:b/>
                <w:sz w:val="21"/>
              </w:rPr>
            </w:pPr>
            <w:r>
              <w:rPr>
                <w:rFonts w:ascii="微软雅黑" w:eastAsia="微软雅黑" w:hint="eastAsia"/>
                <w:b/>
                <w:sz w:val="21"/>
              </w:rPr>
              <w:t>的限制</w:t>
            </w:r>
          </w:p>
        </w:tc>
        <w:tc>
          <w:tcPr>
            <w:tcW w:w="7564" w:type="dxa"/>
          </w:tcPr>
          <w:p>
            <w:pPr>
              <w:pStyle w:val="TableParagraph"/>
              <w:spacing w:line="215" w:lineRule="exact" w:before="0"/>
              <w:ind w:left="217"/>
              <w:rPr>
                <w:sz w:val="21"/>
              </w:rPr>
            </w:pPr>
            <w:r>
              <w:rPr>
                <w:sz w:val="21"/>
              </w:rPr>
              <w:t>消灭。</w:t>
            </w:r>
          </w:p>
        </w:tc>
      </w:tr>
      <w:tr>
        <w:trPr>
          <w:trHeight w:val="3926" w:hRule="atLeast"/>
        </w:trPr>
        <w:tc>
          <w:tcPr>
            <w:tcW w:w="820" w:type="dxa"/>
          </w:tcPr>
          <w:p>
            <w:pPr>
              <w:pStyle w:val="TableParagraph"/>
              <w:spacing w:before="42"/>
              <w:ind w:left="66" w:right="163"/>
              <w:jc w:val="center"/>
              <w:rPr>
                <w:rFonts w:ascii="微软雅黑"/>
                <w:b/>
                <w:sz w:val="21"/>
              </w:rPr>
            </w:pPr>
            <w:r>
              <w:rPr>
                <w:rFonts w:ascii="微软雅黑"/>
                <w:b/>
                <w:sz w:val="21"/>
              </w:rPr>
              <w:t>6.7</w:t>
            </w:r>
          </w:p>
        </w:tc>
        <w:tc>
          <w:tcPr>
            <w:tcW w:w="1681" w:type="dxa"/>
          </w:tcPr>
          <w:p>
            <w:pPr>
              <w:pStyle w:val="TableParagraph"/>
              <w:spacing w:before="42"/>
              <w:ind w:left="195"/>
              <w:rPr>
                <w:rFonts w:ascii="微软雅黑" w:eastAsia="微软雅黑" w:hint="eastAsia"/>
                <w:b/>
                <w:sz w:val="21"/>
              </w:rPr>
            </w:pPr>
            <w:r>
              <w:rPr>
                <w:rFonts w:ascii="微软雅黑" w:eastAsia="微软雅黑" w:hint="eastAsia"/>
                <w:b/>
                <w:sz w:val="21"/>
              </w:rPr>
              <w:t>年龄性别错误</w:t>
            </w:r>
          </w:p>
        </w:tc>
        <w:tc>
          <w:tcPr>
            <w:tcW w:w="7564" w:type="dxa"/>
          </w:tcPr>
          <w:p>
            <w:pPr>
              <w:pStyle w:val="TableParagraph"/>
              <w:spacing w:line="278" w:lineRule="auto" w:before="104"/>
              <w:ind w:left="217" w:right="180"/>
              <w:rPr>
                <w:sz w:val="21"/>
              </w:rPr>
            </w:pPr>
            <w:r>
              <w:rPr>
                <w:sz w:val="21"/>
              </w:rPr>
              <w:t>投保人在申请投保时，应将与有效身份证件相符的被保险人的出Th日期和性别在投保单上填明，如果发Th错误按照下列方式办理：</w:t>
            </w:r>
          </w:p>
          <w:p>
            <w:pPr>
              <w:pStyle w:val="TableParagraph"/>
              <w:numPr>
                <w:ilvl w:val="0"/>
                <w:numId w:val="9"/>
              </w:numPr>
              <w:tabs>
                <w:tab w:pos="842" w:val="left" w:leader="none"/>
              </w:tabs>
              <w:spacing w:line="280" w:lineRule="auto" w:before="89" w:after="0"/>
              <w:ind w:left="841" w:right="203" w:hanging="624"/>
              <w:jc w:val="both"/>
              <w:rPr>
                <w:sz w:val="21"/>
              </w:rPr>
            </w:pPr>
            <w:r>
              <w:rPr>
                <w:spacing w:val="-4"/>
                <w:sz w:val="21"/>
              </w:rPr>
              <w:t>投保人申报的被保险人年龄不真实，并且其真实年龄不符合我们规定的</w:t>
            </w:r>
            <w:r>
              <w:rPr>
                <w:spacing w:val="-5"/>
                <w:sz w:val="21"/>
              </w:rPr>
              <w:t>投保年龄限制的，我们有权终止对该被保险人的保险责任，但向投保人退还保险责任终止时该被保险人对应的本合同的现金价值，对于该被保</w:t>
            </w:r>
            <w:r>
              <w:rPr>
                <w:spacing w:val="2"/>
                <w:sz w:val="21"/>
              </w:rPr>
              <w:t>险人在保险责任终止前发</w:t>
            </w:r>
            <w:r>
              <w:rPr>
                <w:spacing w:val="1"/>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9"/>
              </w:numPr>
              <w:tabs>
                <w:tab w:pos="842" w:val="left" w:leader="none"/>
              </w:tabs>
              <w:spacing w:line="280" w:lineRule="auto" w:before="85" w:after="0"/>
              <w:ind w:left="841" w:right="218" w:hanging="624"/>
              <w:jc w:val="both"/>
              <w:rPr>
                <w:sz w:val="21"/>
              </w:rPr>
            </w:pPr>
            <w:r>
              <w:rPr>
                <w:spacing w:val="-4"/>
                <w:sz w:val="21"/>
              </w:rPr>
              <w:t>投保人申报的被保险人年龄或者性别不真实，致使投保人实交保险费不</w:t>
            </w:r>
            <w:r>
              <w:rPr>
                <w:spacing w:val="-5"/>
                <w:sz w:val="21"/>
              </w:rPr>
              <w:t>同于应交保险费的，我们将按照实交保险费和应交保险费的比例调整该</w:t>
            </w:r>
            <w:r>
              <w:rPr>
                <w:spacing w:val="-4"/>
                <w:sz w:val="21"/>
              </w:rPr>
              <w:t>被保险人对应的基本保险金额，另有约定的除外。</w:t>
            </w:r>
          </w:p>
        </w:tc>
      </w:tr>
      <w:tr>
        <w:trPr>
          <w:trHeight w:val="4641" w:hRule="atLeast"/>
        </w:trPr>
        <w:tc>
          <w:tcPr>
            <w:tcW w:w="820" w:type="dxa"/>
          </w:tcPr>
          <w:p>
            <w:pPr>
              <w:pStyle w:val="TableParagraph"/>
              <w:spacing w:before="40"/>
              <w:ind w:left="68" w:right="163"/>
              <w:jc w:val="center"/>
              <w:rPr>
                <w:rFonts w:ascii="微软雅黑"/>
                <w:b/>
                <w:sz w:val="21"/>
              </w:rPr>
            </w:pPr>
            <w:r>
              <w:rPr>
                <w:rFonts w:ascii="微软雅黑"/>
                <w:b/>
                <w:sz w:val="21"/>
              </w:rPr>
              <w:t>6.8</w:t>
            </w:r>
          </w:p>
        </w:tc>
        <w:tc>
          <w:tcPr>
            <w:tcW w:w="1681" w:type="dxa"/>
          </w:tcPr>
          <w:p>
            <w:pPr>
              <w:pStyle w:val="TableParagraph"/>
              <w:spacing w:before="40"/>
              <w:ind w:left="195"/>
              <w:rPr>
                <w:rFonts w:ascii="微软雅黑" w:eastAsia="微软雅黑" w:hint="eastAsia"/>
                <w:b/>
                <w:sz w:val="21"/>
              </w:rPr>
            </w:pPr>
            <w:r>
              <w:rPr>
                <w:rFonts w:ascii="微软雅黑" w:eastAsia="微软雅黑" w:hint="eastAsia"/>
                <w:b/>
                <w:sz w:val="21"/>
              </w:rPr>
              <w:t>被保险人变动</w:t>
            </w:r>
          </w:p>
        </w:tc>
        <w:tc>
          <w:tcPr>
            <w:tcW w:w="7564" w:type="dxa"/>
          </w:tcPr>
          <w:p>
            <w:pPr>
              <w:pStyle w:val="TableParagraph"/>
              <w:spacing w:line="280" w:lineRule="auto" w:before="102"/>
              <w:ind w:left="217" w:right="220"/>
              <w:jc w:val="both"/>
              <w:rPr>
                <w:sz w:val="21"/>
              </w:rPr>
            </w:pPr>
            <w:r>
              <w:rPr>
                <w:spacing w:val="-5"/>
                <w:sz w:val="21"/>
              </w:rPr>
              <w:t>投保人因团体成员变动需要增加被保险人的，应书面通知我们。我们审核同意</w:t>
            </w:r>
            <w:r>
              <w:rPr>
                <w:spacing w:val="-6"/>
                <w:sz w:val="21"/>
              </w:rPr>
              <w:t>后将收取相应的保险费。我们将自约定的新增加被保险人保险责任开始日零时</w:t>
            </w:r>
            <w:r>
              <w:rPr>
                <w:spacing w:val="-4"/>
                <w:sz w:val="21"/>
              </w:rPr>
              <w:t>起对该新增加的被保险人承担保险责任。</w:t>
            </w:r>
          </w:p>
          <w:p>
            <w:pPr>
              <w:pStyle w:val="TableParagraph"/>
              <w:spacing w:line="280" w:lineRule="auto" w:before="85"/>
              <w:ind w:left="217" w:right="220"/>
              <w:jc w:val="both"/>
              <w:rPr>
                <w:sz w:val="21"/>
              </w:rPr>
            </w:pPr>
            <w:r>
              <w:rPr>
                <w:spacing w:val="-5"/>
                <w:sz w:val="21"/>
              </w:rPr>
              <w:t>投保人需要减少被保险人的，应书面通知我们，我们对减少的被保险人分别按</w:t>
            </w:r>
            <w:r>
              <w:rPr>
                <w:spacing w:val="-4"/>
                <w:sz w:val="21"/>
              </w:rPr>
              <w:t>以下方式进行处理：</w:t>
            </w:r>
          </w:p>
          <w:p>
            <w:pPr>
              <w:pStyle w:val="TableParagraph"/>
              <w:spacing w:line="280" w:lineRule="auto" w:before="85"/>
              <w:ind w:left="783" w:right="224" w:hanging="567"/>
              <w:jc w:val="both"/>
              <w:rPr>
                <w:sz w:val="21"/>
              </w:rPr>
            </w:pPr>
            <w:r>
              <w:rPr>
                <w:sz w:val="21"/>
              </w:rPr>
              <w:t>（1）</w:t>
            </w:r>
            <w:r>
              <w:rPr>
                <w:spacing w:val="-5"/>
                <w:sz w:val="21"/>
              </w:rPr>
              <w:t> 如果投保人向我们申请依本合同的约定对减少的被保险人继续承担保险</w:t>
            </w:r>
            <w:r>
              <w:rPr>
                <w:spacing w:val="-4"/>
                <w:sz w:val="21"/>
              </w:rPr>
              <w:t>责任，经我们审核同意，我们对该被保险人的保险责任继续有效；</w:t>
            </w:r>
          </w:p>
          <w:p>
            <w:pPr>
              <w:pStyle w:val="TableParagraph"/>
              <w:spacing w:line="280" w:lineRule="auto" w:before="85"/>
              <w:ind w:left="783" w:right="224" w:hanging="567"/>
              <w:jc w:val="both"/>
              <w:rPr>
                <w:sz w:val="21"/>
              </w:rPr>
            </w:pPr>
            <w:r>
              <w:rPr>
                <w:sz w:val="21"/>
              </w:rPr>
              <w:t>（2）如果投保人向我们申请终止对减少的被保险人的保险责任，我们自收到投保人书面通知时起对该被保险人的保险责任终止。投保人在通知书中载明的保险责任终止日如果晚于通知书送达我们的日期，则我们对该被保险人的保险责任自通知书中载明的保险责任终止日的零时起终止。除另有约定外，我们向投保人退还保险责任终止时该被保险人对应的本合同的现金价值。</w:t>
            </w:r>
          </w:p>
        </w:tc>
      </w:tr>
      <w:tr>
        <w:trPr>
          <w:trHeight w:val="888" w:hRule="atLeast"/>
        </w:trPr>
        <w:tc>
          <w:tcPr>
            <w:tcW w:w="820" w:type="dxa"/>
          </w:tcPr>
          <w:p>
            <w:pPr>
              <w:pStyle w:val="TableParagraph"/>
              <w:spacing w:before="40"/>
              <w:ind w:left="67" w:right="163"/>
              <w:jc w:val="center"/>
              <w:rPr>
                <w:rFonts w:ascii="微软雅黑"/>
                <w:b/>
                <w:sz w:val="21"/>
              </w:rPr>
            </w:pPr>
            <w:r>
              <w:rPr>
                <w:rFonts w:ascii="微软雅黑"/>
                <w:b/>
                <w:sz w:val="21"/>
              </w:rPr>
              <w:t>6.9</w:t>
            </w:r>
          </w:p>
        </w:tc>
        <w:tc>
          <w:tcPr>
            <w:tcW w:w="1681" w:type="dxa"/>
          </w:tcPr>
          <w:p>
            <w:pPr>
              <w:pStyle w:val="TableParagraph"/>
              <w:spacing w:before="40"/>
              <w:ind w:left="195"/>
              <w:rPr>
                <w:rFonts w:ascii="微软雅黑" w:eastAsia="微软雅黑" w:hint="eastAsia"/>
                <w:b/>
                <w:sz w:val="21"/>
              </w:rPr>
            </w:pPr>
            <w:r>
              <w:rPr>
                <w:rFonts w:ascii="微软雅黑" w:eastAsia="微软雅黑" w:hint="eastAsia"/>
                <w:b/>
                <w:sz w:val="21"/>
              </w:rPr>
              <w:t>未还款项</w:t>
            </w:r>
          </w:p>
        </w:tc>
        <w:tc>
          <w:tcPr>
            <w:tcW w:w="7564" w:type="dxa"/>
          </w:tcPr>
          <w:p>
            <w:pPr>
              <w:pStyle w:val="TableParagraph"/>
              <w:spacing w:line="280" w:lineRule="auto" w:before="103"/>
              <w:ind w:left="217" w:right="201"/>
              <w:rPr>
                <w:sz w:val="21"/>
              </w:rPr>
            </w:pPr>
            <w:r>
              <w:rPr>
                <w:sz w:val="21"/>
              </w:rPr>
              <w:t>我们在给付各项保险金、退还现金价值或者返还保险费时，如果投保人有欠交的保险费或者其他未还清款项，我们在扣除上述各项欠款及应付利息后给付。</w:t>
            </w:r>
          </w:p>
        </w:tc>
      </w:tr>
      <w:tr>
        <w:trPr>
          <w:trHeight w:val="1207" w:hRule="atLeast"/>
        </w:trPr>
        <w:tc>
          <w:tcPr>
            <w:tcW w:w="820" w:type="dxa"/>
          </w:tcPr>
          <w:p>
            <w:pPr>
              <w:pStyle w:val="TableParagraph"/>
              <w:spacing w:before="40"/>
              <w:ind w:left="155" w:right="152"/>
              <w:jc w:val="center"/>
              <w:rPr>
                <w:rFonts w:ascii="微软雅黑"/>
                <w:b/>
                <w:sz w:val="21"/>
              </w:rPr>
            </w:pPr>
            <w:r>
              <w:rPr>
                <w:rFonts w:ascii="微软雅黑"/>
                <w:b/>
                <w:sz w:val="21"/>
              </w:rPr>
              <w:t>6.10</w:t>
            </w:r>
          </w:p>
        </w:tc>
        <w:tc>
          <w:tcPr>
            <w:tcW w:w="1681" w:type="dxa"/>
          </w:tcPr>
          <w:p>
            <w:pPr>
              <w:pStyle w:val="TableParagraph"/>
              <w:spacing w:before="40"/>
              <w:ind w:left="195"/>
              <w:rPr>
                <w:rFonts w:ascii="微软雅黑" w:eastAsia="微软雅黑" w:hint="eastAsia"/>
                <w:b/>
                <w:sz w:val="21"/>
              </w:rPr>
            </w:pPr>
            <w:r>
              <w:rPr>
                <w:rFonts w:ascii="微软雅黑" w:eastAsia="微软雅黑" w:hint="eastAsia"/>
                <w:b/>
                <w:sz w:val="21"/>
              </w:rPr>
              <w:t>合同内容变更</w:t>
            </w:r>
          </w:p>
        </w:tc>
        <w:tc>
          <w:tcPr>
            <w:tcW w:w="7564" w:type="dxa"/>
          </w:tcPr>
          <w:p>
            <w:pPr>
              <w:pStyle w:val="TableParagraph"/>
              <w:spacing w:line="280" w:lineRule="auto" w:before="103"/>
              <w:ind w:left="217" w:right="198"/>
              <w:jc w:val="both"/>
              <w:rPr>
                <w:sz w:val="21"/>
              </w:rPr>
            </w:pPr>
            <w:r>
              <w:rPr>
                <w:sz w:val="21"/>
              </w:rPr>
              <w:t>在本合同有效期内，经投保人与我们协商一致，可以变更本合同的有关内容。变更本合同的，应当由我们出具批单，或者由投保人与我们订立书面的变更协议。</w:t>
            </w:r>
          </w:p>
        </w:tc>
      </w:tr>
      <w:tr>
        <w:trPr>
          <w:trHeight w:val="1531" w:hRule="atLeast"/>
        </w:trPr>
        <w:tc>
          <w:tcPr>
            <w:tcW w:w="820" w:type="dxa"/>
          </w:tcPr>
          <w:p>
            <w:pPr>
              <w:pStyle w:val="TableParagraph"/>
              <w:spacing w:before="40"/>
              <w:ind w:left="143" w:right="163"/>
              <w:jc w:val="center"/>
              <w:rPr>
                <w:rFonts w:ascii="微软雅黑"/>
                <w:b/>
                <w:sz w:val="21"/>
              </w:rPr>
            </w:pPr>
            <w:r>
              <w:rPr>
                <w:rFonts w:ascii="微软雅黑"/>
                <w:b/>
                <w:sz w:val="21"/>
              </w:rPr>
              <w:t>6.11</w:t>
            </w:r>
          </w:p>
        </w:tc>
        <w:tc>
          <w:tcPr>
            <w:tcW w:w="1681" w:type="dxa"/>
          </w:tcPr>
          <w:p>
            <w:pPr>
              <w:pStyle w:val="TableParagraph"/>
              <w:spacing w:before="40"/>
              <w:ind w:left="195"/>
              <w:rPr>
                <w:rFonts w:ascii="微软雅黑" w:eastAsia="微软雅黑" w:hint="eastAsia"/>
                <w:b/>
                <w:sz w:val="21"/>
              </w:rPr>
            </w:pPr>
            <w:r>
              <w:rPr>
                <w:rFonts w:ascii="微软雅黑" w:eastAsia="微软雅黑" w:hint="eastAsia"/>
                <w:b/>
                <w:sz w:val="21"/>
              </w:rPr>
              <w:t>联系方式变更</w:t>
            </w:r>
          </w:p>
        </w:tc>
        <w:tc>
          <w:tcPr>
            <w:tcW w:w="7564" w:type="dxa"/>
          </w:tcPr>
          <w:p>
            <w:pPr>
              <w:pStyle w:val="TableParagraph"/>
              <w:spacing w:line="280" w:lineRule="auto" w:before="103"/>
              <w:ind w:left="217" w:right="220"/>
              <w:jc w:val="both"/>
              <w:rPr>
                <w:sz w:val="21"/>
              </w:rPr>
            </w:pPr>
            <w:r>
              <w:rPr>
                <w:spacing w:val="-6"/>
                <w:sz w:val="21"/>
              </w:rPr>
              <w:t>为了保障投保人的合法权益，投保人的住所、通讯地址、邮箱或者联系电话等</w:t>
            </w:r>
            <w:r>
              <w:rPr>
                <w:spacing w:val="-7"/>
                <w:sz w:val="21"/>
              </w:rPr>
              <w:t>联系方式变更时，请以书面形式或者双方认可的其他形式及时通知我们。如果</w:t>
            </w:r>
            <w:r>
              <w:rPr>
                <w:spacing w:val="-6"/>
                <w:sz w:val="21"/>
              </w:rPr>
              <w:t>投保人未以书面形式或者双方认可的其他形式通知我们，我们按本合同载明的</w:t>
            </w:r>
            <w:r>
              <w:rPr>
                <w:spacing w:val="-4"/>
                <w:sz w:val="21"/>
              </w:rPr>
              <w:t>最后住所、通讯地址或者邮箱发送的有关通知，均视为已送达给投保人。</w:t>
            </w:r>
          </w:p>
        </w:tc>
      </w:tr>
      <w:tr>
        <w:trPr>
          <w:trHeight w:val="885" w:hRule="atLeast"/>
        </w:trPr>
        <w:tc>
          <w:tcPr>
            <w:tcW w:w="820" w:type="dxa"/>
          </w:tcPr>
          <w:p>
            <w:pPr>
              <w:pStyle w:val="TableParagraph"/>
              <w:spacing w:before="38"/>
              <w:ind w:left="155" w:right="154"/>
              <w:jc w:val="center"/>
              <w:rPr>
                <w:rFonts w:ascii="微软雅黑"/>
                <w:b/>
                <w:sz w:val="21"/>
              </w:rPr>
            </w:pPr>
            <w:r>
              <w:rPr>
                <w:rFonts w:ascii="微软雅黑"/>
                <w:b/>
                <w:sz w:val="21"/>
              </w:rPr>
              <w:t>6.12</w:t>
            </w:r>
          </w:p>
        </w:tc>
        <w:tc>
          <w:tcPr>
            <w:tcW w:w="1681" w:type="dxa"/>
          </w:tcPr>
          <w:p>
            <w:pPr>
              <w:pStyle w:val="TableParagraph"/>
              <w:spacing w:before="38"/>
              <w:ind w:left="195"/>
              <w:rPr>
                <w:rFonts w:ascii="微软雅黑" w:eastAsia="微软雅黑" w:hint="eastAsia"/>
                <w:b/>
                <w:sz w:val="21"/>
              </w:rPr>
            </w:pPr>
            <w:r>
              <w:rPr>
                <w:rFonts w:ascii="微软雅黑" w:eastAsia="微软雅黑" w:hint="eastAsia"/>
                <w:b/>
                <w:sz w:val="21"/>
              </w:rPr>
              <w:t>争议处理</w:t>
            </w:r>
          </w:p>
        </w:tc>
        <w:tc>
          <w:tcPr>
            <w:tcW w:w="7564" w:type="dxa"/>
          </w:tcPr>
          <w:p>
            <w:pPr>
              <w:pStyle w:val="TableParagraph"/>
              <w:spacing w:line="280" w:lineRule="auto" w:before="101"/>
              <w:ind w:left="217" w:right="174"/>
              <w:rPr>
                <w:sz w:val="21"/>
              </w:rPr>
            </w:pPr>
            <w:r>
              <w:rPr>
                <w:sz w:val="21"/>
              </w:rPr>
              <w:t>本合同履行过程中，双方发Th争议不能协商解决的，可以达成仲裁协议通过仲裁解决，也可依法直接向法院提起诉讼。</w:t>
            </w:r>
          </w:p>
        </w:tc>
      </w:tr>
      <w:tr>
        <w:trPr>
          <w:trHeight w:val="802" w:hRule="atLeast"/>
        </w:trPr>
        <w:tc>
          <w:tcPr>
            <w:tcW w:w="820" w:type="dxa"/>
          </w:tcPr>
          <w:p>
            <w:pPr>
              <w:pStyle w:val="TableParagraph"/>
              <w:spacing w:before="40"/>
              <w:ind w:left="155" w:right="153"/>
              <w:jc w:val="center"/>
              <w:rPr>
                <w:rFonts w:ascii="微软雅黑"/>
                <w:b/>
                <w:sz w:val="21"/>
              </w:rPr>
            </w:pPr>
            <w:r>
              <w:rPr>
                <w:rFonts w:ascii="微软雅黑"/>
                <w:b/>
                <w:sz w:val="21"/>
              </w:rPr>
              <w:t>6.13</w:t>
            </w:r>
          </w:p>
        </w:tc>
        <w:tc>
          <w:tcPr>
            <w:tcW w:w="1681" w:type="dxa"/>
          </w:tcPr>
          <w:p>
            <w:pPr>
              <w:pStyle w:val="TableParagraph"/>
              <w:spacing w:before="40"/>
              <w:ind w:left="195"/>
              <w:rPr>
                <w:rFonts w:ascii="微软雅黑" w:eastAsia="微软雅黑" w:hint="eastAsia"/>
                <w:b/>
                <w:sz w:val="21"/>
              </w:rPr>
            </w:pPr>
            <w:r>
              <w:rPr>
                <w:rFonts w:ascii="微软雅黑" w:eastAsia="微软雅黑" w:hint="eastAsia"/>
                <w:b/>
                <w:sz w:val="21"/>
              </w:rPr>
              <w:t>合同终止</w:t>
            </w:r>
          </w:p>
        </w:tc>
        <w:tc>
          <w:tcPr>
            <w:tcW w:w="7564" w:type="dxa"/>
          </w:tcPr>
          <w:p>
            <w:pPr>
              <w:pStyle w:val="TableParagraph"/>
              <w:spacing w:before="103"/>
              <w:ind w:left="217"/>
              <w:rPr>
                <w:sz w:val="21"/>
              </w:rPr>
            </w:pPr>
            <w:r>
              <w:rPr>
                <w:sz w:val="21"/>
              </w:rPr>
              <w:t>发Th下列情况之一时，本合同终止：</w:t>
            </w:r>
          </w:p>
          <w:p>
            <w:pPr>
              <w:pStyle w:val="TableParagraph"/>
              <w:ind w:left="217"/>
              <w:rPr>
                <w:sz w:val="21"/>
              </w:rPr>
            </w:pPr>
            <w:r>
              <w:rPr>
                <w:sz w:val="21"/>
              </w:rPr>
              <w:t>（1）在本合同有效期内解除本合同；</w:t>
            </w:r>
          </w:p>
        </w:tc>
      </w:tr>
    </w:tbl>
    <w:p>
      <w:pPr>
        <w:spacing w:after="0"/>
        <w:rPr>
          <w:sz w:val="21"/>
        </w:rPr>
        <w:sectPr>
          <w:pgSz w:w="11910" w:h="16840"/>
          <w:pgMar w:top="1180" w:bottom="280" w:left="94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756"/>
        <w:gridCol w:w="7577"/>
      </w:tblGrid>
      <w:tr>
        <w:trPr>
          <w:trHeight w:val="1153" w:hRule="atLeast"/>
        </w:trPr>
        <w:tc>
          <w:tcPr>
            <w:tcW w:w="759" w:type="dxa"/>
          </w:tcPr>
          <w:p>
            <w:pPr>
              <w:pStyle w:val="TableParagraph"/>
              <w:spacing w:before="0"/>
              <w:ind w:left="0"/>
              <w:rPr>
                <w:rFonts w:ascii="Times New Roman"/>
                <w:sz w:val="20"/>
              </w:rPr>
            </w:pPr>
          </w:p>
        </w:tc>
        <w:tc>
          <w:tcPr>
            <w:tcW w:w="1756" w:type="dxa"/>
          </w:tcPr>
          <w:p>
            <w:pPr>
              <w:pStyle w:val="TableParagraph"/>
              <w:spacing w:before="0"/>
              <w:ind w:left="0"/>
              <w:rPr>
                <w:rFonts w:ascii="Times New Roman"/>
                <w:sz w:val="20"/>
              </w:rPr>
            </w:pPr>
          </w:p>
        </w:tc>
        <w:tc>
          <w:tcPr>
            <w:tcW w:w="7577" w:type="dxa"/>
          </w:tcPr>
          <w:p>
            <w:pPr>
              <w:pStyle w:val="TableParagraph"/>
              <w:spacing w:line="215" w:lineRule="exact" w:before="0"/>
              <w:rPr>
                <w:sz w:val="21"/>
              </w:rPr>
            </w:pPr>
            <w:r>
              <w:rPr>
                <w:sz w:val="21"/>
              </w:rPr>
              <w:t>（2）因本合同其他条款约定情形而终止。</w:t>
            </w:r>
          </w:p>
          <w:p>
            <w:pPr>
              <w:pStyle w:val="TableParagraph"/>
              <w:spacing w:line="280" w:lineRule="auto" w:before="124"/>
              <w:ind w:right="307"/>
              <w:rPr>
                <w:sz w:val="21"/>
              </w:rPr>
            </w:pPr>
            <w:r>
              <w:rPr>
                <w:sz w:val="21"/>
              </w:rPr>
              <w:t>被保险人在其保险期间内身故，或者被保险人的保险期间届满，我们对该被保险人的保险责任终止。</w:t>
            </w:r>
          </w:p>
        </w:tc>
      </w:tr>
      <w:tr>
        <w:trPr>
          <w:trHeight w:val="949" w:hRule="atLeast"/>
        </w:trPr>
        <w:tc>
          <w:tcPr>
            <w:tcW w:w="759" w:type="dxa"/>
            <w:tcBorders>
              <w:bottom w:val="single" w:sz="8" w:space="0" w:color="000000"/>
            </w:tcBorders>
          </w:tcPr>
          <w:p>
            <w:pPr>
              <w:pStyle w:val="TableParagraph"/>
              <w:spacing w:before="74"/>
              <w:ind w:left="108"/>
              <w:rPr>
                <w:rFonts w:ascii="微软雅黑"/>
                <w:b/>
                <w:sz w:val="36"/>
              </w:rPr>
            </w:pPr>
            <w:r>
              <w:rPr>
                <w:rFonts w:ascii="微软雅黑"/>
                <w:b/>
                <w:sz w:val="36"/>
              </w:rPr>
              <w:t>7.</w:t>
            </w:r>
          </w:p>
        </w:tc>
        <w:tc>
          <w:tcPr>
            <w:tcW w:w="9333" w:type="dxa"/>
            <w:gridSpan w:val="2"/>
            <w:tcBorders>
              <w:bottom w:val="single" w:sz="8" w:space="0" w:color="000000"/>
            </w:tcBorders>
          </w:tcPr>
          <w:p>
            <w:pPr>
              <w:pStyle w:val="TableParagraph"/>
              <w:spacing w:before="51"/>
              <w:ind w:left="165"/>
              <w:rPr>
                <w:rFonts w:ascii="微软雅黑" w:eastAsia="微软雅黑" w:hint="eastAsia"/>
                <w:b/>
                <w:sz w:val="24"/>
              </w:rPr>
            </w:pPr>
            <w:r>
              <w:rPr>
                <w:rFonts w:ascii="微软雅黑" w:eastAsia="微软雅黑" w:hint="eastAsia"/>
                <w:b/>
                <w:sz w:val="24"/>
              </w:rPr>
              <w:t>疾病定义</w:t>
            </w:r>
          </w:p>
          <w:p>
            <w:pPr>
              <w:pStyle w:val="TableParagraph"/>
              <w:spacing w:before="23"/>
              <w:ind w:left="165"/>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2" w:hRule="atLeast"/>
        </w:trPr>
        <w:tc>
          <w:tcPr>
            <w:tcW w:w="759" w:type="dxa"/>
            <w:tcBorders>
              <w:top w:val="single" w:sz="8" w:space="0" w:color="000000"/>
            </w:tcBorders>
          </w:tcPr>
          <w:p>
            <w:pPr>
              <w:pStyle w:val="TableParagraph"/>
              <w:spacing w:before="176"/>
              <w:ind w:left="108"/>
              <w:rPr>
                <w:rFonts w:ascii="微软雅黑"/>
                <w:b/>
                <w:sz w:val="21"/>
              </w:rPr>
            </w:pPr>
            <w:r>
              <w:rPr>
                <w:rFonts w:ascii="微软雅黑"/>
                <w:b/>
                <w:sz w:val="21"/>
              </w:rPr>
              <w:t>7.1</w:t>
            </w:r>
          </w:p>
        </w:tc>
        <w:tc>
          <w:tcPr>
            <w:tcW w:w="1756" w:type="dxa"/>
            <w:tcBorders>
              <w:top w:val="single" w:sz="8" w:space="0" w:color="000000"/>
            </w:tcBorders>
          </w:tcPr>
          <w:p>
            <w:pPr>
              <w:pStyle w:val="TableParagraph"/>
              <w:spacing w:before="176"/>
              <w:ind w:left="165"/>
              <w:rPr>
                <w:rFonts w:ascii="微软雅黑" w:eastAsia="微软雅黑" w:hint="eastAsia"/>
                <w:b/>
                <w:sz w:val="21"/>
              </w:rPr>
            </w:pPr>
            <w:r>
              <w:rPr>
                <w:rFonts w:ascii="微软雅黑" w:eastAsia="微软雅黑" w:hint="eastAsia"/>
                <w:b/>
                <w:sz w:val="21"/>
              </w:rPr>
              <w:t>重症疾病</w:t>
            </w:r>
          </w:p>
        </w:tc>
        <w:tc>
          <w:tcPr>
            <w:tcW w:w="7577" w:type="dxa"/>
            <w:tcBorders>
              <w:top w:val="single" w:sz="8" w:space="0" w:color="000000"/>
            </w:tcBorders>
          </w:tcPr>
          <w:p>
            <w:pPr>
              <w:pStyle w:val="TableParagraph"/>
              <w:spacing w:before="3"/>
              <w:ind w:left="0"/>
              <w:rPr>
                <w:sz w:val="18"/>
              </w:rPr>
            </w:pPr>
          </w:p>
          <w:p>
            <w:pPr>
              <w:pStyle w:val="TableParagraph"/>
              <w:spacing w:before="0"/>
              <w:rPr>
                <w:sz w:val="21"/>
              </w:rPr>
            </w:pPr>
            <w:r>
              <w:rPr>
                <w:sz w:val="21"/>
              </w:rPr>
              <w:t>本合同所定义的重症疾病指如下约定的疾病、疾病状态或者手术，共有 75 种。</w:t>
            </w:r>
          </w:p>
        </w:tc>
      </w:tr>
      <w:tr>
        <w:trPr>
          <w:trHeight w:val="4316" w:hRule="atLeast"/>
        </w:trPr>
        <w:tc>
          <w:tcPr>
            <w:tcW w:w="759" w:type="dxa"/>
          </w:tcPr>
          <w:p>
            <w:pPr>
              <w:pStyle w:val="TableParagraph"/>
              <w:spacing w:before="40"/>
              <w:ind w:left="108"/>
              <w:rPr>
                <w:rFonts w:ascii="微软雅黑"/>
                <w:b/>
                <w:sz w:val="21"/>
              </w:rPr>
            </w:pPr>
            <w:r>
              <w:rPr>
                <w:rFonts w:ascii="微软雅黑"/>
                <w:b/>
                <w:sz w:val="21"/>
              </w:rPr>
              <w:t>7.1.1</w:t>
            </w:r>
          </w:p>
        </w:tc>
        <w:tc>
          <w:tcPr>
            <w:tcW w:w="1756" w:type="dxa"/>
          </w:tcPr>
          <w:p>
            <w:pPr>
              <w:pStyle w:val="TableParagraph"/>
              <w:spacing w:before="40"/>
              <w:ind w:left="165"/>
              <w:rPr>
                <w:rFonts w:ascii="微软雅黑" w:eastAsia="微软雅黑" w:hint="eastAsia"/>
                <w:b/>
                <w:sz w:val="21"/>
              </w:rPr>
            </w:pPr>
            <w:r>
              <w:rPr>
                <w:rFonts w:ascii="微软雅黑" w:eastAsia="微软雅黑" w:hint="eastAsia"/>
                <w:b/>
                <w:sz w:val="21"/>
              </w:rPr>
              <w:t>恶性肿瘤</w:t>
            </w:r>
          </w:p>
        </w:tc>
        <w:tc>
          <w:tcPr>
            <w:tcW w:w="7577" w:type="dxa"/>
          </w:tcPr>
          <w:p>
            <w:pPr>
              <w:pStyle w:val="TableParagraph"/>
              <w:spacing w:line="280" w:lineRule="auto" w:before="103"/>
              <w:ind w:right="335"/>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2"/>
                <w:sz w:val="21"/>
              </w:rPr>
              <w:t>诊断，临床诊断属于世界卫</w:t>
            </w:r>
            <w:r>
              <w:rPr>
                <w:sz w:val="21"/>
              </w:rPr>
              <w:t>Th</w:t>
            </w:r>
            <w:r>
              <w:rPr>
                <w:spacing w:val="2"/>
                <w:sz w:val="21"/>
              </w:rPr>
              <w:t>组织《疾病和有关健康问题的国际统计分类》</w:t>
            </w:r>
          </w:p>
          <w:p>
            <w:pPr>
              <w:pStyle w:val="TableParagraph"/>
              <w:spacing w:before="8"/>
              <w:jc w:val="both"/>
              <w:rPr>
                <w:sz w:val="21"/>
              </w:rPr>
            </w:pPr>
            <w:r>
              <w:rPr>
                <w:w w:val="100"/>
                <w:sz w:val="21"/>
              </w:rPr>
              <w:t>（</w:t>
            </w:r>
            <w:r>
              <w:rPr>
                <w:spacing w:val="-1"/>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1"/>
              <w:jc w:val="both"/>
              <w:rPr>
                <w:sz w:val="21"/>
              </w:rPr>
            </w:pPr>
            <w:r>
              <w:rPr>
                <w:sz w:val="21"/>
              </w:rPr>
              <w:t>下列疾病不在保障范围内：</w:t>
            </w:r>
          </w:p>
          <w:p>
            <w:pPr>
              <w:pStyle w:val="TableParagraph"/>
              <w:numPr>
                <w:ilvl w:val="0"/>
                <w:numId w:val="10"/>
              </w:numPr>
              <w:tabs>
                <w:tab w:pos="736" w:val="left" w:leader="none"/>
              </w:tabs>
              <w:spacing w:line="240" w:lineRule="auto" w:before="123" w:after="0"/>
              <w:ind w:left="735" w:right="0" w:hanging="624"/>
              <w:jc w:val="both"/>
              <w:rPr>
                <w:sz w:val="21"/>
              </w:rPr>
            </w:pPr>
            <w:r>
              <w:rPr>
                <w:spacing w:val="-1"/>
                <w:sz w:val="21"/>
              </w:rPr>
              <w:t>原位癌；</w:t>
            </w:r>
          </w:p>
          <w:p>
            <w:pPr>
              <w:pStyle w:val="TableParagraph"/>
              <w:numPr>
                <w:ilvl w:val="0"/>
                <w:numId w:val="10"/>
              </w:numPr>
              <w:tabs>
                <w:tab w:pos="736" w:val="left" w:leader="none"/>
              </w:tabs>
              <w:spacing w:line="240" w:lineRule="auto" w:before="123" w:after="0"/>
              <w:ind w:left="735"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10"/>
              </w:numPr>
              <w:tabs>
                <w:tab w:pos="736" w:val="left" w:leader="none"/>
              </w:tabs>
              <w:spacing w:line="240" w:lineRule="auto" w:before="123" w:after="0"/>
              <w:ind w:left="735"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10"/>
              </w:numPr>
              <w:tabs>
                <w:tab w:pos="736" w:val="left" w:leader="none"/>
              </w:tabs>
              <w:spacing w:line="240" w:lineRule="auto" w:before="123" w:after="0"/>
              <w:ind w:left="735"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0"/>
              </w:numPr>
              <w:tabs>
                <w:tab w:pos="736" w:val="left" w:leader="none"/>
              </w:tabs>
              <w:spacing w:line="240" w:lineRule="auto" w:before="120" w:after="0"/>
              <w:ind w:left="735"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8"/>
                <w:w w:val="130"/>
                <w:sz w:val="11"/>
              </w:rPr>
              <w:t> </w:t>
            </w:r>
            <w:r>
              <w:rPr>
                <w:spacing w:val="-3"/>
                <w:w w:val="110"/>
                <w:position w:val="1"/>
                <w:sz w:val="21"/>
              </w:rPr>
              <w:t>期或者更轻分期的前列腺癌；</w:t>
            </w:r>
          </w:p>
          <w:p>
            <w:pPr>
              <w:pStyle w:val="TableParagraph"/>
              <w:numPr>
                <w:ilvl w:val="0"/>
                <w:numId w:val="10"/>
              </w:numPr>
              <w:tabs>
                <w:tab w:pos="736" w:val="left" w:leader="none"/>
              </w:tabs>
              <w:spacing w:line="240" w:lineRule="auto" w:before="123" w:after="0"/>
              <w:ind w:left="735" w:right="0" w:hanging="624"/>
              <w:jc w:val="both"/>
              <w:rPr>
                <w:sz w:val="21"/>
              </w:rPr>
            </w:pPr>
            <w:r>
              <w:rPr>
                <w:spacing w:val="-3"/>
                <w:sz w:val="21"/>
              </w:rPr>
              <w:t>感染艾滋病病毒或者患艾滋病期间所患恶性肿瘤。</w:t>
            </w:r>
          </w:p>
        </w:tc>
      </w:tr>
      <w:tr>
        <w:trPr>
          <w:trHeight w:val="3119" w:hRule="atLeast"/>
        </w:trPr>
        <w:tc>
          <w:tcPr>
            <w:tcW w:w="759" w:type="dxa"/>
          </w:tcPr>
          <w:p>
            <w:pPr>
              <w:pStyle w:val="TableParagraph"/>
              <w:spacing w:before="39"/>
              <w:ind w:left="108"/>
              <w:rPr>
                <w:rFonts w:ascii="微软雅黑"/>
                <w:b/>
                <w:sz w:val="21"/>
              </w:rPr>
            </w:pPr>
            <w:r>
              <w:rPr>
                <w:rFonts w:ascii="微软雅黑"/>
                <w:b/>
                <w:sz w:val="21"/>
              </w:rPr>
              <w:t>7.1.2</w:t>
            </w:r>
          </w:p>
        </w:tc>
        <w:tc>
          <w:tcPr>
            <w:tcW w:w="1756" w:type="dxa"/>
          </w:tcPr>
          <w:p>
            <w:pPr>
              <w:pStyle w:val="TableParagraph"/>
              <w:spacing w:before="39"/>
              <w:ind w:left="165"/>
              <w:rPr>
                <w:rFonts w:ascii="微软雅黑" w:eastAsia="微软雅黑" w:hint="eastAsia"/>
                <w:b/>
                <w:sz w:val="21"/>
              </w:rPr>
            </w:pPr>
            <w:r>
              <w:rPr>
                <w:rFonts w:ascii="微软雅黑" w:eastAsia="微软雅黑" w:hint="eastAsia"/>
                <w:b/>
                <w:sz w:val="21"/>
              </w:rPr>
              <w:t>急性心肌梗塞</w:t>
            </w:r>
          </w:p>
        </w:tc>
        <w:tc>
          <w:tcPr>
            <w:tcW w:w="7577" w:type="dxa"/>
          </w:tcPr>
          <w:p>
            <w:pPr>
              <w:pStyle w:val="TableParagraph"/>
              <w:spacing w:line="280" w:lineRule="auto" w:before="102"/>
              <w:ind w:right="291"/>
              <w:rPr>
                <w:sz w:val="21"/>
              </w:rPr>
            </w:pPr>
            <w:r>
              <w:rPr>
                <w:sz w:val="21"/>
              </w:rPr>
              <w:t>指因冠状动脉阻塞导致的相应区域供血不足造成部分心肌坏死。须满足下列至少三项条件：</w:t>
            </w:r>
          </w:p>
          <w:p>
            <w:pPr>
              <w:pStyle w:val="TableParagraph"/>
              <w:numPr>
                <w:ilvl w:val="0"/>
                <w:numId w:val="11"/>
              </w:numPr>
              <w:tabs>
                <w:tab w:pos="736" w:val="left" w:leader="none"/>
              </w:tabs>
              <w:spacing w:line="240" w:lineRule="auto" w:before="85" w:after="0"/>
              <w:ind w:left="735" w:right="0" w:hanging="624"/>
              <w:jc w:val="left"/>
              <w:rPr>
                <w:sz w:val="21"/>
              </w:rPr>
            </w:pPr>
            <w:r>
              <w:rPr>
                <w:spacing w:val="-3"/>
                <w:sz w:val="21"/>
              </w:rPr>
              <w:t>典型临床表现，例如急性胸痛等；</w:t>
            </w:r>
          </w:p>
          <w:p>
            <w:pPr>
              <w:pStyle w:val="TableParagraph"/>
              <w:numPr>
                <w:ilvl w:val="0"/>
                <w:numId w:val="11"/>
              </w:numPr>
              <w:tabs>
                <w:tab w:pos="736" w:val="left" w:leader="none"/>
              </w:tabs>
              <w:spacing w:line="240" w:lineRule="auto" w:before="123" w:after="0"/>
              <w:ind w:left="735" w:right="0" w:hanging="624"/>
              <w:jc w:val="left"/>
              <w:rPr>
                <w:sz w:val="21"/>
              </w:rPr>
            </w:pPr>
            <w:r>
              <w:rPr>
                <w:spacing w:val="-3"/>
                <w:sz w:val="21"/>
              </w:rPr>
              <w:t>新近的心电图改变提示急性心肌梗塞；</w:t>
            </w:r>
          </w:p>
          <w:p>
            <w:pPr>
              <w:pStyle w:val="TableParagraph"/>
              <w:numPr>
                <w:ilvl w:val="0"/>
                <w:numId w:val="11"/>
              </w:numPr>
              <w:tabs>
                <w:tab w:pos="736" w:val="left" w:leader="none"/>
              </w:tabs>
              <w:spacing w:line="280" w:lineRule="auto" w:before="123" w:after="0"/>
              <w:ind w:left="735" w:right="336"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11"/>
              </w:numPr>
              <w:tabs>
                <w:tab w:pos="736" w:val="left" w:leader="none"/>
              </w:tabs>
              <w:spacing w:line="240" w:lineRule="auto" w:before="85" w:after="0"/>
              <w:ind w:left="735" w:right="0" w:hanging="624"/>
              <w:jc w:val="left"/>
              <w:rPr>
                <w:sz w:val="21"/>
              </w:rPr>
            </w:pPr>
            <w:r>
              <w:rPr>
                <w:spacing w:val="18"/>
                <w:sz w:val="21"/>
              </w:rPr>
              <w:t>发病 </w:t>
            </w:r>
            <w:r>
              <w:rPr>
                <w:sz w:val="21"/>
              </w:rPr>
              <w:t>90 天后，经检查证实左心室功能降低，如左心室射血分数低于</w:t>
            </w:r>
          </w:p>
          <w:p>
            <w:pPr>
              <w:pStyle w:val="TableParagraph"/>
              <w:spacing w:before="47"/>
              <w:ind w:left="735"/>
              <w:rPr>
                <w:sz w:val="21"/>
              </w:rPr>
            </w:pPr>
            <w:r>
              <w:rPr>
                <w:w w:val="130"/>
                <w:sz w:val="21"/>
              </w:rPr>
              <w:t>50%</w:t>
            </w:r>
            <w:r>
              <w:rPr>
                <w:w w:val="125"/>
                <w:sz w:val="21"/>
              </w:rPr>
              <w:t>。</w:t>
            </w:r>
          </w:p>
        </w:tc>
      </w:tr>
      <w:tr>
        <w:trPr>
          <w:trHeight w:val="1607" w:hRule="atLeast"/>
        </w:trPr>
        <w:tc>
          <w:tcPr>
            <w:tcW w:w="759" w:type="dxa"/>
          </w:tcPr>
          <w:p>
            <w:pPr>
              <w:pStyle w:val="TableParagraph"/>
              <w:spacing w:before="40"/>
              <w:ind w:left="108"/>
              <w:rPr>
                <w:rFonts w:ascii="微软雅黑"/>
                <w:b/>
                <w:sz w:val="21"/>
              </w:rPr>
            </w:pPr>
            <w:r>
              <w:rPr>
                <w:rFonts w:ascii="微软雅黑"/>
                <w:b/>
                <w:sz w:val="21"/>
              </w:rPr>
              <w:t>7.1.3</w:t>
            </w:r>
          </w:p>
        </w:tc>
        <w:tc>
          <w:tcPr>
            <w:tcW w:w="1756" w:type="dxa"/>
          </w:tcPr>
          <w:p>
            <w:pPr>
              <w:pStyle w:val="TableParagraph"/>
              <w:spacing w:line="342" w:lineRule="exact" w:before="40"/>
              <w:ind w:left="165"/>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2"/>
              <w:ind w:left="165" w:right="110"/>
              <w:rPr>
                <w:rFonts w:ascii="微软雅黑" w:eastAsia="微软雅黑" w:hint="eastAsia"/>
                <w:b/>
                <w:sz w:val="21"/>
              </w:rPr>
            </w:pPr>
            <w:r>
              <w:rPr>
                <w:rFonts w:ascii="微软雅黑" w:eastAsia="微软雅黑" w:hint="eastAsia"/>
                <w:b/>
                <w:sz w:val="21"/>
              </w:rPr>
              <w:t>（或者称冠状动脉旁路移植术）</w:t>
            </w:r>
          </w:p>
        </w:tc>
        <w:tc>
          <w:tcPr>
            <w:tcW w:w="7577" w:type="dxa"/>
          </w:tcPr>
          <w:p>
            <w:pPr>
              <w:pStyle w:val="TableParagraph"/>
              <w:spacing w:line="280" w:lineRule="auto" w:before="103"/>
              <w:ind w:right="335"/>
              <w:rPr>
                <w:sz w:val="21"/>
              </w:rPr>
            </w:pPr>
            <w:r>
              <w:rPr>
                <w:sz w:val="21"/>
              </w:rPr>
              <w:t>指为治疗严重的冠心病，实际实施了开胸进行的冠状动脉血管旁路移植的手术。</w:t>
            </w:r>
          </w:p>
          <w:p>
            <w:pPr>
              <w:pStyle w:val="TableParagraph"/>
              <w:spacing w:line="280" w:lineRule="auto" w:before="85"/>
              <w:ind w:right="307"/>
              <w:rPr>
                <w:sz w:val="21"/>
              </w:rPr>
            </w:pPr>
            <w:r>
              <w:rPr>
                <w:sz w:val="21"/>
              </w:rPr>
              <w:t>冠状动脉支架植入术、心导管球囊扩张术、激光射频技术及其他非开胸的介入手术、腔镜手术不在保障范围内。</w:t>
            </w:r>
          </w:p>
        </w:tc>
      </w:tr>
      <w:tr>
        <w:trPr>
          <w:trHeight w:val="886" w:hRule="atLeast"/>
        </w:trPr>
        <w:tc>
          <w:tcPr>
            <w:tcW w:w="759" w:type="dxa"/>
          </w:tcPr>
          <w:p>
            <w:pPr>
              <w:pStyle w:val="TableParagraph"/>
              <w:spacing w:before="39"/>
              <w:ind w:left="108"/>
              <w:rPr>
                <w:rFonts w:ascii="微软雅黑"/>
                <w:b/>
                <w:sz w:val="21"/>
              </w:rPr>
            </w:pPr>
            <w:r>
              <w:rPr>
                <w:rFonts w:ascii="微软雅黑"/>
                <w:b/>
                <w:sz w:val="21"/>
              </w:rPr>
              <w:t>7.1.4</w:t>
            </w:r>
          </w:p>
        </w:tc>
        <w:tc>
          <w:tcPr>
            <w:tcW w:w="1756" w:type="dxa"/>
          </w:tcPr>
          <w:p>
            <w:pPr>
              <w:pStyle w:val="TableParagraph"/>
              <w:spacing w:before="39"/>
              <w:ind w:left="165"/>
              <w:rPr>
                <w:rFonts w:ascii="微软雅黑" w:eastAsia="微软雅黑" w:hint="eastAsia"/>
                <w:b/>
                <w:sz w:val="21"/>
              </w:rPr>
            </w:pPr>
            <w:r>
              <w:rPr>
                <w:rFonts w:ascii="微软雅黑" w:eastAsia="微软雅黑" w:hint="eastAsia"/>
                <w:b/>
                <w:sz w:val="21"/>
              </w:rPr>
              <w:t>心脏瓣膜手术</w:t>
            </w:r>
          </w:p>
        </w:tc>
        <w:tc>
          <w:tcPr>
            <w:tcW w:w="7577" w:type="dxa"/>
          </w:tcPr>
          <w:p>
            <w:pPr>
              <w:pStyle w:val="TableParagraph"/>
              <w:spacing w:line="280" w:lineRule="auto" w:before="101"/>
              <w:ind w:right="335"/>
              <w:rPr>
                <w:sz w:val="21"/>
              </w:rPr>
            </w:pPr>
            <w:r>
              <w:rPr>
                <w:sz w:val="21"/>
              </w:rPr>
              <w:t>指为治疗心脏瓣膜疾病，实际实施了开胸进行的心脏瓣膜置换或者修复的手术。</w:t>
            </w:r>
          </w:p>
        </w:tc>
      </w:tr>
      <w:tr>
        <w:trPr>
          <w:trHeight w:val="1207" w:hRule="atLeast"/>
        </w:trPr>
        <w:tc>
          <w:tcPr>
            <w:tcW w:w="759" w:type="dxa"/>
          </w:tcPr>
          <w:p>
            <w:pPr>
              <w:pStyle w:val="TableParagraph"/>
              <w:spacing w:before="40"/>
              <w:ind w:left="108"/>
              <w:rPr>
                <w:rFonts w:ascii="微软雅黑"/>
                <w:b/>
                <w:sz w:val="21"/>
              </w:rPr>
            </w:pPr>
            <w:r>
              <w:rPr>
                <w:rFonts w:ascii="微软雅黑"/>
                <w:b/>
                <w:sz w:val="21"/>
              </w:rPr>
              <w:t>7.1.5</w:t>
            </w:r>
          </w:p>
        </w:tc>
        <w:tc>
          <w:tcPr>
            <w:tcW w:w="1756" w:type="dxa"/>
          </w:tcPr>
          <w:p>
            <w:pPr>
              <w:pStyle w:val="TableParagraph"/>
              <w:spacing w:line="213" w:lineRule="auto" w:before="80"/>
              <w:ind w:left="165" w:right="110"/>
              <w:rPr>
                <w:rFonts w:ascii="微软雅黑" w:eastAsia="微软雅黑" w:hint="eastAsia"/>
                <w:b/>
                <w:sz w:val="21"/>
              </w:rPr>
            </w:pPr>
            <w:r>
              <w:rPr>
                <w:rFonts w:ascii="微软雅黑" w:eastAsia="微软雅黑" w:hint="eastAsia"/>
                <w:b/>
                <w:sz w:val="21"/>
              </w:rPr>
              <w:t>严重原发性肺动脉高压</w:t>
            </w:r>
          </w:p>
        </w:tc>
        <w:tc>
          <w:tcPr>
            <w:tcW w:w="7577" w:type="dxa"/>
          </w:tcPr>
          <w:p>
            <w:pPr>
              <w:pStyle w:val="TableParagraph"/>
              <w:spacing w:line="220" w:lineRule="auto" w:before="125"/>
              <w:ind w:right="305"/>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spacing w:val="-6"/>
                <w:w w:val="100"/>
                <w:sz w:val="21"/>
              </w:rPr>
              <w:t>永久不可逆</w:t>
            </w:r>
            <w:r>
              <w:rPr>
                <w:w w:val="100"/>
                <w:sz w:val="21"/>
              </w:rPr>
              <w:t>（见</w:t>
            </w:r>
            <w:r>
              <w:rPr>
                <w:spacing w:val="-55"/>
                <w:sz w:val="21"/>
              </w:rPr>
              <w:t> </w:t>
            </w:r>
            <w:r>
              <w:rPr>
                <w:w w:val="124"/>
                <w:sz w:val="21"/>
              </w:rPr>
              <w:t>8</w:t>
            </w:r>
            <w:r>
              <w:rPr>
                <w:spacing w:val="-2"/>
                <w:w w:val="58"/>
                <w:sz w:val="21"/>
              </w:rPr>
              <w:t>.</w:t>
            </w:r>
            <w:r>
              <w:rPr>
                <w:spacing w:val="-2"/>
                <w:w w:val="97"/>
                <w:sz w:val="21"/>
              </w:rPr>
              <w:t>1</w:t>
            </w:r>
            <w:r>
              <w:rPr>
                <w:w w:val="123"/>
                <w:sz w:val="21"/>
              </w:rPr>
              <w:t>9</w:t>
            </w:r>
            <w:r>
              <w:rPr>
                <w:spacing w:val="-32"/>
                <w:w w:val="100"/>
                <w:sz w:val="21"/>
              </w:rPr>
              <w:t>）</w:t>
            </w:r>
            <w:r>
              <w:rPr>
                <w:spacing w:val="-6"/>
                <w:w w:val="100"/>
                <w:sz w:val="21"/>
              </w:rPr>
              <w:t>性的体力活动能力受限，达到</w:t>
            </w:r>
            <w:r>
              <w:rPr>
                <w:rFonts w:ascii="微软雅黑" w:hAnsi="微软雅黑" w:eastAsia="微软雅黑" w:hint="eastAsia"/>
                <w:b/>
                <w:spacing w:val="-1"/>
                <w:w w:val="100"/>
                <w:sz w:val="21"/>
              </w:rPr>
              <w:t>美国纽约心脏病学会心</w:t>
            </w:r>
            <w:r>
              <w:rPr>
                <w:rFonts w:ascii="微软雅黑" w:hAnsi="微软雅黑" w:eastAsia="微软雅黑" w:hint="eastAsia"/>
                <w:b/>
                <w:spacing w:val="-1"/>
                <w:w w:val="105"/>
                <w:sz w:val="21"/>
              </w:rPr>
              <w:t>功能状态分级</w:t>
            </w:r>
            <w:r>
              <w:rPr>
                <w:spacing w:val="-3"/>
                <w:w w:val="105"/>
                <w:sz w:val="21"/>
              </w:rPr>
              <w:t>（</w:t>
            </w:r>
            <w:r>
              <w:rPr>
                <w:spacing w:val="-43"/>
                <w:w w:val="105"/>
                <w:sz w:val="21"/>
              </w:rPr>
              <w:t>见 </w:t>
            </w:r>
            <w:r>
              <w:rPr>
                <w:w w:val="105"/>
                <w:sz w:val="21"/>
              </w:rPr>
              <w:t>8.20）</w:t>
            </w:r>
            <w:r>
              <w:rPr>
                <w:spacing w:val="-8"/>
                <w:w w:val="105"/>
                <w:sz w:val="21"/>
              </w:rPr>
              <w:t>Ⅳ级，且静息状态下肺动脉平均压超过 </w:t>
            </w:r>
            <w:r>
              <w:rPr>
                <w:w w:val="115"/>
                <w:sz w:val="21"/>
              </w:rPr>
              <w:t>30mmHg</w:t>
            </w:r>
            <w:r>
              <w:rPr>
                <w:w w:val="105"/>
                <w:sz w:val="21"/>
              </w:rPr>
              <w:t>。</w:t>
            </w:r>
          </w:p>
        </w:tc>
      </w:tr>
      <w:tr>
        <w:trPr>
          <w:trHeight w:val="403" w:hRule="atLeast"/>
        </w:trPr>
        <w:tc>
          <w:tcPr>
            <w:tcW w:w="759" w:type="dxa"/>
          </w:tcPr>
          <w:p>
            <w:pPr>
              <w:pStyle w:val="TableParagraph"/>
              <w:spacing w:line="343" w:lineRule="exact" w:before="40"/>
              <w:ind w:left="108"/>
              <w:rPr>
                <w:rFonts w:ascii="微软雅黑"/>
                <w:b/>
                <w:sz w:val="21"/>
              </w:rPr>
            </w:pPr>
            <w:r>
              <w:rPr>
                <w:rFonts w:ascii="微软雅黑"/>
                <w:b/>
                <w:sz w:val="21"/>
              </w:rPr>
              <w:t>7.1.6</w:t>
            </w:r>
          </w:p>
        </w:tc>
        <w:tc>
          <w:tcPr>
            <w:tcW w:w="1756" w:type="dxa"/>
          </w:tcPr>
          <w:p>
            <w:pPr>
              <w:pStyle w:val="TableParagraph"/>
              <w:spacing w:line="343" w:lineRule="exact" w:before="40"/>
              <w:ind w:left="165"/>
              <w:rPr>
                <w:rFonts w:ascii="微软雅黑" w:eastAsia="微软雅黑" w:hint="eastAsia"/>
                <w:b/>
                <w:sz w:val="21"/>
              </w:rPr>
            </w:pPr>
            <w:r>
              <w:rPr>
                <w:rFonts w:ascii="微软雅黑" w:eastAsia="微软雅黑" w:hint="eastAsia"/>
                <w:b/>
                <w:sz w:val="21"/>
              </w:rPr>
              <w:t>主动脉手术</w:t>
            </w:r>
          </w:p>
        </w:tc>
        <w:tc>
          <w:tcPr>
            <w:tcW w:w="7577" w:type="dxa"/>
          </w:tcPr>
          <w:p>
            <w:pPr>
              <w:pStyle w:val="TableParagraph"/>
              <w:spacing w:before="103"/>
              <w:rPr>
                <w:sz w:val="21"/>
              </w:rPr>
            </w:pPr>
            <w:r>
              <w:rPr>
                <w:sz w:val="21"/>
              </w:rPr>
              <w:t>指为治疗主动脉疾病，实际实施了开胸或者开腹进行的切除、置换、修补病损</w:t>
            </w:r>
          </w:p>
        </w:tc>
      </w:tr>
    </w:tbl>
    <w:p>
      <w:pPr>
        <w:spacing w:after="0"/>
        <w:rPr>
          <w:sz w:val="21"/>
        </w:rPr>
        <w:sectPr>
          <w:pgSz w:w="11910" w:h="16840"/>
          <w:pgMar w:top="1260" w:bottom="280" w:left="1020" w:right="5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705"/>
        <w:gridCol w:w="7436"/>
      </w:tblGrid>
      <w:tr>
        <w:trPr>
          <w:trHeight w:val="1128" w:hRule="atLeast"/>
        </w:trPr>
        <w:tc>
          <w:tcPr>
            <w:tcW w:w="901" w:type="dxa"/>
          </w:tcPr>
          <w:p>
            <w:pPr>
              <w:pStyle w:val="TableParagraph"/>
              <w:spacing w:before="0"/>
              <w:ind w:left="0"/>
              <w:rPr>
                <w:rFonts w:ascii="Times New Roman"/>
                <w:sz w:val="20"/>
              </w:rPr>
            </w:pPr>
          </w:p>
        </w:tc>
        <w:tc>
          <w:tcPr>
            <w:tcW w:w="1705" w:type="dxa"/>
          </w:tcPr>
          <w:p>
            <w:pPr>
              <w:pStyle w:val="TableParagraph"/>
              <w:spacing w:before="0"/>
              <w:ind w:left="0"/>
              <w:rPr>
                <w:rFonts w:ascii="Times New Roman"/>
                <w:sz w:val="20"/>
              </w:rPr>
            </w:pPr>
          </w:p>
        </w:tc>
        <w:tc>
          <w:tcPr>
            <w:tcW w:w="7436" w:type="dxa"/>
          </w:tcPr>
          <w:p>
            <w:pPr>
              <w:pStyle w:val="TableParagraph"/>
              <w:spacing w:line="218" w:lineRule="exact" w:before="0"/>
              <w:ind w:left="112"/>
              <w:rPr>
                <w:sz w:val="21"/>
              </w:rPr>
            </w:pPr>
            <w:r>
              <w:rPr>
                <w:sz w:val="21"/>
              </w:rPr>
              <w:t>主动脉血管的手术。主动脉指胸主动脉和腹主动脉，不包括胸主动脉和腹主动</w:t>
            </w:r>
          </w:p>
          <w:p>
            <w:pPr>
              <w:pStyle w:val="TableParagraph"/>
              <w:spacing w:before="46"/>
              <w:ind w:left="112"/>
              <w:rPr>
                <w:sz w:val="21"/>
              </w:rPr>
            </w:pPr>
            <w:r>
              <w:rPr>
                <w:sz w:val="21"/>
              </w:rPr>
              <w:t>脉的分支血管。</w:t>
            </w:r>
          </w:p>
          <w:p>
            <w:pPr>
              <w:pStyle w:val="TableParagraph"/>
              <w:spacing w:before="120"/>
              <w:ind w:left="112"/>
              <w:rPr>
                <w:sz w:val="21"/>
              </w:rPr>
            </w:pPr>
            <w:r>
              <w:rPr>
                <w:sz w:val="21"/>
              </w:rPr>
              <w:t>动脉内血管成形术不在保障范围内。</w:t>
            </w:r>
          </w:p>
        </w:tc>
      </w:tr>
      <w:tr>
        <w:trPr>
          <w:trHeight w:val="1605" w:hRule="atLeast"/>
        </w:trPr>
        <w:tc>
          <w:tcPr>
            <w:tcW w:w="901" w:type="dxa"/>
          </w:tcPr>
          <w:p>
            <w:pPr>
              <w:pStyle w:val="TableParagraph"/>
              <w:spacing w:before="39"/>
              <w:ind w:left="200"/>
              <w:rPr>
                <w:rFonts w:ascii="微软雅黑"/>
                <w:b/>
                <w:sz w:val="21"/>
              </w:rPr>
            </w:pPr>
            <w:r>
              <w:rPr>
                <w:rFonts w:ascii="微软雅黑"/>
                <w:b/>
                <w:sz w:val="21"/>
              </w:rPr>
              <w:t>7.1.7</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严重心肌病</w:t>
            </w:r>
          </w:p>
        </w:tc>
        <w:tc>
          <w:tcPr>
            <w:tcW w:w="7436" w:type="dxa"/>
          </w:tcPr>
          <w:p>
            <w:pPr>
              <w:pStyle w:val="TableParagraph"/>
              <w:spacing w:line="280" w:lineRule="auto" w:before="102"/>
              <w:ind w:left="112" w:right="197"/>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5"/>
              <w:ind w:left="112"/>
              <w:jc w:val="both"/>
              <w:rPr>
                <w:sz w:val="21"/>
              </w:rPr>
            </w:pPr>
            <w:r>
              <w:rPr>
                <w:sz w:val="21"/>
              </w:rPr>
              <w:t>因酗酒或者滥用药物引起的心肌病不在保障范围内。</w:t>
            </w:r>
          </w:p>
        </w:tc>
      </w:tr>
      <w:tr>
        <w:trPr>
          <w:trHeight w:val="4235" w:hRule="atLeast"/>
        </w:trPr>
        <w:tc>
          <w:tcPr>
            <w:tcW w:w="901" w:type="dxa"/>
          </w:tcPr>
          <w:p>
            <w:pPr>
              <w:pStyle w:val="TableParagraph"/>
              <w:spacing w:before="39"/>
              <w:ind w:left="200"/>
              <w:rPr>
                <w:rFonts w:ascii="微软雅黑"/>
                <w:b/>
                <w:sz w:val="21"/>
              </w:rPr>
            </w:pPr>
            <w:r>
              <w:rPr>
                <w:rFonts w:ascii="微软雅黑"/>
                <w:b/>
                <w:sz w:val="21"/>
              </w:rPr>
              <w:t>7.1.8</w:t>
            </w:r>
          </w:p>
        </w:tc>
        <w:tc>
          <w:tcPr>
            <w:tcW w:w="1705" w:type="dxa"/>
          </w:tcPr>
          <w:p>
            <w:pPr>
              <w:pStyle w:val="TableParagraph"/>
              <w:spacing w:line="213" w:lineRule="auto" w:before="79"/>
              <w:ind w:left="114" w:right="109"/>
              <w:rPr>
                <w:rFonts w:ascii="微软雅黑" w:eastAsia="微软雅黑" w:hint="eastAsia"/>
                <w:b/>
                <w:sz w:val="21"/>
              </w:rPr>
            </w:pPr>
            <w:r>
              <w:rPr>
                <w:rFonts w:ascii="微软雅黑" w:eastAsia="微软雅黑" w:hint="eastAsia"/>
                <w:b/>
                <w:sz w:val="21"/>
              </w:rPr>
              <w:t>严重感染性心内膜炎</w:t>
            </w:r>
          </w:p>
        </w:tc>
        <w:tc>
          <w:tcPr>
            <w:tcW w:w="7436" w:type="dxa"/>
          </w:tcPr>
          <w:p>
            <w:pPr>
              <w:pStyle w:val="TableParagraph"/>
              <w:spacing w:before="102"/>
              <w:ind w:left="112"/>
              <w:rPr>
                <w:sz w:val="21"/>
              </w:rPr>
            </w:pPr>
            <w:r>
              <w:rPr>
                <w:sz w:val="21"/>
              </w:rPr>
              <w:t>因感染性微Th物引致的心脏内膜炎症，并满足下列全部条件：</w:t>
            </w:r>
          </w:p>
          <w:p>
            <w:pPr>
              <w:pStyle w:val="TableParagraph"/>
              <w:numPr>
                <w:ilvl w:val="0"/>
                <w:numId w:val="12"/>
              </w:numPr>
              <w:tabs>
                <w:tab w:pos="737" w:val="left" w:leader="none"/>
              </w:tabs>
              <w:spacing w:line="240" w:lineRule="auto" w:before="123" w:after="0"/>
              <w:ind w:left="736" w:right="0" w:hanging="624"/>
              <w:jc w:val="left"/>
              <w:rPr>
                <w:sz w:val="21"/>
              </w:rPr>
            </w:pPr>
            <w:r>
              <w:rPr>
                <w:spacing w:val="-3"/>
                <w:sz w:val="21"/>
              </w:rPr>
              <w:t>以下方法之一血液培养测试结果为阳性，证实存在感染性微</w:t>
            </w:r>
            <w:r>
              <w:rPr>
                <w:sz w:val="21"/>
              </w:rPr>
              <w:t>Th物：</w:t>
            </w:r>
          </w:p>
          <w:p>
            <w:pPr>
              <w:pStyle w:val="TableParagraph"/>
              <w:spacing w:line="278" w:lineRule="auto"/>
              <w:ind w:left="1057" w:right="207" w:hanging="315"/>
              <w:rPr>
                <w:sz w:val="21"/>
              </w:rPr>
            </w:pPr>
            <w:r>
              <w:rPr>
                <w:sz w:val="21"/>
              </w:rPr>
              <w:t>① 微Th物：在赘Th物或者心脏内脓疡经培养或者组织检查证实有微Th 物；</w:t>
            </w:r>
          </w:p>
          <w:p>
            <w:pPr>
              <w:pStyle w:val="TableParagraph"/>
              <w:spacing w:line="280" w:lineRule="auto" w:before="90"/>
              <w:ind w:left="1057" w:right="206" w:hanging="315"/>
              <w:rPr>
                <w:sz w:val="21"/>
              </w:rPr>
            </w:pPr>
            <w:r>
              <w:rPr>
                <w:sz w:val="21"/>
              </w:rPr>
              <w:t>② 病理性病灶：组织检查证实赘Th物或者心脏内脓疡有活动性心内膜炎；</w:t>
            </w:r>
          </w:p>
          <w:p>
            <w:pPr>
              <w:pStyle w:val="TableParagraph"/>
              <w:spacing w:before="85"/>
              <w:ind w:left="743"/>
              <w:rPr>
                <w:sz w:val="21"/>
              </w:rPr>
            </w:pPr>
            <w:r>
              <w:rPr>
                <w:sz w:val="21"/>
              </w:rPr>
              <w:t>③ 分别两次血液培养证实有微Th物，且与心内膜炎符合；</w:t>
            </w:r>
          </w:p>
          <w:p>
            <w:pPr>
              <w:pStyle w:val="TableParagraph"/>
              <w:numPr>
                <w:ilvl w:val="0"/>
                <w:numId w:val="12"/>
              </w:numPr>
              <w:tabs>
                <w:tab w:pos="737" w:val="left" w:leader="none"/>
              </w:tabs>
              <w:spacing w:line="280" w:lineRule="auto" w:before="123" w:after="0"/>
              <w:ind w:left="736" w:right="197" w:hanging="624"/>
              <w:jc w:val="left"/>
              <w:rPr>
                <w:sz w:val="21"/>
              </w:rPr>
            </w:pPr>
            <w:r>
              <w:rPr>
                <w:spacing w:val="-7"/>
                <w:sz w:val="21"/>
              </w:rPr>
              <w:t>心内膜炎引起中度心瓣膜闭锁不全</w:t>
            </w:r>
            <w:r>
              <w:rPr>
                <w:spacing w:val="-3"/>
                <w:sz w:val="21"/>
              </w:rPr>
              <w:t>（</w:t>
            </w:r>
            <w:r>
              <w:rPr>
                <w:spacing w:val="11"/>
                <w:sz w:val="21"/>
              </w:rPr>
              <w:t>指返流分数 </w:t>
            </w:r>
            <w:r>
              <w:rPr>
                <w:sz w:val="21"/>
              </w:rPr>
              <w:t>20</w:t>
            </w:r>
            <w:r>
              <w:rPr>
                <w:spacing w:val="-3"/>
                <w:sz w:val="21"/>
              </w:rPr>
              <w:t>%或者以上</w:t>
            </w:r>
            <w:r>
              <w:rPr>
                <w:spacing w:val="-5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12"/>
              </w:numPr>
              <w:tabs>
                <w:tab w:pos="737" w:val="left" w:leader="none"/>
              </w:tabs>
              <w:spacing w:line="280" w:lineRule="auto" w:before="85" w:after="0"/>
              <w:ind w:left="736" w:right="201"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6" w:hRule="atLeast"/>
        </w:trPr>
        <w:tc>
          <w:tcPr>
            <w:tcW w:w="901" w:type="dxa"/>
          </w:tcPr>
          <w:p>
            <w:pPr>
              <w:pStyle w:val="TableParagraph"/>
              <w:spacing w:before="40"/>
              <w:ind w:left="200"/>
              <w:rPr>
                <w:rFonts w:ascii="微软雅黑"/>
                <w:b/>
                <w:sz w:val="21"/>
              </w:rPr>
            </w:pPr>
            <w:r>
              <w:rPr>
                <w:rFonts w:ascii="微软雅黑"/>
                <w:b/>
                <w:sz w:val="21"/>
              </w:rPr>
              <w:t>7.1.9</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严重冠心病</w:t>
            </w:r>
          </w:p>
        </w:tc>
        <w:tc>
          <w:tcPr>
            <w:tcW w:w="7436" w:type="dxa"/>
          </w:tcPr>
          <w:p>
            <w:pPr>
              <w:pStyle w:val="TableParagraph"/>
              <w:spacing w:line="280" w:lineRule="auto" w:before="103"/>
              <w:ind w:left="112" w:right="197"/>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12"/>
              <w:jc w:val="both"/>
              <w:rPr>
                <w:sz w:val="21"/>
              </w:rPr>
            </w:pPr>
            <w:r>
              <w:rPr>
                <w:sz w:val="21"/>
              </w:rPr>
              <w:t>前降支、左旋支及右冠状动脉的分支血管的狭窄不在保障范围内。</w:t>
            </w:r>
          </w:p>
        </w:tc>
      </w:tr>
      <w:tr>
        <w:trPr>
          <w:trHeight w:val="1527" w:hRule="atLeast"/>
        </w:trPr>
        <w:tc>
          <w:tcPr>
            <w:tcW w:w="901" w:type="dxa"/>
          </w:tcPr>
          <w:p>
            <w:pPr>
              <w:pStyle w:val="TableParagraph"/>
              <w:spacing w:before="39"/>
              <w:ind w:left="200"/>
              <w:rPr>
                <w:rFonts w:ascii="微软雅黑"/>
                <w:b/>
                <w:sz w:val="21"/>
              </w:rPr>
            </w:pPr>
            <w:r>
              <w:rPr>
                <w:rFonts w:ascii="微软雅黑"/>
                <w:b/>
                <w:sz w:val="21"/>
              </w:rPr>
              <w:t>7.1.10</w:t>
            </w:r>
          </w:p>
        </w:tc>
        <w:tc>
          <w:tcPr>
            <w:tcW w:w="1705" w:type="dxa"/>
          </w:tcPr>
          <w:p>
            <w:pPr>
              <w:pStyle w:val="TableParagraph"/>
              <w:spacing w:line="213" w:lineRule="auto" w:before="79"/>
              <w:ind w:left="114" w:right="109"/>
              <w:rPr>
                <w:rFonts w:ascii="微软雅黑" w:eastAsia="微软雅黑" w:hint="eastAsia"/>
                <w:b/>
                <w:sz w:val="21"/>
              </w:rPr>
            </w:pPr>
            <w:r>
              <w:rPr>
                <w:rFonts w:ascii="微软雅黑" w:eastAsia="微软雅黑" w:hint="eastAsia"/>
                <w:b/>
                <w:sz w:val="21"/>
              </w:rPr>
              <w:t>主动脉夹层动脉瘤</w:t>
            </w:r>
          </w:p>
        </w:tc>
        <w:tc>
          <w:tcPr>
            <w:tcW w:w="7436" w:type="dxa"/>
          </w:tcPr>
          <w:p>
            <w:pPr>
              <w:pStyle w:val="TableParagraph"/>
              <w:spacing w:line="280" w:lineRule="auto" w:before="102"/>
              <w:ind w:left="112" w:right="197"/>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4"/>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3" w:hRule="atLeast"/>
        </w:trPr>
        <w:tc>
          <w:tcPr>
            <w:tcW w:w="901" w:type="dxa"/>
          </w:tcPr>
          <w:p>
            <w:pPr>
              <w:pStyle w:val="TableParagraph"/>
              <w:spacing w:before="40"/>
              <w:ind w:left="200"/>
              <w:rPr>
                <w:rFonts w:ascii="微软雅黑"/>
                <w:b/>
                <w:sz w:val="21"/>
              </w:rPr>
            </w:pPr>
            <w:r>
              <w:rPr>
                <w:rFonts w:ascii="微软雅黑"/>
                <w:b/>
                <w:sz w:val="21"/>
              </w:rPr>
              <w:t>7.1.11</w:t>
            </w:r>
          </w:p>
        </w:tc>
        <w:tc>
          <w:tcPr>
            <w:tcW w:w="1705" w:type="dxa"/>
          </w:tcPr>
          <w:p>
            <w:pPr>
              <w:pStyle w:val="TableParagraph"/>
              <w:spacing w:line="213" w:lineRule="auto" w:before="80"/>
              <w:ind w:left="114" w:right="109"/>
              <w:rPr>
                <w:rFonts w:ascii="微软雅黑" w:eastAsia="微软雅黑" w:hint="eastAsia"/>
                <w:b/>
                <w:sz w:val="21"/>
              </w:rPr>
            </w:pPr>
            <w:r>
              <w:rPr>
                <w:rFonts w:ascii="微软雅黑" w:eastAsia="微软雅黑" w:hint="eastAsia"/>
                <w:b/>
                <w:sz w:val="21"/>
              </w:rPr>
              <w:t>严重慢性缩窄性心包炎</w:t>
            </w:r>
          </w:p>
        </w:tc>
        <w:tc>
          <w:tcPr>
            <w:tcW w:w="7436" w:type="dxa"/>
          </w:tcPr>
          <w:p>
            <w:pPr>
              <w:pStyle w:val="TableParagraph"/>
              <w:spacing w:line="280" w:lineRule="auto" w:before="103"/>
              <w:ind w:left="112" w:right="197"/>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3"/>
              </w:numPr>
              <w:tabs>
                <w:tab w:pos="744" w:val="left" w:leader="none"/>
              </w:tabs>
              <w:spacing w:line="280" w:lineRule="auto" w:before="85" w:after="0"/>
              <w:ind w:left="743" w:right="197"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3"/>
              </w:numPr>
              <w:tabs>
                <w:tab w:pos="744" w:val="left" w:leader="none"/>
              </w:tabs>
              <w:spacing w:line="240" w:lineRule="auto" w:before="85" w:after="0"/>
              <w:ind w:left="743" w:right="0" w:hanging="631"/>
              <w:jc w:val="both"/>
              <w:rPr>
                <w:sz w:val="21"/>
              </w:rPr>
            </w:pPr>
            <w:r>
              <w:rPr>
                <w:spacing w:val="-3"/>
                <w:sz w:val="21"/>
              </w:rPr>
              <w:t>已经实施了开胸进行的心包剥脱或者心包切除手术。</w:t>
            </w:r>
          </w:p>
          <w:p>
            <w:pPr>
              <w:pStyle w:val="TableParagraph"/>
              <w:ind w:left="112"/>
              <w:jc w:val="both"/>
              <w:rPr>
                <w:sz w:val="21"/>
              </w:rPr>
            </w:pPr>
            <w:r>
              <w:rPr>
                <w:sz w:val="21"/>
              </w:rPr>
              <w:t>经胸腔镜、胸壁打孔进行的手术，心包粘连松解手术不在保障范围内。</w:t>
            </w:r>
          </w:p>
        </w:tc>
      </w:tr>
      <w:tr>
        <w:trPr>
          <w:trHeight w:val="887" w:hRule="atLeast"/>
        </w:trPr>
        <w:tc>
          <w:tcPr>
            <w:tcW w:w="901" w:type="dxa"/>
          </w:tcPr>
          <w:p>
            <w:pPr>
              <w:pStyle w:val="TableParagraph"/>
              <w:spacing w:before="39"/>
              <w:ind w:left="200"/>
              <w:rPr>
                <w:rFonts w:ascii="微软雅黑"/>
                <w:b/>
                <w:sz w:val="21"/>
              </w:rPr>
            </w:pPr>
            <w:r>
              <w:rPr>
                <w:rFonts w:ascii="微软雅黑"/>
                <w:b/>
                <w:sz w:val="21"/>
              </w:rPr>
              <w:t>7.1.12</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肺源性心脏病</w:t>
            </w:r>
          </w:p>
        </w:tc>
        <w:tc>
          <w:tcPr>
            <w:tcW w:w="7436" w:type="dxa"/>
          </w:tcPr>
          <w:p>
            <w:pPr>
              <w:pStyle w:val="TableParagraph"/>
              <w:spacing w:line="280" w:lineRule="auto" w:before="102"/>
              <w:ind w:left="112" w:right="165"/>
              <w:rPr>
                <w:sz w:val="21"/>
              </w:rPr>
            </w:pPr>
            <w:r>
              <w:rPr>
                <w:sz w:val="21"/>
              </w:rPr>
              <w:t>指因慢性肺部疾病导致慢性心功能损害，造成永久不可逆性的心功能衰竭，心功能衰竭程度达到美国纽约心脏病学会心功能状态分级Ⅳ级。</w:t>
            </w:r>
          </w:p>
        </w:tc>
      </w:tr>
      <w:tr>
        <w:trPr>
          <w:trHeight w:val="725" w:hRule="atLeast"/>
        </w:trPr>
        <w:tc>
          <w:tcPr>
            <w:tcW w:w="901" w:type="dxa"/>
          </w:tcPr>
          <w:p>
            <w:pPr>
              <w:pStyle w:val="TableParagraph"/>
              <w:spacing w:before="40"/>
              <w:ind w:left="200"/>
              <w:rPr>
                <w:rFonts w:ascii="微软雅黑"/>
                <w:b/>
                <w:sz w:val="21"/>
              </w:rPr>
            </w:pPr>
            <w:r>
              <w:rPr>
                <w:rFonts w:ascii="微软雅黑"/>
                <w:b/>
                <w:sz w:val="21"/>
              </w:rPr>
              <w:t>7.1.13</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严重心肌炎</w:t>
            </w:r>
          </w:p>
        </w:tc>
        <w:tc>
          <w:tcPr>
            <w:tcW w:w="7436" w:type="dxa"/>
          </w:tcPr>
          <w:p>
            <w:pPr>
              <w:pStyle w:val="TableParagraph"/>
              <w:spacing w:line="320" w:lineRule="atLeast" w:before="58"/>
              <w:ind w:left="112" w:right="166"/>
              <w:rPr>
                <w:sz w:val="21"/>
              </w:rPr>
            </w:pPr>
            <w:r>
              <w:rPr>
                <w:sz w:val="21"/>
              </w:rPr>
              <w:t>指心肌局限性或者弥漫性的急性或者慢性炎症病变，导致心脏功能障碍，达到美国纽约心脏病学会心功能状态分级Ⅳ级，且持续至少 90 天。</w:t>
            </w:r>
          </w:p>
        </w:tc>
      </w:tr>
    </w:tbl>
    <w:p>
      <w:pPr>
        <w:spacing w:after="0" w:line="320" w:lineRule="atLeast"/>
        <w:rPr>
          <w:sz w:val="21"/>
        </w:rPr>
        <w:sectPr>
          <w:pgSz w:w="11910" w:h="16840"/>
          <w:pgMar w:top="1180" w:bottom="2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1693"/>
        <w:gridCol w:w="7544"/>
      </w:tblGrid>
      <w:tr>
        <w:trPr>
          <w:trHeight w:val="2559" w:hRule="atLeast"/>
        </w:trPr>
        <w:tc>
          <w:tcPr>
            <w:tcW w:w="913" w:type="dxa"/>
          </w:tcPr>
          <w:p>
            <w:pPr>
              <w:pStyle w:val="TableParagraph"/>
              <w:spacing w:line="233" w:lineRule="exact" w:before="0"/>
              <w:ind w:left="0" w:right="123"/>
              <w:jc w:val="right"/>
              <w:rPr>
                <w:rFonts w:ascii="微软雅黑"/>
                <w:b/>
                <w:sz w:val="21"/>
              </w:rPr>
            </w:pPr>
            <w:r>
              <w:rPr>
                <w:rFonts w:ascii="微软雅黑"/>
                <w:b/>
                <w:w w:val="90"/>
                <w:sz w:val="21"/>
              </w:rPr>
              <w:t>7.1.14</w:t>
            </w:r>
          </w:p>
        </w:tc>
        <w:tc>
          <w:tcPr>
            <w:tcW w:w="1693" w:type="dxa"/>
          </w:tcPr>
          <w:p>
            <w:pPr>
              <w:pStyle w:val="TableParagraph"/>
              <w:spacing w:line="233" w:lineRule="exact" w:before="0"/>
              <w:ind w:left="102"/>
              <w:rPr>
                <w:rFonts w:ascii="微软雅黑" w:eastAsia="微软雅黑" w:hint="eastAsia"/>
                <w:b/>
                <w:sz w:val="21"/>
              </w:rPr>
            </w:pPr>
            <w:r>
              <w:rPr>
                <w:rFonts w:ascii="微软雅黑" w:eastAsia="微软雅黑" w:hint="eastAsia"/>
                <w:b/>
                <w:sz w:val="21"/>
              </w:rPr>
              <w:t>脑中风后遗症</w:t>
            </w:r>
          </w:p>
        </w:tc>
        <w:tc>
          <w:tcPr>
            <w:tcW w:w="7544" w:type="dxa"/>
          </w:tcPr>
          <w:p>
            <w:pPr>
              <w:pStyle w:val="TableParagraph"/>
              <w:spacing w:line="208" w:lineRule="exact" w:before="0"/>
              <w:ind w:left="112"/>
              <w:rPr>
                <w:sz w:val="21"/>
              </w:rPr>
            </w:pPr>
            <w:r>
              <w:rPr>
                <w:sz w:val="21"/>
              </w:rPr>
              <w:t>指因脑血管的突发病变引起脑血管出血、栓塞或者梗塞，并导致神经系统永久</w:t>
            </w:r>
          </w:p>
          <w:p>
            <w:pPr>
              <w:pStyle w:val="TableParagraph"/>
              <w:spacing w:line="278" w:lineRule="auto" w:before="47"/>
              <w:ind w:left="112" w:right="305"/>
              <w:rPr>
                <w:sz w:val="21"/>
              </w:rPr>
            </w:pPr>
            <w:r>
              <w:rPr>
                <w:spacing w:val="-8"/>
                <w:sz w:val="21"/>
              </w:rPr>
              <w:t>性的功能障碍。神经系统永久性的功能障碍，指疾病确诊 </w:t>
            </w:r>
            <w:r>
              <w:rPr>
                <w:sz w:val="21"/>
              </w:rPr>
              <w:t>180</w:t>
            </w:r>
            <w:r>
              <w:rPr>
                <w:spacing w:val="-8"/>
                <w:sz w:val="21"/>
              </w:rPr>
              <w:t> 天后，仍遗留下</w:t>
            </w:r>
            <w:r>
              <w:rPr>
                <w:spacing w:val="-5"/>
                <w:sz w:val="21"/>
              </w:rPr>
              <w:t>列一种或者一种以上障碍：</w:t>
            </w:r>
          </w:p>
          <w:p>
            <w:pPr>
              <w:pStyle w:val="TableParagraph"/>
              <w:numPr>
                <w:ilvl w:val="0"/>
                <w:numId w:val="14"/>
              </w:numPr>
              <w:tabs>
                <w:tab w:pos="737" w:val="left" w:leader="none"/>
              </w:tabs>
              <w:spacing w:line="240" w:lineRule="auto" w:before="27" w:after="0"/>
              <w:ind w:left="736"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5"/>
                <w:sz w:val="21"/>
              </w:rPr>
              <w:t> </w:t>
            </w:r>
            <w:r>
              <w:rPr>
                <w:w w:val="124"/>
                <w:sz w:val="21"/>
              </w:rPr>
              <w:t>8</w:t>
            </w:r>
            <w:r>
              <w:rPr>
                <w:spacing w:val="-2"/>
                <w:w w:val="89"/>
                <w:sz w:val="21"/>
              </w:rPr>
              <w:t>.</w:t>
            </w:r>
            <w:r>
              <w:rPr>
                <w:w w:val="89"/>
                <w:sz w:val="21"/>
              </w:rPr>
              <w:t>2</w:t>
            </w:r>
            <w:r>
              <w:rPr>
                <w:w w:val="97"/>
                <w:sz w:val="21"/>
              </w:rPr>
              <w:t>1</w:t>
            </w:r>
            <w:r>
              <w:rPr>
                <w:spacing w:val="-108"/>
                <w:w w:val="100"/>
                <w:sz w:val="21"/>
              </w:rPr>
              <w:t>）；</w:t>
            </w:r>
          </w:p>
          <w:p>
            <w:pPr>
              <w:pStyle w:val="TableParagraph"/>
              <w:numPr>
                <w:ilvl w:val="0"/>
                <w:numId w:val="14"/>
              </w:numPr>
              <w:tabs>
                <w:tab w:pos="739" w:val="left" w:leader="none"/>
              </w:tabs>
              <w:spacing w:line="240" w:lineRule="auto" w:before="35" w:after="0"/>
              <w:ind w:left="738" w:right="0" w:hanging="626"/>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5"/>
                <w:sz w:val="21"/>
              </w:rPr>
              <w:t> </w:t>
            </w:r>
            <w:r>
              <w:rPr>
                <w:w w:val="124"/>
                <w:sz w:val="21"/>
              </w:rPr>
              <w:t>8</w:t>
            </w:r>
            <w:r>
              <w:rPr>
                <w:spacing w:val="-2"/>
                <w:w w:val="89"/>
                <w:sz w:val="21"/>
              </w:rPr>
              <w:t>.</w:t>
            </w:r>
            <w:r>
              <w:rPr>
                <w:w w:val="89"/>
                <w:sz w:val="21"/>
              </w:rPr>
              <w:t>2</w:t>
            </w:r>
            <w:r>
              <w:rPr>
                <w:w w:val="121"/>
                <w:sz w:val="21"/>
              </w:rPr>
              <w:t>2</w:t>
            </w:r>
            <w:r>
              <w:rPr>
                <w:spacing w:val="-108"/>
                <w:w w:val="100"/>
                <w:sz w:val="21"/>
              </w:rPr>
              <w:t>）；</w:t>
            </w:r>
          </w:p>
          <w:p>
            <w:pPr>
              <w:pStyle w:val="TableParagraph"/>
              <w:numPr>
                <w:ilvl w:val="0"/>
                <w:numId w:val="14"/>
              </w:numPr>
              <w:tabs>
                <w:tab w:pos="737" w:val="left" w:leader="none"/>
              </w:tabs>
              <w:spacing w:line="254" w:lineRule="auto" w:before="33" w:after="0"/>
              <w:ind w:left="736" w:right="197" w:hanging="624"/>
              <w:jc w:val="left"/>
              <w:rPr>
                <w:sz w:val="21"/>
              </w:rPr>
            </w:pPr>
            <w:r>
              <w:rPr>
                <w:sz w:val="21"/>
              </w:rPr>
              <w:t>自主Th</w:t>
            </w:r>
            <w:r>
              <w:rPr>
                <w:spacing w:val="-12"/>
                <w:sz w:val="21"/>
              </w:rPr>
              <w:t>活能力完全丧失，无法独立完成</w:t>
            </w:r>
            <w:r>
              <w:rPr>
                <w:rFonts w:ascii="微软雅黑" w:eastAsia="微软雅黑" w:hint="eastAsia"/>
                <w:b/>
                <w:spacing w:val="-1"/>
                <w:sz w:val="21"/>
              </w:rPr>
              <w:t>六项基本日常</w:t>
            </w:r>
            <w:r>
              <w:rPr>
                <w:rFonts w:ascii="微软雅黑" w:eastAsia="微软雅黑" w:hint="eastAsia"/>
                <w:b/>
                <w:sz w:val="21"/>
              </w:rPr>
              <w:t>Th</w:t>
            </w:r>
            <w:r>
              <w:rPr>
                <w:rFonts w:ascii="微软雅黑" w:eastAsia="微软雅黑" w:hint="eastAsia"/>
                <w:b/>
                <w:spacing w:val="-35"/>
                <w:sz w:val="21"/>
              </w:rPr>
              <w:t>活活动</w:t>
            </w:r>
            <w:r>
              <w:rPr>
                <w:sz w:val="21"/>
              </w:rPr>
              <w:t>（</w:t>
            </w:r>
            <w:r>
              <w:rPr>
                <w:spacing w:val="-28"/>
                <w:sz w:val="21"/>
              </w:rPr>
              <w:t>见 </w:t>
            </w:r>
            <w:r>
              <w:rPr>
                <w:sz w:val="21"/>
              </w:rPr>
              <w:t>8.23） </w:t>
            </w:r>
            <w:r>
              <w:rPr>
                <w:spacing w:val="-3"/>
                <w:sz w:val="21"/>
              </w:rPr>
              <w:t>中的三项或者三项以上。</w:t>
            </w:r>
          </w:p>
        </w:tc>
      </w:tr>
      <w:tr>
        <w:trPr>
          <w:trHeight w:val="2725" w:hRule="atLeast"/>
        </w:trPr>
        <w:tc>
          <w:tcPr>
            <w:tcW w:w="913" w:type="dxa"/>
          </w:tcPr>
          <w:p>
            <w:pPr>
              <w:pStyle w:val="TableParagraph"/>
              <w:spacing w:before="33"/>
              <w:ind w:left="0" w:right="124"/>
              <w:jc w:val="right"/>
              <w:rPr>
                <w:rFonts w:ascii="微软雅黑"/>
                <w:b/>
                <w:sz w:val="21"/>
              </w:rPr>
            </w:pPr>
            <w:r>
              <w:rPr>
                <w:rFonts w:ascii="微软雅黑"/>
                <w:b/>
                <w:w w:val="90"/>
                <w:sz w:val="21"/>
              </w:rPr>
              <w:t>7.1.15</w:t>
            </w:r>
          </w:p>
        </w:tc>
        <w:tc>
          <w:tcPr>
            <w:tcW w:w="1693" w:type="dxa"/>
          </w:tcPr>
          <w:p>
            <w:pPr>
              <w:pStyle w:val="TableParagraph"/>
              <w:spacing w:before="33"/>
              <w:ind w:left="102"/>
              <w:rPr>
                <w:rFonts w:ascii="微软雅黑" w:eastAsia="微软雅黑" w:hint="eastAsia"/>
                <w:b/>
                <w:sz w:val="21"/>
              </w:rPr>
            </w:pPr>
            <w:r>
              <w:rPr>
                <w:rFonts w:ascii="微软雅黑" w:eastAsia="微软雅黑" w:hint="eastAsia"/>
                <w:b/>
                <w:sz w:val="21"/>
              </w:rPr>
              <w:t>良性脑肿瘤</w:t>
            </w:r>
          </w:p>
        </w:tc>
        <w:tc>
          <w:tcPr>
            <w:tcW w:w="7544" w:type="dxa"/>
          </w:tcPr>
          <w:p>
            <w:pPr>
              <w:pStyle w:val="TableParagraph"/>
              <w:spacing w:line="280" w:lineRule="auto" w:before="96"/>
              <w:ind w:left="112" w:right="305"/>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5"/>
              </w:numPr>
              <w:tabs>
                <w:tab w:pos="737" w:val="left" w:leader="none"/>
              </w:tabs>
              <w:spacing w:line="240" w:lineRule="auto" w:before="86" w:after="0"/>
              <w:ind w:left="736" w:right="0" w:hanging="624"/>
              <w:jc w:val="both"/>
              <w:rPr>
                <w:sz w:val="21"/>
              </w:rPr>
            </w:pPr>
            <w:r>
              <w:rPr>
                <w:spacing w:val="-3"/>
                <w:sz w:val="21"/>
              </w:rPr>
              <w:t>实际实施了开颅进行的脑肿瘤完全切除或者部分切除的手术；</w:t>
            </w:r>
          </w:p>
          <w:p>
            <w:pPr>
              <w:pStyle w:val="TableParagraph"/>
              <w:numPr>
                <w:ilvl w:val="0"/>
                <w:numId w:val="15"/>
              </w:numPr>
              <w:tabs>
                <w:tab w:pos="737" w:val="left" w:leader="none"/>
              </w:tabs>
              <w:spacing w:line="240" w:lineRule="auto" w:before="123" w:after="0"/>
              <w:ind w:left="736" w:right="0" w:hanging="624"/>
              <w:jc w:val="both"/>
              <w:rPr>
                <w:sz w:val="21"/>
              </w:rPr>
            </w:pPr>
            <w:r>
              <w:rPr>
                <w:spacing w:val="-3"/>
                <w:sz w:val="21"/>
              </w:rPr>
              <w:t>实际实施了对脑肿瘤进行的放射治疗。</w:t>
            </w:r>
          </w:p>
          <w:p>
            <w:pPr>
              <w:pStyle w:val="TableParagraph"/>
              <w:ind w:left="112"/>
              <w:jc w:val="both"/>
              <w:rPr>
                <w:sz w:val="21"/>
              </w:rPr>
            </w:pPr>
            <w:r>
              <w:rPr>
                <w:sz w:val="21"/>
              </w:rPr>
              <w:t>脑垂体瘤、脑囊肿、脑血管性疾病不在保障范围内。</w:t>
            </w:r>
          </w:p>
        </w:tc>
      </w:tr>
      <w:tr>
        <w:trPr>
          <w:trHeight w:val="2399" w:hRule="atLeast"/>
        </w:trPr>
        <w:tc>
          <w:tcPr>
            <w:tcW w:w="913" w:type="dxa"/>
          </w:tcPr>
          <w:p>
            <w:pPr>
              <w:pStyle w:val="TableParagraph"/>
              <w:spacing w:before="32"/>
              <w:ind w:left="0" w:right="123"/>
              <w:jc w:val="right"/>
              <w:rPr>
                <w:rFonts w:ascii="微软雅黑"/>
                <w:b/>
                <w:sz w:val="21"/>
              </w:rPr>
            </w:pPr>
            <w:r>
              <w:rPr>
                <w:rFonts w:ascii="微软雅黑"/>
                <w:b/>
                <w:w w:val="90"/>
                <w:sz w:val="21"/>
              </w:rPr>
              <w:t>7.1.16</w:t>
            </w:r>
          </w:p>
        </w:tc>
        <w:tc>
          <w:tcPr>
            <w:tcW w:w="1693" w:type="dxa"/>
          </w:tcPr>
          <w:p>
            <w:pPr>
              <w:pStyle w:val="TableParagraph"/>
              <w:spacing w:line="211" w:lineRule="auto" w:before="76"/>
              <w:ind w:left="102" w:right="109"/>
              <w:rPr>
                <w:rFonts w:ascii="微软雅黑" w:eastAsia="微软雅黑" w:hint="eastAsia"/>
                <w:b/>
                <w:sz w:val="21"/>
              </w:rPr>
            </w:pPr>
            <w:r>
              <w:rPr>
                <w:rFonts w:ascii="微软雅黑" w:eastAsia="微软雅黑" w:hint="eastAsia"/>
                <w:b/>
                <w:sz w:val="21"/>
              </w:rPr>
              <w:t>脑炎后遗症或者脑膜炎后遗症</w:t>
            </w:r>
          </w:p>
        </w:tc>
        <w:tc>
          <w:tcPr>
            <w:tcW w:w="7544" w:type="dxa"/>
          </w:tcPr>
          <w:p>
            <w:pPr>
              <w:pStyle w:val="TableParagraph"/>
              <w:spacing w:line="278" w:lineRule="auto" w:before="95"/>
              <w:ind w:left="112" w:right="258"/>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6"/>
              </w:numPr>
              <w:tabs>
                <w:tab w:pos="737" w:val="left" w:leader="none"/>
              </w:tabs>
              <w:spacing w:line="240" w:lineRule="auto" w:before="90" w:after="0"/>
              <w:ind w:left="736" w:right="0" w:hanging="624"/>
              <w:jc w:val="left"/>
              <w:rPr>
                <w:sz w:val="21"/>
              </w:rPr>
            </w:pPr>
            <w:r>
              <w:rPr>
                <w:spacing w:val="-3"/>
                <w:sz w:val="21"/>
              </w:rPr>
              <w:t>一肢或者一肢以上肢体机能完全丧失；</w:t>
            </w:r>
          </w:p>
          <w:p>
            <w:pPr>
              <w:pStyle w:val="TableParagraph"/>
              <w:numPr>
                <w:ilvl w:val="0"/>
                <w:numId w:val="16"/>
              </w:numPr>
              <w:tabs>
                <w:tab w:pos="737" w:val="left" w:leader="none"/>
              </w:tabs>
              <w:spacing w:line="240" w:lineRule="auto" w:before="123" w:after="0"/>
              <w:ind w:left="736" w:right="0" w:hanging="624"/>
              <w:jc w:val="left"/>
              <w:rPr>
                <w:sz w:val="21"/>
              </w:rPr>
            </w:pPr>
            <w:r>
              <w:rPr>
                <w:spacing w:val="-3"/>
                <w:sz w:val="21"/>
              </w:rPr>
              <w:t>语言能力或者咀嚼吞咽能力完全丧失；</w:t>
            </w:r>
          </w:p>
          <w:p>
            <w:pPr>
              <w:pStyle w:val="TableParagraph"/>
              <w:numPr>
                <w:ilvl w:val="0"/>
                <w:numId w:val="16"/>
              </w:numPr>
              <w:tabs>
                <w:tab w:pos="737" w:val="left" w:leader="none"/>
              </w:tabs>
              <w:spacing w:line="280" w:lineRule="auto" w:before="120" w:after="0"/>
              <w:ind w:left="736" w:right="303"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9" w:hRule="atLeast"/>
        </w:trPr>
        <w:tc>
          <w:tcPr>
            <w:tcW w:w="913" w:type="dxa"/>
          </w:tcPr>
          <w:p>
            <w:pPr>
              <w:pStyle w:val="TableParagraph"/>
              <w:spacing w:before="33"/>
              <w:ind w:left="0" w:right="124"/>
              <w:jc w:val="right"/>
              <w:rPr>
                <w:rFonts w:ascii="微软雅黑"/>
                <w:b/>
                <w:sz w:val="21"/>
              </w:rPr>
            </w:pPr>
            <w:r>
              <w:rPr>
                <w:rFonts w:ascii="微软雅黑"/>
                <w:b/>
                <w:w w:val="90"/>
                <w:sz w:val="21"/>
              </w:rPr>
              <w:t>7.1.17</w:t>
            </w:r>
          </w:p>
        </w:tc>
        <w:tc>
          <w:tcPr>
            <w:tcW w:w="1693" w:type="dxa"/>
          </w:tcPr>
          <w:p>
            <w:pPr>
              <w:pStyle w:val="TableParagraph"/>
              <w:spacing w:before="33"/>
              <w:ind w:left="102"/>
              <w:rPr>
                <w:rFonts w:ascii="微软雅黑" w:eastAsia="微软雅黑" w:hint="eastAsia"/>
                <w:b/>
                <w:sz w:val="21"/>
              </w:rPr>
            </w:pPr>
            <w:r>
              <w:rPr>
                <w:rFonts w:ascii="微软雅黑" w:eastAsia="微软雅黑" w:hint="eastAsia"/>
                <w:b/>
                <w:sz w:val="21"/>
              </w:rPr>
              <w:t>深度昏迷</w:t>
            </w:r>
          </w:p>
        </w:tc>
        <w:tc>
          <w:tcPr>
            <w:tcW w:w="7544" w:type="dxa"/>
          </w:tcPr>
          <w:p>
            <w:pPr>
              <w:pStyle w:val="TableParagraph"/>
              <w:spacing w:line="280" w:lineRule="auto" w:before="96"/>
              <w:ind w:left="112" w:right="308"/>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spacing w:val="-3"/>
                <w:w w:val="100"/>
                <w:sz w:val="21"/>
              </w:rPr>
              <w:t>（</w:t>
            </w:r>
            <w:r>
              <w:rPr>
                <w:w w:val="111"/>
                <w:sz w:val="21"/>
              </w:rPr>
              <w:t>Gl</w:t>
            </w:r>
            <w:r>
              <w:rPr>
                <w:spacing w:val="-2"/>
                <w:w w:val="111"/>
                <w:sz w:val="21"/>
              </w:rPr>
              <w:t>a</w:t>
            </w:r>
            <w:r>
              <w:rPr>
                <w:spacing w:val="-1"/>
                <w:w w:val="118"/>
                <w:sz w:val="21"/>
              </w:rPr>
              <w:t>s</w:t>
            </w:r>
            <w:r>
              <w:rPr>
                <w:spacing w:val="-2"/>
                <w:w w:val="118"/>
                <w:sz w:val="21"/>
              </w:rPr>
              <w:t>g</w:t>
            </w:r>
            <w:r>
              <w:rPr>
                <w:w w:val="122"/>
                <w:sz w:val="21"/>
              </w:rPr>
              <w:t>o</w:t>
            </w:r>
            <w:r>
              <w:rPr>
                <w:w w:val="158"/>
                <w:sz w:val="21"/>
              </w:rPr>
              <w:t>w</w:t>
            </w:r>
            <w:r>
              <w:rPr>
                <w:spacing w:val="-63"/>
                <w:sz w:val="21"/>
              </w:rPr>
              <w:t> </w:t>
            </w:r>
            <w:r>
              <w:rPr>
                <w:spacing w:val="-2"/>
                <w:w w:val="110"/>
                <w:sz w:val="21"/>
              </w:rPr>
              <w:t>c</w:t>
            </w:r>
            <w:r>
              <w:rPr>
                <w:spacing w:val="-2"/>
                <w:w w:val="122"/>
                <w:sz w:val="21"/>
              </w:rPr>
              <w:t>o</w:t>
            </w:r>
            <w:r>
              <w:rPr>
                <w:spacing w:val="-2"/>
                <w:w w:val="182"/>
                <w:sz w:val="21"/>
              </w:rPr>
              <w:t>m</w:t>
            </w:r>
            <w:r>
              <w:rPr>
                <w:w w:val="122"/>
                <w:sz w:val="21"/>
              </w:rPr>
              <w:t>a</w:t>
            </w:r>
            <w:r>
              <w:rPr>
                <w:spacing w:val="-61"/>
                <w:sz w:val="21"/>
              </w:rPr>
              <w:t> </w:t>
            </w:r>
            <w:r>
              <w:rPr>
                <w:spacing w:val="-1"/>
                <w:w w:val="112"/>
                <w:sz w:val="21"/>
              </w:rPr>
              <w:t>sc</w:t>
            </w:r>
            <w:r>
              <w:rPr>
                <w:w w:val="122"/>
                <w:sz w:val="21"/>
              </w:rPr>
              <w:t>a</w:t>
            </w:r>
            <w:r>
              <w:rPr>
                <w:spacing w:val="-3"/>
                <w:w w:val="39"/>
                <w:sz w:val="21"/>
              </w:rPr>
              <w:t>l</w:t>
            </w:r>
            <w:r>
              <w:rPr>
                <w:w w:val="122"/>
                <w:sz w:val="21"/>
              </w:rPr>
              <w:t>e</w:t>
            </w:r>
            <w:r>
              <w:rPr>
                <w:spacing w:val="-20"/>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3"/>
                <w:sz w:val="21"/>
              </w:rPr>
              <w:t> </w:t>
            </w:r>
            <w:r>
              <w:rPr>
                <w:w w:val="122"/>
                <w:sz w:val="21"/>
              </w:rPr>
              <w:t>5</w:t>
            </w:r>
            <w:r>
              <w:rPr>
                <w:spacing w:val="-54"/>
                <w:sz w:val="21"/>
              </w:rPr>
              <w:t> </w:t>
            </w:r>
            <w:r>
              <w:rPr>
                <w:spacing w:val="-3"/>
                <w:w w:val="100"/>
                <w:sz w:val="21"/>
              </w:rPr>
              <w:t>分以</w:t>
            </w:r>
            <w:r>
              <w:rPr>
                <w:spacing w:val="-3"/>
                <w:sz w:val="21"/>
              </w:rPr>
              <w:t>下，且已经持续使用呼吸机及其他</w:t>
            </w:r>
            <w:r>
              <w:rPr>
                <w:sz w:val="21"/>
              </w:rPr>
              <w:t>Th</w:t>
            </w:r>
            <w:r>
              <w:rPr>
                <w:spacing w:val="-6"/>
                <w:sz w:val="21"/>
              </w:rPr>
              <w:t>命维持系统 </w:t>
            </w:r>
            <w:r>
              <w:rPr>
                <w:sz w:val="21"/>
              </w:rPr>
              <w:t>96</w:t>
            </w:r>
            <w:r>
              <w:rPr>
                <w:spacing w:val="-5"/>
                <w:sz w:val="21"/>
              </w:rPr>
              <w:t> 小时以上。</w:t>
            </w:r>
          </w:p>
          <w:p>
            <w:pPr>
              <w:pStyle w:val="TableParagraph"/>
              <w:spacing w:before="85"/>
              <w:ind w:left="112"/>
              <w:jc w:val="both"/>
              <w:rPr>
                <w:sz w:val="21"/>
              </w:rPr>
            </w:pPr>
            <w:r>
              <w:rPr>
                <w:sz w:val="21"/>
              </w:rPr>
              <w:t>因酗酒或者药物滥用导致的深度昏迷不在保障范围内。</w:t>
            </w:r>
          </w:p>
        </w:tc>
      </w:tr>
      <w:tr>
        <w:trPr>
          <w:trHeight w:val="1206" w:hRule="atLeast"/>
        </w:trPr>
        <w:tc>
          <w:tcPr>
            <w:tcW w:w="913" w:type="dxa"/>
          </w:tcPr>
          <w:p>
            <w:pPr>
              <w:pStyle w:val="TableParagraph"/>
              <w:spacing w:before="32"/>
              <w:ind w:left="0" w:right="121"/>
              <w:jc w:val="right"/>
              <w:rPr>
                <w:rFonts w:ascii="微软雅黑"/>
                <w:b/>
                <w:sz w:val="21"/>
              </w:rPr>
            </w:pPr>
            <w:r>
              <w:rPr>
                <w:rFonts w:ascii="微软雅黑"/>
                <w:b/>
                <w:w w:val="90"/>
                <w:sz w:val="21"/>
              </w:rPr>
              <w:t>7.1.18</w:t>
            </w:r>
          </w:p>
        </w:tc>
        <w:tc>
          <w:tcPr>
            <w:tcW w:w="1693" w:type="dxa"/>
          </w:tcPr>
          <w:p>
            <w:pPr>
              <w:pStyle w:val="TableParagraph"/>
              <w:spacing w:before="32"/>
              <w:ind w:left="102"/>
              <w:rPr>
                <w:rFonts w:ascii="微软雅黑" w:eastAsia="微软雅黑" w:hint="eastAsia"/>
                <w:b/>
                <w:sz w:val="21"/>
              </w:rPr>
            </w:pPr>
            <w:r>
              <w:rPr>
                <w:rFonts w:ascii="微软雅黑" w:eastAsia="微软雅黑" w:hint="eastAsia"/>
                <w:b/>
                <w:sz w:val="21"/>
              </w:rPr>
              <w:t>瘫痪</w:t>
            </w:r>
          </w:p>
        </w:tc>
        <w:tc>
          <w:tcPr>
            <w:tcW w:w="7544" w:type="dxa"/>
          </w:tcPr>
          <w:p>
            <w:pPr>
              <w:pStyle w:val="TableParagraph"/>
              <w:spacing w:line="280" w:lineRule="auto" w:before="95"/>
              <w:ind w:left="112" w:right="305"/>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3"/>
                <w:sz w:val="21"/>
              </w:rPr>
              <w:t> 天后，每肢三大关节中的两大关节仍然完全僵硬，或者不能随意识活动。</w:t>
            </w:r>
          </w:p>
        </w:tc>
      </w:tr>
      <w:tr>
        <w:trPr>
          <w:trHeight w:val="2247" w:hRule="atLeast"/>
        </w:trPr>
        <w:tc>
          <w:tcPr>
            <w:tcW w:w="913" w:type="dxa"/>
          </w:tcPr>
          <w:p>
            <w:pPr>
              <w:pStyle w:val="TableParagraph"/>
              <w:spacing w:before="33"/>
              <w:ind w:left="0" w:right="123"/>
              <w:jc w:val="right"/>
              <w:rPr>
                <w:rFonts w:ascii="微软雅黑"/>
                <w:b/>
                <w:sz w:val="21"/>
              </w:rPr>
            </w:pPr>
            <w:r>
              <w:rPr>
                <w:rFonts w:ascii="微软雅黑"/>
                <w:b/>
                <w:w w:val="90"/>
                <w:sz w:val="21"/>
              </w:rPr>
              <w:t>7.1.19</w:t>
            </w:r>
          </w:p>
        </w:tc>
        <w:tc>
          <w:tcPr>
            <w:tcW w:w="1693" w:type="dxa"/>
          </w:tcPr>
          <w:p>
            <w:pPr>
              <w:pStyle w:val="TableParagraph"/>
              <w:spacing w:line="213" w:lineRule="auto" w:before="73"/>
              <w:ind w:left="102" w:right="109"/>
              <w:rPr>
                <w:rFonts w:ascii="微软雅黑" w:eastAsia="微软雅黑" w:hint="eastAsia"/>
                <w:b/>
                <w:sz w:val="21"/>
              </w:rPr>
            </w:pPr>
            <w:r>
              <w:rPr>
                <w:rFonts w:ascii="微软雅黑" w:eastAsia="微软雅黑" w:hint="eastAsia"/>
                <w:b/>
                <w:sz w:val="21"/>
              </w:rPr>
              <w:t>严重阿尔茨海默病</w:t>
            </w:r>
          </w:p>
        </w:tc>
        <w:tc>
          <w:tcPr>
            <w:tcW w:w="7544" w:type="dxa"/>
          </w:tcPr>
          <w:p>
            <w:pPr>
              <w:pStyle w:val="TableParagraph"/>
              <w:spacing w:line="280" w:lineRule="auto" w:before="96"/>
              <w:ind w:left="112" w:right="305"/>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CT</w:t>
            </w:r>
            <w:r>
              <w:rPr>
                <w:spacing w:val="-108"/>
                <w:w w:val="100"/>
                <w:sz w:val="21"/>
              </w:rPr>
              <w:t>）</w:t>
            </w:r>
            <w:r>
              <w:rPr>
                <w:spacing w:val="-3"/>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ind w:left="112"/>
              <w:jc w:val="both"/>
              <w:rPr>
                <w:sz w:val="21"/>
              </w:rPr>
            </w:pPr>
            <w:r>
              <w:rPr>
                <w:sz w:val="21"/>
              </w:rPr>
              <w:t>神经官能症和精神疾病不在保障范围内。</w:t>
            </w:r>
          </w:p>
        </w:tc>
      </w:tr>
      <w:tr>
        <w:trPr>
          <w:trHeight w:val="1362" w:hRule="atLeast"/>
        </w:trPr>
        <w:tc>
          <w:tcPr>
            <w:tcW w:w="913" w:type="dxa"/>
          </w:tcPr>
          <w:p>
            <w:pPr>
              <w:pStyle w:val="TableParagraph"/>
              <w:spacing w:before="32"/>
              <w:ind w:left="0" w:right="100"/>
              <w:jc w:val="right"/>
              <w:rPr>
                <w:rFonts w:ascii="微软雅黑"/>
                <w:b/>
                <w:sz w:val="21"/>
              </w:rPr>
            </w:pPr>
            <w:r>
              <w:rPr>
                <w:rFonts w:ascii="微软雅黑"/>
                <w:b/>
                <w:w w:val="95"/>
                <w:sz w:val="21"/>
              </w:rPr>
              <w:t>7.1.20</w:t>
            </w:r>
          </w:p>
        </w:tc>
        <w:tc>
          <w:tcPr>
            <w:tcW w:w="1693" w:type="dxa"/>
          </w:tcPr>
          <w:p>
            <w:pPr>
              <w:pStyle w:val="TableParagraph"/>
              <w:spacing w:line="213" w:lineRule="auto" w:before="72"/>
              <w:ind w:left="102" w:right="109"/>
              <w:rPr>
                <w:rFonts w:ascii="微软雅黑" w:eastAsia="微软雅黑" w:hint="eastAsia"/>
                <w:b/>
                <w:sz w:val="21"/>
              </w:rPr>
            </w:pPr>
            <w:r>
              <w:rPr>
                <w:rFonts w:ascii="微软雅黑" w:eastAsia="微软雅黑" w:hint="eastAsia"/>
                <w:b/>
                <w:sz w:val="21"/>
              </w:rPr>
              <w:t>非阿尔茨海默病致严重痴呆</w:t>
            </w:r>
          </w:p>
        </w:tc>
        <w:tc>
          <w:tcPr>
            <w:tcW w:w="7544" w:type="dxa"/>
          </w:tcPr>
          <w:p>
            <w:pPr>
              <w:pStyle w:val="TableParagraph"/>
              <w:spacing w:line="280" w:lineRule="auto" w:before="95"/>
              <w:ind w:left="112" w:right="301"/>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p>
          <w:p>
            <w:pPr>
              <w:pStyle w:val="TableParagraph"/>
              <w:spacing w:before="8"/>
              <w:ind w:left="112"/>
              <w:jc w:val="both"/>
              <w:rPr>
                <w:sz w:val="21"/>
              </w:rPr>
            </w:pPr>
            <w:r>
              <w:rPr>
                <w:sz w:val="21"/>
              </w:rPr>
              <w:t>以上，日常Th活必须持续受到他人监护。导致痴呆的疾病必须明确诊断，并且</w:t>
            </w:r>
          </w:p>
        </w:tc>
      </w:tr>
    </w:tbl>
    <w:p>
      <w:pPr>
        <w:spacing w:after="0"/>
        <w:jc w:val="both"/>
        <w:rPr>
          <w:sz w:val="21"/>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3"/>
        <w:gridCol w:w="7458"/>
      </w:tblGrid>
      <w:tr>
        <w:trPr>
          <w:trHeight w:val="804" w:hRule="atLeast"/>
        </w:trPr>
        <w:tc>
          <w:tcPr>
            <w:tcW w:w="914" w:type="dxa"/>
          </w:tcPr>
          <w:p>
            <w:pPr>
              <w:pStyle w:val="TableParagraph"/>
              <w:spacing w:before="0"/>
              <w:ind w:left="0"/>
              <w:rPr>
                <w:rFonts w:ascii="Times New Roman"/>
                <w:sz w:val="20"/>
              </w:rPr>
            </w:pPr>
          </w:p>
        </w:tc>
        <w:tc>
          <w:tcPr>
            <w:tcW w:w="1693" w:type="dxa"/>
          </w:tcPr>
          <w:p>
            <w:pPr>
              <w:pStyle w:val="TableParagraph"/>
              <w:spacing w:before="0"/>
              <w:ind w:left="0"/>
              <w:rPr>
                <w:rFonts w:ascii="Times New Roman"/>
                <w:sz w:val="20"/>
              </w:rPr>
            </w:pPr>
          </w:p>
        </w:tc>
        <w:tc>
          <w:tcPr>
            <w:tcW w:w="7458" w:type="dxa"/>
          </w:tcPr>
          <w:p>
            <w:pPr>
              <w:pStyle w:val="TableParagraph"/>
              <w:spacing w:line="215" w:lineRule="exact" w:before="0"/>
              <w:rPr>
                <w:sz w:val="21"/>
              </w:rPr>
            </w:pPr>
            <w:r>
              <w:rPr>
                <w:sz w:val="21"/>
              </w:rPr>
              <w:t>由完整的临床、实验室和影像学检查结果证实。</w:t>
            </w:r>
          </w:p>
          <w:p>
            <w:pPr>
              <w:pStyle w:val="TableParagraph"/>
              <w:rPr>
                <w:sz w:val="21"/>
              </w:rPr>
            </w:pPr>
            <w:r>
              <w:rPr>
                <w:sz w:val="21"/>
              </w:rPr>
              <w:t>神经官能症、精神疾病及酒精中毒所致脑损害不在保障范围内。</w:t>
            </w:r>
          </w:p>
        </w:tc>
      </w:tr>
      <w:tr>
        <w:trPr>
          <w:trHeight w:val="3041" w:hRule="atLeast"/>
        </w:trPr>
        <w:tc>
          <w:tcPr>
            <w:tcW w:w="914" w:type="dxa"/>
          </w:tcPr>
          <w:p>
            <w:pPr>
              <w:pStyle w:val="TableParagraph"/>
              <w:spacing w:before="38"/>
              <w:ind w:left="0" w:right="127"/>
              <w:jc w:val="right"/>
              <w:rPr>
                <w:rFonts w:ascii="微软雅黑"/>
                <w:b/>
                <w:sz w:val="21"/>
              </w:rPr>
            </w:pPr>
            <w:r>
              <w:rPr>
                <w:rFonts w:ascii="微软雅黑"/>
                <w:b/>
                <w:w w:val="90"/>
                <w:sz w:val="21"/>
              </w:rPr>
              <w:t>7.1.21</w:t>
            </w:r>
          </w:p>
        </w:tc>
        <w:tc>
          <w:tcPr>
            <w:tcW w:w="1693" w:type="dxa"/>
          </w:tcPr>
          <w:p>
            <w:pPr>
              <w:pStyle w:val="TableParagraph"/>
              <w:spacing w:before="38"/>
              <w:ind w:left="101"/>
              <w:rPr>
                <w:rFonts w:ascii="微软雅黑" w:eastAsia="微软雅黑" w:hint="eastAsia"/>
                <w:b/>
                <w:sz w:val="21"/>
              </w:rPr>
            </w:pPr>
            <w:r>
              <w:rPr>
                <w:rFonts w:ascii="微软雅黑" w:eastAsia="微软雅黑" w:hint="eastAsia"/>
                <w:b/>
                <w:sz w:val="21"/>
              </w:rPr>
              <w:t>严重脑损伤</w:t>
            </w:r>
          </w:p>
        </w:tc>
        <w:tc>
          <w:tcPr>
            <w:tcW w:w="7458" w:type="dxa"/>
          </w:tcPr>
          <w:p>
            <w:pPr>
              <w:pStyle w:val="TableParagraph"/>
              <w:spacing w:line="280" w:lineRule="auto" w:before="101"/>
              <w:ind w:right="220"/>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spacing w:val="-1"/>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1"/>
                <w:w w:val="131"/>
                <w:sz w:val="21"/>
              </w:rPr>
              <w:t>I</w:t>
            </w:r>
            <w:r>
              <w:rPr>
                <w:spacing w:val="-3"/>
                <w:w w:val="100"/>
                <w:sz w:val="21"/>
              </w:rPr>
              <w:t>）或者正电子发射断层</w:t>
            </w:r>
            <w:r>
              <w:rPr>
                <w:spacing w:val="-7"/>
                <w:sz w:val="21"/>
              </w:rPr>
              <w:t>扫描</w:t>
            </w:r>
            <w:r>
              <w:rPr>
                <w:spacing w:val="-3"/>
                <w:sz w:val="21"/>
              </w:rPr>
              <w:t>（PET）</w:t>
            </w:r>
            <w:r>
              <w:rPr>
                <w:spacing w:val="-2"/>
                <w:sz w:val="21"/>
              </w:rPr>
              <w:t>等影像学检查证实。神经系统永久性的功能障碍，指脑损伤 180 </w:t>
            </w:r>
            <w:r>
              <w:rPr>
                <w:spacing w:val="-3"/>
                <w:sz w:val="21"/>
              </w:rPr>
              <w:t>天后，仍遗留下列一种或者一种以上障碍：</w:t>
            </w:r>
          </w:p>
          <w:p>
            <w:pPr>
              <w:pStyle w:val="TableParagraph"/>
              <w:numPr>
                <w:ilvl w:val="0"/>
                <w:numId w:val="17"/>
              </w:numPr>
              <w:tabs>
                <w:tab w:pos="736" w:val="left" w:leader="none"/>
              </w:tabs>
              <w:spacing w:line="240" w:lineRule="auto" w:before="85" w:after="0"/>
              <w:ind w:left="735" w:right="0" w:hanging="624"/>
              <w:jc w:val="left"/>
              <w:rPr>
                <w:sz w:val="21"/>
              </w:rPr>
            </w:pPr>
            <w:r>
              <w:rPr>
                <w:spacing w:val="-3"/>
                <w:sz w:val="21"/>
              </w:rPr>
              <w:t>一肢或者一肢以上肢体机能完全丧失；</w:t>
            </w:r>
          </w:p>
          <w:p>
            <w:pPr>
              <w:pStyle w:val="TableParagraph"/>
              <w:numPr>
                <w:ilvl w:val="0"/>
                <w:numId w:val="17"/>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7"/>
              </w:numPr>
              <w:tabs>
                <w:tab w:pos="736" w:val="left" w:leader="none"/>
              </w:tabs>
              <w:spacing w:line="280" w:lineRule="auto" w:before="123" w:after="0"/>
              <w:ind w:left="735" w:right="218"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403" w:hRule="atLeast"/>
        </w:trPr>
        <w:tc>
          <w:tcPr>
            <w:tcW w:w="914" w:type="dxa"/>
          </w:tcPr>
          <w:p>
            <w:pPr>
              <w:pStyle w:val="TableParagraph"/>
              <w:spacing w:before="40"/>
              <w:ind w:left="0" w:right="102"/>
              <w:jc w:val="right"/>
              <w:rPr>
                <w:rFonts w:ascii="微软雅黑"/>
                <w:b/>
                <w:sz w:val="21"/>
              </w:rPr>
            </w:pPr>
            <w:r>
              <w:rPr>
                <w:rFonts w:ascii="微软雅黑"/>
                <w:b/>
                <w:w w:val="95"/>
                <w:sz w:val="21"/>
              </w:rPr>
              <w:t>7.1.22</w:t>
            </w:r>
          </w:p>
        </w:tc>
        <w:tc>
          <w:tcPr>
            <w:tcW w:w="1693" w:type="dxa"/>
          </w:tcPr>
          <w:p>
            <w:pPr>
              <w:pStyle w:val="TableParagraph"/>
              <w:spacing w:before="40"/>
              <w:ind w:left="101"/>
              <w:rPr>
                <w:rFonts w:ascii="微软雅黑" w:eastAsia="微软雅黑" w:hint="eastAsia"/>
                <w:b/>
                <w:sz w:val="21"/>
              </w:rPr>
            </w:pPr>
            <w:r>
              <w:rPr>
                <w:rFonts w:ascii="微软雅黑" w:eastAsia="微软雅黑" w:hint="eastAsia"/>
                <w:b/>
                <w:sz w:val="21"/>
              </w:rPr>
              <w:t>严重帕金森病</w:t>
            </w:r>
          </w:p>
        </w:tc>
        <w:tc>
          <w:tcPr>
            <w:tcW w:w="7458" w:type="dxa"/>
          </w:tcPr>
          <w:p>
            <w:pPr>
              <w:pStyle w:val="TableParagraph"/>
              <w:spacing w:line="280" w:lineRule="auto" w:before="103"/>
              <w:ind w:right="205"/>
              <w:rPr>
                <w:sz w:val="21"/>
              </w:rPr>
            </w:pPr>
            <w:r>
              <w:rPr>
                <w:sz w:val="21"/>
              </w:rPr>
              <w:t>是一种中枢神经系统的退行性疾病，临床表现为震颤麻痹、共济失调等。须满足下列全部条件：</w:t>
            </w:r>
          </w:p>
          <w:p>
            <w:pPr>
              <w:pStyle w:val="TableParagraph"/>
              <w:numPr>
                <w:ilvl w:val="0"/>
                <w:numId w:val="18"/>
              </w:numPr>
              <w:tabs>
                <w:tab w:pos="736" w:val="left" w:leader="none"/>
              </w:tabs>
              <w:spacing w:line="240" w:lineRule="auto" w:before="85" w:after="0"/>
              <w:ind w:left="735" w:right="0" w:hanging="624"/>
              <w:jc w:val="left"/>
              <w:rPr>
                <w:sz w:val="21"/>
              </w:rPr>
            </w:pPr>
            <w:r>
              <w:rPr>
                <w:spacing w:val="-3"/>
                <w:sz w:val="21"/>
              </w:rPr>
              <w:t>药物治疗无法控制病情；</w:t>
            </w:r>
          </w:p>
          <w:p>
            <w:pPr>
              <w:pStyle w:val="TableParagraph"/>
              <w:numPr>
                <w:ilvl w:val="0"/>
                <w:numId w:val="18"/>
              </w:numPr>
              <w:tabs>
                <w:tab w:pos="736" w:val="left" w:leader="none"/>
              </w:tabs>
              <w:spacing w:line="280" w:lineRule="auto" w:before="123" w:after="0"/>
              <w:ind w:left="735" w:right="218"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rPr>
                <w:sz w:val="21"/>
              </w:rPr>
            </w:pPr>
            <w:r>
              <w:rPr>
                <w:sz w:val="21"/>
              </w:rPr>
              <w:t>继发性帕金森综合征不在保障范围内。</w:t>
            </w:r>
          </w:p>
        </w:tc>
      </w:tr>
      <w:tr>
        <w:trPr>
          <w:trHeight w:val="1525" w:hRule="atLeast"/>
        </w:trPr>
        <w:tc>
          <w:tcPr>
            <w:tcW w:w="914" w:type="dxa"/>
          </w:tcPr>
          <w:p>
            <w:pPr>
              <w:pStyle w:val="TableParagraph"/>
              <w:spacing w:before="39"/>
              <w:ind w:left="0" w:right="102"/>
              <w:jc w:val="right"/>
              <w:rPr>
                <w:rFonts w:ascii="微软雅黑"/>
                <w:b/>
                <w:sz w:val="21"/>
              </w:rPr>
            </w:pPr>
            <w:r>
              <w:rPr>
                <w:rFonts w:ascii="微软雅黑"/>
                <w:b/>
                <w:w w:val="95"/>
                <w:sz w:val="21"/>
              </w:rPr>
              <w:t>7.1.23</w:t>
            </w:r>
          </w:p>
        </w:tc>
        <w:tc>
          <w:tcPr>
            <w:tcW w:w="1693" w:type="dxa"/>
          </w:tcPr>
          <w:p>
            <w:pPr>
              <w:pStyle w:val="TableParagraph"/>
              <w:spacing w:line="213" w:lineRule="auto" w:before="79"/>
              <w:ind w:left="101" w:right="110"/>
              <w:rPr>
                <w:rFonts w:ascii="微软雅黑" w:eastAsia="微软雅黑" w:hint="eastAsia"/>
                <w:b/>
                <w:sz w:val="21"/>
              </w:rPr>
            </w:pPr>
            <w:r>
              <w:rPr>
                <w:rFonts w:ascii="微软雅黑" w:eastAsia="微软雅黑" w:hint="eastAsia"/>
                <w:b/>
                <w:sz w:val="21"/>
              </w:rPr>
              <w:t>严重运动神经元病</w:t>
            </w:r>
          </w:p>
        </w:tc>
        <w:tc>
          <w:tcPr>
            <w:tcW w:w="7458" w:type="dxa"/>
          </w:tcPr>
          <w:p>
            <w:pPr>
              <w:pStyle w:val="TableParagraph"/>
              <w:spacing w:line="278" w:lineRule="auto" w:before="102"/>
              <w:ind w:right="198"/>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9" w:hRule="atLeast"/>
        </w:trPr>
        <w:tc>
          <w:tcPr>
            <w:tcW w:w="914" w:type="dxa"/>
          </w:tcPr>
          <w:p>
            <w:pPr>
              <w:pStyle w:val="TableParagraph"/>
              <w:spacing w:before="41"/>
              <w:ind w:left="0" w:right="100"/>
              <w:jc w:val="right"/>
              <w:rPr>
                <w:rFonts w:ascii="微软雅黑"/>
                <w:b/>
                <w:sz w:val="21"/>
              </w:rPr>
            </w:pPr>
            <w:r>
              <w:rPr>
                <w:rFonts w:ascii="微软雅黑"/>
                <w:b/>
                <w:w w:val="95"/>
                <w:sz w:val="21"/>
              </w:rPr>
              <w:t>7.1.24</w:t>
            </w:r>
          </w:p>
        </w:tc>
        <w:tc>
          <w:tcPr>
            <w:tcW w:w="1693" w:type="dxa"/>
          </w:tcPr>
          <w:p>
            <w:pPr>
              <w:pStyle w:val="TableParagraph"/>
              <w:spacing w:line="213" w:lineRule="auto" w:before="80"/>
              <w:ind w:left="101" w:right="110"/>
              <w:rPr>
                <w:rFonts w:ascii="微软雅黑" w:eastAsia="微软雅黑" w:hint="eastAsia"/>
                <w:b/>
                <w:sz w:val="21"/>
              </w:rPr>
            </w:pPr>
            <w:r>
              <w:rPr>
                <w:rFonts w:ascii="微软雅黑" w:eastAsia="微软雅黑" w:hint="eastAsia"/>
                <w:b/>
                <w:sz w:val="21"/>
              </w:rPr>
              <w:t>严重进行性核上性麻痹</w:t>
            </w:r>
          </w:p>
        </w:tc>
        <w:tc>
          <w:tcPr>
            <w:tcW w:w="7458" w:type="dxa"/>
          </w:tcPr>
          <w:p>
            <w:pPr>
              <w:pStyle w:val="TableParagraph"/>
              <w:spacing w:line="280" w:lineRule="auto" w:before="103"/>
              <w:ind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8"/>
              <w:jc w:val="both"/>
              <w:rPr>
                <w:sz w:val="21"/>
              </w:rPr>
            </w:pPr>
            <w:r>
              <w:rPr>
                <w:sz w:val="21"/>
              </w:rPr>
              <w:t>Th活活动中的三项或者三项以上。</w:t>
            </w:r>
          </w:p>
        </w:tc>
      </w:tr>
      <w:tr>
        <w:trPr>
          <w:trHeight w:val="1847" w:hRule="atLeast"/>
        </w:trPr>
        <w:tc>
          <w:tcPr>
            <w:tcW w:w="914" w:type="dxa"/>
          </w:tcPr>
          <w:p>
            <w:pPr>
              <w:pStyle w:val="TableParagraph"/>
              <w:spacing w:before="40"/>
              <w:ind w:left="0" w:right="101"/>
              <w:jc w:val="right"/>
              <w:rPr>
                <w:rFonts w:ascii="微软雅黑"/>
                <w:b/>
                <w:sz w:val="21"/>
              </w:rPr>
            </w:pPr>
            <w:r>
              <w:rPr>
                <w:rFonts w:ascii="微软雅黑"/>
                <w:b/>
                <w:w w:val="95"/>
                <w:sz w:val="21"/>
              </w:rPr>
              <w:t>7.1.25</w:t>
            </w:r>
          </w:p>
        </w:tc>
        <w:tc>
          <w:tcPr>
            <w:tcW w:w="1693" w:type="dxa"/>
          </w:tcPr>
          <w:p>
            <w:pPr>
              <w:pStyle w:val="TableParagraph"/>
              <w:spacing w:before="40"/>
              <w:ind w:left="101"/>
              <w:rPr>
                <w:rFonts w:ascii="微软雅黑" w:eastAsia="微软雅黑" w:hint="eastAsia"/>
                <w:b/>
                <w:sz w:val="21"/>
              </w:rPr>
            </w:pPr>
            <w:r>
              <w:rPr>
                <w:rFonts w:ascii="微软雅黑" w:eastAsia="微软雅黑" w:hint="eastAsia"/>
                <w:b/>
                <w:sz w:val="21"/>
              </w:rPr>
              <w:t>严重多发性硬化</w:t>
            </w:r>
          </w:p>
        </w:tc>
        <w:tc>
          <w:tcPr>
            <w:tcW w:w="7458"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1"/>
                <w:w w:val="131"/>
                <w:sz w:val="21"/>
              </w:rPr>
              <w:t>I</w:t>
            </w:r>
            <w:r>
              <w:rPr>
                <w:spacing w:val="-8"/>
                <w:w w:val="100"/>
                <w:sz w:val="21"/>
              </w:rPr>
              <w:t>）</w:t>
            </w:r>
            <w:r>
              <w:rPr>
                <w:spacing w:val="-4"/>
                <w:w w:val="100"/>
                <w:sz w:val="21"/>
              </w:rPr>
              <w:t>或者正电子发射断层扫描</w:t>
            </w:r>
            <w:r>
              <w:rPr>
                <w:w w:val="100"/>
                <w:sz w:val="21"/>
              </w:rPr>
              <w:t>（</w:t>
            </w:r>
            <w:r>
              <w:rPr>
                <w:spacing w:val="-1"/>
                <w:w w:val="143"/>
                <w:sz w:val="21"/>
              </w:rPr>
              <w:t>PET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14" w:type="dxa"/>
          </w:tcPr>
          <w:p>
            <w:pPr>
              <w:pStyle w:val="TableParagraph"/>
              <w:spacing w:before="40"/>
              <w:ind w:left="0" w:right="100"/>
              <w:jc w:val="right"/>
              <w:rPr>
                <w:rFonts w:ascii="微软雅黑"/>
                <w:b/>
                <w:sz w:val="21"/>
              </w:rPr>
            </w:pPr>
            <w:r>
              <w:rPr>
                <w:rFonts w:ascii="微软雅黑"/>
                <w:b/>
                <w:w w:val="95"/>
                <w:sz w:val="21"/>
              </w:rPr>
              <w:t>7.1.26</w:t>
            </w:r>
          </w:p>
        </w:tc>
        <w:tc>
          <w:tcPr>
            <w:tcW w:w="1693" w:type="dxa"/>
          </w:tcPr>
          <w:p>
            <w:pPr>
              <w:pStyle w:val="TableParagraph"/>
              <w:spacing w:line="211" w:lineRule="auto" w:before="84"/>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58" w:type="dxa"/>
          </w:tcPr>
          <w:p>
            <w:pPr>
              <w:pStyle w:val="TableParagraph"/>
              <w:spacing w:line="280" w:lineRule="auto" w:before="103"/>
              <w:ind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rPr>
                <w:sz w:val="21"/>
              </w:rPr>
            </w:pPr>
            <w:r>
              <w:rPr>
                <w:sz w:val="21"/>
              </w:rPr>
              <w:t>因外伤而实施的颅脑手术不在保障范围内。</w:t>
            </w:r>
          </w:p>
        </w:tc>
      </w:tr>
      <w:tr>
        <w:trPr>
          <w:trHeight w:val="1837" w:hRule="atLeast"/>
        </w:trPr>
        <w:tc>
          <w:tcPr>
            <w:tcW w:w="914" w:type="dxa"/>
          </w:tcPr>
          <w:p>
            <w:pPr>
              <w:pStyle w:val="TableParagraph"/>
              <w:spacing w:before="39"/>
              <w:ind w:left="0" w:right="101"/>
              <w:jc w:val="right"/>
              <w:rPr>
                <w:rFonts w:ascii="微软雅黑"/>
                <w:b/>
                <w:sz w:val="21"/>
              </w:rPr>
            </w:pPr>
            <w:r>
              <w:rPr>
                <w:rFonts w:ascii="微软雅黑"/>
                <w:b/>
                <w:w w:val="95"/>
                <w:sz w:val="21"/>
              </w:rPr>
              <w:t>7.1.27</w:t>
            </w:r>
          </w:p>
        </w:tc>
        <w:tc>
          <w:tcPr>
            <w:tcW w:w="1693" w:type="dxa"/>
          </w:tcPr>
          <w:p>
            <w:pPr>
              <w:pStyle w:val="TableParagraph"/>
              <w:spacing w:before="39"/>
              <w:ind w:left="101"/>
              <w:rPr>
                <w:rFonts w:ascii="微软雅黑" w:eastAsia="微软雅黑" w:hint="eastAsia"/>
                <w:b/>
                <w:sz w:val="21"/>
              </w:rPr>
            </w:pPr>
            <w:r>
              <w:rPr>
                <w:rFonts w:ascii="微软雅黑" w:eastAsia="微软雅黑" w:hint="eastAsia"/>
                <w:b/>
                <w:sz w:val="21"/>
              </w:rPr>
              <w:t>严重重症肌无力</w:t>
            </w:r>
          </w:p>
        </w:tc>
        <w:tc>
          <w:tcPr>
            <w:tcW w:w="7458" w:type="dxa"/>
          </w:tcPr>
          <w:p>
            <w:pPr>
              <w:pStyle w:val="TableParagraph"/>
              <w:spacing w:line="280" w:lineRule="auto" w:before="102"/>
              <w:ind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9"/>
              </w:numPr>
              <w:tabs>
                <w:tab w:pos="736" w:val="left" w:leader="none"/>
              </w:tabs>
              <w:spacing w:line="240" w:lineRule="auto" w:before="85" w:after="0"/>
              <w:ind w:left="735" w:right="0" w:hanging="624"/>
              <w:jc w:val="both"/>
              <w:rPr>
                <w:sz w:val="21"/>
              </w:rPr>
            </w:pPr>
            <w:r>
              <w:rPr>
                <w:spacing w:val="-3"/>
                <w:sz w:val="21"/>
              </w:rPr>
              <w:t>经药物治疗和胸腺手术治疗一年以上仍无法控制病情；</w:t>
            </w:r>
          </w:p>
          <w:p>
            <w:pPr>
              <w:pStyle w:val="TableParagraph"/>
              <w:numPr>
                <w:ilvl w:val="0"/>
                <w:numId w:val="19"/>
              </w:numPr>
              <w:tabs>
                <w:tab w:pos="736" w:val="left" w:leader="none"/>
              </w:tabs>
              <w:spacing w:line="240" w:lineRule="auto" w:before="123" w:after="0"/>
              <w:ind w:left="735" w:right="0" w:hanging="624"/>
              <w:jc w:val="both"/>
              <w:rPr>
                <w:sz w:val="21"/>
              </w:rPr>
            </w:pPr>
            <w:r>
              <w:rPr>
                <w:spacing w:val="-3"/>
                <w:sz w:val="21"/>
              </w:rPr>
              <w:t>严重肌肉无力，符合下列条件之一：</w:t>
            </w:r>
          </w:p>
        </w:tc>
      </w:tr>
    </w:tbl>
    <w:p>
      <w:pPr>
        <w:spacing w:after="0" w:line="240" w:lineRule="auto"/>
        <w:jc w:val="both"/>
        <w:rPr>
          <w:sz w:val="21"/>
        </w:rPr>
        <w:sectPr>
          <w:pgSz w:w="11910" w:h="16840"/>
          <w:pgMar w:top="118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58"/>
      </w:tblGrid>
      <w:tr>
        <w:trPr>
          <w:trHeight w:val="3512" w:hRule="atLeast"/>
        </w:trPr>
        <w:tc>
          <w:tcPr>
            <w:tcW w:w="915" w:type="dxa"/>
          </w:tcPr>
          <w:p>
            <w:pPr>
              <w:pStyle w:val="TableParagraph"/>
              <w:spacing w:before="0"/>
              <w:ind w:left="0"/>
              <w:rPr>
                <w:rFonts w:ascii="Times New Roman"/>
                <w:sz w:val="20"/>
              </w:rPr>
            </w:pPr>
          </w:p>
        </w:tc>
        <w:tc>
          <w:tcPr>
            <w:tcW w:w="1692" w:type="dxa"/>
          </w:tcPr>
          <w:p>
            <w:pPr>
              <w:pStyle w:val="TableParagraph"/>
              <w:spacing w:before="0"/>
              <w:ind w:left="0"/>
              <w:rPr>
                <w:rFonts w:ascii="Times New Roman"/>
                <w:sz w:val="20"/>
              </w:rPr>
            </w:pPr>
          </w:p>
        </w:tc>
        <w:tc>
          <w:tcPr>
            <w:tcW w:w="7458" w:type="dxa"/>
          </w:tcPr>
          <w:p>
            <w:pPr>
              <w:pStyle w:val="TableParagraph"/>
              <w:spacing w:line="215" w:lineRule="exact" w:before="0"/>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4"/>
              <w:ind w:left="1056" w:right="230" w:hanging="315"/>
              <w:rPr>
                <w:sz w:val="21"/>
              </w:rPr>
            </w:pPr>
            <w:r>
              <w:rPr>
                <w:sz w:val="21"/>
              </w:rPr>
              <w:t>② 自主Th活能力完全丧失，无法独立完成六项基本日常Th活活动中的三项或者三项以上。</w:t>
            </w:r>
          </w:p>
          <w:p>
            <w:pPr>
              <w:pStyle w:val="TableParagraph"/>
              <w:spacing w:before="85"/>
              <w:rPr>
                <w:sz w:val="21"/>
              </w:rPr>
            </w:pPr>
            <w:r>
              <w:rPr>
                <w:sz w:val="21"/>
              </w:rPr>
              <w:t>美国重症肌无力协会临床分型：</w:t>
            </w:r>
          </w:p>
          <w:p>
            <w:pPr>
              <w:pStyle w:val="TableParagraph"/>
              <w:rPr>
                <w:sz w:val="21"/>
              </w:rPr>
            </w:pPr>
            <w:r>
              <w:rPr>
                <w:sz w:val="21"/>
              </w:rPr>
              <w:t>Ⅰ型：任何眼肌无力，其他肌群肌力正常；</w:t>
            </w:r>
          </w:p>
          <w:p>
            <w:pPr>
              <w:pStyle w:val="TableParagraph"/>
              <w:rPr>
                <w:sz w:val="21"/>
              </w:rPr>
            </w:pPr>
            <w:r>
              <w:rPr>
                <w:sz w:val="21"/>
              </w:rPr>
              <w:t>Ⅱ型：无论眼肌无力程度，其他肌群轻度无力；</w:t>
            </w:r>
          </w:p>
          <w:p>
            <w:pPr>
              <w:pStyle w:val="TableParagraph"/>
              <w:rPr>
                <w:sz w:val="21"/>
              </w:rPr>
            </w:pPr>
            <w:r>
              <w:rPr>
                <w:sz w:val="21"/>
              </w:rPr>
              <w:t>Ⅲ型：无论眼肌无力程度，其他肌群中度无力；</w:t>
            </w:r>
          </w:p>
          <w:p>
            <w:pPr>
              <w:pStyle w:val="TableParagraph"/>
              <w:rPr>
                <w:sz w:val="21"/>
              </w:rPr>
            </w:pPr>
            <w:r>
              <w:rPr>
                <w:sz w:val="21"/>
              </w:rPr>
              <w:t>Ⅳ型：无论眼肌无力程度，其他肌群重度无力；</w:t>
            </w:r>
          </w:p>
          <w:p>
            <w:pPr>
              <w:pStyle w:val="TableParagraph"/>
              <w:rPr>
                <w:sz w:val="21"/>
              </w:rPr>
            </w:pPr>
            <w:r>
              <w:rPr>
                <w:sz w:val="21"/>
              </w:rPr>
              <w:t>Ⅴ型：气管插管。</w:t>
            </w:r>
          </w:p>
        </w:tc>
      </w:tr>
      <w:tr>
        <w:trPr>
          <w:trHeight w:val="1529" w:hRule="atLeast"/>
        </w:trPr>
        <w:tc>
          <w:tcPr>
            <w:tcW w:w="915" w:type="dxa"/>
          </w:tcPr>
          <w:p>
            <w:pPr>
              <w:pStyle w:val="TableParagraph"/>
              <w:spacing w:before="40"/>
              <w:ind w:left="0" w:right="99"/>
              <w:jc w:val="right"/>
              <w:rPr>
                <w:rFonts w:ascii="微软雅黑"/>
                <w:b/>
                <w:sz w:val="21"/>
              </w:rPr>
            </w:pPr>
            <w:r>
              <w:rPr>
                <w:rFonts w:ascii="微软雅黑"/>
                <w:b/>
                <w:w w:val="95"/>
                <w:sz w:val="21"/>
              </w:rPr>
              <w:t>7.1.28</w:t>
            </w:r>
          </w:p>
        </w:tc>
        <w:tc>
          <w:tcPr>
            <w:tcW w:w="1692" w:type="dxa"/>
          </w:tcPr>
          <w:p>
            <w:pPr>
              <w:pStyle w:val="TableParagraph"/>
              <w:spacing w:before="40"/>
              <w:ind w:left="100"/>
              <w:rPr>
                <w:rFonts w:ascii="微软雅黑" w:eastAsia="微软雅黑" w:hint="eastAsia"/>
                <w:b/>
                <w:sz w:val="21"/>
              </w:rPr>
            </w:pPr>
            <w:r>
              <w:rPr>
                <w:rFonts w:ascii="微软雅黑" w:eastAsia="微软雅黑" w:hint="eastAsia"/>
                <w:b/>
                <w:sz w:val="21"/>
              </w:rPr>
              <w:t>持续植物人状态</w:t>
            </w:r>
          </w:p>
        </w:tc>
        <w:tc>
          <w:tcPr>
            <w:tcW w:w="7458" w:type="dxa"/>
          </w:tcPr>
          <w:p>
            <w:pPr>
              <w:pStyle w:val="TableParagraph"/>
              <w:spacing w:line="280" w:lineRule="auto" w:before="103"/>
              <w:ind w:right="216"/>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527" w:hRule="atLeast"/>
        </w:trPr>
        <w:tc>
          <w:tcPr>
            <w:tcW w:w="915" w:type="dxa"/>
          </w:tcPr>
          <w:p>
            <w:pPr>
              <w:pStyle w:val="TableParagraph"/>
              <w:spacing w:before="40"/>
              <w:ind w:left="0" w:right="101"/>
              <w:jc w:val="right"/>
              <w:rPr>
                <w:rFonts w:ascii="微软雅黑"/>
                <w:b/>
                <w:sz w:val="21"/>
              </w:rPr>
            </w:pPr>
            <w:r>
              <w:rPr>
                <w:rFonts w:ascii="微软雅黑"/>
                <w:b/>
                <w:w w:val="95"/>
                <w:sz w:val="21"/>
              </w:rPr>
              <w:t>7.1.29</w:t>
            </w:r>
          </w:p>
        </w:tc>
        <w:tc>
          <w:tcPr>
            <w:tcW w:w="1692" w:type="dxa"/>
          </w:tcPr>
          <w:p>
            <w:pPr>
              <w:pStyle w:val="TableParagraph"/>
              <w:spacing w:before="40"/>
              <w:ind w:left="100"/>
              <w:rPr>
                <w:rFonts w:ascii="微软雅黑" w:eastAsia="微软雅黑" w:hint="eastAsia"/>
                <w:b/>
                <w:sz w:val="21"/>
              </w:rPr>
            </w:pPr>
            <w:r>
              <w:rPr>
                <w:rFonts w:ascii="微软雅黑" w:eastAsia="微软雅黑" w:hint="eastAsia"/>
                <w:b/>
                <w:sz w:val="21"/>
              </w:rPr>
              <w:t>严重克雅氏症</w:t>
            </w:r>
          </w:p>
        </w:tc>
        <w:tc>
          <w:tcPr>
            <w:tcW w:w="7458" w:type="dxa"/>
          </w:tcPr>
          <w:p>
            <w:pPr>
              <w:pStyle w:val="TableParagraph"/>
              <w:spacing w:line="278" w:lineRule="auto" w:before="103"/>
              <w:ind w:right="220"/>
              <w:jc w:val="both"/>
              <w:rPr>
                <w:sz w:val="21"/>
              </w:rPr>
            </w:pPr>
            <w:r>
              <w:rPr>
                <w:spacing w:val="-5"/>
                <w:sz w:val="21"/>
              </w:rPr>
              <w:t>是一种传染性海绵状脑病，临床表现为快速进行性痴呆、肌阵挛和特征性脑电</w:t>
            </w:r>
            <w:r>
              <w:rPr>
                <w:spacing w:val="-8"/>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5" w:type="dxa"/>
          </w:tcPr>
          <w:p>
            <w:pPr>
              <w:pStyle w:val="TableParagraph"/>
              <w:spacing w:before="42"/>
              <w:ind w:left="0" w:right="101"/>
              <w:jc w:val="right"/>
              <w:rPr>
                <w:rFonts w:ascii="微软雅黑"/>
                <w:b/>
                <w:sz w:val="21"/>
              </w:rPr>
            </w:pPr>
            <w:r>
              <w:rPr>
                <w:rFonts w:ascii="微软雅黑"/>
                <w:b/>
                <w:w w:val="95"/>
                <w:sz w:val="21"/>
              </w:rPr>
              <w:t>7.1.30</w:t>
            </w:r>
          </w:p>
        </w:tc>
        <w:tc>
          <w:tcPr>
            <w:tcW w:w="1692" w:type="dxa"/>
          </w:tcPr>
          <w:p>
            <w:pPr>
              <w:pStyle w:val="TableParagraph"/>
              <w:spacing w:before="42"/>
              <w:ind w:left="100"/>
              <w:rPr>
                <w:rFonts w:ascii="微软雅黑" w:eastAsia="微软雅黑" w:hint="eastAsia"/>
                <w:b/>
                <w:sz w:val="21"/>
              </w:rPr>
            </w:pPr>
            <w:r>
              <w:rPr>
                <w:rFonts w:ascii="微软雅黑" w:eastAsia="微软雅黑" w:hint="eastAsia"/>
                <w:b/>
                <w:sz w:val="21"/>
              </w:rPr>
              <w:t>严重脊髓灰质炎</w:t>
            </w:r>
          </w:p>
        </w:tc>
        <w:tc>
          <w:tcPr>
            <w:tcW w:w="7458" w:type="dxa"/>
          </w:tcPr>
          <w:p>
            <w:pPr>
              <w:pStyle w:val="TableParagraph"/>
              <w:spacing w:line="278" w:lineRule="auto" w:before="104"/>
              <w:ind w:right="220"/>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4" w:hRule="atLeast"/>
        </w:trPr>
        <w:tc>
          <w:tcPr>
            <w:tcW w:w="915" w:type="dxa"/>
          </w:tcPr>
          <w:p>
            <w:pPr>
              <w:pStyle w:val="TableParagraph"/>
              <w:spacing w:before="42"/>
              <w:ind w:left="0" w:right="128"/>
              <w:jc w:val="right"/>
              <w:rPr>
                <w:rFonts w:ascii="微软雅黑"/>
                <w:b/>
                <w:sz w:val="21"/>
              </w:rPr>
            </w:pPr>
            <w:r>
              <w:rPr>
                <w:rFonts w:ascii="微软雅黑"/>
                <w:b/>
                <w:w w:val="90"/>
                <w:sz w:val="21"/>
              </w:rPr>
              <w:t>7.1.31</w:t>
            </w:r>
          </w:p>
        </w:tc>
        <w:tc>
          <w:tcPr>
            <w:tcW w:w="1692" w:type="dxa"/>
          </w:tcPr>
          <w:p>
            <w:pPr>
              <w:pStyle w:val="TableParagraph"/>
              <w:spacing w:before="42"/>
              <w:ind w:left="100"/>
              <w:rPr>
                <w:rFonts w:ascii="微软雅黑" w:eastAsia="微软雅黑" w:hint="eastAsia"/>
                <w:b/>
                <w:sz w:val="21"/>
              </w:rPr>
            </w:pPr>
            <w:r>
              <w:rPr>
                <w:rFonts w:ascii="微软雅黑" w:eastAsia="微软雅黑" w:hint="eastAsia"/>
                <w:b/>
                <w:sz w:val="21"/>
              </w:rPr>
              <w:t>严重肌营养不良</w:t>
            </w:r>
          </w:p>
        </w:tc>
        <w:tc>
          <w:tcPr>
            <w:tcW w:w="7458" w:type="dxa"/>
          </w:tcPr>
          <w:p>
            <w:pPr>
              <w:pStyle w:val="TableParagraph"/>
              <w:spacing w:line="278" w:lineRule="auto" w:before="104"/>
              <w:ind w:right="188"/>
              <w:rPr>
                <w:sz w:val="21"/>
              </w:rPr>
            </w:pPr>
            <w:r>
              <w:rPr>
                <w:sz w:val="21"/>
              </w:rPr>
              <w:t>指一组原发于肌肉的遗传性疾病，临床表现为与神经系统无关的肌肉无力和肌肉萎缩。须满足下列全部条件：</w:t>
            </w:r>
          </w:p>
          <w:p>
            <w:pPr>
              <w:pStyle w:val="TableParagraph"/>
              <w:numPr>
                <w:ilvl w:val="0"/>
                <w:numId w:val="20"/>
              </w:numPr>
              <w:tabs>
                <w:tab w:pos="736" w:val="left" w:leader="none"/>
              </w:tabs>
              <w:spacing w:line="280" w:lineRule="auto" w:before="89" w:after="0"/>
              <w:ind w:left="735" w:right="224" w:hanging="624"/>
              <w:jc w:val="left"/>
              <w:rPr>
                <w:sz w:val="21"/>
              </w:rPr>
            </w:pPr>
            <w:r>
              <w:rPr>
                <w:spacing w:val="1"/>
                <w:sz w:val="21"/>
              </w:rPr>
              <w:t>肌肉组织活检结果满足肌营养不良症的肌肉细胞变性、坏死等阳性改变；</w:t>
            </w:r>
          </w:p>
          <w:p>
            <w:pPr>
              <w:pStyle w:val="TableParagraph"/>
              <w:numPr>
                <w:ilvl w:val="0"/>
                <w:numId w:val="20"/>
              </w:numPr>
              <w:tabs>
                <w:tab w:pos="736" w:val="left" w:leader="none"/>
              </w:tabs>
              <w:spacing w:line="280" w:lineRule="auto" w:before="85" w:after="0"/>
              <w:ind w:left="735" w:right="218"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5" w:hRule="atLeast"/>
        </w:trPr>
        <w:tc>
          <w:tcPr>
            <w:tcW w:w="915" w:type="dxa"/>
          </w:tcPr>
          <w:p>
            <w:pPr>
              <w:pStyle w:val="TableParagraph"/>
              <w:spacing w:before="40"/>
              <w:ind w:left="0" w:right="103"/>
              <w:jc w:val="right"/>
              <w:rPr>
                <w:rFonts w:ascii="微软雅黑"/>
                <w:b/>
                <w:sz w:val="21"/>
              </w:rPr>
            </w:pPr>
            <w:r>
              <w:rPr>
                <w:rFonts w:ascii="微软雅黑"/>
                <w:b/>
                <w:w w:val="95"/>
                <w:sz w:val="21"/>
              </w:rPr>
              <w:t>7.1.32</w:t>
            </w:r>
          </w:p>
        </w:tc>
        <w:tc>
          <w:tcPr>
            <w:tcW w:w="1692" w:type="dxa"/>
          </w:tcPr>
          <w:p>
            <w:pPr>
              <w:pStyle w:val="TableParagraph"/>
              <w:spacing w:line="211" w:lineRule="auto" w:before="84"/>
              <w:ind w:left="100" w:right="110"/>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8" w:type="dxa"/>
          </w:tcPr>
          <w:p>
            <w:pPr>
              <w:pStyle w:val="TableParagraph"/>
              <w:spacing w:line="280" w:lineRule="auto" w:before="103"/>
              <w:ind w:right="225"/>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6"/>
              <w:ind w:right="198"/>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9" w:hRule="atLeast"/>
        </w:trPr>
        <w:tc>
          <w:tcPr>
            <w:tcW w:w="915" w:type="dxa"/>
          </w:tcPr>
          <w:p>
            <w:pPr>
              <w:pStyle w:val="TableParagraph"/>
              <w:spacing w:before="40"/>
              <w:ind w:left="0" w:right="102"/>
              <w:jc w:val="right"/>
              <w:rPr>
                <w:rFonts w:ascii="微软雅黑"/>
                <w:b/>
                <w:sz w:val="21"/>
              </w:rPr>
            </w:pPr>
            <w:r>
              <w:rPr>
                <w:rFonts w:ascii="微软雅黑"/>
                <w:b/>
                <w:w w:val="95"/>
                <w:sz w:val="21"/>
              </w:rPr>
              <w:t>7.1.33</w:t>
            </w:r>
          </w:p>
        </w:tc>
        <w:tc>
          <w:tcPr>
            <w:tcW w:w="1692"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自体造血干细胞移植术</w:t>
            </w:r>
          </w:p>
        </w:tc>
        <w:tc>
          <w:tcPr>
            <w:tcW w:w="7458" w:type="dxa"/>
          </w:tcPr>
          <w:p>
            <w:pPr>
              <w:pStyle w:val="TableParagraph"/>
              <w:spacing w:line="280" w:lineRule="auto" w:before="103"/>
              <w:ind w:right="198"/>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403" w:hRule="atLeast"/>
        </w:trPr>
        <w:tc>
          <w:tcPr>
            <w:tcW w:w="915" w:type="dxa"/>
          </w:tcPr>
          <w:p>
            <w:pPr>
              <w:pStyle w:val="TableParagraph"/>
              <w:spacing w:line="343" w:lineRule="exact" w:before="40"/>
              <w:ind w:left="0" w:right="100"/>
              <w:jc w:val="right"/>
              <w:rPr>
                <w:rFonts w:ascii="微软雅黑"/>
                <w:b/>
                <w:sz w:val="21"/>
              </w:rPr>
            </w:pPr>
            <w:r>
              <w:rPr>
                <w:rFonts w:ascii="微软雅黑"/>
                <w:b/>
                <w:w w:val="95"/>
                <w:sz w:val="21"/>
              </w:rPr>
              <w:t>7.1.34</w:t>
            </w:r>
          </w:p>
        </w:tc>
        <w:tc>
          <w:tcPr>
            <w:tcW w:w="1692" w:type="dxa"/>
          </w:tcPr>
          <w:p>
            <w:pPr>
              <w:pStyle w:val="TableParagraph"/>
              <w:spacing w:line="343" w:lineRule="exact" w:before="40"/>
              <w:ind w:left="100"/>
              <w:rPr>
                <w:rFonts w:ascii="微软雅黑" w:eastAsia="微软雅黑" w:hint="eastAsia"/>
                <w:b/>
                <w:sz w:val="21"/>
              </w:rPr>
            </w:pPr>
            <w:r>
              <w:rPr>
                <w:rFonts w:ascii="微软雅黑" w:eastAsia="微软雅黑" w:hint="eastAsia"/>
                <w:b/>
                <w:sz w:val="21"/>
              </w:rPr>
              <w:t>终末期肺病</w:t>
            </w:r>
          </w:p>
        </w:tc>
        <w:tc>
          <w:tcPr>
            <w:tcW w:w="7458" w:type="dxa"/>
          </w:tcPr>
          <w:p>
            <w:pPr>
              <w:pStyle w:val="TableParagraph"/>
              <w:spacing w:before="103"/>
              <w:rPr>
                <w:sz w:val="21"/>
              </w:rPr>
            </w:pPr>
            <w:r>
              <w:rPr>
                <w:sz w:val="21"/>
              </w:rPr>
              <w:t>指因患有终末期肺病而出现慢性呼吸功能衰竭。须满足下列全部条件：</w:t>
            </w:r>
          </w:p>
        </w:tc>
      </w:tr>
    </w:tbl>
    <w:p>
      <w:pPr>
        <w:spacing w:after="0"/>
        <w:rPr>
          <w:sz w:val="21"/>
        </w:rPr>
        <w:sectPr>
          <w:pgSz w:w="11910" w:h="16840"/>
          <w:pgMar w:top="126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39"/>
      </w:tblGrid>
      <w:tr>
        <w:trPr>
          <w:trHeight w:val="1202" w:hRule="atLeast"/>
        </w:trPr>
        <w:tc>
          <w:tcPr>
            <w:tcW w:w="915" w:type="dxa"/>
          </w:tcPr>
          <w:p>
            <w:pPr>
              <w:pStyle w:val="TableParagraph"/>
              <w:spacing w:before="0"/>
              <w:ind w:left="0"/>
              <w:rPr>
                <w:rFonts w:ascii="Times New Roman"/>
                <w:sz w:val="20"/>
              </w:rPr>
            </w:pPr>
          </w:p>
        </w:tc>
        <w:tc>
          <w:tcPr>
            <w:tcW w:w="1692" w:type="dxa"/>
          </w:tcPr>
          <w:p>
            <w:pPr>
              <w:pStyle w:val="TableParagraph"/>
              <w:spacing w:before="0"/>
              <w:ind w:left="0"/>
              <w:rPr>
                <w:rFonts w:ascii="Times New Roman"/>
                <w:sz w:val="20"/>
              </w:rPr>
            </w:pPr>
          </w:p>
        </w:tc>
        <w:tc>
          <w:tcPr>
            <w:tcW w:w="7439" w:type="dxa"/>
          </w:tcPr>
          <w:p>
            <w:pPr>
              <w:pStyle w:val="TableParagraph"/>
              <w:numPr>
                <w:ilvl w:val="0"/>
                <w:numId w:val="21"/>
              </w:numPr>
              <w:tabs>
                <w:tab w:pos="736" w:val="left" w:leader="none"/>
              </w:tabs>
              <w:spacing w:line="215" w:lineRule="exact" w:before="0" w:after="0"/>
              <w:ind w:left="735"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2"/>
                <w:sz w:val="21"/>
              </w:rPr>
              <w:t> </w:t>
            </w:r>
            <w:r>
              <w:rPr>
                <w:w w:val="122"/>
                <w:sz w:val="21"/>
              </w:rPr>
              <w:t>0</w:t>
            </w:r>
            <w:r>
              <w:rPr>
                <w:spacing w:val="-4"/>
                <w:w w:val="58"/>
                <w:sz w:val="21"/>
              </w:rPr>
              <w:t>.</w:t>
            </w:r>
            <w:r>
              <w:rPr>
                <w:w w:val="122"/>
                <w:sz w:val="21"/>
              </w:rPr>
              <w:t>75</w:t>
            </w:r>
            <w:r>
              <w:rPr>
                <w:spacing w:val="-54"/>
                <w:sz w:val="21"/>
              </w:rPr>
              <w:t> </w:t>
            </w:r>
            <w:r>
              <w:rPr>
                <w:w w:val="100"/>
                <w:sz w:val="21"/>
              </w:rPr>
              <w:t>升；</w:t>
            </w:r>
          </w:p>
          <w:p>
            <w:pPr>
              <w:pStyle w:val="TableParagraph"/>
              <w:numPr>
                <w:ilvl w:val="0"/>
                <w:numId w:val="21"/>
              </w:numPr>
              <w:tabs>
                <w:tab w:pos="736" w:val="left" w:leader="none"/>
              </w:tabs>
              <w:spacing w:line="240" w:lineRule="auto" w:before="124" w:after="0"/>
              <w:ind w:left="735" w:right="0" w:hanging="624"/>
              <w:jc w:val="left"/>
              <w:rPr>
                <w:sz w:val="21"/>
              </w:rPr>
            </w:pPr>
            <w:r>
              <w:rPr>
                <w:spacing w:val="-3"/>
                <w:sz w:val="21"/>
              </w:rPr>
              <w:t>因缺氧必须广泛而持续地进行输氧治疗；</w:t>
            </w:r>
          </w:p>
          <w:p>
            <w:pPr>
              <w:pStyle w:val="TableParagraph"/>
              <w:numPr>
                <w:ilvl w:val="0"/>
                <w:numId w:val="21"/>
              </w:numPr>
              <w:tabs>
                <w:tab w:pos="736" w:val="left" w:leader="none"/>
              </w:tabs>
              <w:spacing w:line="240" w:lineRule="auto" w:before="123" w:after="0"/>
              <w:ind w:left="735"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5" w:type="dxa"/>
          </w:tcPr>
          <w:p>
            <w:pPr>
              <w:pStyle w:val="TableParagraph"/>
              <w:spacing w:before="42"/>
              <w:ind w:left="0" w:right="101"/>
              <w:jc w:val="right"/>
              <w:rPr>
                <w:rFonts w:ascii="微软雅黑"/>
                <w:b/>
                <w:sz w:val="21"/>
              </w:rPr>
            </w:pPr>
            <w:r>
              <w:rPr>
                <w:rFonts w:ascii="微软雅黑"/>
                <w:b/>
                <w:w w:val="95"/>
                <w:sz w:val="21"/>
              </w:rPr>
              <w:t>7.1.35</w:t>
            </w:r>
          </w:p>
        </w:tc>
        <w:tc>
          <w:tcPr>
            <w:tcW w:w="1692" w:type="dxa"/>
          </w:tcPr>
          <w:p>
            <w:pPr>
              <w:pStyle w:val="TableParagraph"/>
              <w:spacing w:line="213" w:lineRule="auto" w:before="81"/>
              <w:ind w:left="100" w:right="110"/>
              <w:rPr>
                <w:rFonts w:ascii="微软雅黑" w:eastAsia="微软雅黑" w:hint="eastAsia"/>
                <w:b/>
                <w:sz w:val="21"/>
              </w:rPr>
            </w:pPr>
            <w:r>
              <w:rPr>
                <w:rFonts w:ascii="微软雅黑" w:eastAsia="微软雅黑" w:hint="eastAsia"/>
                <w:b/>
                <w:sz w:val="21"/>
              </w:rPr>
              <w:t>肺泡蛋白质沉积症</w:t>
            </w:r>
          </w:p>
        </w:tc>
        <w:tc>
          <w:tcPr>
            <w:tcW w:w="7439" w:type="dxa"/>
          </w:tcPr>
          <w:p>
            <w:pPr>
              <w:pStyle w:val="TableParagraph"/>
              <w:spacing w:line="280" w:lineRule="auto" w:before="104"/>
              <w:ind w:right="201"/>
              <w:jc w:val="both"/>
              <w:rPr>
                <w:sz w:val="21"/>
              </w:rPr>
            </w:pPr>
            <w:r>
              <w:rPr>
                <w:spacing w:val="-7"/>
                <w:sz w:val="21"/>
              </w:rPr>
              <w:t>指肺泡和细支气管腔内充满不可溶性富磷脂蛋白的疾病，胸部 </w:t>
            </w:r>
            <w:r>
              <w:rPr>
                <w:sz w:val="21"/>
              </w:rPr>
              <w:t>X</w:t>
            </w:r>
            <w:r>
              <w:rPr>
                <w:spacing w:val="-5"/>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479" w:hRule="atLeast"/>
        </w:trPr>
        <w:tc>
          <w:tcPr>
            <w:tcW w:w="915" w:type="dxa"/>
          </w:tcPr>
          <w:p>
            <w:pPr>
              <w:pStyle w:val="TableParagraph"/>
              <w:spacing w:before="40"/>
              <w:ind w:left="0" w:right="100"/>
              <w:jc w:val="right"/>
              <w:rPr>
                <w:rFonts w:ascii="微软雅黑"/>
                <w:b/>
                <w:sz w:val="21"/>
              </w:rPr>
            </w:pPr>
            <w:r>
              <w:rPr>
                <w:rFonts w:ascii="微软雅黑"/>
                <w:b/>
                <w:w w:val="95"/>
                <w:sz w:val="21"/>
              </w:rPr>
              <w:t>7.1.36</w:t>
            </w:r>
          </w:p>
        </w:tc>
        <w:tc>
          <w:tcPr>
            <w:tcW w:w="1692" w:type="dxa"/>
          </w:tcPr>
          <w:p>
            <w:pPr>
              <w:pStyle w:val="TableParagraph"/>
              <w:spacing w:before="40"/>
              <w:ind w:left="100"/>
              <w:rPr>
                <w:rFonts w:ascii="微软雅黑" w:eastAsia="微软雅黑" w:hint="eastAsia"/>
                <w:b/>
                <w:sz w:val="21"/>
              </w:rPr>
            </w:pPr>
            <w:r>
              <w:rPr>
                <w:rFonts w:ascii="微软雅黑" w:eastAsia="微软雅黑" w:hint="eastAsia"/>
                <w:b/>
                <w:sz w:val="21"/>
              </w:rPr>
              <w:t>严重哮喘</w:t>
            </w:r>
          </w:p>
        </w:tc>
        <w:tc>
          <w:tcPr>
            <w:tcW w:w="7439" w:type="dxa"/>
          </w:tcPr>
          <w:p>
            <w:pPr>
              <w:pStyle w:val="TableParagraph"/>
              <w:spacing w:line="280" w:lineRule="auto" w:before="103"/>
              <w:ind w:right="154"/>
              <w:rPr>
                <w:sz w:val="21"/>
              </w:rPr>
            </w:pPr>
            <w:r>
              <w:rPr>
                <w:sz w:val="21"/>
              </w:rPr>
              <w:t>必须在首次确诊严重哮喘之日的前两年内曾发Th哮喘持续状态，并满足下列两项或者两项以上条件：</w:t>
            </w:r>
          </w:p>
          <w:p>
            <w:pPr>
              <w:pStyle w:val="TableParagraph"/>
              <w:numPr>
                <w:ilvl w:val="0"/>
                <w:numId w:val="22"/>
              </w:numPr>
              <w:tabs>
                <w:tab w:pos="736" w:val="left" w:leader="none"/>
              </w:tabs>
              <w:spacing w:line="240" w:lineRule="auto" w:before="85" w:after="0"/>
              <w:ind w:left="735" w:right="0" w:hanging="624"/>
              <w:jc w:val="left"/>
              <w:rPr>
                <w:sz w:val="21"/>
              </w:rPr>
            </w:pPr>
            <w:r>
              <w:rPr>
                <w:spacing w:val="-3"/>
                <w:sz w:val="21"/>
              </w:rPr>
              <w:t>运动耐受力永久并持续地减少，并且轻微的运动能引起气促；</w:t>
            </w:r>
          </w:p>
          <w:p>
            <w:pPr>
              <w:pStyle w:val="TableParagraph"/>
              <w:numPr>
                <w:ilvl w:val="0"/>
                <w:numId w:val="22"/>
              </w:numPr>
              <w:tabs>
                <w:tab w:pos="736" w:val="left" w:leader="none"/>
              </w:tabs>
              <w:spacing w:line="240" w:lineRule="auto" w:before="123" w:after="0"/>
              <w:ind w:left="735" w:right="0" w:hanging="624"/>
              <w:jc w:val="left"/>
              <w:rPr>
                <w:sz w:val="21"/>
              </w:rPr>
            </w:pPr>
            <w:r>
              <w:rPr>
                <w:spacing w:val="-3"/>
                <w:sz w:val="21"/>
              </w:rPr>
              <w:t>长期胸腔过度膨胀而导致胸腔畸形；</w:t>
            </w:r>
          </w:p>
          <w:p>
            <w:pPr>
              <w:pStyle w:val="TableParagraph"/>
              <w:numPr>
                <w:ilvl w:val="0"/>
                <w:numId w:val="22"/>
              </w:numPr>
              <w:tabs>
                <w:tab w:pos="736" w:val="left" w:leader="none"/>
              </w:tabs>
              <w:spacing w:line="240" w:lineRule="auto" w:before="123" w:after="0"/>
              <w:ind w:left="735" w:right="0" w:hanging="624"/>
              <w:jc w:val="left"/>
              <w:rPr>
                <w:sz w:val="21"/>
              </w:rPr>
            </w:pPr>
            <w:r>
              <w:rPr>
                <w:spacing w:val="-3"/>
                <w:sz w:val="21"/>
              </w:rPr>
              <w:t>在家及在静息状态下需要吸氧；</w:t>
            </w:r>
          </w:p>
          <w:p>
            <w:pPr>
              <w:pStyle w:val="TableParagraph"/>
              <w:numPr>
                <w:ilvl w:val="0"/>
                <w:numId w:val="22"/>
              </w:numPr>
              <w:tabs>
                <w:tab w:pos="736" w:val="left" w:leader="none"/>
              </w:tabs>
              <w:spacing w:line="240" w:lineRule="auto" w:before="123" w:after="0"/>
              <w:ind w:left="735"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9" w:hRule="atLeast"/>
        </w:trPr>
        <w:tc>
          <w:tcPr>
            <w:tcW w:w="915" w:type="dxa"/>
          </w:tcPr>
          <w:p>
            <w:pPr>
              <w:pStyle w:val="TableParagraph"/>
              <w:spacing w:before="40"/>
              <w:ind w:left="0" w:right="101"/>
              <w:jc w:val="right"/>
              <w:rPr>
                <w:rFonts w:ascii="微软雅黑"/>
                <w:b/>
                <w:sz w:val="21"/>
              </w:rPr>
            </w:pPr>
            <w:r>
              <w:rPr>
                <w:rFonts w:ascii="微软雅黑"/>
                <w:b/>
                <w:w w:val="95"/>
                <w:sz w:val="21"/>
              </w:rPr>
              <w:t>7.1.37</w:t>
            </w:r>
          </w:p>
        </w:tc>
        <w:tc>
          <w:tcPr>
            <w:tcW w:w="1692" w:type="dxa"/>
          </w:tcPr>
          <w:p>
            <w:pPr>
              <w:pStyle w:val="TableParagraph"/>
              <w:spacing w:line="213" w:lineRule="auto" w:before="80"/>
              <w:ind w:left="100" w:right="110"/>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439" w:type="dxa"/>
          </w:tcPr>
          <w:p>
            <w:pPr>
              <w:pStyle w:val="TableParagraph"/>
              <w:spacing w:line="280" w:lineRule="auto" w:before="103"/>
              <w:ind w:right="207"/>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15" w:type="dxa"/>
          </w:tcPr>
          <w:p>
            <w:pPr>
              <w:pStyle w:val="TableParagraph"/>
              <w:spacing w:before="40"/>
              <w:ind w:left="0" w:right="99"/>
              <w:jc w:val="right"/>
              <w:rPr>
                <w:rFonts w:ascii="微软雅黑"/>
                <w:b/>
                <w:sz w:val="21"/>
              </w:rPr>
            </w:pPr>
            <w:r>
              <w:rPr>
                <w:rFonts w:ascii="微软雅黑"/>
                <w:b/>
                <w:w w:val="95"/>
                <w:sz w:val="21"/>
              </w:rPr>
              <w:t>7.1.38</w:t>
            </w:r>
          </w:p>
        </w:tc>
        <w:tc>
          <w:tcPr>
            <w:tcW w:w="1692" w:type="dxa"/>
          </w:tcPr>
          <w:p>
            <w:pPr>
              <w:pStyle w:val="TableParagraph"/>
              <w:spacing w:before="40"/>
              <w:ind w:left="100"/>
              <w:rPr>
                <w:rFonts w:ascii="微软雅黑" w:eastAsia="微软雅黑" w:hint="eastAsia"/>
                <w:b/>
                <w:sz w:val="21"/>
              </w:rPr>
            </w:pPr>
            <w:r>
              <w:rPr>
                <w:rFonts w:ascii="微软雅黑" w:eastAsia="微软雅黑" w:hint="eastAsia"/>
                <w:b/>
                <w:sz w:val="21"/>
              </w:rPr>
              <w:t>肾髓质囊性病</w:t>
            </w:r>
          </w:p>
        </w:tc>
        <w:tc>
          <w:tcPr>
            <w:tcW w:w="7439" w:type="dxa"/>
          </w:tcPr>
          <w:p>
            <w:pPr>
              <w:pStyle w:val="TableParagraph"/>
              <w:spacing w:before="103"/>
              <w:rPr>
                <w:sz w:val="21"/>
              </w:rPr>
            </w:pPr>
            <w:r>
              <w:rPr>
                <w:sz w:val="21"/>
              </w:rPr>
              <w:t>肾髓质囊性病的诊断须符合下列全部条件：</w:t>
            </w:r>
          </w:p>
          <w:p>
            <w:pPr>
              <w:pStyle w:val="TableParagraph"/>
              <w:numPr>
                <w:ilvl w:val="0"/>
                <w:numId w:val="23"/>
              </w:numPr>
              <w:tabs>
                <w:tab w:pos="736" w:val="left" w:leader="none"/>
              </w:tabs>
              <w:spacing w:line="240" w:lineRule="auto" w:before="123" w:after="0"/>
              <w:ind w:left="735" w:right="0" w:hanging="624"/>
              <w:jc w:val="left"/>
              <w:rPr>
                <w:sz w:val="21"/>
              </w:rPr>
            </w:pPr>
            <w:r>
              <w:rPr>
                <w:spacing w:val="-3"/>
                <w:sz w:val="21"/>
              </w:rPr>
              <w:t>肾髓质有囊肿、肾小管萎缩及间质纤维化等病理改变；</w:t>
            </w:r>
          </w:p>
          <w:p>
            <w:pPr>
              <w:pStyle w:val="TableParagraph"/>
              <w:numPr>
                <w:ilvl w:val="0"/>
                <w:numId w:val="23"/>
              </w:numPr>
              <w:tabs>
                <w:tab w:pos="736" w:val="left" w:leader="none"/>
              </w:tabs>
              <w:spacing w:line="240" w:lineRule="auto" w:before="120" w:after="0"/>
              <w:ind w:left="735" w:right="0" w:hanging="624"/>
              <w:jc w:val="left"/>
              <w:rPr>
                <w:sz w:val="21"/>
              </w:rPr>
            </w:pPr>
            <w:r>
              <w:rPr>
                <w:spacing w:val="-3"/>
                <w:sz w:val="21"/>
              </w:rPr>
              <w:t>贫血、多尿及肾功能衰竭等临床表现；</w:t>
            </w:r>
          </w:p>
          <w:p>
            <w:pPr>
              <w:pStyle w:val="TableParagraph"/>
              <w:numPr>
                <w:ilvl w:val="0"/>
                <w:numId w:val="23"/>
              </w:numPr>
              <w:tabs>
                <w:tab w:pos="736" w:val="left" w:leader="none"/>
              </w:tabs>
              <w:spacing w:line="240" w:lineRule="auto" w:before="123" w:after="0"/>
              <w:ind w:left="735" w:right="0" w:hanging="624"/>
              <w:jc w:val="left"/>
              <w:rPr>
                <w:sz w:val="21"/>
              </w:rPr>
            </w:pPr>
            <w:r>
              <w:rPr>
                <w:spacing w:val="-3"/>
                <w:sz w:val="21"/>
              </w:rPr>
              <w:t>诊断须由肾组织活检确定。</w:t>
            </w:r>
          </w:p>
          <w:p>
            <w:pPr>
              <w:pStyle w:val="TableParagraph"/>
              <w:spacing w:before="124"/>
              <w:rPr>
                <w:sz w:val="21"/>
              </w:rPr>
            </w:pPr>
            <w:r>
              <w:rPr>
                <w:sz w:val="21"/>
              </w:rPr>
              <w:t>单独或者良性肾囊肿不在保障范围内。</w:t>
            </w:r>
          </w:p>
        </w:tc>
      </w:tr>
      <w:tr>
        <w:trPr>
          <w:trHeight w:val="1206" w:hRule="atLeast"/>
        </w:trPr>
        <w:tc>
          <w:tcPr>
            <w:tcW w:w="915" w:type="dxa"/>
          </w:tcPr>
          <w:p>
            <w:pPr>
              <w:pStyle w:val="TableParagraph"/>
              <w:spacing w:before="39"/>
              <w:ind w:left="0" w:right="100"/>
              <w:jc w:val="right"/>
              <w:rPr>
                <w:rFonts w:ascii="微软雅黑"/>
                <w:b/>
                <w:sz w:val="21"/>
              </w:rPr>
            </w:pPr>
            <w:r>
              <w:rPr>
                <w:rFonts w:ascii="微软雅黑"/>
                <w:b/>
                <w:w w:val="95"/>
                <w:sz w:val="21"/>
              </w:rPr>
              <w:t>7.1.39</w:t>
            </w:r>
          </w:p>
        </w:tc>
        <w:tc>
          <w:tcPr>
            <w:tcW w:w="1692" w:type="dxa"/>
          </w:tcPr>
          <w:p>
            <w:pPr>
              <w:pStyle w:val="TableParagraph"/>
              <w:spacing w:before="39"/>
              <w:ind w:left="100"/>
              <w:rPr>
                <w:rFonts w:ascii="微软雅黑" w:eastAsia="微软雅黑" w:hint="eastAsia"/>
                <w:b/>
                <w:sz w:val="21"/>
              </w:rPr>
            </w:pPr>
            <w:r>
              <w:rPr>
                <w:rFonts w:ascii="微软雅黑" w:eastAsia="微软雅黑" w:hint="eastAsia"/>
                <w:b/>
                <w:sz w:val="21"/>
              </w:rPr>
              <w:t>嗜铬细胞瘤</w:t>
            </w:r>
          </w:p>
        </w:tc>
        <w:tc>
          <w:tcPr>
            <w:tcW w:w="7439" w:type="dxa"/>
          </w:tcPr>
          <w:p>
            <w:pPr>
              <w:pStyle w:val="TableParagraph"/>
              <w:spacing w:line="280" w:lineRule="auto" w:before="102"/>
              <w:ind w:right="201"/>
              <w:jc w:val="both"/>
              <w:rPr>
                <w:sz w:val="21"/>
              </w:rPr>
            </w:pPr>
            <w:r>
              <w:rPr>
                <w:spacing w:val="-4"/>
                <w:sz w:val="21"/>
              </w:rPr>
              <w:t>指肾上腺或者肾上腺外嗜铬组织出现神经内分泌肿瘤，并分泌过多的儿茶酚胺</w:t>
            </w:r>
            <w:r>
              <w:rPr>
                <w:spacing w:val="-6"/>
                <w:sz w:val="21"/>
              </w:rPr>
              <w:t>类，实际实施了手术以切除肿瘤。嗜铬细胞瘤的诊断必须由我们认可医院的专</w:t>
            </w:r>
            <w:r>
              <w:rPr>
                <w:spacing w:val="-1"/>
                <w:sz w:val="21"/>
              </w:rPr>
              <w:t>科医Th</w:t>
            </w:r>
            <w:r>
              <w:rPr>
                <w:spacing w:val="-2"/>
                <w:sz w:val="21"/>
              </w:rPr>
              <w:t>确定。</w:t>
            </w:r>
          </w:p>
        </w:tc>
      </w:tr>
      <w:tr>
        <w:trPr>
          <w:trHeight w:val="4238" w:hRule="atLeast"/>
        </w:trPr>
        <w:tc>
          <w:tcPr>
            <w:tcW w:w="915" w:type="dxa"/>
          </w:tcPr>
          <w:p>
            <w:pPr>
              <w:pStyle w:val="TableParagraph"/>
              <w:spacing w:before="40"/>
              <w:ind w:left="0" w:right="100"/>
              <w:jc w:val="right"/>
              <w:rPr>
                <w:rFonts w:ascii="微软雅黑"/>
                <w:b/>
                <w:sz w:val="21"/>
              </w:rPr>
            </w:pPr>
            <w:r>
              <w:rPr>
                <w:rFonts w:ascii="微软雅黑"/>
                <w:b/>
                <w:w w:val="95"/>
                <w:sz w:val="21"/>
              </w:rPr>
              <w:t>7.1.40</w:t>
            </w:r>
          </w:p>
        </w:tc>
        <w:tc>
          <w:tcPr>
            <w:tcW w:w="1692"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特发性慢性肾上腺皮质功能减退</w:t>
            </w:r>
          </w:p>
        </w:tc>
        <w:tc>
          <w:tcPr>
            <w:tcW w:w="7439" w:type="dxa"/>
          </w:tcPr>
          <w:p>
            <w:pPr>
              <w:pStyle w:val="TableParagraph"/>
              <w:spacing w:line="280" w:lineRule="auto" w:before="103"/>
              <w:ind w:right="154"/>
              <w:rPr>
                <w:sz w:val="21"/>
              </w:rPr>
            </w:pPr>
            <w:r>
              <w:rPr>
                <w:sz w:val="21"/>
              </w:rPr>
              <w:t>指自身免疫性肾上腺炎导致肾上腺萎缩和慢性肾上腺皮质功能减退。必须满足下列全部条件：</w:t>
            </w:r>
          </w:p>
          <w:p>
            <w:pPr>
              <w:pStyle w:val="TableParagraph"/>
              <w:numPr>
                <w:ilvl w:val="0"/>
                <w:numId w:val="24"/>
              </w:numPr>
              <w:tabs>
                <w:tab w:pos="736" w:val="left" w:leader="none"/>
              </w:tabs>
              <w:spacing w:line="240" w:lineRule="auto" w:before="85" w:after="0"/>
              <w:ind w:left="735"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ind w:left="742"/>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w:t>
            </w:r>
            <w:r>
              <w:rPr>
                <w:spacing w:val="-2"/>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spacing w:val="-1"/>
                <w:w w:val="39"/>
                <w:sz w:val="21"/>
              </w:rPr>
              <w:t>l</w:t>
            </w:r>
            <w:r>
              <w:rPr>
                <w:w w:val="100"/>
                <w:sz w:val="21"/>
              </w:rPr>
              <w:t>；</w:t>
            </w:r>
          </w:p>
          <w:p>
            <w:pPr>
              <w:pStyle w:val="TableParagraph"/>
              <w:spacing w:line="280" w:lineRule="auto"/>
              <w:ind w:left="1056" w:right="199" w:hanging="315"/>
              <w:rPr>
                <w:sz w:val="21"/>
              </w:rPr>
            </w:pPr>
            <w:r>
              <w:rPr>
                <w:spacing w:val="-10"/>
                <w:sz w:val="21"/>
              </w:rPr>
              <w:t>② 血浆肾素活性、血管紧张素Ⅱ和醛固酮测定，显示为原发性肾上腺皮</w:t>
            </w:r>
            <w:r>
              <w:rPr>
                <w:spacing w:val="-5"/>
                <w:sz w:val="21"/>
              </w:rPr>
              <w:t>质功能减退症；</w:t>
            </w:r>
          </w:p>
          <w:p>
            <w:pPr>
              <w:pStyle w:val="TableParagraph"/>
              <w:spacing w:line="280" w:lineRule="auto" w:before="85"/>
              <w:ind w:left="1056" w:right="143"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4"/>
              </w:numPr>
              <w:tabs>
                <w:tab w:pos="736" w:val="left" w:leader="none"/>
              </w:tabs>
              <w:spacing w:line="240" w:lineRule="auto" w:before="84" w:after="0"/>
              <w:ind w:left="735"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ind w:right="204"/>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401" w:hRule="atLeast"/>
        </w:trPr>
        <w:tc>
          <w:tcPr>
            <w:tcW w:w="915" w:type="dxa"/>
          </w:tcPr>
          <w:p>
            <w:pPr>
              <w:pStyle w:val="TableParagraph"/>
              <w:spacing w:line="343" w:lineRule="exact" w:before="38"/>
              <w:ind w:left="0" w:right="126"/>
              <w:jc w:val="right"/>
              <w:rPr>
                <w:rFonts w:ascii="微软雅黑"/>
                <w:b/>
                <w:sz w:val="21"/>
              </w:rPr>
            </w:pPr>
            <w:r>
              <w:rPr>
                <w:rFonts w:ascii="微软雅黑"/>
                <w:b/>
                <w:w w:val="90"/>
                <w:sz w:val="21"/>
              </w:rPr>
              <w:t>7.1.41</w:t>
            </w:r>
          </w:p>
        </w:tc>
        <w:tc>
          <w:tcPr>
            <w:tcW w:w="1692" w:type="dxa"/>
          </w:tcPr>
          <w:p>
            <w:pPr>
              <w:pStyle w:val="TableParagraph"/>
              <w:spacing w:line="343" w:lineRule="exact" w:before="38"/>
              <w:ind w:left="100"/>
              <w:rPr>
                <w:rFonts w:ascii="微软雅黑" w:eastAsia="微软雅黑" w:hint="eastAsia"/>
                <w:b/>
                <w:sz w:val="21"/>
              </w:rPr>
            </w:pPr>
            <w:r>
              <w:rPr>
                <w:rFonts w:ascii="微软雅黑" w:eastAsia="微软雅黑" w:hint="eastAsia"/>
                <w:b/>
                <w:sz w:val="21"/>
              </w:rPr>
              <w:t>慢性肝功能衰竭</w:t>
            </w:r>
          </w:p>
        </w:tc>
        <w:tc>
          <w:tcPr>
            <w:tcW w:w="7439" w:type="dxa"/>
          </w:tcPr>
          <w:p>
            <w:pPr>
              <w:pStyle w:val="TableParagraph"/>
              <w:spacing w:before="101"/>
              <w:rPr>
                <w:sz w:val="21"/>
              </w:rPr>
            </w:pPr>
            <w:r>
              <w:rPr>
                <w:sz w:val="21"/>
              </w:rPr>
              <w:t>指因慢性肝脏疾病导致肝功能衰竭。须满足下列全部条件：</w:t>
            </w:r>
          </w:p>
        </w:tc>
      </w:tr>
    </w:tbl>
    <w:p>
      <w:pPr>
        <w:spacing w:after="0"/>
        <w:rPr>
          <w:sz w:val="21"/>
        </w:rPr>
        <w:sectPr>
          <w:pgSz w:w="11910" w:h="16840"/>
          <w:pgMar w:top="1260" w:bottom="2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41"/>
      </w:tblGrid>
      <w:tr>
        <w:trPr>
          <w:trHeight w:val="2076" w:hRule="atLeast"/>
        </w:trPr>
        <w:tc>
          <w:tcPr>
            <w:tcW w:w="915" w:type="dxa"/>
          </w:tcPr>
          <w:p>
            <w:pPr>
              <w:pStyle w:val="TableParagraph"/>
              <w:spacing w:before="0"/>
              <w:ind w:left="0"/>
              <w:rPr>
                <w:rFonts w:ascii="Times New Roman"/>
                <w:sz w:val="20"/>
              </w:rPr>
            </w:pPr>
          </w:p>
        </w:tc>
        <w:tc>
          <w:tcPr>
            <w:tcW w:w="1692" w:type="dxa"/>
          </w:tcPr>
          <w:p>
            <w:pPr>
              <w:pStyle w:val="TableParagraph"/>
              <w:spacing w:line="241" w:lineRule="exact" w:before="0"/>
              <w:ind w:left="100"/>
              <w:rPr>
                <w:rFonts w:ascii="微软雅黑" w:eastAsia="微软雅黑" w:hint="eastAsia"/>
                <w:b/>
                <w:sz w:val="21"/>
              </w:rPr>
            </w:pPr>
            <w:r>
              <w:rPr>
                <w:rFonts w:ascii="微软雅黑" w:eastAsia="微软雅黑" w:hint="eastAsia"/>
                <w:b/>
                <w:sz w:val="21"/>
              </w:rPr>
              <w:t>失代偿期</w:t>
            </w:r>
          </w:p>
        </w:tc>
        <w:tc>
          <w:tcPr>
            <w:tcW w:w="7441" w:type="dxa"/>
          </w:tcPr>
          <w:p>
            <w:pPr>
              <w:pStyle w:val="TableParagraph"/>
              <w:numPr>
                <w:ilvl w:val="0"/>
                <w:numId w:val="25"/>
              </w:numPr>
              <w:tabs>
                <w:tab w:pos="736" w:val="left" w:leader="none"/>
              </w:tabs>
              <w:spacing w:line="240" w:lineRule="auto" w:before="17" w:after="0"/>
              <w:ind w:left="735" w:right="0" w:hanging="624"/>
              <w:jc w:val="left"/>
              <w:rPr>
                <w:sz w:val="21"/>
              </w:rPr>
            </w:pPr>
            <w:r>
              <w:rPr>
                <w:spacing w:val="-2"/>
                <w:sz w:val="21"/>
              </w:rPr>
              <w:t>持续性黄疸；</w:t>
            </w:r>
          </w:p>
          <w:p>
            <w:pPr>
              <w:pStyle w:val="TableParagraph"/>
              <w:numPr>
                <w:ilvl w:val="0"/>
                <w:numId w:val="25"/>
              </w:numPr>
              <w:tabs>
                <w:tab w:pos="736" w:val="left" w:leader="none"/>
              </w:tabs>
              <w:spacing w:line="240" w:lineRule="auto" w:before="124" w:after="0"/>
              <w:ind w:left="735" w:right="0" w:hanging="624"/>
              <w:jc w:val="left"/>
              <w:rPr>
                <w:sz w:val="21"/>
              </w:rPr>
            </w:pPr>
            <w:r>
              <w:rPr>
                <w:sz w:val="21"/>
              </w:rPr>
              <w:t>腹水；</w:t>
            </w:r>
          </w:p>
          <w:p>
            <w:pPr>
              <w:pStyle w:val="TableParagraph"/>
              <w:numPr>
                <w:ilvl w:val="0"/>
                <w:numId w:val="25"/>
              </w:numPr>
              <w:tabs>
                <w:tab w:pos="736" w:val="left" w:leader="none"/>
              </w:tabs>
              <w:spacing w:line="240" w:lineRule="auto" w:before="123" w:after="0"/>
              <w:ind w:left="735" w:right="0" w:hanging="624"/>
              <w:jc w:val="left"/>
              <w:rPr>
                <w:sz w:val="21"/>
              </w:rPr>
            </w:pPr>
            <w:r>
              <w:rPr>
                <w:spacing w:val="-1"/>
                <w:sz w:val="21"/>
              </w:rPr>
              <w:t>肝性脑病；</w:t>
            </w:r>
          </w:p>
          <w:p>
            <w:pPr>
              <w:pStyle w:val="TableParagraph"/>
              <w:numPr>
                <w:ilvl w:val="0"/>
                <w:numId w:val="25"/>
              </w:numPr>
              <w:tabs>
                <w:tab w:pos="736" w:val="left" w:leader="none"/>
              </w:tabs>
              <w:spacing w:line="240" w:lineRule="auto" w:before="123" w:after="0"/>
              <w:ind w:left="735" w:right="0" w:hanging="624"/>
              <w:jc w:val="left"/>
              <w:rPr>
                <w:sz w:val="21"/>
              </w:rPr>
            </w:pPr>
            <w:r>
              <w:rPr>
                <w:spacing w:val="-3"/>
                <w:sz w:val="21"/>
              </w:rPr>
              <w:t>充血性脾肿大伴脾功能亢进或者食管胃底静脉曲张。</w:t>
            </w:r>
          </w:p>
          <w:p>
            <w:pPr>
              <w:pStyle w:val="TableParagraph"/>
              <w:rPr>
                <w:sz w:val="21"/>
              </w:rPr>
            </w:pPr>
            <w:r>
              <w:rPr>
                <w:sz w:val="21"/>
              </w:rPr>
              <w:t>因酗酒或者药物滥用导致的肝功能衰竭不在保障范围内。</w:t>
            </w:r>
          </w:p>
        </w:tc>
      </w:tr>
      <w:tr>
        <w:trPr>
          <w:trHeight w:val="2478" w:hRule="atLeast"/>
        </w:trPr>
        <w:tc>
          <w:tcPr>
            <w:tcW w:w="915" w:type="dxa"/>
          </w:tcPr>
          <w:p>
            <w:pPr>
              <w:pStyle w:val="TableParagraph"/>
              <w:spacing w:before="38"/>
              <w:ind w:left="0" w:right="101"/>
              <w:jc w:val="right"/>
              <w:rPr>
                <w:rFonts w:ascii="微软雅黑"/>
                <w:b/>
                <w:sz w:val="21"/>
              </w:rPr>
            </w:pPr>
            <w:r>
              <w:rPr>
                <w:rFonts w:ascii="微软雅黑"/>
                <w:b/>
                <w:w w:val="95"/>
                <w:sz w:val="21"/>
              </w:rPr>
              <w:t>7.1.42</w:t>
            </w:r>
          </w:p>
        </w:tc>
        <w:tc>
          <w:tcPr>
            <w:tcW w:w="1692"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急性或者亚急性重症肝炎</w:t>
            </w:r>
          </w:p>
        </w:tc>
        <w:tc>
          <w:tcPr>
            <w:tcW w:w="7441" w:type="dxa"/>
          </w:tcPr>
          <w:p>
            <w:pPr>
              <w:pStyle w:val="TableParagraph"/>
              <w:spacing w:line="280" w:lineRule="auto" w:before="101"/>
              <w:ind w:right="171"/>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6"/>
              </w:numPr>
              <w:tabs>
                <w:tab w:pos="736" w:val="left" w:leader="none"/>
              </w:tabs>
              <w:spacing w:line="240" w:lineRule="auto" w:before="88" w:after="0"/>
              <w:ind w:left="735" w:right="0" w:hanging="624"/>
              <w:jc w:val="left"/>
              <w:rPr>
                <w:sz w:val="21"/>
              </w:rPr>
            </w:pPr>
            <w:r>
              <w:rPr>
                <w:spacing w:val="-3"/>
                <w:sz w:val="21"/>
              </w:rPr>
              <w:t>重度黄疸或者黄疸迅速加重；</w:t>
            </w:r>
          </w:p>
          <w:p>
            <w:pPr>
              <w:pStyle w:val="TableParagraph"/>
              <w:numPr>
                <w:ilvl w:val="0"/>
                <w:numId w:val="26"/>
              </w:numPr>
              <w:tabs>
                <w:tab w:pos="736" w:val="left" w:leader="none"/>
              </w:tabs>
              <w:spacing w:line="240" w:lineRule="auto" w:before="121" w:after="0"/>
              <w:ind w:left="735" w:right="0" w:hanging="624"/>
              <w:jc w:val="left"/>
              <w:rPr>
                <w:sz w:val="21"/>
              </w:rPr>
            </w:pPr>
            <w:r>
              <w:rPr>
                <w:spacing w:val="-1"/>
                <w:sz w:val="21"/>
              </w:rPr>
              <w:t>肝性脑病；</w:t>
            </w:r>
          </w:p>
          <w:p>
            <w:pPr>
              <w:pStyle w:val="TableParagraph"/>
              <w:numPr>
                <w:ilvl w:val="0"/>
                <w:numId w:val="26"/>
              </w:numPr>
              <w:tabs>
                <w:tab w:pos="736" w:val="left" w:leader="none"/>
              </w:tabs>
              <w:spacing w:line="240" w:lineRule="auto" w:before="123" w:after="0"/>
              <w:ind w:left="735"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6"/>
              </w:numPr>
              <w:tabs>
                <w:tab w:pos="736" w:val="left" w:leader="none"/>
              </w:tabs>
              <w:spacing w:line="240" w:lineRule="auto" w:before="123" w:after="0"/>
              <w:ind w:left="735" w:right="0" w:hanging="624"/>
              <w:jc w:val="left"/>
              <w:rPr>
                <w:sz w:val="21"/>
              </w:rPr>
            </w:pPr>
            <w:r>
              <w:rPr>
                <w:spacing w:val="-3"/>
                <w:sz w:val="21"/>
              </w:rPr>
              <w:t>肝功能指标进行性恶化。</w:t>
            </w:r>
          </w:p>
        </w:tc>
      </w:tr>
      <w:tr>
        <w:trPr>
          <w:trHeight w:val="3120" w:hRule="atLeast"/>
        </w:trPr>
        <w:tc>
          <w:tcPr>
            <w:tcW w:w="915" w:type="dxa"/>
          </w:tcPr>
          <w:p>
            <w:pPr>
              <w:pStyle w:val="TableParagraph"/>
              <w:spacing w:before="42"/>
              <w:ind w:left="0" w:right="100"/>
              <w:jc w:val="right"/>
              <w:rPr>
                <w:rFonts w:ascii="微软雅黑"/>
                <w:b/>
                <w:sz w:val="21"/>
              </w:rPr>
            </w:pPr>
            <w:r>
              <w:rPr>
                <w:rFonts w:ascii="微软雅黑"/>
                <w:b/>
                <w:w w:val="95"/>
                <w:sz w:val="21"/>
              </w:rPr>
              <w:t>7.1.43</w:t>
            </w:r>
          </w:p>
        </w:tc>
        <w:tc>
          <w:tcPr>
            <w:tcW w:w="1692" w:type="dxa"/>
          </w:tcPr>
          <w:p>
            <w:pPr>
              <w:pStyle w:val="TableParagraph"/>
              <w:spacing w:line="213" w:lineRule="auto" w:before="82"/>
              <w:ind w:left="100" w:right="110"/>
              <w:rPr>
                <w:rFonts w:ascii="微软雅黑" w:eastAsia="微软雅黑" w:hint="eastAsia"/>
                <w:b/>
                <w:sz w:val="21"/>
              </w:rPr>
            </w:pPr>
            <w:r>
              <w:rPr>
                <w:rFonts w:ascii="微软雅黑" w:eastAsia="微软雅黑" w:hint="eastAsia"/>
                <w:b/>
                <w:sz w:val="21"/>
              </w:rPr>
              <w:t>严重自身免疫性肝炎</w:t>
            </w:r>
          </w:p>
        </w:tc>
        <w:tc>
          <w:tcPr>
            <w:tcW w:w="7441" w:type="dxa"/>
          </w:tcPr>
          <w:p>
            <w:pPr>
              <w:pStyle w:val="TableParagraph"/>
              <w:spacing w:line="280" w:lineRule="auto" w:before="104"/>
              <w:ind w:right="199"/>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7"/>
              </w:numPr>
              <w:tabs>
                <w:tab w:pos="736" w:val="left" w:leader="none"/>
              </w:tabs>
              <w:spacing w:line="240" w:lineRule="auto" w:before="85" w:after="0"/>
              <w:ind w:left="735" w:right="0" w:hanging="624"/>
              <w:jc w:val="left"/>
              <w:rPr>
                <w:sz w:val="21"/>
              </w:rPr>
            </w:pPr>
            <w:r>
              <w:rPr>
                <w:sz w:val="21"/>
              </w:rPr>
              <w:t>高γ</w:t>
            </w:r>
            <w:r>
              <w:rPr>
                <w:spacing w:val="-3"/>
                <w:sz w:val="21"/>
              </w:rPr>
              <w:t>球蛋白血症；</w:t>
            </w:r>
          </w:p>
          <w:p>
            <w:pPr>
              <w:pStyle w:val="TableParagraph"/>
              <w:numPr>
                <w:ilvl w:val="0"/>
                <w:numId w:val="27"/>
              </w:numPr>
              <w:tabs>
                <w:tab w:pos="736" w:val="left" w:leader="none"/>
              </w:tabs>
              <w:spacing w:line="280" w:lineRule="auto" w:before="123" w:after="0"/>
              <w:ind w:left="735" w:right="203"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1"/>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7"/>
              </w:numPr>
              <w:tabs>
                <w:tab w:pos="736" w:val="left" w:leader="none"/>
              </w:tabs>
              <w:spacing w:line="240" w:lineRule="auto" w:before="84" w:after="0"/>
              <w:ind w:left="735" w:right="0" w:hanging="624"/>
              <w:jc w:val="both"/>
              <w:rPr>
                <w:sz w:val="21"/>
              </w:rPr>
            </w:pPr>
            <w:r>
              <w:rPr>
                <w:spacing w:val="-3"/>
                <w:sz w:val="21"/>
              </w:rPr>
              <w:t>肝脏活检证实免疫性肝炎；</w:t>
            </w:r>
          </w:p>
          <w:p>
            <w:pPr>
              <w:pStyle w:val="TableParagraph"/>
              <w:numPr>
                <w:ilvl w:val="0"/>
                <w:numId w:val="27"/>
              </w:numPr>
              <w:tabs>
                <w:tab w:pos="736" w:val="left" w:leader="none"/>
              </w:tabs>
              <w:spacing w:line="240" w:lineRule="auto" w:before="123" w:after="0"/>
              <w:ind w:left="735" w:right="0" w:hanging="624"/>
              <w:jc w:val="both"/>
              <w:rPr>
                <w:sz w:val="21"/>
              </w:rPr>
            </w:pPr>
            <w:r>
              <w:rPr>
                <w:spacing w:val="-3"/>
                <w:sz w:val="21"/>
              </w:rPr>
              <w:t>临床已经出现腹水、食道静脉曲张和脾肿大等肝硬化表现。</w:t>
            </w:r>
          </w:p>
        </w:tc>
      </w:tr>
      <w:tr>
        <w:trPr>
          <w:trHeight w:val="1609" w:hRule="atLeast"/>
        </w:trPr>
        <w:tc>
          <w:tcPr>
            <w:tcW w:w="915" w:type="dxa"/>
          </w:tcPr>
          <w:p>
            <w:pPr>
              <w:pStyle w:val="TableParagraph"/>
              <w:spacing w:before="42"/>
              <w:ind w:left="0" w:right="99"/>
              <w:jc w:val="right"/>
              <w:rPr>
                <w:rFonts w:ascii="微软雅黑"/>
                <w:b/>
                <w:sz w:val="21"/>
              </w:rPr>
            </w:pPr>
            <w:r>
              <w:rPr>
                <w:rFonts w:ascii="微软雅黑"/>
                <w:b/>
                <w:w w:val="95"/>
                <w:sz w:val="21"/>
              </w:rPr>
              <w:t>7.1.44</w:t>
            </w:r>
          </w:p>
        </w:tc>
        <w:tc>
          <w:tcPr>
            <w:tcW w:w="1692" w:type="dxa"/>
          </w:tcPr>
          <w:p>
            <w:pPr>
              <w:pStyle w:val="TableParagraph"/>
              <w:spacing w:line="213" w:lineRule="auto" w:before="81"/>
              <w:ind w:left="100" w:right="110"/>
              <w:rPr>
                <w:rFonts w:ascii="微软雅黑" w:eastAsia="微软雅黑" w:hint="eastAsia"/>
                <w:b/>
                <w:sz w:val="21"/>
              </w:rPr>
            </w:pPr>
            <w:r>
              <w:rPr>
                <w:rFonts w:ascii="微软雅黑" w:eastAsia="微软雅黑" w:hint="eastAsia"/>
                <w:b/>
                <w:sz w:val="21"/>
              </w:rPr>
              <w:t>急性出血坏死性胰腺炎开腹手术</w:t>
            </w:r>
          </w:p>
        </w:tc>
        <w:tc>
          <w:tcPr>
            <w:tcW w:w="7441" w:type="dxa"/>
          </w:tcPr>
          <w:p>
            <w:pPr>
              <w:pStyle w:val="TableParagraph"/>
              <w:spacing w:line="280" w:lineRule="auto" w:before="104"/>
              <w:ind w:right="156"/>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199"/>
              <w:rPr>
                <w:sz w:val="21"/>
              </w:rPr>
            </w:pPr>
            <w:r>
              <w:rPr>
                <w:sz w:val="21"/>
              </w:rPr>
              <w:t>因饮酒所致的急性出血坏死性胰腺炎或者经腹腔镜手术进行的治疗不在保障范围内。</w:t>
            </w:r>
          </w:p>
        </w:tc>
      </w:tr>
      <w:tr>
        <w:trPr>
          <w:trHeight w:val="3119" w:hRule="atLeast"/>
        </w:trPr>
        <w:tc>
          <w:tcPr>
            <w:tcW w:w="915" w:type="dxa"/>
          </w:tcPr>
          <w:p>
            <w:pPr>
              <w:pStyle w:val="TableParagraph"/>
              <w:spacing w:before="38"/>
              <w:ind w:left="0" w:right="100"/>
              <w:jc w:val="right"/>
              <w:rPr>
                <w:rFonts w:ascii="微软雅黑"/>
                <w:b/>
                <w:sz w:val="21"/>
              </w:rPr>
            </w:pPr>
            <w:r>
              <w:rPr>
                <w:rFonts w:ascii="微软雅黑"/>
                <w:b/>
                <w:w w:val="95"/>
                <w:sz w:val="21"/>
              </w:rPr>
              <w:t>7.1.45</w:t>
            </w:r>
          </w:p>
        </w:tc>
        <w:tc>
          <w:tcPr>
            <w:tcW w:w="1692"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严重慢性复发性胰腺炎</w:t>
            </w:r>
          </w:p>
        </w:tc>
        <w:tc>
          <w:tcPr>
            <w:tcW w:w="7441" w:type="dxa"/>
          </w:tcPr>
          <w:p>
            <w:pPr>
              <w:pStyle w:val="TableParagraph"/>
              <w:spacing w:line="280" w:lineRule="auto" w:before="101"/>
              <w:ind w:right="203"/>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8"/>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8"/>
              </w:numPr>
              <w:tabs>
                <w:tab w:pos="736" w:val="left" w:leader="none"/>
              </w:tabs>
              <w:spacing w:line="280" w:lineRule="auto" w:before="123" w:after="0"/>
              <w:ind w:left="735" w:right="203" w:hanging="624"/>
              <w:jc w:val="left"/>
              <w:rPr>
                <w:sz w:val="21"/>
              </w:rPr>
            </w:pPr>
            <w:r>
              <w:rPr>
                <w:spacing w:val="-1"/>
                <w:w w:val="115"/>
                <w:sz w:val="21"/>
              </w:rPr>
              <w:t>CT</w:t>
            </w:r>
            <w:r>
              <w:rPr>
                <w:spacing w:val="-74"/>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8"/>
              </w:numPr>
              <w:tabs>
                <w:tab w:pos="736" w:val="left" w:leader="none"/>
              </w:tabs>
              <w:spacing w:line="240" w:lineRule="auto" w:before="85"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4"/>
              <w:jc w:val="both"/>
              <w:rPr>
                <w:sz w:val="21"/>
              </w:rPr>
            </w:pPr>
            <w:r>
              <w:rPr>
                <w:sz w:val="21"/>
              </w:rPr>
              <w:t>因饮酒导致的慢性复发性胰腺炎不在保障范围内。</w:t>
            </w:r>
          </w:p>
        </w:tc>
      </w:tr>
      <w:tr>
        <w:trPr>
          <w:trHeight w:val="1526" w:hRule="atLeast"/>
        </w:trPr>
        <w:tc>
          <w:tcPr>
            <w:tcW w:w="915" w:type="dxa"/>
          </w:tcPr>
          <w:p>
            <w:pPr>
              <w:pStyle w:val="TableParagraph"/>
              <w:spacing w:before="39"/>
              <w:ind w:left="0" w:right="99"/>
              <w:jc w:val="right"/>
              <w:rPr>
                <w:rFonts w:ascii="微软雅黑"/>
                <w:b/>
                <w:sz w:val="21"/>
              </w:rPr>
            </w:pPr>
            <w:r>
              <w:rPr>
                <w:rFonts w:ascii="微软雅黑"/>
                <w:b/>
                <w:w w:val="95"/>
                <w:sz w:val="21"/>
              </w:rPr>
              <w:t>7.1.46</w:t>
            </w:r>
          </w:p>
        </w:tc>
        <w:tc>
          <w:tcPr>
            <w:tcW w:w="1692" w:type="dxa"/>
          </w:tcPr>
          <w:p>
            <w:pPr>
              <w:pStyle w:val="TableParagraph"/>
              <w:spacing w:line="213" w:lineRule="auto" w:before="79"/>
              <w:ind w:left="100" w:right="110"/>
              <w:rPr>
                <w:rFonts w:ascii="微软雅黑" w:eastAsia="微软雅黑" w:hint="eastAsia"/>
                <w:b/>
                <w:sz w:val="21"/>
              </w:rPr>
            </w:pPr>
            <w:r>
              <w:rPr>
                <w:rFonts w:ascii="微软雅黑" w:eastAsia="微软雅黑" w:hint="eastAsia"/>
                <w:b/>
                <w:sz w:val="21"/>
              </w:rPr>
              <w:t>严重溃疡性结肠炎</w:t>
            </w:r>
          </w:p>
        </w:tc>
        <w:tc>
          <w:tcPr>
            <w:tcW w:w="7441" w:type="dxa"/>
          </w:tcPr>
          <w:p>
            <w:pPr>
              <w:pStyle w:val="TableParagraph"/>
              <w:spacing w:line="278" w:lineRule="auto" w:before="102"/>
              <w:ind w:right="203"/>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9"/>
                <w:sz w:val="21"/>
              </w:rPr>
              <w:t>疡性结肠炎必须根据组织病理学特点诊断，并且已经实际实施了结肠切除和</w:t>
            </w:r>
            <w:r>
              <w:rPr>
                <w:w w:val="90"/>
                <w:sz w:val="21"/>
              </w:rPr>
              <w:t>/</w:t>
            </w:r>
            <w:r>
              <w:rPr>
                <w:sz w:val="21"/>
              </w:rPr>
              <w:t>或</w:t>
            </w:r>
            <w:r>
              <w:rPr>
                <w:spacing w:val="-2"/>
                <w:sz w:val="21"/>
              </w:rPr>
              <w:t>者回肠造瘘术。</w:t>
            </w:r>
          </w:p>
        </w:tc>
      </w:tr>
      <w:tr>
        <w:trPr>
          <w:trHeight w:val="404" w:hRule="atLeast"/>
        </w:trPr>
        <w:tc>
          <w:tcPr>
            <w:tcW w:w="915" w:type="dxa"/>
          </w:tcPr>
          <w:p>
            <w:pPr>
              <w:pStyle w:val="TableParagraph"/>
              <w:spacing w:line="343" w:lineRule="exact" w:before="42"/>
              <w:ind w:left="0" w:right="100"/>
              <w:jc w:val="right"/>
              <w:rPr>
                <w:rFonts w:ascii="微软雅黑"/>
                <w:b/>
                <w:sz w:val="21"/>
              </w:rPr>
            </w:pPr>
            <w:r>
              <w:rPr>
                <w:rFonts w:ascii="微软雅黑"/>
                <w:b/>
                <w:w w:val="95"/>
                <w:sz w:val="21"/>
              </w:rPr>
              <w:t>7.1.47</w:t>
            </w:r>
          </w:p>
        </w:tc>
        <w:tc>
          <w:tcPr>
            <w:tcW w:w="1692" w:type="dxa"/>
          </w:tcPr>
          <w:p>
            <w:pPr>
              <w:pStyle w:val="TableParagraph"/>
              <w:spacing w:line="343" w:lineRule="exact" w:before="42"/>
              <w:ind w:left="100"/>
              <w:rPr>
                <w:rFonts w:ascii="微软雅黑" w:eastAsia="微软雅黑" w:hint="eastAsia"/>
                <w:b/>
                <w:sz w:val="21"/>
              </w:rPr>
            </w:pPr>
            <w:r>
              <w:rPr>
                <w:rFonts w:ascii="微软雅黑" w:eastAsia="微软雅黑" w:hint="eastAsia"/>
                <w:b/>
                <w:sz w:val="21"/>
              </w:rPr>
              <w:t>严重肠道疾病并</w:t>
            </w:r>
          </w:p>
        </w:tc>
        <w:tc>
          <w:tcPr>
            <w:tcW w:w="7441" w:type="dxa"/>
          </w:tcPr>
          <w:p>
            <w:pPr>
              <w:pStyle w:val="TableParagraph"/>
              <w:spacing w:before="104"/>
              <w:rPr>
                <w:sz w:val="21"/>
              </w:rPr>
            </w:pPr>
            <w:r>
              <w:rPr>
                <w:sz w:val="21"/>
              </w:rPr>
              <w:t>严重肠道疾病或者外伤导致小肠损害并发症，必须满足下列全部条件：</w:t>
            </w:r>
          </w:p>
        </w:tc>
      </w:tr>
    </w:tbl>
    <w:p>
      <w:pPr>
        <w:spacing w:after="0"/>
        <w:rPr>
          <w:sz w:val="21"/>
        </w:rPr>
        <w:sectPr>
          <w:pgSz w:w="11910" w:h="16840"/>
          <w:pgMar w:top="118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880" w:hRule="atLeast"/>
        </w:trPr>
        <w:tc>
          <w:tcPr>
            <w:tcW w:w="916" w:type="dxa"/>
          </w:tcPr>
          <w:p>
            <w:pPr>
              <w:pStyle w:val="TableParagraph"/>
              <w:spacing w:before="0"/>
              <w:ind w:left="0"/>
              <w:rPr>
                <w:rFonts w:ascii="Times New Roman"/>
                <w:sz w:val="20"/>
              </w:rPr>
            </w:pPr>
          </w:p>
        </w:tc>
        <w:tc>
          <w:tcPr>
            <w:tcW w:w="1691" w:type="dxa"/>
          </w:tcPr>
          <w:p>
            <w:pPr>
              <w:pStyle w:val="TableParagraph"/>
              <w:spacing w:line="241" w:lineRule="exact" w:before="0"/>
              <w:ind w:left="99"/>
              <w:rPr>
                <w:rFonts w:ascii="微软雅黑" w:eastAsia="微软雅黑" w:hint="eastAsia"/>
                <w:b/>
                <w:sz w:val="21"/>
              </w:rPr>
            </w:pPr>
            <w:r>
              <w:rPr>
                <w:rFonts w:ascii="微软雅黑" w:eastAsia="微软雅黑" w:hint="eastAsia"/>
                <w:b/>
                <w:sz w:val="21"/>
              </w:rPr>
              <w:t>发症</w:t>
            </w:r>
          </w:p>
        </w:tc>
        <w:tc>
          <w:tcPr>
            <w:tcW w:w="7458" w:type="dxa"/>
          </w:tcPr>
          <w:p>
            <w:pPr>
              <w:pStyle w:val="TableParagraph"/>
              <w:numPr>
                <w:ilvl w:val="0"/>
                <w:numId w:val="29"/>
              </w:numPr>
              <w:tabs>
                <w:tab w:pos="736" w:val="left" w:leader="none"/>
              </w:tabs>
              <w:spacing w:line="240" w:lineRule="auto" w:before="17" w:after="0"/>
              <w:ind w:left="735" w:right="0" w:hanging="624"/>
              <w:jc w:val="left"/>
              <w:rPr>
                <w:sz w:val="21"/>
              </w:rPr>
            </w:pPr>
            <w:r>
              <w:rPr>
                <w:spacing w:val="-3"/>
                <w:sz w:val="21"/>
              </w:rPr>
              <w:t>至少切除了三分之二小肠；</w:t>
            </w:r>
          </w:p>
          <w:p>
            <w:pPr>
              <w:pStyle w:val="TableParagraph"/>
              <w:numPr>
                <w:ilvl w:val="0"/>
                <w:numId w:val="29"/>
              </w:numPr>
              <w:tabs>
                <w:tab w:pos="736" w:val="left" w:leader="none"/>
              </w:tabs>
              <w:spacing w:line="240" w:lineRule="auto" w:before="124"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16" w:type="dxa"/>
          </w:tcPr>
          <w:p>
            <w:pPr>
              <w:pStyle w:val="TableParagraph"/>
              <w:spacing w:before="42"/>
              <w:ind w:left="0" w:right="98"/>
              <w:jc w:val="right"/>
              <w:rPr>
                <w:rFonts w:ascii="微软雅黑"/>
                <w:b/>
                <w:sz w:val="21"/>
              </w:rPr>
            </w:pPr>
            <w:r>
              <w:rPr>
                <w:rFonts w:ascii="微软雅黑"/>
                <w:b/>
                <w:w w:val="95"/>
                <w:sz w:val="21"/>
              </w:rPr>
              <w:t>7.1.48</w:t>
            </w:r>
          </w:p>
        </w:tc>
        <w:tc>
          <w:tcPr>
            <w:tcW w:w="1691" w:type="dxa"/>
          </w:tcPr>
          <w:p>
            <w:pPr>
              <w:pStyle w:val="TableParagraph"/>
              <w:spacing w:before="42"/>
              <w:ind w:left="99"/>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104"/>
              <w:rPr>
                <w:sz w:val="21"/>
              </w:rPr>
            </w:pPr>
            <w:r>
              <w:rPr>
                <w:sz w:val="21"/>
              </w:rPr>
              <w:t>指因胰腺功能衰竭，已经实际实施了胰腺的同种（人类）异体器官移植手术。</w:t>
            </w:r>
          </w:p>
          <w:p>
            <w:pPr>
              <w:pStyle w:val="TableParagraph"/>
              <w:rPr>
                <w:sz w:val="21"/>
              </w:rPr>
            </w:pPr>
            <w:r>
              <w:rPr>
                <w:sz w:val="21"/>
              </w:rPr>
              <w:t>胰岛、组织、细胞移植不在保障范围内。</w:t>
            </w:r>
          </w:p>
        </w:tc>
      </w:tr>
      <w:tr>
        <w:trPr>
          <w:trHeight w:val="885" w:hRule="atLeast"/>
        </w:trPr>
        <w:tc>
          <w:tcPr>
            <w:tcW w:w="916" w:type="dxa"/>
          </w:tcPr>
          <w:p>
            <w:pPr>
              <w:pStyle w:val="TableParagraph"/>
              <w:spacing w:before="38"/>
              <w:ind w:left="0" w:right="100"/>
              <w:jc w:val="right"/>
              <w:rPr>
                <w:rFonts w:ascii="微软雅黑"/>
                <w:b/>
                <w:sz w:val="21"/>
              </w:rPr>
            </w:pPr>
            <w:r>
              <w:rPr>
                <w:rFonts w:ascii="微软雅黑"/>
                <w:b/>
                <w:w w:val="95"/>
                <w:sz w:val="21"/>
              </w:rPr>
              <w:t>7.1.49</w:t>
            </w:r>
          </w:p>
        </w:tc>
        <w:tc>
          <w:tcPr>
            <w:tcW w:w="1691" w:type="dxa"/>
          </w:tcPr>
          <w:p>
            <w:pPr>
              <w:pStyle w:val="TableParagraph"/>
              <w:spacing w:before="38"/>
              <w:ind w:left="99"/>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101"/>
              <w:ind w:right="188"/>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2" w:hRule="atLeast"/>
        </w:trPr>
        <w:tc>
          <w:tcPr>
            <w:tcW w:w="916" w:type="dxa"/>
          </w:tcPr>
          <w:p>
            <w:pPr>
              <w:pStyle w:val="TableParagraph"/>
              <w:spacing w:before="40"/>
              <w:ind w:left="0" w:right="101"/>
              <w:jc w:val="right"/>
              <w:rPr>
                <w:rFonts w:ascii="微软雅黑"/>
                <w:b/>
                <w:sz w:val="21"/>
              </w:rPr>
            </w:pPr>
            <w:r>
              <w:rPr>
                <w:rFonts w:ascii="微软雅黑"/>
                <w:b/>
                <w:w w:val="95"/>
                <w:sz w:val="21"/>
              </w:rPr>
              <w:t>7.1.50</w:t>
            </w:r>
          </w:p>
        </w:tc>
        <w:tc>
          <w:tcPr>
            <w:tcW w:w="1691" w:type="dxa"/>
          </w:tcPr>
          <w:p>
            <w:pPr>
              <w:pStyle w:val="TableParagraph"/>
              <w:spacing w:line="213" w:lineRule="auto" w:before="80"/>
              <w:ind w:left="99"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280" w:lineRule="auto" w:before="103"/>
              <w:ind w:right="198"/>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30"/>
              </w:numPr>
              <w:tabs>
                <w:tab w:pos="736" w:val="left" w:leader="none"/>
              </w:tabs>
              <w:spacing w:line="240" w:lineRule="auto" w:before="85" w:after="0"/>
              <w:ind w:left="735"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30"/>
              </w:numPr>
              <w:tabs>
                <w:tab w:pos="736" w:val="left" w:leader="none"/>
              </w:tabs>
              <w:spacing w:line="240" w:lineRule="auto" w:before="124" w:after="0"/>
              <w:ind w:left="735" w:right="0" w:hanging="624"/>
              <w:jc w:val="both"/>
              <w:rPr>
                <w:sz w:val="21"/>
              </w:rPr>
            </w:pPr>
            <w:r>
              <w:rPr>
                <w:spacing w:val="-3"/>
                <w:sz w:val="21"/>
              </w:rPr>
              <w:t>持续性黄疸病史；</w:t>
            </w:r>
          </w:p>
          <w:p>
            <w:pPr>
              <w:pStyle w:val="TableParagraph"/>
              <w:numPr>
                <w:ilvl w:val="0"/>
                <w:numId w:val="30"/>
              </w:numPr>
              <w:tabs>
                <w:tab w:pos="736" w:val="left" w:leader="none"/>
              </w:tabs>
              <w:spacing w:line="240" w:lineRule="auto" w:before="123" w:after="0"/>
              <w:ind w:left="735" w:right="0" w:hanging="624"/>
              <w:jc w:val="both"/>
              <w:rPr>
                <w:sz w:val="21"/>
              </w:rPr>
            </w:pPr>
            <w:r>
              <w:rPr>
                <w:spacing w:val="-3"/>
                <w:sz w:val="21"/>
              </w:rPr>
              <w:t>出现胆汁性肝硬化或者门脉高压。</w:t>
            </w:r>
          </w:p>
          <w:p>
            <w:pPr>
              <w:pStyle w:val="TableParagraph"/>
              <w:spacing w:before="120"/>
              <w:jc w:val="both"/>
              <w:rPr>
                <w:sz w:val="21"/>
              </w:rPr>
            </w:pPr>
            <w:r>
              <w:rPr>
                <w:sz w:val="21"/>
              </w:rPr>
              <w:t>因肿瘤或者胆管损伤等原因导致的继发性硬化性胆管炎不在保障范围内。</w:t>
            </w:r>
          </w:p>
        </w:tc>
      </w:tr>
      <w:tr>
        <w:trPr>
          <w:trHeight w:val="1206" w:hRule="atLeast"/>
        </w:trPr>
        <w:tc>
          <w:tcPr>
            <w:tcW w:w="916" w:type="dxa"/>
          </w:tcPr>
          <w:p>
            <w:pPr>
              <w:pStyle w:val="TableParagraph"/>
              <w:spacing w:before="39"/>
              <w:ind w:left="0" w:right="127"/>
              <w:jc w:val="right"/>
              <w:rPr>
                <w:rFonts w:ascii="微软雅黑"/>
                <w:b/>
                <w:sz w:val="21"/>
              </w:rPr>
            </w:pPr>
            <w:r>
              <w:rPr>
                <w:rFonts w:ascii="微软雅黑"/>
                <w:b/>
                <w:w w:val="90"/>
                <w:sz w:val="21"/>
              </w:rPr>
              <w:t>7.1.51</w:t>
            </w:r>
          </w:p>
        </w:tc>
        <w:tc>
          <w:tcPr>
            <w:tcW w:w="1691" w:type="dxa"/>
          </w:tcPr>
          <w:p>
            <w:pPr>
              <w:pStyle w:val="TableParagraph"/>
              <w:spacing w:line="342" w:lineRule="exact" w:before="39"/>
              <w:ind w:left="99"/>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2"/>
              <w:ind w:left="99" w:right="110"/>
              <w:rPr>
                <w:rFonts w:ascii="微软雅黑" w:eastAsia="微软雅黑" w:hint="eastAsia"/>
                <w:b/>
                <w:sz w:val="21"/>
              </w:rPr>
            </w:pPr>
            <w:r>
              <w:rPr>
                <w:rFonts w:ascii="微软雅黑" w:eastAsia="微软雅黑" w:hint="eastAsia"/>
                <w:b/>
                <w:sz w:val="21"/>
              </w:rPr>
              <w:t>（或者称恶性葡萄胎）</w:t>
            </w:r>
          </w:p>
        </w:tc>
        <w:tc>
          <w:tcPr>
            <w:tcW w:w="7458" w:type="dxa"/>
          </w:tcPr>
          <w:p>
            <w:pPr>
              <w:pStyle w:val="TableParagraph"/>
              <w:spacing w:line="280" w:lineRule="auto" w:before="102"/>
              <w:ind w:right="216"/>
              <w:rPr>
                <w:sz w:val="21"/>
              </w:rPr>
            </w:pPr>
            <w:r>
              <w:rPr>
                <w:sz w:val="21"/>
              </w:rPr>
              <w:t>指异常增Th的绒毛组织浸润性Th长浸入子宫肌层或者转移至其他器官或者组织的葡萄胎，并已经进行化疗或者手术治疗的。</w:t>
            </w:r>
          </w:p>
        </w:tc>
      </w:tr>
      <w:tr>
        <w:trPr>
          <w:trHeight w:val="2879" w:hRule="atLeast"/>
        </w:trPr>
        <w:tc>
          <w:tcPr>
            <w:tcW w:w="916" w:type="dxa"/>
          </w:tcPr>
          <w:p>
            <w:pPr>
              <w:pStyle w:val="TableParagraph"/>
              <w:spacing w:before="40"/>
              <w:ind w:left="0" w:right="102"/>
              <w:jc w:val="right"/>
              <w:rPr>
                <w:rFonts w:ascii="微软雅黑"/>
                <w:b/>
                <w:sz w:val="21"/>
              </w:rPr>
            </w:pPr>
            <w:r>
              <w:rPr>
                <w:rFonts w:ascii="微软雅黑"/>
                <w:b/>
                <w:w w:val="95"/>
                <w:sz w:val="21"/>
              </w:rPr>
              <w:t>7.1.52</w:t>
            </w:r>
          </w:p>
        </w:tc>
        <w:tc>
          <w:tcPr>
            <w:tcW w:w="1691" w:type="dxa"/>
          </w:tcPr>
          <w:p>
            <w:pPr>
              <w:pStyle w:val="TableParagraph"/>
              <w:spacing w:line="213" w:lineRule="auto" w:before="80"/>
              <w:ind w:left="99" w:right="110"/>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58" w:type="dxa"/>
          </w:tcPr>
          <w:p>
            <w:pPr>
              <w:pStyle w:val="TableParagraph"/>
              <w:spacing w:line="280" w:lineRule="auto" w:before="103"/>
              <w:ind w:right="216"/>
              <w:rPr>
                <w:sz w:val="21"/>
              </w:rPr>
            </w:pPr>
            <w:r>
              <w:rPr>
                <w:sz w:val="21"/>
              </w:rPr>
              <w:t>指因骨髓造血功能慢性持续性衰竭导致的贫血、中性粒细胞减少及血小板减少。须满足下列全部条件：</w:t>
            </w:r>
          </w:p>
          <w:p>
            <w:pPr>
              <w:pStyle w:val="TableParagraph"/>
              <w:numPr>
                <w:ilvl w:val="0"/>
                <w:numId w:val="31"/>
              </w:numPr>
              <w:tabs>
                <w:tab w:pos="736" w:val="left" w:leader="none"/>
              </w:tabs>
              <w:spacing w:line="240" w:lineRule="auto" w:before="87" w:after="0"/>
              <w:ind w:left="735" w:right="0" w:hanging="624"/>
              <w:jc w:val="left"/>
              <w:rPr>
                <w:sz w:val="21"/>
              </w:rPr>
            </w:pPr>
            <w:r>
              <w:rPr>
                <w:spacing w:val="-3"/>
                <w:sz w:val="21"/>
              </w:rPr>
              <w:t>骨髓穿刺检查或者骨髓活检结果支持诊断；</w:t>
            </w:r>
          </w:p>
          <w:p>
            <w:pPr>
              <w:pStyle w:val="TableParagraph"/>
              <w:numPr>
                <w:ilvl w:val="0"/>
                <w:numId w:val="31"/>
              </w:numPr>
              <w:tabs>
                <w:tab w:pos="736" w:val="left" w:leader="none"/>
              </w:tabs>
              <w:spacing w:line="240" w:lineRule="auto" w:before="121" w:after="0"/>
              <w:ind w:left="735" w:right="0" w:hanging="624"/>
              <w:jc w:val="left"/>
              <w:rPr>
                <w:sz w:val="21"/>
              </w:rPr>
            </w:pPr>
            <w:r>
              <w:rPr>
                <w:spacing w:val="-3"/>
                <w:sz w:val="21"/>
              </w:rPr>
              <w:t>外周血象须满足下列三项条件：</w:t>
            </w:r>
          </w:p>
          <w:p>
            <w:pPr>
              <w:pStyle w:val="TableParagraph"/>
              <w:ind w:left="742"/>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2"/>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ind w:left="742"/>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ind w:left="742"/>
              <w:rPr>
                <w:sz w:val="21"/>
              </w:rPr>
            </w:pPr>
            <w:r>
              <w:rPr>
                <w:sz w:val="21"/>
              </w:rPr>
              <w:t>③ 血小板绝对值≤20×10</w:t>
            </w:r>
            <w:r>
              <w:rPr>
                <w:position w:val="11"/>
                <w:sz w:val="11"/>
              </w:rPr>
              <w:t>9</w:t>
            </w:r>
            <w:r>
              <w:rPr>
                <w:sz w:val="21"/>
              </w:rPr>
              <w:t>/L。</w:t>
            </w:r>
          </w:p>
        </w:tc>
      </w:tr>
      <w:tr>
        <w:trPr>
          <w:trHeight w:val="2324" w:hRule="atLeast"/>
        </w:trPr>
        <w:tc>
          <w:tcPr>
            <w:tcW w:w="916" w:type="dxa"/>
          </w:tcPr>
          <w:p>
            <w:pPr>
              <w:pStyle w:val="TableParagraph"/>
              <w:spacing w:before="42"/>
              <w:ind w:left="0" w:right="101"/>
              <w:jc w:val="right"/>
              <w:rPr>
                <w:rFonts w:ascii="微软雅黑"/>
                <w:b/>
                <w:sz w:val="21"/>
              </w:rPr>
            </w:pPr>
            <w:r>
              <w:rPr>
                <w:rFonts w:ascii="微软雅黑"/>
                <w:b/>
                <w:w w:val="95"/>
                <w:sz w:val="21"/>
              </w:rPr>
              <w:t>7.1.53</w:t>
            </w:r>
          </w:p>
        </w:tc>
        <w:tc>
          <w:tcPr>
            <w:tcW w:w="1691" w:type="dxa"/>
          </w:tcPr>
          <w:p>
            <w:pPr>
              <w:pStyle w:val="TableParagraph"/>
              <w:spacing w:line="211" w:lineRule="auto" w:before="85"/>
              <w:ind w:left="99" w:right="110"/>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458" w:type="dxa"/>
          </w:tcPr>
          <w:p>
            <w:pPr>
              <w:pStyle w:val="TableParagraph"/>
              <w:spacing w:line="280" w:lineRule="auto" w:before="104"/>
              <w:ind w:right="220"/>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32"/>
              </w:numPr>
              <w:tabs>
                <w:tab w:pos="736" w:val="left" w:leader="none"/>
              </w:tabs>
              <w:spacing w:line="240" w:lineRule="auto" w:before="85" w:after="0"/>
              <w:ind w:left="735"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3"/>
                <w:w w:val="146"/>
                <w:sz w:val="21"/>
              </w:rPr>
              <w:t>B</w:t>
            </w:r>
            <w:r>
              <w:rPr>
                <w:spacing w:val="-106"/>
                <w:w w:val="100"/>
                <w:sz w:val="21"/>
              </w:rPr>
              <w:t>）；</w:t>
            </w:r>
          </w:p>
          <w:p>
            <w:pPr>
              <w:pStyle w:val="TableParagraph"/>
              <w:numPr>
                <w:ilvl w:val="0"/>
                <w:numId w:val="32"/>
              </w:numPr>
              <w:tabs>
                <w:tab w:pos="736" w:val="left" w:leader="none"/>
              </w:tabs>
              <w:spacing w:line="240" w:lineRule="auto" w:before="123" w:after="0"/>
              <w:ind w:left="735"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6"/>
              <w:ind w:left="735"/>
              <w:rPr>
                <w:sz w:val="21"/>
              </w:rPr>
            </w:pPr>
            <w:r>
              <w:rPr>
                <w:sz w:val="21"/>
              </w:rPr>
              <w:t>≥3，属于中危及以上组。</w:t>
            </w:r>
          </w:p>
        </w:tc>
      </w:tr>
      <w:tr>
        <w:trPr>
          <w:trHeight w:val="2160" w:hRule="atLeast"/>
        </w:trPr>
        <w:tc>
          <w:tcPr>
            <w:tcW w:w="916" w:type="dxa"/>
          </w:tcPr>
          <w:p>
            <w:pPr>
              <w:pStyle w:val="TableParagraph"/>
              <w:spacing w:before="41"/>
              <w:ind w:left="0" w:right="100"/>
              <w:jc w:val="right"/>
              <w:rPr>
                <w:rFonts w:ascii="微软雅黑"/>
                <w:b/>
                <w:sz w:val="21"/>
              </w:rPr>
            </w:pPr>
            <w:r>
              <w:rPr>
                <w:rFonts w:ascii="微软雅黑"/>
                <w:b/>
                <w:w w:val="95"/>
                <w:sz w:val="21"/>
              </w:rPr>
              <w:t>7.1.54</w:t>
            </w:r>
          </w:p>
        </w:tc>
        <w:tc>
          <w:tcPr>
            <w:tcW w:w="1691" w:type="dxa"/>
          </w:tcPr>
          <w:p>
            <w:pPr>
              <w:pStyle w:val="TableParagraph"/>
              <w:spacing w:before="41"/>
              <w:ind w:left="99"/>
              <w:rPr>
                <w:rFonts w:ascii="微软雅黑" w:hAnsi="微软雅黑" w:eastAsia="微软雅黑" w:hint="eastAsia"/>
                <w:b/>
                <w:sz w:val="21"/>
              </w:rPr>
            </w:pPr>
            <w:r>
              <w:rPr>
                <w:rFonts w:ascii="微软雅黑" w:hAnsi="微软雅黑" w:eastAsia="微软雅黑" w:hint="eastAsia"/>
                <w:b/>
                <w:sz w:val="21"/>
              </w:rPr>
              <w:t>严重Ⅰ型糖尿病</w:t>
            </w:r>
          </w:p>
        </w:tc>
        <w:tc>
          <w:tcPr>
            <w:tcW w:w="7458" w:type="dxa"/>
          </w:tcPr>
          <w:p>
            <w:pPr>
              <w:pStyle w:val="TableParagraph"/>
              <w:spacing w:line="278" w:lineRule="auto" w:before="103"/>
              <w:ind w:right="216"/>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3"/>
                <w:w w:val="140"/>
                <w:sz w:val="21"/>
              </w:rPr>
              <w:t> </w:t>
            </w:r>
            <w:r>
              <w:rPr>
                <w:spacing w:val="-7"/>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3"/>
              </w:numPr>
              <w:tabs>
                <w:tab w:pos="736" w:val="left" w:leader="none"/>
              </w:tabs>
              <w:spacing w:line="240" w:lineRule="auto" w:before="89" w:after="0"/>
              <w:ind w:left="735" w:right="0" w:hanging="624"/>
              <w:jc w:val="both"/>
              <w:rPr>
                <w:sz w:val="21"/>
              </w:rPr>
            </w:pPr>
            <w:r>
              <w:rPr>
                <w:spacing w:val="-3"/>
                <w:sz w:val="21"/>
              </w:rPr>
              <w:t>出现增殖性糖尿病视网膜病变；</w:t>
            </w:r>
          </w:p>
          <w:p>
            <w:pPr>
              <w:pStyle w:val="TableParagraph"/>
              <w:numPr>
                <w:ilvl w:val="0"/>
                <w:numId w:val="33"/>
              </w:numPr>
              <w:tabs>
                <w:tab w:pos="736" w:val="left" w:leader="none"/>
              </w:tabs>
              <w:spacing w:line="240" w:lineRule="auto" w:before="123" w:after="0"/>
              <w:ind w:left="735"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tc>
      </w:tr>
    </w:tbl>
    <w:p>
      <w:pPr>
        <w:spacing w:after="0" w:line="240" w:lineRule="auto"/>
        <w:jc w:val="both"/>
        <w:rPr>
          <w:sz w:val="21"/>
        </w:rPr>
        <w:sectPr>
          <w:pgSz w:w="11910" w:h="16840"/>
          <w:pgMar w:top="118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4"/>
      </w:tblGrid>
      <w:tr>
        <w:trPr>
          <w:trHeight w:val="405" w:hRule="atLeast"/>
        </w:trPr>
        <w:tc>
          <w:tcPr>
            <w:tcW w:w="916" w:type="dxa"/>
          </w:tcPr>
          <w:p>
            <w:pPr>
              <w:pStyle w:val="TableParagraph"/>
              <w:spacing w:before="0"/>
              <w:ind w:left="0"/>
              <w:rPr>
                <w:rFonts w:ascii="Times New Roman"/>
                <w:sz w:val="20"/>
              </w:rPr>
            </w:pPr>
          </w:p>
        </w:tc>
        <w:tc>
          <w:tcPr>
            <w:tcW w:w="1691" w:type="dxa"/>
          </w:tcPr>
          <w:p>
            <w:pPr>
              <w:pStyle w:val="TableParagraph"/>
              <w:spacing w:before="0"/>
              <w:ind w:left="0"/>
              <w:rPr>
                <w:rFonts w:ascii="Times New Roman"/>
                <w:sz w:val="20"/>
              </w:rPr>
            </w:pPr>
          </w:p>
        </w:tc>
        <w:tc>
          <w:tcPr>
            <w:tcW w:w="7544" w:type="dxa"/>
          </w:tcPr>
          <w:p>
            <w:pPr>
              <w:pStyle w:val="TableParagraph"/>
              <w:spacing w:line="215" w:lineRule="exact" w:before="0"/>
              <w:rPr>
                <w:sz w:val="21"/>
              </w:rPr>
            </w:pPr>
            <w:r>
              <w:rPr>
                <w:sz w:val="21"/>
              </w:rPr>
              <w:t>（3） 因糖尿病足坏疽进行足趾或者下肢截断术。</w:t>
            </w:r>
          </w:p>
        </w:tc>
      </w:tr>
      <w:tr>
        <w:trPr>
          <w:trHeight w:val="5432" w:hRule="atLeast"/>
        </w:trPr>
        <w:tc>
          <w:tcPr>
            <w:tcW w:w="916" w:type="dxa"/>
          </w:tcPr>
          <w:p>
            <w:pPr>
              <w:pStyle w:val="TableParagraph"/>
              <w:spacing w:before="42"/>
              <w:ind w:left="0" w:right="101"/>
              <w:jc w:val="right"/>
              <w:rPr>
                <w:rFonts w:ascii="微软雅黑"/>
                <w:b/>
                <w:sz w:val="21"/>
              </w:rPr>
            </w:pPr>
            <w:r>
              <w:rPr>
                <w:rFonts w:ascii="微软雅黑"/>
                <w:b/>
                <w:w w:val="95"/>
                <w:sz w:val="21"/>
              </w:rPr>
              <w:t>7.1.55</w:t>
            </w:r>
          </w:p>
        </w:tc>
        <w:tc>
          <w:tcPr>
            <w:tcW w:w="1691" w:type="dxa"/>
          </w:tcPr>
          <w:p>
            <w:pPr>
              <w:pStyle w:val="TableParagraph"/>
              <w:spacing w:line="211" w:lineRule="auto" w:before="85"/>
              <w:ind w:left="99" w:right="110"/>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44"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1"/>
              <w:ind w:right="306"/>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8"/>
              <w:ind w:right="275"/>
              <w:rPr>
                <w:sz w:val="21"/>
              </w:rPr>
            </w:pPr>
            <w:r>
              <w:rPr>
                <w:sz w:val="21"/>
              </w:rPr>
              <w:t>其他类型的红斑性狼疮，如盘状狼疮、仅累及血液及关节的狼疮不在保障范围内。</w:t>
            </w:r>
          </w:p>
          <w:p>
            <w:pPr>
              <w:pStyle w:val="TableParagraph"/>
              <w:spacing w:before="85"/>
              <w:jc w:val="both"/>
              <w:rPr>
                <w:sz w:val="21"/>
              </w:rPr>
            </w:pPr>
            <w:r>
              <w:rPr>
                <w:w w:val="110"/>
                <w:sz w:val="21"/>
              </w:rPr>
              <w:t>世界卫Th组织（WHO）狼疮性肾炎分型：</w:t>
            </w:r>
          </w:p>
          <w:p>
            <w:pPr>
              <w:pStyle w:val="TableParagraph"/>
              <w:jc w:val="both"/>
              <w:rPr>
                <w:sz w:val="21"/>
              </w:rPr>
            </w:pPr>
            <w:r>
              <w:rPr>
                <w:sz w:val="21"/>
              </w:rPr>
              <w:t>Ⅰ型：微小病变型；</w:t>
            </w:r>
          </w:p>
          <w:p>
            <w:pPr>
              <w:pStyle w:val="TableParagraph"/>
              <w:jc w:val="both"/>
              <w:rPr>
                <w:sz w:val="21"/>
              </w:rPr>
            </w:pPr>
            <w:r>
              <w:rPr>
                <w:sz w:val="21"/>
              </w:rPr>
              <w:t>Ⅱ型：系膜病变型；</w:t>
            </w:r>
          </w:p>
          <w:p>
            <w:pPr>
              <w:pStyle w:val="TableParagraph"/>
              <w:spacing w:before="121"/>
              <w:jc w:val="both"/>
              <w:rPr>
                <w:sz w:val="21"/>
              </w:rPr>
            </w:pPr>
            <w:r>
              <w:rPr>
                <w:sz w:val="21"/>
              </w:rPr>
              <w:t>Ⅲ型：局灶及节段增Th型；</w:t>
            </w:r>
          </w:p>
          <w:p>
            <w:pPr>
              <w:pStyle w:val="TableParagraph"/>
              <w:jc w:val="both"/>
              <w:rPr>
                <w:sz w:val="21"/>
              </w:rPr>
            </w:pPr>
            <w:r>
              <w:rPr>
                <w:sz w:val="21"/>
              </w:rPr>
              <w:t>Ⅳ型：弥漫增Th型；</w:t>
            </w:r>
          </w:p>
          <w:p>
            <w:pPr>
              <w:pStyle w:val="TableParagraph"/>
              <w:jc w:val="both"/>
              <w:rPr>
                <w:sz w:val="21"/>
              </w:rPr>
            </w:pPr>
            <w:r>
              <w:rPr>
                <w:sz w:val="21"/>
              </w:rPr>
              <w:t>Ⅴ型：膜型；</w:t>
            </w:r>
          </w:p>
          <w:p>
            <w:pPr>
              <w:pStyle w:val="TableParagraph"/>
              <w:jc w:val="both"/>
              <w:rPr>
                <w:sz w:val="21"/>
              </w:rPr>
            </w:pPr>
            <w:r>
              <w:rPr>
                <w:sz w:val="21"/>
              </w:rPr>
              <w:t>Ⅵ型：肾小球硬化型。</w:t>
            </w:r>
          </w:p>
        </w:tc>
      </w:tr>
      <w:tr>
        <w:trPr>
          <w:trHeight w:val="3839" w:hRule="atLeast"/>
        </w:trPr>
        <w:tc>
          <w:tcPr>
            <w:tcW w:w="916" w:type="dxa"/>
          </w:tcPr>
          <w:p>
            <w:pPr>
              <w:pStyle w:val="TableParagraph"/>
              <w:spacing w:before="42"/>
              <w:ind w:left="0" w:right="100"/>
              <w:jc w:val="right"/>
              <w:rPr>
                <w:rFonts w:ascii="微软雅黑"/>
                <w:b/>
                <w:sz w:val="21"/>
              </w:rPr>
            </w:pPr>
            <w:r>
              <w:rPr>
                <w:rFonts w:ascii="微软雅黑"/>
                <w:b/>
                <w:w w:val="95"/>
                <w:sz w:val="21"/>
              </w:rPr>
              <w:t>7.1.56</w:t>
            </w:r>
          </w:p>
        </w:tc>
        <w:tc>
          <w:tcPr>
            <w:tcW w:w="1691" w:type="dxa"/>
          </w:tcPr>
          <w:p>
            <w:pPr>
              <w:pStyle w:val="TableParagraph"/>
              <w:spacing w:line="211" w:lineRule="auto" w:before="85"/>
              <w:ind w:left="99" w:right="110"/>
              <w:rPr>
                <w:rFonts w:ascii="微软雅黑" w:eastAsia="微软雅黑" w:hint="eastAsia"/>
                <w:b/>
                <w:sz w:val="21"/>
              </w:rPr>
            </w:pPr>
            <w:r>
              <w:rPr>
                <w:rFonts w:ascii="微软雅黑" w:eastAsia="微软雅黑" w:hint="eastAsia"/>
                <w:b/>
                <w:sz w:val="21"/>
              </w:rPr>
              <w:t>严重类风湿性关节炎</w:t>
            </w:r>
          </w:p>
        </w:tc>
        <w:tc>
          <w:tcPr>
            <w:tcW w:w="7544" w:type="dxa"/>
          </w:tcPr>
          <w:p>
            <w:pPr>
              <w:pStyle w:val="TableParagraph"/>
              <w:spacing w:line="278" w:lineRule="auto" w:before="104"/>
              <w:ind w:right="198"/>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w:t>
            </w:r>
            <w:r>
              <w:rPr>
                <w:spacing w:val="-11"/>
                <w:sz w:val="21"/>
              </w:rPr>
              <w:t>关节、双腕关节、双膝关节和双髋关节</w:t>
            </w:r>
            <w:r>
              <w:rPr>
                <w:spacing w:val="-108"/>
                <w:sz w:val="21"/>
              </w:rPr>
              <w:t>）</w:t>
            </w:r>
            <w:r>
              <w:rPr>
                <w:spacing w:val="-7"/>
                <w:sz w:val="21"/>
              </w:rPr>
              <w:t>。必须明确诊断并且已经达到类风湿性</w:t>
            </w:r>
            <w:r>
              <w:rPr>
                <w:spacing w:val="-5"/>
                <w:sz w:val="21"/>
              </w:rPr>
              <w:t>关节炎功能分类Ⅳ级的永久不可逆性关节功能障碍。</w:t>
            </w:r>
          </w:p>
          <w:p>
            <w:pPr>
              <w:pStyle w:val="TableParagraph"/>
              <w:spacing w:before="87"/>
              <w:rPr>
                <w:sz w:val="21"/>
              </w:rPr>
            </w:pPr>
            <w:r>
              <w:rPr>
                <w:sz w:val="21"/>
              </w:rPr>
              <w:t>美国风湿病学会类风湿性关节炎分级：</w:t>
            </w:r>
          </w:p>
          <w:p>
            <w:pPr>
              <w:pStyle w:val="TableParagraph"/>
              <w:rPr>
                <w:sz w:val="21"/>
              </w:rPr>
            </w:pPr>
            <w:r>
              <w:rPr>
                <w:sz w:val="21"/>
              </w:rPr>
              <w:t>Ⅰ级：关节能自由活动，能完成平常的任务而无妨碍；</w:t>
            </w:r>
          </w:p>
          <w:p>
            <w:pPr>
              <w:pStyle w:val="TableParagraph"/>
              <w:rPr>
                <w:sz w:val="21"/>
              </w:rPr>
            </w:pPr>
            <w:r>
              <w:rPr>
                <w:sz w:val="21"/>
              </w:rPr>
              <w:t>Ⅱ级：关节活动中度限制，一个或者几个关节疼痛不适，但能料理日常Th活；</w:t>
            </w:r>
          </w:p>
          <w:p>
            <w:pPr>
              <w:pStyle w:val="TableParagraph"/>
              <w:rPr>
                <w:sz w:val="21"/>
              </w:rPr>
            </w:pPr>
            <w:r>
              <w:rPr>
                <w:sz w:val="21"/>
              </w:rPr>
              <w:t>Ⅲ级：关节活动显著限制，不能胜任工作，料理Th活也有困难；</w:t>
            </w:r>
          </w:p>
          <w:p>
            <w:pPr>
              <w:pStyle w:val="TableParagraph"/>
              <w:spacing w:line="280" w:lineRule="auto"/>
              <w:ind w:left="737" w:right="259" w:hanging="627"/>
              <w:rPr>
                <w:sz w:val="21"/>
              </w:rPr>
            </w:pPr>
            <w:r>
              <w:rPr>
                <w:sz w:val="21"/>
              </w:rPr>
              <w:t>Ⅳ级：大部分或者完全失去活动能力，病人长期卧床或者依赖轮椅，Th活不能自理。</w:t>
            </w:r>
          </w:p>
        </w:tc>
      </w:tr>
      <w:tr>
        <w:trPr>
          <w:trHeight w:val="1207" w:hRule="atLeast"/>
        </w:trPr>
        <w:tc>
          <w:tcPr>
            <w:tcW w:w="916" w:type="dxa"/>
          </w:tcPr>
          <w:p>
            <w:pPr>
              <w:pStyle w:val="TableParagraph"/>
              <w:spacing w:before="40"/>
              <w:ind w:left="0" w:right="101"/>
              <w:jc w:val="right"/>
              <w:rPr>
                <w:rFonts w:ascii="微软雅黑"/>
                <w:b/>
                <w:sz w:val="21"/>
              </w:rPr>
            </w:pPr>
            <w:r>
              <w:rPr>
                <w:rFonts w:ascii="微软雅黑"/>
                <w:b/>
                <w:w w:val="95"/>
                <w:sz w:val="21"/>
              </w:rPr>
              <w:t>7.1.57</w:t>
            </w:r>
          </w:p>
        </w:tc>
        <w:tc>
          <w:tcPr>
            <w:tcW w:w="1691" w:type="dxa"/>
          </w:tcPr>
          <w:p>
            <w:pPr>
              <w:pStyle w:val="TableParagraph"/>
              <w:spacing w:line="213" w:lineRule="auto" w:before="80"/>
              <w:ind w:left="99" w:right="110"/>
              <w:rPr>
                <w:rFonts w:ascii="微软雅黑" w:eastAsia="微软雅黑" w:hint="eastAsia"/>
                <w:b/>
                <w:sz w:val="21"/>
              </w:rPr>
            </w:pPr>
            <w:r>
              <w:rPr>
                <w:rFonts w:ascii="微软雅黑" w:eastAsia="微软雅黑" w:hint="eastAsia"/>
                <w:b/>
                <w:sz w:val="21"/>
              </w:rPr>
              <w:t>严重幼年型类风湿性关节炎</w:t>
            </w:r>
          </w:p>
        </w:tc>
        <w:tc>
          <w:tcPr>
            <w:tcW w:w="7544" w:type="dxa"/>
          </w:tcPr>
          <w:p>
            <w:pPr>
              <w:pStyle w:val="TableParagraph"/>
              <w:spacing w:line="280" w:lineRule="auto" w:before="103"/>
              <w:ind w:right="306"/>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3281" w:hRule="atLeast"/>
        </w:trPr>
        <w:tc>
          <w:tcPr>
            <w:tcW w:w="916" w:type="dxa"/>
          </w:tcPr>
          <w:p>
            <w:pPr>
              <w:pStyle w:val="TableParagraph"/>
              <w:spacing w:before="40"/>
              <w:ind w:left="0" w:right="98"/>
              <w:jc w:val="right"/>
              <w:rPr>
                <w:rFonts w:ascii="微软雅黑"/>
                <w:b/>
                <w:sz w:val="21"/>
              </w:rPr>
            </w:pPr>
            <w:r>
              <w:rPr>
                <w:rFonts w:ascii="微软雅黑"/>
                <w:b/>
                <w:w w:val="95"/>
                <w:sz w:val="21"/>
              </w:rPr>
              <w:t>7.1.58</w:t>
            </w:r>
          </w:p>
        </w:tc>
        <w:tc>
          <w:tcPr>
            <w:tcW w:w="1691" w:type="dxa"/>
          </w:tcPr>
          <w:p>
            <w:pPr>
              <w:pStyle w:val="TableParagraph"/>
              <w:spacing w:line="213" w:lineRule="auto" w:before="80"/>
              <w:ind w:left="99"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20" w:lineRule="exact" w:before="0"/>
              <w:ind w:left="99"/>
              <w:rPr>
                <w:rFonts w:ascii="微软雅黑" w:eastAsia="微软雅黑" w:hint="eastAsia"/>
                <w:b/>
                <w:sz w:val="21"/>
              </w:rPr>
            </w:pPr>
            <w:r>
              <w:rPr>
                <w:rFonts w:ascii="微软雅黑" w:eastAsia="微软雅黑" w:hint="eastAsia"/>
                <w:b/>
                <w:w w:val="95"/>
                <w:sz w:val="21"/>
              </w:rPr>
              <w:t>（HIV）感染</w:t>
            </w:r>
          </w:p>
        </w:tc>
        <w:tc>
          <w:tcPr>
            <w:tcW w:w="7544" w:type="dxa"/>
          </w:tcPr>
          <w:p>
            <w:pPr>
              <w:pStyle w:val="TableParagraph"/>
              <w:spacing w:line="280" w:lineRule="auto" w:before="103"/>
              <w:ind w:right="309"/>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3"/>
                <w:sz w:val="21"/>
              </w:rPr>
              <w:t> </w:t>
            </w:r>
            <w:r>
              <w:rPr>
                <w:spacing w:val="-2"/>
                <w:w w:val="100"/>
                <w:sz w:val="21"/>
              </w:rPr>
              <w:t>感染分类及</w:t>
            </w:r>
            <w:r>
              <w:rPr>
                <w:spacing w:val="-53"/>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4"/>
              </w:numPr>
              <w:tabs>
                <w:tab w:pos="736" w:val="left" w:leader="none"/>
              </w:tabs>
              <w:spacing w:line="280" w:lineRule="auto" w:before="86" w:after="0"/>
              <w:ind w:left="735" w:right="310"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4"/>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ind w:right="306"/>
              <w:jc w:val="both"/>
              <w:rPr>
                <w:sz w:val="21"/>
              </w:rPr>
            </w:pPr>
            <w:r>
              <w:rPr>
                <w:spacing w:val="-5"/>
                <w:w w:val="100"/>
                <w:sz w:val="21"/>
              </w:rPr>
              <w:t>在任何治愈艾滋病</w:t>
            </w:r>
            <w:r>
              <w:rPr>
                <w:spacing w:val="-1"/>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before="88"/>
              <w:jc w:val="both"/>
              <w:rPr>
                <w:sz w:val="21"/>
              </w:rPr>
            </w:pPr>
            <w:r>
              <w:rPr>
                <w:spacing w:val="-8"/>
                <w:w w:val="100"/>
                <w:sz w:val="21"/>
              </w:rPr>
              <w:t>任何因其他传播方式</w:t>
            </w:r>
            <w:r>
              <w:rPr>
                <w:w w:val="100"/>
                <w:sz w:val="21"/>
              </w:rPr>
              <w:t>（</w:t>
            </w:r>
            <w:r>
              <w:rPr>
                <w:spacing w:val="-8"/>
                <w:w w:val="100"/>
                <w:sz w:val="21"/>
              </w:rPr>
              <w:t>包括：性传播或者静脉注射毒品</w:t>
            </w:r>
            <w:r>
              <w:rPr>
                <w:spacing w:val="-41"/>
                <w:w w:val="100"/>
                <w:sz w:val="21"/>
              </w:rPr>
              <w:t>）</w:t>
            </w:r>
            <w:r>
              <w:rPr>
                <w:spacing w:val="-2"/>
                <w:w w:val="100"/>
                <w:sz w:val="21"/>
              </w:rPr>
              <w:t>导致的</w:t>
            </w:r>
            <w:r>
              <w:rPr>
                <w:spacing w:val="-55"/>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p>
        </w:tc>
      </w:tr>
    </w:tbl>
    <w:p>
      <w:pPr>
        <w:spacing w:after="0"/>
        <w:jc w:val="both"/>
        <w:rPr>
          <w:sz w:val="21"/>
        </w:rPr>
        <w:sectPr>
          <w:pgSz w:w="11910" w:h="16840"/>
          <w:pgMar w:top="12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728" w:hRule="atLeast"/>
        </w:trPr>
        <w:tc>
          <w:tcPr>
            <w:tcW w:w="915" w:type="dxa"/>
          </w:tcPr>
          <w:p>
            <w:pPr>
              <w:pStyle w:val="TableParagraph"/>
              <w:spacing w:before="0"/>
              <w:ind w:left="0"/>
              <w:rPr>
                <w:rFonts w:ascii="Times New Roman"/>
                <w:sz w:val="20"/>
              </w:rPr>
            </w:pPr>
          </w:p>
        </w:tc>
        <w:tc>
          <w:tcPr>
            <w:tcW w:w="1691" w:type="dxa"/>
          </w:tcPr>
          <w:p>
            <w:pPr>
              <w:pStyle w:val="TableParagraph"/>
              <w:spacing w:before="0"/>
              <w:ind w:left="0"/>
              <w:rPr>
                <w:rFonts w:ascii="Times New Roman"/>
                <w:sz w:val="20"/>
              </w:rPr>
            </w:pPr>
          </w:p>
        </w:tc>
        <w:tc>
          <w:tcPr>
            <w:tcW w:w="7455" w:type="dxa"/>
          </w:tcPr>
          <w:p>
            <w:pPr>
              <w:pStyle w:val="TableParagraph"/>
              <w:spacing w:line="218" w:lineRule="exact" w:before="0"/>
              <w:ind w:left="112"/>
              <w:rPr>
                <w:sz w:val="21"/>
              </w:rPr>
            </w:pPr>
            <w:r>
              <w:rPr>
                <w:sz w:val="21"/>
              </w:rPr>
              <w:t>保障范围内。我们拥有获得使用被保险人的所有血液样本的权利和能够对这些</w:t>
            </w:r>
          </w:p>
          <w:p>
            <w:pPr>
              <w:pStyle w:val="TableParagraph"/>
              <w:spacing w:before="46"/>
              <w:ind w:left="112"/>
              <w:rPr>
                <w:sz w:val="21"/>
              </w:rPr>
            </w:pPr>
            <w:r>
              <w:rPr>
                <w:sz w:val="21"/>
              </w:rPr>
              <w:t>样本进行独立检验的权利。</w:t>
            </w:r>
          </w:p>
        </w:tc>
      </w:tr>
      <w:tr>
        <w:trPr>
          <w:trHeight w:val="7030" w:hRule="atLeast"/>
        </w:trPr>
        <w:tc>
          <w:tcPr>
            <w:tcW w:w="915" w:type="dxa"/>
          </w:tcPr>
          <w:p>
            <w:pPr>
              <w:pStyle w:val="TableParagraph"/>
              <w:spacing w:before="41"/>
              <w:ind w:left="0" w:right="99"/>
              <w:jc w:val="right"/>
              <w:rPr>
                <w:rFonts w:ascii="微软雅黑"/>
                <w:b/>
                <w:sz w:val="21"/>
              </w:rPr>
            </w:pPr>
            <w:r>
              <w:rPr>
                <w:rFonts w:ascii="微软雅黑"/>
                <w:b/>
                <w:w w:val="95"/>
                <w:sz w:val="21"/>
              </w:rPr>
              <w:t>7.1.59</w:t>
            </w:r>
          </w:p>
        </w:tc>
        <w:tc>
          <w:tcPr>
            <w:tcW w:w="1691" w:type="dxa"/>
          </w:tcPr>
          <w:p>
            <w:pPr>
              <w:pStyle w:val="TableParagraph"/>
              <w:spacing w:line="211" w:lineRule="auto" w:before="84"/>
              <w:ind w:left="100" w:right="109"/>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55" w:type="dxa"/>
          </w:tcPr>
          <w:p>
            <w:pPr>
              <w:pStyle w:val="TableParagraph"/>
              <w:spacing w:line="278" w:lineRule="auto" w:before="103"/>
              <w:ind w:left="112" w:right="214"/>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spacing w:val="-1"/>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8"/>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8"/>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5"/>
              </w:numPr>
              <w:tabs>
                <w:tab w:pos="737" w:val="left" w:leader="none"/>
              </w:tabs>
              <w:spacing w:line="240" w:lineRule="auto" w:before="89" w:after="0"/>
              <w:ind w:left="736" w:right="0" w:hanging="624"/>
              <w:jc w:val="left"/>
              <w:rPr>
                <w:sz w:val="21"/>
              </w:rPr>
            </w:pPr>
            <w:r>
              <w:rPr>
                <w:spacing w:val="-3"/>
                <w:sz w:val="21"/>
              </w:rPr>
              <w:t>感染必须在被保险人正在从事其职业工作中发</w:t>
            </w:r>
            <w:r>
              <w:rPr>
                <w:sz w:val="21"/>
              </w:rPr>
              <w:t>Th；</w:t>
            </w:r>
          </w:p>
          <w:p>
            <w:pPr>
              <w:pStyle w:val="TableParagraph"/>
              <w:numPr>
                <w:ilvl w:val="0"/>
                <w:numId w:val="35"/>
              </w:numPr>
              <w:tabs>
                <w:tab w:pos="737" w:val="left" w:leader="none"/>
              </w:tabs>
              <w:spacing w:line="278" w:lineRule="auto" w:before="123" w:after="0"/>
              <w:ind w:left="736" w:right="216"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5"/>
              </w:numPr>
              <w:tabs>
                <w:tab w:pos="737" w:val="left" w:leader="none"/>
              </w:tabs>
              <w:spacing w:line="280" w:lineRule="auto" w:before="90" w:after="0"/>
              <w:ind w:left="736" w:right="216" w:hanging="624"/>
              <w:jc w:val="left"/>
              <w:rPr>
                <w:sz w:val="21"/>
              </w:rPr>
            </w:pPr>
            <w:r>
              <w:rPr>
                <w:spacing w:val="-2"/>
                <w:sz w:val="21"/>
              </w:rPr>
              <w:t>必须在事故发</w:t>
            </w:r>
            <w:r>
              <w:rPr>
                <w:sz w:val="21"/>
              </w:rPr>
              <w:t>Th</w:t>
            </w:r>
            <w:r>
              <w:rPr>
                <w:spacing w:val="15"/>
                <w:sz w:val="21"/>
              </w:rPr>
              <w:t>后的</w:t>
            </w:r>
            <w:r>
              <w:rPr>
                <w:sz w:val="21"/>
              </w:rPr>
              <w:t>6</w:t>
            </w:r>
            <w:r>
              <w:rPr>
                <w:spacing w:val="-2"/>
                <w:sz w:val="21"/>
              </w:rPr>
              <w:t> 个月内证实被保险人体内存在</w:t>
            </w:r>
            <w:r>
              <w:rPr>
                <w:sz w:val="21"/>
              </w:rPr>
              <w:t>HIV</w:t>
            </w:r>
            <w:r>
              <w:rPr>
                <w:spacing w:val="2"/>
                <w:sz w:val="21"/>
              </w:rPr>
              <w:t> 病毒或者</w:t>
            </w:r>
            <w:r>
              <w:rPr>
                <w:sz w:val="21"/>
              </w:rPr>
              <w:t>HIV 抗体。</w:t>
            </w:r>
          </w:p>
          <w:p>
            <w:pPr>
              <w:pStyle w:val="TableParagraph"/>
              <w:spacing w:before="85"/>
              <w:ind w:left="112"/>
              <w:jc w:val="both"/>
              <w:rPr>
                <w:sz w:val="21"/>
              </w:rPr>
            </w:pPr>
            <w:r>
              <w:rPr>
                <w:sz w:val="21"/>
              </w:rPr>
              <w:t>职业列表：</w:t>
            </w:r>
          </w:p>
          <w:p>
            <w:pPr>
              <w:pStyle w:val="TableParagraph"/>
              <w:tabs>
                <w:tab w:pos="3155" w:val="left" w:leader="none"/>
              </w:tabs>
              <w:ind w:left="112"/>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5" w:val="left" w:leader="none"/>
              </w:tabs>
              <w:spacing w:before="122"/>
              <w:ind w:left="112"/>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5" w:val="left" w:leader="none"/>
              </w:tabs>
              <w:spacing w:before="120"/>
              <w:ind w:left="112"/>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ind w:left="112" w:right="216"/>
              <w:jc w:val="both"/>
              <w:rPr>
                <w:sz w:val="21"/>
              </w:rPr>
            </w:pPr>
            <w:r>
              <w:rPr>
                <w:spacing w:val="-5"/>
                <w:w w:val="100"/>
                <w:sz w:val="21"/>
              </w:rPr>
              <w:t>在任何治愈艾滋病</w:t>
            </w:r>
            <w:r>
              <w:rPr>
                <w:spacing w:val="-1"/>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7"/>
              <w:ind w:left="112" w:right="216"/>
              <w:jc w:val="both"/>
              <w:rPr>
                <w:sz w:val="21"/>
              </w:rPr>
            </w:pPr>
            <w:r>
              <w:rPr>
                <w:spacing w:val="-7"/>
                <w:w w:val="100"/>
                <w:sz w:val="21"/>
              </w:rPr>
              <w:t>任何因其他传播方式</w:t>
            </w:r>
            <w:r>
              <w:rPr>
                <w:w w:val="100"/>
                <w:sz w:val="21"/>
              </w:rPr>
              <w:t>（</w:t>
            </w:r>
            <w:r>
              <w:rPr>
                <w:spacing w:val="-9"/>
                <w:w w:val="100"/>
                <w:sz w:val="21"/>
              </w:rPr>
              <w:t>包括：输血、性传播或者静脉注射毒品</w:t>
            </w:r>
            <w:r>
              <w:rPr>
                <w:spacing w:val="-29"/>
                <w:w w:val="100"/>
                <w:sz w:val="21"/>
              </w:rPr>
              <w:t>）</w:t>
            </w:r>
            <w:r>
              <w:rPr>
                <w:spacing w:val="-2"/>
                <w:w w:val="100"/>
                <w:sz w:val="21"/>
              </w:rPr>
              <w:t>导致的</w:t>
            </w:r>
            <w:r>
              <w:rPr>
                <w:spacing w:val="-55"/>
                <w:sz w:val="21"/>
              </w:rPr>
              <w:t> </w:t>
            </w:r>
            <w:r>
              <w:rPr>
                <w:w w:val="170"/>
                <w:sz w:val="21"/>
              </w:rPr>
              <w:t>H</w:t>
            </w:r>
            <w:r>
              <w:rPr>
                <w:spacing w:val="-3"/>
                <w:w w:val="62"/>
                <w:sz w:val="21"/>
              </w:rPr>
              <w:t>I</w:t>
            </w:r>
            <w:r>
              <w:rPr>
                <w:w w:val="159"/>
                <w:sz w:val="21"/>
              </w:rPr>
              <w:t>V</w:t>
            </w:r>
            <w:r>
              <w:rPr>
                <w:spacing w:val="-54"/>
                <w:sz w:val="21"/>
              </w:rPr>
              <w:t> </w:t>
            </w:r>
            <w:r>
              <w:rPr>
                <w:w w:val="100"/>
                <w:sz w:val="21"/>
              </w:rPr>
              <w:t>感</w:t>
            </w:r>
            <w:r>
              <w:rPr>
                <w:spacing w:val="-5"/>
                <w:sz w:val="21"/>
              </w:rPr>
              <w:t>染不在保障范围内。我们拥有获得使用被保险人的所有血液样本的权利和能够</w:t>
            </w:r>
            <w:r>
              <w:rPr>
                <w:spacing w:val="-4"/>
                <w:sz w:val="21"/>
              </w:rPr>
              <w:t>对这些样本进行独立检验的权利。</w:t>
            </w:r>
          </w:p>
        </w:tc>
      </w:tr>
      <w:tr>
        <w:trPr>
          <w:trHeight w:val="3675" w:hRule="atLeast"/>
        </w:trPr>
        <w:tc>
          <w:tcPr>
            <w:tcW w:w="915" w:type="dxa"/>
          </w:tcPr>
          <w:p>
            <w:pPr>
              <w:pStyle w:val="TableParagraph"/>
              <w:spacing w:before="41"/>
              <w:ind w:left="0" w:right="100"/>
              <w:jc w:val="right"/>
              <w:rPr>
                <w:rFonts w:ascii="微软雅黑"/>
                <w:b/>
                <w:sz w:val="21"/>
              </w:rPr>
            </w:pPr>
            <w:r>
              <w:rPr>
                <w:rFonts w:ascii="微软雅黑"/>
                <w:b/>
                <w:w w:val="95"/>
                <w:sz w:val="21"/>
              </w:rPr>
              <w:t>7.1.60</w:t>
            </w:r>
          </w:p>
        </w:tc>
        <w:tc>
          <w:tcPr>
            <w:tcW w:w="1691" w:type="dxa"/>
          </w:tcPr>
          <w:p>
            <w:pPr>
              <w:pStyle w:val="TableParagraph"/>
              <w:spacing w:line="213" w:lineRule="auto" w:before="80"/>
              <w:ind w:left="100" w:right="109"/>
              <w:rPr>
                <w:rFonts w:ascii="微软雅黑" w:eastAsia="微软雅黑" w:hint="eastAsia"/>
                <w:b/>
                <w:sz w:val="21"/>
              </w:rPr>
            </w:pPr>
            <w:r>
              <w:rPr>
                <w:rFonts w:ascii="微软雅黑" w:eastAsia="微软雅黑" w:hint="eastAsia"/>
                <w:b/>
                <w:sz w:val="21"/>
              </w:rPr>
              <w:t>严重系统性硬皮病</w:t>
            </w:r>
          </w:p>
        </w:tc>
        <w:tc>
          <w:tcPr>
            <w:tcW w:w="7455" w:type="dxa"/>
          </w:tcPr>
          <w:p>
            <w:pPr>
              <w:pStyle w:val="TableParagraph"/>
              <w:spacing w:line="280" w:lineRule="auto" w:before="103"/>
              <w:ind w:left="112"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6"/>
              </w:numPr>
              <w:tabs>
                <w:tab w:pos="737" w:val="left" w:leader="none"/>
              </w:tabs>
              <w:spacing w:line="240" w:lineRule="auto" w:before="85" w:after="0"/>
              <w:ind w:left="736" w:right="0" w:hanging="624"/>
              <w:jc w:val="left"/>
              <w:rPr>
                <w:sz w:val="21"/>
              </w:rPr>
            </w:pPr>
            <w:r>
              <w:rPr>
                <w:spacing w:val="-3"/>
                <w:sz w:val="21"/>
              </w:rPr>
              <w:t>肺脏：肺部病变进而发展为肺间质纤维化和肺动脉高压；</w:t>
            </w:r>
          </w:p>
          <w:p>
            <w:pPr>
              <w:pStyle w:val="TableParagraph"/>
              <w:numPr>
                <w:ilvl w:val="0"/>
                <w:numId w:val="36"/>
              </w:numPr>
              <w:tabs>
                <w:tab w:pos="737" w:val="left" w:leader="none"/>
              </w:tabs>
              <w:spacing w:line="240" w:lineRule="auto" w:before="123" w:after="0"/>
              <w:ind w:left="736" w:right="0" w:hanging="624"/>
              <w:jc w:val="left"/>
              <w:rPr>
                <w:sz w:val="21"/>
              </w:rPr>
            </w:pPr>
            <w:r>
              <w:rPr>
                <w:spacing w:val="-3"/>
                <w:sz w:val="21"/>
              </w:rPr>
              <w:t>心脏：心功能受损达到美国纽约心脏病学会心功能状态分级Ⅳ级；</w:t>
            </w:r>
          </w:p>
          <w:p>
            <w:pPr>
              <w:pStyle w:val="TableParagraph"/>
              <w:numPr>
                <w:ilvl w:val="0"/>
                <w:numId w:val="36"/>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ind w:left="112"/>
              <w:rPr>
                <w:sz w:val="21"/>
              </w:rPr>
            </w:pPr>
            <w:r>
              <w:rPr>
                <w:sz w:val="21"/>
              </w:rPr>
              <w:t>下列疾病不在保障范围内：</w:t>
            </w:r>
          </w:p>
          <w:p>
            <w:pPr>
              <w:pStyle w:val="TableParagraph"/>
              <w:numPr>
                <w:ilvl w:val="0"/>
                <w:numId w:val="37"/>
              </w:numPr>
              <w:tabs>
                <w:tab w:pos="737" w:val="left" w:leader="none"/>
              </w:tabs>
              <w:spacing w:line="240" w:lineRule="auto" w:before="123" w:after="0"/>
              <w:ind w:left="736" w:right="0" w:hanging="624"/>
              <w:jc w:val="left"/>
              <w:rPr>
                <w:sz w:val="21"/>
              </w:rPr>
            </w:pPr>
            <w:r>
              <w:rPr>
                <w:spacing w:val="-2"/>
                <w:sz w:val="21"/>
              </w:rPr>
              <w:t>局限硬皮病；</w:t>
            </w:r>
          </w:p>
          <w:p>
            <w:pPr>
              <w:pStyle w:val="TableParagraph"/>
              <w:numPr>
                <w:ilvl w:val="0"/>
                <w:numId w:val="37"/>
              </w:numPr>
              <w:tabs>
                <w:tab w:pos="737" w:val="left" w:leader="none"/>
              </w:tabs>
              <w:spacing w:line="240" w:lineRule="auto" w:before="121" w:after="0"/>
              <w:ind w:left="736" w:right="0" w:hanging="624"/>
              <w:jc w:val="left"/>
              <w:rPr>
                <w:sz w:val="21"/>
              </w:rPr>
            </w:pPr>
            <w:r>
              <w:rPr>
                <w:spacing w:val="-3"/>
                <w:sz w:val="21"/>
              </w:rPr>
              <w:t>嗜酸细胞筋膜炎；</w:t>
            </w:r>
          </w:p>
          <w:p>
            <w:pPr>
              <w:pStyle w:val="TableParagraph"/>
              <w:numPr>
                <w:ilvl w:val="0"/>
                <w:numId w:val="37"/>
              </w:numPr>
              <w:tabs>
                <w:tab w:pos="737" w:val="left" w:leader="none"/>
              </w:tabs>
              <w:spacing w:line="240" w:lineRule="auto" w:before="123"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80" w:hRule="atLeast"/>
        </w:trPr>
        <w:tc>
          <w:tcPr>
            <w:tcW w:w="915" w:type="dxa"/>
          </w:tcPr>
          <w:p>
            <w:pPr>
              <w:pStyle w:val="TableParagraph"/>
              <w:spacing w:before="39"/>
              <w:ind w:left="0" w:right="126"/>
              <w:jc w:val="right"/>
              <w:rPr>
                <w:rFonts w:ascii="微软雅黑"/>
                <w:b/>
                <w:sz w:val="21"/>
              </w:rPr>
            </w:pPr>
            <w:r>
              <w:rPr>
                <w:rFonts w:ascii="微软雅黑"/>
                <w:b/>
                <w:w w:val="90"/>
                <w:sz w:val="21"/>
              </w:rPr>
              <w:t>7.1.61</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2"/>
              <w:ind w:left="112"/>
              <w:rPr>
                <w:sz w:val="21"/>
              </w:rPr>
            </w:pPr>
            <w:r>
              <w:rPr>
                <w:sz w:val="21"/>
              </w:rPr>
              <w:t>坏死性筋膜炎的诊断须满足下列全部条件：</w:t>
            </w:r>
          </w:p>
          <w:p>
            <w:pPr>
              <w:pStyle w:val="TableParagraph"/>
              <w:numPr>
                <w:ilvl w:val="0"/>
                <w:numId w:val="38"/>
              </w:numPr>
              <w:tabs>
                <w:tab w:pos="737" w:val="left" w:leader="none"/>
              </w:tabs>
              <w:spacing w:line="240" w:lineRule="auto" w:before="124" w:after="0"/>
              <w:ind w:left="736" w:right="0" w:hanging="624"/>
              <w:jc w:val="left"/>
              <w:rPr>
                <w:sz w:val="21"/>
              </w:rPr>
            </w:pPr>
            <w:r>
              <w:rPr>
                <w:spacing w:val="-3"/>
                <w:sz w:val="21"/>
              </w:rPr>
              <w:t>符合坏死性筋膜炎的一般临床表现；</w:t>
            </w:r>
          </w:p>
          <w:p>
            <w:pPr>
              <w:pStyle w:val="TableParagraph"/>
              <w:numPr>
                <w:ilvl w:val="0"/>
                <w:numId w:val="38"/>
              </w:numPr>
              <w:tabs>
                <w:tab w:pos="737" w:val="left" w:leader="none"/>
              </w:tabs>
              <w:spacing w:line="240" w:lineRule="auto" w:before="123" w:after="0"/>
              <w:ind w:left="736" w:right="0" w:hanging="624"/>
              <w:jc w:val="left"/>
              <w:rPr>
                <w:sz w:val="21"/>
              </w:rPr>
            </w:pPr>
            <w:r>
              <w:rPr>
                <w:spacing w:val="-3"/>
                <w:sz w:val="21"/>
              </w:rPr>
              <w:t>细菌培养检出致病菌；</w:t>
            </w:r>
          </w:p>
          <w:p>
            <w:pPr>
              <w:pStyle w:val="TableParagraph"/>
              <w:numPr>
                <w:ilvl w:val="0"/>
                <w:numId w:val="38"/>
              </w:numPr>
              <w:tabs>
                <w:tab w:pos="737" w:val="left" w:leader="none"/>
              </w:tabs>
              <w:spacing w:line="280" w:lineRule="auto" w:before="120" w:after="0"/>
              <w:ind w:left="736" w:right="214"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725" w:hRule="atLeast"/>
        </w:trPr>
        <w:tc>
          <w:tcPr>
            <w:tcW w:w="915" w:type="dxa"/>
          </w:tcPr>
          <w:p>
            <w:pPr>
              <w:pStyle w:val="TableParagraph"/>
              <w:spacing w:before="40"/>
              <w:ind w:left="0" w:right="101"/>
              <w:jc w:val="right"/>
              <w:rPr>
                <w:rFonts w:ascii="微软雅黑"/>
                <w:b/>
                <w:sz w:val="21"/>
              </w:rPr>
            </w:pPr>
            <w:r>
              <w:rPr>
                <w:rFonts w:ascii="微软雅黑"/>
                <w:b/>
                <w:w w:val="95"/>
                <w:sz w:val="21"/>
              </w:rPr>
              <w:t>7.1.62</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ind w:left="112"/>
              <w:rPr>
                <w:sz w:val="21"/>
              </w:rPr>
            </w:pPr>
            <w:r>
              <w:rPr>
                <w:sz w:val="21"/>
              </w:rPr>
              <w:t>指因疾病或者意外伤害导致两个或者两个以上肢体自腕关节或者踝关节近端</w:t>
            </w:r>
          </w:p>
          <w:p>
            <w:pPr>
              <w:pStyle w:val="TableParagraph"/>
              <w:spacing w:before="46"/>
              <w:ind w:left="112"/>
              <w:rPr>
                <w:sz w:val="21"/>
              </w:rPr>
            </w:pPr>
            <w:r>
              <w:rPr>
                <w:sz w:val="21"/>
              </w:rPr>
              <w:t>（靠近躯干端）以上完全性断离。</w:t>
            </w:r>
          </w:p>
        </w:tc>
      </w:tr>
    </w:tbl>
    <w:p>
      <w:pPr>
        <w:spacing w:after="0"/>
        <w:rPr>
          <w:sz w:val="21"/>
        </w:rPr>
        <w:sectPr>
          <w:pgSz w:w="11910" w:h="16840"/>
          <w:pgMar w:top="118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6"/>
      </w:tblGrid>
      <w:tr>
        <w:trPr>
          <w:trHeight w:val="1446" w:hRule="atLeast"/>
        </w:trPr>
        <w:tc>
          <w:tcPr>
            <w:tcW w:w="916" w:type="dxa"/>
          </w:tcPr>
          <w:p>
            <w:pPr>
              <w:pStyle w:val="TableParagraph"/>
              <w:spacing w:line="241" w:lineRule="exact" w:before="0"/>
              <w:ind w:left="0" w:right="101"/>
              <w:jc w:val="right"/>
              <w:rPr>
                <w:rFonts w:ascii="微软雅黑"/>
                <w:b/>
                <w:sz w:val="21"/>
              </w:rPr>
            </w:pPr>
            <w:r>
              <w:rPr>
                <w:rFonts w:ascii="微软雅黑"/>
                <w:b/>
                <w:w w:val="95"/>
                <w:sz w:val="21"/>
              </w:rPr>
              <w:t>7.1.63</w:t>
            </w:r>
          </w:p>
        </w:tc>
        <w:tc>
          <w:tcPr>
            <w:tcW w:w="1691" w:type="dxa"/>
          </w:tcPr>
          <w:p>
            <w:pPr>
              <w:pStyle w:val="TableParagraph"/>
              <w:spacing w:line="241" w:lineRule="exact" w:before="0"/>
              <w:ind w:left="99"/>
              <w:rPr>
                <w:rFonts w:ascii="微软雅黑" w:eastAsia="微软雅黑" w:hint="eastAsia"/>
                <w:b/>
                <w:sz w:val="21"/>
              </w:rPr>
            </w:pPr>
            <w:r>
              <w:rPr>
                <w:rFonts w:ascii="微软雅黑" w:eastAsia="微软雅黑" w:hint="eastAsia"/>
                <w:b/>
                <w:sz w:val="21"/>
              </w:rPr>
              <w:t>双耳失聪</w:t>
            </w:r>
          </w:p>
        </w:tc>
        <w:tc>
          <w:tcPr>
            <w:tcW w:w="7456" w:type="dxa"/>
          </w:tcPr>
          <w:p>
            <w:pPr>
              <w:pStyle w:val="TableParagraph"/>
              <w:spacing w:line="215" w:lineRule="exact" w:before="0"/>
              <w:rPr>
                <w:sz w:val="21"/>
              </w:rPr>
            </w:pPr>
            <w:r>
              <w:rPr>
                <w:sz w:val="21"/>
              </w:rPr>
              <w:t>指因疾病或者意外伤害导致双耳听力永久不可逆性丧失，在 500 赫兹、1000</w:t>
            </w:r>
          </w:p>
          <w:p>
            <w:pPr>
              <w:pStyle w:val="TableParagraph"/>
              <w:spacing w:line="280" w:lineRule="auto" w:before="46"/>
              <w:ind w:right="221"/>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4"/>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916" w:type="dxa"/>
          </w:tcPr>
          <w:p>
            <w:pPr>
              <w:pStyle w:val="TableParagraph"/>
              <w:spacing w:before="39"/>
              <w:ind w:left="0" w:right="100"/>
              <w:jc w:val="right"/>
              <w:rPr>
                <w:rFonts w:ascii="微软雅黑"/>
                <w:b/>
                <w:sz w:val="21"/>
              </w:rPr>
            </w:pPr>
            <w:r>
              <w:rPr>
                <w:rFonts w:ascii="微软雅黑"/>
                <w:b/>
                <w:w w:val="95"/>
                <w:sz w:val="21"/>
              </w:rPr>
              <w:t>7.1.64</w:t>
            </w:r>
          </w:p>
        </w:tc>
        <w:tc>
          <w:tcPr>
            <w:tcW w:w="1691" w:type="dxa"/>
          </w:tcPr>
          <w:p>
            <w:pPr>
              <w:pStyle w:val="TableParagraph"/>
              <w:spacing w:before="39"/>
              <w:ind w:left="99"/>
              <w:rPr>
                <w:rFonts w:ascii="微软雅黑" w:eastAsia="微软雅黑" w:hint="eastAsia"/>
                <w:b/>
                <w:sz w:val="21"/>
              </w:rPr>
            </w:pPr>
            <w:r>
              <w:rPr>
                <w:rFonts w:ascii="微软雅黑" w:eastAsia="微软雅黑" w:hint="eastAsia"/>
                <w:b/>
                <w:sz w:val="21"/>
              </w:rPr>
              <w:t>双目失明</w:t>
            </w:r>
          </w:p>
        </w:tc>
        <w:tc>
          <w:tcPr>
            <w:tcW w:w="7456" w:type="dxa"/>
          </w:tcPr>
          <w:p>
            <w:pPr>
              <w:pStyle w:val="TableParagraph"/>
              <w:spacing w:line="278" w:lineRule="auto" w:before="102"/>
              <w:ind w:right="171"/>
              <w:rPr>
                <w:sz w:val="21"/>
              </w:rPr>
            </w:pPr>
            <w:r>
              <w:rPr>
                <w:sz w:val="21"/>
              </w:rPr>
              <w:t>指因疾病或者意外伤害导致双眼视力永久不可逆性丧失，双眼中较好眼须满足下列至少一项条件：</w:t>
            </w:r>
          </w:p>
          <w:p>
            <w:pPr>
              <w:pStyle w:val="TableParagraph"/>
              <w:numPr>
                <w:ilvl w:val="0"/>
                <w:numId w:val="39"/>
              </w:numPr>
              <w:tabs>
                <w:tab w:pos="736" w:val="left" w:leader="none"/>
              </w:tabs>
              <w:spacing w:line="240" w:lineRule="auto" w:before="89" w:after="0"/>
              <w:ind w:left="735" w:right="0" w:hanging="624"/>
              <w:jc w:val="left"/>
              <w:rPr>
                <w:sz w:val="21"/>
              </w:rPr>
            </w:pPr>
            <w:r>
              <w:rPr>
                <w:spacing w:val="-3"/>
                <w:sz w:val="21"/>
              </w:rPr>
              <w:t>眼球缺失或者摘除；</w:t>
            </w:r>
          </w:p>
          <w:p>
            <w:pPr>
              <w:pStyle w:val="TableParagraph"/>
              <w:numPr>
                <w:ilvl w:val="0"/>
                <w:numId w:val="39"/>
              </w:numPr>
              <w:tabs>
                <w:tab w:pos="736" w:val="left" w:leader="none"/>
              </w:tabs>
              <w:spacing w:line="278" w:lineRule="auto" w:before="123" w:after="0"/>
              <w:ind w:left="735" w:right="218"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9"/>
              </w:numPr>
              <w:tabs>
                <w:tab w:pos="736" w:val="left" w:leader="none"/>
              </w:tabs>
              <w:spacing w:line="240" w:lineRule="auto" w:before="90" w:after="0"/>
              <w:ind w:left="735"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rPr>
                <w:sz w:val="21"/>
              </w:rPr>
            </w:pPr>
            <w:r>
              <w:rPr>
                <w:sz w:val="21"/>
              </w:rPr>
              <w:t>被保险人在 </w:t>
            </w:r>
            <w:r>
              <w:rPr>
                <w:w w:val="115"/>
                <w:sz w:val="21"/>
              </w:rPr>
              <w:t>3 </w:t>
            </w:r>
            <w:r>
              <w:rPr>
                <w:sz w:val="21"/>
              </w:rPr>
              <w:t>周岁之前因疾病导致双目失明不在保障范围内。</w:t>
            </w:r>
          </w:p>
        </w:tc>
      </w:tr>
      <w:tr>
        <w:trPr>
          <w:trHeight w:val="3198" w:hRule="atLeast"/>
        </w:trPr>
        <w:tc>
          <w:tcPr>
            <w:tcW w:w="916" w:type="dxa"/>
          </w:tcPr>
          <w:p>
            <w:pPr>
              <w:pStyle w:val="TableParagraph"/>
              <w:spacing w:before="39"/>
              <w:ind w:left="0" w:right="101"/>
              <w:jc w:val="right"/>
              <w:rPr>
                <w:rFonts w:ascii="微软雅黑"/>
                <w:b/>
                <w:sz w:val="21"/>
              </w:rPr>
            </w:pPr>
            <w:r>
              <w:rPr>
                <w:rFonts w:ascii="微软雅黑"/>
                <w:b/>
                <w:w w:val="95"/>
                <w:sz w:val="21"/>
              </w:rPr>
              <w:t>7.1.65</w:t>
            </w:r>
          </w:p>
        </w:tc>
        <w:tc>
          <w:tcPr>
            <w:tcW w:w="1691" w:type="dxa"/>
          </w:tcPr>
          <w:p>
            <w:pPr>
              <w:pStyle w:val="TableParagraph"/>
              <w:spacing w:before="39"/>
              <w:ind w:left="99"/>
              <w:rPr>
                <w:rFonts w:ascii="微软雅黑" w:eastAsia="微软雅黑" w:hint="eastAsia"/>
                <w:b/>
                <w:sz w:val="21"/>
              </w:rPr>
            </w:pPr>
            <w:r>
              <w:rPr>
                <w:rFonts w:ascii="微软雅黑" w:eastAsia="微软雅黑" w:hint="eastAsia"/>
                <w:b/>
                <w:sz w:val="21"/>
              </w:rPr>
              <w:t>失去一肢及一眼</w:t>
            </w:r>
          </w:p>
        </w:tc>
        <w:tc>
          <w:tcPr>
            <w:tcW w:w="7456" w:type="dxa"/>
          </w:tcPr>
          <w:p>
            <w:pPr>
              <w:pStyle w:val="TableParagraph"/>
              <w:spacing w:before="101"/>
              <w:rPr>
                <w:sz w:val="21"/>
              </w:rPr>
            </w:pPr>
            <w:r>
              <w:rPr>
                <w:sz w:val="21"/>
              </w:rPr>
              <w:t>因疾病或者意外伤害导致单眼视力丧失及任何一肢自腕关节或者踝关节近端</w:t>
            </w:r>
          </w:p>
          <w:p>
            <w:pPr>
              <w:pStyle w:val="TableParagraph"/>
              <w:spacing w:before="46"/>
              <w:rPr>
                <w:sz w:val="21"/>
              </w:rPr>
            </w:pPr>
            <w:r>
              <w:rPr>
                <w:sz w:val="21"/>
              </w:rPr>
              <w:t>（靠近躯干端）以上完全性断离。</w:t>
            </w:r>
          </w:p>
          <w:p>
            <w:pPr>
              <w:pStyle w:val="TableParagraph"/>
              <w:spacing w:before="120"/>
              <w:rPr>
                <w:sz w:val="21"/>
              </w:rPr>
            </w:pPr>
            <w:r>
              <w:rPr>
                <w:sz w:val="21"/>
              </w:rPr>
              <w:t>单眼视力丧失指单眼视力永久不可逆性丧失，患眼须满足下列至少一项条件：</w:t>
            </w:r>
          </w:p>
          <w:p>
            <w:pPr>
              <w:pStyle w:val="TableParagraph"/>
              <w:numPr>
                <w:ilvl w:val="0"/>
                <w:numId w:val="40"/>
              </w:numPr>
              <w:tabs>
                <w:tab w:pos="736" w:val="left" w:leader="none"/>
              </w:tabs>
              <w:spacing w:line="240" w:lineRule="auto" w:before="123" w:after="0"/>
              <w:ind w:left="735" w:right="0" w:hanging="624"/>
              <w:jc w:val="left"/>
              <w:rPr>
                <w:sz w:val="21"/>
              </w:rPr>
            </w:pPr>
            <w:r>
              <w:rPr>
                <w:spacing w:val="-3"/>
                <w:sz w:val="21"/>
              </w:rPr>
              <w:t>眼球缺失或者摘除；</w:t>
            </w:r>
          </w:p>
          <w:p>
            <w:pPr>
              <w:pStyle w:val="TableParagraph"/>
              <w:numPr>
                <w:ilvl w:val="0"/>
                <w:numId w:val="40"/>
              </w:numPr>
              <w:tabs>
                <w:tab w:pos="736" w:val="left" w:leader="none"/>
              </w:tabs>
              <w:spacing w:line="280" w:lineRule="auto" w:before="123" w:after="0"/>
              <w:ind w:left="735" w:right="218"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40"/>
              </w:numPr>
              <w:tabs>
                <w:tab w:pos="736" w:val="left" w:leader="none"/>
              </w:tabs>
              <w:spacing w:line="240" w:lineRule="auto" w:before="84" w:after="0"/>
              <w:ind w:left="735"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6" w:type="dxa"/>
          </w:tcPr>
          <w:p>
            <w:pPr>
              <w:pStyle w:val="TableParagraph"/>
              <w:spacing w:before="39"/>
              <w:ind w:left="0" w:right="100"/>
              <w:jc w:val="right"/>
              <w:rPr>
                <w:rFonts w:ascii="微软雅黑"/>
                <w:b/>
                <w:sz w:val="21"/>
              </w:rPr>
            </w:pPr>
            <w:r>
              <w:rPr>
                <w:rFonts w:ascii="微软雅黑"/>
                <w:b/>
                <w:w w:val="95"/>
                <w:sz w:val="21"/>
              </w:rPr>
              <w:t>7.1.66</w:t>
            </w:r>
          </w:p>
        </w:tc>
        <w:tc>
          <w:tcPr>
            <w:tcW w:w="1691" w:type="dxa"/>
          </w:tcPr>
          <w:p>
            <w:pPr>
              <w:pStyle w:val="TableParagraph"/>
              <w:spacing w:before="39"/>
              <w:ind w:left="99"/>
              <w:rPr>
                <w:rFonts w:ascii="微软雅黑" w:hAnsi="微软雅黑" w:eastAsia="微软雅黑" w:hint="eastAsia"/>
                <w:b/>
                <w:sz w:val="21"/>
              </w:rPr>
            </w:pPr>
            <w:r>
              <w:rPr>
                <w:rFonts w:ascii="微软雅黑" w:hAnsi="微软雅黑" w:eastAsia="微软雅黑" w:hint="eastAsia"/>
                <w:b/>
                <w:sz w:val="21"/>
              </w:rPr>
              <w:t>严重Ⅲ度烧伤</w:t>
            </w:r>
          </w:p>
        </w:tc>
        <w:tc>
          <w:tcPr>
            <w:tcW w:w="7456" w:type="dxa"/>
          </w:tcPr>
          <w:p>
            <w:pPr>
              <w:pStyle w:val="TableParagraph"/>
              <w:spacing w:line="280" w:lineRule="auto" w:before="102"/>
              <w:ind w:right="218"/>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916" w:type="dxa"/>
          </w:tcPr>
          <w:p>
            <w:pPr>
              <w:pStyle w:val="TableParagraph"/>
              <w:spacing w:before="40"/>
              <w:ind w:left="0" w:right="101"/>
              <w:jc w:val="right"/>
              <w:rPr>
                <w:rFonts w:ascii="微软雅黑"/>
                <w:b/>
                <w:sz w:val="21"/>
              </w:rPr>
            </w:pPr>
            <w:r>
              <w:rPr>
                <w:rFonts w:ascii="微软雅黑"/>
                <w:b/>
                <w:w w:val="95"/>
                <w:sz w:val="21"/>
              </w:rPr>
              <w:t>7.1.67</w:t>
            </w:r>
          </w:p>
        </w:tc>
        <w:tc>
          <w:tcPr>
            <w:tcW w:w="1691" w:type="dxa"/>
          </w:tcPr>
          <w:p>
            <w:pPr>
              <w:pStyle w:val="TableParagraph"/>
              <w:spacing w:line="213" w:lineRule="auto" w:before="80"/>
              <w:ind w:left="99" w:right="110"/>
              <w:rPr>
                <w:rFonts w:ascii="微软雅黑" w:eastAsia="微软雅黑" w:hint="eastAsia"/>
                <w:b/>
                <w:sz w:val="21"/>
              </w:rPr>
            </w:pPr>
            <w:r>
              <w:rPr>
                <w:rFonts w:ascii="微软雅黑" w:eastAsia="微软雅黑" w:hint="eastAsia"/>
                <w:b/>
                <w:sz w:val="21"/>
              </w:rPr>
              <w:t>意外导致的重度面部烧伤</w:t>
            </w:r>
          </w:p>
        </w:tc>
        <w:tc>
          <w:tcPr>
            <w:tcW w:w="7456" w:type="dxa"/>
          </w:tcPr>
          <w:p>
            <w:pPr>
              <w:pStyle w:val="TableParagraph"/>
              <w:spacing w:line="280" w:lineRule="auto" w:before="103"/>
              <w:ind w:right="218"/>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0"/>
              <w:ind w:left="0" w:right="98"/>
              <w:jc w:val="right"/>
              <w:rPr>
                <w:rFonts w:ascii="微软雅黑"/>
                <w:b/>
                <w:sz w:val="21"/>
              </w:rPr>
            </w:pPr>
            <w:r>
              <w:rPr>
                <w:rFonts w:ascii="微软雅黑"/>
                <w:b/>
                <w:w w:val="95"/>
                <w:sz w:val="21"/>
              </w:rPr>
              <w:t>7.1.68</w:t>
            </w:r>
          </w:p>
        </w:tc>
        <w:tc>
          <w:tcPr>
            <w:tcW w:w="1691" w:type="dxa"/>
          </w:tcPr>
          <w:p>
            <w:pPr>
              <w:pStyle w:val="TableParagraph"/>
              <w:spacing w:before="40"/>
              <w:ind w:left="99"/>
              <w:rPr>
                <w:rFonts w:ascii="微软雅黑" w:eastAsia="微软雅黑" w:hint="eastAsia"/>
                <w:b/>
                <w:sz w:val="21"/>
              </w:rPr>
            </w:pPr>
            <w:r>
              <w:rPr>
                <w:rFonts w:ascii="微软雅黑" w:eastAsia="微软雅黑" w:hint="eastAsia"/>
                <w:b/>
                <w:sz w:val="21"/>
              </w:rPr>
              <w:t>埃博拉病毒感染</w:t>
            </w:r>
          </w:p>
        </w:tc>
        <w:tc>
          <w:tcPr>
            <w:tcW w:w="7456" w:type="dxa"/>
          </w:tcPr>
          <w:p>
            <w:pPr>
              <w:pStyle w:val="TableParagraph"/>
              <w:spacing w:line="280" w:lineRule="auto" w:before="103"/>
              <w:ind w:right="218"/>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41"/>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41"/>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41"/>
              </w:numPr>
              <w:tabs>
                <w:tab w:pos="736" w:val="left" w:leader="none"/>
              </w:tabs>
              <w:spacing w:line="240" w:lineRule="auto" w:before="123"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4"/>
              <w:ind w:right="214"/>
              <w:rPr>
                <w:sz w:val="21"/>
              </w:rPr>
            </w:pPr>
            <w:r>
              <w:rPr>
                <w:sz w:val="21"/>
              </w:rPr>
              <w:t>单纯实验室诊断但没有临床出血表现的或者在确诊之前已经死亡的不在保障范围内。</w:t>
            </w:r>
          </w:p>
        </w:tc>
      </w:tr>
      <w:tr>
        <w:trPr>
          <w:trHeight w:val="1836" w:hRule="atLeast"/>
        </w:trPr>
        <w:tc>
          <w:tcPr>
            <w:tcW w:w="916" w:type="dxa"/>
          </w:tcPr>
          <w:p>
            <w:pPr>
              <w:pStyle w:val="TableParagraph"/>
              <w:spacing w:before="38"/>
              <w:ind w:left="0" w:right="100"/>
              <w:jc w:val="right"/>
              <w:rPr>
                <w:rFonts w:ascii="微软雅黑"/>
                <w:b/>
                <w:sz w:val="21"/>
              </w:rPr>
            </w:pPr>
            <w:r>
              <w:rPr>
                <w:rFonts w:ascii="微软雅黑"/>
                <w:b/>
                <w:w w:val="95"/>
                <w:sz w:val="21"/>
              </w:rPr>
              <w:t>7.1.69</w:t>
            </w:r>
          </w:p>
        </w:tc>
        <w:tc>
          <w:tcPr>
            <w:tcW w:w="1691" w:type="dxa"/>
          </w:tcPr>
          <w:p>
            <w:pPr>
              <w:pStyle w:val="TableParagraph"/>
              <w:spacing w:before="38"/>
              <w:ind w:left="99"/>
              <w:rPr>
                <w:rFonts w:ascii="微软雅黑" w:eastAsia="微软雅黑" w:hint="eastAsia"/>
                <w:b/>
                <w:sz w:val="21"/>
              </w:rPr>
            </w:pPr>
            <w:r>
              <w:rPr>
                <w:rFonts w:ascii="微软雅黑" w:eastAsia="微软雅黑" w:hint="eastAsia"/>
                <w:b/>
                <w:sz w:val="21"/>
              </w:rPr>
              <w:t>川崎病</w:t>
            </w:r>
          </w:p>
        </w:tc>
        <w:tc>
          <w:tcPr>
            <w:tcW w:w="7456" w:type="dxa"/>
          </w:tcPr>
          <w:p>
            <w:pPr>
              <w:pStyle w:val="TableParagraph"/>
              <w:spacing w:line="280" w:lineRule="auto" w:before="101"/>
              <w:ind w:right="218"/>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42"/>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42"/>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bl>
    <w:p>
      <w:pPr>
        <w:spacing w:after="0" w:line="240" w:lineRule="auto"/>
        <w:jc w:val="both"/>
        <w:rPr>
          <w:sz w:val="21"/>
        </w:rPr>
        <w:sectPr>
          <w:pgSz w:w="11910" w:h="16840"/>
          <w:pgMar w:top="126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544"/>
      </w:tblGrid>
      <w:tr>
        <w:trPr>
          <w:trHeight w:val="2560" w:hRule="atLeast"/>
        </w:trPr>
        <w:tc>
          <w:tcPr>
            <w:tcW w:w="915" w:type="dxa"/>
          </w:tcPr>
          <w:p>
            <w:pPr>
              <w:pStyle w:val="TableParagraph"/>
              <w:spacing w:line="241" w:lineRule="exact" w:before="0"/>
              <w:ind w:left="0" w:right="100"/>
              <w:jc w:val="right"/>
              <w:rPr>
                <w:rFonts w:ascii="微软雅黑"/>
                <w:b/>
                <w:sz w:val="21"/>
              </w:rPr>
            </w:pPr>
            <w:r>
              <w:rPr>
                <w:rFonts w:ascii="微软雅黑"/>
                <w:b/>
                <w:w w:val="95"/>
                <w:sz w:val="21"/>
              </w:rPr>
              <w:t>7.1.70</w:t>
            </w:r>
          </w:p>
        </w:tc>
        <w:tc>
          <w:tcPr>
            <w:tcW w:w="1691" w:type="dxa"/>
          </w:tcPr>
          <w:p>
            <w:pPr>
              <w:pStyle w:val="TableParagraph"/>
              <w:spacing w:line="241" w:lineRule="exact" w:before="0"/>
              <w:ind w:left="100"/>
              <w:rPr>
                <w:rFonts w:ascii="微软雅黑" w:eastAsia="微软雅黑" w:hint="eastAsia"/>
                <w:b/>
                <w:sz w:val="21"/>
              </w:rPr>
            </w:pPr>
            <w:r>
              <w:rPr>
                <w:rFonts w:ascii="微软雅黑" w:eastAsia="微软雅黑" w:hint="eastAsia"/>
                <w:b/>
                <w:sz w:val="21"/>
              </w:rPr>
              <w:t>严重瑞氏综合征</w:t>
            </w:r>
          </w:p>
        </w:tc>
        <w:tc>
          <w:tcPr>
            <w:tcW w:w="7544" w:type="dxa"/>
          </w:tcPr>
          <w:p>
            <w:pPr>
              <w:pStyle w:val="TableParagraph"/>
              <w:spacing w:line="215" w:lineRule="exact" w:before="0"/>
              <w:ind w:left="112"/>
              <w:rPr>
                <w:sz w:val="21"/>
              </w:rPr>
            </w:pPr>
            <w:r>
              <w:rPr>
                <w:sz w:val="21"/>
              </w:rPr>
              <w:t>瑞氏综合征是线粒体功能障碍性疾病。导致脂肪代谢障碍，引起短链脂肪酸、</w:t>
            </w:r>
          </w:p>
          <w:p>
            <w:pPr>
              <w:pStyle w:val="TableParagraph"/>
              <w:spacing w:line="280" w:lineRule="auto" w:before="46"/>
              <w:ind w:left="112" w:right="307"/>
              <w:jc w:val="both"/>
              <w:rPr>
                <w:sz w:val="21"/>
              </w:rPr>
            </w:pP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3"/>
              </w:numPr>
              <w:tabs>
                <w:tab w:pos="737" w:val="left" w:leader="none"/>
              </w:tabs>
              <w:spacing w:line="240" w:lineRule="auto" w:before="84" w:after="0"/>
              <w:ind w:left="736" w:right="0" w:hanging="624"/>
              <w:jc w:val="both"/>
              <w:rPr>
                <w:sz w:val="21"/>
              </w:rPr>
            </w:pPr>
            <w:r>
              <w:rPr>
                <w:spacing w:val="-3"/>
                <w:sz w:val="21"/>
              </w:rPr>
              <w:t>有脑水肿和颅内压升高的脑脊液检查和影像学检查证据；</w:t>
            </w:r>
          </w:p>
          <w:p>
            <w:pPr>
              <w:pStyle w:val="TableParagraph"/>
              <w:numPr>
                <w:ilvl w:val="0"/>
                <w:numId w:val="43"/>
              </w:numPr>
              <w:tabs>
                <w:tab w:pos="737" w:val="left" w:leader="none"/>
              </w:tabs>
              <w:spacing w:line="240" w:lineRule="auto" w:before="123" w:after="0"/>
              <w:ind w:left="736" w:right="0" w:hanging="624"/>
              <w:jc w:val="both"/>
              <w:rPr>
                <w:sz w:val="21"/>
              </w:rPr>
            </w:pPr>
            <w:r>
              <w:rPr>
                <w:spacing w:val="-7"/>
                <w:sz w:val="21"/>
              </w:rPr>
              <w:t>血氨超过正常值的 </w:t>
            </w:r>
            <w:r>
              <w:rPr>
                <w:sz w:val="21"/>
              </w:rPr>
              <w:t>3</w:t>
            </w:r>
            <w:r>
              <w:rPr>
                <w:spacing w:val="-13"/>
                <w:sz w:val="21"/>
              </w:rPr>
              <w:t> 倍；</w:t>
            </w:r>
          </w:p>
          <w:p>
            <w:pPr>
              <w:pStyle w:val="TableParagraph"/>
              <w:numPr>
                <w:ilvl w:val="0"/>
                <w:numId w:val="43"/>
              </w:numPr>
              <w:tabs>
                <w:tab w:pos="737" w:val="left" w:leader="none"/>
              </w:tabs>
              <w:spacing w:line="240" w:lineRule="auto" w:before="123" w:after="0"/>
              <w:ind w:left="736"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15" w:type="dxa"/>
          </w:tcPr>
          <w:p>
            <w:pPr>
              <w:pStyle w:val="TableParagraph"/>
              <w:spacing w:before="42"/>
              <w:ind w:left="0" w:right="126"/>
              <w:jc w:val="right"/>
              <w:rPr>
                <w:rFonts w:ascii="微软雅黑"/>
                <w:b/>
                <w:sz w:val="21"/>
              </w:rPr>
            </w:pPr>
            <w:r>
              <w:rPr>
                <w:rFonts w:ascii="微软雅黑"/>
                <w:b/>
                <w:w w:val="90"/>
                <w:sz w:val="21"/>
              </w:rPr>
              <w:t>7.1.71</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重症手足口病</w:t>
            </w:r>
          </w:p>
        </w:tc>
        <w:tc>
          <w:tcPr>
            <w:tcW w:w="7544" w:type="dxa"/>
          </w:tcPr>
          <w:p>
            <w:pPr>
              <w:pStyle w:val="TableParagraph"/>
              <w:spacing w:line="278" w:lineRule="auto" w:before="104"/>
              <w:ind w:left="112" w:right="200"/>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44"/>
              </w:numPr>
              <w:tabs>
                <w:tab w:pos="737" w:val="left" w:leader="none"/>
              </w:tabs>
              <w:spacing w:line="280" w:lineRule="auto" w:before="89" w:after="0"/>
              <w:ind w:left="736" w:right="303"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4"/>
              </w:numPr>
              <w:tabs>
                <w:tab w:pos="737" w:val="left" w:leader="none"/>
              </w:tabs>
              <w:spacing w:line="280" w:lineRule="auto" w:before="85" w:after="0"/>
              <w:ind w:left="736" w:right="303" w:hanging="624"/>
              <w:jc w:val="left"/>
              <w:rPr>
                <w:sz w:val="21"/>
              </w:rPr>
            </w:pPr>
            <w:r>
              <w:rPr>
                <w:spacing w:val="-4"/>
                <w:sz w:val="21"/>
              </w:rPr>
              <w:t>有肺炎或者肺水肿并发症，且导致呼吸衰竭的临床表现及实验室检查证据；</w:t>
            </w:r>
          </w:p>
          <w:p>
            <w:pPr>
              <w:pStyle w:val="TableParagraph"/>
              <w:numPr>
                <w:ilvl w:val="0"/>
                <w:numId w:val="44"/>
              </w:numPr>
              <w:tabs>
                <w:tab w:pos="737" w:val="left" w:leader="none"/>
              </w:tabs>
              <w:spacing w:line="280" w:lineRule="auto" w:before="85" w:after="0"/>
              <w:ind w:left="736" w:right="303"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3837" w:hRule="atLeast"/>
        </w:trPr>
        <w:tc>
          <w:tcPr>
            <w:tcW w:w="915" w:type="dxa"/>
          </w:tcPr>
          <w:p>
            <w:pPr>
              <w:pStyle w:val="TableParagraph"/>
              <w:spacing w:before="40"/>
              <w:ind w:left="0" w:right="101"/>
              <w:jc w:val="right"/>
              <w:rPr>
                <w:rFonts w:ascii="微软雅黑"/>
                <w:b/>
                <w:sz w:val="21"/>
              </w:rPr>
            </w:pPr>
            <w:r>
              <w:rPr>
                <w:rFonts w:ascii="微软雅黑"/>
                <w:b/>
                <w:w w:val="95"/>
                <w:sz w:val="21"/>
              </w:rPr>
              <w:t>7.1.72</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出血性登革热</w:t>
            </w:r>
          </w:p>
        </w:tc>
        <w:tc>
          <w:tcPr>
            <w:tcW w:w="7544" w:type="dxa"/>
          </w:tcPr>
          <w:p>
            <w:pPr>
              <w:pStyle w:val="TableParagraph"/>
              <w:spacing w:line="280" w:lineRule="auto" w:before="103"/>
              <w:ind w:left="112" w:right="197"/>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45"/>
              </w:numPr>
              <w:tabs>
                <w:tab w:pos="737" w:val="left" w:leader="none"/>
              </w:tabs>
              <w:spacing w:line="240" w:lineRule="auto" w:before="85" w:after="0"/>
              <w:ind w:left="736"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5"/>
              </w:numPr>
              <w:tabs>
                <w:tab w:pos="737" w:val="left" w:leader="none"/>
              </w:tabs>
              <w:spacing w:line="240" w:lineRule="auto" w:before="123" w:after="0"/>
              <w:ind w:left="736" w:right="0" w:hanging="624"/>
              <w:jc w:val="left"/>
              <w:rPr>
                <w:sz w:val="21"/>
              </w:rPr>
            </w:pPr>
            <w:r>
              <w:rPr>
                <w:spacing w:val="-3"/>
                <w:sz w:val="21"/>
              </w:rPr>
              <w:t>出现下列一种或者多种严重登革热的临床表现：</w:t>
            </w:r>
          </w:p>
          <w:p>
            <w:pPr>
              <w:pStyle w:val="TableParagraph"/>
              <w:ind w:left="743"/>
              <w:rPr>
                <w:sz w:val="21"/>
              </w:rPr>
            </w:pPr>
            <w:r>
              <w:rPr>
                <w:sz w:val="21"/>
              </w:rPr>
              <w:t>① 血浆渗漏致休克或者胸腔积液伴呼吸困难；</w:t>
            </w:r>
          </w:p>
          <w:p>
            <w:pPr>
              <w:pStyle w:val="TableParagraph"/>
              <w:spacing w:line="280" w:lineRule="auto"/>
              <w:ind w:left="1057" w:right="303" w:hanging="315"/>
              <w:rPr>
                <w:sz w:val="21"/>
              </w:rPr>
            </w:pPr>
            <w:r>
              <w:rPr>
                <w:spacing w:val="-10"/>
                <w:sz w:val="21"/>
              </w:rPr>
              <w:t>② 严重出血：消化道出血、阴道大出血、颅内出血、肉眼血尿或者皮下</w:t>
            </w:r>
            <w:r>
              <w:rPr>
                <w:spacing w:val="-10"/>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743"/>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8"/>
                <w:sz w:val="21"/>
              </w:rPr>
              <w:t> </w:t>
            </w:r>
            <w:r>
              <w:rPr>
                <w:spacing w:val="-2"/>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0"/>
                <w:w w:val="90"/>
                <w:sz w:val="21"/>
              </w:rPr>
              <w:t>L</w:t>
            </w:r>
            <w:r>
              <w:rPr>
                <w:spacing w:val="-108"/>
                <w:w w:val="100"/>
                <w:sz w:val="21"/>
              </w:rPr>
              <w:t>）、</w:t>
            </w:r>
          </w:p>
          <w:p>
            <w:pPr>
              <w:pStyle w:val="TableParagraph"/>
              <w:spacing w:line="278" w:lineRule="auto" w:before="46"/>
              <w:ind w:left="1057" w:right="202"/>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8" w:hRule="atLeast"/>
        </w:trPr>
        <w:tc>
          <w:tcPr>
            <w:tcW w:w="915" w:type="dxa"/>
          </w:tcPr>
          <w:p>
            <w:pPr>
              <w:pStyle w:val="TableParagraph"/>
              <w:spacing w:before="40"/>
              <w:ind w:left="0" w:right="100"/>
              <w:jc w:val="right"/>
              <w:rPr>
                <w:rFonts w:ascii="微软雅黑"/>
                <w:b/>
                <w:sz w:val="21"/>
              </w:rPr>
            </w:pPr>
            <w:r>
              <w:rPr>
                <w:rFonts w:ascii="微软雅黑"/>
                <w:b/>
                <w:w w:val="95"/>
                <w:sz w:val="21"/>
              </w:rPr>
              <w:t>7.1.73</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象皮病</w:t>
            </w:r>
          </w:p>
        </w:tc>
        <w:tc>
          <w:tcPr>
            <w:tcW w:w="7544" w:type="dxa"/>
          </w:tcPr>
          <w:p>
            <w:pPr>
              <w:pStyle w:val="TableParagraph"/>
              <w:spacing w:line="280" w:lineRule="auto" w:before="103"/>
              <w:ind w:left="112" w:right="308"/>
              <w:jc w:val="both"/>
              <w:rPr>
                <w:sz w:val="21"/>
              </w:rPr>
            </w:pPr>
            <w:r>
              <w:rPr>
                <w:spacing w:val="-5"/>
                <w:sz w:val="21"/>
              </w:rPr>
              <w:t>指末期丝虫病，按国际淋巴学会分级为三度淋巴水肿，其临床表现为肢体非凹陷性水肿伴畸形增大、硬皮症和疣状增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6" w:hRule="atLeast"/>
        </w:trPr>
        <w:tc>
          <w:tcPr>
            <w:tcW w:w="915" w:type="dxa"/>
          </w:tcPr>
          <w:p>
            <w:pPr>
              <w:pStyle w:val="TableParagraph"/>
              <w:spacing w:before="42"/>
              <w:ind w:left="0" w:right="99"/>
              <w:jc w:val="right"/>
              <w:rPr>
                <w:rFonts w:ascii="微软雅黑"/>
                <w:b/>
                <w:sz w:val="21"/>
              </w:rPr>
            </w:pPr>
            <w:r>
              <w:rPr>
                <w:rFonts w:ascii="微软雅黑"/>
                <w:b/>
                <w:w w:val="95"/>
                <w:sz w:val="21"/>
              </w:rPr>
              <w:t>7.1.74</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语言能力丧失</w:t>
            </w:r>
          </w:p>
        </w:tc>
        <w:tc>
          <w:tcPr>
            <w:tcW w:w="7544" w:type="dxa"/>
          </w:tcPr>
          <w:p>
            <w:pPr>
              <w:pStyle w:val="TableParagraph"/>
              <w:spacing w:line="278" w:lineRule="auto" w:before="104"/>
              <w:ind w:left="112" w:right="305"/>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9"/>
              <w:ind w:left="112"/>
              <w:rPr>
                <w:sz w:val="21"/>
              </w:rPr>
            </w:pPr>
            <w:r>
              <w:rPr>
                <w:sz w:val="21"/>
              </w:rPr>
              <w:t>精神心理因素所致的语言能力丧失不在保障范围内。</w:t>
            </w:r>
          </w:p>
          <w:p>
            <w:pPr>
              <w:pStyle w:val="TableParagraph"/>
              <w:ind w:left="112"/>
              <w:rPr>
                <w:sz w:val="21"/>
              </w:rPr>
            </w:pPr>
            <w:r>
              <w:rPr>
                <w:sz w:val="21"/>
              </w:rPr>
              <w:t>被保险人在 </w:t>
            </w:r>
            <w:r>
              <w:rPr>
                <w:w w:val="115"/>
                <w:sz w:val="21"/>
              </w:rPr>
              <w:t>3 </w:t>
            </w:r>
            <w:r>
              <w:rPr>
                <w:sz w:val="21"/>
              </w:rPr>
              <w:t>周岁之前因疾病导致语言能力丧失不在保障范围内。</w:t>
            </w:r>
          </w:p>
        </w:tc>
      </w:tr>
      <w:tr>
        <w:trPr>
          <w:trHeight w:val="1915" w:hRule="atLeast"/>
        </w:trPr>
        <w:tc>
          <w:tcPr>
            <w:tcW w:w="915" w:type="dxa"/>
          </w:tcPr>
          <w:p>
            <w:pPr>
              <w:pStyle w:val="TableParagraph"/>
              <w:spacing w:before="38"/>
              <w:ind w:left="0" w:right="100"/>
              <w:jc w:val="right"/>
              <w:rPr>
                <w:rFonts w:ascii="微软雅黑"/>
                <w:b/>
                <w:sz w:val="21"/>
              </w:rPr>
            </w:pPr>
            <w:r>
              <w:rPr>
                <w:rFonts w:ascii="微软雅黑"/>
                <w:b/>
                <w:w w:val="95"/>
                <w:sz w:val="21"/>
              </w:rPr>
              <w:t>7.1.75</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肝豆状核变性</w:t>
            </w:r>
          </w:p>
        </w:tc>
        <w:tc>
          <w:tcPr>
            <w:tcW w:w="7544" w:type="dxa"/>
          </w:tcPr>
          <w:p>
            <w:pPr>
              <w:pStyle w:val="TableParagraph"/>
              <w:spacing w:line="280" w:lineRule="auto" w:before="101"/>
              <w:ind w:left="112" w:right="273"/>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6"/>
              </w:numPr>
              <w:tabs>
                <w:tab w:pos="737" w:val="left" w:leader="none"/>
              </w:tabs>
              <w:spacing w:line="240" w:lineRule="auto" w:before="85" w:after="0"/>
              <w:ind w:left="736" w:right="0" w:hanging="624"/>
              <w:jc w:val="left"/>
              <w:rPr>
                <w:sz w:val="21"/>
              </w:rPr>
            </w:pPr>
            <w:r>
              <w:rPr>
                <w:spacing w:val="-1"/>
                <w:sz w:val="21"/>
              </w:rPr>
              <w:t>典型症状；</w:t>
            </w:r>
          </w:p>
          <w:p>
            <w:pPr>
              <w:pStyle w:val="TableParagraph"/>
              <w:numPr>
                <w:ilvl w:val="0"/>
                <w:numId w:val="46"/>
              </w:numPr>
              <w:tabs>
                <w:tab w:pos="737" w:val="left" w:leader="none"/>
              </w:tabs>
              <w:spacing w:line="240" w:lineRule="auto" w:before="123" w:after="0"/>
              <w:ind w:left="736"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6"/>
              </w:numPr>
              <w:tabs>
                <w:tab w:pos="737" w:val="left" w:leader="none"/>
              </w:tabs>
              <w:spacing w:line="240" w:lineRule="auto" w:before="123" w:after="0"/>
              <w:ind w:left="736" w:right="0" w:hanging="624"/>
              <w:jc w:val="left"/>
              <w:rPr>
                <w:sz w:val="21"/>
              </w:rPr>
            </w:pPr>
            <w:r>
              <w:rPr>
                <w:spacing w:val="-3"/>
                <w:sz w:val="21"/>
              </w:rPr>
              <w:t>血清铜和血清铜蓝蛋白降低，尿铜增加；</w:t>
            </w:r>
          </w:p>
        </w:tc>
      </w:tr>
    </w:tbl>
    <w:p>
      <w:pPr>
        <w:spacing w:after="0" w:line="240" w:lineRule="auto"/>
        <w:jc w:val="left"/>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419" w:hRule="atLeast"/>
        </w:trPr>
        <w:tc>
          <w:tcPr>
            <w:tcW w:w="682" w:type="dxa"/>
          </w:tcPr>
          <w:p>
            <w:pPr>
              <w:pStyle w:val="TableParagraph"/>
              <w:spacing w:before="0"/>
              <w:ind w:left="0"/>
              <w:rPr>
                <w:rFonts w:ascii="Times New Roman"/>
                <w:sz w:val="20"/>
              </w:rPr>
            </w:pPr>
          </w:p>
        </w:tc>
        <w:tc>
          <w:tcPr>
            <w:tcW w:w="1832" w:type="dxa"/>
          </w:tcPr>
          <w:p>
            <w:pPr>
              <w:pStyle w:val="TableParagraph"/>
              <w:spacing w:before="0"/>
              <w:ind w:left="0"/>
              <w:rPr>
                <w:rFonts w:ascii="Times New Roman"/>
                <w:sz w:val="20"/>
              </w:rPr>
            </w:pPr>
          </w:p>
        </w:tc>
        <w:tc>
          <w:tcPr>
            <w:tcW w:w="7577" w:type="dxa"/>
          </w:tcPr>
          <w:p>
            <w:pPr>
              <w:pStyle w:val="TableParagraph"/>
              <w:spacing w:line="215" w:lineRule="exact" w:before="0"/>
              <w:ind w:left="112"/>
              <w:rPr>
                <w:sz w:val="21"/>
              </w:rPr>
            </w:pPr>
            <w:r>
              <w:rPr>
                <w:sz w:val="21"/>
              </w:rPr>
              <w:t>（4） 经皮做肝脏活检来定量分析肝脏铜的含量。</w:t>
            </w:r>
          </w:p>
        </w:tc>
      </w:tr>
      <w:tr>
        <w:trPr>
          <w:trHeight w:val="908" w:hRule="atLeast"/>
        </w:trPr>
        <w:tc>
          <w:tcPr>
            <w:tcW w:w="682" w:type="dxa"/>
            <w:tcBorders>
              <w:bottom w:val="single" w:sz="8" w:space="0" w:color="000000"/>
            </w:tcBorders>
          </w:tcPr>
          <w:p>
            <w:pPr>
              <w:pStyle w:val="TableParagraph"/>
              <w:spacing w:before="61"/>
              <w:ind w:left="108"/>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38"/>
              <w:ind w:left="242"/>
              <w:rPr>
                <w:rFonts w:ascii="微软雅黑" w:eastAsia="微软雅黑" w:hint="eastAsia"/>
                <w:b/>
                <w:sz w:val="24"/>
              </w:rPr>
            </w:pPr>
            <w:r>
              <w:rPr>
                <w:rFonts w:ascii="微软雅黑" w:eastAsia="微软雅黑" w:hint="eastAsia"/>
                <w:b/>
                <w:sz w:val="24"/>
              </w:rPr>
              <w:t>释义</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682" w:type="dxa"/>
            <w:tcBorders>
              <w:top w:val="single" w:sz="8" w:space="0" w:color="000000"/>
            </w:tcBorders>
          </w:tcPr>
          <w:p>
            <w:pPr>
              <w:pStyle w:val="TableParagraph"/>
              <w:spacing w:before="176"/>
              <w:ind w:left="108"/>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医院</w:t>
            </w:r>
          </w:p>
        </w:tc>
        <w:tc>
          <w:tcPr>
            <w:tcW w:w="7577" w:type="dxa"/>
            <w:tcBorders>
              <w:top w:val="single" w:sz="8" w:space="0" w:color="000000"/>
            </w:tcBorders>
          </w:tcPr>
          <w:p>
            <w:pPr>
              <w:pStyle w:val="TableParagraph"/>
              <w:spacing w:before="3"/>
              <w:ind w:left="0"/>
              <w:rPr>
                <w:sz w:val="18"/>
              </w:rPr>
            </w:pPr>
          </w:p>
          <w:p>
            <w:pPr>
              <w:pStyle w:val="TableParagraph"/>
              <w:spacing w:line="280" w:lineRule="auto" w:before="0"/>
              <w:ind w:left="112" w:right="334"/>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682" w:type="dxa"/>
          </w:tcPr>
          <w:p>
            <w:pPr>
              <w:pStyle w:val="TableParagraph"/>
              <w:spacing w:before="40"/>
              <w:ind w:left="108"/>
              <w:rPr>
                <w:rFonts w:ascii="微软雅黑"/>
                <w:b/>
                <w:sz w:val="21"/>
              </w:rPr>
            </w:pPr>
            <w:r>
              <w:rPr>
                <w:rFonts w:ascii="微软雅黑"/>
                <w:b/>
                <w:sz w:val="21"/>
              </w:rPr>
              <w:t>8.2</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初次确诊</w:t>
            </w:r>
          </w:p>
        </w:tc>
        <w:tc>
          <w:tcPr>
            <w:tcW w:w="7577" w:type="dxa"/>
          </w:tcPr>
          <w:p>
            <w:pPr>
              <w:pStyle w:val="TableParagraph"/>
              <w:spacing w:before="102"/>
              <w:ind w:left="112"/>
              <w:rPr>
                <w:sz w:val="21"/>
              </w:rPr>
            </w:pPr>
            <w:r>
              <w:rPr>
                <w:sz w:val="21"/>
              </w:rPr>
              <w:t>指自被保险人出Th之日起第一次经医院确诊患有某种疾病，而不是指自本合同</w:t>
            </w:r>
          </w:p>
          <w:p>
            <w:pPr>
              <w:pStyle w:val="TableParagraph"/>
              <w:spacing w:before="46"/>
              <w:ind w:left="112"/>
              <w:rPr>
                <w:sz w:val="21"/>
              </w:rPr>
            </w:pPr>
            <w:r>
              <w:rPr>
                <w:sz w:val="21"/>
              </w:rPr>
              <w:t>Th效之后第一次经医院确诊患有某种疾病。</w:t>
            </w:r>
          </w:p>
        </w:tc>
      </w:tr>
      <w:tr>
        <w:trPr>
          <w:trHeight w:val="1925" w:hRule="atLeast"/>
        </w:trPr>
        <w:tc>
          <w:tcPr>
            <w:tcW w:w="682" w:type="dxa"/>
          </w:tcPr>
          <w:p>
            <w:pPr>
              <w:pStyle w:val="TableParagraph"/>
              <w:spacing w:before="38"/>
              <w:ind w:left="108"/>
              <w:rPr>
                <w:rFonts w:ascii="微软雅黑"/>
                <w:b/>
                <w:sz w:val="21"/>
              </w:rPr>
            </w:pPr>
            <w:r>
              <w:rPr>
                <w:rFonts w:ascii="微软雅黑"/>
                <w:b/>
                <w:sz w:val="21"/>
              </w:rPr>
              <w:t>8.3</w:t>
            </w:r>
          </w:p>
        </w:tc>
        <w:tc>
          <w:tcPr>
            <w:tcW w:w="1832" w:type="dxa"/>
          </w:tcPr>
          <w:p>
            <w:pPr>
              <w:pStyle w:val="TableParagraph"/>
              <w:spacing w:before="38"/>
              <w:ind w:left="242"/>
              <w:rPr>
                <w:rFonts w:ascii="微软雅黑" w:eastAsia="微软雅黑" w:hint="eastAsia"/>
                <w:b/>
                <w:sz w:val="21"/>
              </w:rPr>
            </w:pPr>
            <w:r>
              <w:rPr>
                <w:rFonts w:ascii="微软雅黑" w:eastAsia="微软雅黑" w:hint="eastAsia"/>
                <w:b/>
                <w:sz w:val="21"/>
              </w:rPr>
              <w:t>意外伤害</w:t>
            </w:r>
          </w:p>
        </w:tc>
        <w:tc>
          <w:tcPr>
            <w:tcW w:w="7577" w:type="dxa"/>
          </w:tcPr>
          <w:p>
            <w:pPr>
              <w:pStyle w:val="TableParagraph"/>
              <w:spacing w:line="280" w:lineRule="auto" w:before="101"/>
              <w:ind w:left="112" w:right="337"/>
              <w:jc w:val="both"/>
              <w:rPr>
                <w:sz w:val="21"/>
              </w:rPr>
            </w:pPr>
            <w:r>
              <w:rPr>
                <w:spacing w:val="-5"/>
                <w:sz w:val="21"/>
              </w:rPr>
              <w:t>指以外来的、突发的、非本意的、非疾病的客观事件为直接且单独原因导致的</w:t>
            </w:r>
            <w:r>
              <w:rPr>
                <w:spacing w:val="-4"/>
                <w:sz w:val="21"/>
              </w:rPr>
              <w:t>身体伤害，猝死、自杀以及自伤均不属于意外伤害。</w:t>
            </w:r>
          </w:p>
          <w:p>
            <w:pPr>
              <w:pStyle w:val="TableParagraph"/>
              <w:spacing w:line="280" w:lineRule="auto" w:before="86"/>
              <w:ind w:left="112" w:right="337"/>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1207" w:hRule="atLeast"/>
        </w:trPr>
        <w:tc>
          <w:tcPr>
            <w:tcW w:w="682" w:type="dxa"/>
          </w:tcPr>
          <w:p>
            <w:pPr>
              <w:pStyle w:val="TableParagraph"/>
              <w:spacing w:before="40"/>
              <w:ind w:left="108"/>
              <w:rPr>
                <w:rFonts w:ascii="微软雅黑"/>
                <w:b/>
                <w:sz w:val="21"/>
              </w:rPr>
            </w:pPr>
            <w:r>
              <w:rPr>
                <w:rFonts w:ascii="微软雅黑"/>
                <w:b/>
                <w:sz w:val="21"/>
              </w:rPr>
              <w:t>8.4</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毒品</w:t>
            </w:r>
          </w:p>
        </w:tc>
        <w:tc>
          <w:tcPr>
            <w:tcW w:w="7577" w:type="dxa"/>
          </w:tcPr>
          <w:p>
            <w:pPr>
              <w:pStyle w:val="TableParagraph"/>
              <w:spacing w:line="280" w:lineRule="auto" w:before="103"/>
              <w:ind w:left="112" w:right="230"/>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5"/>
                <w:sz w:val="21"/>
              </w:rPr>
              <w:t>、吗啡、大麻、</w:t>
            </w:r>
            <w:r>
              <w:rPr>
                <w:spacing w:val="-8"/>
                <w:sz w:val="21"/>
              </w:rPr>
              <w:t>可卡因以及国家规定管制的其他能够使人形成瘾癖的麻醉药品和精神药品，但</w:t>
            </w:r>
            <w:r>
              <w:rPr>
                <w:spacing w:val="-6"/>
                <w:sz w:val="21"/>
              </w:rPr>
              <w:t>不包括由医</w:t>
            </w:r>
            <w:r>
              <w:rPr>
                <w:sz w:val="21"/>
              </w:rPr>
              <w:t>Th</w:t>
            </w:r>
            <w:r>
              <w:rPr>
                <w:spacing w:val="-3"/>
                <w:sz w:val="21"/>
              </w:rPr>
              <w:t>开具并遵医嘱使用的用于治疗疾病但含有毒品成分的处方药品。</w:t>
            </w:r>
          </w:p>
        </w:tc>
      </w:tr>
      <w:tr>
        <w:trPr>
          <w:trHeight w:val="1207" w:hRule="atLeast"/>
        </w:trPr>
        <w:tc>
          <w:tcPr>
            <w:tcW w:w="682" w:type="dxa"/>
          </w:tcPr>
          <w:p>
            <w:pPr>
              <w:pStyle w:val="TableParagraph"/>
              <w:spacing w:before="40"/>
              <w:ind w:left="108"/>
              <w:rPr>
                <w:rFonts w:ascii="微软雅黑"/>
                <w:b/>
                <w:sz w:val="21"/>
              </w:rPr>
            </w:pPr>
            <w:r>
              <w:rPr>
                <w:rFonts w:ascii="微软雅黑"/>
                <w:b/>
                <w:sz w:val="21"/>
              </w:rPr>
              <w:t>8.5</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酒后驾驶</w:t>
            </w:r>
          </w:p>
        </w:tc>
        <w:tc>
          <w:tcPr>
            <w:tcW w:w="7577" w:type="dxa"/>
          </w:tcPr>
          <w:p>
            <w:pPr>
              <w:pStyle w:val="TableParagraph"/>
              <w:spacing w:line="280" w:lineRule="auto" w:before="103"/>
              <w:ind w:left="112" w:right="337"/>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60" w:hRule="atLeast"/>
        </w:trPr>
        <w:tc>
          <w:tcPr>
            <w:tcW w:w="682" w:type="dxa"/>
          </w:tcPr>
          <w:p>
            <w:pPr>
              <w:pStyle w:val="TableParagraph"/>
              <w:spacing w:before="41"/>
              <w:ind w:left="108"/>
              <w:rPr>
                <w:rFonts w:ascii="微软雅黑"/>
                <w:b/>
                <w:sz w:val="21"/>
              </w:rPr>
            </w:pPr>
            <w:r>
              <w:rPr>
                <w:rFonts w:ascii="微软雅黑"/>
                <w:b/>
                <w:sz w:val="21"/>
              </w:rPr>
              <w:t>8.6</w:t>
            </w:r>
          </w:p>
        </w:tc>
        <w:tc>
          <w:tcPr>
            <w:tcW w:w="1832" w:type="dxa"/>
          </w:tcPr>
          <w:p>
            <w:pPr>
              <w:pStyle w:val="TableParagraph"/>
              <w:spacing w:line="213" w:lineRule="auto" w:before="80"/>
              <w:ind w:left="242" w:right="109"/>
              <w:rPr>
                <w:rFonts w:ascii="微软雅黑" w:eastAsia="微软雅黑" w:hint="eastAsia"/>
                <w:b/>
                <w:sz w:val="21"/>
              </w:rPr>
            </w:pPr>
            <w:r>
              <w:rPr>
                <w:rFonts w:ascii="微软雅黑" w:eastAsia="微软雅黑" w:hint="eastAsia"/>
                <w:b/>
                <w:sz w:val="21"/>
              </w:rPr>
              <w:t>无合法有效驾驶证驾驶</w:t>
            </w:r>
          </w:p>
        </w:tc>
        <w:tc>
          <w:tcPr>
            <w:tcW w:w="7577" w:type="dxa"/>
          </w:tcPr>
          <w:p>
            <w:pPr>
              <w:pStyle w:val="TableParagraph"/>
              <w:spacing w:before="103"/>
              <w:ind w:left="112"/>
              <w:rPr>
                <w:sz w:val="21"/>
              </w:rPr>
            </w:pPr>
            <w:r>
              <w:rPr>
                <w:sz w:val="21"/>
              </w:rPr>
              <w:t>指下列情形之一：</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没有取得中华人民共和国有关主管部门颁发或者认可的驾驶资格证书；</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驾驶与合法有效驾驶证准驾车型不相符合的车辆；</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持审验不合格的驾驶证驾驶；</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驾驶证已过有效期。</w:t>
            </w:r>
          </w:p>
        </w:tc>
      </w:tr>
      <w:tr>
        <w:trPr>
          <w:trHeight w:val="2723" w:hRule="atLeast"/>
        </w:trPr>
        <w:tc>
          <w:tcPr>
            <w:tcW w:w="682" w:type="dxa"/>
          </w:tcPr>
          <w:p>
            <w:pPr>
              <w:pStyle w:val="TableParagraph"/>
              <w:spacing w:before="40"/>
              <w:ind w:left="108"/>
              <w:rPr>
                <w:rFonts w:ascii="微软雅黑"/>
                <w:b/>
                <w:sz w:val="21"/>
              </w:rPr>
            </w:pPr>
            <w:r>
              <w:rPr>
                <w:rFonts w:ascii="微软雅黑"/>
                <w:b/>
                <w:sz w:val="21"/>
              </w:rPr>
              <w:t>8.7</w:t>
            </w:r>
          </w:p>
        </w:tc>
        <w:tc>
          <w:tcPr>
            <w:tcW w:w="1832" w:type="dxa"/>
          </w:tcPr>
          <w:p>
            <w:pPr>
              <w:pStyle w:val="TableParagraph"/>
              <w:spacing w:line="213" w:lineRule="auto" w:before="80"/>
              <w:ind w:left="242" w:right="109"/>
              <w:rPr>
                <w:rFonts w:ascii="微软雅黑" w:eastAsia="微软雅黑" w:hint="eastAsia"/>
                <w:b/>
                <w:sz w:val="21"/>
              </w:rPr>
            </w:pPr>
            <w:r>
              <w:rPr>
                <w:rFonts w:ascii="微软雅黑" w:eastAsia="微软雅黑" w:hint="eastAsia"/>
                <w:b/>
                <w:sz w:val="21"/>
              </w:rPr>
              <w:t>无合法有效行驶证</w:t>
            </w:r>
          </w:p>
        </w:tc>
        <w:tc>
          <w:tcPr>
            <w:tcW w:w="7577" w:type="dxa"/>
          </w:tcPr>
          <w:p>
            <w:pPr>
              <w:pStyle w:val="TableParagraph"/>
              <w:spacing w:line="280" w:lineRule="auto" w:before="103"/>
              <w:ind w:left="112" w:right="334"/>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8"/>
              </w:numPr>
              <w:tabs>
                <w:tab w:pos="737" w:val="left" w:leader="none"/>
              </w:tabs>
              <w:spacing w:line="240" w:lineRule="auto" w:before="85" w:after="0"/>
              <w:ind w:left="736" w:right="0" w:hanging="624"/>
              <w:jc w:val="left"/>
              <w:rPr>
                <w:sz w:val="21"/>
              </w:rPr>
            </w:pPr>
            <w:r>
              <w:rPr>
                <w:spacing w:val="-3"/>
                <w:sz w:val="21"/>
              </w:rPr>
              <w:t>未办理行驶证或者行驶证在申办过程中；</w:t>
            </w:r>
          </w:p>
          <w:p>
            <w:pPr>
              <w:pStyle w:val="TableParagraph"/>
              <w:numPr>
                <w:ilvl w:val="0"/>
                <w:numId w:val="48"/>
              </w:numPr>
              <w:tabs>
                <w:tab w:pos="737" w:val="left" w:leader="none"/>
              </w:tabs>
              <w:spacing w:line="240" w:lineRule="auto" w:before="124" w:after="0"/>
              <w:ind w:left="736" w:right="0" w:hanging="624"/>
              <w:jc w:val="left"/>
              <w:rPr>
                <w:sz w:val="21"/>
              </w:rPr>
            </w:pPr>
            <w:r>
              <w:rPr>
                <w:spacing w:val="-3"/>
                <w:sz w:val="21"/>
              </w:rPr>
              <w:t>机动车行驶证被依法注销登记；</w:t>
            </w:r>
          </w:p>
          <w:p>
            <w:pPr>
              <w:pStyle w:val="TableParagraph"/>
              <w:numPr>
                <w:ilvl w:val="0"/>
                <w:numId w:val="48"/>
              </w:numPr>
              <w:tabs>
                <w:tab w:pos="737" w:val="left" w:leader="none"/>
              </w:tabs>
              <w:spacing w:line="278" w:lineRule="auto" w:before="123" w:after="0"/>
              <w:ind w:left="736" w:right="342" w:hanging="624"/>
              <w:jc w:val="left"/>
              <w:rPr>
                <w:sz w:val="21"/>
              </w:rPr>
            </w:pPr>
            <w:r>
              <w:rPr>
                <w:spacing w:val="1"/>
                <w:sz w:val="21"/>
              </w:rPr>
              <w:t>未在行驶证检验有效期内依法按时进行或者未通过机动车安全技术检验。</w:t>
            </w:r>
          </w:p>
        </w:tc>
      </w:tr>
      <w:tr>
        <w:trPr>
          <w:trHeight w:val="887" w:hRule="atLeast"/>
        </w:trPr>
        <w:tc>
          <w:tcPr>
            <w:tcW w:w="682" w:type="dxa"/>
          </w:tcPr>
          <w:p>
            <w:pPr>
              <w:pStyle w:val="TableParagraph"/>
              <w:spacing w:before="42"/>
              <w:ind w:left="108"/>
              <w:rPr>
                <w:rFonts w:ascii="微软雅黑"/>
                <w:b/>
                <w:sz w:val="21"/>
              </w:rPr>
            </w:pPr>
            <w:r>
              <w:rPr>
                <w:rFonts w:ascii="微软雅黑"/>
                <w:b/>
                <w:sz w:val="21"/>
              </w:rPr>
              <w:t>8.8</w:t>
            </w:r>
          </w:p>
        </w:tc>
        <w:tc>
          <w:tcPr>
            <w:tcW w:w="1832" w:type="dxa"/>
          </w:tcPr>
          <w:p>
            <w:pPr>
              <w:pStyle w:val="TableParagraph"/>
              <w:spacing w:before="42"/>
              <w:ind w:left="242"/>
              <w:rPr>
                <w:rFonts w:ascii="微软雅黑" w:eastAsia="微软雅黑" w:hint="eastAsia"/>
                <w:b/>
                <w:sz w:val="21"/>
              </w:rPr>
            </w:pPr>
            <w:r>
              <w:rPr>
                <w:rFonts w:ascii="微软雅黑" w:eastAsia="微软雅黑" w:hint="eastAsia"/>
                <w:b/>
                <w:sz w:val="21"/>
              </w:rPr>
              <w:t>机动车</w:t>
            </w:r>
          </w:p>
        </w:tc>
        <w:tc>
          <w:tcPr>
            <w:tcW w:w="7577" w:type="dxa"/>
          </w:tcPr>
          <w:p>
            <w:pPr>
              <w:pStyle w:val="TableParagraph"/>
              <w:spacing w:line="278" w:lineRule="auto" w:before="104"/>
              <w:ind w:left="112" w:right="306"/>
              <w:rPr>
                <w:sz w:val="21"/>
              </w:rPr>
            </w:pPr>
            <w:r>
              <w:rPr>
                <w:sz w:val="21"/>
              </w:rPr>
              <w:t>指以动力装置驱动或者牵引，上道路行驶的供人员乘用或者用于运送物品以及进行工程专项作业的轮式车辆。</w:t>
            </w:r>
          </w:p>
        </w:tc>
      </w:tr>
      <w:tr>
        <w:trPr>
          <w:trHeight w:val="404" w:hRule="atLeast"/>
        </w:trPr>
        <w:tc>
          <w:tcPr>
            <w:tcW w:w="682" w:type="dxa"/>
          </w:tcPr>
          <w:p>
            <w:pPr>
              <w:pStyle w:val="TableParagraph"/>
              <w:spacing w:line="343" w:lineRule="exact" w:before="42"/>
              <w:ind w:left="108"/>
              <w:rPr>
                <w:rFonts w:ascii="微软雅黑"/>
                <w:b/>
                <w:sz w:val="21"/>
              </w:rPr>
            </w:pPr>
            <w:r>
              <w:rPr>
                <w:rFonts w:ascii="微软雅黑"/>
                <w:b/>
                <w:sz w:val="21"/>
              </w:rPr>
              <w:t>8.9</w:t>
            </w:r>
          </w:p>
        </w:tc>
        <w:tc>
          <w:tcPr>
            <w:tcW w:w="1832" w:type="dxa"/>
          </w:tcPr>
          <w:p>
            <w:pPr>
              <w:pStyle w:val="TableParagraph"/>
              <w:spacing w:line="343" w:lineRule="exact" w:before="42"/>
              <w:ind w:left="242"/>
              <w:rPr>
                <w:rFonts w:ascii="微软雅黑" w:eastAsia="微软雅黑" w:hint="eastAsia"/>
                <w:b/>
                <w:sz w:val="21"/>
              </w:rPr>
            </w:pPr>
            <w:r>
              <w:rPr>
                <w:rFonts w:ascii="微软雅黑" w:eastAsia="微软雅黑" w:hint="eastAsia"/>
                <w:b/>
                <w:sz w:val="21"/>
              </w:rPr>
              <w:t>感染艾滋病病毒</w:t>
            </w:r>
          </w:p>
        </w:tc>
        <w:tc>
          <w:tcPr>
            <w:tcW w:w="7577" w:type="dxa"/>
          </w:tcPr>
          <w:p>
            <w:pPr>
              <w:pStyle w:val="TableParagraph"/>
              <w:spacing w:before="104"/>
              <w:ind w:left="112"/>
              <w:rPr>
                <w:sz w:val="21"/>
              </w:rPr>
            </w:pPr>
            <w:r>
              <w:rPr>
                <w:sz w:val="21"/>
              </w:rPr>
              <w:t>艾滋病病毒指人类免疫缺陷病毒，英文缩写为 HIV。艾滋病指人类免疫缺陷病</w:t>
            </w:r>
          </w:p>
        </w:tc>
      </w:tr>
    </w:tbl>
    <w:p>
      <w:pPr>
        <w:spacing w:after="0"/>
        <w:rPr>
          <w:sz w:val="21"/>
        </w:rPr>
        <w:sectPr>
          <w:pgSz w:w="11910" w:h="16840"/>
          <w:pgMar w:top="1260" w:bottom="280" w:left="1020" w:right="5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786"/>
        <w:gridCol w:w="7440"/>
      </w:tblGrid>
      <w:tr>
        <w:trPr>
          <w:trHeight w:val="1443" w:hRule="atLeast"/>
        </w:trPr>
        <w:tc>
          <w:tcPr>
            <w:tcW w:w="820" w:type="dxa"/>
          </w:tcPr>
          <w:p>
            <w:pPr>
              <w:pStyle w:val="TableParagraph"/>
              <w:spacing w:before="0"/>
              <w:ind w:left="0"/>
              <w:rPr>
                <w:rFonts w:ascii="Times New Roman"/>
                <w:sz w:val="20"/>
              </w:rPr>
            </w:pPr>
          </w:p>
        </w:tc>
        <w:tc>
          <w:tcPr>
            <w:tcW w:w="1786" w:type="dxa"/>
          </w:tcPr>
          <w:p>
            <w:pPr>
              <w:pStyle w:val="TableParagraph"/>
              <w:spacing w:line="241" w:lineRule="exact" w:before="0"/>
              <w:ind w:left="195"/>
              <w:rPr>
                <w:rFonts w:ascii="微软雅黑" w:eastAsia="微软雅黑" w:hint="eastAsia"/>
                <w:b/>
                <w:sz w:val="21"/>
              </w:rPr>
            </w:pPr>
            <w:r>
              <w:rPr>
                <w:rFonts w:ascii="微软雅黑" w:eastAsia="微软雅黑" w:hint="eastAsia"/>
                <w:b/>
                <w:sz w:val="21"/>
              </w:rPr>
              <w:t>或者患艾滋病</w:t>
            </w:r>
          </w:p>
        </w:tc>
        <w:tc>
          <w:tcPr>
            <w:tcW w:w="7440" w:type="dxa"/>
          </w:tcPr>
          <w:p>
            <w:pPr>
              <w:pStyle w:val="TableParagraph"/>
              <w:spacing w:line="215" w:lineRule="exact" w:before="0"/>
              <w:ind w:left="112"/>
              <w:rPr>
                <w:sz w:val="21"/>
              </w:rPr>
            </w:pPr>
            <w:r>
              <w:rPr>
                <w:spacing w:val="-3"/>
                <w:w w:val="100"/>
                <w:sz w:val="21"/>
              </w:rPr>
              <w:t>毒引起的获得性免疫缺陷综合征，英文缩写为</w:t>
            </w:r>
            <w:r>
              <w:rPr>
                <w:spacing w:val="-53"/>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ind w:left="112" w:right="201"/>
              <w:jc w:val="both"/>
              <w:rPr>
                <w:sz w:val="21"/>
              </w:rPr>
            </w:pPr>
            <w:r>
              <w:rPr>
                <w:spacing w:val="-4"/>
                <w:sz w:val="21"/>
              </w:rPr>
              <w:t>在人体血液或者其他样本中检测到艾滋病病毒或者其抗体呈阳性，没有出现临</w:t>
            </w:r>
            <w:r>
              <w:rPr>
                <w:spacing w:val="-5"/>
                <w:sz w:val="21"/>
              </w:rPr>
              <w:t>床症状或者体征的，为感染艾滋病病毒；如果同时出现了明显临床症状或者体</w:t>
            </w:r>
            <w:r>
              <w:rPr>
                <w:spacing w:val="-4"/>
                <w:sz w:val="21"/>
              </w:rPr>
              <w:t>征的，为患艾滋病。</w:t>
            </w:r>
          </w:p>
        </w:tc>
      </w:tr>
      <w:tr>
        <w:trPr>
          <w:trHeight w:val="887" w:hRule="atLeast"/>
        </w:trPr>
        <w:tc>
          <w:tcPr>
            <w:tcW w:w="820" w:type="dxa"/>
          </w:tcPr>
          <w:p>
            <w:pPr>
              <w:pStyle w:val="TableParagraph"/>
              <w:spacing w:before="40"/>
              <w:ind w:left="155" w:right="152"/>
              <w:jc w:val="center"/>
              <w:rPr>
                <w:rFonts w:ascii="微软雅黑"/>
                <w:b/>
                <w:sz w:val="21"/>
              </w:rPr>
            </w:pPr>
            <w:r>
              <w:rPr>
                <w:rFonts w:ascii="微软雅黑"/>
                <w:b/>
                <w:sz w:val="21"/>
              </w:rPr>
              <w:t>8.10</w:t>
            </w:r>
          </w:p>
        </w:tc>
        <w:tc>
          <w:tcPr>
            <w:tcW w:w="1786" w:type="dxa"/>
          </w:tcPr>
          <w:p>
            <w:pPr>
              <w:pStyle w:val="TableParagraph"/>
              <w:spacing w:before="40"/>
              <w:ind w:left="195"/>
              <w:rPr>
                <w:rFonts w:ascii="微软雅黑" w:eastAsia="微软雅黑" w:hint="eastAsia"/>
                <w:b/>
                <w:sz w:val="21"/>
              </w:rPr>
            </w:pPr>
            <w:r>
              <w:rPr>
                <w:rFonts w:ascii="微软雅黑" w:eastAsia="微软雅黑" w:hint="eastAsia"/>
                <w:b/>
                <w:sz w:val="21"/>
              </w:rPr>
              <w:t>遗传性疾病</w:t>
            </w:r>
          </w:p>
        </w:tc>
        <w:tc>
          <w:tcPr>
            <w:tcW w:w="7440" w:type="dxa"/>
          </w:tcPr>
          <w:p>
            <w:pPr>
              <w:pStyle w:val="TableParagraph"/>
              <w:spacing w:line="280" w:lineRule="auto" w:before="103"/>
              <w:ind w:left="112" w:right="155"/>
              <w:rPr>
                <w:sz w:val="21"/>
              </w:rPr>
            </w:pPr>
            <w:r>
              <w:rPr>
                <w:sz w:val="21"/>
              </w:rPr>
              <w:t>指Th殖细胞或者受精卵的遗传物质（染色体和基因）发Th突变或者畸变所引起的疾病，通常具有由亲代传至后代的垂直传递的特征。</w:t>
            </w:r>
          </w:p>
        </w:tc>
      </w:tr>
      <w:tr>
        <w:trPr>
          <w:trHeight w:val="1207" w:hRule="atLeast"/>
        </w:trPr>
        <w:tc>
          <w:tcPr>
            <w:tcW w:w="820" w:type="dxa"/>
          </w:tcPr>
          <w:p>
            <w:pPr>
              <w:pStyle w:val="TableParagraph"/>
              <w:spacing w:before="40"/>
              <w:ind w:left="143" w:right="163"/>
              <w:jc w:val="center"/>
              <w:rPr>
                <w:rFonts w:ascii="微软雅黑"/>
                <w:b/>
                <w:sz w:val="21"/>
              </w:rPr>
            </w:pPr>
            <w:r>
              <w:rPr>
                <w:rFonts w:ascii="微软雅黑"/>
                <w:b/>
                <w:sz w:val="21"/>
              </w:rPr>
              <w:t>8.11</w:t>
            </w:r>
          </w:p>
        </w:tc>
        <w:tc>
          <w:tcPr>
            <w:tcW w:w="1786" w:type="dxa"/>
          </w:tcPr>
          <w:p>
            <w:pPr>
              <w:pStyle w:val="TableParagraph"/>
              <w:spacing w:line="211" w:lineRule="auto" w:before="84"/>
              <w:ind w:left="195" w:right="109"/>
              <w:jc w:val="both"/>
              <w:rPr>
                <w:rFonts w:ascii="微软雅黑" w:eastAsia="微软雅黑" w:hint="eastAsia"/>
                <w:b/>
                <w:sz w:val="21"/>
              </w:rPr>
            </w:pPr>
            <w:r>
              <w:rPr>
                <w:rFonts w:ascii="微软雅黑" w:eastAsia="微软雅黑" w:hint="eastAsia"/>
                <w:b/>
                <w:sz w:val="21"/>
              </w:rPr>
              <w:t>先天性畸形、变形或者染色体异常</w:t>
            </w:r>
          </w:p>
        </w:tc>
        <w:tc>
          <w:tcPr>
            <w:tcW w:w="7440" w:type="dxa"/>
          </w:tcPr>
          <w:p>
            <w:pPr>
              <w:pStyle w:val="TableParagraph"/>
              <w:spacing w:line="280" w:lineRule="auto" w:before="103"/>
              <w:ind w:left="112" w:right="201"/>
              <w:rPr>
                <w:sz w:val="21"/>
              </w:rPr>
            </w:pPr>
            <w:r>
              <w:rPr>
                <w:spacing w:val="-2"/>
                <w:sz w:val="21"/>
              </w:rPr>
              <w:t>指被保险人出</w:t>
            </w:r>
            <w:r>
              <w:rPr>
                <w:sz w:val="21"/>
              </w:rPr>
              <w:t>Th</w:t>
            </w:r>
            <w:r>
              <w:rPr>
                <w:spacing w:val="-6"/>
                <w:sz w:val="21"/>
              </w:rPr>
              <w:t>时就具有的畸形、变形或者染色体异常。先天性畸形、变形和</w:t>
            </w:r>
            <w:r>
              <w:rPr>
                <w:spacing w:val="-4"/>
                <w:w w:val="100"/>
                <w:sz w:val="21"/>
              </w:rPr>
              <w:t>染色体异常依照世界卫</w:t>
            </w:r>
            <w:r>
              <w:rPr>
                <w:w w:val="100"/>
                <w:sz w:val="21"/>
              </w:rPr>
              <w:t>T</w:t>
            </w:r>
            <w:r>
              <w:rPr>
                <w:spacing w:val="-3"/>
                <w:w w:val="100"/>
                <w:sz w:val="21"/>
              </w:rPr>
              <w:t>h</w:t>
            </w:r>
            <w:r>
              <w:rPr>
                <w:spacing w:val="-9"/>
                <w:w w:val="100"/>
                <w:sz w:val="21"/>
              </w:rPr>
              <w:t>组织《疾病和有关健康问题的国际统计分类》</w:t>
            </w:r>
            <w:r>
              <w:rPr>
                <w:spacing w:val="-1"/>
                <w:w w:val="100"/>
                <w:sz w:val="21"/>
              </w:rPr>
              <w:t>（</w:t>
            </w:r>
            <w:r>
              <w:rPr>
                <w:spacing w:val="-1"/>
                <w:w w:val="51"/>
                <w:sz w:val="21"/>
              </w:rPr>
              <w:t>I</w:t>
            </w:r>
            <w:r>
              <w:rPr>
                <w:w w:val="159"/>
                <w:sz w:val="21"/>
              </w:rPr>
              <w:t>C</w:t>
            </w:r>
            <w:r>
              <w:rPr>
                <w:spacing w:val="-3"/>
                <w:w w:val="159"/>
                <w:sz w:val="21"/>
              </w:rPr>
              <w:t>D</w:t>
            </w:r>
            <w:r>
              <w:rPr>
                <w:w w:val="124"/>
                <w:sz w:val="21"/>
              </w:rPr>
              <w:t>-</w:t>
            </w:r>
          </w:p>
          <w:p>
            <w:pPr>
              <w:pStyle w:val="TableParagraph"/>
              <w:spacing w:before="8"/>
              <w:ind w:left="112"/>
              <w:rPr>
                <w:sz w:val="21"/>
              </w:rPr>
            </w:pPr>
            <w:r>
              <w:rPr>
                <w:sz w:val="21"/>
              </w:rPr>
              <w:t>10）确定。</w:t>
            </w:r>
          </w:p>
        </w:tc>
      </w:tr>
      <w:tr>
        <w:trPr>
          <w:trHeight w:val="4565" w:hRule="atLeast"/>
        </w:trPr>
        <w:tc>
          <w:tcPr>
            <w:tcW w:w="820" w:type="dxa"/>
          </w:tcPr>
          <w:p>
            <w:pPr>
              <w:pStyle w:val="TableParagraph"/>
              <w:spacing w:before="40"/>
              <w:ind w:left="155" w:right="154"/>
              <w:jc w:val="center"/>
              <w:rPr>
                <w:rFonts w:ascii="微软雅黑"/>
                <w:b/>
                <w:sz w:val="21"/>
              </w:rPr>
            </w:pPr>
            <w:r>
              <w:rPr>
                <w:rFonts w:ascii="微软雅黑"/>
                <w:b/>
                <w:sz w:val="21"/>
              </w:rPr>
              <w:t>8.12</w:t>
            </w:r>
          </w:p>
        </w:tc>
        <w:tc>
          <w:tcPr>
            <w:tcW w:w="1786" w:type="dxa"/>
          </w:tcPr>
          <w:p>
            <w:pPr>
              <w:pStyle w:val="TableParagraph"/>
              <w:spacing w:before="40"/>
              <w:ind w:left="195"/>
              <w:rPr>
                <w:rFonts w:ascii="微软雅黑" w:eastAsia="微软雅黑" w:hint="eastAsia"/>
                <w:b/>
                <w:sz w:val="21"/>
              </w:rPr>
            </w:pPr>
            <w:r>
              <w:rPr>
                <w:rFonts w:ascii="微软雅黑" w:eastAsia="微软雅黑" w:hint="eastAsia"/>
                <w:b/>
                <w:sz w:val="21"/>
              </w:rPr>
              <w:t>现金价值</w:t>
            </w:r>
          </w:p>
        </w:tc>
        <w:tc>
          <w:tcPr>
            <w:tcW w:w="7440" w:type="dxa"/>
          </w:tcPr>
          <w:p>
            <w:pPr>
              <w:pStyle w:val="TableParagraph"/>
              <w:spacing w:line="280" w:lineRule="auto" w:before="103"/>
              <w:ind w:left="112" w:right="203"/>
              <w:jc w:val="both"/>
              <w:rPr>
                <w:sz w:val="21"/>
              </w:rPr>
            </w:pPr>
            <w:r>
              <w:rPr>
                <w:spacing w:val="-5"/>
                <w:sz w:val="21"/>
              </w:rPr>
              <w:t>指保险合同所具有的价值，通常体现为解除合同时，根据精算原理计算的由我</w:t>
            </w:r>
            <w:r>
              <w:rPr>
                <w:spacing w:val="-4"/>
                <w:sz w:val="21"/>
              </w:rPr>
              <w:t>们退还的那部分金额。</w:t>
            </w:r>
          </w:p>
          <w:p>
            <w:pPr>
              <w:pStyle w:val="TableParagraph"/>
              <w:spacing w:line="278" w:lineRule="auto" w:before="88"/>
              <w:ind w:left="112" w:right="197"/>
              <w:jc w:val="both"/>
              <w:rPr>
                <w:sz w:val="21"/>
              </w:rPr>
            </w:pPr>
            <w:r>
              <w:rPr>
                <w:spacing w:val="-5"/>
                <w:sz w:val="21"/>
              </w:rPr>
              <w:t>如果投保人选择一次性交纳保险费，本合同项下每一被保险人对应的现金价值</w:t>
            </w:r>
            <w:r>
              <w:rPr>
                <w:spacing w:val="-4"/>
                <w:w w:val="100"/>
                <w:sz w:val="21"/>
              </w:rPr>
              <w:t>的计算公式为</w:t>
            </w:r>
            <w:r>
              <w:rPr>
                <w:spacing w:val="-55"/>
                <w:sz w:val="21"/>
              </w:rPr>
              <w:t> </w:t>
            </w:r>
            <w:r>
              <w:rPr>
                <w:w w:val="171"/>
                <w:sz w:val="21"/>
              </w:rPr>
              <w:t>G</w:t>
            </w:r>
            <w:r>
              <w:rPr>
                <w:spacing w:val="-1"/>
                <w:w w:val="146"/>
                <w:sz w:val="21"/>
              </w:rPr>
              <w:t>P</w:t>
            </w:r>
            <w:r>
              <w:rPr>
                <w:spacing w:val="-20"/>
                <w:w w:val="100"/>
                <w:sz w:val="21"/>
              </w:rPr>
              <w:t>×</w:t>
            </w:r>
            <w:r>
              <w:rPr>
                <w:w w:val="100"/>
                <w:sz w:val="21"/>
              </w:rPr>
              <w:t>（</w:t>
            </w:r>
            <w:r>
              <w:rPr>
                <w:w w:val="97"/>
                <w:sz w:val="21"/>
              </w:rPr>
              <w:t>1</w:t>
            </w:r>
            <w:r>
              <w:rPr>
                <w:spacing w:val="-4"/>
                <w:w w:val="124"/>
                <w:sz w:val="21"/>
              </w:rPr>
              <w:t>-</w:t>
            </w:r>
            <w:r>
              <w:rPr>
                <w:spacing w:val="-3"/>
                <w:w w:val="120"/>
                <w:sz w:val="21"/>
              </w:rPr>
              <w:t>2</w:t>
            </w:r>
            <w:r>
              <w:rPr>
                <w:spacing w:val="-2"/>
                <w:w w:val="122"/>
                <w:sz w:val="21"/>
              </w:rPr>
              <w:t>5</w:t>
            </w:r>
            <w:r>
              <w:rPr>
                <w:spacing w:val="0"/>
                <w:w w:val="195"/>
                <w:sz w:val="21"/>
              </w:rPr>
              <w:t>%</w:t>
            </w:r>
            <w:r>
              <w:rPr>
                <w:spacing w:val="-20"/>
                <w:w w:val="100"/>
                <w:sz w:val="21"/>
              </w:rPr>
              <w:t>）</w:t>
            </w:r>
            <w:r>
              <w:rPr>
                <w:spacing w:val="-17"/>
                <w:w w:val="100"/>
                <w:sz w:val="21"/>
              </w:rPr>
              <w:t>×</w:t>
            </w:r>
            <w:r>
              <w:rPr>
                <w:spacing w:val="-3"/>
                <w:w w:val="100"/>
                <w:sz w:val="21"/>
              </w:rPr>
              <w:t>（</w:t>
            </w:r>
            <w:r>
              <w:rPr>
                <w:w w:val="97"/>
                <w:sz w:val="21"/>
              </w:rPr>
              <w:t>1</w:t>
            </w:r>
            <w:r>
              <w:rPr>
                <w:spacing w:val="-4"/>
                <w:w w:val="124"/>
                <w:sz w:val="21"/>
              </w:rPr>
              <w:t>-</w:t>
            </w:r>
            <w:r>
              <w:rPr>
                <w:w w:val="122"/>
                <w:sz w:val="21"/>
              </w:rPr>
              <w:t>n</w:t>
            </w:r>
            <w:r>
              <w:rPr>
                <w:spacing w:val="-3"/>
                <w:w w:val="100"/>
                <w:sz w:val="21"/>
              </w:rPr>
              <w:t>÷</w:t>
            </w:r>
            <w:r>
              <w:rPr>
                <w:w w:val="182"/>
                <w:sz w:val="21"/>
              </w:rPr>
              <w:t>m</w:t>
            </w:r>
            <w:r>
              <w:rPr>
                <w:spacing w:val="-108"/>
                <w:w w:val="100"/>
                <w:sz w:val="21"/>
              </w:rPr>
              <w:t>）</w:t>
            </w:r>
            <w:r>
              <w:rPr>
                <w:spacing w:val="-11"/>
                <w:w w:val="100"/>
                <w:sz w:val="21"/>
              </w:rPr>
              <w:t>，其中，</w:t>
            </w:r>
            <w:r>
              <w:rPr>
                <w:w w:val="171"/>
                <w:sz w:val="21"/>
              </w:rPr>
              <w:t>G</w:t>
            </w:r>
            <w:r>
              <w:rPr>
                <w:w w:val="146"/>
                <w:sz w:val="21"/>
              </w:rPr>
              <w:t>P</w:t>
            </w:r>
            <w:r>
              <w:rPr>
                <w:sz w:val="21"/>
              </w:rPr>
              <w:t> </w:t>
            </w:r>
            <w:r>
              <w:rPr>
                <w:spacing w:val="-3"/>
                <w:w w:val="100"/>
                <w:sz w:val="21"/>
              </w:rPr>
              <w:t>为该被保险人对应</w:t>
            </w:r>
            <w:r>
              <w:rPr>
                <w:spacing w:val="-7"/>
                <w:sz w:val="21"/>
              </w:rPr>
              <w:t>的已交纳的保险费，</w:t>
            </w:r>
            <w:r>
              <w:rPr>
                <w:spacing w:val="-34"/>
                <w:sz w:val="21"/>
              </w:rPr>
              <w:t>m</w:t>
            </w:r>
            <w:r>
              <w:rPr>
                <w:spacing w:val="-5"/>
                <w:sz w:val="21"/>
              </w:rPr>
              <w:t> 为该被保险人对应的保险期间内所包含的天数，</w:t>
            </w:r>
            <w:r>
              <w:rPr>
                <w:spacing w:val="-34"/>
                <w:sz w:val="21"/>
              </w:rPr>
              <w:t>n</w:t>
            </w:r>
            <w:r>
              <w:rPr>
                <w:spacing w:val="-4"/>
                <w:sz w:val="21"/>
              </w:rPr>
              <w:t> 为从</w:t>
            </w:r>
            <w:r>
              <w:rPr>
                <w:spacing w:val="2"/>
                <w:sz w:val="21"/>
              </w:rPr>
              <w:t>该被保险人保险责任开始之日至对其承担的保险责任终止之日实际经过的天</w:t>
            </w:r>
            <w:r>
              <w:rPr>
                <w:sz w:val="21"/>
              </w:rPr>
              <w:t>数（</w:t>
            </w:r>
            <w:r>
              <w:rPr>
                <w:spacing w:val="-3"/>
                <w:sz w:val="21"/>
              </w:rPr>
              <w:t>不足一天的不计</w:t>
            </w:r>
            <w:r>
              <w:rPr>
                <w:spacing w:val="-106"/>
                <w:sz w:val="21"/>
              </w:rPr>
              <w:t>）</w:t>
            </w:r>
            <w:r>
              <w:rPr>
                <w:sz w:val="21"/>
              </w:rPr>
              <w:t>。</w:t>
            </w:r>
          </w:p>
          <w:p>
            <w:pPr>
              <w:pStyle w:val="TableParagraph"/>
              <w:spacing w:line="280" w:lineRule="auto" w:before="89"/>
              <w:ind w:left="112" w:right="199"/>
              <w:jc w:val="both"/>
              <w:rPr>
                <w:sz w:val="21"/>
              </w:rPr>
            </w:pPr>
            <w:r>
              <w:rPr>
                <w:spacing w:val="-5"/>
                <w:sz w:val="21"/>
              </w:rPr>
              <w:t>如果投保人选择分期交纳保险费，本合同项下每一被保险人对应的现金价值的</w:t>
            </w:r>
            <w:r>
              <w:rPr>
                <w:spacing w:val="-4"/>
                <w:w w:val="100"/>
                <w:sz w:val="21"/>
              </w:rPr>
              <w:t>计算公式为</w:t>
            </w:r>
            <w:r>
              <w:rPr>
                <w:spacing w:val="-4"/>
                <w:sz w:val="21"/>
              </w:rPr>
              <w:t> </w:t>
            </w:r>
            <w:r>
              <w:rPr>
                <w:w w:val="171"/>
                <w:sz w:val="21"/>
              </w:rPr>
              <w:t>G</w:t>
            </w:r>
            <w:r>
              <w:rPr>
                <w:spacing w:val="-1"/>
                <w:w w:val="146"/>
                <w:sz w:val="21"/>
              </w:rPr>
              <w:t>P</w:t>
            </w:r>
            <w:r>
              <w:rPr>
                <w:spacing w:val="-3"/>
                <w:w w:val="89"/>
                <w:sz w:val="21"/>
              </w:rPr>
              <w:t>*</w:t>
            </w:r>
            <w:r>
              <w:rPr>
                <w:spacing w:val="-29"/>
                <w:w w:val="100"/>
                <w:sz w:val="21"/>
              </w:rPr>
              <w:t>×</w:t>
            </w:r>
            <w:r>
              <w:rPr>
                <w:spacing w:val="-3"/>
                <w:w w:val="100"/>
                <w:sz w:val="21"/>
              </w:rPr>
              <w:t>（</w:t>
            </w:r>
            <w:r>
              <w:rPr>
                <w:w w:val="97"/>
                <w:sz w:val="21"/>
              </w:rPr>
              <w:t>1</w:t>
            </w:r>
            <w:r>
              <w:rPr>
                <w:spacing w:val="-1"/>
                <w:w w:val="124"/>
                <w:sz w:val="21"/>
              </w:rPr>
              <w:t>-</w:t>
            </w:r>
            <w:r>
              <w:rPr>
                <w:spacing w:val="-3"/>
                <w:w w:val="120"/>
                <w:sz w:val="21"/>
              </w:rPr>
              <w:t>2</w:t>
            </w:r>
            <w:r>
              <w:rPr>
                <w:spacing w:val="-2"/>
                <w:w w:val="159"/>
                <w:sz w:val="21"/>
              </w:rPr>
              <w:t>5%</w:t>
            </w:r>
            <w:r>
              <w:rPr>
                <w:spacing w:val="-29"/>
                <w:w w:val="100"/>
                <w:sz w:val="21"/>
              </w:rPr>
              <w:t>）</w:t>
            </w:r>
            <w:r>
              <w:rPr>
                <w:spacing w:val="-32"/>
                <w:w w:val="100"/>
                <w:sz w:val="21"/>
              </w:rPr>
              <w:t>×</w:t>
            </w:r>
            <w:r>
              <w:rPr>
                <w:spacing w:val="-1"/>
                <w:w w:val="100"/>
                <w:sz w:val="21"/>
              </w:rPr>
              <w:t>（</w:t>
            </w:r>
            <w:r>
              <w:rPr>
                <w:w w:val="97"/>
                <w:sz w:val="21"/>
              </w:rPr>
              <w:t>1</w:t>
            </w:r>
            <w:r>
              <w:rPr>
                <w:spacing w:val="-4"/>
                <w:w w:val="124"/>
                <w:sz w:val="21"/>
              </w:rPr>
              <w:t>-</w:t>
            </w:r>
            <w:r>
              <w:rPr>
                <w:w w:val="122"/>
                <w:sz w:val="21"/>
              </w:rPr>
              <w:t>n</w:t>
            </w:r>
            <w:r>
              <w:rPr>
                <w:spacing w:val="-1"/>
                <w:w w:val="89"/>
                <w:sz w:val="21"/>
              </w:rPr>
              <w:t>*</w:t>
            </w:r>
            <w:r>
              <w:rPr>
                <w:spacing w:val="-3"/>
                <w:w w:val="100"/>
                <w:sz w:val="21"/>
              </w:rPr>
              <w:t>÷</w:t>
            </w:r>
            <w:r>
              <w:rPr>
                <w:w w:val="182"/>
                <w:sz w:val="21"/>
              </w:rPr>
              <w:t>m</w:t>
            </w:r>
            <w:r>
              <w:rPr>
                <w:spacing w:val="-1"/>
                <w:w w:val="89"/>
                <w:sz w:val="21"/>
              </w:rPr>
              <w:t>*</w:t>
            </w:r>
            <w:r>
              <w:rPr>
                <w:spacing w:val="-108"/>
                <w:w w:val="100"/>
                <w:sz w:val="21"/>
              </w:rPr>
              <w:t>）</w:t>
            </w:r>
            <w:r>
              <w:rPr>
                <w:spacing w:val="-17"/>
                <w:w w:val="100"/>
                <w:sz w:val="21"/>
              </w:rPr>
              <w:t>，其中，</w:t>
            </w:r>
            <w:r>
              <w:rPr>
                <w:w w:val="171"/>
                <w:sz w:val="21"/>
              </w:rPr>
              <w:t>G</w:t>
            </w:r>
            <w:r>
              <w:rPr>
                <w:spacing w:val="-1"/>
                <w:w w:val="146"/>
                <w:sz w:val="21"/>
              </w:rPr>
              <w:t>P</w:t>
            </w:r>
            <w:r>
              <w:rPr>
                <w:spacing w:val="-3"/>
                <w:w w:val="89"/>
                <w:sz w:val="21"/>
              </w:rPr>
              <w:t>*</w:t>
            </w:r>
            <w:r>
              <w:rPr>
                <w:spacing w:val="-3"/>
                <w:w w:val="100"/>
                <w:sz w:val="21"/>
              </w:rPr>
              <w:t>为该被保险人对应</w:t>
            </w:r>
            <w:r>
              <w:rPr>
                <w:spacing w:val="-12"/>
                <w:w w:val="100"/>
                <w:sz w:val="21"/>
              </w:rPr>
              <w:t>的已交纳的当期保险费，</w:t>
            </w:r>
            <w:r>
              <w:rPr>
                <w:spacing w:val="-2"/>
                <w:w w:val="182"/>
                <w:sz w:val="21"/>
              </w:rPr>
              <w:t>m</w:t>
            </w:r>
            <w:r>
              <w:rPr>
                <w:spacing w:val="-1"/>
                <w:w w:val="89"/>
                <w:sz w:val="21"/>
              </w:rPr>
              <w:t>*</w:t>
            </w:r>
            <w:r>
              <w:rPr>
                <w:spacing w:val="-3"/>
                <w:w w:val="100"/>
                <w:sz w:val="21"/>
              </w:rPr>
              <w:t>为该被保险人对应的当期保险费约定交纳日至下一</w:t>
            </w:r>
            <w:r>
              <w:rPr>
                <w:spacing w:val="-5"/>
                <w:sz w:val="21"/>
              </w:rPr>
              <w:t>期保险费约定交纳日</w:t>
            </w:r>
            <w:r>
              <w:rPr>
                <w:spacing w:val="-3"/>
                <w:sz w:val="21"/>
              </w:rPr>
              <w:t>（</w:t>
            </w:r>
            <w:r>
              <w:rPr>
                <w:spacing w:val="-2"/>
                <w:sz w:val="21"/>
              </w:rPr>
              <w:t>不含</w:t>
            </w:r>
            <w:r>
              <w:rPr>
                <w:spacing w:val="-13"/>
                <w:sz w:val="21"/>
              </w:rPr>
              <w:t>）</w:t>
            </w:r>
            <w:r>
              <w:rPr>
                <w:spacing w:val="-4"/>
                <w:sz w:val="21"/>
              </w:rPr>
              <w:t>之间所包含的天数，</w:t>
            </w:r>
            <w:r>
              <w:rPr>
                <w:spacing w:val="-6"/>
                <w:sz w:val="21"/>
              </w:rPr>
              <w:t>n*</w:t>
            </w:r>
            <w:r>
              <w:rPr>
                <w:spacing w:val="-3"/>
                <w:sz w:val="21"/>
              </w:rPr>
              <w:t>为该被保险人对应的当期</w:t>
            </w:r>
            <w:r>
              <w:rPr>
                <w:spacing w:val="-4"/>
                <w:sz w:val="21"/>
              </w:rPr>
              <w:t>保险费约定交纳日至对其承担的保险责任终止之日实际经过的天数</w:t>
            </w:r>
            <w:r>
              <w:rPr>
                <w:spacing w:val="-3"/>
                <w:sz w:val="21"/>
              </w:rPr>
              <w:t>（不足一天的不计</w:t>
            </w:r>
            <w:r>
              <w:rPr>
                <w:spacing w:val="-106"/>
                <w:sz w:val="21"/>
              </w:rPr>
              <w:t>）</w:t>
            </w:r>
            <w:r>
              <w:rPr>
                <w:sz w:val="21"/>
              </w:rPr>
              <w:t>。</w:t>
            </w:r>
          </w:p>
        </w:tc>
      </w:tr>
      <w:tr>
        <w:trPr>
          <w:trHeight w:val="888" w:hRule="atLeast"/>
        </w:trPr>
        <w:tc>
          <w:tcPr>
            <w:tcW w:w="820" w:type="dxa"/>
          </w:tcPr>
          <w:p>
            <w:pPr>
              <w:pStyle w:val="TableParagraph"/>
              <w:spacing w:before="41"/>
              <w:ind w:left="155" w:right="153"/>
              <w:jc w:val="center"/>
              <w:rPr>
                <w:rFonts w:ascii="微软雅黑"/>
                <w:b/>
                <w:sz w:val="21"/>
              </w:rPr>
            </w:pPr>
            <w:r>
              <w:rPr>
                <w:rFonts w:ascii="微软雅黑"/>
                <w:b/>
                <w:sz w:val="21"/>
              </w:rPr>
              <w:t>8.13</w:t>
            </w:r>
          </w:p>
        </w:tc>
        <w:tc>
          <w:tcPr>
            <w:tcW w:w="1786" w:type="dxa"/>
          </w:tcPr>
          <w:p>
            <w:pPr>
              <w:pStyle w:val="TableParagraph"/>
              <w:spacing w:line="213" w:lineRule="auto" w:before="80"/>
              <w:ind w:left="195" w:right="109"/>
              <w:rPr>
                <w:rFonts w:ascii="微软雅黑" w:eastAsia="微软雅黑" w:hint="eastAsia"/>
                <w:b/>
                <w:sz w:val="21"/>
              </w:rPr>
            </w:pPr>
            <w:r>
              <w:rPr>
                <w:rFonts w:ascii="微软雅黑" w:eastAsia="微软雅黑" w:hint="eastAsia"/>
                <w:b/>
                <w:sz w:val="21"/>
              </w:rPr>
              <w:t>保险费约定交纳日</w:t>
            </w:r>
          </w:p>
        </w:tc>
        <w:tc>
          <w:tcPr>
            <w:tcW w:w="7440" w:type="dxa"/>
          </w:tcPr>
          <w:p>
            <w:pPr>
              <w:pStyle w:val="TableParagraph"/>
              <w:spacing w:line="280" w:lineRule="auto" w:before="103"/>
              <w:ind w:left="112" w:right="156"/>
              <w:rPr>
                <w:sz w:val="21"/>
              </w:rPr>
            </w:pPr>
            <w:r>
              <w:rPr>
                <w:sz w:val="21"/>
              </w:rPr>
              <w:t>保险合同Th效日在每月、每季、每半年或者每年（根据交费方式确定）的对应日。如果当月无对应的同一日，则以该月最后一日为对应日。</w:t>
            </w:r>
          </w:p>
        </w:tc>
      </w:tr>
      <w:tr>
        <w:trPr>
          <w:trHeight w:val="1925" w:hRule="atLeast"/>
        </w:trPr>
        <w:tc>
          <w:tcPr>
            <w:tcW w:w="820" w:type="dxa"/>
          </w:tcPr>
          <w:p>
            <w:pPr>
              <w:pStyle w:val="TableParagraph"/>
              <w:spacing w:before="40"/>
              <w:ind w:left="155" w:right="151"/>
              <w:jc w:val="center"/>
              <w:rPr>
                <w:rFonts w:ascii="微软雅黑"/>
                <w:b/>
                <w:sz w:val="21"/>
              </w:rPr>
            </w:pPr>
            <w:r>
              <w:rPr>
                <w:rFonts w:ascii="微软雅黑"/>
                <w:b/>
                <w:sz w:val="21"/>
              </w:rPr>
              <w:t>8.14</w:t>
            </w:r>
          </w:p>
        </w:tc>
        <w:tc>
          <w:tcPr>
            <w:tcW w:w="1786" w:type="dxa"/>
          </w:tcPr>
          <w:p>
            <w:pPr>
              <w:pStyle w:val="TableParagraph"/>
              <w:spacing w:before="40"/>
              <w:ind w:left="195"/>
              <w:rPr>
                <w:rFonts w:ascii="微软雅黑" w:eastAsia="微软雅黑" w:hint="eastAsia"/>
                <w:b/>
                <w:sz w:val="21"/>
              </w:rPr>
            </w:pPr>
            <w:r>
              <w:rPr>
                <w:rFonts w:ascii="微软雅黑" w:eastAsia="微软雅黑" w:hint="eastAsia"/>
                <w:b/>
                <w:sz w:val="21"/>
              </w:rPr>
              <w:t>周岁</w:t>
            </w:r>
          </w:p>
        </w:tc>
        <w:tc>
          <w:tcPr>
            <w:tcW w:w="7440" w:type="dxa"/>
          </w:tcPr>
          <w:p>
            <w:pPr>
              <w:pStyle w:val="TableParagraph"/>
              <w:spacing w:line="280" w:lineRule="auto" w:before="103"/>
              <w:ind w:left="112" w:right="155"/>
              <w:rPr>
                <w:sz w:val="21"/>
              </w:rPr>
            </w:pPr>
            <w:r>
              <w:rPr>
                <w:sz w:val="21"/>
              </w:rPr>
              <w:t>指按有效身份证件中记载的出Th日期计算的年龄，自出Th之日起为零周岁，每经过一年增加一岁，不足一年的不计。</w:t>
            </w:r>
          </w:p>
          <w:p>
            <w:pPr>
              <w:pStyle w:val="TableParagraph"/>
              <w:spacing w:before="85"/>
              <w:ind w:left="112"/>
              <w:rPr>
                <w:sz w:val="21"/>
              </w:rPr>
            </w:pPr>
            <w:r>
              <w:rPr>
                <w:spacing w:val="-1"/>
                <w:w w:val="105"/>
                <w:sz w:val="21"/>
              </w:rPr>
              <w:t>例如，出</w:t>
            </w:r>
            <w:r>
              <w:rPr>
                <w:w w:val="105"/>
                <w:sz w:val="21"/>
              </w:rPr>
              <w:t>Th</w:t>
            </w:r>
            <w:r>
              <w:rPr>
                <w:spacing w:val="-16"/>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ind w:left="112"/>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4"/>
              <w:ind w:left="112"/>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8"/>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1209" w:hRule="atLeast"/>
        </w:trPr>
        <w:tc>
          <w:tcPr>
            <w:tcW w:w="820" w:type="dxa"/>
          </w:tcPr>
          <w:p>
            <w:pPr>
              <w:pStyle w:val="TableParagraph"/>
              <w:spacing w:before="42"/>
              <w:ind w:left="155" w:right="152"/>
              <w:jc w:val="center"/>
              <w:rPr>
                <w:rFonts w:ascii="微软雅黑"/>
                <w:b/>
                <w:sz w:val="21"/>
              </w:rPr>
            </w:pPr>
            <w:r>
              <w:rPr>
                <w:rFonts w:ascii="微软雅黑"/>
                <w:b/>
                <w:sz w:val="21"/>
              </w:rPr>
              <w:t>8.15</w:t>
            </w:r>
          </w:p>
        </w:tc>
        <w:tc>
          <w:tcPr>
            <w:tcW w:w="1786" w:type="dxa"/>
          </w:tcPr>
          <w:p>
            <w:pPr>
              <w:pStyle w:val="TableParagraph"/>
              <w:spacing w:before="42"/>
              <w:ind w:left="195"/>
              <w:rPr>
                <w:rFonts w:ascii="微软雅黑" w:eastAsia="微软雅黑" w:hint="eastAsia"/>
                <w:b/>
                <w:sz w:val="21"/>
              </w:rPr>
            </w:pPr>
            <w:r>
              <w:rPr>
                <w:rFonts w:ascii="微软雅黑" w:eastAsia="微软雅黑" w:hint="eastAsia"/>
                <w:b/>
                <w:sz w:val="21"/>
              </w:rPr>
              <w:t>有效身份证件</w:t>
            </w:r>
          </w:p>
        </w:tc>
        <w:tc>
          <w:tcPr>
            <w:tcW w:w="7440" w:type="dxa"/>
          </w:tcPr>
          <w:p>
            <w:pPr>
              <w:pStyle w:val="TableParagraph"/>
              <w:spacing w:line="280" w:lineRule="auto" w:before="104"/>
              <w:ind w:left="112" w:right="197"/>
              <w:jc w:val="both"/>
              <w:rPr>
                <w:sz w:val="21"/>
              </w:rPr>
            </w:pPr>
            <w:r>
              <w:rPr>
                <w:color w:val="212121"/>
                <w:spacing w:val="2"/>
                <w:sz w:val="21"/>
              </w:rPr>
              <w:t>指由中华人民共和国政府主管部门规定的能够证明其身份且附有本人照片的</w:t>
            </w:r>
            <w:r>
              <w:rPr>
                <w:color w:val="212121"/>
                <w:spacing w:val="-6"/>
                <w:sz w:val="21"/>
              </w:rPr>
              <w:t>证件，如：居民身份证及中华人民共和国政府主管部门颁发或者认可的有效护</w:t>
            </w:r>
            <w:r>
              <w:rPr>
                <w:color w:val="212121"/>
                <w:spacing w:val="-4"/>
                <w:sz w:val="21"/>
              </w:rPr>
              <w:t>照或者其他身份证明文件</w:t>
            </w:r>
            <w:r>
              <w:rPr>
                <w:sz w:val="21"/>
              </w:rPr>
              <w:t>。</w:t>
            </w:r>
          </w:p>
        </w:tc>
      </w:tr>
      <w:tr>
        <w:trPr>
          <w:trHeight w:val="2239" w:hRule="atLeast"/>
        </w:trPr>
        <w:tc>
          <w:tcPr>
            <w:tcW w:w="820" w:type="dxa"/>
          </w:tcPr>
          <w:p>
            <w:pPr>
              <w:pStyle w:val="TableParagraph"/>
              <w:spacing w:before="40"/>
              <w:ind w:left="155" w:right="151"/>
              <w:jc w:val="center"/>
              <w:rPr>
                <w:rFonts w:ascii="微软雅黑"/>
                <w:b/>
                <w:sz w:val="21"/>
              </w:rPr>
            </w:pPr>
            <w:r>
              <w:rPr>
                <w:rFonts w:ascii="微软雅黑"/>
                <w:b/>
                <w:sz w:val="21"/>
              </w:rPr>
              <w:t>8.16</w:t>
            </w:r>
          </w:p>
        </w:tc>
        <w:tc>
          <w:tcPr>
            <w:tcW w:w="1786" w:type="dxa"/>
          </w:tcPr>
          <w:p>
            <w:pPr>
              <w:pStyle w:val="TableParagraph"/>
              <w:spacing w:before="40"/>
              <w:ind w:left="195"/>
              <w:rPr>
                <w:rFonts w:ascii="微软雅黑" w:eastAsia="微软雅黑" w:hint="eastAsia"/>
                <w:b/>
                <w:sz w:val="21"/>
              </w:rPr>
            </w:pPr>
            <w:r>
              <w:rPr>
                <w:rFonts w:ascii="微软雅黑" w:eastAsia="微软雅黑" w:hint="eastAsia"/>
                <w:b/>
                <w:w w:val="90"/>
                <w:sz w:val="21"/>
              </w:rPr>
              <w:t>专科医Th</w:t>
            </w:r>
          </w:p>
        </w:tc>
        <w:tc>
          <w:tcPr>
            <w:tcW w:w="7440" w:type="dxa"/>
          </w:tcPr>
          <w:p>
            <w:pPr>
              <w:pStyle w:val="TableParagraph"/>
              <w:spacing w:before="103"/>
              <w:ind w:left="112"/>
              <w:rPr>
                <w:sz w:val="21"/>
              </w:rPr>
            </w:pPr>
            <w:r>
              <w:rPr>
                <w:sz w:val="21"/>
              </w:rPr>
              <w:t>专科医Th应当同时满足以下四项资格条件：</w:t>
            </w:r>
          </w:p>
          <w:p>
            <w:pPr>
              <w:pStyle w:val="TableParagraph"/>
              <w:numPr>
                <w:ilvl w:val="0"/>
                <w:numId w:val="49"/>
              </w:numPr>
              <w:tabs>
                <w:tab w:pos="737" w:val="left" w:leader="none"/>
              </w:tabs>
              <w:spacing w:line="240" w:lineRule="auto" w:before="123" w:after="0"/>
              <w:ind w:left="736" w:right="0" w:hanging="624"/>
              <w:jc w:val="left"/>
              <w:rPr>
                <w:sz w:val="21"/>
              </w:rPr>
            </w:pPr>
            <w:r>
              <w:rPr>
                <w:spacing w:val="-9"/>
                <w:sz w:val="21"/>
              </w:rPr>
              <w:t>具有有效的中华人民共和国《医师资格证书》；</w:t>
            </w:r>
          </w:p>
          <w:p>
            <w:pPr>
              <w:pStyle w:val="TableParagraph"/>
              <w:numPr>
                <w:ilvl w:val="0"/>
                <w:numId w:val="49"/>
              </w:numPr>
              <w:tabs>
                <w:tab w:pos="737" w:val="left" w:leader="none"/>
              </w:tabs>
              <w:spacing w:line="278" w:lineRule="auto" w:before="123" w:after="0"/>
              <w:ind w:left="736" w:right="199" w:hanging="624"/>
              <w:jc w:val="left"/>
              <w:rPr>
                <w:sz w:val="21"/>
              </w:rPr>
            </w:pPr>
            <w:r>
              <w:rPr>
                <w:spacing w:val="-16"/>
                <w:sz w:val="21"/>
              </w:rPr>
              <w:t>具有有效的中华人民共和国《医师执业证书》，并按期到相关部门登记注册；</w:t>
            </w:r>
          </w:p>
          <w:p>
            <w:pPr>
              <w:pStyle w:val="TableParagraph"/>
              <w:numPr>
                <w:ilvl w:val="0"/>
                <w:numId w:val="49"/>
              </w:numPr>
              <w:tabs>
                <w:tab w:pos="737" w:val="left" w:leader="none"/>
              </w:tabs>
              <w:spacing w:line="320" w:lineRule="atLeast" w:before="44" w:after="0"/>
              <w:ind w:left="736" w:right="199" w:hanging="624"/>
              <w:jc w:val="left"/>
              <w:rPr>
                <w:sz w:val="21"/>
              </w:rPr>
            </w:pPr>
            <w:r>
              <w:rPr>
                <w:spacing w:val="-4"/>
                <w:sz w:val="21"/>
              </w:rPr>
              <w:t>具有有效的中华人民共和国主治医师或者主治医师以上职称的《医师职</w:t>
            </w:r>
            <w:r>
              <w:rPr>
                <w:spacing w:val="-24"/>
                <w:sz w:val="21"/>
              </w:rPr>
              <w:t>称证书》；</w:t>
            </w:r>
          </w:p>
        </w:tc>
      </w:tr>
    </w:tbl>
    <w:p>
      <w:pPr>
        <w:spacing w:after="0" w:line="320" w:lineRule="atLeast"/>
        <w:jc w:val="left"/>
        <w:rPr>
          <w:sz w:val="21"/>
        </w:rPr>
        <w:sectPr>
          <w:pgSz w:w="11910" w:h="16840"/>
          <w:pgMar w:top="118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774"/>
        <w:gridCol w:w="7437"/>
      </w:tblGrid>
      <w:tr>
        <w:trPr>
          <w:trHeight w:val="405" w:hRule="atLeast"/>
        </w:trPr>
        <w:tc>
          <w:tcPr>
            <w:tcW w:w="833" w:type="dxa"/>
          </w:tcPr>
          <w:p>
            <w:pPr>
              <w:pStyle w:val="TableParagraph"/>
              <w:spacing w:before="0"/>
              <w:ind w:left="0"/>
              <w:rPr>
                <w:rFonts w:ascii="Times New Roman"/>
                <w:sz w:val="20"/>
              </w:rPr>
            </w:pPr>
          </w:p>
        </w:tc>
        <w:tc>
          <w:tcPr>
            <w:tcW w:w="1774" w:type="dxa"/>
          </w:tcPr>
          <w:p>
            <w:pPr>
              <w:pStyle w:val="TableParagraph"/>
              <w:spacing w:before="0"/>
              <w:ind w:left="0"/>
              <w:rPr>
                <w:rFonts w:ascii="Times New Roman"/>
                <w:sz w:val="20"/>
              </w:rPr>
            </w:pPr>
          </w:p>
        </w:tc>
        <w:tc>
          <w:tcPr>
            <w:tcW w:w="7437" w:type="dxa"/>
          </w:tcPr>
          <w:p>
            <w:pPr>
              <w:pStyle w:val="TableParagraph"/>
              <w:spacing w:line="215" w:lineRule="exact" w:before="0"/>
              <w:rPr>
                <w:sz w:val="21"/>
              </w:rPr>
            </w:pPr>
            <w:r>
              <w:rPr>
                <w:sz w:val="21"/>
              </w:rPr>
              <w:t>（4） 在二级或者二级以上医院的相应科室从事临床工作三年以上。</w:t>
            </w:r>
          </w:p>
        </w:tc>
      </w:tr>
      <w:tr>
        <w:trPr>
          <w:trHeight w:val="1208" w:hRule="atLeast"/>
        </w:trPr>
        <w:tc>
          <w:tcPr>
            <w:tcW w:w="833" w:type="dxa"/>
          </w:tcPr>
          <w:p>
            <w:pPr>
              <w:pStyle w:val="TableParagraph"/>
              <w:spacing w:before="42"/>
              <w:ind w:left="0" w:right="207"/>
              <w:jc w:val="right"/>
              <w:rPr>
                <w:rFonts w:ascii="微软雅黑"/>
                <w:b/>
                <w:sz w:val="21"/>
              </w:rPr>
            </w:pPr>
            <w:r>
              <w:rPr>
                <w:rFonts w:ascii="微软雅黑"/>
                <w:b/>
                <w:w w:val="95"/>
                <w:sz w:val="21"/>
              </w:rPr>
              <w:t>8.17</w:t>
            </w:r>
          </w:p>
        </w:tc>
        <w:tc>
          <w:tcPr>
            <w:tcW w:w="1774" w:type="dxa"/>
          </w:tcPr>
          <w:p>
            <w:pPr>
              <w:pStyle w:val="TableParagraph"/>
              <w:spacing w:before="42"/>
              <w:ind w:left="182"/>
              <w:rPr>
                <w:rFonts w:ascii="微软雅黑" w:eastAsia="微软雅黑" w:hint="eastAsia"/>
                <w:b/>
                <w:sz w:val="21"/>
              </w:rPr>
            </w:pPr>
            <w:r>
              <w:rPr>
                <w:rFonts w:ascii="微软雅黑" w:eastAsia="微软雅黑" w:hint="eastAsia"/>
                <w:b/>
                <w:sz w:val="21"/>
              </w:rPr>
              <w:t>复利</w:t>
            </w:r>
          </w:p>
        </w:tc>
        <w:tc>
          <w:tcPr>
            <w:tcW w:w="7437" w:type="dxa"/>
          </w:tcPr>
          <w:p>
            <w:pPr>
              <w:pStyle w:val="TableParagraph"/>
              <w:spacing w:line="280" w:lineRule="auto" w:before="104"/>
              <w:ind w:right="199"/>
              <w:jc w:val="both"/>
              <w:rPr>
                <w:sz w:val="21"/>
              </w:rPr>
            </w:pPr>
            <w:r>
              <w:rPr>
                <w:spacing w:val="-5"/>
                <w:sz w:val="21"/>
              </w:rPr>
              <w:t>本合同采用日复利，即每一日的利息计入下一日的本金并以此为基数计算下一</w:t>
            </w:r>
            <w:r>
              <w:rPr>
                <w:spacing w:val="-8"/>
                <w:w w:val="100"/>
                <w:position w:val="1"/>
                <w:sz w:val="21"/>
              </w:rPr>
              <w:t>日的利息。复利计算的公式为</w:t>
            </w:r>
            <w:r>
              <w:rPr>
                <w:spacing w:val="-55"/>
                <w:position w:val="1"/>
                <w:sz w:val="21"/>
              </w:rPr>
              <w:t> </w:t>
            </w:r>
            <w:r>
              <w:rPr>
                <w:w w:val="147"/>
                <w:position w:val="1"/>
                <w:sz w:val="21"/>
              </w:rPr>
              <w:t>A</w:t>
            </w:r>
            <w:r>
              <w:rPr>
                <w:spacing w:val="-1"/>
                <w:w w:val="128"/>
                <w:position w:val="1"/>
                <w:sz w:val="21"/>
              </w:rPr>
              <w:t>=</w:t>
            </w:r>
            <w:r>
              <w:rPr>
                <w:spacing w:val="-1"/>
                <w:w w:val="146"/>
                <w:position w:val="1"/>
                <w:sz w:val="21"/>
              </w:rPr>
              <w:t>P</w:t>
            </w:r>
            <w:r>
              <w:rPr>
                <w:spacing w:val="-3"/>
                <w:w w:val="100"/>
                <w:position w:val="1"/>
                <w:sz w:val="21"/>
              </w:rPr>
              <w:t>×</w:t>
            </w:r>
            <w:r>
              <w:rPr>
                <w:spacing w:val="-1"/>
                <w:w w:val="85"/>
                <w:position w:val="1"/>
                <w:sz w:val="21"/>
              </w:rPr>
              <w:t>(</w:t>
            </w:r>
            <w:r>
              <w:rPr>
                <w:spacing w:val="-2"/>
                <w:w w:val="85"/>
                <w:position w:val="1"/>
                <w:sz w:val="21"/>
              </w:rPr>
              <w:t>1</w:t>
            </w:r>
            <w:r>
              <w:rPr>
                <w:w w:val="132"/>
                <w:position w:val="1"/>
                <w:sz w:val="21"/>
              </w:rPr>
              <w:t>+</w:t>
            </w:r>
            <w:r>
              <w:rPr>
                <w:w w:val="73"/>
                <w:position w:val="1"/>
                <w:sz w:val="21"/>
              </w:rPr>
              <w:t>r</w:t>
            </w:r>
            <w:r>
              <w:rPr>
                <w:spacing w:val="-1"/>
                <w:w w:val="97"/>
                <w:sz w:val="11"/>
              </w:rPr>
              <w:t>1</w:t>
            </w:r>
            <w:r>
              <w:rPr>
                <w:w w:val="73"/>
                <w:position w:val="1"/>
                <w:sz w:val="21"/>
              </w:rPr>
              <w:t>)</w:t>
            </w:r>
            <w:r>
              <w:rPr>
                <w:spacing w:val="-3"/>
                <w:w w:val="100"/>
                <w:position w:val="1"/>
                <w:sz w:val="21"/>
              </w:rPr>
              <w:t>×</w:t>
            </w:r>
            <w:r>
              <w:rPr>
                <w:spacing w:val="-1"/>
                <w:w w:val="85"/>
                <w:position w:val="1"/>
                <w:sz w:val="21"/>
              </w:rPr>
              <w:t>(</w:t>
            </w:r>
            <w:r>
              <w:rPr>
                <w:spacing w:val="-2"/>
                <w:w w:val="85"/>
                <w:position w:val="1"/>
                <w:sz w:val="21"/>
              </w:rPr>
              <w:t>1</w:t>
            </w:r>
            <w:r>
              <w:rPr>
                <w:w w:val="132"/>
                <w:position w:val="1"/>
                <w:sz w:val="21"/>
              </w:rPr>
              <w:t>+</w:t>
            </w:r>
            <w:r>
              <w:rPr>
                <w:spacing w:val="-3"/>
                <w:w w:val="73"/>
                <w:position w:val="1"/>
                <w:sz w:val="21"/>
              </w:rPr>
              <w:t>r</w:t>
            </w:r>
            <w:r>
              <w:rPr>
                <w:w w:val="120"/>
                <w:sz w:val="11"/>
              </w:rPr>
              <w:t>2</w:t>
            </w:r>
            <w:r>
              <w:rPr>
                <w:spacing w:val="-3"/>
                <w:w w:val="73"/>
                <w:position w:val="1"/>
                <w:sz w:val="21"/>
              </w:rPr>
              <w:t>)</w:t>
            </w:r>
            <w:r>
              <w:rPr>
                <w:spacing w:val="-1"/>
                <w:w w:val="100"/>
                <w:position w:val="1"/>
                <w:sz w:val="21"/>
              </w:rPr>
              <w:t>×…×</w:t>
            </w:r>
            <w:r>
              <w:rPr>
                <w:spacing w:val="-1"/>
                <w:w w:val="85"/>
                <w:position w:val="1"/>
                <w:sz w:val="21"/>
              </w:rPr>
              <w:t>(</w:t>
            </w:r>
            <w:r>
              <w:rPr>
                <w:spacing w:val="-2"/>
                <w:w w:val="85"/>
                <w:position w:val="1"/>
                <w:sz w:val="21"/>
              </w:rPr>
              <w:t>1</w:t>
            </w:r>
            <w:r>
              <w:rPr>
                <w:w w:val="132"/>
                <w:position w:val="1"/>
                <w:sz w:val="21"/>
              </w:rPr>
              <w:t>+</w:t>
            </w:r>
            <w:r>
              <w:rPr>
                <w:w w:val="73"/>
                <w:position w:val="1"/>
                <w:sz w:val="21"/>
              </w:rPr>
              <w:t>r</w:t>
            </w:r>
            <w:r>
              <w:rPr>
                <w:spacing w:val="-1"/>
                <w:w w:val="122"/>
                <w:sz w:val="11"/>
              </w:rPr>
              <w:t>n</w:t>
            </w:r>
            <w:r>
              <w:rPr>
                <w:w w:val="73"/>
                <w:position w:val="1"/>
                <w:sz w:val="21"/>
              </w:rPr>
              <w:t>)</w:t>
            </w:r>
            <w:r>
              <w:rPr>
                <w:spacing w:val="-12"/>
                <w:w w:val="100"/>
                <w:position w:val="1"/>
                <w:sz w:val="21"/>
              </w:rPr>
              <w:t>；式中</w:t>
            </w:r>
            <w:r>
              <w:rPr>
                <w:spacing w:val="-53"/>
                <w:position w:val="1"/>
                <w:sz w:val="21"/>
              </w:rPr>
              <w:t> </w:t>
            </w:r>
            <w:r>
              <w:rPr>
                <w:w w:val="147"/>
                <w:position w:val="1"/>
                <w:sz w:val="21"/>
              </w:rPr>
              <w:t>A</w:t>
            </w:r>
            <w:r>
              <w:rPr>
                <w:spacing w:val="-54"/>
                <w:position w:val="1"/>
                <w:sz w:val="21"/>
              </w:rPr>
              <w:t> </w:t>
            </w:r>
            <w:r>
              <w:rPr>
                <w:w w:val="100"/>
                <w:position w:val="1"/>
                <w:sz w:val="21"/>
              </w:rPr>
              <w:t>代表</w:t>
            </w:r>
            <w:r>
              <w:rPr>
                <w:spacing w:val="-3"/>
                <w:w w:val="100"/>
                <w:position w:val="1"/>
                <w:sz w:val="21"/>
              </w:rPr>
              <w:t>本金与利息之和，</w:t>
            </w:r>
            <w:r>
              <w:rPr>
                <w:w w:val="146"/>
                <w:position w:val="1"/>
                <w:sz w:val="21"/>
              </w:rPr>
              <w:t>P</w:t>
            </w:r>
            <w:r>
              <w:rPr>
                <w:spacing w:val="-56"/>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3"/>
                <w:position w:val="1"/>
                <w:sz w:val="21"/>
              </w:rPr>
              <w:t> </w:t>
            </w:r>
            <w:r>
              <w:rPr>
                <w:w w:val="40"/>
                <w:position w:val="1"/>
                <w:sz w:val="21"/>
              </w:rPr>
              <w:t>i</w:t>
            </w:r>
            <w:r>
              <w:rPr>
                <w:spacing w:val="-54"/>
                <w:position w:val="1"/>
                <w:sz w:val="21"/>
              </w:rPr>
              <w:t> </w:t>
            </w:r>
            <w:r>
              <w:rPr>
                <w:spacing w:val="-3"/>
                <w:w w:val="100"/>
                <w:position w:val="1"/>
                <w:sz w:val="21"/>
              </w:rPr>
              <w:t>日的利率，</w:t>
            </w:r>
            <w:r>
              <w:rPr>
                <w:w w:val="122"/>
                <w:position w:val="1"/>
                <w:sz w:val="21"/>
              </w:rPr>
              <w:t>n</w:t>
            </w:r>
            <w:r>
              <w:rPr>
                <w:spacing w:val="-54"/>
                <w:position w:val="1"/>
                <w:sz w:val="21"/>
              </w:rPr>
              <w:t> </w:t>
            </w:r>
            <w:r>
              <w:rPr>
                <w:spacing w:val="-3"/>
                <w:w w:val="100"/>
                <w:position w:val="1"/>
                <w:sz w:val="21"/>
              </w:rPr>
              <w:t>代表日数。</w:t>
            </w:r>
          </w:p>
        </w:tc>
      </w:tr>
      <w:tr>
        <w:trPr>
          <w:trHeight w:val="652" w:hRule="atLeast"/>
        </w:trPr>
        <w:tc>
          <w:tcPr>
            <w:tcW w:w="833" w:type="dxa"/>
          </w:tcPr>
          <w:p>
            <w:pPr>
              <w:pStyle w:val="TableParagraph"/>
              <w:spacing w:before="40"/>
              <w:ind w:left="0" w:right="204"/>
              <w:jc w:val="right"/>
              <w:rPr>
                <w:rFonts w:ascii="微软雅黑"/>
                <w:b/>
                <w:sz w:val="21"/>
              </w:rPr>
            </w:pPr>
            <w:r>
              <w:rPr>
                <w:rFonts w:ascii="微软雅黑"/>
                <w:b/>
                <w:w w:val="95"/>
                <w:sz w:val="21"/>
              </w:rPr>
              <w:t>8.18</w:t>
            </w:r>
          </w:p>
        </w:tc>
        <w:tc>
          <w:tcPr>
            <w:tcW w:w="1774" w:type="dxa"/>
          </w:tcPr>
          <w:p>
            <w:pPr>
              <w:pStyle w:val="TableParagraph"/>
              <w:spacing w:before="40"/>
              <w:ind w:left="182"/>
              <w:rPr>
                <w:rFonts w:ascii="微软雅黑" w:eastAsia="微软雅黑" w:hint="eastAsia"/>
                <w:b/>
                <w:sz w:val="21"/>
              </w:rPr>
            </w:pPr>
            <w:r>
              <w:rPr>
                <w:rFonts w:ascii="微软雅黑" w:eastAsia="微软雅黑" w:hint="eastAsia"/>
                <w:b/>
                <w:sz w:val="21"/>
              </w:rPr>
              <w:t>团体</w:t>
            </w:r>
          </w:p>
        </w:tc>
        <w:tc>
          <w:tcPr>
            <w:tcW w:w="7437" w:type="dxa"/>
          </w:tcPr>
          <w:p>
            <w:pPr>
              <w:pStyle w:val="TableParagraph"/>
              <w:spacing w:before="103"/>
              <w:rPr>
                <w:sz w:val="21"/>
              </w:rPr>
            </w:pPr>
            <w:r>
              <w:rPr>
                <w:sz w:val="21"/>
              </w:rPr>
              <w:t>指法人、非法人组织以及其他不以购买保险为目的而组成的团体。</w:t>
            </w:r>
          </w:p>
        </w:tc>
      </w:tr>
      <w:tr>
        <w:trPr>
          <w:trHeight w:val="974" w:hRule="atLeast"/>
        </w:trPr>
        <w:tc>
          <w:tcPr>
            <w:tcW w:w="833" w:type="dxa"/>
          </w:tcPr>
          <w:p>
            <w:pPr>
              <w:pStyle w:val="TableParagraph"/>
              <w:spacing w:before="127"/>
              <w:ind w:left="0" w:right="206"/>
              <w:jc w:val="right"/>
              <w:rPr>
                <w:rFonts w:ascii="微软雅黑"/>
                <w:b/>
                <w:sz w:val="21"/>
              </w:rPr>
            </w:pPr>
            <w:r>
              <w:rPr>
                <w:rFonts w:ascii="微软雅黑"/>
                <w:b/>
                <w:w w:val="95"/>
                <w:sz w:val="21"/>
              </w:rPr>
              <w:t>8.19</w:t>
            </w:r>
          </w:p>
        </w:tc>
        <w:tc>
          <w:tcPr>
            <w:tcW w:w="1774" w:type="dxa"/>
          </w:tcPr>
          <w:p>
            <w:pPr>
              <w:pStyle w:val="TableParagraph"/>
              <w:spacing w:before="127"/>
              <w:ind w:left="182"/>
              <w:rPr>
                <w:rFonts w:ascii="微软雅黑" w:eastAsia="微软雅黑" w:hint="eastAsia"/>
                <w:b/>
                <w:sz w:val="21"/>
              </w:rPr>
            </w:pPr>
            <w:r>
              <w:rPr>
                <w:rFonts w:ascii="微软雅黑" w:eastAsia="微软雅黑" w:hint="eastAsia"/>
                <w:b/>
                <w:sz w:val="21"/>
              </w:rPr>
              <w:t>永久不可逆</w:t>
            </w:r>
          </w:p>
        </w:tc>
        <w:tc>
          <w:tcPr>
            <w:tcW w:w="7437" w:type="dxa"/>
          </w:tcPr>
          <w:p>
            <w:pPr>
              <w:pStyle w:val="TableParagraph"/>
              <w:spacing w:line="280" w:lineRule="auto" w:before="189"/>
              <w:ind w:right="199"/>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3120" w:hRule="atLeast"/>
        </w:trPr>
        <w:tc>
          <w:tcPr>
            <w:tcW w:w="833" w:type="dxa"/>
          </w:tcPr>
          <w:p>
            <w:pPr>
              <w:pStyle w:val="TableParagraph"/>
              <w:spacing w:before="40"/>
              <w:ind w:left="0" w:right="183"/>
              <w:jc w:val="right"/>
              <w:rPr>
                <w:rFonts w:ascii="微软雅黑"/>
                <w:b/>
                <w:sz w:val="21"/>
              </w:rPr>
            </w:pPr>
            <w:r>
              <w:rPr>
                <w:rFonts w:ascii="微软雅黑"/>
                <w:b/>
                <w:sz w:val="21"/>
              </w:rPr>
              <w:t>8.20</w:t>
            </w:r>
          </w:p>
        </w:tc>
        <w:tc>
          <w:tcPr>
            <w:tcW w:w="1774" w:type="dxa"/>
          </w:tcPr>
          <w:p>
            <w:pPr>
              <w:pStyle w:val="TableParagraph"/>
              <w:spacing w:line="211" w:lineRule="auto" w:before="84"/>
              <w:ind w:left="182"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437" w:type="dxa"/>
          </w:tcPr>
          <w:p>
            <w:pPr>
              <w:pStyle w:val="TableParagraph"/>
              <w:spacing w:before="103"/>
              <w:rPr>
                <w:sz w:val="21"/>
              </w:rPr>
            </w:pPr>
            <w:r>
              <w:rPr>
                <w:sz w:val="21"/>
              </w:rPr>
              <w:t>美国纽约心脏病学会心功能状态分为四级：</w:t>
            </w:r>
          </w:p>
          <w:p>
            <w:pPr>
              <w:pStyle w:val="TableParagraph"/>
              <w:rPr>
                <w:sz w:val="21"/>
              </w:rPr>
            </w:pPr>
            <w:r>
              <w:rPr>
                <w:sz w:val="21"/>
              </w:rPr>
              <w:t>Ⅰ级：体力活动不受限，日常活动不引起过度的乏力、呼吸困难或者心悸；</w:t>
            </w:r>
          </w:p>
          <w:p>
            <w:pPr>
              <w:pStyle w:val="TableParagraph"/>
              <w:spacing w:line="278" w:lineRule="auto"/>
              <w:ind w:left="720" w:right="184" w:hanging="610"/>
              <w:rPr>
                <w:sz w:val="21"/>
              </w:rPr>
            </w:pPr>
            <w:r>
              <w:rPr>
                <w:sz w:val="21"/>
              </w:rPr>
              <w:t>Ⅱ级：体力活动轻度受限，休息时无症状，日常活动即可引起乏力、心悸、呼吸困难或者心绞痛；</w:t>
            </w:r>
          </w:p>
          <w:p>
            <w:pPr>
              <w:pStyle w:val="TableParagraph"/>
              <w:spacing w:line="280" w:lineRule="auto" w:before="89"/>
              <w:ind w:left="720" w:right="185" w:hanging="610"/>
              <w:rPr>
                <w:sz w:val="21"/>
              </w:rPr>
            </w:pPr>
            <w:r>
              <w:rPr>
                <w:sz w:val="21"/>
              </w:rPr>
              <w:t>Ⅲ级：体力活动明显受限，休息时无症状，轻于日常的活动即可引起乏力、心悸、呼吸困难或者心绞痛；</w:t>
            </w:r>
          </w:p>
          <w:p>
            <w:pPr>
              <w:pStyle w:val="TableParagraph"/>
              <w:spacing w:line="280" w:lineRule="auto" w:before="85"/>
              <w:ind w:left="720" w:right="168" w:hanging="610"/>
              <w:rPr>
                <w:sz w:val="21"/>
              </w:rPr>
            </w:pPr>
            <w:r>
              <w:rPr>
                <w:sz w:val="21"/>
              </w:rPr>
              <w:t>Ⅳ级：不能从事任何体力活动，休息时亦有充血性心衰或者心绞痛症状，任何体力活动后加重。</w:t>
            </w:r>
          </w:p>
        </w:tc>
      </w:tr>
      <w:tr>
        <w:trPr>
          <w:trHeight w:val="887" w:hRule="atLeast"/>
        </w:trPr>
        <w:tc>
          <w:tcPr>
            <w:tcW w:w="833" w:type="dxa"/>
          </w:tcPr>
          <w:p>
            <w:pPr>
              <w:pStyle w:val="TableParagraph"/>
              <w:spacing w:before="40"/>
              <w:ind w:left="0" w:right="209"/>
              <w:jc w:val="right"/>
              <w:rPr>
                <w:rFonts w:ascii="微软雅黑"/>
                <w:b/>
                <w:sz w:val="21"/>
              </w:rPr>
            </w:pPr>
            <w:r>
              <w:rPr>
                <w:rFonts w:ascii="微软雅黑"/>
                <w:b/>
                <w:w w:val="95"/>
                <w:sz w:val="21"/>
              </w:rPr>
              <w:t>8.21</w:t>
            </w:r>
          </w:p>
        </w:tc>
        <w:tc>
          <w:tcPr>
            <w:tcW w:w="1774" w:type="dxa"/>
          </w:tcPr>
          <w:p>
            <w:pPr>
              <w:pStyle w:val="TableParagraph"/>
              <w:spacing w:line="213" w:lineRule="auto" w:before="80"/>
              <w:ind w:left="182" w:right="110"/>
              <w:rPr>
                <w:rFonts w:ascii="微软雅黑" w:eastAsia="微软雅黑" w:hint="eastAsia"/>
                <w:b/>
                <w:sz w:val="21"/>
              </w:rPr>
            </w:pPr>
            <w:r>
              <w:rPr>
                <w:rFonts w:ascii="微软雅黑" w:eastAsia="微软雅黑" w:hint="eastAsia"/>
                <w:b/>
                <w:sz w:val="21"/>
              </w:rPr>
              <w:t>肢体机能完全丧失</w:t>
            </w:r>
          </w:p>
        </w:tc>
        <w:tc>
          <w:tcPr>
            <w:tcW w:w="7437" w:type="dxa"/>
          </w:tcPr>
          <w:p>
            <w:pPr>
              <w:pStyle w:val="TableParagraph"/>
              <w:spacing w:line="280" w:lineRule="auto" w:before="103"/>
              <w:ind w:right="167"/>
              <w:rPr>
                <w:sz w:val="21"/>
              </w:rPr>
            </w:pPr>
            <w:r>
              <w:rPr>
                <w:sz w:val="21"/>
              </w:rPr>
              <w:t>指肢体的三大关节中的两大关节僵硬，或者不能随意识活动。肢体是指包括肩关节的整个上肢或者包括髋关节的整个下肢。</w:t>
            </w:r>
          </w:p>
        </w:tc>
      </w:tr>
      <w:tr>
        <w:trPr>
          <w:trHeight w:val="1925" w:hRule="atLeast"/>
        </w:trPr>
        <w:tc>
          <w:tcPr>
            <w:tcW w:w="833" w:type="dxa"/>
          </w:tcPr>
          <w:p>
            <w:pPr>
              <w:pStyle w:val="TableParagraph"/>
              <w:spacing w:before="40"/>
              <w:ind w:left="0" w:right="184"/>
              <w:jc w:val="right"/>
              <w:rPr>
                <w:rFonts w:ascii="微软雅黑"/>
                <w:b/>
                <w:sz w:val="21"/>
              </w:rPr>
            </w:pPr>
            <w:r>
              <w:rPr>
                <w:rFonts w:ascii="微软雅黑"/>
                <w:b/>
                <w:w w:val="95"/>
                <w:sz w:val="21"/>
              </w:rPr>
              <w:t>8.22</w:t>
            </w:r>
          </w:p>
        </w:tc>
        <w:tc>
          <w:tcPr>
            <w:tcW w:w="1774" w:type="dxa"/>
          </w:tcPr>
          <w:p>
            <w:pPr>
              <w:pStyle w:val="TableParagraph"/>
              <w:spacing w:line="211" w:lineRule="auto" w:before="84"/>
              <w:ind w:left="182"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37" w:type="dxa"/>
          </w:tcPr>
          <w:p>
            <w:pPr>
              <w:pStyle w:val="TableParagraph"/>
              <w:spacing w:line="280" w:lineRule="auto" w:before="103"/>
              <w:ind w:right="199"/>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line="280" w:lineRule="auto" w:before="85"/>
              <w:ind w:right="202"/>
              <w:jc w:val="both"/>
              <w:rPr>
                <w:sz w:val="21"/>
              </w:rPr>
            </w:pPr>
            <w:r>
              <w:rPr>
                <w:spacing w:val="-5"/>
                <w:sz w:val="21"/>
              </w:rPr>
              <w:t>咀嚼吞咽能力完全丧失，指因牙齿以外的原因导致器质障碍或者机能障碍，以</w:t>
            </w:r>
            <w:r>
              <w:rPr>
                <w:spacing w:val="-4"/>
                <w:sz w:val="21"/>
              </w:rPr>
              <w:t>致不能作咀嚼吞咽运动，除流质食物外不能摄取或者吞咽的状态。</w:t>
            </w:r>
          </w:p>
        </w:tc>
      </w:tr>
      <w:tr>
        <w:trPr>
          <w:trHeight w:val="2792" w:hRule="atLeast"/>
        </w:trPr>
        <w:tc>
          <w:tcPr>
            <w:tcW w:w="833" w:type="dxa"/>
          </w:tcPr>
          <w:p>
            <w:pPr>
              <w:pStyle w:val="TableParagraph"/>
              <w:spacing w:before="40"/>
              <w:ind w:left="0" w:right="181"/>
              <w:jc w:val="right"/>
              <w:rPr>
                <w:rFonts w:ascii="微软雅黑"/>
                <w:b/>
                <w:sz w:val="21"/>
              </w:rPr>
            </w:pPr>
            <w:r>
              <w:rPr>
                <w:rFonts w:ascii="微软雅黑"/>
                <w:b/>
                <w:sz w:val="21"/>
              </w:rPr>
              <w:t>8.23</w:t>
            </w:r>
          </w:p>
        </w:tc>
        <w:tc>
          <w:tcPr>
            <w:tcW w:w="1774" w:type="dxa"/>
          </w:tcPr>
          <w:p>
            <w:pPr>
              <w:pStyle w:val="TableParagraph"/>
              <w:spacing w:line="213" w:lineRule="auto" w:before="80"/>
              <w:ind w:left="182"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7" w:type="dxa"/>
          </w:tcPr>
          <w:p>
            <w:pPr>
              <w:pStyle w:val="TableParagraph"/>
              <w:spacing w:before="103"/>
              <w:rPr>
                <w:sz w:val="21"/>
              </w:rPr>
            </w:pPr>
            <w:r>
              <w:rPr>
                <w:sz w:val="21"/>
              </w:rPr>
              <w:t>六项基本日常Th活活动是指：</w:t>
            </w:r>
          </w:p>
          <w:p>
            <w:pPr>
              <w:pStyle w:val="TableParagraph"/>
              <w:numPr>
                <w:ilvl w:val="0"/>
                <w:numId w:val="50"/>
              </w:numPr>
              <w:tabs>
                <w:tab w:pos="736" w:val="left" w:leader="none"/>
              </w:tabs>
              <w:spacing w:line="240" w:lineRule="auto" w:before="123" w:after="0"/>
              <w:ind w:left="735" w:right="0" w:hanging="624"/>
              <w:jc w:val="left"/>
              <w:rPr>
                <w:sz w:val="21"/>
              </w:rPr>
            </w:pPr>
            <w:r>
              <w:rPr>
                <w:spacing w:val="-3"/>
                <w:sz w:val="21"/>
              </w:rPr>
              <w:t>穿衣：自己能够穿衣及脱衣；</w:t>
            </w:r>
          </w:p>
          <w:p>
            <w:pPr>
              <w:pStyle w:val="TableParagraph"/>
              <w:numPr>
                <w:ilvl w:val="0"/>
                <w:numId w:val="50"/>
              </w:numPr>
              <w:tabs>
                <w:tab w:pos="736" w:val="left" w:leader="none"/>
              </w:tabs>
              <w:spacing w:line="240" w:lineRule="auto" w:before="123" w:after="0"/>
              <w:ind w:left="735" w:right="0" w:hanging="624"/>
              <w:jc w:val="left"/>
              <w:rPr>
                <w:sz w:val="21"/>
              </w:rPr>
            </w:pPr>
            <w:r>
              <w:rPr>
                <w:spacing w:val="-3"/>
                <w:sz w:val="21"/>
              </w:rPr>
              <w:t>移动：自己从一个房间到另一个房间；</w:t>
            </w:r>
          </w:p>
          <w:p>
            <w:pPr>
              <w:pStyle w:val="TableParagraph"/>
              <w:numPr>
                <w:ilvl w:val="0"/>
                <w:numId w:val="50"/>
              </w:numPr>
              <w:tabs>
                <w:tab w:pos="736" w:val="left" w:leader="none"/>
              </w:tabs>
              <w:spacing w:line="240" w:lineRule="auto" w:before="123" w:after="0"/>
              <w:ind w:left="735" w:right="0" w:hanging="624"/>
              <w:jc w:val="left"/>
              <w:rPr>
                <w:sz w:val="21"/>
              </w:rPr>
            </w:pPr>
            <w:r>
              <w:rPr>
                <w:spacing w:val="-3"/>
                <w:sz w:val="21"/>
              </w:rPr>
              <w:t>行动：自己上下床或者上下轮椅；</w:t>
            </w:r>
          </w:p>
          <w:p>
            <w:pPr>
              <w:pStyle w:val="TableParagraph"/>
              <w:numPr>
                <w:ilvl w:val="0"/>
                <w:numId w:val="50"/>
              </w:numPr>
              <w:tabs>
                <w:tab w:pos="736" w:val="left" w:leader="none"/>
              </w:tabs>
              <w:spacing w:line="240" w:lineRule="auto" w:before="123" w:after="0"/>
              <w:ind w:left="735" w:right="0" w:hanging="624"/>
              <w:jc w:val="left"/>
              <w:rPr>
                <w:sz w:val="21"/>
              </w:rPr>
            </w:pPr>
            <w:r>
              <w:rPr>
                <w:spacing w:val="-3"/>
                <w:sz w:val="21"/>
              </w:rPr>
              <w:t>如厕：自己控制进行大小便；</w:t>
            </w:r>
          </w:p>
          <w:p>
            <w:pPr>
              <w:pStyle w:val="TableParagraph"/>
              <w:numPr>
                <w:ilvl w:val="0"/>
                <w:numId w:val="50"/>
              </w:numPr>
              <w:tabs>
                <w:tab w:pos="736" w:val="left" w:leader="none"/>
              </w:tabs>
              <w:spacing w:line="240" w:lineRule="auto" w:before="123" w:after="0"/>
              <w:ind w:left="735" w:right="0" w:hanging="624"/>
              <w:jc w:val="left"/>
              <w:rPr>
                <w:sz w:val="21"/>
              </w:rPr>
            </w:pPr>
            <w:r>
              <w:rPr>
                <w:spacing w:val="-3"/>
                <w:sz w:val="21"/>
              </w:rPr>
              <w:t>进食：自己从已准备好的碗或者碟中取食物放入口中；</w:t>
            </w:r>
          </w:p>
          <w:p>
            <w:pPr>
              <w:pStyle w:val="TableParagraph"/>
              <w:numPr>
                <w:ilvl w:val="0"/>
                <w:numId w:val="50"/>
              </w:numPr>
              <w:tabs>
                <w:tab w:pos="736" w:val="left" w:leader="none"/>
              </w:tabs>
              <w:spacing w:line="240" w:lineRule="auto" w:before="121" w:after="0"/>
              <w:ind w:left="735" w:right="0" w:hanging="624"/>
              <w:jc w:val="left"/>
              <w:rPr>
                <w:sz w:val="21"/>
              </w:rPr>
            </w:pPr>
            <w:r>
              <w:rPr>
                <w:spacing w:val="-3"/>
                <w:sz w:val="21"/>
              </w:rPr>
              <w:t>洗澡：自己进行淋浴或者盆浴。</w:t>
            </w:r>
          </w:p>
        </w:tc>
      </w:tr>
    </w:tbl>
    <w:sectPr>
      <w:pgSz w:w="11910" w:h="16840"/>
      <w:pgMar w:top="1260" w:bottom="280" w:left="9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09" w:hanging="624"/>
      </w:pPr>
      <w:rPr>
        <w:rFonts w:hint="default"/>
      </w:rPr>
    </w:lvl>
    <w:lvl w:ilvl="2">
      <w:start w:val="0"/>
      <w:numFmt w:val="bullet"/>
      <w:lvlText w:val="•"/>
      <w:lvlJc w:val="left"/>
      <w:pPr>
        <w:ind w:left="2079" w:hanging="624"/>
      </w:pPr>
      <w:rPr>
        <w:rFonts w:hint="default"/>
      </w:rPr>
    </w:lvl>
    <w:lvl w:ilvl="3">
      <w:start w:val="0"/>
      <w:numFmt w:val="bullet"/>
      <w:lvlText w:val="•"/>
      <w:lvlJc w:val="left"/>
      <w:pPr>
        <w:ind w:left="2749" w:hanging="624"/>
      </w:pPr>
      <w:rPr>
        <w:rFonts w:hint="default"/>
      </w:rPr>
    </w:lvl>
    <w:lvl w:ilvl="4">
      <w:start w:val="0"/>
      <w:numFmt w:val="bullet"/>
      <w:lvlText w:val="•"/>
      <w:lvlJc w:val="left"/>
      <w:pPr>
        <w:ind w:left="3418" w:hanging="624"/>
      </w:pPr>
      <w:rPr>
        <w:rFonts w:hint="default"/>
      </w:rPr>
    </w:lvl>
    <w:lvl w:ilvl="5">
      <w:start w:val="0"/>
      <w:numFmt w:val="bullet"/>
      <w:lvlText w:val="•"/>
      <w:lvlJc w:val="left"/>
      <w:pPr>
        <w:ind w:left="4088" w:hanging="624"/>
      </w:pPr>
      <w:rPr>
        <w:rFonts w:hint="default"/>
      </w:rPr>
    </w:lvl>
    <w:lvl w:ilvl="6">
      <w:start w:val="0"/>
      <w:numFmt w:val="bullet"/>
      <w:lvlText w:val="•"/>
      <w:lvlJc w:val="left"/>
      <w:pPr>
        <w:ind w:left="4758" w:hanging="624"/>
      </w:pPr>
      <w:rPr>
        <w:rFonts w:hint="default"/>
      </w:rPr>
    </w:lvl>
    <w:lvl w:ilvl="7">
      <w:start w:val="0"/>
      <w:numFmt w:val="bullet"/>
      <w:lvlText w:val="•"/>
      <w:lvlJc w:val="left"/>
      <w:pPr>
        <w:ind w:left="5427" w:hanging="624"/>
      </w:pPr>
      <w:rPr>
        <w:rFonts w:hint="default"/>
      </w:rPr>
    </w:lvl>
    <w:lvl w:ilvl="8">
      <w:start w:val="0"/>
      <w:numFmt w:val="bullet"/>
      <w:lvlText w:val="•"/>
      <w:lvlJc w:val="left"/>
      <w:pPr>
        <w:ind w:left="6097" w:hanging="624"/>
      </w:pPr>
      <w:rPr>
        <w:rFonts w:hint="default"/>
      </w:rPr>
    </w:lvl>
  </w:abstractNum>
  <w:abstractNum w:abstractNumId="48">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10" w:hanging="624"/>
      </w:pPr>
      <w:rPr>
        <w:rFonts w:hint="default"/>
      </w:rPr>
    </w:lvl>
    <w:lvl w:ilvl="2">
      <w:start w:val="0"/>
      <w:numFmt w:val="bullet"/>
      <w:lvlText w:val="•"/>
      <w:lvlJc w:val="left"/>
      <w:pPr>
        <w:ind w:left="2080" w:hanging="624"/>
      </w:pPr>
      <w:rPr>
        <w:rFonts w:hint="default"/>
      </w:rPr>
    </w:lvl>
    <w:lvl w:ilvl="3">
      <w:start w:val="0"/>
      <w:numFmt w:val="bullet"/>
      <w:lvlText w:val="•"/>
      <w:lvlJc w:val="left"/>
      <w:pPr>
        <w:ind w:left="2750" w:hanging="624"/>
      </w:pPr>
      <w:rPr>
        <w:rFonts w:hint="default"/>
      </w:rPr>
    </w:lvl>
    <w:lvl w:ilvl="4">
      <w:start w:val="0"/>
      <w:numFmt w:val="bullet"/>
      <w:lvlText w:val="•"/>
      <w:lvlJc w:val="left"/>
      <w:pPr>
        <w:ind w:left="3420" w:hanging="624"/>
      </w:pPr>
      <w:rPr>
        <w:rFonts w:hint="default"/>
      </w:rPr>
    </w:lvl>
    <w:lvl w:ilvl="5">
      <w:start w:val="0"/>
      <w:numFmt w:val="bullet"/>
      <w:lvlText w:val="•"/>
      <w:lvlJc w:val="left"/>
      <w:pPr>
        <w:ind w:left="4090" w:hanging="624"/>
      </w:pPr>
      <w:rPr>
        <w:rFonts w:hint="default"/>
      </w:rPr>
    </w:lvl>
    <w:lvl w:ilvl="6">
      <w:start w:val="0"/>
      <w:numFmt w:val="bullet"/>
      <w:lvlText w:val="•"/>
      <w:lvlJc w:val="left"/>
      <w:pPr>
        <w:ind w:left="4760"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0" w:hanging="624"/>
      </w:pPr>
      <w:rPr>
        <w:rFonts w:hint="default"/>
      </w:rPr>
    </w:lvl>
  </w:abstractNum>
  <w:abstractNum w:abstractNumId="47">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3" w:hanging="624"/>
      </w:pPr>
      <w:rPr>
        <w:rFonts w:hint="default"/>
      </w:rPr>
    </w:lvl>
    <w:lvl w:ilvl="2">
      <w:start w:val="0"/>
      <w:numFmt w:val="bullet"/>
      <w:lvlText w:val="•"/>
      <w:lvlJc w:val="left"/>
      <w:pPr>
        <w:ind w:left="2107" w:hanging="624"/>
      </w:pPr>
      <w:rPr>
        <w:rFonts w:hint="default"/>
      </w:rPr>
    </w:lvl>
    <w:lvl w:ilvl="3">
      <w:start w:val="0"/>
      <w:numFmt w:val="bullet"/>
      <w:lvlText w:val="•"/>
      <w:lvlJc w:val="left"/>
      <w:pPr>
        <w:ind w:left="2791" w:hanging="624"/>
      </w:pPr>
      <w:rPr>
        <w:rFonts w:hint="default"/>
      </w:rPr>
    </w:lvl>
    <w:lvl w:ilvl="4">
      <w:start w:val="0"/>
      <w:numFmt w:val="bullet"/>
      <w:lvlText w:val="•"/>
      <w:lvlJc w:val="left"/>
      <w:pPr>
        <w:ind w:left="3474" w:hanging="624"/>
      </w:pPr>
      <w:rPr>
        <w:rFonts w:hint="default"/>
      </w:rPr>
    </w:lvl>
    <w:lvl w:ilvl="5">
      <w:start w:val="0"/>
      <w:numFmt w:val="bullet"/>
      <w:lvlText w:val="•"/>
      <w:lvlJc w:val="left"/>
      <w:pPr>
        <w:ind w:left="4158" w:hanging="624"/>
      </w:pPr>
      <w:rPr>
        <w:rFonts w:hint="default"/>
      </w:rPr>
    </w:lvl>
    <w:lvl w:ilvl="6">
      <w:start w:val="0"/>
      <w:numFmt w:val="bullet"/>
      <w:lvlText w:val="•"/>
      <w:lvlJc w:val="left"/>
      <w:pPr>
        <w:ind w:left="4842" w:hanging="624"/>
      </w:pPr>
      <w:rPr>
        <w:rFonts w:hint="default"/>
      </w:rPr>
    </w:lvl>
    <w:lvl w:ilvl="7">
      <w:start w:val="0"/>
      <w:numFmt w:val="bullet"/>
      <w:lvlText w:val="•"/>
      <w:lvlJc w:val="left"/>
      <w:pPr>
        <w:ind w:left="5525" w:hanging="624"/>
      </w:pPr>
      <w:rPr>
        <w:rFonts w:hint="default"/>
      </w:rPr>
    </w:lvl>
    <w:lvl w:ilvl="8">
      <w:start w:val="0"/>
      <w:numFmt w:val="bullet"/>
      <w:lvlText w:val="•"/>
      <w:lvlJc w:val="left"/>
      <w:pPr>
        <w:ind w:left="6209" w:hanging="624"/>
      </w:pPr>
      <w:rPr>
        <w:rFonts w:hint="default"/>
      </w:rPr>
    </w:lvl>
  </w:abstractNum>
  <w:abstractNum w:abstractNumId="46">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3" w:hanging="624"/>
      </w:pPr>
      <w:rPr>
        <w:rFonts w:hint="default"/>
      </w:rPr>
    </w:lvl>
    <w:lvl w:ilvl="2">
      <w:start w:val="0"/>
      <w:numFmt w:val="bullet"/>
      <w:lvlText w:val="•"/>
      <w:lvlJc w:val="left"/>
      <w:pPr>
        <w:ind w:left="2107" w:hanging="624"/>
      </w:pPr>
      <w:rPr>
        <w:rFonts w:hint="default"/>
      </w:rPr>
    </w:lvl>
    <w:lvl w:ilvl="3">
      <w:start w:val="0"/>
      <w:numFmt w:val="bullet"/>
      <w:lvlText w:val="•"/>
      <w:lvlJc w:val="left"/>
      <w:pPr>
        <w:ind w:left="2791" w:hanging="624"/>
      </w:pPr>
      <w:rPr>
        <w:rFonts w:hint="default"/>
      </w:rPr>
    </w:lvl>
    <w:lvl w:ilvl="4">
      <w:start w:val="0"/>
      <w:numFmt w:val="bullet"/>
      <w:lvlText w:val="•"/>
      <w:lvlJc w:val="left"/>
      <w:pPr>
        <w:ind w:left="3474" w:hanging="624"/>
      </w:pPr>
      <w:rPr>
        <w:rFonts w:hint="default"/>
      </w:rPr>
    </w:lvl>
    <w:lvl w:ilvl="5">
      <w:start w:val="0"/>
      <w:numFmt w:val="bullet"/>
      <w:lvlText w:val="•"/>
      <w:lvlJc w:val="left"/>
      <w:pPr>
        <w:ind w:left="4158" w:hanging="624"/>
      </w:pPr>
      <w:rPr>
        <w:rFonts w:hint="default"/>
      </w:rPr>
    </w:lvl>
    <w:lvl w:ilvl="6">
      <w:start w:val="0"/>
      <w:numFmt w:val="bullet"/>
      <w:lvlText w:val="•"/>
      <w:lvlJc w:val="left"/>
      <w:pPr>
        <w:ind w:left="4842" w:hanging="624"/>
      </w:pPr>
      <w:rPr>
        <w:rFonts w:hint="default"/>
      </w:rPr>
    </w:lvl>
    <w:lvl w:ilvl="7">
      <w:start w:val="0"/>
      <w:numFmt w:val="bullet"/>
      <w:lvlText w:val="•"/>
      <w:lvlJc w:val="left"/>
      <w:pPr>
        <w:ind w:left="5525" w:hanging="624"/>
      </w:pPr>
      <w:rPr>
        <w:rFonts w:hint="default"/>
      </w:rPr>
    </w:lvl>
    <w:lvl w:ilvl="8">
      <w:start w:val="0"/>
      <w:numFmt w:val="bullet"/>
      <w:lvlText w:val="•"/>
      <w:lvlJc w:val="left"/>
      <w:pPr>
        <w:ind w:left="6209" w:hanging="624"/>
      </w:pPr>
      <w:rPr>
        <w:rFonts w:hint="default"/>
      </w:rPr>
    </w:lvl>
  </w:abstractNum>
  <w:abstractNum w:abstractNumId="45">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44">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43">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42">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41">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8"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1" w:hanging="624"/>
      </w:pPr>
      <w:rPr>
        <w:rFonts w:hint="default"/>
      </w:rPr>
    </w:lvl>
    <w:lvl w:ilvl="8">
      <w:start w:val="0"/>
      <w:numFmt w:val="bullet"/>
      <w:lvlText w:val="•"/>
      <w:lvlJc w:val="left"/>
      <w:pPr>
        <w:ind w:left="6112" w:hanging="624"/>
      </w:pPr>
      <w:rPr>
        <w:rFonts w:hint="default"/>
      </w:rPr>
    </w:lvl>
  </w:abstractNum>
  <w:abstractNum w:abstractNumId="40">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8"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1" w:hanging="624"/>
      </w:pPr>
      <w:rPr>
        <w:rFonts w:hint="default"/>
      </w:rPr>
    </w:lvl>
    <w:lvl w:ilvl="8">
      <w:start w:val="0"/>
      <w:numFmt w:val="bullet"/>
      <w:lvlText w:val="•"/>
      <w:lvlJc w:val="left"/>
      <w:pPr>
        <w:ind w:left="6112" w:hanging="624"/>
      </w:pPr>
      <w:rPr>
        <w:rFonts w:hint="default"/>
      </w:rPr>
    </w:lvl>
  </w:abstractNum>
  <w:abstractNum w:abstractNumId="39">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8"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1" w:hanging="624"/>
      </w:pPr>
      <w:rPr>
        <w:rFonts w:hint="default"/>
      </w:rPr>
    </w:lvl>
    <w:lvl w:ilvl="8">
      <w:start w:val="0"/>
      <w:numFmt w:val="bullet"/>
      <w:lvlText w:val="•"/>
      <w:lvlJc w:val="left"/>
      <w:pPr>
        <w:ind w:left="6112" w:hanging="624"/>
      </w:pPr>
      <w:rPr>
        <w:rFonts w:hint="default"/>
      </w:rPr>
    </w:lvl>
  </w:abstractNum>
  <w:abstractNum w:abstractNumId="38">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8"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1" w:hanging="624"/>
      </w:pPr>
      <w:rPr>
        <w:rFonts w:hint="default"/>
      </w:rPr>
    </w:lvl>
    <w:lvl w:ilvl="8">
      <w:start w:val="0"/>
      <w:numFmt w:val="bullet"/>
      <w:lvlText w:val="•"/>
      <w:lvlJc w:val="left"/>
      <w:pPr>
        <w:ind w:left="6112" w:hanging="624"/>
      </w:pPr>
      <w:rPr>
        <w:rFonts w:hint="default"/>
      </w:rPr>
    </w:lvl>
  </w:abstractNum>
  <w:abstractNum w:abstractNumId="37">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7"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0" w:hanging="624"/>
      </w:pPr>
      <w:rPr>
        <w:rFonts w:hint="default"/>
      </w:rPr>
    </w:lvl>
    <w:lvl w:ilvl="8">
      <w:start w:val="0"/>
      <w:numFmt w:val="bullet"/>
      <w:lvlText w:val="•"/>
      <w:lvlJc w:val="left"/>
      <w:pPr>
        <w:ind w:left="6112" w:hanging="624"/>
      </w:pPr>
      <w:rPr>
        <w:rFonts w:hint="default"/>
      </w:rPr>
    </w:lvl>
  </w:abstractNum>
  <w:abstractNum w:abstractNumId="36">
    <w:multiLevelType w:val="hybridMultilevel"/>
    <w:lvl w:ilvl="0">
      <w:start w:val="1"/>
      <w:numFmt w:val="decimal"/>
      <w:lvlText w:val="（%1）"/>
      <w:lvlJc w:val="left"/>
      <w:pPr>
        <w:ind w:left="736" w:hanging="624"/>
        <w:jc w:val="left"/>
      </w:pPr>
      <w:rPr>
        <w:rFonts w:hint="default" w:ascii="宋体" w:hAnsi="宋体" w:eastAsia="宋体" w:cs="宋体"/>
        <w:spacing w:val="-1"/>
        <w:w w:val="100"/>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7"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0" w:hanging="624"/>
      </w:pPr>
      <w:rPr>
        <w:rFonts w:hint="default"/>
      </w:rPr>
    </w:lvl>
    <w:lvl w:ilvl="8">
      <w:start w:val="0"/>
      <w:numFmt w:val="bullet"/>
      <w:lvlText w:val="•"/>
      <w:lvlJc w:val="left"/>
      <w:pPr>
        <w:ind w:left="6112" w:hanging="624"/>
      </w:pPr>
      <w:rPr>
        <w:rFonts w:hint="default"/>
      </w:rPr>
    </w:lvl>
  </w:abstractNum>
  <w:abstractNum w:abstractNumId="35">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7"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0" w:hanging="624"/>
      </w:pPr>
      <w:rPr>
        <w:rFonts w:hint="default"/>
      </w:rPr>
    </w:lvl>
    <w:lvl w:ilvl="8">
      <w:start w:val="0"/>
      <w:numFmt w:val="bullet"/>
      <w:lvlText w:val="•"/>
      <w:lvlJc w:val="left"/>
      <w:pPr>
        <w:ind w:left="6112" w:hanging="624"/>
      </w:pPr>
      <w:rPr>
        <w:rFonts w:hint="default"/>
      </w:rPr>
    </w:lvl>
  </w:abstractNum>
  <w:abstractNum w:abstractNumId="34">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4" w:hanging="624"/>
      </w:pPr>
      <w:rPr>
        <w:rFonts w:hint="default"/>
      </w:rPr>
    </w:lvl>
    <w:lvl w:ilvl="4">
      <w:start w:val="0"/>
      <w:numFmt w:val="bullet"/>
      <w:lvlText w:val="•"/>
      <w:lvlJc w:val="left"/>
      <w:pPr>
        <w:ind w:left="3426" w:hanging="624"/>
      </w:pPr>
      <w:rPr>
        <w:rFonts w:hint="default"/>
      </w:rPr>
    </w:lvl>
    <w:lvl w:ilvl="5">
      <w:start w:val="0"/>
      <w:numFmt w:val="bullet"/>
      <w:lvlText w:val="•"/>
      <w:lvlJc w:val="left"/>
      <w:pPr>
        <w:ind w:left="4097" w:hanging="624"/>
      </w:pPr>
      <w:rPr>
        <w:rFonts w:hint="default"/>
      </w:rPr>
    </w:lvl>
    <w:lvl w:ilvl="6">
      <w:start w:val="0"/>
      <w:numFmt w:val="bullet"/>
      <w:lvlText w:val="•"/>
      <w:lvlJc w:val="left"/>
      <w:pPr>
        <w:ind w:left="4769" w:hanging="624"/>
      </w:pPr>
      <w:rPr>
        <w:rFonts w:hint="default"/>
      </w:rPr>
    </w:lvl>
    <w:lvl w:ilvl="7">
      <w:start w:val="0"/>
      <w:numFmt w:val="bullet"/>
      <w:lvlText w:val="•"/>
      <w:lvlJc w:val="left"/>
      <w:pPr>
        <w:ind w:left="5440" w:hanging="624"/>
      </w:pPr>
      <w:rPr>
        <w:rFonts w:hint="default"/>
      </w:rPr>
    </w:lvl>
    <w:lvl w:ilvl="8">
      <w:start w:val="0"/>
      <w:numFmt w:val="bullet"/>
      <w:lvlText w:val="•"/>
      <w:lvlJc w:val="left"/>
      <w:pPr>
        <w:ind w:left="6112" w:hanging="624"/>
      </w:pPr>
      <w:rPr>
        <w:rFonts w:hint="default"/>
      </w:rPr>
    </w:lvl>
  </w:abstractNum>
  <w:abstractNum w:abstractNumId="33">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32">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31">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30">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29">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28">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27">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0" w:hanging="624"/>
      </w:pPr>
      <w:rPr>
        <w:rFonts w:hint="default"/>
      </w:rPr>
    </w:lvl>
    <w:lvl w:ilvl="2">
      <w:start w:val="0"/>
      <w:numFmt w:val="bullet"/>
      <w:lvlText w:val="•"/>
      <w:lvlJc w:val="left"/>
      <w:pPr>
        <w:ind w:left="2080" w:hanging="624"/>
      </w:pPr>
      <w:rPr>
        <w:rFonts w:hint="default"/>
      </w:rPr>
    </w:lvl>
    <w:lvl w:ilvl="3">
      <w:start w:val="0"/>
      <w:numFmt w:val="bullet"/>
      <w:lvlText w:val="•"/>
      <w:lvlJc w:val="left"/>
      <w:pPr>
        <w:ind w:left="2750" w:hanging="624"/>
      </w:pPr>
      <w:rPr>
        <w:rFonts w:hint="default"/>
      </w:rPr>
    </w:lvl>
    <w:lvl w:ilvl="4">
      <w:start w:val="0"/>
      <w:numFmt w:val="bullet"/>
      <w:lvlText w:val="•"/>
      <w:lvlJc w:val="left"/>
      <w:pPr>
        <w:ind w:left="3420" w:hanging="624"/>
      </w:pPr>
      <w:rPr>
        <w:rFonts w:hint="default"/>
      </w:rPr>
    </w:lvl>
    <w:lvl w:ilvl="5">
      <w:start w:val="0"/>
      <w:numFmt w:val="bullet"/>
      <w:lvlText w:val="•"/>
      <w:lvlJc w:val="left"/>
      <w:pPr>
        <w:ind w:left="4090" w:hanging="624"/>
      </w:pPr>
      <w:rPr>
        <w:rFonts w:hint="default"/>
      </w:rPr>
    </w:lvl>
    <w:lvl w:ilvl="6">
      <w:start w:val="0"/>
      <w:numFmt w:val="bullet"/>
      <w:lvlText w:val="•"/>
      <w:lvlJc w:val="left"/>
      <w:pPr>
        <w:ind w:left="4760"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0" w:hanging="624"/>
      </w:pPr>
      <w:rPr>
        <w:rFonts w:hint="default"/>
      </w:rPr>
    </w:lvl>
  </w:abstractNum>
  <w:abstractNum w:abstractNumId="26">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0" w:hanging="624"/>
      </w:pPr>
      <w:rPr>
        <w:rFonts w:hint="default"/>
      </w:rPr>
    </w:lvl>
    <w:lvl w:ilvl="2">
      <w:start w:val="0"/>
      <w:numFmt w:val="bullet"/>
      <w:lvlText w:val="•"/>
      <w:lvlJc w:val="left"/>
      <w:pPr>
        <w:ind w:left="2080" w:hanging="624"/>
      </w:pPr>
      <w:rPr>
        <w:rFonts w:hint="default"/>
      </w:rPr>
    </w:lvl>
    <w:lvl w:ilvl="3">
      <w:start w:val="0"/>
      <w:numFmt w:val="bullet"/>
      <w:lvlText w:val="•"/>
      <w:lvlJc w:val="left"/>
      <w:pPr>
        <w:ind w:left="2750" w:hanging="624"/>
      </w:pPr>
      <w:rPr>
        <w:rFonts w:hint="default"/>
      </w:rPr>
    </w:lvl>
    <w:lvl w:ilvl="4">
      <w:start w:val="0"/>
      <w:numFmt w:val="bullet"/>
      <w:lvlText w:val="•"/>
      <w:lvlJc w:val="left"/>
      <w:pPr>
        <w:ind w:left="3420" w:hanging="624"/>
      </w:pPr>
      <w:rPr>
        <w:rFonts w:hint="default"/>
      </w:rPr>
    </w:lvl>
    <w:lvl w:ilvl="5">
      <w:start w:val="0"/>
      <w:numFmt w:val="bullet"/>
      <w:lvlText w:val="•"/>
      <w:lvlJc w:val="left"/>
      <w:pPr>
        <w:ind w:left="4090" w:hanging="624"/>
      </w:pPr>
      <w:rPr>
        <w:rFonts w:hint="default"/>
      </w:rPr>
    </w:lvl>
    <w:lvl w:ilvl="6">
      <w:start w:val="0"/>
      <w:numFmt w:val="bullet"/>
      <w:lvlText w:val="•"/>
      <w:lvlJc w:val="left"/>
      <w:pPr>
        <w:ind w:left="4760"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0" w:hanging="624"/>
      </w:pPr>
      <w:rPr>
        <w:rFonts w:hint="default"/>
      </w:rPr>
    </w:lvl>
  </w:abstractNum>
  <w:abstractNum w:abstractNumId="25">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0" w:hanging="624"/>
      </w:pPr>
      <w:rPr>
        <w:rFonts w:hint="default"/>
      </w:rPr>
    </w:lvl>
    <w:lvl w:ilvl="2">
      <w:start w:val="0"/>
      <w:numFmt w:val="bullet"/>
      <w:lvlText w:val="•"/>
      <w:lvlJc w:val="left"/>
      <w:pPr>
        <w:ind w:left="2080" w:hanging="624"/>
      </w:pPr>
      <w:rPr>
        <w:rFonts w:hint="default"/>
      </w:rPr>
    </w:lvl>
    <w:lvl w:ilvl="3">
      <w:start w:val="0"/>
      <w:numFmt w:val="bullet"/>
      <w:lvlText w:val="•"/>
      <w:lvlJc w:val="left"/>
      <w:pPr>
        <w:ind w:left="2750" w:hanging="624"/>
      </w:pPr>
      <w:rPr>
        <w:rFonts w:hint="default"/>
      </w:rPr>
    </w:lvl>
    <w:lvl w:ilvl="4">
      <w:start w:val="0"/>
      <w:numFmt w:val="bullet"/>
      <w:lvlText w:val="•"/>
      <w:lvlJc w:val="left"/>
      <w:pPr>
        <w:ind w:left="3420" w:hanging="624"/>
      </w:pPr>
      <w:rPr>
        <w:rFonts w:hint="default"/>
      </w:rPr>
    </w:lvl>
    <w:lvl w:ilvl="5">
      <w:start w:val="0"/>
      <w:numFmt w:val="bullet"/>
      <w:lvlText w:val="•"/>
      <w:lvlJc w:val="left"/>
      <w:pPr>
        <w:ind w:left="4090" w:hanging="624"/>
      </w:pPr>
      <w:rPr>
        <w:rFonts w:hint="default"/>
      </w:rPr>
    </w:lvl>
    <w:lvl w:ilvl="6">
      <w:start w:val="0"/>
      <w:numFmt w:val="bullet"/>
      <w:lvlText w:val="•"/>
      <w:lvlJc w:val="left"/>
      <w:pPr>
        <w:ind w:left="4760"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0" w:hanging="624"/>
      </w:pPr>
      <w:rPr>
        <w:rFonts w:hint="default"/>
      </w:rPr>
    </w:lvl>
  </w:abstractNum>
  <w:abstractNum w:abstractNumId="24">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0" w:hanging="624"/>
      </w:pPr>
      <w:rPr>
        <w:rFonts w:hint="default"/>
      </w:rPr>
    </w:lvl>
    <w:lvl w:ilvl="2">
      <w:start w:val="0"/>
      <w:numFmt w:val="bullet"/>
      <w:lvlText w:val="•"/>
      <w:lvlJc w:val="left"/>
      <w:pPr>
        <w:ind w:left="2080" w:hanging="624"/>
      </w:pPr>
      <w:rPr>
        <w:rFonts w:hint="default"/>
      </w:rPr>
    </w:lvl>
    <w:lvl w:ilvl="3">
      <w:start w:val="0"/>
      <w:numFmt w:val="bullet"/>
      <w:lvlText w:val="•"/>
      <w:lvlJc w:val="left"/>
      <w:pPr>
        <w:ind w:left="2750" w:hanging="624"/>
      </w:pPr>
      <w:rPr>
        <w:rFonts w:hint="default"/>
      </w:rPr>
    </w:lvl>
    <w:lvl w:ilvl="4">
      <w:start w:val="0"/>
      <w:numFmt w:val="bullet"/>
      <w:lvlText w:val="•"/>
      <w:lvlJc w:val="left"/>
      <w:pPr>
        <w:ind w:left="3420" w:hanging="624"/>
      </w:pPr>
      <w:rPr>
        <w:rFonts w:hint="default"/>
      </w:rPr>
    </w:lvl>
    <w:lvl w:ilvl="5">
      <w:start w:val="0"/>
      <w:numFmt w:val="bullet"/>
      <w:lvlText w:val="•"/>
      <w:lvlJc w:val="left"/>
      <w:pPr>
        <w:ind w:left="4090" w:hanging="624"/>
      </w:pPr>
      <w:rPr>
        <w:rFonts w:hint="default"/>
      </w:rPr>
    </w:lvl>
    <w:lvl w:ilvl="6">
      <w:start w:val="0"/>
      <w:numFmt w:val="bullet"/>
      <w:lvlText w:val="•"/>
      <w:lvlJc w:val="left"/>
      <w:pPr>
        <w:ind w:left="4760"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0" w:hanging="624"/>
      </w:pPr>
      <w:rPr>
        <w:rFonts w:hint="default"/>
      </w:rPr>
    </w:lvl>
  </w:abstractNum>
  <w:abstractNum w:abstractNumId="23">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09" w:hanging="624"/>
      </w:pPr>
      <w:rPr>
        <w:rFonts w:hint="default"/>
      </w:rPr>
    </w:lvl>
    <w:lvl w:ilvl="2">
      <w:start w:val="0"/>
      <w:numFmt w:val="bullet"/>
      <w:lvlText w:val="•"/>
      <w:lvlJc w:val="left"/>
      <w:pPr>
        <w:ind w:left="2079" w:hanging="624"/>
      </w:pPr>
      <w:rPr>
        <w:rFonts w:hint="default"/>
      </w:rPr>
    </w:lvl>
    <w:lvl w:ilvl="3">
      <w:start w:val="0"/>
      <w:numFmt w:val="bullet"/>
      <w:lvlText w:val="•"/>
      <w:lvlJc w:val="left"/>
      <w:pPr>
        <w:ind w:left="2749" w:hanging="624"/>
      </w:pPr>
      <w:rPr>
        <w:rFonts w:hint="default"/>
      </w:rPr>
    </w:lvl>
    <w:lvl w:ilvl="4">
      <w:start w:val="0"/>
      <w:numFmt w:val="bullet"/>
      <w:lvlText w:val="•"/>
      <w:lvlJc w:val="left"/>
      <w:pPr>
        <w:ind w:left="3419" w:hanging="624"/>
      </w:pPr>
      <w:rPr>
        <w:rFonts w:hint="default"/>
      </w:rPr>
    </w:lvl>
    <w:lvl w:ilvl="5">
      <w:start w:val="0"/>
      <w:numFmt w:val="bullet"/>
      <w:lvlText w:val="•"/>
      <w:lvlJc w:val="left"/>
      <w:pPr>
        <w:ind w:left="4089" w:hanging="624"/>
      </w:pPr>
      <w:rPr>
        <w:rFonts w:hint="default"/>
      </w:rPr>
    </w:lvl>
    <w:lvl w:ilvl="6">
      <w:start w:val="0"/>
      <w:numFmt w:val="bullet"/>
      <w:lvlText w:val="•"/>
      <w:lvlJc w:val="left"/>
      <w:pPr>
        <w:ind w:left="4759" w:hanging="624"/>
      </w:pPr>
      <w:rPr>
        <w:rFonts w:hint="default"/>
      </w:rPr>
    </w:lvl>
    <w:lvl w:ilvl="7">
      <w:start w:val="0"/>
      <w:numFmt w:val="bullet"/>
      <w:lvlText w:val="•"/>
      <w:lvlJc w:val="left"/>
      <w:pPr>
        <w:ind w:left="5429" w:hanging="624"/>
      </w:pPr>
      <w:rPr>
        <w:rFonts w:hint="default"/>
      </w:rPr>
    </w:lvl>
    <w:lvl w:ilvl="8">
      <w:start w:val="0"/>
      <w:numFmt w:val="bullet"/>
      <w:lvlText w:val="•"/>
      <w:lvlJc w:val="left"/>
      <w:pPr>
        <w:ind w:left="6099" w:hanging="624"/>
      </w:pPr>
      <w:rPr>
        <w:rFonts w:hint="default"/>
      </w:rPr>
    </w:lvl>
  </w:abstractNum>
  <w:abstractNum w:abstractNumId="22">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09" w:hanging="624"/>
      </w:pPr>
      <w:rPr>
        <w:rFonts w:hint="default"/>
      </w:rPr>
    </w:lvl>
    <w:lvl w:ilvl="2">
      <w:start w:val="0"/>
      <w:numFmt w:val="bullet"/>
      <w:lvlText w:val="•"/>
      <w:lvlJc w:val="left"/>
      <w:pPr>
        <w:ind w:left="2079" w:hanging="624"/>
      </w:pPr>
      <w:rPr>
        <w:rFonts w:hint="default"/>
      </w:rPr>
    </w:lvl>
    <w:lvl w:ilvl="3">
      <w:start w:val="0"/>
      <w:numFmt w:val="bullet"/>
      <w:lvlText w:val="•"/>
      <w:lvlJc w:val="left"/>
      <w:pPr>
        <w:ind w:left="2749" w:hanging="624"/>
      </w:pPr>
      <w:rPr>
        <w:rFonts w:hint="default"/>
      </w:rPr>
    </w:lvl>
    <w:lvl w:ilvl="4">
      <w:start w:val="0"/>
      <w:numFmt w:val="bullet"/>
      <w:lvlText w:val="•"/>
      <w:lvlJc w:val="left"/>
      <w:pPr>
        <w:ind w:left="3419" w:hanging="624"/>
      </w:pPr>
      <w:rPr>
        <w:rFonts w:hint="default"/>
      </w:rPr>
    </w:lvl>
    <w:lvl w:ilvl="5">
      <w:start w:val="0"/>
      <w:numFmt w:val="bullet"/>
      <w:lvlText w:val="•"/>
      <w:lvlJc w:val="left"/>
      <w:pPr>
        <w:ind w:left="4089" w:hanging="624"/>
      </w:pPr>
      <w:rPr>
        <w:rFonts w:hint="default"/>
      </w:rPr>
    </w:lvl>
    <w:lvl w:ilvl="6">
      <w:start w:val="0"/>
      <w:numFmt w:val="bullet"/>
      <w:lvlText w:val="•"/>
      <w:lvlJc w:val="left"/>
      <w:pPr>
        <w:ind w:left="4759" w:hanging="624"/>
      </w:pPr>
      <w:rPr>
        <w:rFonts w:hint="default"/>
      </w:rPr>
    </w:lvl>
    <w:lvl w:ilvl="7">
      <w:start w:val="0"/>
      <w:numFmt w:val="bullet"/>
      <w:lvlText w:val="•"/>
      <w:lvlJc w:val="left"/>
      <w:pPr>
        <w:ind w:left="5429" w:hanging="624"/>
      </w:pPr>
      <w:rPr>
        <w:rFonts w:hint="default"/>
      </w:rPr>
    </w:lvl>
    <w:lvl w:ilvl="8">
      <w:start w:val="0"/>
      <w:numFmt w:val="bullet"/>
      <w:lvlText w:val="•"/>
      <w:lvlJc w:val="left"/>
      <w:pPr>
        <w:ind w:left="6099" w:hanging="624"/>
      </w:pPr>
      <w:rPr>
        <w:rFonts w:hint="default"/>
      </w:rPr>
    </w:lvl>
  </w:abstractNum>
  <w:abstractNum w:abstractNumId="21">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09" w:hanging="624"/>
      </w:pPr>
      <w:rPr>
        <w:rFonts w:hint="default"/>
      </w:rPr>
    </w:lvl>
    <w:lvl w:ilvl="2">
      <w:start w:val="0"/>
      <w:numFmt w:val="bullet"/>
      <w:lvlText w:val="•"/>
      <w:lvlJc w:val="left"/>
      <w:pPr>
        <w:ind w:left="2079" w:hanging="624"/>
      </w:pPr>
      <w:rPr>
        <w:rFonts w:hint="default"/>
      </w:rPr>
    </w:lvl>
    <w:lvl w:ilvl="3">
      <w:start w:val="0"/>
      <w:numFmt w:val="bullet"/>
      <w:lvlText w:val="•"/>
      <w:lvlJc w:val="left"/>
      <w:pPr>
        <w:ind w:left="2749" w:hanging="624"/>
      </w:pPr>
      <w:rPr>
        <w:rFonts w:hint="default"/>
      </w:rPr>
    </w:lvl>
    <w:lvl w:ilvl="4">
      <w:start w:val="0"/>
      <w:numFmt w:val="bullet"/>
      <w:lvlText w:val="•"/>
      <w:lvlJc w:val="left"/>
      <w:pPr>
        <w:ind w:left="3419" w:hanging="624"/>
      </w:pPr>
      <w:rPr>
        <w:rFonts w:hint="default"/>
      </w:rPr>
    </w:lvl>
    <w:lvl w:ilvl="5">
      <w:start w:val="0"/>
      <w:numFmt w:val="bullet"/>
      <w:lvlText w:val="•"/>
      <w:lvlJc w:val="left"/>
      <w:pPr>
        <w:ind w:left="4089" w:hanging="624"/>
      </w:pPr>
      <w:rPr>
        <w:rFonts w:hint="default"/>
      </w:rPr>
    </w:lvl>
    <w:lvl w:ilvl="6">
      <w:start w:val="0"/>
      <w:numFmt w:val="bullet"/>
      <w:lvlText w:val="•"/>
      <w:lvlJc w:val="left"/>
      <w:pPr>
        <w:ind w:left="4759" w:hanging="624"/>
      </w:pPr>
      <w:rPr>
        <w:rFonts w:hint="default"/>
      </w:rPr>
    </w:lvl>
    <w:lvl w:ilvl="7">
      <w:start w:val="0"/>
      <w:numFmt w:val="bullet"/>
      <w:lvlText w:val="•"/>
      <w:lvlJc w:val="left"/>
      <w:pPr>
        <w:ind w:left="5429" w:hanging="624"/>
      </w:pPr>
      <w:rPr>
        <w:rFonts w:hint="default"/>
      </w:rPr>
    </w:lvl>
    <w:lvl w:ilvl="8">
      <w:start w:val="0"/>
      <w:numFmt w:val="bullet"/>
      <w:lvlText w:val="•"/>
      <w:lvlJc w:val="left"/>
      <w:pPr>
        <w:ind w:left="6099" w:hanging="624"/>
      </w:pPr>
      <w:rPr>
        <w:rFonts w:hint="default"/>
      </w:rPr>
    </w:lvl>
  </w:abstractNum>
  <w:abstractNum w:abstractNumId="20">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09" w:hanging="624"/>
      </w:pPr>
      <w:rPr>
        <w:rFonts w:hint="default"/>
      </w:rPr>
    </w:lvl>
    <w:lvl w:ilvl="2">
      <w:start w:val="0"/>
      <w:numFmt w:val="bullet"/>
      <w:lvlText w:val="•"/>
      <w:lvlJc w:val="left"/>
      <w:pPr>
        <w:ind w:left="2079" w:hanging="624"/>
      </w:pPr>
      <w:rPr>
        <w:rFonts w:hint="default"/>
      </w:rPr>
    </w:lvl>
    <w:lvl w:ilvl="3">
      <w:start w:val="0"/>
      <w:numFmt w:val="bullet"/>
      <w:lvlText w:val="•"/>
      <w:lvlJc w:val="left"/>
      <w:pPr>
        <w:ind w:left="2749" w:hanging="624"/>
      </w:pPr>
      <w:rPr>
        <w:rFonts w:hint="default"/>
      </w:rPr>
    </w:lvl>
    <w:lvl w:ilvl="4">
      <w:start w:val="0"/>
      <w:numFmt w:val="bullet"/>
      <w:lvlText w:val="•"/>
      <w:lvlJc w:val="left"/>
      <w:pPr>
        <w:ind w:left="3419" w:hanging="624"/>
      </w:pPr>
      <w:rPr>
        <w:rFonts w:hint="default"/>
      </w:rPr>
    </w:lvl>
    <w:lvl w:ilvl="5">
      <w:start w:val="0"/>
      <w:numFmt w:val="bullet"/>
      <w:lvlText w:val="•"/>
      <w:lvlJc w:val="left"/>
      <w:pPr>
        <w:ind w:left="4089" w:hanging="624"/>
      </w:pPr>
      <w:rPr>
        <w:rFonts w:hint="default"/>
      </w:rPr>
    </w:lvl>
    <w:lvl w:ilvl="6">
      <w:start w:val="0"/>
      <w:numFmt w:val="bullet"/>
      <w:lvlText w:val="•"/>
      <w:lvlJc w:val="left"/>
      <w:pPr>
        <w:ind w:left="4759" w:hanging="624"/>
      </w:pPr>
      <w:rPr>
        <w:rFonts w:hint="default"/>
      </w:rPr>
    </w:lvl>
    <w:lvl w:ilvl="7">
      <w:start w:val="0"/>
      <w:numFmt w:val="bullet"/>
      <w:lvlText w:val="•"/>
      <w:lvlJc w:val="left"/>
      <w:pPr>
        <w:ind w:left="5429" w:hanging="624"/>
      </w:pPr>
      <w:rPr>
        <w:rFonts w:hint="default"/>
      </w:rPr>
    </w:lvl>
    <w:lvl w:ilvl="8">
      <w:start w:val="0"/>
      <w:numFmt w:val="bullet"/>
      <w:lvlText w:val="•"/>
      <w:lvlJc w:val="left"/>
      <w:pPr>
        <w:ind w:left="6099" w:hanging="624"/>
      </w:pPr>
      <w:rPr>
        <w:rFonts w:hint="default"/>
      </w:rPr>
    </w:lvl>
  </w:abstractNum>
  <w:abstractNum w:abstractNumId="19">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18">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17">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16">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11" w:hanging="624"/>
      </w:pPr>
      <w:rPr>
        <w:rFonts w:hint="default"/>
      </w:rPr>
    </w:lvl>
    <w:lvl w:ilvl="2">
      <w:start w:val="0"/>
      <w:numFmt w:val="bullet"/>
      <w:lvlText w:val="•"/>
      <w:lvlJc w:val="left"/>
      <w:pPr>
        <w:ind w:left="2083" w:hanging="624"/>
      </w:pPr>
      <w:rPr>
        <w:rFonts w:hint="default"/>
      </w:rPr>
    </w:lvl>
    <w:lvl w:ilvl="3">
      <w:start w:val="0"/>
      <w:numFmt w:val="bullet"/>
      <w:lvlText w:val="•"/>
      <w:lvlJc w:val="left"/>
      <w:pPr>
        <w:ind w:left="2755" w:hanging="624"/>
      </w:pPr>
      <w:rPr>
        <w:rFonts w:hint="default"/>
      </w:rPr>
    </w:lvl>
    <w:lvl w:ilvl="4">
      <w:start w:val="0"/>
      <w:numFmt w:val="bullet"/>
      <w:lvlText w:val="•"/>
      <w:lvlJc w:val="left"/>
      <w:pPr>
        <w:ind w:left="3427" w:hanging="624"/>
      </w:pPr>
      <w:rPr>
        <w:rFonts w:hint="default"/>
      </w:rPr>
    </w:lvl>
    <w:lvl w:ilvl="5">
      <w:start w:val="0"/>
      <w:numFmt w:val="bullet"/>
      <w:lvlText w:val="•"/>
      <w:lvlJc w:val="left"/>
      <w:pPr>
        <w:ind w:left="4099" w:hanging="624"/>
      </w:pPr>
      <w:rPr>
        <w:rFonts w:hint="default"/>
      </w:rPr>
    </w:lvl>
    <w:lvl w:ilvl="6">
      <w:start w:val="0"/>
      <w:numFmt w:val="bullet"/>
      <w:lvlText w:val="•"/>
      <w:lvlJc w:val="left"/>
      <w:pPr>
        <w:ind w:left="4770" w:hanging="624"/>
      </w:pPr>
      <w:rPr>
        <w:rFonts w:hint="default"/>
      </w:rPr>
    </w:lvl>
    <w:lvl w:ilvl="7">
      <w:start w:val="0"/>
      <w:numFmt w:val="bullet"/>
      <w:lvlText w:val="•"/>
      <w:lvlJc w:val="left"/>
      <w:pPr>
        <w:ind w:left="5442" w:hanging="624"/>
      </w:pPr>
      <w:rPr>
        <w:rFonts w:hint="default"/>
      </w:rPr>
    </w:lvl>
    <w:lvl w:ilvl="8">
      <w:start w:val="0"/>
      <w:numFmt w:val="bullet"/>
      <w:lvlText w:val="•"/>
      <w:lvlJc w:val="left"/>
      <w:pPr>
        <w:ind w:left="6114" w:hanging="624"/>
      </w:pPr>
      <w:rPr>
        <w:rFonts w:hint="default"/>
      </w:rPr>
    </w:lvl>
  </w:abstractNum>
  <w:abstractNum w:abstractNumId="15">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14">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13">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20" w:hanging="624"/>
      </w:pPr>
      <w:rPr>
        <w:rFonts w:hint="default"/>
      </w:rPr>
    </w:lvl>
    <w:lvl w:ilvl="2">
      <w:start w:val="0"/>
      <w:numFmt w:val="bullet"/>
      <w:lvlText w:val="•"/>
      <w:lvlJc w:val="left"/>
      <w:pPr>
        <w:ind w:left="2100" w:hanging="624"/>
      </w:pPr>
      <w:rPr>
        <w:rFonts w:hint="default"/>
      </w:rPr>
    </w:lvl>
    <w:lvl w:ilvl="3">
      <w:start w:val="0"/>
      <w:numFmt w:val="bullet"/>
      <w:lvlText w:val="•"/>
      <w:lvlJc w:val="left"/>
      <w:pPr>
        <w:ind w:left="2781" w:hanging="624"/>
      </w:pPr>
      <w:rPr>
        <w:rFonts w:hint="default"/>
      </w:rPr>
    </w:lvl>
    <w:lvl w:ilvl="4">
      <w:start w:val="0"/>
      <w:numFmt w:val="bullet"/>
      <w:lvlText w:val="•"/>
      <w:lvlJc w:val="left"/>
      <w:pPr>
        <w:ind w:left="3461" w:hanging="624"/>
      </w:pPr>
      <w:rPr>
        <w:rFonts w:hint="default"/>
      </w:rPr>
    </w:lvl>
    <w:lvl w:ilvl="5">
      <w:start w:val="0"/>
      <w:numFmt w:val="bullet"/>
      <w:lvlText w:val="•"/>
      <w:lvlJc w:val="left"/>
      <w:pPr>
        <w:ind w:left="4142" w:hanging="624"/>
      </w:pPr>
      <w:rPr>
        <w:rFonts w:hint="default"/>
      </w:rPr>
    </w:lvl>
    <w:lvl w:ilvl="6">
      <w:start w:val="0"/>
      <w:numFmt w:val="bullet"/>
      <w:lvlText w:val="•"/>
      <w:lvlJc w:val="left"/>
      <w:pPr>
        <w:ind w:left="4822" w:hanging="624"/>
      </w:pPr>
      <w:rPr>
        <w:rFonts w:hint="default"/>
      </w:rPr>
    </w:lvl>
    <w:lvl w:ilvl="7">
      <w:start w:val="0"/>
      <w:numFmt w:val="bullet"/>
      <w:lvlText w:val="•"/>
      <w:lvlJc w:val="left"/>
      <w:pPr>
        <w:ind w:left="5502" w:hanging="624"/>
      </w:pPr>
      <w:rPr>
        <w:rFonts w:hint="default"/>
      </w:rPr>
    </w:lvl>
    <w:lvl w:ilvl="8">
      <w:start w:val="0"/>
      <w:numFmt w:val="bullet"/>
      <w:lvlText w:val="•"/>
      <w:lvlJc w:val="left"/>
      <w:pPr>
        <w:ind w:left="6183" w:hanging="624"/>
      </w:pPr>
      <w:rPr>
        <w:rFonts w:hint="default"/>
      </w:rPr>
    </w:lvl>
  </w:abstractNum>
  <w:abstractNum w:abstractNumId="12">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09" w:hanging="632"/>
      </w:pPr>
      <w:rPr>
        <w:rFonts w:hint="default"/>
      </w:rPr>
    </w:lvl>
    <w:lvl w:ilvl="2">
      <w:start w:val="0"/>
      <w:numFmt w:val="bullet"/>
      <w:lvlText w:val="•"/>
      <w:lvlJc w:val="left"/>
      <w:pPr>
        <w:ind w:left="2079" w:hanging="632"/>
      </w:pPr>
      <w:rPr>
        <w:rFonts w:hint="default"/>
      </w:rPr>
    </w:lvl>
    <w:lvl w:ilvl="3">
      <w:start w:val="0"/>
      <w:numFmt w:val="bullet"/>
      <w:lvlText w:val="•"/>
      <w:lvlJc w:val="left"/>
      <w:pPr>
        <w:ind w:left="2748" w:hanging="632"/>
      </w:pPr>
      <w:rPr>
        <w:rFonts w:hint="default"/>
      </w:rPr>
    </w:lvl>
    <w:lvl w:ilvl="4">
      <w:start w:val="0"/>
      <w:numFmt w:val="bullet"/>
      <w:lvlText w:val="•"/>
      <w:lvlJc w:val="left"/>
      <w:pPr>
        <w:ind w:left="3418" w:hanging="632"/>
      </w:pPr>
      <w:rPr>
        <w:rFonts w:hint="default"/>
      </w:rPr>
    </w:lvl>
    <w:lvl w:ilvl="5">
      <w:start w:val="0"/>
      <w:numFmt w:val="bullet"/>
      <w:lvlText w:val="•"/>
      <w:lvlJc w:val="left"/>
      <w:pPr>
        <w:ind w:left="4088" w:hanging="632"/>
      </w:pPr>
      <w:rPr>
        <w:rFonts w:hint="default"/>
      </w:rPr>
    </w:lvl>
    <w:lvl w:ilvl="6">
      <w:start w:val="0"/>
      <w:numFmt w:val="bullet"/>
      <w:lvlText w:val="•"/>
      <w:lvlJc w:val="left"/>
      <w:pPr>
        <w:ind w:left="4757" w:hanging="632"/>
      </w:pPr>
      <w:rPr>
        <w:rFonts w:hint="default"/>
      </w:rPr>
    </w:lvl>
    <w:lvl w:ilvl="7">
      <w:start w:val="0"/>
      <w:numFmt w:val="bullet"/>
      <w:lvlText w:val="•"/>
      <w:lvlJc w:val="left"/>
      <w:pPr>
        <w:ind w:left="5427" w:hanging="632"/>
      </w:pPr>
      <w:rPr>
        <w:rFonts w:hint="default"/>
      </w:rPr>
    </w:lvl>
    <w:lvl w:ilvl="8">
      <w:start w:val="0"/>
      <w:numFmt w:val="bullet"/>
      <w:lvlText w:val="•"/>
      <w:lvlJc w:val="left"/>
      <w:pPr>
        <w:ind w:left="6096" w:hanging="632"/>
      </w:pPr>
      <w:rPr>
        <w:rFonts w:hint="default"/>
      </w:rPr>
    </w:lvl>
  </w:abstractNum>
  <w:abstractNum w:abstractNumId="11">
    <w:multiLevelType w:val="hybridMultilevel"/>
    <w:lvl w:ilvl="0">
      <w:start w:val="1"/>
      <w:numFmt w:val="decimal"/>
      <w:lvlText w:val="（%1）"/>
      <w:lvlJc w:val="left"/>
      <w:pPr>
        <w:ind w:left="736" w:hanging="624"/>
        <w:jc w:val="left"/>
      </w:pPr>
      <w:rPr>
        <w:rFonts w:hint="default" w:ascii="宋体" w:hAnsi="宋体" w:eastAsia="宋体" w:cs="宋体"/>
        <w:spacing w:val="-2"/>
        <w:w w:val="97"/>
        <w:sz w:val="21"/>
        <w:szCs w:val="21"/>
      </w:rPr>
    </w:lvl>
    <w:lvl w:ilvl="1">
      <w:start w:val="0"/>
      <w:numFmt w:val="bullet"/>
      <w:lvlText w:val="•"/>
      <w:lvlJc w:val="left"/>
      <w:pPr>
        <w:ind w:left="1409" w:hanging="624"/>
      </w:pPr>
      <w:rPr>
        <w:rFonts w:hint="default"/>
      </w:rPr>
    </w:lvl>
    <w:lvl w:ilvl="2">
      <w:start w:val="0"/>
      <w:numFmt w:val="bullet"/>
      <w:lvlText w:val="•"/>
      <w:lvlJc w:val="left"/>
      <w:pPr>
        <w:ind w:left="2079" w:hanging="624"/>
      </w:pPr>
      <w:rPr>
        <w:rFonts w:hint="default"/>
      </w:rPr>
    </w:lvl>
    <w:lvl w:ilvl="3">
      <w:start w:val="0"/>
      <w:numFmt w:val="bullet"/>
      <w:lvlText w:val="•"/>
      <w:lvlJc w:val="left"/>
      <w:pPr>
        <w:ind w:left="2748" w:hanging="624"/>
      </w:pPr>
      <w:rPr>
        <w:rFonts w:hint="default"/>
      </w:rPr>
    </w:lvl>
    <w:lvl w:ilvl="4">
      <w:start w:val="0"/>
      <w:numFmt w:val="bullet"/>
      <w:lvlText w:val="•"/>
      <w:lvlJc w:val="left"/>
      <w:pPr>
        <w:ind w:left="3418" w:hanging="624"/>
      </w:pPr>
      <w:rPr>
        <w:rFonts w:hint="default"/>
      </w:rPr>
    </w:lvl>
    <w:lvl w:ilvl="5">
      <w:start w:val="0"/>
      <w:numFmt w:val="bullet"/>
      <w:lvlText w:val="•"/>
      <w:lvlJc w:val="left"/>
      <w:pPr>
        <w:ind w:left="4088" w:hanging="624"/>
      </w:pPr>
      <w:rPr>
        <w:rFonts w:hint="default"/>
      </w:rPr>
    </w:lvl>
    <w:lvl w:ilvl="6">
      <w:start w:val="0"/>
      <w:numFmt w:val="bullet"/>
      <w:lvlText w:val="•"/>
      <w:lvlJc w:val="left"/>
      <w:pPr>
        <w:ind w:left="4757" w:hanging="624"/>
      </w:pPr>
      <w:rPr>
        <w:rFonts w:hint="default"/>
      </w:rPr>
    </w:lvl>
    <w:lvl w:ilvl="7">
      <w:start w:val="0"/>
      <w:numFmt w:val="bullet"/>
      <w:lvlText w:val="•"/>
      <w:lvlJc w:val="left"/>
      <w:pPr>
        <w:ind w:left="5427" w:hanging="624"/>
      </w:pPr>
      <w:rPr>
        <w:rFonts w:hint="default"/>
      </w:rPr>
    </w:lvl>
    <w:lvl w:ilvl="8">
      <w:start w:val="0"/>
      <w:numFmt w:val="bullet"/>
      <w:lvlText w:val="•"/>
      <w:lvlJc w:val="left"/>
      <w:pPr>
        <w:ind w:left="6096" w:hanging="624"/>
      </w:pPr>
      <w:rPr>
        <w:rFonts w:hint="default"/>
      </w:rPr>
    </w:lvl>
  </w:abstractNum>
  <w:abstractNum w:abstractNumId="10">
    <w:multiLevelType w:val="hybridMultilevel"/>
    <w:lvl w:ilvl="0">
      <w:start w:val="1"/>
      <w:numFmt w:val="decimal"/>
      <w:lvlText w:val="（%1）"/>
      <w:lvlJc w:val="left"/>
      <w:pPr>
        <w:ind w:left="735" w:hanging="624"/>
        <w:jc w:val="left"/>
      </w:pPr>
      <w:rPr>
        <w:rFonts w:hint="default" w:ascii="宋体" w:hAnsi="宋体" w:eastAsia="宋体" w:cs="宋体"/>
        <w:spacing w:val="-2"/>
        <w:w w:val="97"/>
        <w:sz w:val="21"/>
        <w:szCs w:val="21"/>
      </w:rPr>
    </w:lvl>
    <w:lvl w:ilvl="1">
      <w:start w:val="0"/>
      <w:numFmt w:val="bullet"/>
      <w:lvlText w:val="•"/>
      <w:lvlJc w:val="left"/>
      <w:pPr>
        <w:ind w:left="1423" w:hanging="624"/>
      </w:pPr>
      <w:rPr>
        <w:rFonts w:hint="default"/>
      </w:rPr>
    </w:lvl>
    <w:lvl w:ilvl="2">
      <w:start w:val="0"/>
      <w:numFmt w:val="bullet"/>
      <w:lvlText w:val="•"/>
      <w:lvlJc w:val="left"/>
      <w:pPr>
        <w:ind w:left="2107" w:hanging="624"/>
      </w:pPr>
      <w:rPr>
        <w:rFonts w:hint="default"/>
      </w:rPr>
    </w:lvl>
    <w:lvl w:ilvl="3">
      <w:start w:val="0"/>
      <w:numFmt w:val="bullet"/>
      <w:lvlText w:val="•"/>
      <w:lvlJc w:val="left"/>
      <w:pPr>
        <w:ind w:left="2791" w:hanging="624"/>
      </w:pPr>
      <w:rPr>
        <w:rFonts w:hint="default"/>
      </w:rPr>
    </w:lvl>
    <w:lvl w:ilvl="4">
      <w:start w:val="0"/>
      <w:numFmt w:val="bullet"/>
      <w:lvlText w:val="•"/>
      <w:lvlJc w:val="left"/>
      <w:pPr>
        <w:ind w:left="3474" w:hanging="624"/>
      </w:pPr>
      <w:rPr>
        <w:rFonts w:hint="default"/>
      </w:rPr>
    </w:lvl>
    <w:lvl w:ilvl="5">
      <w:start w:val="0"/>
      <w:numFmt w:val="bullet"/>
      <w:lvlText w:val="•"/>
      <w:lvlJc w:val="left"/>
      <w:pPr>
        <w:ind w:left="4158" w:hanging="624"/>
      </w:pPr>
      <w:rPr>
        <w:rFonts w:hint="default"/>
      </w:rPr>
    </w:lvl>
    <w:lvl w:ilvl="6">
      <w:start w:val="0"/>
      <w:numFmt w:val="bullet"/>
      <w:lvlText w:val="•"/>
      <w:lvlJc w:val="left"/>
      <w:pPr>
        <w:ind w:left="4842" w:hanging="624"/>
      </w:pPr>
      <w:rPr>
        <w:rFonts w:hint="default"/>
      </w:rPr>
    </w:lvl>
    <w:lvl w:ilvl="7">
      <w:start w:val="0"/>
      <w:numFmt w:val="bullet"/>
      <w:lvlText w:val="•"/>
      <w:lvlJc w:val="left"/>
      <w:pPr>
        <w:ind w:left="5525" w:hanging="624"/>
      </w:pPr>
      <w:rPr>
        <w:rFonts w:hint="default"/>
      </w:rPr>
    </w:lvl>
    <w:lvl w:ilvl="8">
      <w:start w:val="0"/>
      <w:numFmt w:val="bullet"/>
      <w:lvlText w:val="•"/>
      <w:lvlJc w:val="left"/>
      <w:pPr>
        <w:ind w:left="6209" w:hanging="624"/>
      </w:pPr>
      <w:rPr>
        <w:rFonts w:hint="default"/>
      </w:rPr>
    </w:lvl>
  </w:abstractNum>
  <w:abstractNum w:abstractNumId="9">
    <w:multiLevelType w:val="hybridMultilevel"/>
    <w:lvl w:ilvl="0">
      <w:start w:val="1"/>
      <w:numFmt w:val="decimal"/>
      <w:lvlText w:val="（%1）"/>
      <w:lvlJc w:val="left"/>
      <w:pPr>
        <w:ind w:left="735" w:hanging="624"/>
        <w:jc w:val="left"/>
      </w:pPr>
      <w:rPr>
        <w:rFonts w:hint="default" w:ascii="宋体" w:hAnsi="宋体" w:eastAsia="宋体" w:cs="宋体"/>
        <w:spacing w:val="-1"/>
        <w:w w:val="100"/>
        <w:sz w:val="21"/>
        <w:szCs w:val="21"/>
      </w:rPr>
    </w:lvl>
    <w:lvl w:ilvl="1">
      <w:start w:val="0"/>
      <w:numFmt w:val="bullet"/>
      <w:lvlText w:val="•"/>
      <w:lvlJc w:val="left"/>
      <w:pPr>
        <w:ind w:left="1423" w:hanging="624"/>
      </w:pPr>
      <w:rPr>
        <w:rFonts w:hint="default"/>
      </w:rPr>
    </w:lvl>
    <w:lvl w:ilvl="2">
      <w:start w:val="0"/>
      <w:numFmt w:val="bullet"/>
      <w:lvlText w:val="•"/>
      <w:lvlJc w:val="left"/>
      <w:pPr>
        <w:ind w:left="2107" w:hanging="624"/>
      </w:pPr>
      <w:rPr>
        <w:rFonts w:hint="default"/>
      </w:rPr>
    </w:lvl>
    <w:lvl w:ilvl="3">
      <w:start w:val="0"/>
      <w:numFmt w:val="bullet"/>
      <w:lvlText w:val="•"/>
      <w:lvlJc w:val="left"/>
      <w:pPr>
        <w:ind w:left="2791" w:hanging="624"/>
      </w:pPr>
      <w:rPr>
        <w:rFonts w:hint="default"/>
      </w:rPr>
    </w:lvl>
    <w:lvl w:ilvl="4">
      <w:start w:val="0"/>
      <w:numFmt w:val="bullet"/>
      <w:lvlText w:val="•"/>
      <w:lvlJc w:val="left"/>
      <w:pPr>
        <w:ind w:left="3474" w:hanging="624"/>
      </w:pPr>
      <w:rPr>
        <w:rFonts w:hint="default"/>
      </w:rPr>
    </w:lvl>
    <w:lvl w:ilvl="5">
      <w:start w:val="0"/>
      <w:numFmt w:val="bullet"/>
      <w:lvlText w:val="•"/>
      <w:lvlJc w:val="left"/>
      <w:pPr>
        <w:ind w:left="4158" w:hanging="624"/>
      </w:pPr>
      <w:rPr>
        <w:rFonts w:hint="default"/>
      </w:rPr>
    </w:lvl>
    <w:lvl w:ilvl="6">
      <w:start w:val="0"/>
      <w:numFmt w:val="bullet"/>
      <w:lvlText w:val="•"/>
      <w:lvlJc w:val="left"/>
      <w:pPr>
        <w:ind w:left="4842" w:hanging="624"/>
      </w:pPr>
      <w:rPr>
        <w:rFonts w:hint="default"/>
      </w:rPr>
    </w:lvl>
    <w:lvl w:ilvl="7">
      <w:start w:val="0"/>
      <w:numFmt w:val="bullet"/>
      <w:lvlText w:val="•"/>
      <w:lvlJc w:val="left"/>
      <w:pPr>
        <w:ind w:left="5525" w:hanging="624"/>
      </w:pPr>
      <w:rPr>
        <w:rFonts w:hint="default"/>
      </w:rPr>
    </w:lvl>
    <w:lvl w:ilvl="8">
      <w:start w:val="0"/>
      <w:numFmt w:val="bullet"/>
      <w:lvlText w:val="•"/>
      <w:lvlJc w:val="left"/>
      <w:pPr>
        <w:ind w:left="6209" w:hanging="624"/>
      </w:pPr>
      <w:rPr>
        <w:rFonts w:hint="default"/>
      </w:rPr>
    </w:lvl>
  </w:abstractNum>
  <w:abstractNum w:abstractNumId="8">
    <w:multiLevelType w:val="hybridMultilevel"/>
    <w:lvl w:ilvl="0">
      <w:start w:val="1"/>
      <w:numFmt w:val="decimal"/>
      <w:lvlText w:val="（%1）"/>
      <w:lvlJc w:val="left"/>
      <w:pPr>
        <w:ind w:left="841" w:hanging="624"/>
        <w:jc w:val="left"/>
      </w:pPr>
      <w:rPr>
        <w:rFonts w:hint="default" w:ascii="宋体" w:hAnsi="宋体" w:eastAsia="宋体" w:cs="宋体"/>
        <w:spacing w:val="-1"/>
        <w:w w:val="100"/>
        <w:sz w:val="21"/>
        <w:szCs w:val="21"/>
      </w:rPr>
    </w:lvl>
    <w:lvl w:ilvl="1">
      <w:start w:val="0"/>
      <w:numFmt w:val="bullet"/>
      <w:lvlText w:val="•"/>
      <w:lvlJc w:val="left"/>
      <w:pPr>
        <w:ind w:left="1512" w:hanging="624"/>
      </w:pPr>
      <w:rPr>
        <w:rFonts w:hint="default"/>
      </w:rPr>
    </w:lvl>
    <w:lvl w:ilvl="2">
      <w:start w:val="0"/>
      <w:numFmt w:val="bullet"/>
      <w:lvlText w:val="•"/>
      <w:lvlJc w:val="left"/>
      <w:pPr>
        <w:ind w:left="2184" w:hanging="624"/>
      </w:pPr>
      <w:rPr>
        <w:rFonts w:hint="default"/>
      </w:rPr>
    </w:lvl>
    <w:lvl w:ilvl="3">
      <w:start w:val="0"/>
      <w:numFmt w:val="bullet"/>
      <w:lvlText w:val="•"/>
      <w:lvlJc w:val="left"/>
      <w:pPr>
        <w:ind w:left="2857" w:hanging="624"/>
      </w:pPr>
      <w:rPr>
        <w:rFonts w:hint="default"/>
      </w:rPr>
    </w:lvl>
    <w:lvl w:ilvl="4">
      <w:start w:val="0"/>
      <w:numFmt w:val="bullet"/>
      <w:lvlText w:val="•"/>
      <w:lvlJc w:val="left"/>
      <w:pPr>
        <w:ind w:left="3529" w:hanging="624"/>
      </w:pPr>
      <w:rPr>
        <w:rFonts w:hint="default"/>
      </w:rPr>
    </w:lvl>
    <w:lvl w:ilvl="5">
      <w:start w:val="0"/>
      <w:numFmt w:val="bullet"/>
      <w:lvlText w:val="•"/>
      <w:lvlJc w:val="left"/>
      <w:pPr>
        <w:ind w:left="4202" w:hanging="624"/>
      </w:pPr>
      <w:rPr>
        <w:rFonts w:hint="default"/>
      </w:rPr>
    </w:lvl>
    <w:lvl w:ilvl="6">
      <w:start w:val="0"/>
      <w:numFmt w:val="bullet"/>
      <w:lvlText w:val="•"/>
      <w:lvlJc w:val="left"/>
      <w:pPr>
        <w:ind w:left="4874" w:hanging="624"/>
      </w:pPr>
      <w:rPr>
        <w:rFonts w:hint="default"/>
      </w:rPr>
    </w:lvl>
    <w:lvl w:ilvl="7">
      <w:start w:val="0"/>
      <w:numFmt w:val="bullet"/>
      <w:lvlText w:val="•"/>
      <w:lvlJc w:val="left"/>
      <w:pPr>
        <w:ind w:left="5546" w:hanging="624"/>
      </w:pPr>
      <w:rPr>
        <w:rFonts w:hint="default"/>
      </w:rPr>
    </w:lvl>
    <w:lvl w:ilvl="8">
      <w:start w:val="0"/>
      <w:numFmt w:val="bullet"/>
      <w:lvlText w:val="•"/>
      <w:lvlJc w:val="left"/>
      <w:pPr>
        <w:ind w:left="6219" w:hanging="624"/>
      </w:pPr>
      <w:rPr>
        <w:rFonts w:hint="default"/>
      </w:rPr>
    </w:lvl>
  </w:abstractNum>
  <w:abstractNum w:abstractNumId="7">
    <w:multiLevelType w:val="hybridMultilevel"/>
    <w:lvl w:ilvl="0">
      <w:start w:val="1"/>
      <w:numFmt w:val="decimal"/>
      <w:lvlText w:val="（%1）"/>
      <w:lvlJc w:val="left"/>
      <w:pPr>
        <w:ind w:left="848" w:hanging="624"/>
        <w:jc w:val="left"/>
      </w:pPr>
      <w:rPr>
        <w:rFonts w:hint="default" w:ascii="宋体" w:hAnsi="宋体" w:eastAsia="宋体" w:cs="宋体"/>
        <w:spacing w:val="-2"/>
        <w:w w:val="97"/>
        <w:sz w:val="21"/>
        <w:szCs w:val="21"/>
      </w:rPr>
    </w:lvl>
    <w:lvl w:ilvl="1">
      <w:start w:val="0"/>
      <w:numFmt w:val="bullet"/>
      <w:lvlText w:val="•"/>
      <w:lvlJc w:val="left"/>
      <w:pPr>
        <w:ind w:left="1524" w:hanging="624"/>
      </w:pPr>
      <w:rPr>
        <w:rFonts w:hint="default"/>
      </w:rPr>
    </w:lvl>
    <w:lvl w:ilvl="2">
      <w:start w:val="0"/>
      <w:numFmt w:val="bullet"/>
      <w:lvlText w:val="•"/>
      <w:lvlJc w:val="left"/>
      <w:pPr>
        <w:ind w:left="2208" w:hanging="624"/>
      </w:pPr>
      <w:rPr>
        <w:rFonts w:hint="default"/>
      </w:rPr>
    </w:lvl>
    <w:lvl w:ilvl="3">
      <w:start w:val="0"/>
      <w:numFmt w:val="bullet"/>
      <w:lvlText w:val="•"/>
      <w:lvlJc w:val="left"/>
      <w:pPr>
        <w:ind w:left="2892" w:hanging="624"/>
      </w:pPr>
      <w:rPr>
        <w:rFonts w:hint="default"/>
      </w:rPr>
    </w:lvl>
    <w:lvl w:ilvl="4">
      <w:start w:val="0"/>
      <w:numFmt w:val="bullet"/>
      <w:lvlText w:val="•"/>
      <w:lvlJc w:val="left"/>
      <w:pPr>
        <w:ind w:left="3577" w:hanging="624"/>
      </w:pPr>
      <w:rPr>
        <w:rFonts w:hint="default"/>
      </w:rPr>
    </w:lvl>
    <w:lvl w:ilvl="5">
      <w:start w:val="0"/>
      <w:numFmt w:val="bullet"/>
      <w:lvlText w:val="•"/>
      <w:lvlJc w:val="left"/>
      <w:pPr>
        <w:ind w:left="4261" w:hanging="624"/>
      </w:pPr>
      <w:rPr>
        <w:rFonts w:hint="default"/>
      </w:rPr>
    </w:lvl>
    <w:lvl w:ilvl="6">
      <w:start w:val="0"/>
      <w:numFmt w:val="bullet"/>
      <w:lvlText w:val="•"/>
      <w:lvlJc w:val="left"/>
      <w:pPr>
        <w:ind w:left="4945" w:hanging="624"/>
      </w:pPr>
      <w:rPr>
        <w:rFonts w:hint="default"/>
      </w:rPr>
    </w:lvl>
    <w:lvl w:ilvl="7">
      <w:start w:val="0"/>
      <w:numFmt w:val="bullet"/>
      <w:lvlText w:val="•"/>
      <w:lvlJc w:val="left"/>
      <w:pPr>
        <w:ind w:left="5630" w:hanging="624"/>
      </w:pPr>
      <w:rPr>
        <w:rFonts w:hint="default"/>
      </w:rPr>
    </w:lvl>
    <w:lvl w:ilvl="8">
      <w:start w:val="0"/>
      <w:numFmt w:val="bullet"/>
      <w:lvlText w:val="•"/>
      <w:lvlJc w:val="left"/>
      <w:pPr>
        <w:ind w:left="6314" w:hanging="624"/>
      </w:pPr>
      <w:rPr>
        <w:rFonts w:hint="default"/>
      </w:rPr>
    </w:lvl>
  </w:abstractNum>
  <w:abstractNum w:abstractNumId="6">
    <w:multiLevelType w:val="hybridMultilevel"/>
    <w:lvl w:ilvl="0">
      <w:start w:val="4"/>
      <w:numFmt w:val="decimal"/>
      <w:lvlText w:val="（%1）"/>
      <w:lvlJc w:val="left"/>
      <w:pPr>
        <w:ind w:left="841" w:hanging="600"/>
        <w:jc w:val="left"/>
      </w:pPr>
      <w:rPr>
        <w:rFonts w:hint="default" w:ascii="宋体" w:hAnsi="宋体" w:eastAsia="宋体" w:cs="宋体"/>
        <w:spacing w:val="-1"/>
        <w:w w:val="100"/>
        <w:sz w:val="21"/>
        <w:szCs w:val="21"/>
      </w:rPr>
    </w:lvl>
    <w:lvl w:ilvl="1">
      <w:start w:val="0"/>
      <w:numFmt w:val="bullet"/>
      <w:lvlText w:val="•"/>
      <w:lvlJc w:val="left"/>
      <w:pPr>
        <w:ind w:left="1524" w:hanging="600"/>
      </w:pPr>
      <w:rPr>
        <w:rFonts w:hint="default"/>
      </w:rPr>
    </w:lvl>
    <w:lvl w:ilvl="2">
      <w:start w:val="0"/>
      <w:numFmt w:val="bullet"/>
      <w:lvlText w:val="•"/>
      <w:lvlJc w:val="left"/>
      <w:pPr>
        <w:ind w:left="2208" w:hanging="600"/>
      </w:pPr>
      <w:rPr>
        <w:rFonts w:hint="default"/>
      </w:rPr>
    </w:lvl>
    <w:lvl w:ilvl="3">
      <w:start w:val="0"/>
      <w:numFmt w:val="bullet"/>
      <w:lvlText w:val="•"/>
      <w:lvlJc w:val="left"/>
      <w:pPr>
        <w:ind w:left="2892" w:hanging="600"/>
      </w:pPr>
      <w:rPr>
        <w:rFonts w:hint="default"/>
      </w:rPr>
    </w:lvl>
    <w:lvl w:ilvl="4">
      <w:start w:val="0"/>
      <w:numFmt w:val="bullet"/>
      <w:lvlText w:val="•"/>
      <w:lvlJc w:val="left"/>
      <w:pPr>
        <w:ind w:left="3577" w:hanging="600"/>
      </w:pPr>
      <w:rPr>
        <w:rFonts w:hint="default"/>
      </w:rPr>
    </w:lvl>
    <w:lvl w:ilvl="5">
      <w:start w:val="0"/>
      <w:numFmt w:val="bullet"/>
      <w:lvlText w:val="•"/>
      <w:lvlJc w:val="left"/>
      <w:pPr>
        <w:ind w:left="4261" w:hanging="600"/>
      </w:pPr>
      <w:rPr>
        <w:rFonts w:hint="default"/>
      </w:rPr>
    </w:lvl>
    <w:lvl w:ilvl="6">
      <w:start w:val="0"/>
      <w:numFmt w:val="bullet"/>
      <w:lvlText w:val="•"/>
      <w:lvlJc w:val="left"/>
      <w:pPr>
        <w:ind w:left="4945" w:hanging="600"/>
      </w:pPr>
      <w:rPr>
        <w:rFonts w:hint="default"/>
      </w:rPr>
    </w:lvl>
    <w:lvl w:ilvl="7">
      <w:start w:val="0"/>
      <w:numFmt w:val="bullet"/>
      <w:lvlText w:val="•"/>
      <w:lvlJc w:val="left"/>
      <w:pPr>
        <w:ind w:left="5630" w:hanging="600"/>
      </w:pPr>
      <w:rPr>
        <w:rFonts w:hint="default"/>
      </w:rPr>
    </w:lvl>
    <w:lvl w:ilvl="8">
      <w:start w:val="0"/>
      <w:numFmt w:val="bullet"/>
      <w:lvlText w:val="•"/>
      <w:lvlJc w:val="left"/>
      <w:pPr>
        <w:ind w:left="6314" w:hanging="600"/>
      </w:pPr>
      <w:rPr>
        <w:rFonts w:hint="default"/>
      </w:rPr>
    </w:lvl>
  </w:abstractNum>
  <w:abstractNum w:abstractNumId="5">
    <w:multiLevelType w:val="hybridMultilevel"/>
    <w:lvl w:ilvl="0">
      <w:start w:val="1"/>
      <w:numFmt w:val="decimal"/>
      <w:lvlText w:val="（%1）"/>
      <w:lvlJc w:val="left"/>
      <w:pPr>
        <w:ind w:left="710" w:hanging="600"/>
        <w:jc w:val="left"/>
      </w:pPr>
      <w:rPr>
        <w:rFonts w:hint="default" w:ascii="宋体" w:hAnsi="宋体" w:eastAsia="宋体" w:cs="宋体"/>
        <w:spacing w:val="-1"/>
        <w:w w:val="100"/>
        <w:sz w:val="21"/>
        <w:szCs w:val="21"/>
      </w:rPr>
    </w:lvl>
    <w:lvl w:ilvl="1">
      <w:start w:val="0"/>
      <w:numFmt w:val="bullet"/>
      <w:lvlText w:val="•"/>
      <w:lvlJc w:val="left"/>
      <w:pPr>
        <w:ind w:left="1405" w:hanging="600"/>
      </w:pPr>
      <w:rPr>
        <w:rFonts w:hint="default"/>
      </w:rPr>
    </w:lvl>
    <w:lvl w:ilvl="2">
      <w:start w:val="0"/>
      <w:numFmt w:val="bullet"/>
      <w:lvlText w:val="•"/>
      <w:lvlJc w:val="left"/>
      <w:pPr>
        <w:ind w:left="2091" w:hanging="600"/>
      </w:pPr>
      <w:rPr>
        <w:rFonts w:hint="default"/>
      </w:rPr>
    </w:lvl>
    <w:lvl w:ilvl="3">
      <w:start w:val="0"/>
      <w:numFmt w:val="bullet"/>
      <w:lvlText w:val="•"/>
      <w:lvlJc w:val="left"/>
      <w:pPr>
        <w:ind w:left="2777" w:hanging="600"/>
      </w:pPr>
      <w:rPr>
        <w:rFonts w:hint="default"/>
      </w:rPr>
    </w:lvl>
    <w:lvl w:ilvl="4">
      <w:start w:val="0"/>
      <w:numFmt w:val="bullet"/>
      <w:lvlText w:val="•"/>
      <w:lvlJc w:val="left"/>
      <w:pPr>
        <w:ind w:left="3463" w:hanging="600"/>
      </w:pPr>
      <w:rPr>
        <w:rFonts w:hint="default"/>
      </w:rPr>
    </w:lvl>
    <w:lvl w:ilvl="5">
      <w:start w:val="0"/>
      <w:numFmt w:val="bullet"/>
      <w:lvlText w:val="•"/>
      <w:lvlJc w:val="left"/>
      <w:pPr>
        <w:ind w:left="4149" w:hanging="600"/>
      </w:pPr>
      <w:rPr>
        <w:rFonts w:hint="default"/>
      </w:rPr>
    </w:lvl>
    <w:lvl w:ilvl="6">
      <w:start w:val="0"/>
      <w:numFmt w:val="bullet"/>
      <w:lvlText w:val="•"/>
      <w:lvlJc w:val="left"/>
      <w:pPr>
        <w:ind w:left="4834" w:hanging="600"/>
      </w:pPr>
      <w:rPr>
        <w:rFonts w:hint="default"/>
      </w:rPr>
    </w:lvl>
    <w:lvl w:ilvl="7">
      <w:start w:val="0"/>
      <w:numFmt w:val="bullet"/>
      <w:lvlText w:val="•"/>
      <w:lvlJc w:val="left"/>
      <w:pPr>
        <w:ind w:left="5520" w:hanging="600"/>
      </w:pPr>
      <w:rPr>
        <w:rFonts w:hint="default"/>
      </w:rPr>
    </w:lvl>
    <w:lvl w:ilvl="8">
      <w:start w:val="0"/>
      <w:numFmt w:val="bullet"/>
      <w:lvlText w:val="•"/>
      <w:lvlJc w:val="left"/>
      <w:pPr>
        <w:ind w:left="6206" w:hanging="600"/>
      </w:pPr>
      <w:rPr>
        <w:rFonts w:hint="default"/>
      </w:rPr>
    </w:lvl>
  </w:abstractNum>
  <w:abstractNum w:abstractNumId="4">
    <w:multiLevelType w:val="hybridMultilevel"/>
    <w:lvl w:ilvl="0">
      <w:start w:val="8"/>
      <w:numFmt w:val="decimal"/>
      <w:lvlText w:val="%1"/>
      <w:lvlJc w:val="left"/>
      <w:pPr>
        <w:ind w:left="562" w:hanging="420"/>
        <w:jc w:val="left"/>
      </w:pPr>
      <w:rPr>
        <w:rFonts w:hint="default"/>
      </w:rPr>
    </w:lvl>
    <w:lvl w:ilvl="1">
      <w:start w:val="7"/>
      <w:numFmt w:val="decimal"/>
      <w:lvlText w:val="%1.%2"/>
      <w:lvlJc w:val="left"/>
      <w:pPr>
        <w:ind w:left="562" w:hanging="420"/>
        <w:jc w:val="left"/>
      </w:pPr>
      <w:rPr>
        <w:rFonts w:hint="default" w:ascii="宋体" w:hAnsi="宋体" w:eastAsia="宋体" w:cs="宋体"/>
        <w:spacing w:val="-2"/>
        <w:w w:val="58"/>
        <w:sz w:val="21"/>
        <w:szCs w:val="21"/>
      </w:rPr>
    </w:lvl>
    <w:lvl w:ilvl="2">
      <w:start w:val="0"/>
      <w:numFmt w:val="bullet"/>
      <w:lvlText w:val="•"/>
      <w:lvlJc w:val="left"/>
      <w:pPr>
        <w:ind w:left="1135" w:hanging="420"/>
      </w:pPr>
      <w:rPr>
        <w:rFonts w:hint="default"/>
      </w:rPr>
    </w:lvl>
    <w:lvl w:ilvl="3">
      <w:start w:val="0"/>
      <w:numFmt w:val="bullet"/>
      <w:lvlText w:val="•"/>
      <w:lvlJc w:val="left"/>
      <w:pPr>
        <w:ind w:left="1423" w:hanging="420"/>
      </w:pPr>
      <w:rPr>
        <w:rFonts w:hint="default"/>
      </w:rPr>
    </w:lvl>
    <w:lvl w:ilvl="4">
      <w:start w:val="0"/>
      <w:numFmt w:val="bullet"/>
      <w:lvlText w:val="•"/>
      <w:lvlJc w:val="left"/>
      <w:pPr>
        <w:ind w:left="1710" w:hanging="420"/>
      </w:pPr>
      <w:rPr>
        <w:rFonts w:hint="default"/>
      </w:rPr>
    </w:lvl>
    <w:lvl w:ilvl="5">
      <w:start w:val="0"/>
      <w:numFmt w:val="bullet"/>
      <w:lvlText w:val="•"/>
      <w:lvlJc w:val="left"/>
      <w:pPr>
        <w:ind w:left="1998" w:hanging="420"/>
      </w:pPr>
      <w:rPr>
        <w:rFonts w:hint="default"/>
      </w:rPr>
    </w:lvl>
    <w:lvl w:ilvl="6">
      <w:start w:val="0"/>
      <w:numFmt w:val="bullet"/>
      <w:lvlText w:val="•"/>
      <w:lvlJc w:val="left"/>
      <w:pPr>
        <w:ind w:left="2286" w:hanging="420"/>
      </w:pPr>
      <w:rPr>
        <w:rFonts w:hint="default"/>
      </w:rPr>
    </w:lvl>
    <w:lvl w:ilvl="7">
      <w:start w:val="0"/>
      <w:numFmt w:val="bullet"/>
      <w:lvlText w:val="•"/>
      <w:lvlJc w:val="left"/>
      <w:pPr>
        <w:ind w:left="2573" w:hanging="420"/>
      </w:pPr>
      <w:rPr>
        <w:rFonts w:hint="default"/>
      </w:rPr>
    </w:lvl>
    <w:lvl w:ilvl="8">
      <w:start w:val="0"/>
      <w:numFmt w:val="bullet"/>
      <w:lvlText w:val="•"/>
      <w:lvlJc w:val="left"/>
      <w:pPr>
        <w:ind w:left="2861" w:hanging="420"/>
      </w:pPr>
      <w:rPr>
        <w:rFonts w:hint="default"/>
      </w:rPr>
    </w:lvl>
  </w:abstractNum>
  <w:abstractNum w:abstractNumId="3">
    <w:multiLevelType w:val="hybridMultilevel"/>
    <w:lvl w:ilvl="0">
      <w:start w:val="7"/>
      <w:numFmt w:val="decimal"/>
      <w:lvlText w:val="%1."/>
      <w:lvlJc w:val="left"/>
      <w:pPr>
        <w:ind w:left="558" w:hanging="420"/>
        <w:jc w:val="left"/>
      </w:pPr>
      <w:rPr>
        <w:rFonts w:hint="default" w:ascii="微软雅黑" w:hAnsi="微软雅黑" w:eastAsia="微软雅黑" w:cs="微软雅黑"/>
        <w:b/>
        <w:bCs/>
        <w:w w:val="100"/>
        <w:sz w:val="21"/>
        <w:szCs w:val="21"/>
      </w:rPr>
    </w:lvl>
    <w:lvl w:ilvl="1">
      <w:start w:val="1"/>
      <w:numFmt w:val="decimal"/>
      <w:lvlText w:val="%1.%2"/>
      <w:lvlJc w:val="left"/>
      <w:pPr>
        <w:ind w:left="558" w:hanging="420"/>
        <w:jc w:val="left"/>
      </w:pPr>
      <w:rPr>
        <w:rFonts w:hint="default" w:ascii="宋体" w:hAnsi="宋体" w:eastAsia="宋体" w:cs="宋体"/>
        <w:spacing w:val="-2"/>
        <w:w w:val="58"/>
        <w:sz w:val="21"/>
        <w:szCs w:val="21"/>
      </w:rPr>
    </w:lvl>
    <w:lvl w:ilvl="2">
      <w:start w:val="0"/>
      <w:numFmt w:val="bullet"/>
      <w:lvlText w:val="•"/>
      <w:lvlJc w:val="left"/>
      <w:pPr>
        <w:ind w:left="1008" w:hanging="420"/>
      </w:pPr>
      <w:rPr>
        <w:rFonts w:hint="default"/>
      </w:rPr>
    </w:lvl>
    <w:lvl w:ilvl="3">
      <w:start w:val="0"/>
      <w:numFmt w:val="bullet"/>
      <w:lvlText w:val="•"/>
      <w:lvlJc w:val="left"/>
      <w:pPr>
        <w:ind w:left="1232" w:hanging="420"/>
      </w:pPr>
      <w:rPr>
        <w:rFonts w:hint="default"/>
      </w:rPr>
    </w:lvl>
    <w:lvl w:ilvl="4">
      <w:start w:val="0"/>
      <w:numFmt w:val="bullet"/>
      <w:lvlText w:val="•"/>
      <w:lvlJc w:val="left"/>
      <w:pPr>
        <w:ind w:left="1456" w:hanging="420"/>
      </w:pPr>
      <w:rPr>
        <w:rFonts w:hint="default"/>
      </w:rPr>
    </w:lvl>
    <w:lvl w:ilvl="5">
      <w:start w:val="0"/>
      <w:numFmt w:val="bullet"/>
      <w:lvlText w:val="•"/>
      <w:lvlJc w:val="left"/>
      <w:pPr>
        <w:ind w:left="1681" w:hanging="420"/>
      </w:pPr>
      <w:rPr>
        <w:rFonts w:hint="default"/>
      </w:rPr>
    </w:lvl>
    <w:lvl w:ilvl="6">
      <w:start w:val="0"/>
      <w:numFmt w:val="bullet"/>
      <w:lvlText w:val="•"/>
      <w:lvlJc w:val="left"/>
      <w:pPr>
        <w:ind w:left="1905" w:hanging="420"/>
      </w:pPr>
      <w:rPr>
        <w:rFonts w:hint="default"/>
      </w:rPr>
    </w:lvl>
    <w:lvl w:ilvl="7">
      <w:start w:val="0"/>
      <w:numFmt w:val="bullet"/>
      <w:lvlText w:val="•"/>
      <w:lvlJc w:val="left"/>
      <w:pPr>
        <w:ind w:left="2129" w:hanging="420"/>
      </w:pPr>
      <w:rPr>
        <w:rFonts w:hint="default"/>
      </w:rPr>
    </w:lvl>
    <w:lvl w:ilvl="8">
      <w:start w:val="0"/>
      <w:numFmt w:val="bullet"/>
      <w:lvlText w:val="•"/>
      <w:lvlJc w:val="left"/>
      <w:pPr>
        <w:ind w:left="2353" w:hanging="420"/>
      </w:pPr>
      <w:rPr>
        <w:rFonts w:hint="default"/>
      </w:rPr>
    </w:lvl>
  </w:abstractNum>
  <w:abstractNum w:abstractNumId="2">
    <w:multiLevelType w:val="hybridMultilevel"/>
    <w:lvl w:ilvl="0">
      <w:start w:val="6"/>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宋体" w:hAnsi="宋体" w:eastAsia="宋体" w:cs="宋体"/>
        <w:spacing w:val="-1"/>
        <w:w w:val="90"/>
        <w:sz w:val="21"/>
        <w:szCs w:val="21"/>
      </w:rPr>
    </w:lvl>
    <w:lvl w:ilvl="2">
      <w:start w:val="0"/>
      <w:numFmt w:val="bullet"/>
      <w:lvlText w:val="•"/>
      <w:lvlJc w:val="left"/>
      <w:pPr>
        <w:ind w:left="1008" w:hanging="420"/>
      </w:pPr>
      <w:rPr>
        <w:rFonts w:hint="default"/>
      </w:rPr>
    </w:lvl>
    <w:lvl w:ilvl="3">
      <w:start w:val="0"/>
      <w:numFmt w:val="bullet"/>
      <w:lvlText w:val="•"/>
      <w:lvlJc w:val="left"/>
      <w:pPr>
        <w:ind w:left="1232" w:hanging="420"/>
      </w:pPr>
      <w:rPr>
        <w:rFonts w:hint="default"/>
      </w:rPr>
    </w:lvl>
    <w:lvl w:ilvl="4">
      <w:start w:val="0"/>
      <w:numFmt w:val="bullet"/>
      <w:lvlText w:val="•"/>
      <w:lvlJc w:val="left"/>
      <w:pPr>
        <w:ind w:left="1456" w:hanging="420"/>
      </w:pPr>
      <w:rPr>
        <w:rFonts w:hint="default"/>
      </w:rPr>
    </w:lvl>
    <w:lvl w:ilvl="5">
      <w:start w:val="0"/>
      <w:numFmt w:val="bullet"/>
      <w:lvlText w:val="•"/>
      <w:lvlJc w:val="left"/>
      <w:pPr>
        <w:ind w:left="1681" w:hanging="420"/>
      </w:pPr>
      <w:rPr>
        <w:rFonts w:hint="default"/>
      </w:rPr>
    </w:lvl>
    <w:lvl w:ilvl="6">
      <w:start w:val="0"/>
      <w:numFmt w:val="bullet"/>
      <w:lvlText w:val="•"/>
      <w:lvlJc w:val="left"/>
      <w:pPr>
        <w:ind w:left="1905" w:hanging="420"/>
      </w:pPr>
      <w:rPr>
        <w:rFonts w:hint="default"/>
      </w:rPr>
    </w:lvl>
    <w:lvl w:ilvl="7">
      <w:start w:val="0"/>
      <w:numFmt w:val="bullet"/>
      <w:lvlText w:val="•"/>
      <w:lvlJc w:val="left"/>
      <w:pPr>
        <w:ind w:left="2129" w:hanging="420"/>
      </w:pPr>
      <w:rPr>
        <w:rFonts w:hint="default"/>
      </w:rPr>
    </w:lvl>
    <w:lvl w:ilvl="8">
      <w:start w:val="0"/>
      <w:numFmt w:val="bullet"/>
      <w:lvlText w:val="•"/>
      <w:lvlJc w:val="left"/>
      <w:pPr>
        <w:ind w:left="2353" w:hanging="420"/>
      </w:pPr>
      <w:rPr>
        <w:rFonts w:hint="default"/>
      </w:rPr>
    </w:lvl>
  </w:abstractNum>
  <w:abstractNum w:abstractNumId="1">
    <w:multiLevelType w:val="hybridMultilevel"/>
    <w:lvl w:ilvl="0">
      <w:start w:val="1"/>
      <w:numFmt w:val="decimal"/>
      <w:lvlText w:val="%1."/>
      <w:lvlJc w:val="left"/>
      <w:pPr>
        <w:ind w:left="814" w:hanging="420"/>
        <w:jc w:val="left"/>
      </w:pPr>
      <w:rPr>
        <w:rFonts w:hint="default" w:ascii="微软雅黑" w:hAnsi="微软雅黑" w:eastAsia="微软雅黑" w:cs="微软雅黑"/>
        <w:b/>
        <w:bCs/>
        <w:w w:val="86"/>
        <w:sz w:val="21"/>
        <w:szCs w:val="21"/>
      </w:rPr>
    </w:lvl>
    <w:lvl w:ilvl="1">
      <w:start w:val="1"/>
      <w:numFmt w:val="decimal"/>
      <w:lvlText w:val="%1.%2"/>
      <w:lvlJc w:val="left"/>
      <w:pPr>
        <w:ind w:left="814" w:hanging="420"/>
        <w:jc w:val="left"/>
      </w:pPr>
      <w:rPr>
        <w:rFonts w:hint="default" w:ascii="宋体" w:hAnsi="宋体" w:eastAsia="宋体" w:cs="宋体"/>
        <w:spacing w:val="-2"/>
        <w:w w:val="58"/>
        <w:sz w:val="21"/>
        <w:szCs w:val="21"/>
      </w:rPr>
    </w:lvl>
    <w:lvl w:ilvl="2">
      <w:start w:val="0"/>
      <w:numFmt w:val="bullet"/>
      <w:lvlText w:val="•"/>
      <w:lvlJc w:val="left"/>
      <w:pPr>
        <w:ind w:left="1393" w:hanging="420"/>
      </w:pPr>
      <w:rPr>
        <w:rFonts w:hint="default"/>
      </w:rPr>
    </w:lvl>
    <w:lvl w:ilvl="3">
      <w:start w:val="0"/>
      <w:numFmt w:val="bullet"/>
      <w:lvlText w:val="•"/>
      <w:lvlJc w:val="left"/>
      <w:pPr>
        <w:ind w:left="1679" w:hanging="420"/>
      </w:pPr>
      <w:rPr>
        <w:rFonts w:hint="default"/>
      </w:rPr>
    </w:lvl>
    <w:lvl w:ilvl="4">
      <w:start w:val="0"/>
      <w:numFmt w:val="bullet"/>
      <w:lvlText w:val="•"/>
      <w:lvlJc w:val="left"/>
      <w:pPr>
        <w:ind w:left="1966" w:hanging="420"/>
      </w:pPr>
      <w:rPr>
        <w:rFonts w:hint="default"/>
      </w:rPr>
    </w:lvl>
    <w:lvl w:ilvl="5">
      <w:start w:val="0"/>
      <w:numFmt w:val="bullet"/>
      <w:lvlText w:val="•"/>
      <w:lvlJc w:val="left"/>
      <w:pPr>
        <w:ind w:left="2253" w:hanging="420"/>
      </w:pPr>
      <w:rPr>
        <w:rFonts w:hint="default"/>
      </w:rPr>
    </w:lvl>
    <w:lvl w:ilvl="6">
      <w:start w:val="0"/>
      <w:numFmt w:val="bullet"/>
      <w:lvlText w:val="•"/>
      <w:lvlJc w:val="left"/>
      <w:pPr>
        <w:ind w:left="2539" w:hanging="420"/>
      </w:pPr>
      <w:rPr>
        <w:rFonts w:hint="default"/>
      </w:rPr>
    </w:lvl>
    <w:lvl w:ilvl="7">
      <w:start w:val="0"/>
      <w:numFmt w:val="bullet"/>
      <w:lvlText w:val="•"/>
      <w:lvlJc w:val="left"/>
      <w:pPr>
        <w:ind w:left="2826" w:hanging="420"/>
      </w:pPr>
      <w:rPr>
        <w:rFonts w:hint="default"/>
      </w:rPr>
    </w:lvl>
    <w:lvl w:ilvl="8">
      <w:start w:val="0"/>
      <w:numFmt w:val="bullet"/>
      <w:lvlText w:val="•"/>
      <w:lvlJc w:val="left"/>
      <w:pPr>
        <w:ind w:left="3112"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spacing w:before="123"/>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2018-10-20T02:06:53Z</dcterms:created>
  <dcterms:modified xsi:type="dcterms:W3CDTF">2018-10-20T02:06:53Z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Microsoft® Word 2013</vt:lpwstr>
  </property>
  <property fmtid="{D5CDD505-2E9C-101B-9397-08002B2CF9AE}" pid="4" name="LastSaved">
    <vt:filetime>2018-10-19T00:00:00Z</vt:filetime>
  </property>
</Properties>
</file>