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76"/>
      </w:tblGrid>
      <w:tr>
        <w:trPr>
          <w:trHeight w:val="610" w:hRule="atLeast"/>
        </w:trPr>
        <w:tc>
          <w:tcPr>
            <w:tcW w:w="10276" w:type="dxa"/>
            <w:tcBorders>
              <w:top w:val="single" w:sz="4" w:space="0" w:color="000000"/>
            </w:tcBorders>
          </w:tcPr>
          <w:p>
            <w:pPr>
              <w:pStyle w:val="TableParagraph"/>
              <w:spacing w:before="11"/>
              <w:rPr>
                <w:rFonts w:ascii="Times New Roman"/>
                <w:sz w:val="15"/>
              </w:rPr>
            </w:pPr>
          </w:p>
          <w:p>
            <w:pPr>
              <w:pStyle w:val="TableParagraph"/>
              <w:ind w:right="-15"/>
              <w:jc w:val="right"/>
              <w:rPr>
                <w:sz w:val="20"/>
              </w:rPr>
            </w:pPr>
            <w:r>
              <w:rPr>
                <w:sz w:val="20"/>
              </w:rPr>
              <w:t>君龙人寿[2014]疾病保险 005 号</w:t>
            </w:r>
          </w:p>
        </w:tc>
      </w:tr>
      <w:tr>
        <w:trPr>
          <w:trHeight w:val="865" w:hRule="atLeast"/>
        </w:trPr>
        <w:tc>
          <w:tcPr>
            <w:tcW w:w="10276" w:type="dxa"/>
          </w:tcPr>
          <w:p>
            <w:pPr>
              <w:pStyle w:val="TableParagraph"/>
              <w:spacing w:line="673" w:lineRule="exact"/>
              <w:rPr>
                <w:rFonts w:ascii="微软雅黑" w:eastAsia="微软雅黑" w:hint="eastAsia"/>
                <w:b/>
                <w:sz w:val="40"/>
              </w:rPr>
            </w:pPr>
            <w:r>
              <w:rPr>
                <w:rFonts w:ascii="微软雅黑" w:eastAsia="微软雅黑" w:hint="eastAsia"/>
                <w:b/>
                <w:sz w:val="40"/>
              </w:rPr>
              <w:t>君龙附加晶彩安康提前给付重大疾病保险条款</w:t>
            </w:r>
          </w:p>
        </w:tc>
      </w:tr>
      <w:tr>
        <w:trPr>
          <w:trHeight w:val="369" w:hRule="atLeast"/>
        </w:trPr>
        <w:tc>
          <w:tcPr>
            <w:tcW w:w="10276" w:type="dxa"/>
          </w:tcPr>
          <w:p>
            <w:pPr>
              <w:pStyle w:val="TableParagraph"/>
              <w:spacing w:line="242" w:lineRule="exact" w:before="107"/>
              <w:ind w:right="1"/>
              <w:jc w:val="right"/>
              <w:rPr>
                <w:sz w:val="20"/>
              </w:rPr>
            </w:pPr>
            <w:r>
              <w:rPr>
                <w:w w:val="95"/>
                <w:sz w:val="20"/>
              </w:rPr>
              <w:t>请扫描以查询验证条款</w:t>
            </w:r>
          </w:p>
        </w:tc>
      </w:tr>
    </w:tbl>
    <w:p>
      <w:pPr>
        <w:pStyle w:val="Heading2"/>
        <w:spacing w:line="564" w:lineRule="exact"/>
      </w:pPr>
      <w:r>
        <w:rPr/>
        <w:drawing>
          <wp:anchor distT="0" distB="0" distL="0" distR="0" allowOverlap="1" layoutInCell="1" locked="0" behindDoc="1" simplePos="0" relativeHeight="268397759">
            <wp:simplePos x="0" y="0"/>
            <wp:positionH relativeFrom="page">
              <wp:posOffset>6318250</wp:posOffset>
            </wp:positionH>
            <wp:positionV relativeFrom="paragraph">
              <wp:posOffset>-869957</wp:posOffset>
            </wp:positionV>
            <wp:extent cx="724408"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4408" cy="723900"/>
                    </a:xfrm>
                    <a:prstGeom prst="rect">
                      <a:avLst/>
                    </a:prstGeom>
                  </pic:spPr>
                </pic:pic>
              </a:graphicData>
            </a:graphic>
          </wp:anchor>
        </w:drawing>
      </w:r>
      <w:r>
        <w:rPr/>
        <w:t>阅 读 指 引</w:t>
      </w:r>
    </w:p>
    <w:p>
      <w:pPr>
        <w:pStyle w:val="BodyText"/>
        <w:spacing w:before="10"/>
        <w:rPr>
          <w:rFonts w:ascii="微软雅黑"/>
          <w:b/>
          <w:sz w:val="26"/>
        </w:rPr>
      </w:pPr>
    </w:p>
    <w:p>
      <w:pPr>
        <w:spacing w:before="33"/>
        <w:ind w:left="200" w:right="192" w:firstLine="0"/>
        <w:jc w:val="center"/>
        <w:rPr>
          <w:sz w:val="22"/>
        </w:rPr>
      </w:pPr>
      <w:r>
        <w:rPr/>
        <w:drawing>
          <wp:anchor distT="0" distB="0" distL="0" distR="0" allowOverlap="1" layoutInCell="1" locked="0" behindDoc="1" simplePos="0" relativeHeight="268397735">
            <wp:simplePos x="0" y="0"/>
            <wp:positionH relativeFrom="page">
              <wp:posOffset>429768</wp:posOffset>
            </wp:positionH>
            <wp:positionV relativeFrom="paragraph">
              <wp:posOffset>341092</wp:posOffset>
            </wp:positionV>
            <wp:extent cx="6700774" cy="62677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700774" cy="6267704"/>
                    </a:xfrm>
                    <a:prstGeom prst="rect">
                      <a:avLst/>
                    </a:prstGeom>
                  </pic:spPr>
                </pic:pic>
              </a:graphicData>
            </a:graphic>
          </wp:anchor>
        </w:drawing>
      </w:r>
      <w:r>
        <w:rPr>
          <w:sz w:val="22"/>
        </w:rPr>
        <w:t>本阅读指引有助于您理解条款，对</w:t>
      </w:r>
      <w:r>
        <w:rPr>
          <w:b/>
          <w:sz w:val="22"/>
        </w:rPr>
        <w:t>《君龙附加晶彩安康提前给付重大疾病保险》</w:t>
      </w:r>
      <w:r>
        <w:rPr>
          <w:sz w:val="22"/>
        </w:rPr>
        <w:t>合同内容的解释以条款为准</w:t>
      </w:r>
    </w:p>
    <w:p>
      <w:pPr>
        <w:pStyle w:val="BodyText"/>
      </w:pPr>
    </w:p>
    <w:p>
      <w:pPr>
        <w:pStyle w:val="BodyText"/>
        <w:spacing w:before="10"/>
        <w:rPr>
          <w:sz w:val="26"/>
        </w:rPr>
      </w:pPr>
    </w:p>
    <w:p>
      <w:pPr>
        <w:spacing w:before="0"/>
        <w:ind w:left="260" w:right="0" w:firstLine="0"/>
        <w:jc w:val="left"/>
        <w:rPr>
          <w:b/>
          <w:sz w:val="28"/>
        </w:rPr>
      </w:pPr>
      <w:r>
        <w:rPr>
          <w:rFonts w:ascii="Arial" w:hAnsi="Arial" w:eastAsia="Arial"/>
          <w:b/>
          <w:w w:val="105"/>
          <w:position w:val="-11"/>
          <w:sz w:val="56"/>
        </w:rPr>
        <w:t></w:t>
      </w:r>
      <w:r>
        <w:rPr>
          <w:b/>
          <w:w w:val="105"/>
          <w:sz w:val="28"/>
        </w:rPr>
        <w:t>您拥有的重要权益</w:t>
      </w:r>
    </w:p>
    <w:p>
      <w:pPr>
        <w:pStyle w:val="ListParagraph"/>
        <w:numPr>
          <w:ilvl w:val="0"/>
          <w:numId w:val="1"/>
        </w:numPr>
        <w:tabs>
          <w:tab w:pos="716" w:val="left" w:leader="none"/>
        </w:tabs>
        <w:spacing w:line="240" w:lineRule="auto" w:before="49" w:after="0"/>
        <w:ind w:left="715" w:right="0" w:hanging="215"/>
        <w:jc w:val="left"/>
        <w:rPr>
          <w:sz w:val="24"/>
        </w:rPr>
      </w:pPr>
      <w:r>
        <w:rPr>
          <w:spacing w:val="-6"/>
          <w:sz w:val="24"/>
        </w:rPr>
        <w:t>签收本附加合同次日起 </w:t>
      </w:r>
      <w:r>
        <w:rPr>
          <w:sz w:val="24"/>
        </w:rPr>
        <w:t>15</w:t>
      </w:r>
      <w:r>
        <w:rPr>
          <w:spacing w:val="-8"/>
          <w:sz w:val="24"/>
        </w:rPr>
        <w:t> 日&lt;即犹豫期&gt;内您可以要求退还扣除工本费外的全部保险费</w:t>
      </w:r>
      <w:r>
        <w:rPr>
          <w:sz w:val="24"/>
        </w:rPr>
        <w:t>..1.4</w:t>
      </w:r>
    </w:p>
    <w:p>
      <w:pPr>
        <w:pStyle w:val="ListParagraph"/>
        <w:numPr>
          <w:ilvl w:val="0"/>
          <w:numId w:val="1"/>
        </w:numPr>
        <w:tabs>
          <w:tab w:pos="716" w:val="left" w:leader="none"/>
          <w:tab w:pos="10316" w:val="right" w:leader="dot"/>
        </w:tabs>
        <w:spacing w:line="240" w:lineRule="auto" w:before="137" w:after="0"/>
        <w:ind w:left="715" w:right="0" w:hanging="215"/>
        <w:jc w:val="left"/>
        <w:rPr>
          <w:sz w:val="24"/>
        </w:rPr>
      </w:pPr>
      <w:r>
        <w:rPr>
          <w:sz w:val="24"/>
        </w:rPr>
        <w:t>被保险人可以享受本附加合同提供的保障</w:t>
        <w:tab/>
        <w:t>2.3</w:t>
      </w:r>
    </w:p>
    <w:p>
      <w:pPr>
        <w:pStyle w:val="ListParagraph"/>
        <w:numPr>
          <w:ilvl w:val="0"/>
          <w:numId w:val="1"/>
        </w:numPr>
        <w:tabs>
          <w:tab w:pos="716" w:val="left" w:leader="none"/>
          <w:tab w:pos="10316" w:val="right" w:leader="dot"/>
        </w:tabs>
        <w:spacing w:line="240" w:lineRule="auto" w:before="134" w:after="0"/>
        <w:ind w:left="715" w:right="0" w:hanging="215"/>
        <w:jc w:val="left"/>
        <w:rPr>
          <w:sz w:val="24"/>
        </w:rPr>
      </w:pPr>
      <w:r>
        <w:rPr>
          <w:sz w:val="24"/>
        </w:rPr>
        <w:t>您有按本附加合同约定申请保单贷款的权利</w:t>
        <w:tab/>
        <w:t>5.2</w:t>
      </w:r>
    </w:p>
    <w:p>
      <w:pPr>
        <w:pStyle w:val="ListParagraph"/>
        <w:numPr>
          <w:ilvl w:val="0"/>
          <w:numId w:val="1"/>
        </w:numPr>
        <w:tabs>
          <w:tab w:pos="716" w:val="left" w:leader="none"/>
          <w:tab w:pos="10316" w:val="right" w:leader="dot"/>
        </w:tabs>
        <w:spacing w:line="240" w:lineRule="auto" w:before="136" w:after="0"/>
        <w:ind w:left="715" w:right="0" w:hanging="215"/>
        <w:jc w:val="left"/>
        <w:rPr>
          <w:sz w:val="24"/>
        </w:rPr>
      </w:pPr>
      <w:r>
        <w:rPr>
          <w:sz w:val="24"/>
        </w:rPr>
        <w:t>您有退保的权利</w:t>
        <w:tab/>
        <w:t>7.1</w:t>
      </w:r>
    </w:p>
    <w:p>
      <w:pPr>
        <w:pStyle w:val="BodyText"/>
        <w:spacing w:before="11"/>
      </w:pPr>
    </w:p>
    <w:p>
      <w:pPr>
        <w:spacing w:before="1"/>
        <w:ind w:left="260" w:right="0" w:firstLine="0"/>
        <w:jc w:val="left"/>
        <w:rPr>
          <w:b/>
          <w:sz w:val="28"/>
        </w:rPr>
      </w:pPr>
      <w:r>
        <w:rPr>
          <w:rFonts w:ascii="Arial" w:hAnsi="Arial" w:eastAsia="Arial"/>
          <w:b/>
          <w:position w:val="-11"/>
          <w:sz w:val="56"/>
        </w:rPr>
        <w:t></w:t>
      </w:r>
      <w:r>
        <w:rPr>
          <w:b/>
          <w:sz w:val="28"/>
        </w:rPr>
        <w:t>您应当特别注意的事项</w:t>
      </w:r>
    </w:p>
    <w:p>
      <w:pPr>
        <w:pStyle w:val="ListParagraph"/>
        <w:numPr>
          <w:ilvl w:val="0"/>
          <w:numId w:val="1"/>
        </w:numPr>
        <w:tabs>
          <w:tab w:pos="716" w:val="left" w:leader="none"/>
        </w:tabs>
        <w:spacing w:line="240" w:lineRule="auto" w:before="50" w:after="0"/>
        <w:ind w:left="715" w:right="0" w:hanging="215"/>
        <w:jc w:val="left"/>
        <w:rPr>
          <w:sz w:val="24"/>
        </w:rPr>
      </w:pPr>
      <w:r>
        <w:rPr>
          <w:spacing w:val="-3"/>
          <w:sz w:val="24"/>
        </w:rPr>
        <w:t>我们对免除保险人责任的条款作了特别提示，详见条款正文中背景突出部份 .............</w:t>
      </w:r>
    </w:p>
    <w:p>
      <w:pPr>
        <w:spacing w:before="137"/>
        <w:ind w:left="760" w:right="0" w:firstLine="0"/>
        <w:jc w:val="left"/>
        <w:rPr>
          <w:sz w:val="24"/>
        </w:rPr>
      </w:pPr>
      <w:r>
        <w:rPr>
          <w:sz w:val="24"/>
        </w:rPr>
        <w:t>............................... 1.4、2.3、2.4、3.2、4.2、5.2、5.3、6.1、9.4、9.6</w:t>
      </w:r>
    </w:p>
    <w:p>
      <w:pPr>
        <w:pStyle w:val="ListParagraph"/>
        <w:numPr>
          <w:ilvl w:val="0"/>
          <w:numId w:val="1"/>
        </w:numPr>
        <w:tabs>
          <w:tab w:pos="716" w:val="left" w:leader="none"/>
          <w:tab w:pos="10316" w:val="right" w:leader="dot"/>
        </w:tabs>
        <w:spacing w:line="240" w:lineRule="auto" w:before="151" w:after="0"/>
        <w:ind w:left="715" w:right="0" w:hanging="215"/>
        <w:jc w:val="left"/>
        <w:rPr>
          <w:sz w:val="24"/>
        </w:rPr>
      </w:pPr>
      <w:r>
        <w:rPr>
          <w:sz w:val="24"/>
        </w:rPr>
        <w:t>保险事故发生后请您及时通知我们</w:t>
        <w:tab/>
        <w:t>3.2</w:t>
      </w:r>
    </w:p>
    <w:p>
      <w:pPr>
        <w:pStyle w:val="ListParagraph"/>
        <w:numPr>
          <w:ilvl w:val="0"/>
          <w:numId w:val="1"/>
        </w:numPr>
        <w:tabs>
          <w:tab w:pos="716" w:val="left" w:leader="none"/>
          <w:tab w:pos="10316" w:val="right" w:leader="dot"/>
        </w:tabs>
        <w:spacing w:line="240" w:lineRule="auto" w:before="137" w:after="0"/>
        <w:ind w:left="715" w:right="0" w:hanging="215"/>
        <w:jc w:val="left"/>
        <w:rPr>
          <w:sz w:val="24"/>
        </w:rPr>
      </w:pPr>
      <w:r>
        <w:rPr>
          <w:sz w:val="24"/>
        </w:rPr>
        <w:t>您应当按时支付保险费</w:t>
        <w:tab/>
        <w:t>4.1</w:t>
      </w:r>
    </w:p>
    <w:p>
      <w:pPr>
        <w:pStyle w:val="ListParagraph"/>
        <w:numPr>
          <w:ilvl w:val="0"/>
          <w:numId w:val="1"/>
        </w:numPr>
        <w:tabs>
          <w:tab w:pos="716" w:val="left" w:leader="none"/>
          <w:tab w:pos="10316" w:val="right" w:leader="dot"/>
        </w:tabs>
        <w:spacing w:line="240" w:lineRule="auto" w:before="134" w:after="0"/>
        <w:ind w:left="715" w:right="0" w:hanging="215"/>
        <w:jc w:val="left"/>
        <w:rPr>
          <w:sz w:val="24"/>
        </w:rPr>
      </w:pPr>
      <w:r>
        <w:rPr>
          <w:sz w:val="24"/>
        </w:rPr>
        <w:t>退保会给您造成一定的损失，请您慎重决策</w:t>
        <w:tab/>
        <w:t>7.1</w:t>
      </w:r>
    </w:p>
    <w:p>
      <w:pPr>
        <w:pStyle w:val="ListParagraph"/>
        <w:numPr>
          <w:ilvl w:val="0"/>
          <w:numId w:val="1"/>
        </w:numPr>
        <w:tabs>
          <w:tab w:pos="716" w:val="left" w:leader="none"/>
          <w:tab w:pos="10316" w:val="right" w:leader="dot"/>
        </w:tabs>
        <w:spacing w:line="240" w:lineRule="auto" w:before="136" w:after="0"/>
        <w:ind w:left="715" w:right="0" w:hanging="215"/>
        <w:jc w:val="left"/>
        <w:rPr>
          <w:sz w:val="24"/>
        </w:rPr>
      </w:pPr>
      <w:r>
        <w:rPr>
          <w:sz w:val="24"/>
        </w:rPr>
        <w:t>主合同中的部分条款适用于本附加合同，请您仔细阅读</w:t>
        <w:tab/>
        <w:t>8.2</w:t>
      </w:r>
    </w:p>
    <w:p>
      <w:pPr>
        <w:pStyle w:val="ListParagraph"/>
        <w:numPr>
          <w:ilvl w:val="0"/>
          <w:numId w:val="1"/>
        </w:numPr>
        <w:tabs>
          <w:tab w:pos="716" w:val="left" w:leader="none"/>
          <w:tab w:pos="10316" w:val="right" w:leader="dot"/>
        </w:tabs>
        <w:spacing w:line="240" w:lineRule="auto" w:before="134" w:after="0"/>
        <w:ind w:left="715" w:right="0" w:hanging="215"/>
        <w:jc w:val="left"/>
        <w:rPr>
          <w:sz w:val="24"/>
        </w:rPr>
      </w:pPr>
      <w:r>
        <w:rPr>
          <w:sz w:val="24"/>
        </w:rPr>
        <w:t>我们对一些重要术语进行了解释，并作了显著标识，请您注意</w:t>
        <w:tab/>
        <w:t>9</w:t>
      </w:r>
    </w:p>
    <w:p>
      <w:pPr>
        <w:spacing w:before="302"/>
        <w:ind w:left="260" w:right="0" w:firstLine="0"/>
        <w:jc w:val="left"/>
        <w:rPr>
          <w:b/>
          <w:sz w:val="28"/>
        </w:rPr>
      </w:pPr>
      <w:r>
        <w:rPr>
          <w:rFonts w:ascii="Arial" w:hAnsi="Arial" w:eastAsia="Arial"/>
          <w:b/>
          <w:position w:val="-11"/>
          <w:sz w:val="56"/>
        </w:rPr>
        <w:t></w:t>
      </w:r>
      <w:r>
        <w:rPr>
          <w:b/>
          <w:sz w:val="28"/>
        </w:rPr>
        <w:t>条款是保险合同的重要内容，为充分保障您的权益，请您仔细阅读本条款</w:t>
      </w:r>
    </w:p>
    <w:p>
      <w:pPr>
        <w:spacing w:after="0"/>
        <w:jc w:val="left"/>
        <w:rPr>
          <w:sz w:val="28"/>
        </w:rPr>
        <w:sectPr>
          <w:headerReference w:type="default" r:id="rId5"/>
          <w:footerReference w:type="default" r:id="rId6"/>
          <w:type w:val="continuous"/>
          <w:pgSz w:w="11910" w:h="16840"/>
          <w:pgMar w:header="426" w:footer="309" w:top="620" w:bottom="500" w:left="560" w:right="560"/>
          <w:pgNumType w:start="1"/>
        </w:sectPr>
      </w:pPr>
    </w:p>
    <w:p>
      <w:pPr>
        <w:pStyle w:val="Heading1"/>
        <w:spacing w:before="406"/>
        <w:ind w:right="192"/>
        <w:jc w:val="center"/>
      </w:pPr>
      <w:r>
        <w:rPr/>
        <w:t>君龙附加晶彩安康提前给付重大疾病保险条款</w:t>
      </w:r>
    </w:p>
    <w:p>
      <w:pPr>
        <w:pStyle w:val="Heading2"/>
        <w:spacing w:before="227"/>
      </w:pPr>
      <w:r>
        <w:rPr/>
        <w:pict>
          <v:group style="position:absolute;margin-left:33.840pt;margin-top:63.577873pt;width:527.65pt;height:641.5pt;mso-position-horizontal-relative:page;mso-position-vertical-relative:paragraph;z-index:-37672" coordorigin="677,1272" coordsize="10553,12830">
            <v:shape style="position:absolute;left:676;top:1271;width:3525;height:344" type="#_x0000_t75" stroked="false">
              <v:imagedata r:id="rId10" o:title=""/>
            </v:shape>
            <v:shape style="position:absolute;left:4201;top:1271;width:3498;height:60" type="#_x0000_t75" stroked="false">
              <v:imagedata r:id="rId11" o:title=""/>
            </v:shape>
            <v:shape style="position:absolute;left:676;top:1614;width:3525;height:12487" type="#_x0000_t75" stroked="false">
              <v:imagedata r:id="rId12" o:title=""/>
            </v:shape>
            <v:shape style="position:absolute;left:4201;top:14041;width:3498;height:60" type="#_x0000_t75" stroked="false">
              <v:imagedata r:id="rId11" o:title=""/>
            </v:shape>
            <v:shape style="position:absolute;left:7698;top:1271;width:3531;height:12830" type="#_x0000_t75" stroked="false">
              <v:imagedata r:id="rId13" o:title=""/>
            </v:shape>
            <w10:wrap type="none"/>
          </v:group>
        </w:pict>
      </w:r>
      <w:r>
        <w:rPr/>
        <w:t>条 款 目 录</w:t>
      </w:r>
    </w:p>
    <w:p>
      <w:pPr>
        <w:pStyle w:val="BodyText"/>
        <w:spacing w:before="16"/>
        <w:rPr>
          <w:rFonts w:ascii="微软雅黑"/>
          <w:b/>
          <w:sz w:val="23"/>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3"/>
        <w:gridCol w:w="3497"/>
        <w:gridCol w:w="3466"/>
      </w:tblGrid>
      <w:tr>
        <w:trPr>
          <w:trHeight w:val="12709" w:hRule="atLeast"/>
        </w:trPr>
        <w:tc>
          <w:tcPr>
            <w:tcW w:w="3443" w:type="dxa"/>
            <w:tcBorders>
              <w:right w:val="single" w:sz="4" w:space="0" w:color="000000"/>
            </w:tcBorders>
          </w:tcPr>
          <w:p>
            <w:pPr>
              <w:pStyle w:val="TableParagraph"/>
              <w:spacing w:before="1"/>
              <w:rPr>
                <w:rFonts w:ascii="微软雅黑"/>
                <w:b/>
                <w:sz w:val="14"/>
              </w:rPr>
            </w:pPr>
          </w:p>
          <w:p>
            <w:pPr>
              <w:pStyle w:val="TableParagraph"/>
              <w:numPr>
                <w:ilvl w:val="0"/>
                <w:numId w:val="2"/>
              </w:numPr>
              <w:tabs>
                <w:tab w:pos="484" w:val="left" w:leader="none"/>
              </w:tabs>
              <w:spacing w:line="240" w:lineRule="auto" w:before="0" w:after="0"/>
              <w:ind w:left="483" w:right="0" w:hanging="283"/>
              <w:jc w:val="left"/>
              <w:rPr>
                <w:b/>
                <w:sz w:val="24"/>
              </w:rPr>
            </w:pPr>
            <w:r>
              <w:rPr>
                <w:b/>
                <w:w w:val="95"/>
                <w:sz w:val="24"/>
              </w:rPr>
              <w:t>您与我们订立的合同</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合同构成</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保险合同成立与生效</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投保年龄</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犹豫期</w:t>
            </w:r>
          </w:p>
          <w:p>
            <w:pPr>
              <w:pStyle w:val="TableParagraph"/>
              <w:numPr>
                <w:ilvl w:val="0"/>
                <w:numId w:val="2"/>
              </w:numPr>
              <w:tabs>
                <w:tab w:pos="484" w:val="left" w:leader="none"/>
              </w:tabs>
              <w:spacing w:line="240" w:lineRule="auto" w:before="151" w:after="0"/>
              <w:ind w:left="483" w:right="0" w:hanging="283"/>
              <w:jc w:val="left"/>
              <w:rPr>
                <w:b/>
                <w:sz w:val="24"/>
              </w:rPr>
            </w:pPr>
            <w:r>
              <w:rPr>
                <w:b/>
                <w:w w:val="95"/>
                <w:sz w:val="24"/>
              </w:rPr>
              <w:t>我们提供的保障</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基本保险金额</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保险期间</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保险责任</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责任免除</w:t>
            </w:r>
          </w:p>
          <w:p>
            <w:pPr>
              <w:pStyle w:val="TableParagraph"/>
              <w:numPr>
                <w:ilvl w:val="0"/>
                <w:numId w:val="2"/>
              </w:numPr>
              <w:tabs>
                <w:tab w:pos="484" w:val="left" w:leader="none"/>
              </w:tabs>
              <w:spacing w:line="240" w:lineRule="auto" w:before="153" w:after="0"/>
              <w:ind w:left="483" w:right="0" w:hanging="283"/>
              <w:jc w:val="left"/>
              <w:rPr>
                <w:b/>
                <w:sz w:val="24"/>
              </w:rPr>
            </w:pPr>
            <w:r>
              <w:rPr>
                <w:b/>
                <w:w w:val="95"/>
                <w:sz w:val="24"/>
              </w:rPr>
              <w:t>保险金的申请</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受益人</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保险事故通知</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保险金申请</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保险金给付</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诉讼时效</w:t>
            </w:r>
          </w:p>
          <w:p>
            <w:pPr>
              <w:pStyle w:val="TableParagraph"/>
              <w:numPr>
                <w:ilvl w:val="0"/>
                <w:numId w:val="2"/>
              </w:numPr>
              <w:tabs>
                <w:tab w:pos="484" w:val="left" w:leader="none"/>
              </w:tabs>
              <w:spacing w:line="240" w:lineRule="auto" w:before="154" w:after="0"/>
              <w:ind w:left="483" w:right="0" w:hanging="283"/>
              <w:jc w:val="left"/>
              <w:rPr>
                <w:b/>
                <w:sz w:val="24"/>
              </w:rPr>
            </w:pPr>
            <w:r>
              <w:rPr>
                <w:b/>
                <w:w w:val="95"/>
                <w:sz w:val="24"/>
              </w:rPr>
              <w:t>保险费的支付</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保险费的支付</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宽限期</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保险费率调整</w:t>
            </w:r>
          </w:p>
          <w:p>
            <w:pPr>
              <w:pStyle w:val="TableParagraph"/>
              <w:numPr>
                <w:ilvl w:val="0"/>
                <w:numId w:val="2"/>
              </w:numPr>
              <w:tabs>
                <w:tab w:pos="484" w:val="left" w:leader="none"/>
              </w:tabs>
              <w:spacing w:line="240" w:lineRule="auto" w:before="154" w:after="0"/>
              <w:ind w:left="483" w:right="0" w:hanging="283"/>
              <w:jc w:val="left"/>
              <w:rPr>
                <w:b/>
                <w:sz w:val="24"/>
              </w:rPr>
            </w:pPr>
            <w:r>
              <w:rPr>
                <w:b/>
                <w:w w:val="95"/>
                <w:sz w:val="24"/>
              </w:rPr>
              <w:t>现金价值权益</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现金价值</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保单贷款</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保费自动垫交</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减少基本保险金额</w:t>
            </w:r>
          </w:p>
        </w:tc>
        <w:tc>
          <w:tcPr>
            <w:tcW w:w="3497" w:type="dxa"/>
            <w:tcBorders>
              <w:left w:val="single" w:sz="4" w:space="0" w:color="000000"/>
              <w:right w:val="single" w:sz="4" w:space="0" w:color="000000"/>
            </w:tcBorders>
          </w:tcPr>
          <w:p>
            <w:pPr>
              <w:pStyle w:val="TableParagraph"/>
              <w:spacing w:before="1"/>
              <w:rPr>
                <w:rFonts w:ascii="微软雅黑"/>
                <w:b/>
                <w:sz w:val="14"/>
              </w:rPr>
            </w:pPr>
          </w:p>
          <w:p>
            <w:pPr>
              <w:pStyle w:val="TableParagraph"/>
              <w:numPr>
                <w:ilvl w:val="0"/>
                <w:numId w:val="3"/>
              </w:numPr>
              <w:tabs>
                <w:tab w:pos="533" w:val="left" w:leader="none"/>
              </w:tabs>
              <w:spacing w:line="240" w:lineRule="auto" w:before="0" w:after="0"/>
              <w:ind w:left="533" w:right="0" w:hanging="284"/>
              <w:jc w:val="left"/>
              <w:rPr>
                <w:b/>
                <w:sz w:val="24"/>
              </w:rPr>
            </w:pPr>
            <w:r>
              <w:rPr>
                <w:b/>
                <w:w w:val="95"/>
                <w:sz w:val="24"/>
              </w:rPr>
              <w:t>合同效力的中止及恢复</w:t>
            </w:r>
          </w:p>
          <w:p>
            <w:pPr>
              <w:pStyle w:val="TableParagraph"/>
              <w:numPr>
                <w:ilvl w:val="1"/>
                <w:numId w:val="3"/>
              </w:numPr>
              <w:tabs>
                <w:tab w:pos="1101" w:val="left" w:leader="none"/>
                <w:tab w:pos="1102" w:val="left" w:leader="none"/>
              </w:tabs>
              <w:spacing w:line="240" w:lineRule="auto" w:before="154" w:after="0"/>
              <w:ind w:left="1101" w:right="0" w:hanging="568"/>
              <w:jc w:val="left"/>
              <w:rPr>
                <w:sz w:val="24"/>
              </w:rPr>
            </w:pPr>
            <w:r>
              <w:rPr>
                <w:sz w:val="24"/>
              </w:rPr>
              <w:t>效力中止</w:t>
            </w:r>
          </w:p>
          <w:p>
            <w:pPr>
              <w:pStyle w:val="TableParagraph"/>
              <w:numPr>
                <w:ilvl w:val="1"/>
                <w:numId w:val="3"/>
              </w:numPr>
              <w:tabs>
                <w:tab w:pos="1101" w:val="left" w:leader="none"/>
                <w:tab w:pos="1102" w:val="left" w:leader="none"/>
              </w:tabs>
              <w:spacing w:line="240" w:lineRule="auto" w:before="151" w:after="0"/>
              <w:ind w:left="1101" w:right="0" w:hanging="568"/>
              <w:jc w:val="left"/>
              <w:rPr>
                <w:sz w:val="24"/>
              </w:rPr>
            </w:pPr>
            <w:r>
              <w:rPr>
                <w:sz w:val="24"/>
              </w:rPr>
              <w:t>效力恢复（复效）</w:t>
            </w:r>
          </w:p>
          <w:p>
            <w:pPr>
              <w:pStyle w:val="TableParagraph"/>
              <w:numPr>
                <w:ilvl w:val="0"/>
                <w:numId w:val="3"/>
              </w:numPr>
              <w:tabs>
                <w:tab w:pos="533" w:val="left" w:leader="none"/>
              </w:tabs>
              <w:spacing w:line="240" w:lineRule="auto" w:before="153" w:after="0"/>
              <w:ind w:left="533" w:right="0" w:hanging="284"/>
              <w:jc w:val="left"/>
              <w:rPr>
                <w:b/>
                <w:sz w:val="24"/>
              </w:rPr>
            </w:pPr>
            <w:r>
              <w:rPr>
                <w:b/>
                <w:sz w:val="24"/>
              </w:rPr>
              <w:t>合同解除</w:t>
            </w:r>
          </w:p>
          <w:p>
            <w:pPr>
              <w:pStyle w:val="TableParagraph"/>
              <w:numPr>
                <w:ilvl w:val="1"/>
                <w:numId w:val="3"/>
              </w:numPr>
              <w:tabs>
                <w:tab w:pos="1045" w:val="left" w:leader="none"/>
              </w:tabs>
              <w:spacing w:line="355" w:lineRule="auto" w:before="153" w:after="0"/>
              <w:ind w:left="1044" w:right="280" w:hanging="511"/>
              <w:jc w:val="left"/>
              <w:rPr>
                <w:sz w:val="24"/>
              </w:rPr>
            </w:pPr>
            <w:r>
              <w:rPr>
                <w:sz w:val="24"/>
              </w:rPr>
              <w:t>投保人解除合同的手续及风险</w:t>
            </w:r>
          </w:p>
          <w:p>
            <w:pPr>
              <w:pStyle w:val="TableParagraph"/>
              <w:numPr>
                <w:ilvl w:val="0"/>
                <w:numId w:val="3"/>
              </w:numPr>
              <w:tabs>
                <w:tab w:pos="533" w:val="left" w:leader="none"/>
              </w:tabs>
              <w:spacing w:line="240" w:lineRule="auto" w:before="38" w:after="0"/>
              <w:ind w:left="533" w:right="0" w:hanging="284"/>
              <w:jc w:val="left"/>
              <w:rPr>
                <w:b/>
                <w:sz w:val="24"/>
              </w:rPr>
            </w:pPr>
            <w:r>
              <w:rPr>
                <w:b/>
                <w:w w:val="95"/>
                <w:sz w:val="24"/>
              </w:rPr>
              <w:t>其他需要关注的事项</w:t>
            </w:r>
          </w:p>
          <w:p>
            <w:pPr>
              <w:pStyle w:val="TableParagraph"/>
              <w:numPr>
                <w:ilvl w:val="1"/>
                <w:numId w:val="3"/>
              </w:numPr>
              <w:tabs>
                <w:tab w:pos="1045" w:val="left" w:leader="none"/>
              </w:tabs>
              <w:spacing w:line="240" w:lineRule="auto" w:before="151" w:after="0"/>
              <w:ind w:left="1044" w:right="0" w:hanging="511"/>
              <w:jc w:val="left"/>
              <w:rPr>
                <w:sz w:val="24"/>
              </w:rPr>
            </w:pPr>
            <w:r>
              <w:rPr>
                <w:sz w:val="24"/>
              </w:rPr>
              <w:t>效力终止</w:t>
            </w:r>
          </w:p>
          <w:p>
            <w:pPr>
              <w:pStyle w:val="TableParagraph"/>
              <w:numPr>
                <w:ilvl w:val="1"/>
                <w:numId w:val="3"/>
              </w:numPr>
              <w:tabs>
                <w:tab w:pos="1045" w:val="left" w:leader="none"/>
              </w:tabs>
              <w:spacing w:line="240" w:lineRule="auto" w:before="153" w:after="0"/>
              <w:ind w:left="1044" w:right="0" w:hanging="511"/>
              <w:jc w:val="left"/>
              <w:rPr>
                <w:sz w:val="24"/>
              </w:rPr>
            </w:pPr>
            <w:r>
              <w:rPr>
                <w:sz w:val="24"/>
              </w:rPr>
              <w:t>适用主合同条款</w:t>
            </w:r>
          </w:p>
          <w:p>
            <w:pPr>
              <w:pStyle w:val="TableParagraph"/>
              <w:numPr>
                <w:ilvl w:val="0"/>
                <w:numId w:val="3"/>
              </w:numPr>
              <w:tabs>
                <w:tab w:pos="533" w:val="left" w:leader="none"/>
              </w:tabs>
              <w:spacing w:line="240" w:lineRule="auto" w:before="151" w:after="0"/>
              <w:ind w:left="533" w:right="0" w:hanging="284"/>
              <w:jc w:val="left"/>
              <w:rPr>
                <w:b/>
                <w:sz w:val="24"/>
              </w:rPr>
            </w:pPr>
            <w:r>
              <w:rPr>
                <w:b/>
                <w:sz w:val="24"/>
              </w:rPr>
              <w:t>释义</w:t>
            </w:r>
          </w:p>
          <w:p>
            <w:pPr>
              <w:pStyle w:val="TableParagraph"/>
              <w:numPr>
                <w:ilvl w:val="1"/>
                <w:numId w:val="3"/>
              </w:numPr>
              <w:tabs>
                <w:tab w:pos="1045" w:val="left" w:leader="none"/>
              </w:tabs>
              <w:spacing w:line="240" w:lineRule="auto" w:before="154" w:after="0"/>
              <w:ind w:left="1044" w:right="0" w:hanging="511"/>
              <w:jc w:val="left"/>
              <w:rPr>
                <w:sz w:val="24"/>
              </w:rPr>
            </w:pPr>
            <w:r>
              <w:rPr>
                <w:sz w:val="24"/>
              </w:rPr>
              <w:t>保单年度</w:t>
            </w:r>
          </w:p>
          <w:p>
            <w:pPr>
              <w:pStyle w:val="TableParagraph"/>
              <w:numPr>
                <w:ilvl w:val="1"/>
                <w:numId w:val="3"/>
              </w:numPr>
              <w:tabs>
                <w:tab w:pos="1045" w:val="left" w:leader="none"/>
              </w:tabs>
              <w:spacing w:line="240" w:lineRule="auto" w:before="151" w:after="0"/>
              <w:ind w:left="1044" w:right="0" w:hanging="511"/>
              <w:jc w:val="left"/>
              <w:rPr>
                <w:sz w:val="24"/>
              </w:rPr>
            </w:pPr>
            <w:r>
              <w:rPr>
                <w:sz w:val="24"/>
              </w:rPr>
              <w:t>保险费约定支付日</w:t>
            </w:r>
          </w:p>
          <w:p>
            <w:pPr>
              <w:pStyle w:val="TableParagraph"/>
              <w:numPr>
                <w:ilvl w:val="1"/>
                <w:numId w:val="3"/>
              </w:numPr>
              <w:tabs>
                <w:tab w:pos="1045" w:val="left" w:leader="none"/>
              </w:tabs>
              <w:spacing w:line="240" w:lineRule="auto" w:before="153" w:after="0"/>
              <w:ind w:left="1044" w:right="0" w:hanging="511"/>
              <w:jc w:val="left"/>
              <w:rPr>
                <w:sz w:val="24"/>
              </w:rPr>
            </w:pPr>
            <w:r>
              <w:rPr>
                <w:sz w:val="24"/>
              </w:rPr>
              <w:t>周岁</w:t>
            </w:r>
          </w:p>
          <w:p>
            <w:pPr>
              <w:pStyle w:val="TableParagraph"/>
              <w:numPr>
                <w:ilvl w:val="1"/>
                <w:numId w:val="3"/>
              </w:numPr>
              <w:tabs>
                <w:tab w:pos="1045" w:val="left" w:leader="none"/>
              </w:tabs>
              <w:spacing w:line="240" w:lineRule="auto" w:before="151" w:after="0"/>
              <w:ind w:left="1044" w:right="0" w:hanging="511"/>
              <w:jc w:val="left"/>
              <w:rPr>
                <w:sz w:val="24"/>
              </w:rPr>
            </w:pPr>
            <w:r>
              <w:rPr>
                <w:sz w:val="24"/>
              </w:rPr>
              <w:t>重大疾病</w:t>
            </w:r>
          </w:p>
          <w:p>
            <w:pPr>
              <w:pStyle w:val="TableParagraph"/>
              <w:numPr>
                <w:ilvl w:val="1"/>
                <w:numId w:val="3"/>
              </w:numPr>
              <w:tabs>
                <w:tab w:pos="1045" w:val="left" w:leader="none"/>
              </w:tabs>
              <w:spacing w:line="240" w:lineRule="auto" w:before="153" w:after="0"/>
              <w:ind w:left="1044" w:right="0" w:hanging="511"/>
              <w:jc w:val="left"/>
              <w:rPr>
                <w:sz w:val="24"/>
              </w:rPr>
            </w:pPr>
            <w:r>
              <w:rPr>
                <w:sz w:val="24"/>
              </w:rPr>
              <w:t>意外伤害事故</w:t>
            </w:r>
          </w:p>
          <w:p>
            <w:pPr>
              <w:pStyle w:val="TableParagraph"/>
              <w:numPr>
                <w:ilvl w:val="1"/>
                <w:numId w:val="3"/>
              </w:numPr>
              <w:tabs>
                <w:tab w:pos="1045" w:val="left" w:leader="none"/>
              </w:tabs>
              <w:spacing w:line="240" w:lineRule="auto" w:before="151" w:after="0"/>
              <w:ind w:left="1044" w:right="0" w:hanging="511"/>
              <w:jc w:val="left"/>
              <w:rPr>
                <w:sz w:val="24"/>
              </w:rPr>
            </w:pPr>
            <w:r>
              <w:rPr>
                <w:sz w:val="24"/>
              </w:rPr>
              <w:t>医院</w:t>
            </w:r>
          </w:p>
          <w:p>
            <w:pPr>
              <w:pStyle w:val="TableParagraph"/>
              <w:numPr>
                <w:ilvl w:val="1"/>
                <w:numId w:val="3"/>
              </w:numPr>
              <w:tabs>
                <w:tab w:pos="1045" w:val="left" w:leader="none"/>
              </w:tabs>
              <w:spacing w:line="240" w:lineRule="auto" w:before="153" w:after="0"/>
              <w:ind w:left="1044" w:right="0" w:hanging="511"/>
              <w:jc w:val="left"/>
              <w:rPr>
                <w:sz w:val="24"/>
              </w:rPr>
            </w:pPr>
            <w:r>
              <w:rPr>
                <w:sz w:val="24"/>
              </w:rPr>
              <w:t>专科医生</w:t>
            </w:r>
          </w:p>
          <w:p>
            <w:pPr>
              <w:pStyle w:val="TableParagraph"/>
              <w:numPr>
                <w:ilvl w:val="1"/>
                <w:numId w:val="3"/>
              </w:numPr>
              <w:tabs>
                <w:tab w:pos="1045" w:val="left" w:leader="none"/>
              </w:tabs>
              <w:spacing w:line="240" w:lineRule="auto" w:before="151" w:after="0"/>
              <w:ind w:left="1044" w:right="0" w:hanging="511"/>
              <w:jc w:val="left"/>
              <w:rPr>
                <w:sz w:val="24"/>
              </w:rPr>
            </w:pPr>
            <w:r>
              <w:rPr>
                <w:sz w:val="24"/>
              </w:rPr>
              <w:t>现金价值</w:t>
            </w:r>
          </w:p>
          <w:p>
            <w:pPr>
              <w:pStyle w:val="TableParagraph"/>
              <w:numPr>
                <w:ilvl w:val="1"/>
                <w:numId w:val="3"/>
              </w:numPr>
              <w:tabs>
                <w:tab w:pos="1045" w:val="left" w:leader="none"/>
              </w:tabs>
              <w:spacing w:line="240" w:lineRule="auto" w:before="154" w:after="0"/>
              <w:ind w:left="1044" w:right="0" w:hanging="511"/>
              <w:jc w:val="left"/>
              <w:rPr>
                <w:sz w:val="24"/>
              </w:rPr>
            </w:pPr>
            <w:r>
              <w:rPr>
                <w:sz w:val="24"/>
              </w:rPr>
              <w:t>毒品</w:t>
            </w:r>
          </w:p>
          <w:p>
            <w:pPr>
              <w:pStyle w:val="TableParagraph"/>
              <w:numPr>
                <w:ilvl w:val="1"/>
                <w:numId w:val="3"/>
              </w:numPr>
              <w:tabs>
                <w:tab w:pos="1045" w:val="left" w:leader="none"/>
              </w:tabs>
              <w:spacing w:line="240" w:lineRule="auto" w:before="151" w:after="0"/>
              <w:ind w:left="1044" w:right="0" w:hanging="511"/>
              <w:jc w:val="left"/>
              <w:rPr>
                <w:sz w:val="24"/>
              </w:rPr>
            </w:pPr>
            <w:r>
              <w:rPr>
                <w:sz w:val="24"/>
              </w:rPr>
              <w:t>酒后驾驶</w:t>
            </w:r>
          </w:p>
          <w:p>
            <w:pPr>
              <w:pStyle w:val="TableParagraph"/>
              <w:numPr>
                <w:ilvl w:val="1"/>
                <w:numId w:val="3"/>
              </w:numPr>
              <w:tabs>
                <w:tab w:pos="1045" w:val="left" w:leader="none"/>
              </w:tabs>
              <w:spacing w:line="357" w:lineRule="auto" w:before="153" w:after="0"/>
              <w:ind w:left="1044" w:right="280" w:hanging="511"/>
              <w:jc w:val="left"/>
              <w:rPr>
                <w:sz w:val="24"/>
              </w:rPr>
            </w:pPr>
            <w:r>
              <w:rPr>
                <w:sz w:val="24"/>
              </w:rPr>
              <w:t>无合法有效驾驶证驾驶</w:t>
            </w:r>
          </w:p>
          <w:p>
            <w:pPr>
              <w:pStyle w:val="TableParagraph"/>
              <w:numPr>
                <w:ilvl w:val="1"/>
                <w:numId w:val="3"/>
              </w:numPr>
              <w:tabs>
                <w:tab w:pos="1045" w:val="left" w:leader="none"/>
              </w:tabs>
              <w:spacing w:line="240" w:lineRule="auto" w:before="33" w:after="0"/>
              <w:ind w:left="1044" w:right="0" w:hanging="511"/>
              <w:jc w:val="left"/>
              <w:rPr>
                <w:sz w:val="24"/>
              </w:rPr>
            </w:pPr>
            <w:r>
              <w:rPr>
                <w:sz w:val="24"/>
              </w:rPr>
              <w:t>无有效行驶证</w:t>
            </w:r>
          </w:p>
          <w:p>
            <w:pPr>
              <w:pStyle w:val="TableParagraph"/>
              <w:numPr>
                <w:ilvl w:val="1"/>
                <w:numId w:val="3"/>
              </w:numPr>
              <w:tabs>
                <w:tab w:pos="1045" w:val="left" w:leader="none"/>
              </w:tabs>
              <w:spacing w:line="240" w:lineRule="auto" w:before="153" w:after="0"/>
              <w:ind w:left="1044" w:right="0" w:hanging="511"/>
              <w:jc w:val="left"/>
              <w:rPr>
                <w:sz w:val="24"/>
              </w:rPr>
            </w:pPr>
            <w:r>
              <w:rPr>
                <w:sz w:val="24"/>
              </w:rPr>
              <w:t>机动车</w:t>
            </w:r>
          </w:p>
          <w:p>
            <w:pPr>
              <w:pStyle w:val="TableParagraph"/>
              <w:numPr>
                <w:ilvl w:val="1"/>
                <w:numId w:val="3"/>
              </w:numPr>
              <w:tabs>
                <w:tab w:pos="1045" w:val="left" w:leader="none"/>
              </w:tabs>
              <w:spacing w:line="357" w:lineRule="auto" w:before="151" w:after="0"/>
              <w:ind w:left="1044" w:right="280" w:hanging="511"/>
              <w:jc w:val="left"/>
              <w:rPr>
                <w:sz w:val="24"/>
              </w:rPr>
            </w:pPr>
            <w:r>
              <w:rPr>
                <w:sz w:val="24"/>
              </w:rPr>
              <w:t>感染艾滋病病毒或患艾滋病</w:t>
            </w:r>
          </w:p>
        </w:tc>
        <w:tc>
          <w:tcPr>
            <w:tcW w:w="3466" w:type="dxa"/>
            <w:tcBorders>
              <w:left w:val="single" w:sz="4" w:space="0" w:color="000000"/>
            </w:tcBorders>
          </w:tcPr>
          <w:p>
            <w:pPr>
              <w:pStyle w:val="TableParagraph"/>
              <w:spacing w:before="1"/>
              <w:rPr>
                <w:rFonts w:ascii="微软雅黑"/>
                <w:b/>
                <w:sz w:val="14"/>
              </w:rPr>
            </w:pPr>
          </w:p>
          <w:p>
            <w:pPr>
              <w:pStyle w:val="TableParagraph"/>
              <w:numPr>
                <w:ilvl w:val="1"/>
                <w:numId w:val="4"/>
              </w:numPr>
              <w:tabs>
                <w:tab w:pos="1102" w:val="left" w:leader="none"/>
              </w:tabs>
              <w:spacing w:line="240" w:lineRule="auto" w:before="0" w:after="0"/>
              <w:ind w:left="1102" w:right="0" w:hanging="569"/>
              <w:jc w:val="left"/>
              <w:rPr>
                <w:sz w:val="24"/>
              </w:rPr>
            </w:pPr>
            <w:r>
              <w:rPr>
                <w:sz w:val="24"/>
              </w:rPr>
              <w:t>遗传性疾病</w:t>
            </w:r>
          </w:p>
          <w:p>
            <w:pPr>
              <w:pStyle w:val="TableParagraph"/>
              <w:numPr>
                <w:ilvl w:val="1"/>
                <w:numId w:val="4"/>
              </w:numPr>
              <w:tabs>
                <w:tab w:pos="1102" w:val="left" w:leader="none"/>
              </w:tabs>
              <w:spacing w:line="355" w:lineRule="auto" w:before="154" w:after="0"/>
              <w:ind w:left="1102" w:right="198" w:hanging="569"/>
              <w:jc w:val="left"/>
              <w:rPr>
                <w:sz w:val="24"/>
              </w:rPr>
            </w:pPr>
            <w:r>
              <w:rPr>
                <w:sz w:val="24"/>
              </w:rPr>
              <w:t>先天性畸形、变形或者染色体异常</w:t>
            </w:r>
          </w:p>
          <w:p>
            <w:pPr>
              <w:pStyle w:val="TableParagraph"/>
              <w:numPr>
                <w:ilvl w:val="1"/>
                <w:numId w:val="4"/>
              </w:numPr>
              <w:tabs>
                <w:tab w:pos="1102" w:val="left" w:leader="none"/>
              </w:tabs>
              <w:spacing w:line="240" w:lineRule="auto" w:before="39" w:after="0"/>
              <w:ind w:left="1102" w:right="0" w:hanging="569"/>
              <w:jc w:val="left"/>
              <w:rPr>
                <w:sz w:val="24"/>
              </w:rPr>
            </w:pPr>
            <w:r>
              <w:rPr>
                <w:sz w:val="24"/>
              </w:rPr>
              <w:t>保险事故</w:t>
            </w:r>
          </w:p>
          <w:p>
            <w:pPr>
              <w:pStyle w:val="TableParagraph"/>
              <w:numPr>
                <w:ilvl w:val="1"/>
                <w:numId w:val="4"/>
              </w:numPr>
              <w:tabs>
                <w:tab w:pos="1102" w:val="left" w:leader="none"/>
              </w:tabs>
              <w:spacing w:line="240" w:lineRule="auto" w:before="154" w:after="0"/>
              <w:ind w:left="1102" w:right="0" w:hanging="569"/>
              <w:jc w:val="left"/>
              <w:rPr>
                <w:sz w:val="24"/>
              </w:rPr>
            </w:pPr>
            <w:r>
              <w:rPr>
                <w:sz w:val="24"/>
              </w:rPr>
              <w:t>保单贷款利率</w:t>
            </w:r>
          </w:p>
          <w:p>
            <w:pPr>
              <w:pStyle w:val="TableParagraph"/>
              <w:numPr>
                <w:ilvl w:val="1"/>
                <w:numId w:val="4"/>
              </w:numPr>
              <w:tabs>
                <w:tab w:pos="1102" w:val="left" w:leader="none"/>
              </w:tabs>
              <w:spacing w:line="240" w:lineRule="auto" w:before="152" w:after="0"/>
              <w:ind w:left="1102" w:right="0" w:hanging="569"/>
              <w:jc w:val="left"/>
              <w:rPr>
                <w:sz w:val="24"/>
              </w:rPr>
            </w:pPr>
            <w:r>
              <w:rPr>
                <w:sz w:val="24"/>
              </w:rPr>
              <w:t>原位癌</w:t>
            </w:r>
          </w:p>
          <w:p>
            <w:pPr>
              <w:pStyle w:val="TableParagraph"/>
              <w:numPr>
                <w:ilvl w:val="1"/>
                <w:numId w:val="4"/>
              </w:numPr>
              <w:tabs>
                <w:tab w:pos="1102" w:val="left" w:leader="none"/>
              </w:tabs>
              <w:spacing w:line="240" w:lineRule="auto" w:before="154" w:after="0"/>
              <w:ind w:left="1102" w:right="0" w:hanging="569"/>
              <w:jc w:val="left"/>
              <w:rPr>
                <w:sz w:val="24"/>
              </w:rPr>
            </w:pPr>
            <w:r>
              <w:rPr>
                <w:sz w:val="24"/>
              </w:rPr>
              <w:t>肢体机能完全丧失</w:t>
            </w:r>
          </w:p>
          <w:p>
            <w:pPr>
              <w:pStyle w:val="TableParagraph"/>
              <w:numPr>
                <w:ilvl w:val="1"/>
                <w:numId w:val="4"/>
              </w:numPr>
              <w:tabs>
                <w:tab w:pos="1102" w:val="left" w:leader="none"/>
              </w:tabs>
              <w:spacing w:line="357" w:lineRule="auto" w:before="151" w:after="0"/>
              <w:ind w:left="1102" w:right="198" w:hanging="569"/>
              <w:jc w:val="left"/>
              <w:rPr>
                <w:sz w:val="24"/>
              </w:rPr>
            </w:pPr>
            <w:r>
              <w:rPr>
                <w:sz w:val="24"/>
              </w:rPr>
              <w:t>语言能力或咀嚼吞咽能力完全丧失</w:t>
            </w:r>
          </w:p>
          <w:p>
            <w:pPr>
              <w:pStyle w:val="TableParagraph"/>
              <w:numPr>
                <w:ilvl w:val="1"/>
                <w:numId w:val="4"/>
              </w:numPr>
              <w:tabs>
                <w:tab w:pos="1102" w:val="left" w:leader="none"/>
              </w:tabs>
              <w:spacing w:line="357" w:lineRule="auto" w:before="33" w:after="0"/>
              <w:ind w:left="1102" w:right="198" w:hanging="569"/>
              <w:jc w:val="left"/>
              <w:rPr>
                <w:sz w:val="24"/>
              </w:rPr>
            </w:pPr>
            <w:r>
              <w:rPr>
                <w:sz w:val="24"/>
              </w:rPr>
              <w:t>六项基本日常生活活动</w:t>
            </w:r>
          </w:p>
          <w:p>
            <w:pPr>
              <w:pStyle w:val="TableParagraph"/>
              <w:numPr>
                <w:ilvl w:val="1"/>
                <w:numId w:val="4"/>
              </w:numPr>
              <w:tabs>
                <w:tab w:pos="1102" w:val="left" w:leader="none"/>
              </w:tabs>
              <w:spacing w:line="240" w:lineRule="auto" w:before="33" w:after="0"/>
              <w:ind w:left="1102" w:right="0" w:hanging="569"/>
              <w:jc w:val="left"/>
              <w:rPr>
                <w:sz w:val="24"/>
              </w:rPr>
            </w:pPr>
            <w:r>
              <w:rPr>
                <w:sz w:val="24"/>
              </w:rPr>
              <w:t>永久不可逆</w:t>
            </w:r>
          </w:p>
        </w:tc>
      </w:tr>
    </w:tbl>
    <w:p>
      <w:pPr>
        <w:spacing w:after="0" w:line="240" w:lineRule="auto"/>
        <w:jc w:val="left"/>
        <w:rPr>
          <w:sz w:val="24"/>
        </w:rPr>
        <w:sectPr>
          <w:headerReference w:type="default" r:id="rId9"/>
          <w:pgSz w:w="11910" w:h="16840"/>
          <w:pgMar w:header="426" w:footer="309" w:top="620" w:bottom="500" w:left="560" w:right="560"/>
        </w:sectPr>
      </w:pPr>
    </w:p>
    <w:p>
      <w:pPr>
        <w:pStyle w:val="BodyText"/>
        <w:spacing w:before="3"/>
        <w:rPr>
          <w:rFonts w:ascii="微软雅黑"/>
          <w:b/>
          <w:sz w:val="19"/>
        </w:rPr>
      </w:pPr>
    </w:p>
    <w:p>
      <w:pPr>
        <w:spacing w:line="658" w:lineRule="exact" w:before="0"/>
        <w:ind w:left="1128" w:right="0" w:firstLine="0"/>
        <w:jc w:val="left"/>
        <w:rPr>
          <w:rFonts w:ascii="微软雅黑" w:eastAsia="微软雅黑" w:hint="eastAsia"/>
          <w:b/>
          <w:sz w:val="44"/>
        </w:rPr>
      </w:pPr>
      <w:r>
        <w:rPr>
          <w:rFonts w:ascii="微软雅黑" w:eastAsia="微软雅黑" w:hint="eastAsia"/>
          <w:b/>
          <w:sz w:val="44"/>
        </w:rPr>
        <w:t>君龙附加晶彩安康提前给付重大疾病保险条款</w:t>
      </w:r>
    </w:p>
    <w:p>
      <w:pPr>
        <w:pStyle w:val="BodyText"/>
        <w:spacing w:before="16"/>
        <w:rPr>
          <w:rFonts w:ascii="微软雅黑"/>
          <w:b/>
          <w:sz w:val="77"/>
        </w:rPr>
      </w:pPr>
    </w:p>
    <w:p>
      <w:pPr>
        <w:pStyle w:val="BodyText"/>
        <w:spacing w:line="319" w:lineRule="auto" w:before="1"/>
        <w:ind w:left="290" w:right="282"/>
      </w:pPr>
      <w:r>
        <w:rPr/>
        <w:t>在本条款中，“您”指投保人，“我们”、“本公司”均指君龙人寿保险有限公司，“本附加合同”指您与我们之间订立的“君龙附加晶彩安康提前给付重大疾病保险保险合同”。</w:t>
      </w:r>
    </w:p>
    <w:p>
      <w:pPr>
        <w:pStyle w:val="BodyText"/>
        <w:spacing w:before="4"/>
        <w:rPr>
          <w:sz w:val="23"/>
        </w:rPr>
      </w:pPr>
    </w:p>
    <w:p>
      <w:pPr>
        <w:pStyle w:val="Heading3"/>
        <w:tabs>
          <w:tab w:pos="10780" w:val="left" w:leader="none"/>
        </w:tabs>
        <w:spacing w:before="0"/>
        <w:rPr>
          <w:u w:val="none"/>
        </w:rPr>
      </w:pPr>
      <w:r>
        <w:rPr>
          <w:rFonts w:ascii="Times New Roman" w:hAnsi="Times New Roman" w:eastAsia="Times New Roman"/>
          <w:b w:val="0"/>
          <w:spacing w:val="-108"/>
          <w:w w:val="99"/>
          <w:sz w:val="44"/>
          <w:u w:val="thick"/>
        </w:rPr>
        <w:t> </w:t>
      </w:r>
      <w:r>
        <w:rPr>
          <w:rFonts w:ascii="Wingdings" w:hAnsi="Wingdings" w:eastAsia="Wingdings"/>
          <w:b w:val="0"/>
          <w:w w:val="95"/>
          <w:sz w:val="44"/>
          <w:u w:val="none"/>
        </w:rPr>
        <w:t></w:t>
      </w:r>
      <w:r>
        <w:rPr>
          <w:w w:val="95"/>
          <w:u w:val="thick"/>
        </w:rPr>
        <w:t>您与我们订立的合同</w:t>
      </w:r>
      <w:r>
        <w:rPr>
          <w:u w:val="thick"/>
        </w:rPr>
        <w:tab/>
      </w:r>
    </w:p>
    <w:p>
      <w:pPr>
        <w:pStyle w:val="BodyText"/>
        <w:rPr>
          <w:b/>
          <w:sz w:val="20"/>
        </w:rPr>
      </w:pPr>
    </w:p>
    <w:p>
      <w:pPr>
        <w:pStyle w:val="BodyText"/>
        <w:spacing w:before="3" w:after="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631"/>
        <w:gridCol w:w="8506"/>
      </w:tblGrid>
      <w:tr>
        <w:trPr>
          <w:trHeight w:val="2011" w:hRule="atLeast"/>
        </w:trPr>
        <w:tc>
          <w:tcPr>
            <w:tcW w:w="699" w:type="dxa"/>
          </w:tcPr>
          <w:p>
            <w:pPr>
              <w:pStyle w:val="TableParagraph"/>
              <w:spacing w:line="221" w:lineRule="exact"/>
              <w:ind w:left="180" w:right="146"/>
              <w:jc w:val="center"/>
              <w:rPr>
                <w:b/>
                <w:sz w:val="22"/>
              </w:rPr>
            </w:pPr>
            <w:r>
              <w:rPr>
                <w:b/>
                <w:sz w:val="22"/>
              </w:rPr>
              <w:t>1.1</w:t>
            </w:r>
          </w:p>
        </w:tc>
        <w:tc>
          <w:tcPr>
            <w:tcW w:w="1631" w:type="dxa"/>
          </w:tcPr>
          <w:p>
            <w:pPr>
              <w:pStyle w:val="TableParagraph"/>
              <w:spacing w:line="221" w:lineRule="exact"/>
              <w:ind w:left="166"/>
              <w:rPr>
                <w:b/>
                <w:sz w:val="22"/>
              </w:rPr>
            </w:pPr>
            <w:r>
              <w:rPr>
                <w:b/>
                <w:w w:val="95"/>
                <w:sz w:val="22"/>
              </w:rPr>
              <w:t>合同构成</w:t>
            </w:r>
          </w:p>
        </w:tc>
        <w:tc>
          <w:tcPr>
            <w:tcW w:w="8506" w:type="dxa"/>
          </w:tcPr>
          <w:p>
            <w:pPr>
              <w:pStyle w:val="TableParagraph"/>
              <w:spacing w:line="221" w:lineRule="exact"/>
              <w:ind w:left="140"/>
              <w:rPr>
                <w:sz w:val="22"/>
              </w:rPr>
            </w:pPr>
            <w:r>
              <w:rPr>
                <w:sz w:val="22"/>
              </w:rPr>
              <w:t>本附加合同由君龙晶彩安康两全保险合同（以下简称“主合同”）投保人申请，经我</w:t>
            </w:r>
          </w:p>
          <w:p>
            <w:pPr>
              <w:pStyle w:val="TableParagraph"/>
              <w:spacing w:before="93"/>
              <w:ind w:left="140"/>
              <w:rPr>
                <w:sz w:val="22"/>
              </w:rPr>
            </w:pPr>
            <w:r>
              <w:rPr>
                <w:sz w:val="22"/>
              </w:rPr>
              <w:t>们同意，以主合同被保险人本人为本附加合同的被保险人，附加在主合同订定。</w:t>
            </w:r>
          </w:p>
          <w:p>
            <w:pPr>
              <w:pStyle w:val="TableParagraph"/>
              <w:spacing w:line="316" w:lineRule="auto" w:before="91"/>
              <w:ind w:left="140" w:right="200"/>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520" w:hRule="atLeast"/>
        </w:trPr>
        <w:tc>
          <w:tcPr>
            <w:tcW w:w="699" w:type="dxa"/>
          </w:tcPr>
          <w:p>
            <w:pPr>
              <w:pStyle w:val="TableParagraph"/>
              <w:spacing w:before="5"/>
              <w:rPr>
                <w:b/>
                <w:sz w:val="15"/>
              </w:rPr>
            </w:pPr>
          </w:p>
          <w:p>
            <w:pPr>
              <w:pStyle w:val="TableParagraph"/>
              <w:ind w:left="180" w:right="146"/>
              <w:jc w:val="center"/>
              <w:rPr>
                <w:b/>
                <w:sz w:val="22"/>
              </w:rPr>
            </w:pPr>
            <w:r>
              <w:rPr>
                <w:b/>
                <w:sz w:val="22"/>
              </w:rPr>
              <w:t>1.2</w:t>
            </w:r>
          </w:p>
        </w:tc>
        <w:tc>
          <w:tcPr>
            <w:tcW w:w="1631" w:type="dxa"/>
          </w:tcPr>
          <w:p>
            <w:pPr>
              <w:pStyle w:val="TableParagraph"/>
              <w:spacing w:before="5"/>
              <w:rPr>
                <w:b/>
                <w:sz w:val="15"/>
              </w:rPr>
            </w:pPr>
          </w:p>
          <w:p>
            <w:pPr>
              <w:pStyle w:val="TableParagraph"/>
              <w:spacing w:line="319" w:lineRule="auto"/>
              <w:ind w:left="166" w:right="137"/>
              <w:rPr>
                <w:b/>
                <w:sz w:val="22"/>
              </w:rPr>
            </w:pPr>
            <w:r>
              <w:rPr>
                <w:b/>
                <w:sz w:val="22"/>
              </w:rPr>
              <w:t>保险合同成立</w:t>
            </w:r>
            <w:r>
              <w:rPr>
                <w:b/>
                <w:w w:val="95"/>
                <w:sz w:val="22"/>
              </w:rPr>
              <w:t>与生效</w:t>
            </w:r>
          </w:p>
        </w:tc>
        <w:tc>
          <w:tcPr>
            <w:tcW w:w="8506" w:type="dxa"/>
          </w:tcPr>
          <w:p>
            <w:pPr>
              <w:pStyle w:val="TableParagraph"/>
              <w:spacing w:before="5"/>
              <w:rPr>
                <w:b/>
                <w:sz w:val="15"/>
              </w:rPr>
            </w:pPr>
          </w:p>
          <w:p>
            <w:pPr>
              <w:pStyle w:val="TableParagraph"/>
              <w:ind w:left="140"/>
              <w:rPr>
                <w:sz w:val="22"/>
              </w:rPr>
            </w:pPr>
            <w:r>
              <w:rPr>
                <w:sz w:val="22"/>
              </w:rPr>
              <w:t>您提出保险申请、我们同意承保，本附加合同成立。</w:t>
            </w:r>
          </w:p>
          <w:p>
            <w:pPr>
              <w:pStyle w:val="TableParagraph"/>
              <w:spacing w:line="316" w:lineRule="auto" w:before="93"/>
              <w:ind w:left="140" w:right="209"/>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均以该日期进行计算。本附加合同须与主合同同时投保。</w:t>
            </w:r>
          </w:p>
        </w:tc>
      </w:tr>
      <w:tr>
        <w:trPr>
          <w:trHeight w:val="759" w:hRule="atLeast"/>
        </w:trPr>
        <w:tc>
          <w:tcPr>
            <w:tcW w:w="699" w:type="dxa"/>
          </w:tcPr>
          <w:p>
            <w:pPr>
              <w:pStyle w:val="TableParagraph"/>
              <w:spacing w:before="6"/>
              <w:rPr>
                <w:b/>
                <w:sz w:val="15"/>
              </w:rPr>
            </w:pPr>
          </w:p>
          <w:p>
            <w:pPr>
              <w:pStyle w:val="TableParagraph"/>
              <w:ind w:left="180" w:right="146"/>
              <w:jc w:val="center"/>
              <w:rPr>
                <w:b/>
                <w:sz w:val="22"/>
              </w:rPr>
            </w:pPr>
            <w:r>
              <w:rPr>
                <w:b/>
                <w:sz w:val="22"/>
              </w:rPr>
              <w:t>1.3</w:t>
            </w:r>
          </w:p>
        </w:tc>
        <w:tc>
          <w:tcPr>
            <w:tcW w:w="1631" w:type="dxa"/>
          </w:tcPr>
          <w:p>
            <w:pPr>
              <w:pStyle w:val="TableParagraph"/>
              <w:spacing w:before="6"/>
              <w:rPr>
                <w:b/>
                <w:sz w:val="15"/>
              </w:rPr>
            </w:pPr>
          </w:p>
          <w:p>
            <w:pPr>
              <w:pStyle w:val="TableParagraph"/>
              <w:ind w:left="166"/>
              <w:rPr>
                <w:b/>
                <w:sz w:val="22"/>
              </w:rPr>
            </w:pPr>
            <w:r>
              <w:rPr>
                <w:b/>
                <w:w w:val="95"/>
                <w:sz w:val="22"/>
              </w:rPr>
              <w:t>投保年龄</w:t>
            </w:r>
          </w:p>
        </w:tc>
        <w:tc>
          <w:tcPr>
            <w:tcW w:w="8506" w:type="dxa"/>
          </w:tcPr>
          <w:p>
            <w:pPr>
              <w:pStyle w:val="TableParagraph"/>
              <w:spacing w:before="6"/>
              <w:rPr>
                <w:b/>
                <w:sz w:val="15"/>
              </w:rPr>
            </w:pPr>
          </w:p>
          <w:p>
            <w:pPr>
              <w:pStyle w:val="TableParagraph"/>
              <w:ind w:left="140"/>
              <w:rPr>
                <w:sz w:val="22"/>
              </w:rPr>
            </w:pPr>
            <w:r>
              <w:rPr>
                <w:sz w:val="22"/>
              </w:rPr>
              <w:t>指您投保时被保险人的年龄，投保年龄以</w:t>
            </w:r>
            <w:r>
              <w:rPr>
                <w:b/>
                <w:sz w:val="22"/>
              </w:rPr>
              <w:t>周岁</w:t>
            </w:r>
            <w:r>
              <w:rPr>
                <w:sz w:val="22"/>
              </w:rPr>
              <w:t>计算。</w:t>
            </w:r>
          </w:p>
        </w:tc>
      </w:tr>
      <w:tr>
        <w:trPr>
          <w:trHeight w:val="2390" w:hRule="atLeast"/>
        </w:trPr>
        <w:tc>
          <w:tcPr>
            <w:tcW w:w="699" w:type="dxa"/>
          </w:tcPr>
          <w:p>
            <w:pPr>
              <w:pStyle w:val="TableParagraph"/>
              <w:spacing w:before="5"/>
              <w:rPr>
                <w:b/>
                <w:sz w:val="15"/>
              </w:rPr>
            </w:pPr>
          </w:p>
          <w:p>
            <w:pPr>
              <w:pStyle w:val="TableParagraph"/>
              <w:ind w:left="180" w:right="146"/>
              <w:jc w:val="center"/>
              <w:rPr>
                <w:b/>
                <w:sz w:val="22"/>
              </w:rPr>
            </w:pPr>
            <w:r>
              <w:rPr>
                <w:b/>
                <w:sz w:val="22"/>
              </w:rPr>
              <w:t>1.4</w:t>
            </w:r>
          </w:p>
        </w:tc>
        <w:tc>
          <w:tcPr>
            <w:tcW w:w="1631" w:type="dxa"/>
          </w:tcPr>
          <w:p>
            <w:pPr>
              <w:pStyle w:val="TableParagraph"/>
              <w:spacing w:before="5"/>
              <w:rPr>
                <w:b/>
                <w:sz w:val="15"/>
              </w:rPr>
            </w:pPr>
          </w:p>
          <w:p>
            <w:pPr>
              <w:pStyle w:val="TableParagraph"/>
              <w:ind w:left="166"/>
              <w:rPr>
                <w:b/>
                <w:sz w:val="22"/>
              </w:rPr>
            </w:pPr>
            <w:r>
              <w:rPr>
                <w:b/>
                <w:w w:val="95"/>
                <w:sz w:val="22"/>
              </w:rPr>
              <w:t>犹豫期</w:t>
            </w:r>
          </w:p>
        </w:tc>
        <w:tc>
          <w:tcPr>
            <w:tcW w:w="8506" w:type="dxa"/>
          </w:tcPr>
          <w:p>
            <w:pPr>
              <w:pStyle w:val="TableParagraph"/>
              <w:spacing w:before="5"/>
              <w:rPr>
                <w:b/>
                <w:sz w:val="15"/>
              </w:rPr>
            </w:pPr>
          </w:p>
          <w:p>
            <w:pPr>
              <w:pStyle w:val="TableParagraph"/>
              <w:spacing w:line="316" w:lineRule="auto"/>
              <w:ind w:left="140" w:right="198"/>
              <w:jc w:val="both"/>
              <w:rPr>
                <w:sz w:val="22"/>
              </w:rPr>
            </w:pPr>
            <w:r>
              <w:rPr>
                <w:sz w:val="22"/>
              </w:rPr>
              <w:t>自您签收本附加合同的次日起，有15日的犹豫期。在此期间，请您认真审视本附加合同，如果您认为本附加合同与您的需求不相符，您可以在此期间提出解除本附加合同，我们将在扣除不超过10元的工本费后无息退还您所交纳的保险费。</w:t>
            </w:r>
          </w:p>
          <w:p>
            <w:pPr>
              <w:pStyle w:val="TableParagraph"/>
              <w:spacing w:before="20"/>
              <w:ind w:left="140"/>
              <w:rPr>
                <w:sz w:val="22"/>
              </w:rPr>
            </w:pPr>
            <w:r>
              <w:rPr>
                <w:sz w:val="22"/>
              </w:rPr>
              <w:t>解除合同时，您需要填写申请书，并提供您的保险合同及有效身份证件。</w:t>
            </w:r>
            <w:r>
              <w:rPr>
                <w:sz w:val="22"/>
                <w:shd w:fill="D9D9D9" w:color="auto" w:val="clear"/>
              </w:rPr>
              <w:t>自您书面申</w:t>
            </w:r>
          </w:p>
          <w:p>
            <w:pPr>
              <w:pStyle w:val="TableParagraph"/>
              <w:spacing w:line="380" w:lineRule="atLeast" w:before="1"/>
              <w:ind w:left="140" w:right="200"/>
              <w:jc w:val="both"/>
              <w:rPr>
                <w:sz w:val="22"/>
              </w:rPr>
            </w:pPr>
            <w:r>
              <w:rPr>
                <w:sz w:val="22"/>
                <w:shd w:fill="D9D9D9" w:color="auto" w:val="clear"/>
              </w:rPr>
              <w:t>请解除合同之日起，本附加合同即被解除，我们自本附加合同生效日起自始不承担保险责任。</w:t>
            </w:r>
          </w:p>
        </w:tc>
      </w:tr>
    </w:tbl>
    <w:p>
      <w:pPr>
        <w:pStyle w:val="BodyText"/>
        <w:spacing w:before="1"/>
        <w:rPr>
          <w:b/>
          <w:sz w:val="23"/>
        </w:rPr>
      </w:pPr>
    </w:p>
    <w:p>
      <w:pPr>
        <w:tabs>
          <w:tab w:pos="10780" w:val="left" w:leader="none"/>
        </w:tabs>
        <w:spacing w:before="75"/>
        <w:ind w:left="287" w:right="0" w:firstLine="0"/>
        <w:jc w:val="left"/>
        <w:rPr>
          <w:b/>
          <w:sz w:val="30"/>
        </w:rPr>
      </w:pPr>
      <w:r>
        <w:rPr>
          <w:rFonts w:ascii="Times New Roman" w:hAnsi="Times New Roman" w:eastAsia="Times New Roman"/>
          <w:spacing w:val="-108"/>
          <w:w w:val="99"/>
          <w:sz w:val="44"/>
          <w:u w:val="thick"/>
        </w:rPr>
        <w:t> </w:t>
      </w:r>
      <w:r>
        <w:rPr>
          <w:rFonts w:ascii="Wingdings" w:hAnsi="Wingdings" w:eastAsia="Wingdings"/>
          <w:w w:val="95"/>
          <w:sz w:val="44"/>
          <w:u w:val="thick"/>
        </w:rPr>
        <w:t></w:t>
      </w:r>
      <w:r>
        <w:rPr>
          <w:b/>
          <w:w w:val="95"/>
          <w:sz w:val="30"/>
          <w:u w:val="thick"/>
        </w:rPr>
        <w:t>我们提供的保障</w:t>
      </w:r>
      <w:r>
        <w:rPr>
          <w:b/>
          <w:sz w:val="30"/>
          <w:u w:val="thick"/>
        </w:rPr>
        <w:tab/>
      </w:r>
    </w:p>
    <w:p>
      <w:pPr>
        <w:pStyle w:val="BodyText"/>
        <w:rPr>
          <w:b/>
          <w:sz w:val="20"/>
        </w:rPr>
      </w:pPr>
    </w:p>
    <w:p>
      <w:pPr>
        <w:pStyle w:val="BodyText"/>
        <w:spacing w:before="6"/>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631"/>
        <w:gridCol w:w="8504"/>
      </w:tblGrid>
      <w:tr>
        <w:trPr>
          <w:trHeight w:val="870" w:hRule="atLeast"/>
        </w:trPr>
        <w:tc>
          <w:tcPr>
            <w:tcW w:w="699" w:type="dxa"/>
          </w:tcPr>
          <w:p>
            <w:pPr>
              <w:pStyle w:val="TableParagraph"/>
              <w:spacing w:line="221" w:lineRule="exact"/>
              <w:ind w:left="180" w:right="146"/>
              <w:jc w:val="center"/>
              <w:rPr>
                <w:b/>
                <w:sz w:val="22"/>
              </w:rPr>
            </w:pPr>
            <w:r>
              <w:rPr>
                <w:b/>
                <w:sz w:val="22"/>
              </w:rPr>
              <w:t>2.1</w:t>
            </w:r>
          </w:p>
        </w:tc>
        <w:tc>
          <w:tcPr>
            <w:tcW w:w="1631" w:type="dxa"/>
          </w:tcPr>
          <w:p>
            <w:pPr>
              <w:pStyle w:val="TableParagraph"/>
              <w:spacing w:line="221" w:lineRule="exact"/>
              <w:ind w:left="166"/>
              <w:rPr>
                <w:b/>
                <w:sz w:val="22"/>
              </w:rPr>
            </w:pPr>
            <w:r>
              <w:rPr>
                <w:b/>
                <w:w w:val="95"/>
                <w:sz w:val="22"/>
              </w:rPr>
              <w:t>基本保险金额</w:t>
            </w:r>
          </w:p>
        </w:tc>
        <w:tc>
          <w:tcPr>
            <w:tcW w:w="8504" w:type="dxa"/>
          </w:tcPr>
          <w:p>
            <w:pPr>
              <w:pStyle w:val="TableParagraph"/>
              <w:spacing w:line="221" w:lineRule="exact"/>
              <w:ind w:left="140"/>
              <w:rPr>
                <w:sz w:val="22"/>
              </w:rPr>
            </w:pPr>
            <w:r>
              <w:rPr>
                <w:sz w:val="22"/>
              </w:rPr>
              <w:t>本附加合同的基本保险金额由您在投保时与我们约定，并在保险单上载明。如该金额</w:t>
            </w:r>
          </w:p>
          <w:p>
            <w:pPr>
              <w:pStyle w:val="TableParagraph"/>
              <w:spacing w:before="91"/>
              <w:ind w:left="140"/>
              <w:rPr>
                <w:sz w:val="22"/>
              </w:rPr>
            </w:pPr>
            <w:r>
              <w:rPr>
                <w:sz w:val="22"/>
              </w:rPr>
              <w:t>有所变更时，以变更后的基本保险金额为准。</w:t>
            </w:r>
          </w:p>
        </w:tc>
      </w:tr>
      <w:tr>
        <w:trPr>
          <w:trHeight w:val="1139" w:hRule="atLeast"/>
        </w:trPr>
        <w:tc>
          <w:tcPr>
            <w:tcW w:w="699" w:type="dxa"/>
          </w:tcPr>
          <w:p>
            <w:pPr>
              <w:pStyle w:val="TableParagraph"/>
              <w:spacing w:before="6"/>
              <w:rPr>
                <w:b/>
                <w:sz w:val="15"/>
              </w:rPr>
            </w:pPr>
          </w:p>
          <w:p>
            <w:pPr>
              <w:pStyle w:val="TableParagraph"/>
              <w:ind w:left="180" w:right="146"/>
              <w:jc w:val="center"/>
              <w:rPr>
                <w:b/>
                <w:sz w:val="22"/>
              </w:rPr>
            </w:pPr>
            <w:r>
              <w:rPr>
                <w:b/>
                <w:sz w:val="22"/>
              </w:rPr>
              <w:t>2.2</w:t>
            </w:r>
          </w:p>
        </w:tc>
        <w:tc>
          <w:tcPr>
            <w:tcW w:w="1631" w:type="dxa"/>
          </w:tcPr>
          <w:p>
            <w:pPr>
              <w:pStyle w:val="TableParagraph"/>
              <w:spacing w:before="6"/>
              <w:rPr>
                <w:b/>
                <w:sz w:val="15"/>
              </w:rPr>
            </w:pPr>
          </w:p>
          <w:p>
            <w:pPr>
              <w:pStyle w:val="TableParagraph"/>
              <w:ind w:left="166"/>
              <w:rPr>
                <w:b/>
                <w:sz w:val="22"/>
              </w:rPr>
            </w:pPr>
            <w:r>
              <w:rPr>
                <w:b/>
                <w:w w:val="95"/>
                <w:sz w:val="22"/>
              </w:rPr>
              <w:t>保险期间</w:t>
            </w:r>
          </w:p>
        </w:tc>
        <w:tc>
          <w:tcPr>
            <w:tcW w:w="8504" w:type="dxa"/>
          </w:tcPr>
          <w:p>
            <w:pPr>
              <w:pStyle w:val="TableParagraph"/>
              <w:spacing w:before="6"/>
              <w:rPr>
                <w:b/>
                <w:sz w:val="15"/>
              </w:rPr>
            </w:pPr>
          </w:p>
          <w:p>
            <w:pPr>
              <w:pStyle w:val="TableParagraph"/>
              <w:spacing w:line="316" w:lineRule="auto"/>
              <w:ind w:left="140" w:right="197"/>
              <w:rPr>
                <w:sz w:val="22"/>
              </w:rPr>
            </w:pPr>
            <w:r>
              <w:rPr>
                <w:sz w:val="22"/>
              </w:rPr>
              <w:t>本附加合同的保险期间自生效日零时起至被保险人年满60周岁后的首个保单周年日零时止。</w:t>
            </w:r>
          </w:p>
        </w:tc>
      </w:tr>
      <w:tr>
        <w:trPr>
          <w:trHeight w:val="490" w:hRule="atLeast"/>
        </w:trPr>
        <w:tc>
          <w:tcPr>
            <w:tcW w:w="699" w:type="dxa"/>
          </w:tcPr>
          <w:p>
            <w:pPr>
              <w:pStyle w:val="TableParagraph"/>
              <w:spacing w:before="6"/>
              <w:rPr>
                <w:b/>
                <w:sz w:val="15"/>
              </w:rPr>
            </w:pPr>
          </w:p>
          <w:p>
            <w:pPr>
              <w:pStyle w:val="TableParagraph"/>
              <w:spacing w:line="268" w:lineRule="exact"/>
              <w:ind w:left="180" w:right="146"/>
              <w:jc w:val="center"/>
              <w:rPr>
                <w:b/>
                <w:sz w:val="22"/>
              </w:rPr>
            </w:pPr>
            <w:r>
              <w:rPr>
                <w:b/>
                <w:sz w:val="22"/>
              </w:rPr>
              <w:t>2.3</w:t>
            </w:r>
          </w:p>
        </w:tc>
        <w:tc>
          <w:tcPr>
            <w:tcW w:w="1631" w:type="dxa"/>
          </w:tcPr>
          <w:p>
            <w:pPr>
              <w:pStyle w:val="TableParagraph"/>
              <w:spacing w:before="6"/>
              <w:rPr>
                <w:b/>
                <w:sz w:val="15"/>
              </w:rPr>
            </w:pPr>
          </w:p>
          <w:p>
            <w:pPr>
              <w:pStyle w:val="TableParagraph"/>
              <w:spacing w:line="268" w:lineRule="exact"/>
              <w:ind w:left="166"/>
              <w:rPr>
                <w:b/>
                <w:sz w:val="22"/>
              </w:rPr>
            </w:pPr>
            <w:r>
              <w:rPr>
                <w:b/>
                <w:w w:val="95"/>
                <w:sz w:val="22"/>
              </w:rPr>
              <w:t>保险责任</w:t>
            </w:r>
          </w:p>
        </w:tc>
        <w:tc>
          <w:tcPr>
            <w:tcW w:w="8504" w:type="dxa"/>
          </w:tcPr>
          <w:p>
            <w:pPr>
              <w:pStyle w:val="TableParagraph"/>
              <w:spacing w:before="6"/>
              <w:rPr>
                <w:b/>
                <w:sz w:val="15"/>
              </w:rPr>
            </w:pPr>
          </w:p>
          <w:p>
            <w:pPr>
              <w:pStyle w:val="TableParagraph"/>
              <w:spacing w:line="268" w:lineRule="exact"/>
              <w:ind w:left="140"/>
              <w:rPr>
                <w:sz w:val="22"/>
              </w:rPr>
            </w:pPr>
            <w:r>
              <w:rPr>
                <w:sz w:val="22"/>
              </w:rPr>
              <w:t>本附加合同保险期间内，我们承担下列保险责任：</w:t>
            </w:r>
          </w:p>
        </w:tc>
      </w:tr>
    </w:tbl>
    <w:p>
      <w:pPr>
        <w:spacing w:after="0" w:line="268" w:lineRule="exact"/>
        <w:rPr>
          <w:sz w:val="22"/>
        </w:rPr>
        <w:sectPr>
          <w:pgSz w:w="11910" w:h="16840"/>
          <w:pgMar w:header="426" w:footer="309" w:top="620" w:bottom="500" w:left="420" w:right="420"/>
        </w:sectPr>
      </w:pPr>
    </w:p>
    <w:p>
      <w:pPr>
        <w:pStyle w:val="BodyText"/>
        <w:rPr>
          <w:b/>
          <w:sz w:val="20"/>
        </w:rPr>
      </w:pPr>
    </w:p>
    <w:p>
      <w:pPr>
        <w:pStyle w:val="BodyText"/>
        <w:spacing w:before="1"/>
        <w:rPr>
          <w:b/>
          <w:sz w:val="24"/>
        </w:rPr>
      </w:pPr>
    </w:p>
    <w:p>
      <w:pPr>
        <w:pStyle w:val="BodyText"/>
        <w:tabs>
          <w:tab w:pos="2587" w:val="left" w:leader="none"/>
        </w:tabs>
        <w:spacing w:line="297" w:lineRule="auto" w:before="1"/>
        <w:ind w:left="2587" w:right="351" w:hanging="1606"/>
        <w:jc w:val="both"/>
      </w:pPr>
      <w:r>
        <w:rPr>
          <w:rFonts w:ascii="微软雅黑" w:eastAsia="微软雅黑" w:hint="eastAsia"/>
          <w:b/>
        </w:rPr>
        <w:t>等待期</w:t>
        <w:tab/>
      </w:r>
      <w:r>
        <w:rPr>
          <w:spacing w:val="2"/>
          <w:shd w:fill="D9D9D9" w:color="auto" w:val="clear"/>
        </w:rPr>
        <w:t>从本附加合同生效（</w:t>
      </w:r>
      <w:r>
        <w:rPr>
          <w:spacing w:val="5"/>
          <w:shd w:fill="D9D9D9" w:color="auto" w:val="clear"/>
        </w:rPr>
        <w:t>或</w:t>
      </w:r>
      <w:r>
        <w:rPr>
          <w:spacing w:val="2"/>
          <w:shd w:fill="D9D9D9" w:color="auto" w:val="clear"/>
        </w:rPr>
        <w:t>复效）之日起</w:t>
      </w:r>
      <w:r>
        <w:rPr>
          <w:spacing w:val="1"/>
          <w:shd w:fill="D9D9D9" w:color="auto" w:val="clear"/>
        </w:rPr>
        <w:t>90</w:t>
      </w:r>
      <w:r>
        <w:rPr>
          <w:spacing w:val="2"/>
          <w:shd w:fill="D9D9D9" w:color="auto" w:val="clear"/>
        </w:rPr>
        <w:t>天内，被保险人发生</w:t>
      </w:r>
      <w:r>
        <w:rPr>
          <w:b/>
          <w:spacing w:val="2"/>
          <w:shd w:fill="D9D9D9" w:color="auto" w:val="clear"/>
        </w:rPr>
        <w:t>重</w:t>
      </w:r>
      <w:r>
        <w:rPr>
          <w:b/>
          <w:spacing w:val="5"/>
          <w:shd w:fill="D9D9D9" w:color="auto" w:val="clear"/>
        </w:rPr>
        <w:t>大</w:t>
      </w:r>
      <w:r>
        <w:rPr>
          <w:b/>
          <w:spacing w:val="2"/>
          <w:shd w:fill="D9D9D9" w:color="auto" w:val="clear"/>
        </w:rPr>
        <w:t>疾</w:t>
      </w:r>
      <w:r>
        <w:rPr>
          <w:b/>
          <w:spacing w:val="5"/>
          <w:shd w:fill="D9D9D9" w:color="auto" w:val="clear"/>
        </w:rPr>
        <w:t>病</w:t>
      </w:r>
      <w:r>
        <w:rPr>
          <w:spacing w:val="2"/>
          <w:shd w:fill="D9D9D9" w:color="auto" w:val="clear"/>
        </w:rPr>
        <w:t>的，我们不承 担保险责任，本附加合同终止，并无息退还保险费。</w:t>
      </w:r>
      <w:r>
        <w:rPr>
          <w:spacing w:val="-201"/>
          <w:shd w:fill="D9D9D9" w:color="auto" w:val="clear"/>
        </w:rPr>
        <w:t>这</w:t>
      </w:r>
      <w:r>
        <w:rPr>
          <w:shd w:fill="D9D9D9" w:color="auto" w:val="clear"/>
        </w:rPr>
        <w:t>90</w:t>
      </w:r>
      <w:r>
        <w:rPr>
          <w:spacing w:val="2"/>
          <w:shd w:fill="D9D9D9" w:color="auto" w:val="clear"/>
        </w:rPr>
        <w:t>天的时间称为等待期；被</w:t>
      </w:r>
      <w:r>
        <w:rPr>
          <w:shd w:fill="D9D9D9" w:color="auto" w:val="clear"/>
        </w:rPr>
        <w:t>保险人</w:t>
      </w:r>
      <w:r>
        <w:rPr>
          <w:spacing w:val="-3"/>
          <w:shd w:fill="D9D9D9" w:color="auto" w:val="clear"/>
        </w:rPr>
        <w:t>因</w:t>
      </w:r>
      <w:r>
        <w:rPr>
          <w:b/>
          <w:shd w:fill="D9D9D9" w:color="auto" w:val="clear"/>
        </w:rPr>
        <w:t>意外伤害事故</w:t>
      </w:r>
      <w:r>
        <w:rPr>
          <w:spacing w:val="-3"/>
          <w:shd w:fill="D9D9D9" w:color="auto" w:val="clear"/>
        </w:rPr>
        <w:t>发</w:t>
      </w:r>
      <w:r>
        <w:rPr>
          <w:shd w:fill="D9D9D9" w:color="auto" w:val="clear"/>
        </w:rPr>
        <w:t>生重大</w:t>
      </w:r>
      <w:r>
        <w:rPr>
          <w:spacing w:val="-3"/>
          <w:shd w:fill="D9D9D9" w:color="auto" w:val="clear"/>
        </w:rPr>
        <w:t>疾</w:t>
      </w:r>
      <w:r>
        <w:rPr>
          <w:shd w:fill="D9D9D9" w:color="auto" w:val="clear"/>
        </w:rPr>
        <w:t>病的</w:t>
      </w:r>
      <w:r>
        <w:rPr>
          <w:spacing w:val="-3"/>
          <w:shd w:fill="D9D9D9" w:color="auto" w:val="clear"/>
        </w:rPr>
        <w:t>，</w:t>
      </w:r>
      <w:r>
        <w:rPr>
          <w:shd w:fill="D9D9D9" w:color="auto" w:val="clear"/>
        </w:rPr>
        <w:t>无等</w:t>
      </w:r>
      <w:r>
        <w:rPr>
          <w:spacing w:val="-3"/>
          <w:shd w:fill="D9D9D9" w:color="auto" w:val="clear"/>
        </w:rPr>
        <w:t>待期</w:t>
      </w:r>
      <w:r>
        <w:rPr>
          <w:shd w:fill="D9D9D9" w:color="auto" w:val="clear"/>
        </w:rPr>
        <w:t>。</w:t>
      </w:r>
    </w:p>
    <w:p>
      <w:pPr>
        <w:pStyle w:val="BodyText"/>
        <w:spacing w:before="12"/>
        <w:rPr>
          <w:sz w:val="31"/>
        </w:rPr>
      </w:pPr>
    </w:p>
    <w:p>
      <w:pPr>
        <w:pStyle w:val="BodyText"/>
        <w:ind w:left="2587"/>
      </w:pPr>
      <w:r>
        <w:rPr/>
        <w:t>如果在等待期后发生重大疾病，我们承担下列保险责任：</w:t>
      </w:r>
    </w:p>
    <w:p>
      <w:pPr>
        <w:pStyle w:val="BodyText"/>
        <w:rPr>
          <w:sz w:val="20"/>
        </w:rPr>
      </w:pPr>
    </w:p>
    <w:p>
      <w:pPr>
        <w:spacing w:after="0"/>
        <w:rPr>
          <w:sz w:val="20"/>
        </w:rPr>
        <w:sectPr>
          <w:pgSz w:w="11910" w:h="16840"/>
          <w:pgMar w:header="426" w:footer="309" w:top="620" w:bottom="500" w:left="420" w:right="420"/>
        </w:sectPr>
      </w:pPr>
    </w:p>
    <w:p>
      <w:pPr>
        <w:pStyle w:val="Heading4"/>
        <w:spacing w:before="145"/>
        <w:ind w:left="982"/>
      </w:pPr>
      <w:r>
        <w:rPr/>
        <w:t>重大疾病保险金</w:t>
      </w:r>
    </w:p>
    <w:p>
      <w:pPr>
        <w:pStyle w:val="BodyText"/>
        <w:spacing w:before="3"/>
        <w:rPr>
          <w:rFonts w:ascii="微软雅黑"/>
          <w:b/>
          <w:sz w:val="12"/>
        </w:rPr>
      </w:pPr>
      <w:r>
        <w:rPr/>
        <w:br w:type="column"/>
      </w:r>
      <w:r>
        <w:rPr>
          <w:rFonts w:ascii="微软雅黑"/>
          <w:b/>
          <w:sz w:val="12"/>
        </w:rPr>
      </w:r>
    </w:p>
    <w:p>
      <w:pPr>
        <w:pStyle w:val="BodyText"/>
        <w:spacing w:line="316" w:lineRule="auto"/>
        <w:ind w:left="240" w:right="351"/>
        <w:jc w:val="both"/>
      </w:pPr>
      <w:r>
        <w:rPr>
          <w:spacing w:val="1"/>
        </w:rPr>
        <w:t>被保险人于等待期后初次发生并经</w:t>
      </w:r>
      <w:r>
        <w:rPr>
          <w:b/>
          <w:spacing w:val="2"/>
        </w:rPr>
        <w:t>医院专科医生</w:t>
      </w:r>
      <w:r>
        <w:rPr>
          <w:spacing w:val="2"/>
        </w:rPr>
        <w:t>明确诊断确定</w:t>
      </w:r>
      <w:r>
        <w:rPr>
          <w:shd w:fill="D9D9D9" w:color="auto" w:val="clear"/>
        </w:rPr>
        <w:t>罹患本附加合同约定</w:t>
      </w:r>
      <w:r>
        <w:rPr>
          <w:spacing w:val="2"/>
          <w:shd w:fill="D9D9D9" w:color="auto" w:val="clear"/>
        </w:rPr>
        <w:t>的重大疾病（无论一种或多种），我们按基本保险金额向重大疾病保险金受益人给付“重大疾病保险金”，本附加合同终止。同时主合同的基本保险金额按给付的重大疾病保险金等额减少，主合同基本保险金额减少的部分对应的现金价值不退还， 同时主合同载明的保险费及</w:t>
      </w:r>
      <w:r>
        <w:rPr>
          <w:b/>
          <w:spacing w:val="2"/>
          <w:shd w:fill="D9D9D9" w:color="auto" w:val="clear"/>
        </w:rPr>
        <w:t>现金价值</w:t>
      </w:r>
      <w:r>
        <w:rPr>
          <w:spacing w:val="1"/>
          <w:shd w:fill="D9D9D9" w:color="auto" w:val="clear"/>
        </w:rPr>
        <w:t>按减少后</w:t>
      </w:r>
      <w:r>
        <w:rPr>
          <w:spacing w:val="-19"/>
          <w:shd w:fill="D9D9D9" w:color="auto" w:val="clear"/>
        </w:rPr>
        <w:t>的基本保险金额确定；</w:t>
      </w:r>
      <w:r>
        <w:rPr>
          <w:spacing w:val="1"/>
        </w:rPr>
        <w:t>当主合同基本保</w:t>
      </w:r>
      <w:r>
        <w:rPr>
          <w:spacing w:val="-3"/>
        </w:rPr>
        <w:t>险金额减少至零时，主合同终止。</w:t>
      </w:r>
    </w:p>
    <w:p>
      <w:pPr>
        <w:spacing w:after="0" w:line="316" w:lineRule="auto"/>
        <w:jc w:val="both"/>
        <w:sectPr>
          <w:type w:val="continuous"/>
          <w:pgSz w:w="11910" w:h="16840"/>
          <w:pgMar w:top="620" w:bottom="500" w:left="420" w:right="420"/>
          <w:cols w:num="2" w:equalWidth="0">
            <w:col w:w="2307" w:space="40"/>
            <w:col w:w="8723"/>
          </w:cols>
        </w:sectPr>
      </w:pPr>
    </w:p>
    <w:p>
      <w:pPr>
        <w:pStyle w:val="BodyText"/>
        <w:rPr>
          <w:sz w:val="28"/>
        </w:rPr>
      </w:pPr>
    </w:p>
    <w:p>
      <w:pPr>
        <w:pStyle w:val="ListParagraph"/>
        <w:numPr>
          <w:ilvl w:val="1"/>
          <w:numId w:val="5"/>
        </w:numPr>
        <w:tabs>
          <w:tab w:pos="981" w:val="left" w:leader="none"/>
          <w:tab w:pos="983" w:val="left" w:leader="none"/>
          <w:tab w:pos="2587" w:val="left" w:leader="none"/>
        </w:tabs>
        <w:spacing w:line="240" w:lineRule="auto" w:before="33" w:after="0"/>
        <w:ind w:left="982" w:right="0" w:hanging="666"/>
        <w:jc w:val="left"/>
        <w:rPr>
          <w:sz w:val="22"/>
        </w:rPr>
      </w:pPr>
      <w:r>
        <w:rPr>
          <w:b/>
          <w:sz w:val="22"/>
        </w:rPr>
        <w:t>责任免除</w:t>
        <w:tab/>
      </w:r>
      <w:r>
        <w:rPr>
          <w:sz w:val="22"/>
          <w:shd w:fill="D9D9D9" w:color="auto" w:val="clear"/>
        </w:rPr>
        <w:t>因下列</w:t>
      </w:r>
      <w:r>
        <w:rPr>
          <w:spacing w:val="-3"/>
          <w:sz w:val="22"/>
          <w:shd w:fill="D9D9D9" w:color="auto" w:val="clear"/>
        </w:rPr>
        <w:t>情</w:t>
      </w:r>
      <w:r>
        <w:rPr>
          <w:sz w:val="22"/>
          <w:shd w:fill="D9D9D9" w:color="auto" w:val="clear"/>
        </w:rPr>
        <w:t>形之</w:t>
      </w:r>
      <w:r>
        <w:rPr>
          <w:spacing w:val="-3"/>
          <w:sz w:val="22"/>
          <w:shd w:fill="D9D9D9" w:color="auto" w:val="clear"/>
        </w:rPr>
        <w:t>一</w:t>
      </w:r>
      <w:r>
        <w:rPr>
          <w:sz w:val="22"/>
          <w:shd w:fill="D9D9D9" w:color="auto" w:val="clear"/>
        </w:rPr>
        <w:t>，导</w:t>
      </w:r>
      <w:r>
        <w:rPr>
          <w:spacing w:val="-3"/>
          <w:sz w:val="22"/>
          <w:shd w:fill="D9D9D9" w:color="auto" w:val="clear"/>
        </w:rPr>
        <w:t>致被</w:t>
      </w:r>
      <w:r>
        <w:rPr>
          <w:sz w:val="22"/>
          <w:shd w:fill="D9D9D9" w:color="auto" w:val="clear"/>
        </w:rPr>
        <w:t>保险人</w:t>
      </w:r>
      <w:r>
        <w:rPr>
          <w:spacing w:val="-3"/>
          <w:sz w:val="22"/>
          <w:shd w:fill="D9D9D9" w:color="auto" w:val="clear"/>
        </w:rPr>
        <w:t>发</w:t>
      </w:r>
      <w:r>
        <w:rPr>
          <w:sz w:val="22"/>
          <w:shd w:fill="D9D9D9" w:color="auto" w:val="clear"/>
        </w:rPr>
        <w:t>生重</w:t>
      </w:r>
      <w:r>
        <w:rPr>
          <w:spacing w:val="-3"/>
          <w:sz w:val="22"/>
          <w:shd w:fill="D9D9D9" w:color="auto" w:val="clear"/>
        </w:rPr>
        <w:t>大</w:t>
      </w:r>
      <w:r>
        <w:rPr>
          <w:sz w:val="22"/>
          <w:shd w:fill="D9D9D9" w:color="auto" w:val="clear"/>
        </w:rPr>
        <w:t>疾病</w:t>
      </w:r>
      <w:r>
        <w:rPr>
          <w:spacing w:val="-3"/>
          <w:sz w:val="22"/>
          <w:shd w:fill="D9D9D9" w:color="auto" w:val="clear"/>
        </w:rPr>
        <w:t>的，</w:t>
      </w:r>
      <w:r>
        <w:rPr>
          <w:sz w:val="22"/>
          <w:shd w:fill="D9D9D9" w:color="auto" w:val="clear"/>
        </w:rPr>
        <w:t>我们不</w:t>
      </w:r>
      <w:r>
        <w:rPr>
          <w:spacing w:val="-3"/>
          <w:sz w:val="22"/>
          <w:shd w:fill="D9D9D9" w:color="auto" w:val="clear"/>
        </w:rPr>
        <w:t>承</w:t>
      </w:r>
      <w:r>
        <w:rPr>
          <w:sz w:val="22"/>
          <w:shd w:fill="D9D9D9" w:color="auto" w:val="clear"/>
        </w:rPr>
        <w:t>担给</w:t>
      </w:r>
      <w:r>
        <w:rPr>
          <w:spacing w:val="-3"/>
          <w:sz w:val="22"/>
          <w:shd w:fill="D9D9D9" w:color="auto" w:val="clear"/>
        </w:rPr>
        <w:t>付</w:t>
      </w:r>
      <w:r>
        <w:rPr>
          <w:sz w:val="22"/>
          <w:shd w:fill="D9D9D9" w:color="auto" w:val="clear"/>
        </w:rPr>
        <w:t>保险</w:t>
      </w:r>
      <w:r>
        <w:rPr>
          <w:spacing w:val="-3"/>
          <w:sz w:val="22"/>
          <w:shd w:fill="D9D9D9" w:color="auto" w:val="clear"/>
        </w:rPr>
        <w:t>金的</w:t>
      </w:r>
      <w:r>
        <w:rPr>
          <w:sz w:val="22"/>
          <w:shd w:fill="D9D9D9" w:color="auto" w:val="clear"/>
        </w:rPr>
        <w:t>责任：</w:t>
      </w:r>
    </w:p>
    <w:p>
      <w:pPr>
        <w:pStyle w:val="ListParagraph"/>
        <w:numPr>
          <w:ilvl w:val="2"/>
          <w:numId w:val="5"/>
        </w:numPr>
        <w:tabs>
          <w:tab w:pos="3008" w:val="left" w:leader="none"/>
        </w:tabs>
        <w:spacing w:line="240" w:lineRule="auto" w:before="93" w:after="0"/>
        <w:ind w:left="3007" w:right="0" w:hanging="420"/>
        <w:jc w:val="left"/>
        <w:rPr>
          <w:sz w:val="22"/>
        </w:rPr>
      </w:pPr>
      <w:r>
        <w:rPr>
          <w:spacing w:val="-3"/>
          <w:sz w:val="22"/>
          <w:shd w:fill="D9D9D9" w:color="auto" w:val="clear"/>
        </w:rPr>
        <w:t>投保人对被保险人的故意杀害、故意伤害；</w:t>
      </w:r>
    </w:p>
    <w:p>
      <w:pPr>
        <w:pStyle w:val="ListParagraph"/>
        <w:numPr>
          <w:ilvl w:val="2"/>
          <w:numId w:val="5"/>
        </w:numPr>
        <w:tabs>
          <w:tab w:pos="3008" w:val="left" w:leader="none"/>
        </w:tabs>
        <w:spacing w:line="240" w:lineRule="auto" w:before="90" w:after="0"/>
        <w:ind w:left="3007" w:right="0" w:hanging="420"/>
        <w:jc w:val="left"/>
        <w:rPr>
          <w:sz w:val="22"/>
        </w:rPr>
      </w:pPr>
      <w:r>
        <w:rPr>
          <w:spacing w:val="-3"/>
          <w:sz w:val="22"/>
          <w:shd w:fill="D9D9D9" w:color="auto" w:val="clear"/>
        </w:rPr>
        <w:t>被保险人故意犯罪或者抗拒依法采取的刑事强制措施；</w:t>
      </w:r>
    </w:p>
    <w:p>
      <w:pPr>
        <w:pStyle w:val="ListParagraph"/>
        <w:numPr>
          <w:ilvl w:val="2"/>
          <w:numId w:val="5"/>
        </w:numPr>
        <w:tabs>
          <w:tab w:pos="3008" w:val="left" w:leader="none"/>
        </w:tabs>
        <w:spacing w:line="240" w:lineRule="auto" w:before="90" w:after="0"/>
        <w:ind w:left="3007" w:right="0" w:hanging="420"/>
        <w:jc w:val="left"/>
        <w:rPr>
          <w:sz w:val="22"/>
        </w:rPr>
      </w:pPr>
      <w:r>
        <w:rPr>
          <w:spacing w:val="-2"/>
          <w:sz w:val="22"/>
          <w:shd w:fill="D9D9D9" w:color="auto" w:val="clear"/>
        </w:rPr>
        <w:t>被保险人故意自伤：</w:t>
      </w:r>
    </w:p>
    <w:p>
      <w:pPr>
        <w:pStyle w:val="ListParagraph"/>
        <w:numPr>
          <w:ilvl w:val="2"/>
          <w:numId w:val="5"/>
        </w:numPr>
        <w:tabs>
          <w:tab w:pos="3008" w:val="left" w:leader="none"/>
        </w:tabs>
        <w:spacing w:line="240" w:lineRule="auto" w:before="93" w:after="0"/>
        <w:ind w:left="3007" w:right="0" w:hanging="420"/>
        <w:jc w:val="left"/>
        <w:rPr>
          <w:sz w:val="22"/>
        </w:rPr>
      </w:pPr>
      <w:r>
        <w:rPr>
          <w:spacing w:val="-3"/>
          <w:sz w:val="22"/>
          <w:shd w:fill="D9D9D9" w:color="auto" w:val="clear"/>
        </w:rPr>
        <w:t>被保险人主动吸食或注射</w:t>
      </w:r>
      <w:r>
        <w:rPr>
          <w:b/>
          <w:sz w:val="22"/>
          <w:shd w:fill="D9D9D9" w:color="auto" w:val="clear"/>
        </w:rPr>
        <w:t>毒品</w:t>
      </w:r>
      <w:r>
        <w:rPr>
          <w:sz w:val="22"/>
          <w:shd w:fill="D9D9D9" w:color="auto" w:val="clear"/>
        </w:rPr>
        <w:t>；</w:t>
      </w:r>
    </w:p>
    <w:p>
      <w:pPr>
        <w:pStyle w:val="ListParagraph"/>
        <w:numPr>
          <w:ilvl w:val="2"/>
          <w:numId w:val="5"/>
        </w:numPr>
        <w:tabs>
          <w:tab w:pos="3008" w:val="left" w:leader="none"/>
        </w:tabs>
        <w:spacing w:line="240" w:lineRule="auto" w:before="91" w:after="0"/>
        <w:ind w:left="3007" w:right="0" w:hanging="420"/>
        <w:jc w:val="left"/>
        <w:rPr>
          <w:sz w:val="22"/>
        </w:rPr>
      </w:pPr>
      <w:r>
        <w:rPr>
          <w:spacing w:val="-3"/>
          <w:sz w:val="22"/>
          <w:shd w:fill="D9D9D9" w:color="auto" w:val="clear"/>
        </w:rPr>
        <w:t>被保险人</w:t>
      </w:r>
      <w:r>
        <w:rPr>
          <w:b/>
          <w:spacing w:val="-3"/>
          <w:sz w:val="22"/>
          <w:shd w:fill="D9D9D9" w:color="auto" w:val="clear"/>
        </w:rPr>
        <w:t>酒后驾驶</w:t>
      </w:r>
      <w:r>
        <w:rPr>
          <w:spacing w:val="-5"/>
          <w:sz w:val="22"/>
          <w:shd w:fill="D9D9D9" w:color="auto" w:val="clear"/>
        </w:rPr>
        <w:t>、</w:t>
      </w:r>
      <w:r>
        <w:rPr>
          <w:b/>
          <w:spacing w:val="-3"/>
          <w:sz w:val="22"/>
          <w:shd w:fill="D9D9D9" w:color="auto" w:val="clear"/>
        </w:rPr>
        <w:t>无合法有效驾驶证驾驶</w:t>
      </w:r>
      <w:r>
        <w:rPr>
          <w:spacing w:val="-4"/>
          <w:sz w:val="22"/>
          <w:shd w:fill="D9D9D9" w:color="auto" w:val="clear"/>
        </w:rPr>
        <w:t>，或驾驶</w:t>
      </w:r>
      <w:r>
        <w:rPr>
          <w:b/>
          <w:spacing w:val="-3"/>
          <w:sz w:val="22"/>
          <w:shd w:fill="D9D9D9" w:color="auto" w:val="clear"/>
        </w:rPr>
        <w:t>无有效行驶证</w:t>
      </w:r>
      <w:r>
        <w:rPr>
          <w:spacing w:val="-5"/>
          <w:sz w:val="22"/>
          <w:shd w:fill="D9D9D9" w:color="auto" w:val="clear"/>
        </w:rPr>
        <w:t>的</w:t>
      </w:r>
      <w:r>
        <w:rPr>
          <w:b/>
          <w:spacing w:val="-3"/>
          <w:sz w:val="22"/>
          <w:shd w:fill="D9D9D9" w:color="auto" w:val="clear"/>
        </w:rPr>
        <w:t>机动车</w:t>
      </w:r>
      <w:r>
        <w:rPr>
          <w:sz w:val="22"/>
          <w:shd w:fill="D9D9D9" w:color="auto" w:val="clear"/>
        </w:rPr>
        <w:t>；</w:t>
      </w:r>
    </w:p>
    <w:p>
      <w:pPr>
        <w:pStyle w:val="ListParagraph"/>
        <w:numPr>
          <w:ilvl w:val="2"/>
          <w:numId w:val="5"/>
        </w:numPr>
        <w:tabs>
          <w:tab w:pos="3008" w:val="left" w:leader="none"/>
        </w:tabs>
        <w:spacing w:line="319" w:lineRule="auto" w:before="91" w:after="0"/>
        <w:ind w:left="3007" w:right="311" w:hanging="420"/>
        <w:jc w:val="left"/>
        <w:rPr>
          <w:sz w:val="22"/>
        </w:rPr>
      </w:pPr>
      <w:r>
        <w:rPr>
          <w:sz w:val="22"/>
          <w:shd w:fill="D9D9D9" w:color="auto" w:val="clear"/>
        </w:rPr>
        <w:t>被保险人</w:t>
      </w:r>
      <w:r>
        <w:rPr>
          <w:b/>
          <w:sz w:val="22"/>
          <w:shd w:fill="D9D9D9" w:color="auto" w:val="clear"/>
        </w:rPr>
        <w:t>感染艾滋病病毒或患艾滋病，</w:t>
      </w:r>
      <w:r>
        <w:rPr>
          <w:spacing w:val="-1"/>
          <w:sz w:val="22"/>
          <w:shd w:fill="D9D9D9" w:color="auto" w:val="clear"/>
        </w:rPr>
        <w:t>但是重疾定义所述经输血或因职业关系导</w:t>
      </w:r>
      <w:r>
        <w:rPr>
          <w:spacing w:val="-3"/>
          <w:sz w:val="22"/>
          <w:shd w:fill="D9D9D9" w:color="auto" w:val="clear"/>
        </w:rPr>
        <w:t>致感染艾滋病病毒的除外；</w:t>
      </w:r>
    </w:p>
    <w:p>
      <w:pPr>
        <w:pStyle w:val="ListParagraph"/>
        <w:numPr>
          <w:ilvl w:val="2"/>
          <w:numId w:val="5"/>
        </w:numPr>
        <w:tabs>
          <w:tab w:pos="3008" w:val="left" w:leader="none"/>
        </w:tabs>
        <w:spacing w:line="240" w:lineRule="auto" w:before="19" w:after="0"/>
        <w:ind w:left="3007" w:right="0" w:hanging="420"/>
        <w:jc w:val="left"/>
        <w:rPr>
          <w:sz w:val="22"/>
        </w:rPr>
      </w:pPr>
      <w:r>
        <w:rPr>
          <w:spacing w:val="-3"/>
          <w:sz w:val="22"/>
          <w:shd w:fill="D9D9D9" w:color="auto" w:val="clear"/>
        </w:rPr>
        <w:t>战争、军事冲突、暴乱或武装叛乱；</w:t>
      </w:r>
    </w:p>
    <w:p>
      <w:pPr>
        <w:pStyle w:val="ListParagraph"/>
        <w:numPr>
          <w:ilvl w:val="2"/>
          <w:numId w:val="5"/>
        </w:numPr>
        <w:tabs>
          <w:tab w:pos="3008" w:val="left" w:leader="none"/>
        </w:tabs>
        <w:spacing w:line="240" w:lineRule="auto" w:before="91" w:after="0"/>
        <w:ind w:left="3007" w:right="0" w:hanging="420"/>
        <w:jc w:val="left"/>
        <w:rPr>
          <w:sz w:val="22"/>
        </w:rPr>
      </w:pPr>
      <w:r>
        <w:rPr>
          <w:spacing w:val="-3"/>
          <w:sz w:val="22"/>
          <w:shd w:fill="D9D9D9" w:color="auto" w:val="clear"/>
        </w:rPr>
        <w:t>核爆炸、核辐射或核污染；</w:t>
      </w:r>
    </w:p>
    <w:p>
      <w:pPr>
        <w:pStyle w:val="Heading4"/>
        <w:numPr>
          <w:ilvl w:val="2"/>
          <w:numId w:val="5"/>
        </w:numPr>
        <w:tabs>
          <w:tab w:pos="3008" w:val="left" w:leader="none"/>
        </w:tabs>
        <w:spacing w:line="240" w:lineRule="auto" w:before="93" w:after="0"/>
        <w:ind w:left="3007" w:right="0" w:hanging="420"/>
        <w:jc w:val="left"/>
        <w:rPr>
          <w:rFonts w:ascii="宋体" w:eastAsia="宋体" w:hint="eastAsia"/>
          <w:b w:val="0"/>
        </w:rPr>
      </w:pPr>
      <w:r>
        <w:rPr>
          <w:rFonts w:ascii="宋体" w:eastAsia="宋体" w:hint="eastAsia"/>
          <w:shd w:fill="D9D9D9" w:color="auto" w:val="clear"/>
        </w:rPr>
        <w:t>遗传性疾病</w:t>
      </w:r>
      <w:r>
        <w:rPr>
          <w:rFonts w:ascii="宋体" w:eastAsia="宋体" w:hint="eastAsia"/>
          <w:b w:val="0"/>
          <w:spacing w:val="-3"/>
          <w:shd w:fill="D9D9D9" w:color="auto" w:val="clear"/>
        </w:rPr>
        <w:t>，</w:t>
      </w:r>
      <w:r>
        <w:rPr>
          <w:rFonts w:ascii="宋体" w:eastAsia="宋体" w:hint="eastAsia"/>
          <w:shd w:fill="D9D9D9" w:color="auto" w:val="clear"/>
        </w:rPr>
        <w:t>先天性畸形、变形或者染色体异常</w:t>
      </w:r>
      <w:r>
        <w:rPr>
          <w:rFonts w:ascii="宋体" w:eastAsia="宋体" w:hint="eastAsia"/>
          <w:b w:val="0"/>
          <w:shd w:fill="D9D9D9" w:color="auto" w:val="clear"/>
        </w:rPr>
        <w:t>。</w:t>
      </w:r>
    </w:p>
    <w:p>
      <w:pPr>
        <w:pStyle w:val="BodyText"/>
        <w:spacing w:line="316" w:lineRule="auto" w:before="90"/>
        <w:ind w:left="2587" w:right="308"/>
      </w:pPr>
      <w:r>
        <w:rPr>
          <w:shd w:fill="D9D9D9" w:color="auto" w:val="clear"/>
        </w:rPr>
        <w:t>发生上述第(1)项情形导致被保险人发生重大疾病的，本附加合同终止，我们向其他</w:t>
      </w:r>
      <w:r>
        <w:rPr>
          <w:spacing w:val="-215"/>
          <w:shd w:fill="D9D9D9" w:color="auto" w:val="clear"/>
        </w:rPr>
        <w:t>权</w:t>
      </w:r>
      <w:r>
        <w:rPr>
          <w:spacing w:val="-3"/>
          <w:shd w:fill="D9D9D9" w:color="auto" w:val="clear"/>
        </w:rPr>
        <w:t>利人退还本附加合同的现金价值。</w:t>
      </w:r>
    </w:p>
    <w:p>
      <w:pPr>
        <w:pStyle w:val="BodyText"/>
        <w:spacing w:line="316" w:lineRule="auto" w:before="22"/>
        <w:ind w:left="2587" w:right="314"/>
      </w:pPr>
      <w:r>
        <w:rPr>
          <w:spacing w:val="-3"/>
          <w:shd w:fill="D9D9D9" w:color="auto" w:val="clear"/>
        </w:rPr>
        <w:t>发生上述其他情形导致被保险人发生重大疾病的，本附加合同终止，我们向您退还本附加合同的现</w:t>
      </w:r>
      <w:r>
        <w:rPr>
          <w:spacing w:val="-221"/>
          <w:shd w:fill="D9D9D9" w:color="auto" w:val="clear"/>
        </w:rPr>
        <w:t>金</w:t>
      </w:r>
      <w:r>
        <w:rPr>
          <w:shd w:fill="D9D9D9" w:color="auto" w:val="clear"/>
        </w:rPr>
        <w:t>价值。</w:t>
      </w:r>
    </w:p>
    <w:p>
      <w:pPr>
        <w:pStyle w:val="BodyText"/>
        <w:spacing w:before="5"/>
        <w:rPr>
          <w:sz w:val="23"/>
        </w:rPr>
      </w:pPr>
    </w:p>
    <w:p>
      <w:pPr>
        <w:tabs>
          <w:tab w:pos="10780" w:val="left" w:leader="none"/>
        </w:tabs>
        <w:spacing w:before="0"/>
        <w:ind w:left="287" w:right="0" w:firstLine="0"/>
        <w:jc w:val="left"/>
        <w:rPr>
          <w:b/>
          <w:sz w:val="30"/>
        </w:rPr>
      </w:pPr>
      <w:r>
        <w:rPr>
          <w:rFonts w:ascii="Times New Roman" w:hAnsi="Times New Roman" w:eastAsia="Times New Roman"/>
          <w:spacing w:val="-108"/>
          <w:w w:val="99"/>
          <w:sz w:val="44"/>
          <w:u w:val="thick"/>
        </w:rPr>
        <w:t> </w:t>
      </w:r>
      <w:r>
        <w:rPr>
          <w:rFonts w:ascii="Wingdings" w:hAnsi="Wingdings" w:eastAsia="Wingdings"/>
          <w:w w:val="115"/>
          <w:sz w:val="44"/>
          <w:u w:val="thick"/>
        </w:rPr>
        <w:t></w:t>
      </w:r>
      <w:r>
        <w:rPr>
          <w:b/>
          <w:w w:val="105"/>
          <w:sz w:val="30"/>
          <w:u w:val="thick"/>
        </w:rPr>
        <w:t>保险金的申请</w:t>
      </w:r>
      <w:r>
        <w:rPr>
          <w:b/>
          <w:sz w:val="30"/>
          <w:u w:val="thick"/>
        </w:rPr>
        <w:tab/>
      </w:r>
    </w:p>
    <w:p>
      <w:pPr>
        <w:pStyle w:val="BodyText"/>
        <w:rPr>
          <w:b/>
          <w:sz w:val="20"/>
        </w:rPr>
      </w:pPr>
    </w:p>
    <w:p>
      <w:pPr>
        <w:pStyle w:val="BodyText"/>
        <w:spacing w:before="6"/>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31"/>
        <w:gridCol w:w="8516"/>
      </w:tblGrid>
      <w:tr>
        <w:trPr>
          <w:trHeight w:val="489" w:hRule="atLeast"/>
        </w:trPr>
        <w:tc>
          <w:tcPr>
            <w:tcW w:w="687" w:type="dxa"/>
          </w:tcPr>
          <w:p>
            <w:pPr>
              <w:pStyle w:val="TableParagraph"/>
              <w:spacing w:line="221" w:lineRule="exact"/>
              <w:ind w:left="180" w:right="134"/>
              <w:jc w:val="center"/>
              <w:rPr>
                <w:b/>
                <w:sz w:val="22"/>
              </w:rPr>
            </w:pPr>
            <w:r>
              <w:rPr>
                <w:b/>
                <w:sz w:val="22"/>
              </w:rPr>
              <w:t>3.1</w:t>
            </w:r>
          </w:p>
        </w:tc>
        <w:tc>
          <w:tcPr>
            <w:tcW w:w="1631" w:type="dxa"/>
          </w:tcPr>
          <w:p>
            <w:pPr>
              <w:pStyle w:val="TableParagraph"/>
              <w:spacing w:line="221" w:lineRule="exact"/>
              <w:ind w:left="178"/>
              <w:rPr>
                <w:b/>
                <w:sz w:val="22"/>
              </w:rPr>
            </w:pPr>
            <w:r>
              <w:rPr>
                <w:b/>
                <w:w w:val="95"/>
                <w:sz w:val="22"/>
              </w:rPr>
              <w:t>受益人</w:t>
            </w:r>
          </w:p>
        </w:tc>
        <w:tc>
          <w:tcPr>
            <w:tcW w:w="8516" w:type="dxa"/>
          </w:tcPr>
          <w:p>
            <w:pPr>
              <w:pStyle w:val="TableParagraph"/>
              <w:spacing w:line="221" w:lineRule="exact"/>
              <w:ind w:left="152"/>
              <w:rPr>
                <w:sz w:val="22"/>
              </w:rPr>
            </w:pPr>
            <w:r>
              <w:rPr>
                <w:sz w:val="22"/>
              </w:rPr>
              <w:t>除另有约定外，重大疾病保险金的受益人为被保险人本人。</w:t>
            </w:r>
          </w:p>
        </w:tc>
      </w:tr>
      <w:tr>
        <w:trPr>
          <w:trHeight w:val="2011" w:hRule="atLeast"/>
        </w:trPr>
        <w:tc>
          <w:tcPr>
            <w:tcW w:w="687" w:type="dxa"/>
          </w:tcPr>
          <w:p>
            <w:pPr>
              <w:pStyle w:val="TableParagraph"/>
              <w:spacing w:before="5"/>
              <w:rPr>
                <w:b/>
                <w:sz w:val="15"/>
              </w:rPr>
            </w:pPr>
          </w:p>
          <w:p>
            <w:pPr>
              <w:pStyle w:val="TableParagraph"/>
              <w:ind w:left="180" w:right="134"/>
              <w:jc w:val="center"/>
              <w:rPr>
                <w:b/>
                <w:sz w:val="22"/>
              </w:rPr>
            </w:pPr>
            <w:r>
              <w:rPr>
                <w:b/>
                <w:sz w:val="22"/>
              </w:rPr>
              <w:t>3.2</w:t>
            </w:r>
          </w:p>
        </w:tc>
        <w:tc>
          <w:tcPr>
            <w:tcW w:w="1631" w:type="dxa"/>
          </w:tcPr>
          <w:p>
            <w:pPr>
              <w:pStyle w:val="TableParagraph"/>
              <w:spacing w:before="5"/>
              <w:rPr>
                <w:b/>
                <w:sz w:val="15"/>
              </w:rPr>
            </w:pPr>
          </w:p>
          <w:p>
            <w:pPr>
              <w:pStyle w:val="TableParagraph"/>
              <w:ind w:left="154"/>
              <w:rPr>
                <w:b/>
                <w:sz w:val="22"/>
              </w:rPr>
            </w:pPr>
            <w:r>
              <w:rPr>
                <w:b/>
                <w:w w:val="95"/>
                <w:sz w:val="22"/>
              </w:rPr>
              <w:t>保险事故通知</w:t>
            </w:r>
          </w:p>
        </w:tc>
        <w:tc>
          <w:tcPr>
            <w:tcW w:w="8516" w:type="dxa"/>
          </w:tcPr>
          <w:p>
            <w:pPr>
              <w:pStyle w:val="TableParagraph"/>
              <w:spacing w:before="5"/>
              <w:rPr>
                <w:b/>
                <w:sz w:val="15"/>
              </w:rPr>
            </w:pPr>
          </w:p>
          <w:p>
            <w:pPr>
              <w:pStyle w:val="TableParagraph"/>
              <w:ind w:left="152"/>
              <w:rPr>
                <w:sz w:val="22"/>
              </w:rPr>
            </w:pPr>
            <w:r>
              <w:rPr>
                <w:sz w:val="22"/>
              </w:rPr>
              <w:t>您或受益人在知道</w:t>
            </w:r>
            <w:r>
              <w:rPr>
                <w:b/>
                <w:sz w:val="22"/>
              </w:rPr>
              <w:t>保险事故</w:t>
            </w:r>
            <w:r>
              <w:rPr>
                <w:sz w:val="22"/>
              </w:rPr>
              <w:t>发生后应当在10日内通知我们。</w:t>
            </w:r>
          </w:p>
          <w:p>
            <w:pPr>
              <w:pStyle w:val="TableParagraph"/>
              <w:spacing w:line="316" w:lineRule="auto" w:before="93"/>
              <w:ind w:left="152" w:right="197"/>
              <w:jc w:val="both"/>
              <w:rPr>
                <w:sz w:val="22"/>
              </w:rPr>
            </w:pPr>
            <w:r>
              <w:rPr>
                <w:sz w:val="22"/>
                <w:shd w:fill="D9D9D9" w:color="auto" w:val="clear"/>
              </w:rPr>
              <w:t>如果您或受益人故意或者因重大过失未及时通知，致使保险事故的性质、原因、损失程度等难以确定的，我们对无法确定的部分，不承担给付保险金的责任</w:t>
            </w:r>
            <w:r>
              <w:rPr>
                <w:rFonts w:ascii="黑体" w:eastAsia="黑体" w:hint="eastAsia"/>
                <w:sz w:val="22"/>
                <w:shd w:fill="D9D9D9" w:color="auto" w:val="clear"/>
              </w:rPr>
              <w:t>，</w:t>
            </w:r>
            <w:r>
              <w:rPr>
                <w:sz w:val="22"/>
              </w:rPr>
              <w:t>但我们通过其他途径已经及时知道或者应当及时知道保险事故发生或者虽未及时通知但不影响我</w:t>
            </w:r>
          </w:p>
          <w:p>
            <w:pPr>
              <w:pStyle w:val="TableParagraph"/>
              <w:spacing w:line="268" w:lineRule="exact" w:before="23"/>
              <w:ind w:left="152"/>
              <w:jc w:val="both"/>
              <w:rPr>
                <w:sz w:val="22"/>
              </w:rPr>
            </w:pPr>
            <w:r>
              <w:rPr>
                <w:sz w:val="22"/>
              </w:rPr>
              <w:t>们确定保险事故的性质、原因、损失程度的除外。</w:t>
            </w:r>
          </w:p>
        </w:tc>
      </w:tr>
    </w:tbl>
    <w:p>
      <w:pPr>
        <w:spacing w:after="0" w:line="268" w:lineRule="exact"/>
        <w:jc w:val="both"/>
        <w:rPr>
          <w:sz w:val="22"/>
        </w:rPr>
        <w:sectPr>
          <w:type w:val="continuous"/>
          <w:pgSz w:w="11910" w:h="16840"/>
          <w:pgMar w:top="620" w:bottom="500" w:left="420" w:right="420"/>
        </w:sectPr>
      </w:pPr>
    </w:p>
    <w:p>
      <w:pPr>
        <w:pStyle w:val="BodyText"/>
        <w:rPr>
          <w:b/>
          <w:sz w:val="20"/>
        </w:rPr>
      </w:pPr>
    </w:p>
    <w:p>
      <w:pPr>
        <w:pStyle w:val="BodyText"/>
        <w:rPr>
          <w:b/>
          <w:sz w:val="20"/>
        </w:rPr>
      </w:pPr>
    </w:p>
    <w:p>
      <w:pPr>
        <w:pStyle w:val="BodyText"/>
        <w:spacing w:before="3"/>
        <w:rPr>
          <w:b/>
          <w:sz w:val="1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631"/>
        <w:gridCol w:w="8519"/>
      </w:tblGrid>
      <w:tr>
        <w:trPr>
          <w:trHeight w:val="474" w:hRule="atLeast"/>
        </w:trPr>
        <w:tc>
          <w:tcPr>
            <w:tcW w:w="699" w:type="dxa"/>
          </w:tcPr>
          <w:p>
            <w:pPr>
              <w:pStyle w:val="TableParagraph"/>
              <w:spacing w:line="221" w:lineRule="exact"/>
              <w:ind w:left="180" w:right="146"/>
              <w:jc w:val="center"/>
              <w:rPr>
                <w:b/>
                <w:sz w:val="22"/>
              </w:rPr>
            </w:pPr>
            <w:r>
              <w:rPr>
                <w:b/>
                <w:sz w:val="22"/>
              </w:rPr>
              <w:t>3.3</w:t>
            </w:r>
          </w:p>
        </w:tc>
        <w:tc>
          <w:tcPr>
            <w:tcW w:w="1631" w:type="dxa"/>
          </w:tcPr>
          <w:p>
            <w:pPr>
              <w:pStyle w:val="TableParagraph"/>
              <w:spacing w:line="221" w:lineRule="exact"/>
              <w:ind w:left="166"/>
              <w:rPr>
                <w:b/>
                <w:sz w:val="22"/>
              </w:rPr>
            </w:pPr>
            <w:r>
              <w:rPr>
                <w:b/>
                <w:w w:val="95"/>
                <w:sz w:val="22"/>
              </w:rPr>
              <w:t>保险金申请</w:t>
            </w:r>
          </w:p>
        </w:tc>
        <w:tc>
          <w:tcPr>
            <w:tcW w:w="8519" w:type="dxa"/>
          </w:tcPr>
          <w:p>
            <w:pPr>
              <w:pStyle w:val="TableParagraph"/>
              <w:spacing w:line="221" w:lineRule="exact"/>
              <w:ind w:left="140"/>
              <w:rPr>
                <w:sz w:val="22"/>
              </w:rPr>
            </w:pPr>
            <w:r>
              <w:rPr>
                <w:sz w:val="22"/>
              </w:rPr>
              <w:t>在申请保险金时，请按照下列方式办理：</w:t>
            </w:r>
          </w:p>
        </w:tc>
      </w:tr>
      <w:tr>
        <w:trPr>
          <w:trHeight w:val="3056" w:hRule="atLeast"/>
        </w:trPr>
        <w:tc>
          <w:tcPr>
            <w:tcW w:w="699" w:type="dxa"/>
          </w:tcPr>
          <w:p>
            <w:pPr>
              <w:pStyle w:val="TableParagraph"/>
              <w:rPr>
                <w:rFonts w:ascii="Times New Roman"/>
                <w:sz w:val="22"/>
              </w:rPr>
            </w:pPr>
          </w:p>
        </w:tc>
        <w:tc>
          <w:tcPr>
            <w:tcW w:w="1631" w:type="dxa"/>
          </w:tcPr>
          <w:p>
            <w:pPr>
              <w:pStyle w:val="TableParagraph"/>
              <w:spacing w:before="154"/>
              <w:ind w:left="166" w:right="137"/>
              <w:rPr>
                <w:rFonts w:ascii="微软雅黑" w:eastAsia="微软雅黑" w:hint="eastAsia"/>
                <w:b/>
                <w:sz w:val="22"/>
              </w:rPr>
            </w:pPr>
            <w:r>
              <w:rPr>
                <w:rFonts w:ascii="微软雅黑" w:eastAsia="微软雅黑" w:hint="eastAsia"/>
                <w:b/>
                <w:sz w:val="22"/>
              </w:rPr>
              <w:t>重大疾病保险金的申请</w:t>
            </w:r>
          </w:p>
        </w:tc>
        <w:tc>
          <w:tcPr>
            <w:tcW w:w="8519" w:type="dxa"/>
          </w:tcPr>
          <w:p>
            <w:pPr>
              <w:pStyle w:val="TableParagraph"/>
              <w:spacing w:before="9"/>
              <w:rPr>
                <w:b/>
                <w:sz w:val="16"/>
              </w:rPr>
            </w:pPr>
          </w:p>
          <w:p>
            <w:pPr>
              <w:pStyle w:val="TableParagraph"/>
              <w:spacing w:line="316" w:lineRule="auto" w:before="1"/>
              <w:ind w:left="140" w:right="254"/>
              <w:rPr>
                <w:sz w:val="22"/>
              </w:rPr>
            </w:pPr>
            <w:r>
              <w:rPr>
                <w:sz w:val="22"/>
              </w:rPr>
              <w:t>在申请重大疾病保险金时，申请人须填写保险金给付申请书，并须提供下列证明和资料：</w:t>
            </w:r>
          </w:p>
          <w:p>
            <w:pPr>
              <w:pStyle w:val="TableParagraph"/>
              <w:numPr>
                <w:ilvl w:val="0"/>
                <w:numId w:val="6"/>
              </w:numPr>
              <w:tabs>
                <w:tab w:pos="561" w:val="left" w:leader="none"/>
              </w:tabs>
              <w:spacing w:line="240" w:lineRule="auto" w:before="21" w:after="0"/>
              <w:ind w:left="560" w:right="0" w:hanging="420"/>
              <w:jc w:val="left"/>
              <w:rPr>
                <w:sz w:val="22"/>
              </w:rPr>
            </w:pPr>
            <w:r>
              <w:rPr>
                <w:spacing w:val="-1"/>
                <w:sz w:val="22"/>
              </w:rPr>
              <w:t>保险合同；</w:t>
            </w:r>
          </w:p>
          <w:p>
            <w:pPr>
              <w:pStyle w:val="TableParagraph"/>
              <w:numPr>
                <w:ilvl w:val="0"/>
                <w:numId w:val="6"/>
              </w:numPr>
              <w:tabs>
                <w:tab w:pos="561" w:val="left" w:leader="none"/>
              </w:tabs>
              <w:spacing w:line="240" w:lineRule="auto" w:before="93" w:after="0"/>
              <w:ind w:left="560" w:right="0" w:hanging="420"/>
              <w:jc w:val="left"/>
              <w:rPr>
                <w:sz w:val="22"/>
              </w:rPr>
            </w:pPr>
            <w:r>
              <w:rPr>
                <w:spacing w:val="-3"/>
                <w:sz w:val="22"/>
              </w:rPr>
              <w:t>受益人或其他有权领取保险金的人的有效身份证件；</w:t>
            </w:r>
          </w:p>
          <w:p>
            <w:pPr>
              <w:pStyle w:val="TableParagraph"/>
              <w:numPr>
                <w:ilvl w:val="0"/>
                <w:numId w:val="6"/>
              </w:numPr>
              <w:tabs>
                <w:tab w:pos="561" w:val="left" w:leader="none"/>
              </w:tabs>
              <w:spacing w:line="316" w:lineRule="auto" w:before="90" w:after="0"/>
              <w:ind w:left="560" w:right="211" w:hanging="420"/>
              <w:jc w:val="left"/>
              <w:rPr>
                <w:sz w:val="22"/>
              </w:rPr>
            </w:pPr>
            <w:r>
              <w:rPr>
                <w:sz w:val="22"/>
              </w:rPr>
              <w:t>医院专科医生出具的附有病理显微镜检查、血液检验及其他科学方法检验报告的</w:t>
            </w:r>
            <w:r>
              <w:rPr>
                <w:spacing w:val="-3"/>
                <w:sz w:val="22"/>
              </w:rPr>
              <w:t>疾病诊断证明书，若接受外科手术者，还需提供外科手术证明文件；</w:t>
            </w:r>
          </w:p>
          <w:p>
            <w:pPr>
              <w:pStyle w:val="TableParagraph"/>
              <w:numPr>
                <w:ilvl w:val="0"/>
                <w:numId w:val="6"/>
              </w:numPr>
              <w:tabs>
                <w:tab w:pos="561" w:val="left" w:leader="none"/>
              </w:tabs>
              <w:spacing w:line="240" w:lineRule="auto" w:before="22" w:after="0"/>
              <w:ind w:left="560" w:right="0" w:hanging="420"/>
              <w:jc w:val="left"/>
              <w:rPr>
                <w:sz w:val="22"/>
              </w:rPr>
            </w:pPr>
            <w:r>
              <w:rPr>
                <w:spacing w:val="-3"/>
                <w:sz w:val="22"/>
              </w:rPr>
              <w:t>所能提供的与确认保险事故的性质、原因等有关的其它证明和资料。</w:t>
            </w:r>
          </w:p>
        </w:tc>
      </w:tr>
      <w:tr>
        <w:trPr>
          <w:trHeight w:val="1520" w:hRule="atLeast"/>
        </w:trPr>
        <w:tc>
          <w:tcPr>
            <w:tcW w:w="699" w:type="dxa"/>
          </w:tcPr>
          <w:p>
            <w:pPr>
              <w:pStyle w:val="TableParagraph"/>
              <w:rPr>
                <w:rFonts w:ascii="Times New Roman"/>
                <w:sz w:val="22"/>
              </w:rPr>
            </w:pPr>
          </w:p>
        </w:tc>
        <w:tc>
          <w:tcPr>
            <w:tcW w:w="1631" w:type="dxa"/>
          </w:tcPr>
          <w:p>
            <w:pPr>
              <w:pStyle w:val="TableParagraph"/>
              <w:rPr>
                <w:rFonts w:ascii="Times New Roman"/>
                <w:sz w:val="22"/>
              </w:rPr>
            </w:pPr>
          </w:p>
        </w:tc>
        <w:tc>
          <w:tcPr>
            <w:tcW w:w="8519" w:type="dxa"/>
          </w:tcPr>
          <w:p>
            <w:pPr>
              <w:pStyle w:val="TableParagraph"/>
              <w:spacing w:before="5"/>
              <w:rPr>
                <w:b/>
                <w:sz w:val="15"/>
              </w:rPr>
            </w:pPr>
          </w:p>
          <w:p>
            <w:pPr>
              <w:pStyle w:val="TableParagraph"/>
              <w:spacing w:line="319" w:lineRule="auto"/>
              <w:ind w:left="140" w:right="213"/>
              <w:rPr>
                <w:sz w:val="22"/>
              </w:rPr>
            </w:pPr>
            <w:r>
              <w:rPr>
                <w:sz w:val="22"/>
              </w:rPr>
              <w:t>受益人申请重大疾病保险金时，我们若有疑义，我们可以委托相关鉴定机构对被保险人的身体予以鉴定，其鉴定费用由我们负担。</w:t>
            </w:r>
          </w:p>
          <w:p>
            <w:pPr>
              <w:pStyle w:val="TableParagraph"/>
              <w:spacing w:before="18"/>
              <w:ind w:left="140"/>
              <w:rPr>
                <w:sz w:val="22"/>
              </w:rPr>
            </w:pPr>
            <w:r>
              <w:rPr>
                <w:sz w:val="22"/>
              </w:rPr>
              <w:t>以上证明和资料不完整的，我们将及时一次性通知申请人补充提供有关证明和资料。</w:t>
            </w:r>
          </w:p>
        </w:tc>
      </w:tr>
      <w:tr>
        <w:trPr>
          <w:trHeight w:val="4939" w:hRule="atLeast"/>
        </w:trPr>
        <w:tc>
          <w:tcPr>
            <w:tcW w:w="699" w:type="dxa"/>
          </w:tcPr>
          <w:p>
            <w:pPr>
              <w:pStyle w:val="TableParagraph"/>
              <w:spacing w:before="6"/>
              <w:rPr>
                <w:b/>
                <w:sz w:val="15"/>
              </w:rPr>
            </w:pPr>
          </w:p>
          <w:p>
            <w:pPr>
              <w:pStyle w:val="TableParagraph"/>
              <w:ind w:left="180" w:right="146"/>
              <w:jc w:val="center"/>
              <w:rPr>
                <w:b/>
                <w:sz w:val="22"/>
              </w:rPr>
            </w:pPr>
            <w:r>
              <w:rPr>
                <w:b/>
                <w:sz w:val="22"/>
              </w:rPr>
              <w:t>3.4</w:t>
            </w:r>
          </w:p>
        </w:tc>
        <w:tc>
          <w:tcPr>
            <w:tcW w:w="1631" w:type="dxa"/>
          </w:tcPr>
          <w:p>
            <w:pPr>
              <w:pStyle w:val="TableParagraph"/>
              <w:spacing w:before="6"/>
              <w:rPr>
                <w:b/>
                <w:sz w:val="15"/>
              </w:rPr>
            </w:pPr>
          </w:p>
          <w:p>
            <w:pPr>
              <w:pStyle w:val="TableParagraph"/>
              <w:ind w:left="166"/>
              <w:rPr>
                <w:b/>
                <w:sz w:val="22"/>
              </w:rPr>
            </w:pPr>
            <w:r>
              <w:rPr>
                <w:b/>
                <w:w w:val="95"/>
                <w:sz w:val="22"/>
              </w:rPr>
              <w:t>保险金给付</w:t>
            </w:r>
          </w:p>
        </w:tc>
        <w:tc>
          <w:tcPr>
            <w:tcW w:w="8519" w:type="dxa"/>
          </w:tcPr>
          <w:p>
            <w:pPr>
              <w:pStyle w:val="TableParagraph"/>
              <w:spacing w:before="6"/>
              <w:rPr>
                <w:b/>
                <w:sz w:val="15"/>
              </w:rPr>
            </w:pPr>
          </w:p>
          <w:p>
            <w:pPr>
              <w:pStyle w:val="TableParagraph"/>
              <w:spacing w:line="316" w:lineRule="auto"/>
              <w:ind w:left="140" w:right="197"/>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3"/>
              <w:ind w:left="140" w:right="211"/>
              <w:jc w:val="both"/>
              <w:rPr>
                <w:sz w:val="22"/>
              </w:rPr>
            </w:pPr>
            <w:r>
              <w:rPr>
                <w:sz w:val="22"/>
              </w:rPr>
              <w:t>我们未及时履行前款规定义务的，除支付保险金外，应当赔偿受益人因此受到的损失。</w:t>
            </w:r>
          </w:p>
          <w:p>
            <w:pPr>
              <w:pStyle w:val="TableParagraph"/>
              <w:spacing w:line="316" w:lineRule="auto" w:before="21"/>
              <w:ind w:left="140" w:right="210"/>
              <w:rPr>
                <w:sz w:val="22"/>
              </w:rPr>
            </w:pPr>
            <w:r>
              <w:rPr>
                <w:spacing w:val="-3"/>
                <w:sz w:val="22"/>
              </w:rPr>
              <w:t>赔偿损失范围和损失计算方法：按赔偿当时最近一次中国人民银行公布的金融机构人民币一年期定期存款基准利率以单利方式计算并支付逾期给付保险金的利息损失。 </w:t>
            </w:r>
            <w:r>
              <w:rPr>
                <w:sz w:val="22"/>
              </w:rPr>
              <w:t>对不属于保险责任的，我们自作出核定之日起3日内向受益人发出拒绝给付保险金通</w:t>
            </w:r>
            <w:r>
              <w:rPr>
                <w:spacing w:val="-2"/>
                <w:sz w:val="22"/>
              </w:rPr>
              <w:t>知书并说明理由。</w:t>
            </w:r>
          </w:p>
          <w:p>
            <w:pPr>
              <w:pStyle w:val="TableParagraph"/>
              <w:spacing w:line="316" w:lineRule="auto" w:before="23"/>
              <w:ind w:left="140" w:right="212"/>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0" w:hRule="atLeast"/>
        </w:trPr>
        <w:tc>
          <w:tcPr>
            <w:tcW w:w="699" w:type="dxa"/>
          </w:tcPr>
          <w:p>
            <w:pPr>
              <w:pStyle w:val="TableParagraph"/>
              <w:spacing w:before="6"/>
              <w:rPr>
                <w:b/>
                <w:sz w:val="15"/>
              </w:rPr>
            </w:pPr>
          </w:p>
          <w:p>
            <w:pPr>
              <w:pStyle w:val="TableParagraph"/>
              <w:ind w:left="180" w:right="146"/>
              <w:jc w:val="center"/>
              <w:rPr>
                <w:b/>
                <w:sz w:val="22"/>
              </w:rPr>
            </w:pPr>
            <w:r>
              <w:rPr>
                <w:b/>
                <w:sz w:val="22"/>
              </w:rPr>
              <w:t>3.5</w:t>
            </w:r>
          </w:p>
        </w:tc>
        <w:tc>
          <w:tcPr>
            <w:tcW w:w="1631" w:type="dxa"/>
          </w:tcPr>
          <w:p>
            <w:pPr>
              <w:pStyle w:val="TableParagraph"/>
              <w:spacing w:before="6"/>
              <w:rPr>
                <w:b/>
                <w:sz w:val="15"/>
              </w:rPr>
            </w:pPr>
          </w:p>
          <w:p>
            <w:pPr>
              <w:pStyle w:val="TableParagraph"/>
              <w:ind w:left="166"/>
              <w:rPr>
                <w:b/>
                <w:sz w:val="22"/>
              </w:rPr>
            </w:pPr>
            <w:r>
              <w:rPr>
                <w:b/>
                <w:w w:val="95"/>
                <w:sz w:val="22"/>
              </w:rPr>
              <w:t>诉讼时效</w:t>
            </w:r>
          </w:p>
        </w:tc>
        <w:tc>
          <w:tcPr>
            <w:tcW w:w="8519" w:type="dxa"/>
          </w:tcPr>
          <w:p>
            <w:pPr>
              <w:pStyle w:val="TableParagraph"/>
              <w:spacing w:line="380" w:lineRule="atLeast" w:before="110"/>
              <w:ind w:left="140" w:right="210"/>
              <w:rPr>
                <w:sz w:val="22"/>
              </w:rPr>
            </w:pPr>
            <w:r>
              <w:rPr>
                <w:sz w:val="22"/>
              </w:rPr>
              <w:t>受益人向我们请求给付保险金的诉讼时效期间为2年，自其知道或者应当知道保险事故发生之日起计算。</w:t>
            </w:r>
          </w:p>
        </w:tc>
      </w:tr>
    </w:tbl>
    <w:p>
      <w:pPr>
        <w:pStyle w:val="BodyText"/>
        <w:spacing w:before="4"/>
        <w:rPr>
          <w:b/>
          <w:sz w:val="23"/>
        </w:rPr>
      </w:pPr>
    </w:p>
    <w:p>
      <w:pPr>
        <w:tabs>
          <w:tab w:pos="10780" w:val="left" w:leader="none"/>
        </w:tabs>
        <w:spacing w:before="75"/>
        <w:ind w:left="287" w:right="0" w:firstLine="0"/>
        <w:jc w:val="left"/>
        <w:rPr>
          <w:b/>
          <w:sz w:val="30"/>
        </w:rPr>
      </w:pPr>
      <w:r>
        <w:rPr>
          <w:rFonts w:ascii="Times New Roman" w:hAnsi="Times New Roman" w:eastAsia="Times New Roman"/>
          <w:spacing w:val="-108"/>
          <w:w w:val="99"/>
          <w:sz w:val="44"/>
          <w:u w:val="thick"/>
        </w:rPr>
        <w:t> </w:t>
      </w:r>
      <w:r>
        <w:rPr>
          <w:rFonts w:ascii="Wingdings" w:hAnsi="Wingdings" w:eastAsia="Wingdings"/>
          <w:w w:val="95"/>
          <w:sz w:val="44"/>
          <w:u w:val="thick"/>
        </w:rPr>
        <w:t></w:t>
      </w:r>
      <w:r>
        <w:rPr>
          <w:b/>
          <w:w w:val="95"/>
          <w:sz w:val="30"/>
          <w:u w:val="thick"/>
        </w:rPr>
        <w:t>保险费的支付</w:t>
      </w:r>
      <w:r>
        <w:rPr>
          <w:b/>
          <w:sz w:val="30"/>
          <w:u w:val="thick"/>
        </w:rPr>
        <w:tab/>
      </w:r>
    </w:p>
    <w:p>
      <w:pPr>
        <w:pStyle w:val="BodyText"/>
        <w:rPr>
          <w:b/>
          <w:sz w:val="20"/>
        </w:rPr>
      </w:pPr>
    </w:p>
    <w:p>
      <w:pPr>
        <w:pStyle w:val="BodyText"/>
        <w:spacing w:before="4" w:after="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631"/>
        <w:gridCol w:w="8503"/>
      </w:tblGrid>
      <w:tr>
        <w:trPr>
          <w:trHeight w:val="1739" w:hRule="atLeast"/>
        </w:trPr>
        <w:tc>
          <w:tcPr>
            <w:tcW w:w="699" w:type="dxa"/>
          </w:tcPr>
          <w:p>
            <w:pPr>
              <w:pStyle w:val="TableParagraph"/>
              <w:spacing w:line="221" w:lineRule="exact"/>
              <w:ind w:left="200"/>
              <w:rPr>
                <w:b/>
                <w:sz w:val="22"/>
              </w:rPr>
            </w:pPr>
            <w:r>
              <w:rPr>
                <w:b/>
                <w:sz w:val="22"/>
              </w:rPr>
              <w:t>4.1</w:t>
            </w:r>
          </w:p>
        </w:tc>
        <w:tc>
          <w:tcPr>
            <w:tcW w:w="1631" w:type="dxa"/>
          </w:tcPr>
          <w:p>
            <w:pPr>
              <w:pStyle w:val="TableParagraph"/>
              <w:spacing w:line="221" w:lineRule="exact"/>
              <w:ind w:left="166"/>
              <w:rPr>
                <w:b/>
                <w:sz w:val="22"/>
              </w:rPr>
            </w:pPr>
            <w:r>
              <w:rPr>
                <w:b/>
                <w:w w:val="95"/>
                <w:sz w:val="22"/>
              </w:rPr>
              <w:t>保险费的支付</w:t>
            </w:r>
          </w:p>
        </w:tc>
        <w:tc>
          <w:tcPr>
            <w:tcW w:w="8503" w:type="dxa"/>
          </w:tcPr>
          <w:p>
            <w:pPr>
              <w:pStyle w:val="TableParagraph"/>
              <w:spacing w:line="221" w:lineRule="exact"/>
              <w:ind w:left="140"/>
              <w:rPr>
                <w:sz w:val="22"/>
              </w:rPr>
            </w:pPr>
            <w:r>
              <w:rPr>
                <w:sz w:val="22"/>
              </w:rPr>
              <w:t>本附加合同保险费支付方式和支付期限由您和我们约定并在保险单上载明。</w:t>
            </w:r>
          </w:p>
          <w:p>
            <w:pPr>
              <w:pStyle w:val="TableParagraph"/>
              <w:spacing w:line="319" w:lineRule="auto" w:before="91"/>
              <w:ind w:left="140" w:right="197"/>
              <w:rPr>
                <w:sz w:val="22"/>
              </w:rPr>
            </w:pPr>
            <w:r>
              <w:rPr>
                <w:sz w:val="22"/>
              </w:rPr>
              <w:t>分期支付保险费的，在支付首期保险费后，您应当按照约定，在每个保险费约定支付日支付其余各期的保险费。</w:t>
            </w:r>
          </w:p>
          <w:p>
            <w:pPr>
              <w:pStyle w:val="TableParagraph"/>
              <w:spacing w:before="18"/>
              <w:ind w:left="140"/>
              <w:rPr>
                <w:sz w:val="22"/>
              </w:rPr>
            </w:pPr>
            <w:r>
              <w:rPr>
                <w:sz w:val="22"/>
              </w:rPr>
              <w:t>本附加合同的保险费应与主合同的保险费一起交付，不能单独交付。</w:t>
            </w:r>
          </w:p>
          <w:p>
            <w:pPr>
              <w:pStyle w:val="TableParagraph"/>
              <w:spacing w:line="268" w:lineRule="exact" w:before="91"/>
              <w:ind w:left="140"/>
              <w:rPr>
                <w:sz w:val="22"/>
              </w:rPr>
            </w:pPr>
            <w:r>
              <w:rPr>
                <w:sz w:val="22"/>
              </w:rPr>
              <w:t>本附加合同的保险费支付方式、支付期限及保险费约定支付日须与主合同一致。</w:t>
            </w:r>
          </w:p>
        </w:tc>
      </w:tr>
    </w:tbl>
    <w:p>
      <w:pPr>
        <w:spacing w:after="0" w:line="268" w:lineRule="exact"/>
        <w:rPr>
          <w:sz w:val="22"/>
        </w:rPr>
        <w:sectPr>
          <w:pgSz w:w="11910" w:h="16840"/>
          <w:pgMar w:header="426" w:footer="309" w:top="620" w:bottom="500" w:left="420" w:right="420"/>
        </w:sectPr>
      </w:pPr>
    </w:p>
    <w:p>
      <w:pPr>
        <w:pStyle w:val="BodyText"/>
        <w:spacing w:before="8"/>
        <w:rPr>
          <w:b/>
          <w:sz w:val="17"/>
        </w:rPr>
      </w:pPr>
    </w:p>
    <w:p>
      <w:pPr>
        <w:pStyle w:val="ListParagraph"/>
        <w:numPr>
          <w:ilvl w:val="1"/>
          <w:numId w:val="7"/>
        </w:numPr>
        <w:tabs>
          <w:tab w:pos="983" w:val="left" w:leader="none"/>
        </w:tabs>
        <w:spacing w:line="316" w:lineRule="auto" w:before="33" w:after="0"/>
        <w:ind w:left="2587" w:right="128" w:hanging="2271"/>
        <w:jc w:val="both"/>
        <w:rPr>
          <w:sz w:val="22"/>
        </w:rPr>
      </w:pPr>
      <w:r>
        <w:rPr>
          <w:b/>
          <w:spacing w:val="7"/>
          <w:sz w:val="22"/>
        </w:rPr>
        <w:t>宽限期       </w:t>
      </w:r>
      <w:r>
        <w:rPr>
          <w:spacing w:val="-3"/>
          <w:sz w:val="22"/>
        </w:rPr>
        <w:t>分期支付保险费的，您支付首期保险费后，除本附加合同另有约定外，如果您到期未支付保险费，自保险费约定支付日的次日零时起 </w:t>
      </w:r>
      <w:r>
        <w:rPr>
          <w:sz w:val="22"/>
        </w:rPr>
        <w:t>60 日为宽限期。宽限期内发生的保</w:t>
      </w:r>
      <w:r>
        <w:rPr>
          <w:spacing w:val="-3"/>
          <w:sz w:val="22"/>
        </w:rPr>
        <w:t>险事故，我们仍会承担保险责任，但在给付保险金时会扣减您欠交的保险费。</w:t>
      </w:r>
    </w:p>
    <w:p>
      <w:pPr>
        <w:pStyle w:val="BodyText"/>
        <w:spacing w:line="316" w:lineRule="auto" w:before="23"/>
        <w:ind w:left="2587" w:right="134"/>
      </w:pPr>
      <w:r>
        <w:rPr>
          <w:shd w:fill="D9D9D9" w:color="auto" w:val="clear"/>
        </w:rPr>
        <w:t>如果您宽限期结束之后仍未支付保险费，则本附加合同自宽限期满的次日零时起效力中止。</w:t>
      </w:r>
    </w:p>
    <w:p>
      <w:pPr>
        <w:pStyle w:val="BodyText"/>
        <w:spacing w:before="10"/>
        <w:rPr>
          <w:sz w:val="30"/>
        </w:rPr>
      </w:pPr>
    </w:p>
    <w:p>
      <w:pPr>
        <w:pStyle w:val="ListParagraph"/>
        <w:numPr>
          <w:ilvl w:val="1"/>
          <w:numId w:val="7"/>
        </w:numPr>
        <w:tabs>
          <w:tab w:pos="981" w:val="left" w:leader="none"/>
          <w:tab w:pos="983" w:val="left" w:leader="none"/>
          <w:tab w:pos="2587" w:val="left" w:leader="none"/>
        </w:tabs>
        <w:spacing w:line="240" w:lineRule="auto" w:before="0" w:after="0"/>
        <w:ind w:left="2587" w:right="0" w:hanging="2271"/>
        <w:jc w:val="left"/>
        <w:rPr>
          <w:sz w:val="22"/>
        </w:rPr>
      </w:pPr>
      <w:r>
        <w:rPr>
          <w:b/>
          <w:sz w:val="22"/>
        </w:rPr>
        <w:t>保险费率调整</w:t>
        <w:tab/>
      </w:r>
      <w:r>
        <w:rPr>
          <w:sz w:val="22"/>
        </w:rPr>
        <w:t>我们保</w:t>
      </w:r>
      <w:r>
        <w:rPr>
          <w:spacing w:val="-3"/>
          <w:sz w:val="22"/>
        </w:rPr>
        <w:t>留</w:t>
      </w:r>
      <w:r>
        <w:rPr>
          <w:sz w:val="22"/>
        </w:rPr>
        <w:t>提高</w:t>
      </w:r>
      <w:r>
        <w:rPr>
          <w:spacing w:val="-3"/>
          <w:sz w:val="22"/>
        </w:rPr>
        <w:t>或</w:t>
      </w:r>
      <w:r>
        <w:rPr>
          <w:sz w:val="22"/>
        </w:rPr>
        <w:t>降低</w:t>
      </w:r>
      <w:r>
        <w:rPr>
          <w:spacing w:val="-3"/>
          <w:sz w:val="22"/>
        </w:rPr>
        <w:t>保险</w:t>
      </w:r>
      <w:r>
        <w:rPr>
          <w:sz w:val="22"/>
        </w:rPr>
        <w:t>费率的</w:t>
      </w:r>
      <w:r>
        <w:rPr>
          <w:spacing w:val="-3"/>
          <w:sz w:val="22"/>
        </w:rPr>
        <w:t>权</w:t>
      </w:r>
      <w:r>
        <w:rPr>
          <w:sz w:val="22"/>
        </w:rPr>
        <w:t>利。</w:t>
      </w:r>
    </w:p>
    <w:p>
      <w:pPr>
        <w:pStyle w:val="BodyText"/>
        <w:spacing w:line="316" w:lineRule="auto" w:before="91"/>
        <w:ind w:left="2587" w:right="134"/>
      </w:pPr>
      <w:r>
        <w:rPr>
          <w:spacing w:val="-3"/>
        </w:rPr>
        <w:t>我们将根据本附加合同所用的重大疾病发生率与实际情况的偏差程度，决定保险费率是否调整。本保险的费率调整针对所有被保险人或同一投保年龄的所有被保险人。 我们进行保险费率调整并向保险监管机关备案后，您须按调整后的保险费率支付续期保险费。</w:t>
      </w:r>
    </w:p>
    <w:p>
      <w:pPr>
        <w:pStyle w:val="BodyText"/>
        <w:spacing w:before="6"/>
        <w:rPr>
          <w:sz w:val="23"/>
        </w:rPr>
      </w:pPr>
    </w:p>
    <w:p>
      <w:pPr>
        <w:tabs>
          <w:tab w:pos="10780" w:val="left" w:leader="none"/>
        </w:tabs>
        <w:spacing w:before="0"/>
        <w:ind w:left="287" w:right="0" w:firstLine="0"/>
        <w:jc w:val="left"/>
        <w:rPr>
          <w:b/>
          <w:sz w:val="30"/>
        </w:rPr>
      </w:pPr>
      <w:r>
        <w:rPr>
          <w:rFonts w:ascii="Times New Roman" w:hAnsi="Times New Roman" w:eastAsia="Times New Roman"/>
          <w:spacing w:val="-108"/>
          <w:w w:val="99"/>
          <w:sz w:val="44"/>
          <w:u w:val="thick"/>
        </w:rPr>
        <w:t> </w:t>
      </w:r>
      <w:r>
        <w:rPr>
          <w:rFonts w:ascii="Wingdings" w:hAnsi="Wingdings" w:eastAsia="Wingdings"/>
          <w:w w:val="95"/>
          <w:sz w:val="44"/>
          <w:u w:val="thick"/>
        </w:rPr>
        <w:t></w:t>
      </w:r>
      <w:r>
        <w:rPr>
          <w:b/>
          <w:w w:val="95"/>
          <w:sz w:val="30"/>
          <w:u w:val="thick"/>
        </w:rPr>
        <w:t>现金价值权益</w:t>
      </w:r>
      <w:r>
        <w:rPr>
          <w:b/>
          <w:sz w:val="30"/>
          <w:u w:val="thick"/>
        </w:rPr>
        <w:tab/>
      </w:r>
    </w:p>
    <w:p>
      <w:pPr>
        <w:pStyle w:val="BodyText"/>
        <w:rPr>
          <w:b/>
          <w:sz w:val="20"/>
        </w:rPr>
      </w:pPr>
    </w:p>
    <w:p>
      <w:pPr>
        <w:pStyle w:val="BodyText"/>
        <w:spacing w:before="10"/>
        <w:rPr>
          <w:b/>
          <w:sz w:val="13"/>
        </w:rPr>
      </w:pPr>
    </w:p>
    <w:p>
      <w:pPr>
        <w:pStyle w:val="ListParagraph"/>
        <w:numPr>
          <w:ilvl w:val="1"/>
          <w:numId w:val="8"/>
        </w:numPr>
        <w:tabs>
          <w:tab w:pos="974" w:val="left" w:leader="none"/>
          <w:tab w:pos="975" w:val="left" w:leader="none"/>
          <w:tab w:pos="2587" w:val="left" w:leader="none"/>
        </w:tabs>
        <w:spacing w:line="240" w:lineRule="auto" w:before="33" w:after="0"/>
        <w:ind w:left="2587" w:right="0" w:hanging="2271"/>
        <w:jc w:val="left"/>
        <w:rPr>
          <w:sz w:val="22"/>
        </w:rPr>
      </w:pPr>
      <w:r>
        <w:rPr>
          <w:b/>
          <w:sz w:val="22"/>
        </w:rPr>
        <w:t>现金价值</w:t>
        <w:tab/>
      </w:r>
      <w:r>
        <w:rPr>
          <w:sz w:val="22"/>
        </w:rPr>
        <w:t>本附加</w:t>
      </w:r>
      <w:r>
        <w:rPr>
          <w:spacing w:val="-3"/>
          <w:sz w:val="22"/>
        </w:rPr>
        <w:t>合</w:t>
      </w:r>
      <w:r>
        <w:rPr>
          <w:sz w:val="22"/>
        </w:rPr>
        <w:t>同保</w:t>
      </w:r>
      <w:r>
        <w:rPr>
          <w:spacing w:val="-3"/>
          <w:sz w:val="22"/>
        </w:rPr>
        <w:t>单</w:t>
      </w:r>
      <w:r>
        <w:rPr>
          <w:sz w:val="22"/>
        </w:rPr>
        <w:t>年度</w:t>
      </w:r>
      <w:r>
        <w:rPr>
          <w:spacing w:val="-3"/>
          <w:sz w:val="22"/>
        </w:rPr>
        <w:t>末的</w:t>
      </w:r>
      <w:r>
        <w:rPr>
          <w:sz w:val="22"/>
        </w:rPr>
        <w:t>现金价</w:t>
      </w:r>
      <w:r>
        <w:rPr>
          <w:spacing w:val="-3"/>
          <w:sz w:val="22"/>
        </w:rPr>
        <w:t>值</w:t>
      </w:r>
      <w:r>
        <w:rPr>
          <w:sz w:val="22"/>
        </w:rPr>
        <w:t>会在</w:t>
      </w:r>
      <w:r>
        <w:rPr>
          <w:spacing w:val="-3"/>
          <w:sz w:val="22"/>
        </w:rPr>
        <w:t>保</w:t>
      </w:r>
      <w:r>
        <w:rPr>
          <w:sz w:val="22"/>
        </w:rPr>
        <w:t>险合</w:t>
      </w:r>
      <w:r>
        <w:rPr>
          <w:spacing w:val="-3"/>
          <w:sz w:val="22"/>
        </w:rPr>
        <w:t>同上</w:t>
      </w:r>
      <w:r>
        <w:rPr>
          <w:sz w:val="22"/>
        </w:rPr>
        <w:t>载明。</w:t>
      </w:r>
    </w:p>
    <w:p>
      <w:pPr>
        <w:pStyle w:val="BodyText"/>
      </w:pPr>
    </w:p>
    <w:p>
      <w:pPr>
        <w:pStyle w:val="ListParagraph"/>
        <w:numPr>
          <w:ilvl w:val="1"/>
          <w:numId w:val="8"/>
        </w:numPr>
        <w:tabs>
          <w:tab w:pos="975" w:val="left" w:leader="none"/>
        </w:tabs>
        <w:spacing w:line="316" w:lineRule="auto" w:before="182" w:after="0"/>
        <w:ind w:left="2587" w:right="126" w:hanging="2271"/>
        <w:jc w:val="both"/>
        <w:rPr>
          <w:sz w:val="22"/>
        </w:rPr>
      </w:pPr>
      <w:r>
        <w:rPr>
          <w:b/>
          <w:spacing w:val="10"/>
          <w:sz w:val="22"/>
        </w:rPr>
        <w:t>保单贷款     </w:t>
      </w:r>
      <w:r>
        <w:rPr>
          <w:spacing w:val="-3"/>
          <w:sz w:val="22"/>
        </w:rPr>
        <w:t>在本附加合同有效期内，您可以向我们申请贷款，经我们审核同意后办理贷款。贷款</w:t>
      </w:r>
      <w:r>
        <w:rPr>
          <w:sz w:val="22"/>
        </w:rPr>
        <w:t>金额不得超过主合同及其附加合同现金价值扣除各项欠款后余额的80%，每次贷款期限最长不超过6个月，</w:t>
      </w:r>
      <w:r>
        <w:rPr>
          <w:b/>
          <w:spacing w:val="1"/>
          <w:sz w:val="22"/>
        </w:rPr>
        <w:t>保单贷款利率</w:t>
      </w:r>
      <w:r>
        <w:rPr>
          <w:sz w:val="22"/>
        </w:rPr>
        <w:t>按我们当时确定的利率执行。贷款本息在贷款到</w:t>
      </w:r>
      <w:r>
        <w:rPr>
          <w:spacing w:val="-3"/>
          <w:sz w:val="22"/>
        </w:rPr>
        <w:t>期时一并归还。若您到期未能足额偿还贷款本息，则您所欠的贷款本金及利息将作为新的贷款本金计息。</w:t>
      </w:r>
    </w:p>
    <w:p>
      <w:pPr>
        <w:pStyle w:val="BodyText"/>
        <w:spacing w:line="316" w:lineRule="auto" w:before="21"/>
        <w:ind w:left="2587" w:right="133"/>
      </w:pPr>
      <w:r>
        <w:rPr>
          <w:spacing w:val="-3"/>
          <w:shd w:fill="D9D9D9" w:color="auto" w:val="clear"/>
        </w:rPr>
        <w:t>自您没还清的贷款本金及利息加上其它各项欠款达到主合同及其附加合同现金价值的次日零时，主</w:t>
      </w:r>
      <w:r>
        <w:rPr>
          <w:spacing w:val="-221"/>
          <w:shd w:fill="D9D9D9" w:color="auto" w:val="clear"/>
        </w:rPr>
        <w:t>合</w:t>
      </w:r>
      <w:r>
        <w:rPr>
          <w:spacing w:val="-3"/>
          <w:shd w:fill="D9D9D9" w:color="auto" w:val="clear"/>
        </w:rPr>
        <w:t>同及附加合同效力中止。</w:t>
      </w:r>
    </w:p>
    <w:p>
      <w:pPr>
        <w:pStyle w:val="BodyText"/>
        <w:spacing w:before="4"/>
        <w:rPr>
          <w:sz w:val="20"/>
        </w:rPr>
      </w:pPr>
    </w:p>
    <w:p>
      <w:pPr>
        <w:spacing w:after="0"/>
        <w:rPr>
          <w:sz w:val="20"/>
        </w:rPr>
        <w:sectPr>
          <w:pgSz w:w="11910" w:h="16840"/>
          <w:pgMar w:header="426" w:footer="309" w:top="620" w:bottom="500" w:left="420" w:right="600"/>
        </w:sectPr>
      </w:pPr>
    </w:p>
    <w:p>
      <w:pPr>
        <w:pStyle w:val="Heading4"/>
        <w:numPr>
          <w:ilvl w:val="1"/>
          <w:numId w:val="8"/>
        </w:numPr>
        <w:tabs>
          <w:tab w:pos="974" w:val="left" w:leader="none"/>
          <w:tab w:pos="975" w:val="left" w:leader="none"/>
        </w:tabs>
        <w:spacing w:line="240" w:lineRule="auto" w:before="33" w:after="0"/>
        <w:ind w:left="2587" w:right="0" w:hanging="2271"/>
        <w:jc w:val="left"/>
        <w:rPr>
          <w:rFonts w:ascii="宋体" w:eastAsia="宋体" w:hint="eastAsia"/>
        </w:rPr>
      </w:pPr>
      <w:r>
        <w:rPr>
          <w:rFonts w:ascii="宋体" w:eastAsia="宋体" w:hint="eastAsia"/>
          <w:w w:val="95"/>
        </w:rPr>
        <w:t>保险费自动垫</w:t>
      </w:r>
    </w:p>
    <w:p>
      <w:pPr>
        <w:spacing w:before="90"/>
        <w:ind w:left="0" w:right="127" w:firstLine="0"/>
        <w:jc w:val="center"/>
        <w:rPr>
          <w:b/>
          <w:sz w:val="22"/>
        </w:rPr>
      </w:pPr>
      <w:r>
        <w:rPr>
          <w:b/>
          <w:w w:val="99"/>
          <w:sz w:val="22"/>
        </w:rPr>
        <w:t>交</w:t>
      </w:r>
    </w:p>
    <w:p>
      <w:pPr>
        <w:pStyle w:val="BodyText"/>
        <w:spacing w:line="316" w:lineRule="auto" w:before="33"/>
        <w:ind w:left="247" w:right="133"/>
        <w:jc w:val="both"/>
      </w:pPr>
      <w:r>
        <w:rPr/>
        <w:br w:type="column"/>
      </w:r>
      <w:r>
        <w:rPr/>
        <w:t>您可以选择保险费自动垫交功能，即如果您在宽限期结束时仍未交纳保险费，我们将以主合同及其附加合同的现金价值之和扣除您尚未偿还的各项欠款之后的余额自动垫交主合同及其附加合同到期应交的保险费，主合同及其附加合同继续有效。所垫交的保险费视同借款，借款利率按照保单贷款利率执行。</w:t>
      </w:r>
    </w:p>
    <w:p>
      <w:pPr>
        <w:pStyle w:val="BodyText"/>
        <w:spacing w:line="316" w:lineRule="auto" w:before="20"/>
        <w:ind w:left="247" w:right="132"/>
        <w:jc w:val="both"/>
      </w:pPr>
      <w:r>
        <w:rPr/>
        <w:t>当现金价值扣除各项欠款后的余额不足以垫交一期保险费的，我们将根据现金价值的余额计算主合同及其附加合同可以继续有效的天数，主合同及其附加合同在此期间继续有效。</w:t>
      </w:r>
      <w:r>
        <w:rPr>
          <w:shd w:fill="D9D9D9" w:color="auto" w:val="clear"/>
        </w:rPr>
        <w:t>当现金价值余额为零时，主合同及其附加合同效力中止。</w:t>
      </w:r>
    </w:p>
    <w:p>
      <w:pPr>
        <w:spacing w:after="0" w:line="316" w:lineRule="auto"/>
        <w:jc w:val="both"/>
        <w:sectPr>
          <w:type w:val="continuous"/>
          <w:pgSz w:w="11910" w:h="16840"/>
          <w:pgMar w:top="620" w:bottom="500" w:left="420" w:right="600"/>
          <w:cols w:num="2" w:equalWidth="0">
            <w:col w:w="2300" w:space="40"/>
            <w:col w:w="8550"/>
          </w:cols>
        </w:sectPr>
      </w:pPr>
    </w:p>
    <w:p>
      <w:pPr>
        <w:pStyle w:val="BodyText"/>
        <w:spacing w:before="2"/>
        <w:rPr>
          <w:sz w:val="20"/>
        </w:rPr>
      </w:pPr>
    </w:p>
    <w:p>
      <w:pPr>
        <w:spacing w:after="0"/>
        <w:rPr>
          <w:sz w:val="20"/>
        </w:rPr>
        <w:sectPr>
          <w:type w:val="continuous"/>
          <w:pgSz w:w="11910" w:h="16840"/>
          <w:pgMar w:top="620" w:bottom="500" w:left="420" w:right="600"/>
        </w:sectPr>
      </w:pPr>
    </w:p>
    <w:p>
      <w:pPr>
        <w:pStyle w:val="Heading4"/>
        <w:numPr>
          <w:ilvl w:val="1"/>
          <w:numId w:val="8"/>
        </w:numPr>
        <w:tabs>
          <w:tab w:pos="974" w:val="left" w:leader="none"/>
          <w:tab w:pos="975" w:val="left" w:leader="none"/>
        </w:tabs>
        <w:spacing w:line="240" w:lineRule="auto" w:before="33" w:after="0"/>
        <w:ind w:left="2587" w:right="0" w:hanging="2271"/>
        <w:jc w:val="left"/>
        <w:rPr>
          <w:rFonts w:ascii="宋体" w:eastAsia="宋体" w:hint="eastAsia"/>
        </w:rPr>
      </w:pPr>
      <w:r>
        <w:rPr>
          <w:rFonts w:ascii="宋体" w:eastAsia="宋体" w:hint="eastAsia"/>
          <w:w w:val="95"/>
        </w:rPr>
        <w:t>减少基本保险</w:t>
      </w:r>
    </w:p>
    <w:p>
      <w:pPr>
        <w:spacing w:before="90"/>
        <w:ind w:left="965" w:right="874" w:firstLine="0"/>
        <w:jc w:val="center"/>
        <w:rPr>
          <w:b/>
          <w:sz w:val="22"/>
        </w:rPr>
      </w:pPr>
      <w:r>
        <w:rPr>
          <w:b/>
          <w:w w:val="95"/>
          <w:sz w:val="22"/>
        </w:rPr>
        <w:t>金额</w:t>
      </w:r>
    </w:p>
    <w:p>
      <w:pPr>
        <w:pStyle w:val="BodyText"/>
        <w:spacing w:line="316" w:lineRule="auto" w:before="33"/>
        <w:ind w:left="247" w:right="134"/>
      </w:pPr>
      <w:r>
        <w:rPr/>
        <w:br w:type="column"/>
      </w:r>
      <w:r>
        <w:rPr/>
        <w:t>在本附加合同有效期内，您可以书面申请减少基本保险金额，但减少后的基本保险金额，不得低于申请减额时我们规定的最低承保金额，基本保险金额减少的部分依</w:t>
      </w:r>
    </w:p>
    <w:p>
      <w:pPr>
        <w:pStyle w:val="BodyText"/>
        <w:spacing w:before="22"/>
        <w:ind w:left="247"/>
      </w:pPr>
      <w:r>
        <w:rPr/>
        <w:t>(7.1)解除合同的手续办理。</w:t>
      </w:r>
    </w:p>
    <w:p>
      <w:pPr>
        <w:spacing w:after="0"/>
        <w:sectPr>
          <w:type w:val="continuous"/>
          <w:pgSz w:w="11910" w:h="16840"/>
          <w:pgMar w:top="620" w:bottom="500" w:left="420" w:right="600"/>
          <w:cols w:num="2" w:equalWidth="0">
            <w:col w:w="2300" w:space="40"/>
            <w:col w:w="8550"/>
          </w:cols>
        </w:sectPr>
      </w:pPr>
    </w:p>
    <w:p>
      <w:pPr>
        <w:pStyle w:val="BodyText"/>
        <w:spacing w:before="1"/>
        <w:rPr>
          <w:sz w:val="23"/>
        </w:rPr>
      </w:pPr>
    </w:p>
    <w:p>
      <w:pPr>
        <w:pStyle w:val="Heading3"/>
        <w:tabs>
          <w:tab w:pos="10780" w:val="left" w:leader="none"/>
        </w:tabs>
        <w:rPr>
          <w:u w:val="none"/>
        </w:rPr>
      </w:pPr>
      <w:r>
        <w:rPr>
          <w:rFonts w:ascii="Times New Roman" w:hAnsi="Times New Roman" w:eastAsia="Times New Roman"/>
          <w:b w:val="0"/>
          <w:spacing w:val="-108"/>
          <w:w w:val="99"/>
          <w:sz w:val="44"/>
          <w:u w:val="thick"/>
        </w:rPr>
        <w:t> </w:t>
      </w:r>
      <w:r>
        <w:rPr>
          <w:rFonts w:ascii="Wingdings" w:hAnsi="Wingdings" w:eastAsia="Wingdings"/>
          <w:b w:val="0"/>
          <w:w w:val="95"/>
          <w:sz w:val="44"/>
          <w:u w:val="none"/>
        </w:rPr>
        <w:t></w:t>
      </w:r>
      <w:r>
        <w:rPr>
          <w:w w:val="95"/>
          <w:u w:val="thick"/>
        </w:rPr>
        <w:t>合同效力的中止及恢复</w:t>
      </w:r>
      <w:r>
        <w:rPr>
          <w:u w:val="thick"/>
        </w:rPr>
        <w:tab/>
      </w:r>
    </w:p>
    <w:p>
      <w:pPr>
        <w:pStyle w:val="BodyText"/>
        <w:rPr>
          <w:b/>
          <w:sz w:val="20"/>
        </w:rPr>
      </w:pPr>
    </w:p>
    <w:p>
      <w:pPr>
        <w:pStyle w:val="BodyText"/>
        <w:spacing w:before="4"/>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11"/>
        <w:gridCol w:w="4528"/>
      </w:tblGrid>
      <w:tr>
        <w:trPr>
          <w:trHeight w:val="220" w:hRule="atLeast"/>
        </w:trPr>
        <w:tc>
          <w:tcPr>
            <w:tcW w:w="696" w:type="dxa"/>
          </w:tcPr>
          <w:p>
            <w:pPr>
              <w:pStyle w:val="TableParagraph"/>
              <w:spacing w:line="201" w:lineRule="exact"/>
              <w:ind w:left="200"/>
              <w:rPr>
                <w:b/>
                <w:sz w:val="22"/>
              </w:rPr>
            </w:pPr>
            <w:r>
              <w:rPr>
                <w:b/>
                <w:sz w:val="22"/>
              </w:rPr>
              <w:t>6.1</w:t>
            </w:r>
          </w:p>
        </w:tc>
        <w:tc>
          <w:tcPr>
            <w:tcW w:w="1411" w:type="dxa"/>
          </w:tcPr>
          <w:p>
            <w:pPr>
              <w:pStyle w:val="TableParagraph"/>
              <w:spacing w:line="201" w:lineRule="exact"/>
              <w:ind w:left="162"/>
              <w:rPr>
                <w:b/>
                <w:sz w:val="22"/>
              </w:rPr>
            </w:pPr>
            <w:r>
              <w:rPr>
                <w:b/>
                <w:w w:val="95"/>
                <w:sz w:val="22"/>
              </w:rPr>
              <w:t>效力中止</w:t>
            </w:r>
          </w:p>
        </w:tc>
        <w:tc>
          <w:tcPr>
            <w:tcW w:w="4528" w:type="dxa"/>
          </w:tcPr>
          <w:p>
            <w:pPr>
              <w:pStyle w:val="TableParagraph"/>
              <w:spacing w:line="201" w:lineRule="exact"/>
              <w:ind w:left="363"/>
              <w:rPr>
                <w:sz w:val="22"/>
              </w:rPr>
            </w:pPr>
            <w:r>
              <w:rPr>
                <w:sz w:val="22"/>
                <w:shd w:fill="D9D9D9" w:color="auto" w:val="clear"/>
              </w:rPr>
              <w:t>出现下列情形时，本附加合同效力中止：</w:t>
            </w:r>
          </w:p>
        </w:tc>
      </w:tr>
    </w:tbl>
    <w:p>
      <w:pPr>
        <w:spacing w:after="0" w:line="201" w:lineRule="exact"/>
        <w:rPr>
          <w:sz w:val="22"/>
        </w:rPr>
        <w:sectPr>
          <w:type w:val="continuous"/>
          <w:pgSz w:w="11910" w:h="16840"/>
          <w:pgMar w:top="620" w:bottom="500" w:left="42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631"/>
        <w:gridCol w:w="8605"/>
      </w:tblGrid>
      <w:tr>
        <w:trPr>
          <w:trHeight w:val="1580" w:hRule="atLeast"/>
        </w:trPr>
        <w:tc>
          <w:tcPr>
            <w:tcW w:w="696" w:type="dxa"/>
            <w:tcBorders>
              <w:top w:val="single" w:sz="4" w:space="0" w:color="000000"/>
            </w:tcBorders>
          </w:tcPr>
          <w:p>
            <w:pPr>
              <w:pStyle w:val="TableParagraph"/>
              <w:rPr>
                <w:rFonts w:ascii="Times New Roman"/>
                <w:sz w:val="22"/>
              </w:rPr>
            </w:pPr>
          </w:p>
        </w:tc>
        <w:tc>
          <w:tcPr>
            <w:tcW w:w="1631" w:type="dxa"/>
            <w:tcBorders>
              <w:top w:val="single" w:sz="4" w:space="0" w:color="000000"/>
            </w:tcBorders>
          </w:tcPr>
          <w:p>
            <w:pPr>
              <w:pStyle w:val="TableParagraph"/>
              <w:rPr>
                <w:rFonts w:ascii="Times New Roman"/>
                <w:sz w:val="22"/>
              </w:rPr>
            </w:pPr>
          </w:p>
        </w:tc>
        <w:tc>
          <w:tcPr>
            <w:tcW w:w="8605" w:type="dxa"/>
            <w:tcBorders>
              <w:top w:val="single" w:sz="4" w:space="0" w:color="000000"/>
            </w:tcBorders>
          </w:tcPr>
          <w:p>
            <w:pPr>
              <w:pStyle w:val="TableParagraph"/>
              <w:spacing w:before="1"/>
              <w:rPr>
                <w:b/>
                <w:sz w:val="20"/>
              </w:rPr>
            </w:pPr>
          </w:p>
          <w:p>
            <w:pPr>
              <w:pStyle w:val="TableParagraph"/>
              <w:numPr>
                <w:ilvl w:val="0"/>
                <w:numId w:val="9"/>
              </w:numPr>
              <w:tabs>
                <w:tab w:pos="586" w:val="left" w:leader="none"/>
              </w:tabs>
              <w:spacing w:line="240" w:lineRule="auto" w:before="1" w:after="0"/>
              <w:ind w:left="585" w:right="0" w:hanging="442"/>
              <w:jc w:val="left"/>
              <w:rPr>
                <w:sz w:val="22"/>
              </w:rPr>
            </w:pPr>
            <w:r>
              <w:rPr>
                <w:spacing w:val="-3"/>
                <w:sz w:val="22"/>
                <w:shd w:fill="D9D9D9" w:color="auto" w:val="clear"/>
              </w:rPr>
              <w:t>主合同效力中止；</w:t>
            </w:r>
          </w:p>
          <w:p>
            <w:pPr>
              <w:pStyle w:val="TableParagraph"/>
              <w:numPr>
                <w:ilvl w:val="0"/>
                <w:numId w:val="9"/>
              </w:numPr>
              <w:tabs>
                <w:tab w:pos="586" w:val="left" w:leader="none"/>
              </w:tabs>
              <w:spacing w:line="240" w:lineRule="auto" w:before="91" w:after="0"/>
              <w:ind w:left="585" w:right="0" w:hanging="442"/>
              <w:jc w:val="left"/>
              <w:rPr>
                <w:sz w:val="22"/>
              </w:rPr>
            </w:pPr>
            <w:r>
              <w:rPr>
                <w:spacing w:val="-3"/>
                <w:sz w:val="22"/>
                <w:shd w:fill="D9D9D9" w:color="auto" w:val="clear"/>
              </w:rPr>
              <w:t>其他本附加合同约定的效力中止情形。</w:t>
            </w:r>
          </w:p>
          <w:p>
            <w:pPr>
              <w:pStyle w:val="TableParagraph"/>
              <w:spacing w:before="91"/>
              <w:ind w:left="143"/>
              <w:rPr>
                <w:sz w:val="22"/>
              </w:rPr>
            </w:pPr>
            <w:r>
              <w:rPr>
                <w:sz w:val="22"/>
                <w:shd w:fill="D9D9D9" w:color="auto" w:val="clear"/>
              </w:rPr>
              <w:t>在本附加合同效力中止期间，我们不承担保险责任。</w:t>
            </w:r>
          </w:p>
        </w:tc>
      </w:tr>
      <w:tr>
        <w:trPr>
          <w:trHeight w:val="2010" w:hRule="atLeast"/>
        </w:trPr>
        <w:tc>
          <w:tcPr>
            <w:tcW w:w="696" w:type="dxa"/>
          </w:tcPr>
          <w:p>
            <w:pPr>
              <w:pStyle w:val="TableParagraph"/>
              <w:spacing w:before="6"/>
              <w:rPr>
                <w:b/>
                <w:sz w:val="15"/>
              </w:rPr>
            </w:pPr>
          </w:p>
          <w:p>
            <w:pPr>
              <w:pStyle w:val="TableParagraph"/>
              <w:ind w:left="200"/>
              <w:rPr>
                <w:b/>
                <w:sz w:val="22"/>
              </w:rPr>
            </w:pPr>
            <w:r>
              <w:rPr>
                <w:b/>
                <w:sz w:val="22"/>
              </w:rPr>
              <w:t>6.2</w:t>
            </w:r>
          </w:p>
        </w:tc>
        <w:tc>
          <w:tcPr>
            <w:tcW w:w="1631" w:type="dxa"/>
          </w:tcPr>
          <w:p>
            <w:pPr>
              <w:pStyle w:val="TableParagraph"/>
              <w:spacing w:before="6"/>
              <w:rPr>
                <w:b/>
                <w:sz w:val="15"/>
              </w:rPr>
            </w:pPr>
          </w:p>
          <w:p>
            <w:pPr>
              <w:pStyle w:val="TableParagraph"/>
              <w:spacing w:line="316" w:lineRule="auto"/>
              <w:ind w:left="162" w:right="142"/>
              <w:rPr>
                <w:b/>
                <w:sz w:val="22"/>
              </w:rPr>
            </w:pPr>
            <w:r>
              <w:rPr>
                <w:b/>
                <w:sz w:val="22"/>
              </w:rPr>
              <w:t>效力恢复（复</w:t>
            </w:r>
            <w:r>
              <w:rPr>
                <w:b/>
                <w:w w:val="95"/>
                <w:sz w:val="22"/>
              </w:rPr>
              <w:t>效）</w:t>
            </w:r>
          </w:p>
        </w:tc>
        <w:tc>
          <w:tcPr>
            <w:tcW w:w="8605" w:type="dxa"/>
          </w:tcPr>
          <w:p>
            <w:pPr>
              <w:pStyle w:val="TableParagraph"/>
              <w:spacing w:before="6"/>
              <w:rPr>
                <w:b/>
                <w:sz w:val="15"/>
              </w:rPr>
            </w:pPr>
          </w:p>
          <w:p>
            <w:pPr>
              <w:pStyle w:val="TableParagraph"/>
              <w:spacing w:line="316" w:lineRule="auto"/>
              <w:ind w:left="143" w:right="296"/>
              <w:rPr>
                <w:sz w:val="22"/>
              </w:rPr>
            </w:pPr>
            <w:r>
              <w:rPr>
                <w:sz w:val="22"/>
              </w:rPr>
              <w:t>本附加合同效力中止后2年内，您可以申请恢复合同效力。经我们与您协商并达成协议，在您补交保险费之日起，合同效力恢复。</w:t>
            </w:r>
          </w:p>
          <w:p>
            <w:pPr>
              <w:pStyle w:val="TableParagraph"/>
              <w:spacing w:line="316" w:lineRule="auto" w:before="23"/>
              <w:ind w:left="143" w:right="197"/>
              <w:rPr>
                <w:sz w:val="22"/>
              </w:rPr>
            </w:pPr>
            <w:r>
              <w:rPr>
                <w:sz w:val="22"/>
              </w:rPr>
              <w:t>自本附加合同效力中止之日起满 2 年您和我们未达成协议的，我们有权解除合同。我们解除合同的，向您退还合同效力中止时本附加合同的现金价值。</w:t>
            </w:r>
          </w:p>
          <w:p>
            <w:pPr>
              <w:pStyle w:val="TableParagraph"/>
              <w:spacing w:line="268" w:lineRule="exact" w:before="21"/>
              <w:ind w:left="143"/>
              <w:rPr>
                <w:sz w:val="22"/>
              </w:rPr>
            </w:pPr>
            <w:r>
              <w:rPr>
                <w:sz w:val="22"/>
              </w:rPr>
              <w:t>主合同效力中止期间，本附加合同不得单独申请复效。</w:t>
            </w:r>
          </w:p>
        </w:tc>
      </w:tr>
    </w:tbl>
    <w:p>
      <w:pPr>
        <w:pStyle w:val="BodyText"/>
        <w:spacing w:before="9"/>
        <w:rPr>
          <w:b/>
          <w:sz w:val="21"/>
        </w:rPr>
      </w:pPr>
    </w:p>
    <w:p>
      <w:pPr>
        <w:tabs>
          <w:tab w:pos="10780" w:val="left" w:leader="none"/>
        </w:tabs>
        <w:spacing w:before="96"/>
        <w:ind w:left="287" w:right="0" w:firstLine="0"/>
        <w:jc w:val="left"/>
        <w:rPr>
          <w:b/>
          <w:sz w:val="30"/>
        </w:rPr>
      </w:pPr>
      <w:r>
        <w:rPr>
          <w:rFonts w:ascii="Times New Roman" w:hAnsi="Times New Roman" w:eastAsia="Times New Roman"/>
          <w:spacing w:val="-108"/>
          <w:w w:val="99"/>
          <w:sz w:val="44"/>
          <w:u w:val="thick"/>
        </w:rPr>
        <w:t> </w:t>
      </w:r>
      <w:r>
        <w:rPr>
          <w:rFonts w:ascii="Wingdings" w:hAnsi="Wingdings" w:eastAsia="Wingdings"/>
          <w:w w:val="95"/>
          <w:sz w:val="44"/>
          <w:u w:val="thick"/>
        </w:rPr>
        <w:t></w:t>
      </w:r>
      <w:r>
        <w:rPr>
          <w:b/>
          <w:w w:val="95"/>
          <w:sz w:val="30"/>
          <w:u w:val="thick"/>
        </w:rPr>
        <w:t>合同解除</w:t>
      </w:r>
      <w:r>
        <w:rPr>
          <w:b/>
          <w:sz w:val="30"/>
          <w:u w:val="thick"/>
        </w:rPr>
        <w:tab/>
      </w:r>
    </w:p>
    <w:p>
      <w:pPr>
        <w:pStyle w:val="BodyText"/>
        <w:rPr>
          <w:b/>
          <w:sz w:val="20"/>
        </w:rPr>
      </w:pPr>
    </w:p>
    <w:p>
      <w:pPr>
        <w:pStyle w:val="BodyText"/>
        <w:spacing w:before="4"/>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630"/>
        <w:gridCol w:w="8509"/>
      </w:tblGrid>
      <w:tr>
        <w:trPr>
          <w:trHeight w:val="2500" w:hRule="atLeast"/>
        </w:trPr>
        <w:tc>
          <w:tcPr>
            <w:tcW w:w="697" w:type="dxa"/>
          </w:tcPr>
          <w:p>
            <w:pPr>
              <w:pStyle w:val="TableParagraph"/>
              <w:spacing w:line="221" w:lineRule="exact"/>
              <w:ind w:left="200"/>
              <w:rPr>
                <w:b/>
                <w:sz w:val="22"/>
              </w:rPr>
            </w:pPr>
            <w:r>
              <w:rPr>
                <w:b/>
                <w:sz w:val="22"/>
              </w:rPr>
              <w:t>7.1</w:t>
            </w:r>
          </w:p>
        </w:tc>
        <w:tc>
          <w:tcPr>
            <w:tcW w:w="1630" w:type="dxa"/>
          </w:tcPr>
          <w:p>
            <w:pPr>
              <w:pStyle w:val="TableParagraph"/>
              <w:spacing w:line="221" w:lineRule="exact"/>
              <w:ind w:left="161"/>
              <w:rPr>
                <w:b/>
                <w:sz w:val="22"/>
              </w:rPr>
            </w:pPr>
            <w:r>
              <w:rPr>
                <w:b/>
                <w:w w:val="95"/>
                <w:sz w:val="22"/>
              </w:rPr>
              <w:t>投保人解除合</w:t>
            </w:r>
          </w:p>
          <w:p>
            <w:pPr>
              <w:pStyle w:val="TableParagraph"/>
              <w:spacing w:line="319" w:lineRule="auto" w:before="91"/>
              <w:ind w:left="161" w:right="142"/>
              <w:rPr>
                <w:b/>
                <w:sz w:val="22"/>
              </w:rPr>
            </w:pPr>
            <w:r>
              <w:rPr>
                <w:b/>
                <w:sz w:val="22"/>
              </w:rPr>
              <w:t>同的手续及风险</w:t>
            </w:r>
          </w:p>
        </w:tc>
        <w:tc>
          <w:tcPr>
            <w:tcW w:w="8509" w:type="dxa"/>
          </w:tcPr>
          <w:p>
            <w:pPr>
              <w:pStyle w:val="TableParagraph"/>
              <w:spacing w:line="221" w:lineRule="exact"/>
              <w:ind w:left="143"/>
              <w:rPr>
                <w:sz w:val="22"/>
              </w:rPr>
            </w:pPr>
            <w:r>
              <w:rPr>
                <w:sz w:val="22"/>
              </w:rPr>
              <w:t>如您在犹豫期后申请解除本附加合同，请填写解除合同申请书并向我们提供下列资</w:t>
            </w:r>
          </w:p>
          <w:p>
            <w:pPr>
              <w:pStyle w:val="TableParagraph"/>
              <w:spacing w:before="91"/>
              <w:ind w:left="143"/>
              <w:rPr>
                <w:sz w:val="22"/>
              </w:rPr>
            </w:pPr>
            <w:r>
              <w:rPr>
                <w:sz w:val="22"/>
              </w:rPr>
              <w:t>料：</w:t>
            </w:r>
          </w:p>
          <w:p>
            <w:pPr>
              <w:pStyle w:val="TableParagraph"/>
              <w:numPr>
                <w:ilvl w:val="0"/>
                <w:numId w:val="10"/>
              </w:numPr>
              <w:tabs>
                <w:tab w:pos="564" w:val="left" w:leader="none"/>
              </w:tabs>
              <w:spacing w:line="240" w:lineRule="auto" w:before="93" w:after="0"/>
              <w:ind w:left="563" w:right="0" w:hanging="420"/>
              <w:jc w:val="left"/>
              <w:rPr>
                <w:sz w:val="22"/>
              </w:rPr>
            </w:pPr>
            <w:r>
              <w:rPr>
                <w:spacing w:val="-1"/>
                <w:sz w:val="22"/>
              </w:rPr>
              <w:t>保险合同；</w:t>
            </w:r>
          </w:p>
          <w:p>
            <w:pPr>
              <w:pStyle w:val="TableParagraph"/>
              <w:numPr>
                <w:ilvl w:val="0"/>
                <w:numId w:val="10"/>
              </w:numPr>
              <w:tabs>
                <w:tab w:pos="564" w:val="left" w:leader="none"/>
              </w:tabs>
              <w:spacing w:line="240" w:lineRule="auto" w:before="91" w:after="0"/>
              <w:ind w:left="563" w:right="0" w:hanging="420"/>
              <w:jc w:val="left"/>
              <w:rPr>
                <w:sz w:val="22"/>
              </w:rPr>
            </w:pPr>
            <w:r>
              <w:rPr>
                <w:spacing w:val="-2"/>
                <w:sz w:val="22"/>
              </w:rPr>
              <w:t>您的有效身份证件。</w:t>
            </w:r>
          </w:p>
          <w:p>
            <w:pPr>
              <w:pStyle w:val="TableParagraph"/>
              <w:spacing w:line="319" w:lineRule="auto" w:before="91"/>
              <w:ind w:left="143" w:right="200"/>
              <w:rPr>
                <w:sz w:val="22"/>
              </w:rPr>
            </w:pPr>
            <w:r>
              <w:rPr>
                <w:sz w:val="22"/>
              </w:rPr>
              <w:t>自我们收到解除合同申请书之日起，本附加合同终止。我们自收到解除合同申请书之日起30日内向您退还保险合同的现金价值。</w:t>
            </w:r>
          </w:p>
          <w:p>
            <w:pPr>
              <w:pStyle w:val="TableParagraph"/>
              <w:spacing w:line="268" w:lineRule="exact" w:before="18"/>
              <w:ind w:left="143"/>
              <w:rPr>
                <w:sz w:val="22"/>
              </w:rPr>
            </w:pPr>
            <w:r>
              <w:rPr>
                <w:sz w:val="22"/>
              </w:rPr>
              <w:t>您犹豫期后解除合同会遭受一定损失。</w:t>
            </w:r>
          </w:p>
        </w:tc>
      </w:tr>
    </w:tbl>
    <w:p>
      <w:pPr>
        <w:pStyle w:val="BodyText"/>
        <w:spacing w:before="6"/>
        <w:rPr>
          <w:b/>
          <w:sz w:val="21"/>
        </w:rPr>
      </w:pPr>
    </w:p>
    <w:p>
      <w:pPr>
        <w:pStyle w:val="Heading3"/>
        <w:tabs>
          <w:tab w:pos="10780" w:val="left" w:leader="none"/>
        </w:tabs>
        <w:spacing w:before="96"/>
        <w:rPr>
          <w:u w:val="none"/>
        </w:rPr>
      </w:pPr>
      <w:r>
        <w:rPr>
          <w:rFonts w:ascii="Times New Roman" w:hAnsi="Times New Roman" w:eastAsia="Times New Roman"/>
          <w:b w:val="0"/>
          <w:spacing w:val="-108"/>
          <w:w w:val="99"/>
          <w:sz w:val="44"/>
          <w:u w:val="thick"/>
        </w:rPr>
        <w:t> </w:t>
      </w:r>
      <w:r>
        <w:rPr>
          <w:rFonts w:ascii="Wingdings" w:hAnsi="Wingdings" w:eastAsia="Wingdings"/>
          <w:b w:val="0"/>
          <w:w w:val="95"/>
          <w:sz w:val="44"/>
          <w:u w:val="none"/>
        </w:rPr>
        <w:t></w:t>
      </w:r>
      <w:r>
        <w:rPr>
          <w:w w:val="95"/>
          <w:u w:val="thick"/>
        </w:rPr>
        <w:t>其他需要关注的事项</w:t>
      </w:r>
      <w:r>
        <w:rPr>
          <w:u w:val="thick"/>
        </w:rPr>
        <w:tab/>
      </w:r>
    </w:p>
    <w:p>
      <w:pPr>
        <w:pStyle w:val="BodyText"/>
        <w:rPr>
          <w:b/>
          <w:sz w:val="20"/>
        </w:rPr>
      </w:pPr>
    </w:p>
    <w:p>
      <w:pPr>
        <w:pStyle w:val="BodyText"/>
        <w:spacing w:before="6"/>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89"/>
        <w:gridCol w:w="8451"/>
      </w:tblGrid>
      <w:tr>
        <w:trPr>
          <w:trHeight w:val="2389" w:hRule="atLeast"/>
        </w:trPr>
        <w:tc>
          <w:tcPr>
            <w:tcW w:w="693" w:type="dxa"/>
          </w:tcPr>
          <w:p>
            <w:pPr>
              <w:pStyle w:val="TableParagraph"/>
              <w:spacing w:line="221" w:lineRule="exact"/>
              <w:ind w:left="180" w:right="140"/>
              <w:jc w:val="center"/>
              <w:rPr>
                <w:b/>
                <w:sz w:val="22"/>
              </w:rPr>
            </w:pPr>
            <w:r>
              <w:rPr>
                <w:b/>
                <w:sz w:val="22"/>
              </w:rPr>
              <w:t>8.1</w:t>
            </w:r>
          </w:p>
        </w:tc>
        <w:tc>
          <w:tcPr>
            <w:tcW w:w="1689" w:type="dxa"/>
          </w:tcPr>
          <w:p>
            <w:pPr>
              <w:pStyle w:val="TableParagraph"/>
              <w:spacing w:line="221" w:lineRule="exact"/>
              <w:ind w:left="160"/>
              <w:rPr>
                <w:b/>
                <w:sz w:val="22"/>
              </w:rPr>
            </w:pPr>
            <w:r>
              <w:rPr>
                <w:b/>
                <w:w w:val="95"/>
                <w:sz w:val="22"/>
              </w:rPr>
              <w:t>效力终止</w:t>
            </w:r>
          </w:p>
        </w:tc>
        <w:tc>
          <w:tcPr>
            <w:tcW w:w="8451" w:type="dxa"/>
          </w:tcPr>
          <w:p>
            <w:pPr>
              <w:pStyle w:val="TableParagraph"/>
              <w:spacing w:line="221" w:lineRule="exact"/>
              <w:ind w:left="88"/>
              <w:rPr>
                <w:sz w:val="22"/>
              </w:rPr>
            </w:pPr>
            <w:r>
              <w:rPr>
                <w:sz w:val="22"/>
              </w:rPr>
              <w:t>当发生下列情形之一时，本附加合同效力终止：</w:t>
            </w:r>
          </w:p>
          <w:p>
            <w:pPr>
              <w:pStyle w:val="TableParagraph"/>
              <w:numPr>
                <w:ilvl w:val="0"/>
                <w:numId w:val="11"/>
              </w:numPr>
              <w:tabs>
                <w:tab w:pos="509" w:val="left" w:leader="none"/>
              </w:tabs>
              <w:spacing w:line="240" w:lineRule="auto" w:before="91" w:after="0"/>
              <w:ind w:left="508" w:right="0" w:hanging="420"/>
              <w:jc w:val="left"/>
              <w:rPr>
                <w:sz w:val="22"/>
              </w:rPr>
            </w:pPr>
            <w:r>
              <w:rPr>
                <w:spacing w:val="-2"/>
                <w:sz w:val="22"/>
              </w:rPr>
              <w:t>主合同效力终止；</w:t>
            </w:r>
          </w:p>
          <w:p>
            <w:pPr>
              <w:pStyle w:val="TableParagraph"/>
              <w:numPr>
                <w:ilvl w:val="0"/>
                <w:numId w:val="11"/>
              </w:numPr>
              <w:tabs>
                <w:tab w:pos="509" w:val="left" w:leader="none"/>
              </w:tabs>
              <w:spacing w:line="240" w:lineRule="auto" w:before="91" w:after="0"/>
              <w:ind w:left="508" w:right="0" w:hanging="420"/>
              <w:jc w:val="left"/>
              <w:rPr>
                <w:sz w:val="22"/>
              </w:rPr>
            </w:pPr>
            <w:r>
              <w:rPr>
                <w:spacing w:val="-3"/>
                <w:sz w:val="22"/>
              </w:rPr>
              <w:t>您申请解除本附加合同。</w:t>
            </w:r>
          </w:p>
          <w:p>
            <w:pPr>
              <w:pStyle w:val="TableParagraph"/>
              <w:spacing w:line="316" w:lineRule="auto" w:before="93"/>
              <w:ind w:left="88" w:right="196"/>
              <w:jc w:val="both"/>
              <w:rPr>
                <w:sz w:val="22"/>
              </w:rPr>
            </w:pPr>
            <w:r>
              <w:rPr>
                <w:sz w:val="22"/>
              </w:rPr>
              <w:t>如按主合同约定须退还保险合同现金价值或保险费，本附加合同也退还相应的现金价值或保险费。如按主合同约定给付身故保险金或全残保险金的，本附加合同不退还现金价值。</w:t>
            </w:r>
          </w:p>
        </w:tc>
      </w:tr>
      <w:tr>
        <w:trPr>
          <w:trHeight w:val="3150" w:hRule="atLeast"/>
        </w:trPr>
        <w:tc>
          <w:tcPr>
            <w:tcW w:w="693" w:type="dxa"/>
          </w:tcPr>
          <w:p>
            <w:pPr>
              <w:pStyle w:val="TableParagraph"/>
              <w:spacing w:before="6"/>
              <w:rPr>
                <w:b/>
                <w:sz w:val="15"/>
              </w:rPr>
            </w:pPr>
          </w:p>
          <w:p>
            <w:pPr>
              <w:pStyle w:val="TableParagraph"/>
              <w:ind w:left="180" w:right="140"/>
              <w:jc w:val="center"/>
              <w:rPr>
                <w:b/>
                <w:sz w:val="22"/>
              </w:rPr>
            </w:pPr>
            <w:r>
              <w:rPr>
                <w:b/>
                <w:sz w:val="22"/>
              </w:rPr>
              <w:t>8.2</w:t>
            </w:r>
          </w:p>
        </w:tc>
        <w:tc>
          <w:tcPr>
            <w:tcW w:w="1689" w:type="dxa"/>
          </w:tcPr>
          <w:p>
            <w:pPr>
              <w:pStyle w:val="TableParagraph"/>
              <w:spacing w:before="6"/>
              <w:rPr>
                <w:b/>
                <w:sz w:val="15"/>
              </w:rPr>
            </w:pPr>
          </w:p>
          <w:p>
            <w:pPr>
              <w:pStyle w:val="TableParagraph"/>
              <w:spacing w:line="316" w:lineRule="auto"/>
              <w:ind w:left="160" w:right="85"/>
              <w:rPr>
                <w:b/>
                <w:sz w:val="22"/>
              </w:rPr>
            </w:pPr>
            <w:r>
              <w:rPr>
                <w:b/>
                <w:sz w:val="22"/>
              </w:rPr>
              <w:t>适用主合同条款</w:t>
            </w:r>
          </w:p>
        </w:tc>
        <w:tc>
          <w:tcPr>
            <w:tcW w:w="8451" w:type="dxa"/>
          </w:tcPr>
          <w:p>
            <w:pPr>
              <w:pStyle w:val="TableParagraph"/>
              <w:spacing w:before="6"/>
              <w:rPr>
                <w:b/>
                <w:sz w:val="15"/>
              </w:rPr>
            </w:pPr>
          </w:p>
          <w:p>
            <w:pPr>
              <w:pStyle w:val="TableParagraph"/>
              <w:ind w:left="88"/>
              <w:rPr>
                <w:sz w:val="22"/>
              </w:rPr>
            </w:pPr>
            <w:r>
              <w:rPr>
                <w:sz w:val="22"/>
              </w:rPr>
              <w:t>下列各项条款，适用主合同条款：</w:t>
            </w:r>
          </w:p>
          <w:p>
            <w:pPr>
              <w:pStyle w:val="TableParagraph"/>
              <w:numPr>
                <w:ilvl w:val="0"/>
                <w:numId w:val="12"/>
              </w:numPr>
              <w:tabs>
                <w:tab w:pos="509" w:val="left" w:leader="none"/>
              </w:tabs>
              <w:spacing w:line="240" w:lineRule="auto" w:before="91" w:after="0"/>
              <w:ind w:left="508" w:right="0" w:hanging="420"/>
              <w:jc w:val="left"/>
              <w:rPr>
                <w:sz w:val="22"/>
              </w:rPr>
            </w:pPr>
            <w:r>
              <w:rPr>
                <w:spacing w:val="-2"/>
                <w:sz w:val="22"/>
              </w:rPr>
              <w:t>明确说明与如实告知；</w:t>
            </w:r>
          </w:p>
          <w:p>
            <w:pPr>
              <w:pStyle w:val="TableParagraph"/>
              <w:numPr>
                <w:ilvl w:val="0"/>
                <w:numId w:val="12"/>
              </w:numPr>
              <w:tabs>
                <w:tab w:pos="509" w:val="left" w:leader="none"/>
              </w:tabs>
              <w:spacing w:line="240" w:lineRule="auto" w:before="94" w:after="0"/>
              <w:ind w:left="508" w:right="0" w:hanging="420"/>
              <w:jc w:val="left"/>
              <w:rPr>
                <w:sz w:val="22"/>
              </w:rPr>
            </w:pPr>
            <w:r>
              <w:rPr>
                <w:spacing w:val="-3"/>
                <w:sz w:val="22"/>
              </w:rPr>
              <w:t>本公司合同解除权的限制；</w:t>
            </w:r>
          </w:p>
          <w:p>
            <w:pPr>
              <w:pStyle w:val="TableParagraph"/>
              <w:numPr>
                <w:ilvl w:val="0"/>
                <w:numId w:val="12"/>
              </w:numPr>
              <w:tabs>
                <w:tab w:pos="509" w:val="left" w:leader="none"/>
              </w:tabs>
              <w:spacing w:line="240" w:lineRule="auto" w:before="92" w:after="0"/>
              <w:ind w:left="508" w:right="0" w:hanging="420"/>
              <w:jc w:val="left"/>
              <w:rPr>
                <w:sz w:val="22"/>
              </w:rPr>
            </w:pPr>
            <w:r>
              <w:rPr>
                <w:spacing w:val="-1"/>
                <w:sz w:val="22"/>
              </w:rPr>
              <w:t>年龄错误；</w:t>
            </w:r>
          </w:p>
          <w:p>
            <w:pPr>
              <w:pStyle w:val="TableParagraph"/>
              <w:numPr>
                <w:ilvl w:val="0"/>
                <w:numId w:val="12"/>
              </w:numPr>
              <w:tabs>
                <w:tab w:pos="509" w:val="left" w:leader="none"/>
              </w:tabs>
              <w:spacing w:line="240" w:lineRule="auto" w:before="91" w:after="0"/>
              <w:ind w:left="508" w:right="0" w:hanging="420"/>
              <w:jc w:val="left"/>
              <w:rPr>
                <w:sz w:val="22"/>
              </w:rPr>
            </w:pPr>
            <w:r>
              <w:rPr>
                <w:spacing w:val="-1"/>
                <w:sz w:val="22"/>
              </w:rPr>
              <w:t>未还款项；</w:t>
            </w:r>
          </w:p>
          <w:p>
            <w:pPr>
              <w:pStyle w:val="TableParagraph"/>
              <w:numPr>
                <w:ilvl w:val="0"/>
                <w:numId w:val="12"/>
              </w:numPr>
              <w:tabs>
                <w:tab w:pos="509" w:val="left" w:leader="none"/>
              </w:tabs>
              <w:spacing w:line="240" w:lineRule="auto" w:before="93" w:after="0"/>
              <w:ind w:left="508" w:right="0" w:hanging="420"/>
              <w:jc w:val="left"/>
              <w:rPr>
                <w:sz w:val="22"/>
              </w:rPr>
            </w:pPr>
            <w:r>
              <w:rPr>
                <w:spacing w:val="-1"/>
                <w:sz w:val="22"/>
              </w:rPr>
              <w:t>合同内容变更；</w:t>
            </w:r>
          </w:p>
          <w:p>
            <w:pPr>
              <w:pStyle w:val="TableParagraph"/>
              <w:numPr>
                <w:ilvl w:val="0"/>
                <w:numId w:val="12"/>
              </w:numPr>
              <w:tabs>
                <w:tab w:pos="509" w:val="left" w:leader="none"/>
              </w:tabs>
              <w:spacing w:line="240" w:lineRule="auto" w:before="91" w:after="0"/>
              <w:ind w:left="508" w:right="0" w:hanging="420"/>
              <w:jc w:val="left"/>
              <w:rPr>
                <w:sz w:val="22"/>
              </w:rPr>
            </w:pPr>
            <w:r>
              <w:rPr>
                <w:spacing w:val="-1"/>
                <w:sz w:val="22"/>
              </w:rPr>
              <w:t>地址变更；</w:t>
            </w:r>
          </w:p>
          <w:p>
            <w:pPr>
              <w:pStyle w:val="TableParagraph"/>
              <w:numPr>
                <w:ilvl w:val="0"/>
                <w:numId w:val="12"/>
              </w:numPr>
              <w:tabs>
                <w:tab w:pos="509" w:val="left" w:leader="none"/>
              </w:tabs>
              <w:spacing w:line="268" w:lineRule="exact" w:before="91" w:after="0"/>
              <w:ind w:left="508" w:right="0" w:hanging="420"/>
              <w:jc w:val="left"/>
              <w:rPr>
                <w:sz w:val="22"/>
              </w:rPr>
            </w:pPr>
            <w:r>
              <w:rPr>
                <w:spacing w:val="-1"/>
                <w:sz w:val="22"/>
              </w:rPr>
              <w:t>争议处理。</w:t>
            </w:r>
          </w:p>
        </w:tc>
      </w:tr>
    </w:tbl>
    <w:p>
      <w:pPr>
        <w:pStyle w:val="BodyText"/>
        <w:spacing w:before="4"/>
        <w:rPr>
          <w:b/>
          <w:sz w:val="23"/>
        </w:rPr>
      </w:pPr>
    </w:p>
    <w:p>
      <w:pPr>
        <w:spacing w:before="75"/>
        <w:ind w:left="290" w:right="0" w:firstLine="0"/>
        <w:jc w:val="left"/>
        <w:rPr>
          <w:b/>
          <w:sz w:val="30"/>
        </w:rPr>
      </w:pPr>
      <w:r>
        <w:rPr>
          <w:rFonts w:ascii="Wingdings" w:hAnsi="Wingdings" w:eastAsia="Wingdings"/>
          <w:w w:val="140"/>
          <w:sz w:val="44"/>
        </w:rPr>
        <w:t></w:t>
      </w:r>
      <w:r>
        <w:rPr>
          <w:b/>
          <w:w w:val="110"/>
          <w:sz w:val="30"/>
        </w:rPr>
        <w:t>释义</w:t>
      </w:r>
    </w:p>
    <w:p>
      <w:pPr>
        <w:spacing w:after="0"/>
        <w:jc w:val="left"/>
        <w:rPr>
          <w:sz w:val="30"/>
        </w:rPr>
        <w:sectPr>
          <w:headerReference w:type="default" r:id="rId14"/>
          <w:pgSz w:w="11910" w:h="16840"/>
          <w:pgMar w:header="426" w:footer="309" w:top="620" w:bottom="500" w:left="420" w:right="320"/>
        </w:sectPr>
      </w:pPr>
    </w:p>
    <w:p>
      <w:pPr>
        <w:pStyle w:val="BodyText"/>
        <w:spacing w:before="1" w:after="1"/>
        <w:rPr>
          <w:rFonts w:ascii="Times New Roman"/>
          <w:sz w:val="19"/>
        </w:rPr>
      </w:pPr>
    </w:p>
    <w:p>
      <w:pPr>
        <w:spacing w:line="44" w:lineRule="exact"/>
        <w:ind w:left="106" w:right="0" w:firstLine="0"/>
        <w:rPr>
          <w:rFonts w:ascii="Times New Roman"/>
          <w:sz w:val="4"/>
        </w:rPr>
      </w:pPr>
      <w:r>
        <w:rPr>
          <w:rFonts w:ascii="Times New Roman"/>
          <w:spacing w:val="11"/>
          <w:sz w:val="4"/>
        </w:rPr>
        <w:t> </w:t>
      </w:r>
      <w:r>
        <w:rPr>
          <w:rFonts w:ascii="Times New Roman"/>
          <w:spacing w:val="11"/>
          <w:position w:val="0"/>
          <w:sz w:val="4"/>
        </w:rPr>
        <w:pict>
          <v:group style="width:524.65pt;height:2.2pt;mso-position-horizontal-relative:char;mso-position-vertical-relative:line" coordorigin="0,0" coordsize="10493,44">
            <v:line style="position:absolute" from="0,22" to="723,22" stroked="true" strokeweight="2.16pt" strokecolor="#000000">
              <v:stroke dashstyle="solid"/>
            </v:line>
            <v:rect style="position:absolute;left:722;top:0;width:44;height:44" filled="true" fillcolor="#000000" stroked="false">
              <v:fill type="solid"/>
            </v:rect>
            <v:line style="position:absolute" from="766,22" to="2271,22" stroked="true" strokeweight="2.16pt" strokecolor="#000000">
              <v:stroke dashstyle="solid"/>
            </v:line>
            <v:rect style="position:absolute;left:2270;top:0;width:44;height:44" filled="true" fillcolor="#000000" stroked="false">
              <v:fill type="solid"/>
            </v:rect>
            <v:line style="position:absolute" from="2314,22" to="10492,22" stroked="true" strokeweight="2.16pt" strokecolor="#000000">
              <v:stroke dashstyle="solid"/>
            </v:line>
          </v:group>
        </w:pict>
      </w:r>
      <w:r>
        <w:rPr>
          <w:rFonts w:ascii="Times New Roman"/>
          <w:spacing w:val="11"/>
          <w:position w:val="0"/>
          <w:sz w:val="4"/>
        </w:rPr>
      </w:r>
    </w:p>
    <w:p>
      <w:pPr>
        <w:pStyle w:val="BodyText"/>
        <w:rPr>
          <w:rFonts w:ascii="Times New Roman"/>
          <w:sz w:val="20"/>
        </w:rPr>
      </w:pPr>
    </w:p>
    <w:p>
      <w:pPr>
        <w:pStyle w:val="BodyText"/>
        <w:spacing w:before="1"/>
        <w:rPr>
          <w:rFonts w:ascii="Times New Roman"/>
          <w:sz w:val="2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630"/>
        <w:gridCol w:w="8320"/>
      </w:tblGrid>
      <w:tr>
        <w:trPr>
          <w:trHeight w:val="300" w:hRule="atLeast"/>
        </w:trPr>
        <w:tc>
          <w:tcPr>
            <w:tcW w:w="590" w:type="dxa"/>
          </w:tcPr>
          <w:p>
            <w:pPr>
              <w:pStyle w:val="TableParagraph"/>
              <w:spacing w:line="221" w:lineRule="exact"/>
              <w:ind w:left="50"/>
              <w:rPr>
                <w:b/>
                <w:sz w:val="22"/>
              </w:rPr>
            </w:pPr>
            <w:r>
              <w:rPr>
                <w:b/>
                <w:sz w:val="22"/>
              </w:rPr>
              <w:t>9.1</w:t>
            </w:r>
          </w:p>
        </w:tc>
        <w:tc>
          <w:tcPr>
            <w:tcW w:w="1630" w:type="dxa"/>
          </w:tcPr>
          <w:p>
            <w:pPr>
              <w:pStyle w:val="TableParagraph"/>
              <w:spacing w:line="221" w:lineRule="exact"/>
              <w:ind w:left="204"/>
              <w:rPr>
                <w:b/>
                <w:sz w:val="22"/>
              </w:rPr>
            </w:pPr>
            <w:r>
              <w:rPr>
                <w:b/>
                <w:w w:val="95"/>
                <w:sz w:val="22"/>
              </w:rPr>
              <w:t>保单年度</w:t>
            </w:r>
          </w:p>
        </w:tc>
        <w:tc>
          <w:tcPr>
            <w:tcW w:w="8320" w:type="dxa"/>
          </w:tcPr>
          <w:p>
            <w:pPr>
              <w:pStyle w:val="TableParagraph"/>
              <w:spacing w:line="221" w:lineRule="exact"/>
              <w:ind w:left="100"/>
              <w:rPr>
                <w:sz w:val="22"/>
              </w:rPr>
            </w:pPr>
            <w:r>
              <w:rPr>
                <w:sz w:val="22"/>
              </w:rPr>
              <w:t>从保险合同生效日或生效对应日零时起至下一年度保险合同生效对应日零时止为一个</w:t>
            </w:r>
          </w:p>
        </w:tc>
      </w:tr>
      <w:tr>
        <w:trPr>
          <w:trHeight w:val="379"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rPr>
              <w:t>保单年度。此处生效对应日是指保险合同生效日在每年的对应日，如果该保单年度末</w:t>
            </w:r>
          </w:p>
        </w:tc>
      </w:tr>
      <w:tr>
        <w:trPr>
          <w:trHeight w:val="57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rPr>
              <w:t>无对应的同一日，则以该保单年度末最后一日为对应日。</w:t>
            </w:r>
          </w:p>
        </w:tc>
      </w:tr>
      <w:tr>
        <w:trPr>
          <w:trHeight w:val="570" w:hRule="atLeast"/>
        </w:trPr>
        <w:tc>
          <w:tcPr>
            <w:tcW w:w="590" w:type="dxa"/>
          </w:tcPr>
          <w:p>
            <w:pPr>
              <w:pStyle w:val="TableParagraph"/>
              <w:spacing w:before="7"/>
              <w:rPr>
                <w:rFonts w:ascii="Times New Roman"/>
                <w:sz w:val="17"/>
              </w:rPr>
            </w:pPr>
          </w:p>
          <w:p>
            <w:pPr>
              <w:pStyle w:val="TableParagraph"/>
              <w:ind w:left="50"/>
              <w:rPr>
                <w:b/>
                <w:sz w:val="22"/>
              </w:rPr>
            </w:pPr>
            <w:r>
              <w:rPr>
                <w:b/>
                <w:sz w:val="22"/>
              </w:rPr>
              <w:t>9.2</w:t>
            </w:r>
          </w:p>
        </w:tc>
        <w:tc>
          <w:tcPr>
            <w:tcW w:w="1630" w:type="dxa"/>
          </w:tcPr>
          <w:p>
            <w:pPr>
              <w:pStyle w:val="TableParagraph"/>
              <w:spacing w:before="7"/>
              <w:rPr>
                <w:rFonts w:ascii="Times New Roman"/>
                <w:sz w:val="17"/>
              </w:rPr>
            </w:pPr>
          </w:p>
          <w:p>
            <w:pPr>
              <w:pStyle w:val="TableParagraph"/>
              <w:ind w:left="204"/>
              <w:rPr>
                <w:b/>
                <w:sz w:val="22"/>
              </w:rPr>
            </w:pPr>
            <w:r>
              <w:rPr>
                <w:b/>
                <w:w w:val="95"/>
                <w:sz w:val="22"/>
              </w:rPr>
              <w:t>保险费约定支</w:t>
            </w:r>
          </w:p>
        </w:tc>
        <w:tc>
          <w:tcPr>
            <w:tcW w:w="8320" w:type="dxa"/>
          </w:tcPr>
          <w:p>
            <w:pPr>
              <w:pStyle w:val="TableParagraph"/>
              <w:spacing w:before="7"/>
              <w:rPr>
                <w:rFonts w:ascii="Times New Roman"/>
                <w:sz w:val="17"/>
              </w:rPr>
            </w:pPr>
          </w:p>
          <w:p>
            <w:pPr>
              <w:pStyle w:val="TableParagraph"/>
              <w:ind w:left="100"/>
              <w:rPr>
                <w:sz w:val="22"/>
              </w:rPr>
            </w:pPr>
            <w:r>
              <w:rPr>
                <w:sz w:val="22"/>
              </w:rPr>
              <w:t>保险合同生效日在每月、每季、每半年或每年（根据支付方式确定）的对应日。如果</w:t>
            </w:r>
          </w:p>
        </w:tc>
      </w:tr>
      <w:tr>
        <w:trPr>
          <w:trHeight w:val="570" w:hRule="atLeast"/>
        </w:trPr>
        <w:tc>
          <w:tcPr>
            <w:tcW w:w="590" w:type="dxa"/>
          </w:tcPr>
          <w:p>
            <w:pPr>
              <w:pStyle w:val="TableParagraph"/>
              <w:rPr>
                <w:rFonts w:ascii="Times New Roman"/>
                <w:sz w:val="20"/>
              </w:rPr>
            </w:pPr>
          </w:p>
        </w:tc>
        <w:tc>
          <w:tcPr>
            <w:tcW w:w="1630" w:type="dxa"/>
          </w:tcPr>
          <w:p>
            <w:pPr>
              <w:pStyle w:val="TableParagraph"/>
              <w:spacing w:before="12"/>
              <w:ind w:left="204"/>
              <w:rPr>
                <w:b/>
                <w:sz w:val="22"/>
              </w:rPr>
            </w:pPr>
            <w:r>
              <w:rPr>
                <w:b/>
                <w:w w:val="95"/>
                <w:sz w:val="22"/>
              </w:rPr>
              <w:t>付日</w:t>
            </w:r>
          </w:p>
        </w:tc>
        <w:tc>
          <w:tcPr>
            <w:tcW w:w="8320" w:type="dxa"/>
          </w:tcPr>
          <w:p>
            <w:pPr>
              <w:pStyle w:val="TableParagraph"/>
              <w:spacing w:before="12"/>
              <w:ind w:left="100"/>
              <w:rPr>
                <w:sz w:val="22"/>
              </w:rPr>
            </w:pPr>
            <w:r>
              <w:rPr>
                <w:sz w:val="22"/>
              </w:rPr>
              <w:t>当月无对应的同一日，则以该月最后一日为对应日。</w:t>
            </w:r>
          </w:p>
        </w:tc>
      </w:tr>
      <w:tr>
        <w:trPr>
          <w:trHeight w:val="570" w:hRule="atLeast"/>
        </w:trPr>
        <w:tc>
          <w:tcPr>
            <w:tcW w:w="590" w:type="dxa"/>
          </w:tcPr>
          <w:p>
            <w:pPr>
              <w:pStyle w:val="TableParagraph"/>
              <w:spacing w:before="7"/>
              <w:rPr>
                <w:rFonts w:ascii="Times New Roman"/>
                <w:sz w:val="17"/>
              </w:rPr>
            </w:pPr>
          </w:p>
          <w:p>
            <w:pPr>
              <w:pStyle w:val="TableParagraph"/>
              <w:ind w:left="50"/>
              <w:rPr>
                <w:b/>
                <w:sz w:val="22"/>
              </w:rPr>
            </w:pPr>
            <w:r>
              <w:rPr>
                <w:b/>
                <w:sz w:val="22"/>
              </w:rPr>
              <w:t>9.3</w:t>
            </w:r>
          </w:p>
        </w:tc>
        <w:tc>
          <w:tcPr>
            <w:tcW w:w="1630" w:type="dxa"/>
          </w:tcPr>
          <w:p>
            <w:pPr>
              <w:pStyle w:val="TableParagraph"/>
              <w:spacing w:before="7"/>
              <w:rPr>
                <w:rFonts w:ascii="Times New Roman"/>
                <w:sz w:val="17"/>
              </w:rPr>
            </w:pPr>
          </w:p>
          <w:p>
            <w:pPr>
              <w:pStyle w:val="TableParagraph"/>
              <w:ind w:left="204"/>
              <w:rPr>
                <w:b/>
                <w:sz w:val="22"/>
              </w:rPr>
            </w:pPr>
            <w:r>
              <w:rPr>
                <w:b/>
                <w:w w:val="95"/>
                <w:sz w:val="22"/>
              </w:rPr>
              <w:t>周岁</w:t>
            </w:r>
          </w:p>
        </w:tc>
        <w:tc>
          <w:tcPr>
            <w:tcW w:w="8320" w:type="dxa"/>
          </w:tcPr>
          <w:p>
            <w:pPr>
              <w:pStyle w:val="TableParagraph"/>
              <w:spacing w:before="7"/>
              <w:rPr>
                <w:rFonts w:ascii="Times New Roman"/>
                <w:sz w:val="17"/>
              </w:rPr>
            </w:pPr>
          </w:p>
          <w:p>
            <w:pPr>
              <w:pStyle w:val="TableParagraph"/>
              <w:ind w:left="100"/>
              <w:rPr>
                <w:sz w:val="22"/>
              </w:rPr>
            </w:pPr>
            <w:r>
              <w:rPr>
                <w:sz w:val="22"/>
              </w:rPr>
              <w:t>指按有效法定身份证件中记载的出生日期计算的年龄，自出生之日起为零周岁，每经</w:t>
            </w:r>
          </w:p>
        </w:tc>
      </w:tr>
      <w:tr>
        <w:trPr>
          <w:trHeight w:val="57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rPr>
              <w:t>过一年增加一岁，不足一年的不计。</w:t>
            </w:r>
          </w:p>
        </w:tc>
      </w:tr>
      <w:tr>
        <w:trPr>
          <w:trHeight w:val="744" w:hRule="atLeast"/>
        </w:trPr>
        <w:tc>
          <w:tcPr>
            <w:tcW w:w="590" w:type="dxa"/>
          </w:tcPr>
          <w:p>
            <w:pPr>
              <w:pStyle w:val="TableParagraph"/>
              <w:spacing w:before="7"/>
              <w:rPr>
                <w:rFonts w:ascii="Times New Roman"/>
                <w:sz w:val="17"/>
              </w:rPr>
            </w:pPr>
          </w:p>
          <w:p>
            <w:pPr>
              <w:pStyle w:val="TableParagraph"/>
              <w:ind w:left="50"/>
              <w:rPr>
                <w:b/>
                <w:sz w:val="22"/>
              </w:rPr>
            </w:pPr>
            <w:r>
              <w:rPr>
                <w:b/>
                <w:sz w:val="22"/>
              </w:rPr>
              <w:t>9.4</w:t>
            </w:r>
          </w:p>
        </w:tc>
        <w:tc>
          <w:tcPr>
            <w:tcW w:w="1630" w:type="dxa"/>
          </w:tcPr>
          <w:p>
            <w:pPr>
              <w:pStyle w:val="TableParagraph"/>
              <w:spacing w:before="7"/>
              <w:rPr>
                <w:rFonts w:ascii="Times New Roman"/>
                <w:sz w:val="17"/>
              </w:rPr>
            </w:pPr>
          </w:p>
          <w:p>
            <w:pPr>
              <w:pStyle w:val="TableParagraph"/>
              <w:ind w:left="204"/>
              <w:rPr>
                <w:b/>
                <w:sz w:val="22"/>
              </w:rPr>
            </w:pPr>
            <w:r>
              <w:rPr>
                <w:b/>
                <w:w w:val="95"/>
                <w:sz w:val="22"/>
              </w:rPr>
              <w:t>重大疾病</w:t>
            </w:r>
          </w:p>
        </w:tc>
        <w:tc>
          <w:tcPr>
            <w:tcW w:w="8320" w:type="dxa"/>
          </w:tcPr>
          <w:p>
            <w:pPr>
              <w:pStyle w:val="TableParagraph"/>
              <w:spacing w:before="7"/>
              <w:rPr>
                <w:rFonts w:ascii="Times New Roman"/>
                <w:sz w:val="17"/>
              </w:rPr>
            </w:pPr>
          </w:p>
          <w:p>
            <w:pPr>
              <w:pStyle w:val="TableParagraph"/>
              <w:ind w:left="100"/>
              <w:rPr>
                <w:sz w:val="22"/>
              </w:rPr>
            </w:pPr>
            <w:r>
              <w:rPr>
                <w:sz w:val="22"/>
              </w:rPr>
              <w:t>指符合下列定义的疾病:</w:t>
            </w:r>
          </w:p>
        </w:tc>
      </w:tr>
      <w:tr>
        <w:trPr>
          <w:trHeight w:val="965" w:hRule="atLeast"/>
        </w:trPr>
        <w:tc>
          <w:tcPr>
            <w:tcW w:w="590" w:type="dxa"/>
          </w:tcPr>
          <w:p>
            <w:pPr>
              <w:pStyle w:val="TableParagraph"/>
              <w:rPr>
                <w:rFonts w:ascii="Times New Roman"/>
                <w:sz w:val="20"/>
              </w:rPr>
            </w:pPr>
          </w:p>
        </w:tc>
        <w:tc>
          <w:tcPr>
            <w:tcW w:w="1630" w:type="dxa"/>
          </w:tcPr>
          <w:p>
            <w:pPr>
              <w:pStyle w:val="TableParagraph"/>
              <w:spacing w:before="154"/>
              <w:ind w:left="204"/>
              <w:rPr>
                <w:rFonts w:ascii="微软雅黑" w:eastAsia="微软雅黑" w:hint="eastAsia"/>
                <w:b/>
                <w:sz w:val="22"/>
              </w:rPr>
            </w:pPr>
            <w:r>
              <w:rPr>
                <w:rFonts w:ascii="微软雅黑" w:eastAsia="微软雅黑" w:hint="eastAsia"/>
                <w:b/>
                <w:sz w:val="22"/>
              </w:rPr>
              <w:t>恶性肿瘤</w:t>
            </w:r>
          </w:p>
        </w:tc>
        <w:tc>
          <w:tcPr>
            <w:tcW w:w="8320" w:type="dxa"/>
          </w:tcPr>
          <w:p>
            <w:pPr>
              <w:pStyle w:val="TableParagraph"/>
              <w:spacing w:line="380" w:lineRule="atLeast" w:before="127"/>
              <w:ind w:left="100" w:right="54"/>
              <w:rPr>
                <w:sz w:val="22"/>
              </w:rPr>
            </w:pPr>
            <w:r>
              <w:rPr>
                <w:sz w:val="22"/>
              </w:rPr>
              <w:t>指恶性细胞不受控制的进行性增长和扩散，浸润和破坏周围正常组织，可以经血管、淋巴管和体腔扩散转移到身体其它部位的疾病。经病理学检查结果明确诊断，临床诊</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rPr>
              <w:t>断属于世界卫生组织《疾病和有关健康问题的国际统计分类》（ICD-10）的恶性肿瘤</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3"/>
              <w:ind w:left="100"/>
              <w:rPr>
                <w:sz w:val="22"/>
              </w:rPr>
            </w:pPr>
            <w:r>
              <w:rPr>
                <w:sz w:val="22"/>
              </w:rPr>
              <w:t>范畴。</w:t>
            </w:r>
          </w:p>
        </w:tc>
      </w:tr>
      <w:tr>
        <w:trPr>
          <w:trHeight w:val="379"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shd w:fill="D9D9D9" w:color="auto" w:val="clear"/>
              </w:rPr>
              <w:t>下列疾病不在保障范围内：</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shd w:fill="D9D9D9" w:color="auto" w:val="clear"/>
              </w:rPr>
              <w:t>(1) </w:t>
            </w:r>
            <w:r>
              <w:rPr>
                <w:b/>
                <w:sz w:val="22"/>
                <w:shd w:fill="D9D9D9" w:color="auto" w:val="clear"/>
              </w:rPr>
              <w:t>原位癌</w:t>
            </w:r>
            <w:r>
              <w:rPr>
                <w:sz w:val="22"/>
                <w:shd w:fill="D9D9D9" w:color="auto" w:val="clear"/>
              </w:rPr>
              <w:t>；</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3"/>
              <w:ind w:left="100"/>
              <w:rPr>
                <w:sz w:val="22"/>
              </w:rPr>
            </w:pPr>
            <w:r>
              <w:rPr>
                <w:sz w:val="22"/>
                <w:shd w:fill="D9D9D9" w:color="auto" w:val="clear"/>
              </w:rPr>
              <w:t>(2) 相当于 Binet 分期方案 A 期程度的慢性淋巴细胞白血病；</w:t>
            </w:r>
          </w:p>
        </w:tc>
      </w:tr>
      <w:tr>
        <w:trPr>
          <w:trHeight w:val="379"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shd w:fill="D9D9D9" w:color="auto" w:val="clear"/>
              </w:rPr>
              <w:t>(3) 相当于 Ann Arbor 分期方案 I 期程度的何杰金氏病；</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shd w:fill="D9D9D9" w:color="auto" w:val="clear"/>
              </w:rPr>
              <w:t>(4) 皮肤癌（不包括恶性黑色素瘤及已发生转移的皮肤癌）；</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3"/>
              <w:ind w:left="100"/>
              <w:rPr>
                <w:sz w:val="22"/>
              </w:rPr>
            </w:pPr>
            <w:r>
              <w:rPr>
                <w:position w:val="1"/>
                <w:sz w:val="22"/>
                <w:shd w:fill="D9D9D9" w:color="auto" w:val="clear"/>
              </w:rPr>
              <w:t>(5) TNM 分期为 T</w:t>
            </w:r>
            <w:r>
              <w:rPr>
                <w:sz w:val="11"/>
              </w:rPr>
              <w:t>1</w:t>
            </w:r>
            <w:r>
              <w:rPr>
                <w:position w:val="1"/>
                <w:sz w:val="22"/>
                <w:shd w:fill="D9D9D9" w:color="auto" w:val="clear"/>
              </w:rPr>
              <w:t>N</w:t>
            </w:r>
            <w:r>
              <w:rPr>
                <w:sz w:val="11"/>
              </w:rPr>
              <w:t>0</w:t>
            </w:r>
            <w:r>
              <w:rPr>
                <w:position w:val="1"/>
                <w:sz w:val="22"/>
                <w:shd w:fill="D9D9D9" w:color="auto" w:val="clear"/>
              </w:rPr>
              <w:t>M</w:t>
            </w:r>
            <w:r>
              <w:rPr>
                <w:sz w:val="11"/>
              </w:rPr>
              <w:t>0</w:t>
            </w:r>
            <w:r>
              <w:rPr>
                <w:position w:val="1"/>
                <w:sz w:val="11"/>
              </w:rPr>
              <w:t> </w:t>
            </w:r>
            <w:r>
              <w:rPr>
                <w:position w:val="1"/>
                <w:sz w:val="22"/>
                <w:shd w:fill="D9D9D9" w:color="auto" w:val="clear"/>
              </w:rPr>
              <w:t>期或更轻分期的前列腺癌（注）；</w:t>
            </w:r>
          </w:p>
        </w:tc>
      </w:tr>
      <w:tr>
        <w:trPr>
          <w:trHeight w:val="379"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shd w:fill="D9D9D9" w:color="auto" w:val="clear"/>
              </w:rPr>
              <w:t>(6) 感染艾滋病病毒或患艾滋病期间所患恶性肿瘤。</w:t>
            </w:r>
          </w:p>
        </w:tc>
      </w:tr>
      <w:tr>
        <w:trPr>
          <w:trHeight w:val="553"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shd w:fill="D9D9D9" w:color="auto" w:val="clear"/>
              </w:rPr>
              <w:t>注：如果为女性重大疾病保险，则不包括此项。</w:t>
            </w:r>
          </w:p>
        </w:tc>
      </w:tr>
      <w:tr>
        <w:trPr>
          <w:trHeight w:val="966" w:hRule="atLeast"/>
        </w:trPr>
        <w:tc>
          <w:tcPr>
            <w:tcW w:w="590" w:type="dxa"/>
          </w:tcPr>
          <w:p>
            <w:pPr>
              <w:pStyle w:val="TableParagraph"/>
              <w:rPr>
                <w:rFonts w:ascii="Times New Roman"/>
                <w:sz w:val="20"/>
              </w:rPr>
            </w:pPr>
          </w:p>
        </w:tc>
        <w:tc>
          <w:tcPr>
            <w:tcW w:w="1630" w:type="dxa"/>
          </w:tcPr>
          <w:p>
            <w:pPr>
              <w:pStyle w:val="TableParagraph"/>
              <w:spacing w:before="153"/>
              <w:ind w:left="204"/>
              <w:rPr>
                <w:rFonts w:ascii="微软雅黑" w:eastAsia="微软雅黑" w:hint="eastAsia"/>
                <w:b/>
                <w:sz w:val="22"/>
              </w:rPr>
            </w:pPr>
            <w:r>
              <w:rPr>
                <w:rFonts w:ascii="微软雅黑" w:eastAsia="微软雅黑" w:hint="eastAsia"/>
                <w:b/>
                <w:sz w:val="22"/>
              </w:rPr>
              <w:t>急性心肌梗塞</w:t>
            </w:r>
          </w:p>
        </w:tc>
        <w:tc>
          <w:tcPr>
            <w:tcW w:w="8320" w:type="dxa"/>
          </w:tcPr>
          <w:p>
            <w:pPr>
              <w:pStyle w:val="TableParagraph"/>
              <w:spacing w:line="380" w:lineRule="atLeast" w:before="127"/>
              <w:ind w:left="100" w:right="54"/>
              <w:rPr>
                <w:sz w:val="22"/>
              </w:rPr>
            </w:pPr>
            <w:r>
              <w:rPr>
                <w:sz w:val="22"/>
              </w:rPr>
              <w:t>指因冠状动脉阻塞导致的相应区域供血不足造成部分心肌坏死。须满足下列至少三项条件：</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3"/>
              <w:ind w:left="100"/>
              <w:rPr>
                <w:sz w:val="22"/>
              </w:rPr>
            </w:pPr>
            <w:r>
              <w:rPr>
                <w:sz w:val="22"/>
              </w:rPr>
              <w:t>(1) 典型临床表现，例如急性胸痛等；</w:t>
            </w:r>
          </w:p>
        </w:tc>
      </w:tr>
      <w:tr>
        <w:trPr>
          <w:trHeight w:val="379"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rPr>
              <w:t>(2) 新近的心电图改变提示急性心肌梗塞；</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rPr>
              <w:t>(3) 心肌酶或肌钙蛋白有诊断意义的升高，或呈符合急性心肌梗塞的动态性变化；</w:t>
            </w:r>
          </w:p>
        </w:tc>
      </w:tr>
      <w:tr>
        <w:trPr>
          <w:trHeight w:val="554"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3"/>
              <w:ind w:left="100"/>
              <w:rPr>
                <w:sz w:val="22"/>
              </w:rPr>
            </w:pPr>
            <w:r>
              <w:rPr>
                <w:sz w:val="22"/>
              </w:rPr>
              <w:t>(4) 发病90天后，经检查证实左心室功能降低，如左心室射血分数低于50%。</w:t>
            </w:r>
          </w:p>
        </w:tc>
      </w:tr>
      <w:tr>
        <w:trPr>
          <w:trHeight w:val="966" w:hRule="atLeast"/>
        </w:trPr>
        <w:tc>
          <w:tcPr>
            <w:tcW w:w="590" w:type="dxa"/>
          </w:tcPr>
          <w:p>
            <w:pPr>
              <w:pStyle w:val="TableParagraph"/>
              <w:rPr>
                <w:rFonts w:ascii="Times New Roman"/>
                <w:sz w:val="20"/>
              </w:rPr>
            </w:pPr>
          </w:p>
        </w:tc>
        <w:tc>
          <w:tcPr>
            <w:tcW w:w="1630" w:type="dxa"/>
          </w:tcPr>
          <w:p>
            <w:pPr>
              <w:pStyle w:val="TableParagraph"/>
              <w:spacing w:before="152"/>
              <w:ind w:left="204"/>
              <w:rPr>
                <w:rFonts w:ascii="微软雅黑" w:eastAsia="微软雅黑" w:hint="eastAsia"/>
                <w:b/>
                <w:sz w:val="22"/>
              </w:rPr>
            </w:pPr>
            <w:r>
              <w:rPr>
                <w:rFonts w:ascii="微软雅黑" w:eastAsia="微软雅黑" w:hint="eastAsia"/>
                <w:b/>
                <w:sz w:val="22"/>
              </w:rPr>
              <w:t>脑中风后遗症</w:t>
            </w:r>
          </w:p>
        </w:tc>
        <w:tc>
          <w:tcPr>
            <w:tcW w:w="8320" w:type="dxa"/>
          </w:tcPr>
          <w:p>
            <w:pPr>
              <w:pStyle w:val="TableParagraph"/>
              <w:spacing w:line="380" w:lineRule="atLeast" w:before="126"/>
              <w:ind w:left="100" w:right="51"/>
              <w:rPr>
                <w:sz w:val="22"/>
              </w:rPr>
            </w:pPr>
            <w:r>
              <w:rPr>
                <w:spacing w:val="-3"/>
                <w:sz w:val="22"/>
              </w:rPr>
              <w:t>指因脑血管的突发病变引起脑血管出血、栓塞或梗塞，并导致神经系统永久性的功能</w:t>
            </w:r>
            <w:r>
              <w:rPr>
                <w:spacing w:val="-5"/>
                <w:sz w:val="22"/>
              </w:rPr>
              <w:t>障碍。神经系统永久性的功能障碍，指疾病确诊 </w:t>
            </w:r>
            <w:r>
              <w:rPr>
                <w:sz w:val="22"/>
              </w:rPr>
              <w:t>180</w:t>
            </w:r>
            <w:r>
              <w:rPr>
                <w:spacing w:val="-7"/>
                <w:sz w:val="22"/>
              </w:rPr>
              <w:t> 天后，仍遗留下列一种或一种以</w:t>
            </w:r>
          </w:p>
        </w:tc>
      </w:tr>
      <w:tr>
        <w:trPr>
          <w:trHeight w:val="379"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rPr>
              <w:t>上障碍：</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2"/>
              <w:ind w:left="100"/>
              <w:rPr>
                <w:sz w:val="22"/>
              </w:rPr>
            </w:pPr>
            <w:r>
              <w:rPr>
                <w:sz w:val="22"/>
              </w:rPr>
              <w:t>(1) 一肢或一肢以上</w:t>
            </w:r>
            <w:r>
              <w:rPr>
                <w:b/>
                <w:sz w:val="22"/>
              </w:rPr>
              <w:t>肢体机能完全丧失</w:t>
            </w:r>
            <w:r>
              <w:rPr>
                <w:sz w:val="22"/>
              </w:rPr>
              <w:t>；</w:t>
            </w:r>
          </w:p>
        </w:tc>
      </w:tr>
      <w:tr>
        <w:trPr>
          <w:trHeight w:val="38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before="13"/>
              <w:ind w:left="100"/>
              <w:rPr>
                <w:sz w:val="22"/>
              </w:rPr>
            </w:pPr>
            <w:r>
              <w:rPr>
                <w:sz w:val="22"/>
              </w:rPr>
              <w:t>(2)</w:t>
            </w:r>
            <w:r>
              <w:rPr>
                <w:spacing w:val="-78"/>
                <w:sz w:val="22"/>
              </w:rPr>
              <w:t> </w:t>
            </w:r>
            <w:r>
              <w:rPr>
                <w:b/>
                <w:sz w:val="22"/>
              </w:rPr>
              <w:t>语言能力或咀嚼吞咽能力完全丧失</w:t>
            </w:r>
            <w:r>
              <w:rPr>
                <w:sz w:val="22"/>
              </w:rPr>
              <w:t>；</w:t>
            </w:r>
          </w:p>
        </w:tc>
      </w:tr>
      <w:tr>
        <w:trPr>
          <w:trHeight w:val="300" w:hRule="atLeast"/>
        </w:trPr>
        <w:tc>
          <w:tcPr>
            <w:tcW w:w="590" w:type="dxa"/>
          </w:tcPr>
          <w:p>
            <w:pPr>
              <w:pStyle w:val="TableParagraph"/>
              <w:rPr>
                <w:rFonts w:ascii="Times New Roman"/>
                <w:sz w:val="20"/>
              </w:rPr>
            </w:pPr>
          </w:p>
        </w:tc>
        <w:tc>
          <w:tcPr>
            <w:tcW w:w="1630" w:type="dxa"/>
          </w:tcPr>
          <w:p>
            <w:pPr>
              <w:pStyle w:val="TableParagraph"/>
              <w:rPr>
                <w:rFonts w:ascii="Times New Roman"/>
                <w:sz w:val="20"/>
              </w:rPr>
            </w:pPr>
          </w:p>
        </w:tc>
        <w:tc>
          <w:tcPr>
            <w:tcW w:w="8320" w:type="dxa"/>
          </w:tcPr>
          <w:p>
            <w:pPr>
              <w:pStyle w:val="TableParagraph"/>
              <w:spacing w:line="268" w:lineRule="exact" w:before="12"/>
              <w:ind w:left="100"/>
              <w:rPr>
                <w:sz w:val="22"/>
              </w:rPr>
            </w:pPr>
            <w:r>
              <w:rPr>
                <w:sz w:val="22"/>
              </w:rPr>
              <w:t>(3) 自主生活能力完全丧失，无法独立完成</w:t>
            </w:r>
            <w:r>
              <w:rPr>
                <w:b/>
                <w:sz w:val="22"/>
              </w:rPr>
              <w:t>六项基本日常生活活动</w:t>
            </w:r>
            <w:r>
              <w:rPr>
                <w:sz w:val="22"/>
              </w:rPr>
              <w:t>中的三项或三项以</w:t>
            </w:r>
          </w:p>
        </w:tc>
      </w:tr>
    </w:tbl>
    <w:p>
      <w:pPr>
        <w:spacing w:after="0" w:line="268" w:lineRule="exact"/>
        <w:rPr>
          <w:sz w:val="22"/>
        </w:rPr>
        <w:sectPr>
          <w:headerReference w:type="default" r:id="rId15"/>
          <w:pgSz w:w="11910" w:h="16840"/>
          <w:pgMar w:header="426" w:footer="309" w:top="620" w:bottom="500" w:left="580" w:right="580"/>
        </w:sectPr>
      </w:pPr>
    </w:p>
    <w:tbl>
      <w:tblPr>
        <w:tblW w:w="0" w:type="auto"/>
        <w:jc w:val="left"/>
        <w:tblInd w:w="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8470"/>
      </w:tblGrid>
      <w:tr>
        <w:trPr>
          <w:trHeight w:val="809" w:hRule="atLeast"/>
        </w:trPr>
        <w:tc>
          <w:tcPr>
            <w:tcW w:w="1626" w:type="dxa"/>
          </w:tcPr>
          <w:p>
            <w:pPr>
              <w:pStyle w:val="TableParagraph"/>
              <w:rPr>
                <w:rFonts w:ascii="Times New Roman"/>
                <w:sz w:val="20"/>
              </w:rPr>
            </w:pPr>
          </w:p>
        </w:tc>
        <w:tc>
          <w:tcPr>
            <w:tcW w:w="8470" w:type="dxa"/>
          </w:tcPr>
          <w:p>
            <w:pPr>
              <w:pStyle w:val="TableParagraph"/>
              <w:spacing w:before="4"/>
              <w:rPr>
                <w:rFonts w:ascii="Times New Roman"/>
                <w:sz w:val="23"/>
              </w:rPr>
            </w:pPr>
          </w:p>
          <w:p>
            <w:pPr>
              <w:pStyle w:val="TableParagraph"/>
              <w:ind w:left="460"/>
              <w:rPr>
                <w:sz w:val="22"/>
              </w:rPr>
            </w:pPr>
            <w:r>
              <w:rPr>
                <w:sz w:val="22"/>
              </w:rPr>
              <w:t>上。</w:t>
            </w:r>
          </w:p>
        </w:tc>
      </w:tr>
      <w:tr>
        <w:trPr>
          <w:trHeight w:val="1899" w:hRule="atLeast"/>
        </w:trPr>
        <w:tc>
          <w:tcPr>
            <w:tcW w:w="1626" w:type="dxa"/>
          </w:tcPr>
          <w:p>
            <w:pPr>
              <w:pStyle w:val="TableParagraph"/>
              <w:spacing w:before="152"/>
              <w:ind w:left="200" w:right="99"/>
              <w:jc w:val="both"/>
              <w:rPr>
                <w:rFonts w:ascii="微软雅黑" w:eastAsia="微软雅黑" w:hint="eastAsia"/>
                <w:b/>
                <w:sz w:val="22"/>
              </w:rPr>
            </w:pPr>
            <w:r>
              <w:rPr>
                <w:rFonts w:ascii="微软雅黑" w:eastAsia="微软雅黑" w:hint="eastAsia"/>
                <w:b/>
                <w:sz w:val="22"/>
              </w:rPr>
              <w:t>重大器官移植术或造血干细胞移植术</w:t>
            </w:r>
          </w:p>
        </w:tc>
        <w:tc>
          <w:tcPr>
            <w:tcW w:w="8470" w:type="dxa"/>
          </w:tcPr>
          <w:p>
            <w:pPr>
              <w:pStyle w:val="TableParagraph"/>
              <w:spacing w:before="11"/>
              <w:rPr>
                <w:rFonts w:ascii="Times New Roman"/>
                <w:sz w:val="18"/>
              </w:rPr>
            </w:pPr>
          </w:p>
          <w:p>
            <w:pPr>
              <w:pStyle w:val="TableParagraph"/>
              <w:spacing w:line="319" w:lineRule="auto"/>
              <w:ind w:left="100" w:right="205"/>
              <w:rPr>
                <w:sz w:val="22"/>
              </w:rPr>
            </w:pPr>
            <w:r>
              <w:rPr>
                <w:sz w:val="22"/>
              </w:rPr>
              <w:t>重大器官移植术，指因相应器官功能衰竭，已经实施了肾脏、肝脏、心脏或肺脏的异体移植手术。</w:t>
            </w:r>
          </w:p>
          <w:p>
            <w:pPr>
              <w:pStyle w:val="TableParagraph"/>
              <w:spacing w:before="18"/>
              <w:ind w:left="100"/>
              <w:rPr>
                <w:sz w:val="22"/>
              </w:rPr>
            </w:pPr>
            <w:r>
              <w:rPr>
                <w:sz w:val="22"/>
              </w:rPr>
              <w:t>造血干细胞移植术，指因造血功能损害或造血系统恶性肿瘤，已经实施了造血干细胞</w:t>
            </w:r>
          </w:p>
          <w:p>
            <w:pPr>
              <w:pStyle w:val="TableParagraph"/>
              <w:spacing w:before="90"/>
              <w:ind w:left="100"/>
              <w:rPr>
                <w:sz w:val="22"/>
              </w:rPr>
            </w:pPr>
            <w:r>
              <w:rPr>
                <w:sz w:val="22"/>
              </w:rPr>
              <w:t>（包括骨髓造血干细胞、外周血造血干细胞和脐血造血干细胞）的异体移植手术。</w:t>
            </w:r>
          </w:p>
        </w:tc>
      </w:tr>
      <w:tr>
        <w:trPr>
          <w:trHeight w:val="1920" w:hRule="atLeast"/>
        </w:trPr>
        <w:tc>
          <w:tcPr>
            <w:tcW w:w="1626" w:type="dxa"/>
          </w:tcPr>
          <w:p>
            <w:pPr>
              <w:pStyle w:val="TableParagraph"/>
              <w:spacing w:before="153"/>
              <w:ind w:left="200" w:right="99"/>
              <w:jc w:val="both"/>
              <w:rPr>
                <w:rFonts w:ascii="微软雅黑" w:eastAsia="微软雅黑" w:hint="eastAsia"/>
                <w:b/>
                <w:sz w:val="22"/>
              </w:rPr>
            </w:pPr>
            <w:r>
              <w:rPr>
                <w:rFonts w:ascii="微软雅黑" w:eastAsia="微软雅黑" w:hint="eastAsia"/>
                <w:b/>
                <w:sz w:val="22"/>
              </w:rPr>
              <w:t>冠状动脉搭桥术（或称冠状动脉旁路移植术）</w:t>
            </w:r>
          </w:p>
        </w:tc>
        <w:tc>
          <w:tcPr>
            <w:tcW w:w="8470" w:type="dxa"/>
          </w:tcPr>
          <w:p>
            <w:pPr>
              <w:pStyle w:val="TableParagraph"/>
              <w:rPr>
                <w:rFonts w:ascii="Times New Roman"/>
                <w:sz w:val="19"/>
              </w:rPr>
            </w:pPr>
          </w:p>
          <w:p>
            <w:pPr>
              <w:pStyle w:val="TableParagraph"/>
              <w:ind w:left="100"/>
              <w:rPr>
                <w:sz w:val="22"/>
              </w:rPr>
            </w:pPr>
            <w:r>
              <w:rPr>
                <w:sz w:val="22"/>
              </w:rPr>
              <w:t>指为治疗严重的冠心病，实际实施了开胸进行的冠状动脉血管旁路移植的手术。</w:t>
            </w:r>
          </w:p>
          <w:p>
            <w:pPr>
              <w:pStyle w:val="TableParagraph"/>
              <w:spacing w:line="319" w:lineRule="auto" w:before="90"/>
              <w:ind w:left="100" w:right="205"/>
              <w:rPr>
                <w:sz w:val="22"/>
              </w:rPr>
            </w:pPr>
            <w:r>
              <w:rPr>
                <w:sz w:val="22"/>
                <w:shd w:fill="D9D9D9" w:color="auto" w:val="clear"/>
              </w:rPr>
              <w:t>冠状动脉支架植入术、心导管球囊扩张术、激光射频技术及其它非开胸的介入手术、腔镜手术不在保障范围内。</w:t>
            </w:r>
          </w:p>
        </w:tc>
      </w:tr>
      <w:tr>
        <w:trPr>
          <w:trHeight w:val="1899" w:hRule="atLeast"/>
        </w:trPr>
        <w:tc>
          <w:tcPr>
            <w:tcW w:w="1626" w:type="dxa"/>
          </w:tcPr>
          <w:p>
            <w:pPr>
              <w:pStyle w:val="TableParagraph"/>
              <w:spacing w:line="380" w:lineRule="exact" w:before="134"/>
              <w:ind w:left="200"/>
              <w:rPr>
                <w:rFonts w:ascii="微软雅黑" w:eastAsia="微软雅黑" w:hint="eastAsia"/>
                <w:b/>
                <w:sz w:val="22"/>
              </w:rPr>
            </w:pPr>
            <w:r>
              <w:rPr>
                <w:rFonts w:ascii="微软雅黑" w:eastAsia="微软雅黑" w:hint="eastAsia"/>
                <w:b/>
                <w:sz w:val="22"/>
              </w:rPr>
              <w:t>终末期肾病</w:t>
            </w:r>
          </w:p>
          <w:p>
            <w:pPr>
              <w:pStyle w:val="TableParagraph"/>
              <w:ind w:left="200" w:right="99"/>
              <w:jc w:val="both"/>
              <w:rPr>
                <w:rFonts w:ascii="微软雅黑" w:eastAsia="微软雅黑" w:hint="eastAsia"/>
                <w:b/>
                <w:sz w:val="22"/>
              </w:rPr>
            </w:pPr>
            <w:r>
              <w:rPr>
                <w:rFonts w:ascii="微软雅黑" w:eastAsia="微软雅黑" w:hint="eastAsia"/>
                <w:b/>
                <w:sz w:val="22"/>
              </w:rPr>
              <w:t>（或称慢性肾功能衰竭尿毒症期）</w:t>
            </w:r>
          </w:p>
        </w:tc>
        <w:tc>
          <w:tcPr>
            <w:tcW w:w="8470" w:type="dxa"/>
          </w:tcPr>
          <w:p>
            <w:pPr>
              <w:pStyle w:val="TableParagraph"/>
              <w:spacing w:before="4"/>
              <w:rPr>
                <w:rFonts w:ascii="Times New Roman"/>
                <w:sz w:val="17"/>
              </w:rPr>
            </w:pPr>
          </w:p>
          <w:p>
            <w:pPr>
              <w:pStyle w:val="TableParagraph"/>
              <w:spacing w:line="316" w:lineRule="auto"/>
              <w:ind w:left="100" w:right="198"/>
              <w:rPr>
                <w:sz w:val="22"/>
              </w:rPr>
            </w:pPr>
            <w:r>
              <w:rPr>
                <w:sz w:val="22"/>
              </w:rPr>
              <w:t>指双肾功能慢性不可逆性衰竭，达到尿毒症期，经诊断后已经进行了至少 90 天的规律性透析治疗或实施了肾脏移植手术。</w:t>
            </w:r>
          </w:p>
        </w:tc>
      </w:tr>
      <w:tr>
        <w:trPr>
          <w:trHeight w:val="1120" w:hRule="atLeast"/>
        </w:trPr>
        <w:tc>
          <w:tcPr>
            <w:tcW w:w="1626" w:type="dxa"/>
          </w:tcPr>
          <w:p>
            <w:pPr>
              <w:pStyle w:val="TableParagraph"/>
              <w:spacing w:before="133"/>
              <w:ind w:left="200"/>
              <w:rPr>
                <w:rFonts w:ascii="微软雅黑" w:eastAsia="微软雅黑" w:hint="eastAsia"/>
                <w:b/>
                <w:sz w:val="22"/>
              </w:rPr>
            </w:pPr>
            <w:r>
              <w:rPr>
                <w:rFonts w:ascii="微软雅黑" w:eastAsia="微软雅黑" w:hint="eastAsia"/>
                <w:b/>
                <w:sz w:val="22"/>
              </w:rPr>
              <w:t>多个肢体缺失</w:t>
            </w:r>
          </w:p>
        </w:tc>
        <w:tc>
          <w:tcPr>
            <w:tcW w:w="8470" w:type="dxa"/>
          </w:tcPr>
          <w:p>
            <w:pPr>
              <w:pStyle w:val="TableParagraph"/>
              <w:spacing w:before="2"/>
              <w:rPr>
                <w:rFonts w:ascii="Times New Roman"/>
                <w:sz w:val="17"/>
              </w:rPr>
            </w:pPr>
          </w:p>
          <w:p>
            <w:pPr>
              <w:pStyle w:val="TableParagraph"/>
              <w:spacing w:line="319" w:lineRule="auto" w:before="1"/>
              <w:ind w:left="100" w:right="205"/>
              <w:rPr>
                <w:sz w:val="22"/>
              </w:rPr>
            </w:pPr>
            <w:r>
              <w:rPr>
                <w:sz w:val="22"/>
              </w:rPr>
              <w:t>指因疾病或意外伤害导致两个或两个以上肢体自腕关节或踝关节近端（靠近躯干端） 以上完全性断离。</w:t>
            </w:r>
          </w:p>
        </w:tc>
      </w:tr>
      <w:tr>
        <w:trPr>
          <w:trHeight w:val="2660" w:hRule="atLeast"/>
        </w:trPr>
        <w:tc>
          <w:tcPr>
            <w:tcW w:w="1626" w:type="dxa"/>
          </w:tcPr>
          <w:p>
            <w:pPr>
              <w:pStyle w:val="TableParagraph"/>
              <w:spacing w:before="152"/>
              <w:ind w:left="200" w:right="99"/>
              <w:rPr>
                <w:rFonts w:ascii="微软雅黑" w:eastAsia="微软雅黑" w:hint="eastAsia"/>
                <w:b/>
                <w:sz w:val="22"/>
              </w:rPr>
            </w:pPr>
            <w:r>
              <w:rPr>
                <w:rFonts w:ascii="微软雅黑" w:eastAsia="微软雅黑" w:hint="eastAsia"/>
                <w:b/>
                <w:sz w:val="22"/>
              </w:rPr>
              <w:t>急性或亚急性重症肝炎</w:t>
            </w:r>
          </w:p>
        </w:tc>
        <w:tc>
          <w:tcPr>
            <w:tcW w:w="8470" w:type="dxa"/>
          </w:tcPr>
          <w:p>
            <w:pPr>
              <w:pStyle w:val="TableParagraph"/>
              <w:spacing w:before="10"/>
              <w:rPr>
                <w:rFonts w:ascii="Times New Roman"/>
                <w:sz w:val="18"/>
              </w:rPr>
            </w:pPr>
          </w:p>
          <w:p>
            <w:pPr>
              <w:pStyle w:val="TableParagraph"/>
              <w:spacing w:line="319" w:lineRule="auto" w:before="1"/>
              <w:ind w:left="100" w:right="205"/>
              <w:rPr>
                <w:sz w:val="22"/>
              </w:rPr>
            </w:pPr>
            <w:r>
              <w:rPr>
                <w:sz w:val="22"/>
              </w:rPr>
              <w:t>指因肝炎病毒感染引起肝脏组织弥漫性坏死，导致急性肝功能衰竭，且经血清学或病毒学检查证实，并须满足下列全部条件：</w:t>
            </w:r>
          </w:p>
          <w:p>
            <w:pPr>
              <w:pStyle w:val="TableParagraph"/>
              <w:spacing w:before="19"/>
              <w:ind w:left="100"/>
              <w:rPr>
                <w:sz w:val="22"/>
              </w:rPr>
            </w:pPr>
            <w:r>
              <w:rPr>
                <w:sz w:val="22"/>
              </w:rPr>
              <w:t>(1)重度黄疸或黄疸迅速加重；</w:t>
            </w:r>
          </w:p>
          <w:p>
            <w:pPr>
              <w:pStyle w:val="TableParagraph"/>
              <w:spacing w:before="91"/>
              <w:ind w:left="100"/>
              <w:rPr>
                <w:sz w:val="22"/>
              </w:rPr>
            </w:pPr>
            <w:r>
              <w:rPr>
                <w:sz w:val="22"/>
              </w:rPr>
              <w:t>(2)肝性脑病；</w:t>
            </w:r>
          </w:p>
          <w:p>
            <w:pPr>
              <w:pStyle w:val="TableParagraph"/>
              <w:spacing w:before="93"/>
              <w:ind w:left="100"/>
              <w:rPr>
                <w:sz w:val="22"/>
              </w:rPr>
            </w:pPr>
            <w:r>
              <w:rPr>
                <w:sz w:val="22"/>
              </w:rPr>
              <w:t>(3)B 超或其它影像学检查显示肝脏体积急速萎缩；</w:t>
            </w:r>
          </w:p>
          <w:p>
            <w:pPr>
              <w:pStyle w:val="TableParagraph"/>
              <w:spacing w:before="90"/>
              <w:ind w:left="100"/>
              <w:rPr>
                <w:sz w:val="22"/>
              </w:rPr>
            </w:pPr>
            <w:r>
              <w:rPr>
                <w:sz w:val="22"/>
              </w:rPr>
              <w:t>(4)肝功能指标进行性恶化。</w:t>
            </w:r>
          </w:p>
        </w:tc>
      </w:tr>
      <w:tr>
        <w:trPr>
          <w:trHeight w:val="3040"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良性脑肿瘤</w:t>
            </w:r>
          </w:p>
        </w:tc>
        <w:tc>
          <w:tcPr>
            <w:tcW w:w="8470" w:type="dxa"/>
          </w:tcPr>
          <w:p>
            <w:pPr>
              <w:pStyle w:val="TableParagraph"/>
              <w:rPr>
                <w:rFonts w:ascii="Times New Roman"/>
                <w:sz w:val="19"/>
              </w:rPr>
            </w:pPr>
          </w:p>
          <w:p>
            <w:pPr>
              <w:pStyle w:val="TableParagraph"/>
              <w:spacing w:line="316" w:lineRule="auto"/>
              <w:ind w:left="100" w:right="200"/>
              <w:rPr>
                <w:sz w:val="22"/>
              </w:rPr>
            </w:pPr>
            <w:r>
              <w:rPr>
                <w:spacing w:val="-3"/>
                <w:sz w:val="22"/>
              </w:rPr>
              <w:t>指脑的良性肿瘤，已经引起颅内压增高，临床表现为视神经乳头水肿、精神症状、癫</w:t>
            </w:r>
            <w:r>
              <w:rPr>
                <w:spacing w:val="7"/>
                <w:sz w:val="22"/>
              </w:rPr>
              <w:t>痫及运动感觉障碍等， 并危及生命。须由头颅断层扫描</w:t>
            </w:r>
            <w:r>
              <w:rPr>
                <w:sz w:val="22"/>
              </w:rPr>
              <w:t>（</w:t>
            </w:r>
            <w:r>
              <w:rPr>
                <w:spacing w:val="-51"/>
                <w:sz w:val="22"/>
              </w:rPr>
              <w:t> </w:t>
            </w:r>
            <w:r>
              <w:rPr>
                <w:spacing w:val="10"/>
                <w:sz w:val="22"/>
              </w:rPr>
              <w:t>CT）</w:t>
            </w:r>
            <w:r>
              <w:rPr>
                <w:spacing w:val="13"/>
                <w:sz w:val="22"/>
              </w:rPr>
              <w:t>、核磁共振检查</w:t>
            </w:r>
          </w:p>
          <w:p>
            <w:pPr>
              <w:pStyle w:val="TableParagraph"/>
              <w:spacing w:line="319" w:lineRule="auto" w:before="20"/>
              <w:ind w:left="100" w:right="202"/>
              <w:rPr>
                <w:sz w:val="22"/>
              </w:rPr>
            </w:pPr>
            <w:r>
              <w:rPr>
                <w:sz w:val="22"/>
              </w:rPr>
              <w:t>（MRI）或正电子发射断层扫描（PET）等影像学检查证实，并须满足下列至少一项条件：</w:t>
            </w:r>
          </w:p>
          <w:p>
            <w:pPr>
              <w:pStyle w:val="TableParagraph"/>
              <w:spacing w:before="18"/>
              <w:ind w:left="100"/>
              <w:rPr>
                <w:sz w:val="22"/>
              </w:rPr>
            </w:pPr>
            <w:r>
              <w:rPr>
                <w:sz w:val="22"/>
              </w:rPr>
              <w:t>(1)实际实施了开颅进行的脑肿瘤完全切除或部分切除的手术；</w:t>
            </w:r>
          </w:p>
          <w:p>
            <w:pPr>
              <w:pStyle w:val="TableParagraph"/>
              <w:spacing w:before="91"/>
              <w:ind w:left="100"/>
              <w:rPr>
                <w:sz w:val="22"/>
              </w:rPr>
            </w:pPr>
            <w:r>
              <w:rPr>
                <w:sz w:val="22"/>
              </w:rPr>
              <w:t>(2)实际实施了对脑肿瘤进行的放射治疗。</w:t>
            </w:r>
          </w:p>
          <w:p>
            <w:pPr>
              <w:pStyle w:val="TableParagraph"/>
              <w:spacing w:before="93"/>
              <w:ind w:left="100"/>
              <w:rPr>
                <w:sz w:val="22"/>
              </w:rPr>
            </w:pPr>
            <w:r>
              <w:rPr>
                <w:sz w:val="22"/>
                <w:shd w:fill="D9D9D9" w:color="auto" w:val="clear"/>
              </w:rPr>
              <w:t>脑垂体瘤、脑囊肿、脑血管性疾病不在保障范围内。</w:t>
            </w:r>
          </w:p>
        </w:tc>
      </w:tr>
      <w:tr>
        <w:trPr>
          <w:trHeight w:val="1645" w:hRule="atLeast"/>
        </w:trPr>
        <w:tc>
          <w:tcPr>
            <w:tcW w:w="1626" w:type="dxa"/>
          </w:tcPr>
          <w:p>
            <w:pPr>
              <w:pStyle w:val="TableParagraph"/>
              <w:spacing w:before="152"/>
              <w:ind w:left="200" w:right="99"/>
              <w:rPr>
                <w:rFonts w:ascii="微软雅黑" w:eastAsia="微软雅黑" w:hint="eastAsia"/>
                <w:b/>
                <w:sz w:val="22"/>
              </w:rPr>
            </w:pPr>
            <w:r>
              <w:rPr>
                <w:rFonts w:ascii="微软雅黑" w:eastAsia="微软雅黑" w:hint="eastAsia"/>
                <w:b/>
                <w:sz w:val="22"/>
              </w:rPr>
              <w:t>慢性肝功能衰竭失代偿期</w:t>
            </w:r>
          </w:p>
        </w:tc>
        <w:tc>
          <w:tcPr>
            <w:tcW w:w="8470" w:type="dxa"/>
          </w:tcPr>
          <w:p>
            <w:pPr>
              <w:pStyle w:val="TableParagraph"/>
              <w:spacing w:before="10"/>
              <w:rPr>
                <w:rFonts w:ascii="Times New Roman"/>
                <w:sz w:val="18"/>
              </w:rPr>
            </w:pPr>
          </w:p>
          <w:p>
            <w:pPr>
              <w:pStyle w:val="TableParagraph"/>
              <w:spacing w:before="1"/>
              <w:ind w:left="100"/>
              <w:rPr>
                <w:sz w:val="22"/>
              </w:rPr>
            </w:pPr>
            <w:r>
              <w:rPr>
                <w:sz w:val="22"/>
              </w:rPr>
              <w:t>指因慢性肝脏疾病导致肝功能衰竭。须满足下列全部条件：</w:t>
            </w:r>
          </w:p>
          <w:p>
            <w:pPr>
              <w:pStyle w:val="TableParagraph"/>
              <w:spacing w:before="93"/>
              <w:ind w:left="100"/>
              <w:rPr>
                <w:sz w:val="22"/>
              </w:rPr>
            </w:pPr>
            <w:r>
              <w:rPr>
                <w:sz w:val="22"/>
              </w:rPr>
              <w:t>(1)持续性黄疸；</w:t>
            </w:r>
          </w:p>
          <w:p>
            <w:pPr>
              <w:pStyle w:val="TableParagraph"/>
              <w:spacing w:before="90"/>
              <w:ind w:left="100"/>
              <w:rPr>
                <w:sz w:val="22"/>
              </w:rPr>
            </w:pPr>
            <w:r>
              <w:rPr>
                <w:sz w:val="22"/>
              </w:rPr>
              <w:t>(2)腹水；</w:t>
            </w:r>
          </w:p>
          <w:p>
            <w:pPr>
              <w:pStyle w:val="TableParagraph"/>
              <w:spacing w:line="268" w:lineRule="exact" w:before="90"/>
              <w:ind w:left="100"/>
              <w:rPr>
                <w:sz w:val="22"/>
              </w:rPr>
            </w:pPr>
            <w:r>
              <w:rPr>
                <w:sz w:val="22"/>
              </w:rPr>
              <w:t>(3)肝性脑病；</w:t>
            </w:r>
          </w:p>
        </w:tc>
      </w:tr>
    </w:tbl>
    <w:p>
      <w:pPr>
        <w:spacing w:after="0" w:line="268" w:lineRule="exact"/>
        <w:rPr>
          <w:sz w:val="22"/>
        </w:rPr>
        <w:sectPr>
          <w:pgSz w:w="11910" w:h="16840"/>
          <w:pgMar w:header="426" w:footer="309" w:top="620" w:bottom="500" w:left="740" w:right="420"/>
        </w:sectPr>
      </w:pPr>
    </w:p>
    <w:p>
      <w:pPr>
        <w:pStyle w:val="BodyText"/>
        <w:spacing w:before="1"/>
        <w:rPr>
          <w:rFonts w:ascii="Times New Roman"/>
          <w:sz w:val="20"/>
        </w:rPr>
      </w:pPr>
    </w:p>
    <w:p>
      <w:pPr>
        <w:pStyle w:val="BodyText"/>
        <w:spacing w:line="316" w:lineRule="auto" w:before="33"/>
        <w:ind w:left="2267" w:right="2997"/>
      </w:pPr>
      <w:r>
        <w:rPr/>
        <w:t>(4)充血性脾肿大伴脾功能亢进或食管胃底静脉曲张。</w:t>
      </w:r>
      <w:r>
        <w:rPr>
          <w:shd w:fill="D9D9D9" w:color="auto" w:val="clear"/>
        </w:rPr>
        <w:t>因酗酒或药物滥用导致的肝功能衰竭不在保障范围内。</w:t>
      </w:r>
    </w:p>
    <w:p>
      <w:pPr>
        <w:pStyle w:val="BodyText"/>
        <w:spacing w:before="10"/>
        <w:rPr>
          <w:sz w:val="25"/>
        </w:rPr>
      </w:pPr>
    </w:p>
    <w:p>
      <w:pPr>
        <w:spacing w:after="0"/>
        <w:rPr>
          <w:sz w:val="25"/>
        </w:rPr>
        <w:sectPr>
          <w:pgSz w:w="11910" w:h="16840"/>
          <w:pgMar w:header="426" w:footer="309" w:top="620" w:bottom="500" w:left="740" w:right="620"/>
        </w:sectPr>
      </w:pPr>
    </w:p>
    <w:p>
      <w:pPr>
        <w:pStyle w:val="Heading4"/>
      </w:pPr>
      <w:r>
        <w:rPr/>
        <w:t>脑炎后遗症或脑膜炎后遗症</w:t>
      </w:r>
    </w:p>
    <w:p>
      <w:pPr>
        <w:pStyle w:val="BodyText"/>
        <w:spacing w:line="316" w:lineRule="auto" w:before="66"/>
        <w:ind w:left="161" w:right="112"/>
      </w:pPr>
      <w:r>
        <w:rPr/>
        <w:br w:type="column"/>
      </w:r>
      <w:r>
        <w:rPr/>
        <w:t>指因患脑炎或脑膜炎导致的神经系统永久性的功能障碍。神经系统永久性的功能障碍，指疾病确诊 180 天后，仍遗留下列一种或一种以上障碍：</w:t>
      </w:r>
    </w:p>
    <w:p>
      <w:pPr>
        <w:pStyle w:val="BodyText"/>
        <w:spacing w:before="21"/>
        <w:ind w:left="161"/>
      </w:pPr>
      <w:r>
        <w:rPr/>
        <w:t>(1)一肢或一肢以上肢体机能完全丧失；</w:t>
      </w:r>
    </w:p>
    <w:p>
      <w:pPr>
        <w:pStyle w:val="BodyText"/>
        <w:spacing w:before="93"/>
        <w:ind w:left="161"/>
      </w:pPr>
      <w:r>
        <w:rPr/>
        <w:t>(2)语言能力或咀嚼吞咽能力完全丧失；</w:t>
      </w:r>
    </w:p>
    <w:p>
      <w:pPr>
        <w:pStyle w:val="BodyText"/>
        <w:spacing w:line="316" w:lineRule="auto" w:before="90"/>
        <w:ind w:left="545" w:right="113" w:hanging="384"/>
      </w:pPr>
      <w:r>
        <w:rPr/>
        <w:t>(3)自主生活能力完全丧失，无法独立完成六项基本日常生活活动中的三项或三项以上。</w:t>
      </w:r>
    </w:p>
    <w:p>
      <w:pPr>
        <w:spacing w:after="0" w:line="316" w:lineRule="auto"/>
        <w:sectPr>
          <w:type w:val="continuous"/>
          <w:pgSz w:w="11910" w:h="16840"/>
          <w:pgMar w:top="620" w:bottom="500" w:left="740" w:right="620"/>
          <w:cols w:num="2" w:equalWidth="0">
            <w:col w:w="2067" w:space="40"/>
            <w:col w:w="8443"/>
          </w:cols>
        </w:sectPr>
      </w:pPr>
    </w:p>
    <w:p>
      <w:pPr>
        <w:pStyle w:val="BodyText"/>
        <w:spacing w:before="9"/>
        <w:rPr>
          <w:sz w:val="25"/>
        </w:rPr>
      </w:pPr>
    </w:p>
    <w:p>
      <w:pPr>
        <w:pStyle w:val="BodyText"/>
        <w:spacing w:line="297" w:lineRule="auto"/>
        <w:ind w:left="2267" w:right="111" w:hanging="1527"/>
        <w:jc w:val="both"/>
      </w:pPr>
      <w:r>
        <w:rPr>
          <w:rFonts w:ascii="微软雅黑" w:eastAsia="微软雅黑" w:hint="eastAsia"/>
          <w:b/>
          <w:spacing w:val="0"/>
        </w:rPr>
        <w:t>深度昏迷       </w:t>
      </w: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4"/>
        </w:rPr>
        <w:t> 分或 </w:t>
      </w:r>
      <w:r>
        <w:rPr/>
        <w:t>5</w:t>
      </w:r>
      <w:r>
        <w:rPr>
          <w:spacing w:val="-8"/>
        </w:rPr>
        <w:t> 分以下，且已经持续使用</w:t>
      </w:r>
      <w:r>
        <w:rPr>
          <w:spacing w:val="-9"/>
        </w:rPr>
        <w:t>呼吸机及其它生命维持系统 </w:t>
      </w:r>
      <w:r>
        <w:rPr/>
        <w:t>96</w:t>
      </w:r>
      <w:r>
        <w:rPr>
          <w:spacing w:val="-10"/>
        </w:rPr>
        <w:t> 小时以上。</w:t>
      </w:r>
    </w:p>
    <w:p>
      <w:pPr>
        <w:pStyle w:val="BodyText"/>
        <w:spacing w:before="38"/>
        <w:ind w:left="2267"/>
      </w:pPr>
      <w:r>
        <w:rPr>
          <w:shd w:fill="D9D9D9" w:color="auto" w:val="clear"/>
        </w:rPr>
        <w:t>因酗酒或药物滥用导致的深度昏迷不在保障范围内。</w:t>
      </w:r>
    </w:p>
    <w:p>
      <w:pPr>
        <w:pStyle w:val="BodyText"/>
        <w:spacing w:before="1"/>
        <w:rPr>
          <w:sz w:val="31"/>
        </w:rPr>
      </w:pPr>
    </w:p>
    <w:p>
      <w:pPr>
        <w:tabs>
          <w:tab w:pos="2267" w:val="left" w:leader="none"/>
        </w:tabs>
        <w:spacing w:before="0"/>
        <w:ind w:left="741" w:right="0" w:firstLine="0"/>
        <w:jc w:val="left"/>
        <w:rPr>
          <w:sz w:val="22"/>
        </w:rPr>
      </w:pPr>
      <w:r>
        <w:rPr>
          <w:rFonts w:ascii="微软雅黑" w:eastAsia="微软雅黑" w:hint="eastAsia"/>
          <w:b/>
          <w:sz w:val="22"/>
        </w:rPr>
        <w:t>双耳失聪</w:t>
        <w:tab/>
      </w:r>
      <w:r>
        <w:rPr>
          <w:spacing w:val="5"/>
          <w:sz w:val="22"/>
        </w:rPr>
        <w:t>指因疾病或意</w:t>
      </w:r>
      <w:r>
        <w:rPr>
          <w:spacing w:val="2"/>
          <w:sz w:val="22"/>
        </w:rPr>
        <w:t>外</w:t>
      </w:r>
      <w:r>
        <w:rPr>
          <w:spacing w:val="5"/>
          <w:sz w:val="22"/>
        </w:rPr>
        <w:t>伤害</w:t>
      </w:r>
      <w:r>
        <w:rPr>
          <w:spacing w:val="2"/>
          <w:sz w:val="22"/>
        </w:rPr>
        <w:t>导</w:t>
      </w:r>
      <w:r>
        <w:rPr>
          <w:spacing w:val="5"/>
          <w:sz w:val="22"/>
        </w:rPr>
        <w:t>致双耳听力</w:t>
      </w:r>
      <w:r>
        <w:rPr>
          <w:b/>
          <w:spacing w:val="5"/>
          <w:sz w:val="22"/>
        </w:rPr>
        <w:t>永久</w:t>
      </w:r>
      <w:r>
        <w:rPr>
          <w:b/>
          <w:spacing w:val="7"/>
          <w:sz w:val="22"/>
        </w:rPr>
        <w:t>不</w:t>
      </w:r>
      <w:r>
        <w:rPr>
          <w:b/>
          <w:spacing w:val="5"/>
          <w:sz w:val="22"/>
        </w:rPr>
        <w:t>可</w:t>
      </w:r>
      <w:r>
        <w:rPr>
          <w:b/>
          <w:spacing w:val="6"/>
          <w:sz w:val="22"/>
        </w:rPr>
        <w:t>逆</w:t>
      </w:r>
      <w:r>
        <w:rPr>
          <w:spacing w:val="5"/>
          <w:sz w:val="22"/>
        </w:rPr>
        <w:t>性丧失，</w:t>
      </w:r>
      <w:r>
        <w:rPr>
          <w:sz w:val="22"/>
        </w:rPr>
        <w:t>在</w:t>
      </w:r>
      <w:r>
        <w:rPr>
          <w:spacing w:val="22"/>
          <w:sz w:val="22"/>
        </w:rPr>
        <w:t> </w:t>
      </w:r>
      <w:r>
        <w:rPr>
          <w:sz w:val="22"/>
        </w:rPr>
        <w:t>500</w:t>
      </w:r>
      <w:r>
        <w:rPr>
          <w:spacing w:val="22"/>
          <w:sz w:val="22"/>
        </w:rPr>
        <w:t> </w:t>
      </w:r>
      <w:r>
        <w:rPr>
          <w:spacing w:val="5"/>
          <w:sz w:val="22"/>
        </w:rPr>
        <w:t>赫兹</w:t>
      </w:r>
      <w:r>
        <w:rPr>
          <w:spacing w:val="5"/>
          <w:sz w:val="22"/>
        </w:rPr>
        <w:t>、</w:t>
      </w:r>
      <w:r>
        <w:rPr>
          <w:sz w:val="22"/>
        </w:rPr>
        <w:t>1000</w:t>
      </w:r>
      <w:r>
        <w:rPr>
          <w:spacing w:val="22"/>
          <w:sz w:val="22"/>
        </w:rPr>
        <w:t> </w:t>
      </w:r>
      <w:r>
        <w:rPr>
          <w:spacing w:val="5"/>
          <w:sz w:val="22"/>
        </w:rPr>
        <w:t>赫兹和</w:t>
      </w:r>
    </w:p>
    <w:p>
      <w:pPr>
        <w:pStyle w:val="BodyText"/>
        <w:spacing w:line="316" w:lineRule="auto" w:before="64"/>
        <w:ind w:left="2267" w:right="30"/>
      </w:pPr>
      <w:r>
        <w:rPr/>
        <w:t>2000 赫兹语音频率下，平均听阈大于 90 分贝，且经纯音听力测试、声导抗检测或听觉诱发电位检测等证实。</w:t>
      </w:r>
    </w:p>
    <w:p>
      <w:pPr>
        <w:pStyle w:val="BodyText"/>
        <w:spacing w:line="316" w:lineRule="auto" w:before="23"/>
        <w:ind w:left="2267" w:right="114"/>
      </w:pPr>
      <w:r>
        <w:rPr>
          <w:spacing w:val="-3"/>
          <w:shd w:fill="D9D9D9" w:color="auto" w:val="clear"/>
        </w:rPr>
        <w:t>被保险人申请理赔时年龄必须在三周岁以上，并且提供理赔当时的听力丧失诊断及检</w:t>
      </w:r>
      <w:r>
        <w:rPr>
          <w:spacing w:val="-221"/>
          <w:shd w:fill="D9D9D9" w:color="auto" w:val="clear"/>
        </w:rPr>
        <w:t>查</w:t>
      </w:r>
      <w:r>
        <w:rPr>
          <w:shd w:fill="D9D9D9" w:color="auto" w:val="clear"/>
        </w:rPr>
        <w:t>证据。</w:t>
      </w:r>
    </w:p>
    <w:p>
      <w:pPr>
        <w:pStyle w:val="BodyText"/>
        <w:spacing w:before="9"/>
        <w:rPr>
          <w:sz w:val="25"/>
        </w:rPr>
      </w:pPr>
    </w:p>
    <w:p>
      <w:pPr>
        <w:spacing w:line="280" w:lineRule="auto" w:before="0"/>
        <w:ind w:left="2267" w:right="114" w:hanging="1527"/>
        <w:jc w:val="both"/>
        <w:rPr>
          <w:sz w:val="22"/>
        </w:rPr>
      </w:pPr>
      <w:r>
        <w:rPr>
          <w:rFonts w:ascii="微软雅黑" w:eastAsia="微软雅黑" w:hint="eastAsia"/>
          <w:b/>
          <w:spacing w:val="0"/>
          <w:sz w:val="22"/>
        </w:rPr>
        <w:t>双目失明       </w:t>
      </w:r>
      <w:r>
        <w:rPr>
          <w:spacing w:val="-3"/>
          <w:sz w:val="22"/>
        </w:rPr>
        <w:t>指因疾病或意外伤害导致双目视力永久不可逆性丧失，双眼中较好眼须满足下列至少一项条件：</w:t>
      </w:r>
    </w:p>
    <w:p>
      <w:pPr>
        <w:pStyle w:val="ListParagraph"/>
        <w:numPr>
          <w:ilvl w:val="2"/>
          <w:numId w:val="8"/>
        </w:numPr>
        <w:tabs>
          <w:tab w:pos="2688" w:val="left" w:leader="none"/>
        </w:tabs>
        <w:spacing w:line="240" w:lineRule="auto" w:before="53" w:after="0"/>
        <w:ind w:left="2687" w:right="0" w:hanging="420"/>
        <w:jc w:val="left"/>
        <w:rPr>
          <w:sz w:val="22"/>
        </w:rPr>
      </w:pPr>
      <w:r>
        <w:rPr>
          <w:spacing w:val="-2"/>
          <w:sz w:val="22"/>
        </w:rPr>
        <w:t>眼球缺失或摘除；</w:t>
      </w:r>
    </w:p>
    <w:p>
      <w:pPr>
        <w:pStyle w:val="ListParagraph"/>
        <w:numPr>
          <w:ilvl w:val="2"/>
          <w:numId w:val="8"/>
        </w:numPr>
        <w:tabs>
          <w:tab w:pos="2688" w:val="left" w:leader="none"/>
        </w:tabs>
        <w:spacing w:line="240" w:lineRule="auto" w:before="93" w:after="0"/>
        <w:ind w:left="2687" w:right="0" w:hanging="420"/>
        <w:jc w:val="left"/>
        <w:rPr>
          <w:sz w:val="22"/>
        </w:rPr>
      </w:pPr>
      <w:r>
        <w:rPr>
          <w:spacing w:val="-13"/>
          <w:sz w:val="22"/>
        </w:rPr>
        <w:t>矫正视力低于 </w:t>
      </w:r>
      <w:r>
        <w:rPr>
          <w:spacing w:val="-10"/>
          <w:sz w:val="22"/>
        </w:rPr>
        <w:t>0.02（采用国际标准视力表，如果使用其他视力表应进行换算</w:t>
      </w:r>
      <w:r>
        <w:rPr>
          <w:spacing w:val="-4"/>
          <w:sz w:val="22"/>
        </w:rPr>
        <w:t>）；</w:t>
      </w:r>
    </w:p>
    <w:p>
      <w:pPr>
        <w:pStyle w:val="ListParagraph"/>
        <w:numPr>
          <w:ilvl w:val="2"/>
          <w:numId w:val="8"/>
        </w:numPr>
        <w:tabs>
          <w:tab w:pos="2688" w:val="left" w:leader="none"/>
        </w:tabs>
        <w:spacing w:line="240" w:lineRule="auto" w:before="91" w:after="0"/>
        <w:ind w:left="2687" w:right="0" w:hanging="420"/>
        <w:jc w:val="left"/>
        <w:rPr>
          <w:sz w:val="22"/>
        </w:rPr>
      </w:pPr>
      <w:r>
        <w:rPr>
          <w:spacing w:val="-9"/>
          <w:sz w:val="22"/>
        </w:rPr>
        <w:t>视野半径小于 </w:t>
      </w:r>
      <w:r>
        <w:rPr>
          <w:sz w:val="22"/>
        </w:rPr>
        <w:t>5</w:t>
      </w:r>
      <w:r>
        <w:rPr>
          <w:spacing w:val="-19"/>
          <w:sz w:val="22"/>
        </w:rPr>
        <w:t> 度。</w:t>
      </w:r>
    </w:p>
    <w:p>
      <w:pPr>
        <w:pStyle w:val="BodyText"/>
        <w:spacing w:line="319" w:lineRule="auto" w:before="91"/>
        <w:ind w:left="2267" w:right="114"/>
      </w:pPr>
      <w:r>
        <w:rPr>
          <w:shd w:fill="D9D9D9" w:color="auto" w:val="clear"/>
        </w:rPr>
        <w:t>被保险人申请理赔时年龄必须在三周岁以上，并且提供理赔当时的视力丧失诊断及检查证据。</w:t>
      </w:r>
    </w:p>
    <w:p>
      <w:pPr>
        <w:pStyle w:val="BodyText"/>
        <w:spacing w:before="4"/>
        <w:rPr>
          <w:sz w:val="25"/>
        </w:rPr>
      </w:pPr>
    </w:p>
    <w:p>
      <w:pPr>
        <w:pStyle w:val="BodyText"/>
        <w:tabs>
          <w:tab w:pos="2267" w:val="left" w:leader="none"/>
        </w:tabs>
        <w:spacing w:line="297" w:lineRule="auto" w:before="1"/>
        <w:ind w:left="2267" w:right="111" w:hanging="1527"/>
        <w:jc w:val="both"/>
      </w:pPr>
      <w:r>
        <w:rPr>
          <w:rFonts w:ascii="微软雅黑" w:eastAsia="微软雅黑" w:hint="eastAsia"/>
          <w:b/>
        </w:rPr>
        <w:t>瘫痪</w:t>
        <w:tab/>
      </w:r>
      <w:r>
        <w:rPr/>
        <w:t>指因疾病或意外伤害导</w:t>
      </w:r>
      <w:r>
        <w:rPr>
          <w:spacing w:val="-3"/>
        </w:rPr>
        <w:t>致</w:t>
      </w:r>
      <w:r>
        <w:rPr/>
        <w:t>两肢或两肢以上肢体机</w:t>
      </w:r>
      <w:r>
        <w:rPr>
          <w:spacing w:val="-3"/>
        </w:rPr>
        <w:t>能</w:t>
      </w:r>
      <w:r>
        <w:rPr/>
        <w:t>永久完全丧失。肢体机</w:t>
      </w:r>
      <w:r>
        <w:rPr>
          <w:spacing w:val="-3"/>
        </w:rPr>
        <w:t>能</w:t>
      </w:r>
      <w:r>
        <w:rPr/>
        <w:t>永久完全 丧失，</w:t>
      </w:r>
      <w:r>
        <w:rPr>
          <w:spacing w:val="-3"/>
        </w:rPr>
        <w:t>指</w:t>
      </w:r>
      <w:r>
        <w:rPr/>
        <w:t>疾病确诊</w:t>
      </w:r>
      <w:r>
        <w:rPr>
          <w:spacing w:val="-45"/>
        </w:rPr>
        <w:t> </w:t>
      </w:r>
      <w:r>
        <w:rPr/>
        <w:t>180</w:t>
      </w:r>
      <w:r>
        <w:rPr>
          <w:spacing w:val="-45"/>
        </w:rPr>
        <w:t> </w:t>
      </w:r>
      <w:r>
        <w:rPr>
          <w:spacing w:val="-3"/>
        </w:rPr>
        <w:t>天</w:t>
      </w:r>
      <w:r>
        <w:rPr/>
        <w:t>后或意</w:t>
      </w:r>
      <w:r>
        <w:rPr>
          <w:spacing w:val="-3"/>
        </w:rPr>
        <w:t>外</w:t>
      </w:r>
      <w:r>
        <w:rPr/>
        <w:t>伤害发生</w:t>
      </w:r>
      <w:r>
        <w:rPr>
          <w:spacing w:val="-45"/>
        </w:rPr>
        <w:t> </w:t>
      </w:r>
      <w:r>
        <w:rPr/>
        <w:t>180</w:t>
      </w:r>
      <w:r>
        <w:rPr>
          <w:spacing w:val="-45"/>
        </w:rPr>
        <w:t> </w:t>
      </w:r>
      <w:r>
        <w:rPr>
          <w:spacing w:val="-3"/>
        </w:rPr>
        <w:t>天</w:t>
      </w:r>
      <w:r>
        <w:rPr/>
        <w:t>后，每</w:t>
      </w:r>
      <w:r>
        <w:rPr>
          <w:spacing w:val="-3"/>
        </w:rPr>
        <w:t>肢</w:t>
      </w:r>
      <w:r>
        <w:rPr/>
        <w:t>三大</w:t>
      </w:r>
      <w:r>
        <w:rPr>
          <w:spacing w:val="-3"/>
        </w:rPr>
        <w:t>关</w:t>
      </w:r>
      <w:r>
        <w:rPr/>
        <w:t>节中</w:t>
      </w:r>
      <w:r>
        <w:rPr>
          <w:spacing w:val="-3"/>
        </w:rPr>
        <w:t>的两</w:t>
      </w:r>
      <w:r>
        <w:rPr/>
        <w:t>大关节仍然完全</w:t>
      </w:r>
      <w:r>
        <w:rPr>
          <w:spacing w:val="-3"/>
        </w:rPr>
        <w:t>僵</w:t>
      </w:r>
      <w:r>
        <w:rPr/>
        <w:t>硬，</w:t>
      </w:r>
      <w:r>
        <w:rPr>
          <w:spacing w:val="-3"/>
        </w:rPr>
        <w:t>或</w:t>
      </w:r>
      <w:r>
        <w:rPr/>
        <w:t>不能</w:t>
      </w:r>
      <w:r>
        <w:rPr>
          <w:spacing w:val="-3"/>
        </w:rPr>
        <w:t>随意</w:t>
      </w:r>
      <w:r>
        <w:rPr/>
        <w:t>识活动。</w:t>
      </w:r>
    </w:p>
    <w:p>
      <w:pPr>
        <w:pStyle w:val="BodyText"/>
        <w:spacing w:before="2"/>
        <w:rPr>
          <w:sz w:val="27"/>
        </w:rPr>
      </w:pPr>
    </w:p>
    <w:p>
      <w:pPr>
        <w:pStyle w:val="BodyText"/>
        <w:tabs>
          <w:tab w:pos="2267" w:val="left" w:leader="none"/>
        </w:tabs>
        <w:ind w:left="741"/>
      </w:pPr>
      <w:r>
        <w:rPr>
          <w:rFonts w:ascii="微软雅黑" w:eastAsia="微软雅黑" w:hint="eastAsia"/>
          <w:b/>
        </w:rPr>
        <w:t>心脏瓣膜手术</w:t>
        <w:tab/>
      </w:r>
      <w:r>
        <w:rPr/>
        <w:t>指为治</w:t>
      </w:r>
      <w:r>
        <w:rPr>
          <w:spacing w:val="-3"/>
        </w:rPr>
        <w:t>疗</w:t>
      </w:r>
      <w:r>
        <w:rPr/>
        <w:t>心脏</w:t>
      </w:r>
      <w:r>
        <w:rPr>
          <w:spacing w:val="-3"/>
        </w:rPr>
        <w:t>瓣</w:t>
      </w:r>
      <w:r>
        <w:rPr/>
        <w:t>膜疾</w:t>
      </w:r>
      <w:r>
        <w:rPr>
          <w:spacing w:val="-3"/>
        </w:rPr>
        <w:t>病，</w:t>
      </w:r>
      <w:r>
        <w:rPr/>
        <w:t>实际实</w:t>
      </w:r>
      <w:r>
        <w:rPr>
          <w:spacing w:val="-3"/>
        </w:rPr>
        <w:t>施</w:t>
      </w:r>
      <w:r>
        <w:rPr/>
        <w:t>了开</w:t>
      </w:r>
      <w:r>
        <w:rPr>
          <w:spacing w:val="-3"/>
        </w:rPr>
        <w:t>胸</w:t>
      </w:r>
      <w:r>
        <w:rPr/>
        <w:t>进行</w:t>
      </w:r>
      <w:r>
        <w:rPr>
          <w:spacing w:val="-3"/>
        </w:rPr>
        <w:t>的心</w:t>
      </w:r>
      <w:r>
        <w:rPr/>
        <w:t>脏瓣膜</w:t>
      </w:r>
      <w:r>
        <w:rPr>
          <w:spacing w:val="-3"/>
        </w:rPr>
        <w:t>置</w:t>
      </w:r>
      <w:r>
        <w:rPr/>
        <w:t>换或</w:t>
      </w:r>
      <w:r>
        <w:rPr>
          <w:spacing w:val="-3"/>
        </w:rPr>
        <w:t>修</w:t>
      </w:r>
      <w:r>
        <w:rPr/>
        <w:t>复的</w:t>
      </w:r>
      <w:r>
        <w:rPr>
          <w:spacing w:val="-3"/>
        </w:rPr>
        <w:t>手术</w:t>
      </w:r>
      <w:r>
        <w:rPr/>
        <w:t>。</w:t>
      </w:r>
    </w:p>
    <w:p>
      <w:pPr>
        <w:pStyle w:val="BodyText"/>
        <w:spacing w:before="11"/>
        <w:rPr>
          <w:sz w:val="28"/>
        </w:rPr>
      </w:pPr>
    </w:p>
    <w:p>
      <w:pPr>
        <w:spacing w:after="0"/>
        <w:rPr>
          <w:sz w:val="28"/>
        </w:rPr>
        <w:sectPr>
          <w:type w:val="continuous"/>
          <w:pgSz w:w="11910" w:h="16840"/>
          <w:pgMar w:top="620" w:bottom="500" w:left="740" w:right="620"/>
        </w:sectPr>
      </w:pPr>
    </w:p>
    <w:p>
      <w:pPr>
        <w:pStyle w:val="Heading4"/>
        <w:spacing w:before="1"/>
      </w:pPr>
      <w:r>
        <w:rPr/>
        <w:t>严重阿尔茨海默病</w:t>
      </w:r>
    </w:p>
    <w:p>
      <w:pPr>
        <w:pStyle w:val="BodyText"/>
        <w:spacing w:line="316" w:lineRule="auto" w:before="66"/>
        <w:ind w:left="161" w:right="110"/>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w:t>
      </w:r>
    </w:p>
    <w:p>
      <w:pPr>
        <w:spacing w:after="0" w:line="316" w:lineRule="auto"/>
        <w:jc w:val="both"/>
        <w:sectPr>
          <w:type w:val="continuous"/>
          <w:pgSz w:w="11910" w:h="16840"/>
          <w:pgMar w:top="620" w:bottom="500" w:left="740" w:right="620"/>
          <w:cols w:num="2" w:equalWidth="0">
            <w:col w:w="2067" w:space="40"/>
            <w:col w:w="8443"/>
          </w:cols>
        </w:sectPr>
      </w:pPr>
    </w:p>
    <w:p>
      <w:pPr>
        <w:pStyle w:val="BodyText"/>
        <w:spacing w:before="8"/>
        <w:rPr>
          <w:sz w:val="17"/>
        </w:rPr>
      </w:pPr>
    </w:p>
    <w:p>
      <w:pPr>
        <w:pStyle w:val="BodyText"/>
        <w:spacing w:before="33"/>
        <w:ind w:left="2267"/>
      </w:pPr>
      <w:r>
        <w:rPr/>
        <w:t>以上。</w:t>
      </w:r>
    </w:p>
    <w:p>
      <w:pPr>
        <w:pStyle w:val="BodyText"/>
        <w:spacing w:before="91"/>
        <w:ind w:left="2267"/>
      </w:pPr>
      <w:r>
        <w:rPr>
          <w:shd w:fill="D9D9D9" w:color="auto" w:val="clear"/>
        </w:rPr>
        <w:t>神经官能症和精神疾病不在保障范围内。</w:t>
      </w:r>
    </w:p>
    <w:p>
      <w:pPr>
        <w:pStyle w:val="BodyText"/>
        <w:spacing w:before="91"/>
        <w:ind w:left="2267"/>
      </w:pPr>
      <w:r>
        <w:rPr>
          <w:shd w:fill="D9D9D9" w:color="auto" w:val="clear"/>
        </w:rPr>
        <w:t>在 70 周岁以上（含 70 周岁），被保险人罹患严重阿尔茨海默病不在保障范围内。</w:t>
      </w:r>
    </w:p>
    <w:p>
      <w:pPr>
        <w:pStyle w:val="BodyText"/>
        <w:spacing w:before="1"/>
        <w:rPr>
          <w:sz w:val="31"/>
        </w:rPr>
      </w:pPr>
    </w:p>
    <w:p>
      <w:pPr>
        <w:pStyle w:val="BodyText"/>
        <w:spacing w:line="302" w:lineRule="auto"/>
        <w:ind w:left="2267" w:right="108" w:hanging="1527"/>
        <w:jc w:val="both"/>
      </w:pPr>
      <w:r>
        <w:rPr>
          <w:rFonts w:ascii="微软雅黑" w:eastAsia="微软雅黑" w:hint="eastAsia"/>
          <w:b/>
          <w:spacing w:val="6"/>
        </w:rPr>
        <w:t>严重脑损伤   </w:t>
      </w:r>
      <w:r>
        <w:rPr>
          <w:spacing w:val="-3"/>
        </w:rPr>
        <w:t>指因头部遭受机械性外力，引起脑重要部位损伤，导致神经系统永久性的功能障碍。须由头颅断层扫描（CT）、核磁共振检查（MRI）或正电子发射断层扫描（PET）等影</w:t>
      </w:r>
      <w:r>
        <w:rPr>
          <w:spacing w:val="-5"/>
        </w:rPr>
        <w:t>像学检查证实。神经系统永久性的功能障碍，指脑损伤 </w:t>
      </w:r>
      <w:r>
        <w:rPr/>
        <w:t>180</w:t>
      </w:r>
      <w:r>
        <w:rPr>
          <w:spacing w:val="-7"/>
        </w:rPr>
        <w:t> 天后，仍遗留下列一种或</w:t>
      </w:r>
      <w:r>
        <w:rPr>
          <w:spacing w:val="-5"/>
        </w:rPr>
        <w:t>一种以上障碍：</w:t>
      </w:r>
    </w:p>
    <w:p>
      <w:pPr>
        <w:pStyle w:val="ListParagraph"/>
        <w:numPr>
          <w:ilvl w:val="0"/>
          <w:numId w:val="13"/>
        </w:numPr>
        <w:tabs>
          <w:tab w:pos="2628" w:val="left" w:leader="none"/>
        </w:tabs>
        <w:spacing w:line="240" w:lineRule="auto" w:before="34" w:after="0"/>
        <w:ind w:left="2627" w:right="0" w:hanging="360"/>
        <w:jc w:val="left"/>
        <w:rPr>
          <w:sz w:val="22"/>
        </w:rPr>
      </w:pPr>
      <w:r>
        <w:rPr>
          <w:spacing w:val="-3"/>
          <w:sz w:val="22"/>
        </w:rPr>
        <w:t>一肢或一肢以上肢体机能完全丧失；</w:t>
      </w:r>
    </w:p>
    <w:p>
      <w:pPr>
        <w:pStyle w:val="ListParagraph"/>
        <w:numPr>
          <w:ilvl w:val="0"/>
          <w:numId w:val="13"/>
        </w:numPr>
        <w:tabs>
          <w:tab w:pos="2628" w:val="left" w:leader="none"/>
        </w:tabs>
        <w:spacing w:line="240" w:lineRule="auto" w:before="93" w:after="0"/>
        <w:ind w:left="2627" w:right="0" w:hanging="360"/>
        <w:jc w:val="left"/>
        <w:rPr>
          <w:sz w:val="22"/>
        </w:rPr>
      </w:pPr>
      <w:r>
        <w:rPr>
          <w:spacing w:val="-3"/>
          <w:sz w:val="22"/>
        </w:rPr>
        <w:t>语言能力或咀嚼吞咽能力完全丧失；</w:t>
      </w:r>
    </w:p>
    <w:p>
      <w:pPr>
        <w:pStyle w:val="ListParagraph"/>
        <w:numPr>
          <w:ilvl w:val="0"/>
          <w:numId w:val="13"/>
        </w:numPr>
        <w:tabs>
          <w:tab w:pos="2628" w:val="left" w:leader="none"/>
        </w:tabs>
        <w:spacing w:line="316" w:lineRule="auto" w:before="90" w:after="0"/>
        <w:ind w:left="2627" w:right="112" w:hanging="360"/>
        <w:jc w:val="left"/>
        <w:rPr>
          <w:sz w:val="22"/>
        </w:rPr>
      </w:pPr>
      <w:r>
        <w:rPr>
          <w:sz w:val="22"/>
        </w:rPr>
        <w:t>自主生活能力完全丧失，无法独立完成六项基本日常生活活动中的三项或三项以上。</w:t>
      </w:r>
    </w:p>
    <w:p>
      <w:pPr>
        <w:pStyle w:val="BodyText"/>
        <w:spacing w:before="9"/>
        <w:rPr>
          <w:sz w:val="25"/>
        </w:rPr>
      </w:pPr>
    </w:p>
    <w:p>
      <w:pPr>
        <w:pStyle w:val="BodyText"/>
        <w:spacing w:line="280" w:lineRule="auto" w:before="1"/>
        <w:ind w:left="2267" w:right="114" w:hanging="1527"/>
        <w:jc w:val="both"/>
      </w:pPr>
      <w:r>
        <w:rPr>
          <w:rFonts w:ascii="微软雅黑" w:eastAsia="微软雅黑" w:hint="eastAsia"/>
          <w:b/>
          <w:spacing w:val="5"/>
        </w:rPr>
        <w:t>严重帕金森病 </w:t>
      </w:r>
      <w:r>
        <w:rPr>
          <w:spacing w:val="-3"/>
        </w:rPr>
        <w:t>是一种中枢神经系统的退行性疾病，临床表现为震颤麻痹、共济失调等。须满足下列全部条件：</w:t>
      </w:r>
    </w:p>
    <w:p>
      <w:pPr>
        <w:pStyle w:val="ListParagraph"/>
        <w:numPr>
          <w:ilvl w:val="0"/>
          <w:numId w:val="14"/>
        </w:numPr>
        <w:tabs>
          <w:tab w:pos="2628" w:val="left" w:leader="none"/>
        </w:tabs>
        <w:spacing w:line="240" w:lineRule="auto" w:before="56" w:after="0"/>
        <w:ind w:left="2627" w:right="0" w:hanging="360"/>
        <w:jc w:val="left"/>
        <w:rPr>
          <w:sz w:val="22"/>
        </w:rPr>
      </w:pPr>
      <w:r>
        <w:rPr>
          <w:spacing w:val="-3"/>
          <w:sz w:val="22"/>
        </w:rPr>
        <w:t>药物治疗无法控制病情；</w:t>
      </w:r>
    </w:p>
    <w:p>
      <w:pPr>
        <w:pStyle w:val="ListParagraph"/>
        <w:numPr>
          <w:ilvl w:val="0"/>
          <w:numId w:val="14"/>
        </w:numPr>
        <w:tabs>
          <w:tab w:pos="2628" w:val="left" w:leader="none"/>
        </w:tabs>
        <w:spacing w:line="316" w:lineRule="auto" w:before="91" w:after="0"/>
        <w:ind w:left="2627" w:right="112" w:hanging="360"/>
        <w:jc w:val="left"/>
        <w:rPr>
          <w:sz w:val="22"/>
        </w:rPr>
      </w:pPr>
      <w:r>
        <w:rPr>
          <w:sz w:val="22"/>
        </w:rPr>
        <w:t>自主生活能力完全丧失，无法独立完成六项基本日常生活活动中的三项或三项以上。</w:t>
      </w:r>
    </w:p>
    <w:p>
      <w:pPr>
        <w:pStyle w:val="BodyText"/>
        <w:spacing w:before="23"/>
        <w:ind w:left="2267"/>
      </w:pPr>
      <w:r>
        <w:rPr>
          <w:shd w:fill="D9D9D9" w:color="auto" w:val="clear"/>
        </w:rPr>
        <w:t>继发性帕金森综合征不在保障范围内。</w:t>
      </w:r>
    </w:p>
    <w:p>
      <w:pPr>
        <w:pStyle w:val="BodyText"/>
        <w:spacing w:before="91"/>
        <w:ind w:left="2267"/>
      </w:pPr>
      <w:r>
        <w:rPr>
          <w:shd w:fill="D9D9D9" w:color="auto" w:val="clear"/>
        </w:rPr>
        <w:t>在 70 周岁以上（含 70 周岁），被保险人罹患严重帕金森病不在保障范围内。</w:t>
      </w:r>
    </w:p>
    <w:p>
      <w:pPr>
        <w:pStyle w:val="BodyText"/>
        <w:spacing w:before="1"/>
        <w:rPr>
          <w:sz w:val="31"/>
        </w:rPr>
      </w:pPr>
    </w:p>
    <w:p>
      <w:pPr>
        <w:pStyle w:val="BodyText"/>
        <w:spacing w:line="280" w:lineRule="auto" w:before="1"/>
        <w:ind w:left="2267" w:right="110" w:hanging="1527"/>
        <w:jc w:val="both"/>
      </w:pPr>
      <w:r>
        <w:rPr>
          <w:rFonts w:ascii="微软雅黑" w:hAnsi="微软雅黑" w:eastAsia="微软雅黑" w:hint="eastAsia"/>
          <w:b/>
          <w:spacing w:val="2"/>
        </w:rPr>
        <w:t>严重Ⅲ度烧伤 </w:t>
      </w:r>
      <w:r>
        <w:rPr>
          <w:spacing w:val="-5"/>
        </w:rPr>
        <w:t>指烧伤程度为Ⅲ度，且Ⅲ度烧伤的面积达到全身体表面积的 </w:t>
      </w:r>
      <w:r>
        <w:rPr/>
        <w:t>20％</w:t>
      </w:r>
      <w:r>
        <w:rPr>
          <w:spacing w:val="-20"/>
        </w:rPr>
        <w:t>或 </w:t>
      </w:r>
      <w:r>
        <w:rPr/>
        <w:t>20%</w:t>
      </w:r>
      <w:r>
        <w:rPr>
          <w:spacing w:val="-2"/>
        </w:rPr>
        <w:t>以上。体表面</w:t>
      </w:r>
      <w:r>
        <w:rPr>
          <w:spacing w:val="-3"/>
        </w:rPr>
        <w:t>积根据《中国新九分法》计算。</w:t>
      </w:r>
    </w:p>
    <w:p>
      <w:pPr>
        <w:pStyle w:val="BodyText"/>
        <w:spacing w:before="3"/>
        <w:rPr>
          <w:sz w:val="28"/>
        </w:rPr>
      </w:pPr>
    </w:p>
    <w:p>
      <w:pPr>
        <w:spacing w:after="0"/>
        <w:rPr>
          <w:sz w:val="28"/>
        </w:rPr>
        <w:sectPr>
          <w:pgSz w:w="11910" w:h="16840"/>
          <w:pgMar w:header="426" w:footer="309" w:top="620" w:bottom="500" w:left="740" w:right="620"/>
        </w:sectPr>
      </w:pPr>
    </w:p>
    <w:p>
      <w:pPr>
        <w:pStyle w:val="Heading4"/>
      </w:pPr>
      <w:r>
        <w:rPr/>
        <w:t>严重原发性肺动脉高压</w:t>
      </w:r>
    </w:p>
    <w:p>
      <w:pPr>
        <w:pStyle w:val="BodyText"/>
        <w:spacing w:line="316" w:lineRule="auto" w:before="66"/>
        <w:ind w:left="161" w:right="108"/>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316" w:lineRule="auto"/>
        <w:jc w:val="both"/>
        <w:sectPr>
          <w:type w:val="continuous"/>
          <w:pgSz w:w="11910" w:h="16840"/>
          <w:pgMar w:top="620" w:bottom="500" w:left="740" w:right="620"/>
          <w:cols w:num="2" w:equalWidth="0">
            <w:col w:w="2067" w:space="40"/>
            <w:col w:w="8443"/>
          </w:cols>
        </w:sectPr>
      </w:pPr>
    </w:p>
    <w:p>
      <w:pPr>
        <w:pStyle w:val="BodyText"/>
        <w:spacing w:before="9"/>
        <w:rPr>
          <w:sz w:val="25"/>
        </w:rPr>
      </w:pPr>
    </w:p>
    <w:p>
      <w:pPr>
        <w:spacing w:after="0"/>
        <w:rPr>
          <w:sz w:val="25"/>
        </w:rPr>
        <w:sectPr>
          <w:type w:val="continuous"/>
          <w:pgSz w:w="11910" w:h="16840"/>
          <w:pgMar w:top="620" w:bottom="500" w:left="740" w:right="620"/>
        </w:sectPr>
      </w:pPr>
    </w:p>
    <w:p>
      <w:pPr>
        <w:pStyle w:val="Heading4"/>
      </w:pPr>
      <w:r>
        <w:rPr/>
        <w:t>严重运动神经元病</w:t>
      </w:r>
    </w:p>
    <w:p>
      <w:pPr>
        <w:pStyle w:val="BodyText"/>
        <w:spacing w:line="316" w:lineRule="auto" w:before="66"/>
        <w:ind w:left="161" w:right="114"/>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40"/>
          <w:pgMar w:top="620" w:bottom="500" w:left="740" w:right="620"/>
          <w:cols w:num="2" w:equalWidth="0">
            <w:col w:w="2067" w:space="40"/>
            <w:col w:w="8443"/>
          </w:cols>
        </w:sectPr>
      </w:pPr>
    </w:p>
    <w:p>
      <w:pPr>
        <w:pStyle w:val="BodyText"/>
        <w:spacing w:before="7"/>
        <w:rPr>
          <w:sz w:val="25"/>
        </w:rPr>
      </w:pPr>
    </w:p>
    <w:p>
      <w:pPr>
        <w:pStyle w:val="BodyText"/>
        <w:tabs>
          <w:tab w:pos="2267" w:val="left" w:leader="none"/>
        </w:tabs>
        <w:spacing w:line="283" w:lineRule="auto" w:before="1"/>
        <w:ind w:left="2267" w:right="108" w:hanging="1527"/>
      </w:pPr>
      <w:r>
        <w:rPr>
          <w:rFonts w:ascii="微软雅黑" w:eastAsia="微软雅黑" w:hint="eastAsia"/>
          <w:b/>
        </w:rPr>
        <w:t>语言能力丧失</w:t>
        <w:tab/>
      </w:r>
      <w:r>
        <w:rPr/>
        <w:t>指因疾病或意外伤害导致完全丧失语言能力，经过积极治疗至少</w:t>
      </w:r>
      <w:r>
        <w:rPr>
          <w:spacing w:val="15"/>
        </w:rPr>
        <w:t> </w:t>
      </w:r>
      <w:r>
        <w:rPr/>
        <w:t>12</w:t>
      </w:r>
      <w:r>
        <w:rPr>
          <w:spacing w:val="15"/>
        </w:rPr>
        <w:t> </w:t>
      </w:r>
      <w:r>
        <w:rPr/>
        <w:t>个月</w:t>
      </w:r>
      <w:r>
        <w:rPr>
          <w:spacing w:val="-3"/>
        </w:rPr>
        <w:t>（</w:t>
      </w:r>
      <w:r>
        <w:rPr/>
        <w:t>声带完全切除不</w:t>
      </w:r>
      <w:r>
        <w:rPr>
          <w:spacing w:val="-3"/>
        </w:rPr>
        <w:t>受</w:t>
      </w:r>
      <w:r>
        <w:rPr/>
        <w:t>此时</w:t>
      </w:r>
      <w:r>
        <w:rPr>
          <w:spacing w:val="-3"/>
        </w:rPr>
        <w:t>间</w:t>
      </w:r>
      <w:r>
        <w:rPr/>
        <w:t>限制</w:t>
      </w:r>
      <w:r>
        <w:rPr>
          <w:spacing w:val="-3"/>
        </w:rPr>
        <w:t>），</w:t>
      </w:r>
      <w:r>
        <w:rPr/>
        <w:t>仍无法</w:t>
      </w:r>
      <w:r>
        <w:rPr>
          <w:spacing w:val="-3"/>
        </w:rPr>
        <w:t>通</w:t>
      </w:r>
      <w:r>
        <w:rPr/>
        <w:t>过现</w:t>
      </w:r>
      <w:r>
        <w:rPr>
          <w:spacing w:val="-3"/>
        </w:rPr>
        <w:t>有</w:t>
      </w:r>
      <w:r>
        <w:rPr/>
        <w:t>医疗</w:t>
      </w:r>
      <w:r>
        <w:rPr>
          <w:spacing w:val="-3"/>
        </w:rPr>
        <w:t>手段</w:t>
      </w:r>
      <w:r>
        <w:rPr/>
        <w:t>恢复。</w:t>
      </w:r>
    </w:p>
    <w:p>
      <w:pPr>
        <w:pStyle w:val="BodyText"/>
        <w:spacing w:before="52"/>
        <w:ind w:left="2267"/>
      </w:pPr>
      <w:r>
        <w:rPr>
          <w:shd w:fill="D9D9D9" w:color="auto" w:val="clear"/>
        </w:rPr>
        <w:t>精神心理因素所致的语言能力丧失不在保障范围内。</w:t>
      </w:r>
    </w:p>
    <w:p>
      <w:pPr>
        <w:pStyle w:val="BodyText"/>
        <w:spacing w:line="319" w:lineRule="auto" w:before="91"/>
        <w:ind w:left="2267" w:right="114"/>
      </w:pPr>
      <w:r>
        <w:rPr>
          <w:shd w:fill="D9D9D9" w:color="auto" w:val="clear"/>
        </w:rPr>
        <w:t>被保险人申请理赔时年龄必须在三周岁以上，并且提供理赔当时的语言能力丧失诊断及检查证据。</w:t>
      </w:r>
    </w:p>
    <w:p>
      <w:pPr>
        <w:pStyle w:val="BodyText"/>
        <w:spacing w:before="4"/>
        <w:rPr>
          <w:sz w:val="25"/>
        </w:rPr>
      </w:pPr>
    </w:p>
    <w:p>
      <w:pPr>
        <w:pStyle w:val="BodyText"/>
        <w:tabs>
          <w:tab w:pos="2267" w:val="left" w:leader="none"/>
        </w:tabs>
        <w:spacing w:before="1"/>
        <w:ind w:left="741"/>
      </w:pPr>
      <w:r>
        <w:rPr>
          <w:rFonts w:ascii="微软雅黑" w:eastAsia="微软雅黑" w:hint="eastAsia"/>
          <w:b/>
        </w:rPr>
        <w:t>重型再生障碍</w:t>
        <w:tab/>
      </w:r>
      <w:r>
        <w:rPr/>
        <w:t>指因骨髓造血功能慢性</w:t>
      </w:r>
      <w:r>
        <w:rPr>
          <w:spacing w:val="-3"/>
        </w:rPr>
        <w:t>持</w:t>
      </w:r>
      <w:r>
        <w:rPr/>
        <w:t>续性衰竭导致的贫血、</w:t>
      </w:r>
      <w:r>
        <w:rPr>
          <w:spacing w:val="-3"/>
        </w:rPr>
        <w:t>中</w:t>
      </w:r>
      <w:r>
        <w:rPr/>
        <w:t>性粒细胞减少及血小板</w:t>
      </w:r>
      <w:r>
        <w:rPr>
          <w:spacing w:val="-3"/>
        </w:rPr>
        <w:t>减</w:t>
      </w:r>
      <w:r>
        <w:rPr/>
        <w:t>少。须满</w:t>
      </w:r>
    </w:p>
    <w:p>
      <w:pPr>
        <w:spacing w:after="0"/>
        <w:sectPr>
          <w:type w:val="continuous"/>
          <w:pgSz w:w="11910" w:h="16840"/>
          <w:pgMar w:top="620" w:bottom="500" w:left="740" w:right="620"/>
        </w:sectPr>
      </w:pPr>
    </w:p>
    <w:tbl>
      <w:tblPr>
        <w:tblW w:w="0" w:type="auto"/>
        <w:jc w:val="left"/>
        <w:tblInd w:w="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8475"/>
      </w:tblGrid>
      <w:tr>
        <w:trPr>
          <w:trHeight w:val="2709" w:hRule="atLeast"/>
        </w:trPr>
        <w:tc>
          <w:tcPr>
            <w:tcW w:w="1626" w:type="dxa"/>
          </w:tcPr>
          <w:p>
            <w:pPr>
              <w:pStyle w:val="TableParagraph"/>
              <w:spacing w:before="203"/>
              <w:ind w:left="200"/>
              <w:rPr>
                <w:rFonts w:ascii="微软雅黑" w:eastAsia="微软雅黑" w:hint="eastAsia"/>
                <w:b/>
                <w:sz w:val="22"/>
              </w:rPr>
            </w:pPr>
            <w:r>
              <w:rPr>
                <w:rFonts w:ascii="微软雅黑" w:eastAsia="微软雅黑" w:hint="eastAsia"/>
                <w:b/>
                <w:sz w:val="22"/>
              </w:rPr>
              <w:t>性贫血</w:t>
            </w:r>
          </w:p>
        </w:tc>
        <w:tc>
          <w:tcPr>
            <w:tcW w:w="8475" w:type="dxa"/>
          </w:tcPr>
          <w:p>
            <w:pPr>
              <w:pStyle w:val="TableParagraph"/>
              <w:spacing w:before="6"/>
              <w:rPr>
                <w:sz w:val="20"/>
              </w:rPr>
            </w:pPr>
          </w:p>
          <w:p>
            <w:pPr>
              <w:pStyle w:val="TableParagraph"/>
              <w:spacing w:before="1"/>
              <w:ind w:left="100"/>
              <w:rPr>
                <w:sz w:val="22"/>
              </w:rPr>
            </w:pPr>
            <w:r>
              <w:rPr>
                <w:sz w:val="22"/>
              </w:rPr>
              <w:t>足下列全部条件：</w:t>
            </w:r>
          </w:p>
          <w:p>
            <w:pPr>
              <w:pStyle w:val="TableParagraph"/>
              <w:numPr>
                <w:ilvl w:val="0"/>
                <w:numId w:val="15"/>
              </w:numPr>
              <w:tabs>
                <w:tab w:pos="461" w:val="left" w:leader="none"/>
              </w:tabs>
              <w:spacing w:line="240" w:lineRule="auto" w:before="91" w:after="0"/>
              <w:ind w:left="460" w:right="0" w:hanging="360"/>
              <w:jc w:val="left"/>
              <w:rPr>
                <w:sz w:val="22"/>
              </w:rPr>
            </w:pPr>
            <w:r>
              <w:rPr>
                <w:spacing w:val="-3"/>
                <w:sz w:val="22"/>
              </w:rPr>
              <w:t>骨髓穿刺检查或骨髓活检结果支持诊断；</w:t>
            </w:r>
          </w:p>
          <w:p>
            <w:pPr>
              <w:pStyle w:val="TableParagraph"/>
              <w:numPr>
                <w:ilvl w:val="0"/>
                <w:numId w:val="15"/>
              </w:numPr>
              <w:tabs>
                <w:tab w:pos="461" w:val="left" w:leader="none"/>
              </w:tabs>
              <w:spacing w:line="240" w:lineRule="auto" w:before="91" w:after="0"/>
              <w:ind w:left="460" w:right="0" w:hanging="360"/>
              <w:jc w:val="left"/>
              <w:rPr>
                <w:sz w:val="22"/>
              </w:rPr>
            </w:pPr>
            <w:r>
              <w:rPr>
                <w:spacing w:val="-3"/>
                <w:sz w:val="22"/>
              </w:rPr>
              <w:t>外周血象须具备以下三项条件：</w:t>
            </w:r>
          </w:p>
          <w:p>
            <w:pPr>
              <w:pStyle w:val="TableParagraph"/>
              <w:spacing w:before="93"/>
              <w:ind w:left="441"/>
              <w:rPr>
                <w:sz w:val="22"/>
              </w:rPr>
            </w:pPr>
            <w:r>
              <w:rPr>
                <w:sz w:val="22"/>
              </w:rPr>
              <w:t>① 中性粒细胞绝对值≤0.5×10</w:t>
            </w:r>
            <w:r>
              <w:rPr>
                <w:position w:val="11"/>
                <w:sz w:val="11"/>
              </w:rPr>
              <w:t>9</w:t>
            </w:r>
            <w:r>
              <w:rPr>
                <w:sz w:val="22"/>
              </w:rPr>
              <w:t>/L ；</w:t>
            </w:r>
          </w:p>
          <w:p>
            <w:pPr>
              <w:pStyle w:val="TableParagraph"/>
              <w:spacing w:before="91"/>
              <w:ind w:left="441"/>
              <w:rPr>
                <w:sz w:val="22"/>
              </w:rPr>
            </w:pPr>
            <w:r>
              <w:rPr>
                <w:sz w:val="22"/>
              </w:rPr>
              <w:t>② 网织红细胞＜1%；</w:t>
            </w:r>
          </w:p>
          <w:p>
            <w:pPr>
              <w:pStyle w:val="TableParagraph"/>
              <w:spacing w:before="91"/>
              <w:ind w:left="441"/>
              <w:rPr>
                <w:sz w:val="22"/>
              </w:rPr>
            </w:pPr>
            <w:r>
              <w:rPr>
                <w:sz w:val="22"/>
              </w:rPr>
              <w:t>③ 血小板绝对值≤20×10</w:t>
            </w:r>
            <w:r>
              <w:rPr>
                <w:position w:val="11"/>
                <w:sz w:val="11"/>
              </w:rPr>
              <w:t>9</w:t>
            </w:r>
            <w:r>
              <w:rPr>
                <w:sz w:val="22"/>
              </w:rPr>
              <w:t>/L。</w:t>
            </w:r>
          </w:p>
        </w:tc>
      </w:tr>
      <w:tr>
        <w:trPr>
          <w:trHeight w:val="3041"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主动脉手术</w:t>
            </w:r>
          </w:p>
        </w:tc>
        <w:tc>
          <w:tcPr>
            <w:tcW w:w="8475" w:type="dxa"/>
          </w:tcPr>
          <w:p>
            <w:pPr>
              <w:pStyle w:val="TableParagraph"/>
              <w:spacing w:before="9"/>
              <w:rPr>
                <w:sz w:val="16"/>
              </w:rPr>
            </w:pPr>
          </w:p>
          <w:p>
            <w:pPr>
              <w:pStyle w:val="TableParagraph"/>
              <w:spacing w:line="316" w:lineRule="auto"/>
              <w:ind w:left="100" w:right="210"/>
              <w:jc w:val="both"/>
              <w:rPr>
                <w:sz w:val="22"/>
              </w:rPr>
            </w:pPr>
            <w:r>
              <w:rPr>
                <w:sz w:val="22"/>
              </w:rPr>
              <w:t>指为治疗主动脉疾病，实际实施了开胸或开腹进行的切除、置换、修补病损主动脉血管的手术。主动脉指胸主动脉和腹主动脉，不包括胸主动脉和腹主动脉的分支血管。</w:t>
            </w:r>
            <w:r>
              <w:rPr>
                <w:sz w:val="22"/>
                <w:shd w:fill="D9D9D9" w:color="auto" w:val="clear"/>
              </w:rPr>
              <w:t>动脉内血管成形术不在保障范围内。</w:t>
            </w:r>
          </w:p>
          <w:p>
            <w:pPr>
              <w:pStyle w:val="TableParagraph"/>
              <w:spacing w:before="6"/>
              <w:rPr>
                <w:sz w:val="30"/>
              </w:rPr>
            </w:pPr>
          </w:p>
          <w:p>
            <w:pPr>
              <w:pStyle w:val="TableParagraph"/>
              <w:spacing w:line="316" w:lineRule="auto" w:before="1"/>
              <w:ind w:left="100" w:right="199"/>
              <w:jc w:val="both"/>
              <w:rPr>
                <w:b/>
                <w:sz w:val="22"/>
              </w:rPr>
            </w:pPr>
            <w:r>
              <w:rPr>
                <w:b/>
                <w:sz w:val="22"/>
              </w:rPr>
              <w:t>以上是中国保险行业协会与中国医师协会制定的《重大疾病保险疾病定义使用规范》所规范的重大疾病种类，以下是本公司为扩大保障范围所增设的 20 种重大疾</w:t>
            </w:r>
            <w:r>
              <w:rPr>
                <w:b/>
                <w:w w:val="95"/>
                <w:sz w:val="22"/>
              </w:rPr>
              <w:t>病。</w:t>
            </w:r>
          </w:p>
        </w:tc>
      </w:tr>
      <w:tr>
        <w:trPr>
          <w:trHeight w:val="2280"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慢性呼吸功能衰竭</w:t>
            </w:r>
          </w:p>
        </w:tc>
        <w:tc>
          <w:tcPr>
            <w:tcW w:w="8475" w:type="dxa"/>
          </w:tcPr>
          <w:p>
            <w:pPr>
              <w:pStyle w:val="TableParagraph"/>
              <w:spacing w:before="9"/>
              <w:rPr>
                <w:sz w:val="16"/>
              </w:rPr>
            </w:pPr>
          </w:p>
          <w:p>
            <w:pPr>
              <w:pStyle w:val="TableParagraph"/>
              <w:ind w:left="100"/>
              <w:rPr>
                <w:sz w:val="22"/>
              </w:rPr>
            </w:pPr>
            <w:r>
              <w:rPr>
                <w:sz w:val="22"/>
              </w:rPr>
              <w:t>慢性肺部疾病导致永久不可逆性的慢性呼吸功能衰竭，必须符合下列所有条件：</w:t>
            </w:r>
          </w:p>
          <w:p>
            <w:pPr>
              <w:pStyle w:val="TableParagraph"/>
              <w:numPr>
                <w:ilvl w:val="0"/>
                <w:numId w:val="16"/>
              </w:numPr>
              <w:tabs>
                <w:tab w:pos="461" w:val="left" w:leader="none"/>
              </w:tabs>
              <w:spacing w:line="240" w:lineRule="auto" w:before="90" w:after="0"/>
              <w:ind w:left="460" w:right="0" w:hanging="360"/>
              <w:jc w:val="left"/>
              <w:rPr>
                <w:sz w:val="22"/>
              </w:rPr>
            </w:pPr>
            <w:r>
              <w:rPr>
                <w:spacing w:val="-2"/>
                <w:sz w:val="22"/>
              </w:rPr>
              <w:t>休息时出现呼吸困难；</w:t>
            </w:r>
          </w:p>
          <w:p>
            <w:pPr>
              <w:pStyle w:val="TableParagraph"/>
              <w:numPr>
                <w:ilvl w:val="0"/>
                <w:numId w:val="16"/>
              </w:numPr>
              <w:tabs>
                <w:tab w:pos="461" w:val="left" w:leader="none"/>
              </w:tabs>
              <w:spacing w:line="240" w:lineRule="auto" w:before="90" w:after="0"/>
              <w:ind w:left="460" w:right="0" w:hanging="360"/>
              <w:jc w:val="left"/>
              <w:rPr>
                <w:sz w:val="22"/>
              </w:rPr>
            </w:pPr>
            <w:r>
              <w:rPr>
                <w:spacing w:val="-1"/>
                <w:position w:val="1"/>
                <w:sz w:val="22"/>
              </w:rPr>
              <w:t>动脉血氧分压 </w:t>
            </w:r>
            <w:r>
              <w:rPr>
                <w:position w:val="1"/>
                <w:sz w:val="22"/>
              </w:rPr>
              <w:t>（PaO</w:t>
            </w:r>
            <w:r>
              <w:rPr>
                <w:sz w:val="11"/>
              </w:rPr>
              <w:t>2</w:t>
            </w:r>
            <w:r>
              <w:rPr>
                <w:position w:val="1"/>
                <w:sz w:val="22"/>
              </w:rPr>
              <w:t>）</w:t>
            </w:r>
            <w:r>
              <w:rPr>
                <w:spacing w:val="-1"/>
                <w:position w:val="1"/>
                <w:sz w:val="22"/>
              </w:rPr>
              <w:t>&lt; </w:t>
            </w:r>
            <w:r>
              <w:rPr>
                <w:position w:val="1"/>
                <w:sz w:val="22"/>
              </w:rPr>
              <w:t>50mmHg；</w:t>
            </w:r>
          </w:p>
          <w:p>
            <w:pPr>
              <w:pStyle w:val="TableParagraph"/>
              <w:numPr>
                <w:ilvl w:val="0"/>
                <w:numId w:val="16"/>
              </w:numPr>
              <w:tabs>
                <w:tab w:pos="461" w:val="left" w:leader="none"/>
              </w:tabs>
              <w:spacing w:line="240" w:lineRule="auto" w:before="93" w:after="0"/>
              <w:ind w:left="460" w:right="0" w:hanging="360"/>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16"/>
              </w:numPr>
              <w:tabs>
                <w:tab w:pos="461" w:val="left" w:leader="none"/>
              </w:tabs>
              <w:spacing w:line="240" w:lineRule="auto" w:before="91" w:after="0"/>
              <w:ind w:left="460" w:right="0" w:hanging="360"/>
              <w:jc w:val="left"/>
              <w:rPr>
                <w:sz w:val="22"/>
              </w:rPr>
            </w:pPr>
            <w:r>
              <w:rPr>
                <w:spacing w:val="-3"/>
                <w:sz w:val="22"/>
              </w:rPr>
              <w:t>因缺氧必须接受持续的输氧治疗。</w:t>
            </w:r>
          </w:p>
        </w:tc>
      </w:tr>
      <w:tr>
        <w:trPr>
          <w:trHeight w:val="2280"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严重多发性硬化</w:t>
            </w:r>
          </w:p>
        </w:tc>
        <w:tc>
          <w:tcPr>
            <w:tcW w:w="8475" w:type="dxa"/>
          </w:tcPr>
          <w:p>
            <w:pPr>
              <w:pStyle w:val="TableParagraph"/>
              <w:spacing w:before="9"/>
              <w:rPr>
                <w:sz w:val="16"/>
              </w:rPr>
            </w:pPr>
          </w:p>
          <w:p>
            <w:pPr>
              <w:pStyle w:val="TableParagraph"/>
              <w:spacing w:line="316" w:lineRule="auto"/>
              <w:ind w:left="100" w:right="210"/>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17"/>
              </w:numPr>
              <w:tabs>
                <w:tab w:pos="461" w:val="left" w:leader="none"/>
              </w:tabs>
              <w:spacing w:line="240" w:lineRule="auto" w:before="22" w:after="0"/>
              <w:ind w:left="460" w:right="0" w:hanging="360"/>
              <w:jc w:val="both"/>
              <w:rPr>
                <w:sz w:val="22"/>
              </w:rPr>
            </w:pPr>
            <w:r>
              <w:rPr>
                <w:spacing w:val="-3"/>
                <w:sz w:val="22"/>
              </w:rPr>
              <w:t>移动：自己从一个房间移动到另一个房间；或者</w:t>
            </w:r>
          </w:p>
          <w:p>
            <w:pPr>
              <w:pStyle w:val="TableParagraph"/>
              <w:numPr>
                <w:ilvl w:val="0"/>
                <w:numId w:val="17"/>
              </w:numPr>
              <w:tabs>
                <w:tab w:pos="461" w:val="left" w:leader="none"/>
              </w:tabs>
              <w:spacing w:line="240" w:lineRule="auto" w:before="90" w:after="0"/>
              <w:ind w:left="460" w:right="0" w:hanging="360"/>
              <w:jc w:val="both"/>
              <w:rPr>
                <w:sz w:val="22"/>
              </w:rPr>
            </w:pPr>
            <w:r>
              <w:rPr>
                <w:spacing w:val="-3"/>
                <w:sz w:val="22"/>
              </w:rPr>
              <w:t>进食：自己从已准备好的碗或碟中取食物放入口中。</w:t>
            </w:r>
          </w:p>
        </w:tc>
      </w:tr>
      <w:tr>
        <w:trPr>
          <w:trHeight w:val="1899"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严重冠心病</w:t>
            </w:r>
          </w:p>
        </w:tc>
        <w:tc>
          <w:tcPr>
            <w:tcW w:w="8475" w:type="dxa"/>
          </w:tcPr>
          <w:p>
            <w:pPr>
              <w:pStyle w:val="TableParagraph"/>
              <w:spacing w:before="9"/>
              <w:rPr>
                <w:sz w:val="16"/>
              </w:rPr>
            </w:pPr>
          </w:p>
          <w:p>
            <w:pPr>
              <w:pStyle w:val="TableParagraph"/>
              <w:spacing w:line="316" w:lineRule="auto"/>
              <w:ind w:left="100" w:right="206"/>
              <w:jc w:val="both"/>
              <w:rPr>
                <w:sz w:val="22"/>
              </w:rPr>
            </w:pPr>
            <w:r>
              <w:rPr>
                <w:spacing w:val="-2"/>
                <w:sz w:val="22"/>
              </w:rPr>
              <w:t>指根据冠状动脉造影检查结果确诊的三支主要血管严重狭窄性病变</w:t>
            </w:r>
            <w:r>
              <w:rPr>
                <w:sz w:val="22"/>
              </w:rPr>
              <w:t>（</w:t>
            </w:r>
            <w:r>
              <w:rPr>
                <w:spacing w:val="-1"/>
                <w:sz w:val="22"/>
              </w:rPr>
              <w:t>至少一支血管管</w:t>
            </w:r>
            <w:r>
              <w:rPr>
                <w:spacing w:val="0"/>
                <w:sz w:val="22"/>
              </w:rPr>
              <w:t>腔直径减少 </w:t>
            </w:r>
            <w:r>
              <w:rPr>
                <w:sz w:val="22"/>
              </w:rPr>
              <w:t>75％</w:t>
            </w:r>
            <w:r>
              <w:rPr>
                <w:spacing w:val="-1"/>
                <w:sz w:val="22"/>
              </w:rPr>
              <w:t>以上和其他两支血管管腔直径减少 </w:t>
            </w:r>
            <w:r>
              <w:rPr>
                <w:sz w:val="22"/>
              </w:rPr>
              <w:t>60％以上）</w:t>
            </w:r>
            <w:r>
              <w:rPr>
                <w:spacing w:val="-1"/>
                <w:sz w:val="22"/>
              </w:rPr>
              <w:t>。冠状动脉的主要血</w:t>
            </w:r>
            <w:r>
              <w:rPr>
                <w:spacing w:val="-3"/>
                <w:sz w:val="22"/>
              </w:rPr>
              <w:t>管指左冠状动脉主干、前降支、左旋支及右冠状动脉。</w:t>
            </w:r>
            <w:r>
              <w:rPr>
                <w:spacing w:val="-1"/>
                <w:sz w:val="22"/>
                <w:shd w:fill="D9D9D9" w:color="auto" w:val="clear"/>
              </w:rPr>
              <w:t>前降支、左旋支及右冠状动脉的分支</w:t>
            </w:r>
            <w:r>
              <w:rPr>
                <w:spacing w:val="-221"/>
                <w:sz w:val="22"/>
                <w:shd w:fill="D9D9D9" w:color="auto" w:val="clear"/>
              </w:rPr>
              <w:t>血</w:t>
            </w:r>
            <w:r>
              <w:rPr>
                <w:spacing w:val="-3"/>
                <w:sz w:val="22"/>
                <w:shd w:fill="D9D9D9" w:color="auto" w:val="clear"/>
              </w:rPr>
              <w:t>管的狭窄不作为本保障的衡量指标。</w:t>
            </w:r>
          </w:p>
        </w:tc>
      </w:tr>
      <w:tr>
        <w:trPr>
          <w:trHeight w:val="1520" w:hRule="atLeast"/>
        </w:trPr>
        <w:tc>
          <w:tcPr>
            <w:tcW w:w="1626" w:type="dxa"/>
          </w:tcPr>
          <w:p>
            <w:pPr>
              <w:pStyle w:val="TableParagraph"/>
              <w:spacing w:before="152"/>
              <w:ind w:left="200"/>
              <w:rPr>
                <w:rFonts w:ascii="微软雅黑" w:eastAsia="微软雅黑" w:hint="eastAsia"/>
                <w:b/>
                <w:sz w:val="22"/>
              </w:rPr>
            </w:pPr>
            <w:r>
              <w:rPr>
                <w:rFonts w:ascii="微软雅黑" w:eastAsia="微软雅黑" w:hint="eastAsia"/>
                <w:b/>
                <w:sz w:val="22"/>
              </w:rPr>
              <w:t>严重心肌病</w:t>
            </w:r>
          </w:p>
        </w:tc>
        <w:tc>
          <w:tcPr>
            <w:tcW w:w="8475" w:type="dxa"/>
          </w:tcPr>
          <w:p>
            <w:pPr>
              <w:pStyle w:val="TableParagraph"/>
              <w:spacing w:before="8"/>
              <w:rPr>
                <w:sz w:val="16"/>
              </w:rPr>
            </w:pPr>
          </w:p>
          <w:p>
            <w:pPr>
              <w:pStyle w:val="TableParagraph"/>
              <w:spacing w:line="316" w:lineRule="auto" w:before="1"/>
              <w:ind w:left="100" w:right="204"/>
              <w:jc w:val="both"/>
              <w:rPr>
                <w:sz w:val="22"/>
              </w:rPr>
            </w:pPr>
            <w:r>
              <w:rPr>
                <w:sz w:val="22"/>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1304"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系统性红斑狼疮 － III 型或</w:t>
            </w:r>
          </w:p>
          <w:p>
            <w:pPr>
              <w:pStyle w:val="TableParagraph"/>
              <w:spacing w:line="372" w:lineRule="exact"/>
              <w:ind w:left="200"/>
              <w:rPr>
                <w:rFonts w:ascii="微软雅黑" w:eastAsia="微软雅黑" w:hint="eastAsia"/>
                <w:b/>
                <w:sz w:val="22"/>
              </w:rPr>
            </w:pPr>
            <w:r>
              <w:rPr>
                <w:rFonts w:ascii="微软雅黑" w:eastAsia="微软雅黑" w:hint="eastAsia"/>
                <w:b/>
                <w:sz w:val="22"/>
              </w:rPr>
              <w:t>III 型以上狼</w:t>
            </w:r>
          </w:p>
        </w:tc>
        <w:tc>
          <w:tcPr>
            <w:tcW w:w="8475" w:type="dxa"/>
          </w:tcPr>
          <w:p>
            <w:pPr>
              <w:pStyle w:val="TableParagraph"/>
              <w:spacing w:before="9"/>
              <w:rPr>
                <w:sz w:val="16"/>
              </w:rPr>
            </w:pPr>
          </w:p>
          <w:p>
            <w:pPr>
              <w:pStyle w:val="TableParagraph"/>
              <w:spacing w:line="316" w:lineRule="auto"/>
              <w:ind w:left="100" w:right="210"/>
              <w:rPr>
                <w:sz w:val="22"/>
              </w:rPr>
            </w:pPr>
            <w:r>
              <w:rPr>
                <w:sz w:val="22"/>
              </w:rPr>
              <w:t>系统性红斑狼疮是由多种因素引起，累及多系统的自身免疫性疾病。其特点是生成自身抗体对抗多种自身抗原。多见于育龄妇女。</w:t>
            </w:r>
          </w:p>
          <w:p>
            <w:pPr>
              <w:pStyle w:val="TableParagraph"/>
              <w:spacing w:before="20"/>
              <w:ind w:left="100"/>
              <w:rPr>
                <w:sz w:val="22"/>
              </w:rPr>
            </w:pPr>
            <w:r>
              <w:rPr>
                <w:sz w:val="22"/>
                <w:shd w:fill="D9D9D9" w:color="auto" w:val="clear"/>
              </w:rPr>
              <w:t>本保单所指的系统性红斑狼疮仅限于累及肾脏（经肾脏活检确认的，符合 WHO 诊断标</w:t>
            </w:r>
          </w:p>
        </w:tc>
      </w:tr>
    </w:tbl>
    <w:p>
      <w:pPr>
        <w:spacing w:after="0"/>
        <w:rPr>
          <w:sz w:val="22"/>
        </w:rPr>
        <w:sectPr>
          <w:pgSz w:w="11910" w:h="16840"/>
          <w:pgMar w:header="426" w:footer="309" w:top="620" w:bottom="500" w:left="740" w:right="420"/>
        </w:sectPr>
      </w:pPr>
    </w:p>
    <w:p>
      <w:pPr>
        <w:pStyle w:val="BodyText"/>
        <w:spacing w:before="2"/>
        <w:rPr>
          <w:sz w:val="15"/>
        </w:rPr>
      </w:pPr>
    </w:p>
    <w:p>
      <w:pPr>
        <w:pStyle w:val="BodyText"/>
        <w:tabs>
          <w:tab w:pos="2267" w:val="left" w:leader="none"/>
        </w:tabs>
        <w:spacing w:line="280" w:lineRule="auto"/>
        <w:ind w:left="2267" w:right="106" w:hanging="1527"/>
      </w:pPr>
      <w:r>
        <w:rPr>
          <w:rFonts w:ascii="微软雅黑" w:eastAsia="微软雅黑" w:hint="eastAsia"/>
          <w:b/>
        </w:rPr>
        <w:t>疮性肾炎</w:t>
        <w:tab/>
      </w:r>
      <w:r>
        <w:rPr>
          <w:shd w:fill="D9D9D9" w:color="auto" w:val="clear"/>
        </w:rPr>
        <w:t>准定义</w:t>
      </w:r>
      <w:r>
        <w:rPr>
          <w:spacing w:val="5"/>
          <w:shd w:fill="D9D9D9" w:color="auto" w:val="clear"/>
        </w:rPr>
        <w:t> </w:t>
      </w:r>
      <w:r>
        <w:rPr>
          <w:shd w:fill="D9D9D9" w:color="auto" w:val="clear"/>
        </w:rPr>
        <w:t>III</w:t>
      </w:r>
      <w:r>
        <w:rPr>
          <w:spacing w:val="7"/>
          <w:shd w:fill="D9D9D9" w:color="auto" w:val="clear"/>
        </w:rPr>
        <w:t> </w:t>
      </w:r>
      <w:r>
        <w:rPr>
          <w:shd w:fill="D9D9D9" w:color="auto" w:val="clear"/>
        </w:rPr>
        <w:t>型或</w:t>
      </w:r>
      <w:r>
        <w:rPr>
          <w:spacing w:val="5"/>
          <w:shd w:fill="D9D9D9" w:color="auto" w:val="clear"/>
        </w:rPr>
        <w:t> </w:t>
      </w:r>
      <w:r>
        <w:rPr>
          <w:shd w:fill="D9D9D9" w:color="auto" w:val="clear"/>
        </w:rPr>
        <w:t>III</w:t>
      </w:r>
      <w:r>
        <w:rPr>
          <w:spacing w:val="5"/>
          <w:shd w:fill="D9D9D9" w:color="auto" w:val="clear"/>
        </w:rPr>
        <w:t> </w:t>
      </w:r>
      <w:r>
        <w:rPr>
          <w:spacing w:val="-3"/>
          <w:shd w:fill="D9D9D9" w:color="auto" w:val="clear"/>
        </w:rPr>
        <w:t>型</w:t>
      </w:r>
      <w:r>
        <w:rPr>
          <w:shd w:fill="D9D9D9" w:color="auto" w:val="clear"/>
        </w:rPr>
        <w:t>以上狼疮性肾炎）的系统性红斑狼疮。其他类型的红斑性狼</w:t>
      </w:r>
      <w:r>
        <w:rPr>
          <w:spacing w:val="5"/>
          <w:shd w:fill="D9D9D9" w:color="auto" w:val="clear"/>
        </w:rPr>
        <w:t>疮，</w:t>
      </w:r>
      <w:r>
        <w:rPr>
          <w:spacing w:val="2"/>
          <w:shd w:fill="D9D9D9" w:color="auto" w:val="clear"/>
        </w:rPr>
        <w:t>如</w:t>
      </w:r>
      <w:r>
        <w:rPr>
          <w:spacing w:val="-221"/>
          <w:shd w:fill="D9D9D9" w:color="auto" w:val="clear"/>
        </w:rPr>
        <w:t>盘</w:t>
      </w:r>
      <w:r>
        <w:rPr>
          <w:spacing w:val="2"/>
          <w:shd w:fill="D9D9D9" w:color="auto" w:val="clear"/>
        </w:rPr>
        <w:t>状</w:t>
      </w:r>
      <w:r>
        <w:rPr>
          <w:spacing w:val="5"/>
          <w:shd w:fill="D9D9D9" w:color="auto" w:val="clear"/>
        </w:rPr>
        <w:t>狼疮</w:t>
      </w:r>
      <w:r>
        <w:rPr>
          <w:spacing w:val="2"/>
          <w:shd w:fill="D9D9D9" w:color="auto" w:val="clear"/>
        </w:rPr>
        <w:t>、</w:t>
      </w:r>
      <w:r>
        <w:rPr>
          <w:spacing w:val="5"/>
          <w:shd w:fill="D9D9D9" w:color="auto" w:val="clear"/>
        </w:rPr>
        <w:t>仅</w:t>
      </w:r>
      <w:r>
        <w:rPr>
          <w:spacing w:val="2"/>
          <w:shd w:fill="D9D9D9" w:color="auto" w:val="clear"/>
        </w:rPr>
        <w:t>累</w:t>
      </w:r>
      <w:r>
        <w:rPr>
          <w:spacing w:val="5"/>
          <w:shd w:fill="D9D9D9" w:color="auto" w:val="clear"/>
        </w:rPr>
        <w:t>及血</w:t>
      </w:r>
      <w:r>
        <w:rPr>
          <w:spacing w:val="2"/>
          <w:shd w:fill="D9D9D9" w:color="auto" w:val="clear"/>
        </w:rPr>
        <w:t>液</w:t>
      </w:r>
      <w:r>
        <w:rPr>
          <w:spacing w:val="5"/>
          <w:shd w:fill="D9D9D9" w:color="auto" w:val="clear"/>
        </w:rPr>
        <w:t>及</w:t>
      </w:r>
      <w:r>
        <w:rPr>
          <w:spacing w:val="2"/>
          <w:shd w:fill="D9D9D9" w:color="auto" w:val="clear"/>
        </w:rPr>
        <w:t>关</w:t>
      </w:r>
      <w:r>
        <w:rPr>
          <w:spacing w:val="5"/>
          <w:shd w:fill="D9D9D9" w:color="auto" w:val="clear"/>
        </w:rPr>
        <w:t>节的</w:t>
      </w:r>
      <w:r>
        <w:rPr>
          <w:spacing w:val="2"/>
          <w:shd w:fill="D9D9D9" w:color="auto" w:val="clear"/>
        </w:rPr>
        <w:t>狼</w:t>
      </w:r>
      <w:r>
        <w:rPr>
          <w:spacing w:val="5"/>
          <w:shd w:fill="D9D9D9" w:color="auto" w:val="clear"/>
        </w:rPr>
        <w:t>疮</w:t>
      </w:r>
      <w:r>
        <w:rPr>
          <w:spacing w:val="2"/>
          <w:shd w:fill="D9D9D9" w:color="auto" w:val="clear"/>
        </w:rPr>
        <w:t>不</w:t>
      </w:r>
      <w:r>
        <w:rPr>
          <w:spacing w:val="5"/>
          <w:shd w:fill="D9D9D9" w:color="auto" w:val="clear"/>
        </w:rPr>
        <w:t>在本</w:t>
      </w:r>
      <w:r>
        <w:rPr>
          <w:spacing w:val="2"/>
          <w:shd w:fill="D9D9D9" w:color="auto" w:val="clear"/>
        </w:rPr>
        <w:t>保</w:t>
      </w:r>
      <w:r>
        <w:rPr>
          <w:spacing w:val="5"/>
          <w:shd w:fill="D9D9D9" w:color="auto" w:val="clear"/>
        </w:rPr>
        <w:t>单</w:t>
      </w:r>
      <w:r>
        <w:rPr>
          <w:spacing w:val="2"/>
          <w:shd w:fill="D9D9D9" w:color="auto" w:val="clear"/>
        </w:rPr>
        <w:t>保</w:t>
      </w:r>
      <w:r>
        <w:rPr>
          <w:spacing w:val="5"/>
          <w:shd w:fill="D9D9D9" w:color="auto" w:val="clear"/>
        </w:rPr>
        <w:t>障范</w:t>
      </w:r>
      <w:r>
        <w:rPr>
          <w:spacing w:val="2"/>
          <w:shd w:fill="D9D9D9" w:color="auto" w:val="clear"/>
        </w:rPr>
        <w:t>围</w:t>
      </w:r>
      <w:r>
        <w:rPr>
          <w:spacing w:val="5"/>
          <w:shd w:fill="D9D9D9" w:color="auto" w:val="clear"/>
        </w:rPr>
        <w:t>内</w:t>
      </w:r>
      <w:r>
        <w:rPr>
          <w:spacing w:val="10"/>
          <w:shd w:fill="D9D9D9" w:color="auto" w:val="clear"/>
        </w:rPr>
        <w:t>。</w:t>
      </w:r>
      <w:r>
        <w:rPr>
          <w:spacing w:val="5"/>
        </w:rPr>
        <w:t>世界</w:t>
      </w:r>
      <w:r>
        <w:rPr>
          <w:spacing w:val="2"/>
        </w:rPr>
        <w:t>卫</w:t>
      </w:r>
      <w:r>
        <w:rPr>
          <w:spacing w:val="5"/>
        </w:rPr>
        <w:t>生组</w:t>
      </w:r>
      <w:r>
        <w:rPr/>
        <w:t>织</w:t>
      </w:r>
    </w:p>
    <w:p>
      <w:pPr>
        <w:pStyle w:val="BodyText"/>
        <w:spacing w:before="54"/>
        <w:ind w:left="2267"/>
      </w:pPr>
      <w:r>
        <w:rPr/>
        <w:t>（WHO）狼疮性肾炎分型：</w:t>
      </w:r>
    </w:p>
    <w:p>
      <w:pPr>
        <w:pStyle w:val="BodyText"/>
        <w:spacing w:before="3"/>
        <w:rPr>
          <w:sz w:val="12"/>
        </w:rPr>
      </w:pPr>
    </w:p>
    <w:tbl>
      <w:tblPr>
        <w:tblW w:w="0" w:type="auto"/>
        <w:jc w:val="left"/>
        <w:tblInd w:w="2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2156"/>
      </w:tblGrid>
      <w:tr>
        <w:trPr>
          <w:trHeight w:val="300" w:hRule="atLeast"/>
        </w:trPr>
        <w:tc>
          <w:tcPr>
            <w:tcW w:w="1004" w:type="dxa"/>
          </w:tcPr>
          <w:p>
            <w:pPr>
              <w:pStyle w:val="TableParagraph"/>
              <w:tabs>
                <w:tab w:pos="386" w:val="left" w:leader="none"/>
              </w:tabs>
              <w:spacing w:line="221" w:lineRule="exact"/>
              <w:ind w:right="194"/>
              <w:jc w:val="right"/>
              <w:rPr>
                <w:sz w:val="22"/>
              </w:rPr>
            </w:pPr>
            <w:r>
              <w:rPr>
                <w:sz w:val="22"/>
              </w:rPr>
              <w:t>I</w:t>
              <w:tab/>
            </w:r>
            <w:r>
              <w:rPr>
                <w:spacing w:val="-1"/>
                <w:sz w:val="22"/>
              </w:rPr>
              <w:t>型</w:t>
            </w:r>
          </w:p>
        </w:tc>
        <w:tc>
          <w:tcPr>
            <w:tcW w:w="2156" w:type="dxa"/>
          </w:tcPr>
          <w:p>
            <w:pPr>
              <w:pStyle w:val="TableParagraph"/>
              <w:spacing w:line="221" w:lineRule="exact"/>
              <w:ind w:left="195"/>
              <w:rPr>
                <w:sz w:val="22"/>
              </w:rPr>
            </w:pPr>
            <w:r>
              <w:rPr>
                <w:sz w:val="22"/>
              </w:rPr>
              <w:t>微小病变型</w:t>
            </w:r>
          </w:p>
        </w:tc>
      </w:tr>
      <w:tr>
        <w:trPr>
          <w:trHeight w:val="379" w:hRule="atLeast"/>
        </w:trPr>
        <w:tc>
          <w:tcPr>
            <w:tcW w:w="1004" w:type="dxa"/>
          </w:tcPr>
          <w:p>
            <w:pPr>
              <w:pStyle w:val="TableParagraph"/>
              <w:spacing w:before="12"/>
              <w:ind w:right="192"/>
              <w:jc w:val="right"/>
              <w:rPr>
                <w:sz w:val="22"/>
              </w:rPr>
            </w:pPr>
            <w:r>
              <w:rPr>
                <w:sz w:val="22"/>
              </w:rPr>
              <w:t>II 型</w:t>
            </w:r>
          </w:p>
        </w:tc>
        <w:tc>
          <w:tcPr>
            <w:tcW w:w="2156" w:type="dxa"/>
          </w:tcPr>
          <w:p>
            <w:pPr>
              <w:pStyle w:val="TableParagraph"/>
              <w:spacing w:before="12"/>
              <w:ind w:left="195"/>
              <w:rPr>
                <w:sz w:val="22"/>
              </w:rPr>
            </w:pPr>
            <w:r>
              <w:rPr>
                <w:sz w:val="22"/>
              </w:rPr>
              <w:t>系膜病变型</w:t>
            </w:r>
          </w:p>
        </w:tc>
      </w:tr>
      <w:tr>
        <w:trPr>
          <w:trHeight w:val="380" w:hRule="atLeast"/>
        </w:trPr>
        <w:tc>
          <w:tcPr>
            <w:tcW w:w="1004" w:type="dxa"/>
          </w:tcPr>
          <w:p>
            <w:pPr>
              <w:pStyle w:val="TableParagraph"/>
              <w:spacing w:before="12"/>
              <w:ind w:right="194"/>
              <w:jc w:val="right"/>
              <w:rPr>
                <w:sz w:val="22"/>
              </w:rPr>
            </w:pPr>
            <w:r>
              <w:rPr>
                <w:sz w:val="22"/>
              </w:rPr>
              <w:t>III 型</w:t>
            </w:r>
          </w:p>
        </w:tc>
        <w:tc>
          <w:tcPr>
            <w:tcW w:w="2156" w:type="dxa"/>
          </w:tcPr>
          <w:p>
            <w:pPr>
              <w:pStyle w:val="TableParagraph"/>
              <w:spacing w:before="12"/>
              <w:ind w:left="195"/>
              <w:rPr>
                <w:sz w:val="22"/>
              </w:rPr>
            </w:pPr>
            <w:r>
              <w:rPr>
                <w:sz w:val="22"/>
              </w:rPr>
              <w:t>局灶及节段增生型</w:t>
            </w:r>
          </w:p>
        </w:tc>
      </w:tr>
      <w:tr>
        <w:trPr>
          <w:trHeight w:val="380" w:hRule="atLeast"/>
        </w:trPr>
        <w:tc>
          <w:tcPr>
            <w:tcW w:w="1004" w:type="dxa"/>
          </w:tcPr>
          <w:p>
            <w:pPr>
              <w:pStyle w:val="TableParagraph"/>
              <w:spacing w:before="13"/>
              <w:ind w:right="192"/>
              <w:jc w:val="right"/>
              <w:rPr>
                <w:sz w:val="22"/>
              </w:rPr>
            </w:pPr>
            <w:r>
              <w:rPr>
                <w:sz w:val="22"/>
              </w:rPr>
              <w:t>IV 型</w:t>
            </w:r>
          </w:p>
        </w:tc>
        <w:tc>
          <w:tcPr>
            <w:tcW w:w="2156" w:type="dxa"/>
          </w:tcPr>
          <w:p>
            <w:pPr>
              <w:pStyle w:val="TableParagraph"/>
              <w:spacing w:before="13"/>
              <w:ind w:left="195"/>
              <w:rPr>
                <w:sz w:val="22"/>
              </w:rPr>
            </w:pPr>
            <w:r>
              <w:rPr>
                <w:sz w:val="22"/>
              </w:rPr>
              <w:t>弥漫增生型</w:t>
            </w:r>
          </w:p>
        </w:tc>
      </w:tr>
      <w:tr>
        <w:trPr>
          <w:trHeight w:val="379" w:hRule="atLeast"/>
        </w:trPr>
        <w:tc>
          <w:tcPr>
            <w:tcW w:w="1004" w:type="dxa"/>
          </w:tcPr>
          <w:p>
            <w:pPr>
              <w:pStyle w:val="TableParagraph"/>
              <w:tabs>
                <w:tab w:pos="386" w:val="left" w:leader="none"/>
              </w:tabs>
              <w:spacing w:before="12"/>
              <w:ind w:right="194"/>
              <w:jc w:val="right"/>
              <w:rPr>
                <w:sz w:val="22"/>
              </w:rPr>
            </w:pPr>
            <w:r>
              <w:rPr>
                <w:sz w:val="22"/>
              </w:rPr>
              <w:t>V</w:t>
              <w:tab/>
            </w:r>
            <w:r>
              <w:rPr>
                <w:spacing w:val="-1"/>
                <w:sz w:val="22"/>
              </w:rPr>
              <w:t>型</w:t>
            </w:r>
          </w:p>
        </w:tc>
        <w:tc>
          <w:tcPr>
            <w:tcW w:w="2156" w:type="dxa"/>
          </w:tcPr>
          <w:p>
            <w:pPr>
              <w:pStyle w:val="TableParagraph"/>
              <w:spacing w:before="12"/>
              <w:ind w:left="195"/>
              <w:rPr>
                <w:sz w:val="22"/>
              </w:rPr>
            </w:pPr>
            <w:r>
              <w:rPr>
                <w:sz w:val="22"/>
              </w:rPr>
              <w:t>膜型</w:t>
            </w:r>
          </w:p>
        </w:tc>
      </w:tr>
      <w:tr>
        <w:trPr>
          <w:trHeight w:val="300" w:hRule="atLeast"/>
        </w:trPr>
        <w:tc>
          <w:tcPr>
            <w:tcW w:w="1004" w:type="dxa"/>
          </w:tcPr>
          <w:p>
            <w:pPr>
              <w:pStyle w:val="TableParagraph"/>
              <w:spacing w:line="268" w:lineRule="exact" w:before="12"/>
              <w:ind w:right="192"/>
              <w:jc w:val="right"/>
              <w:rPr>
                <w:sz w:val="22"/>
              </w:rPr>
            </w:pPr>
            <w:r>
              <w:rPr>
                <w:sz w:val="22"/>
              </w:rPr>
              <w:t>VI 型</w:t>
            </w:r>
          </w:p>
        </w:tc>
        <w:tc>
          <w:tcPr>
            <w:tcW w:w="2156" w:type="dxa"/>
          </w:tcPr>
          <w:p>
            <w:pPr>
              <w:pStyle w:val="TableParagraph"/>
              <w:spacing w:line="268" w:lineRule="exact" w:before="12"/>
              <w:ind w:left="195"/>
              <w:rPr>
                <w:sz w:val="22"/>
              </w:rPr>
            </w:pPr>
            <w:r>
              <w:rPr>
                <w:sz w:val="22"/>
              </w:rPr>
              <w:t>肾小球硬化型</w:t>
            </w:r>
          </w:p>
        </w:tc>
      </w:tr>
    </w:tbl>
    <w:p>
      <w:pPr>
        <w:pStyle w:val="BodyText"/>
        <w:rPr>
          <w:sz w:val="20"/>
        </w:rPr>
      </w:pPr>
    </w:p>
    <w:p>
      <w:pPr>
        <w:spacing w:after="0"/>
        <w:rPr>
          <w:sz w:val="20"/>
        </w:rPr>
        <w:sectPr>
          <w:pgSz w:w="11910" w:h="16840"/>
          <w:pgMar w:header="426" w:footer="309" w:top="620" w:bottom="500" w:left="740" w:right="620"/>
        </w:sectPr>
      </w:pPr>
    </w:p>
    <w:p>
      <w:pPr>
        <w:pStyle w:val="Heading4"/>
        <w:spacing w:before="145"/>
        <w:jc w:val="both"/>
      </w:pPr>
      <w:r>
        <w:rPr/>
        <w:t>经输血导致的人类免疫缺陷病毒（HIV） 感染</w:t>
      </w:r>
    </w:p>
    <w:p>
      <w:pPr>
        <w:pStyle w:val="BodyText"/>
        <w:spacing w:before="3"/>
        <w:rPr>
          <w:rFonts w:ascii="微软雅黑"/>
          <w:b/>
          <w:sz w:val="12"/>
        </w:rPr>
      </w:pPr>
      <w:r>
        <w:rPr/>
        <w:br w:type="column"/>
      </w:r>
      <w:r>
        <w:rPr>
          <w:rFonts w:ascii="微软雅黑"/>
          <w:b/>
          <w:sz w:val="12"/>
        </w:rPr>
      </w:r>
    </w:p>
    <w:p>
      <w:pPr>
        <w:pStyle w:val="BodyText"/>
        <w:spacing w:before="1"/>
        <w:ind w:left="161"/>
      </w:pPr>
      <w:r>
        <w:rPr/>
        <w:t>被保险人感染上人类免疫缺陷病毒（HIV）并且满足下列全部条件：</w:t>
      </w:r>
    </w:p>
    <w:p>
      <w:pPr>
        <w:pStyle w:val="ListParagraph"/>
        <w:numPr>
          <w:ilvl w:val="0"/>
          <w:numId w:val="18"/>
        </w:numPr>
        <w:tabs>
          <w:tab w:pos="522" w:val="left" w:leader="none"/>
        </w:tabs>
        <w:spacing w:line="240" w:lineRule="auto" w:before="91" w:after="0"/>
        <w:ind w:left="521" w:right="0" w:hanging="360"/>
        <w:jc w:val="left"/>
        <w:rPr>
          <w:sz w:val="22"/>
        </w:rPr>
      </w:pPr>
      <w:r>
        <w:rPr>
          <w:spacing w:val="-5"/>
          <w:sz w:val="22"/>
        </w:rPr>
        <w:t>在保障起始日或复效日之后，被保险人因输血而感染 </w:t>
      </w:r>
      <w:r>
        <w:rPr>
          <w:sz w:val="22"/>
        </w:rPr>
        <w:t>HIV；</w:t>
      </w:r>
    </w:p>
    <w:p>
      <w:pPr>
        <w:pStyle w:val="ListParagraph"/>
        <w:numPr>
          <w:ilvl w:val="0"/>
          <w:numId w:val="18"/>
        </w:numPr>
        <w:tabs>
          <w:tab w:pos="522" w:val="left" w:leader="none"/>
        </w:tabs>
        <w:spacing w:line="316" w:lineRule="auto" w:before="94" w:after="0"/>
        <w:ind w:left="521" w:right="112" w:hanging="360"/>
        <w:jc w:val="left"/>
        <w:rPr>
          <w:sz w:val="22"/>
        </w:rPr>
      </w:pPr>
      <w:r>
        <w:rPr>
          <w:sz w:val="22"/>
        </w:rPr>
        <w:t>提供输血治疗的输血中心或医院出具该项输血感染属医疗责任事故的报告，或者</w:t>
      </w:r>
      <w:r>
        <w:rPr>
          <w:spacing w:val="-3"/>
          <w:sz w:val="22"/>
        </w:rPr>
        <w:t>法院终审裁定为医疗责任并且不准上诉；</w:t>
      </w:r>
    </w:p>
    <w:p>
      <w:pPr>
        <w:pStyle w:val="ListParagraph"/>
        <w:numPr>
          <w:ilvl w:val="0"/>
          <w:numId w:val="18"/>
        </w:numPr>
        <w:tabs>
          <w:tab w:pos="522" w:val="left" w:leader="none"/>
        </w:tabs>
        <w:spacing w:line="240" w:lineRule="auto" w:before="21" w:after="0"/>
        <w:ind w:left="521" w:right="0" w:hanging="360"/>
        <w:jc w:val="left"/>
        <w:rPr>
          <w:sz w:val="22"/>
        </w:rPr>
      </w:pPr>
      <w:r>
        <w:rPr>
          <w:spacing w:val="-3"/>
          <w:sz w:val="22"/>
        </w:rPr>
        <w:t>受感染的被保险人不是血友病患者。</w:t>
      </w:r>
    </w:p>
    <w:p>
      <w:pPr>
        <w:pStyle w:val="BodyText"/>
        <w:spacing w:line="316" w:lineRule="auto" w:before="93"/>
        <w:ind w:left="161" w:right="108"/>
      </w:pPr>
      <w:r>
        <w:rPr>
          <w:shd w:fill="D9D9D9" w:color="auto" w:val="clear"/>
        </w:rPr>
        <w:t>在任何治愈艾滋病（AIDS）</w:t>
      </w:r>
      <w:r>
        <w:rPr>
          <w:spacing w:val="1"/>
          <w:shd w:fill="D9D9D9" w:color="auto" w:val="clear"/>
        </w:rPr>
        <w:t>或阻止 </w:t>
      </w:r>
      <w:r>
        <w:rPr>
          <w:shd w:fill="D9D9D9" w:color="auto" w:val="clear"/>
        </w:rPr>
        <w:t>HIV 病毒作用的疗法被发现以后，或能防止 AIDS </w:t>
      </w:r>
      <w:r>
        <w:rPr>
          <w:spacing w:val="-3"/>
          <w:shd w:fill="D9D9D9" w:color="auto" w:val="clear"/>
        </w:rPr>
        <w:t>发生的医疗方法被研究出来以后，本保</w:t>
      </w:r>
      <w:r>
        <w:rPr>
          <w:spacing w:val="-221"/>
          <w:shd w:fill="D9D9D9" w:color="auto" w:val="clear"/>
        </w:rPr>
        <w:t>障</w:t>
      </w:r>
      <w:r>
        <w:rPr>
          <w:spacing w:val="-2"/>
          <w:shd w:fill="D9D9D9" w:color="auto" w:val="clear"/>
        </w:rPr>
        <w:t>将不再予以赔付。</w:t>
      </w:r>
    </w:p>
    <w:p>
      <w:pPr>
        <w:pStyle w:val="BodyText"/>
        <w:spacing w:line="319" w:lineRule="auto" w:before="20"/>
        <w:ind w:left="161" w:right="114"/>
      </w:pPr>
      <w:r>
        <w:rPr/>
        <w:t>保险公司必须拥有获得使用被保险人的所有血液样本的权利和能够对这些样本进行独立检验的权利。</w:t>
      </w:r>
    </w:p>
    <w:p>
      <w:pPr>
        <w:spacing w:after="0" w:line="319" w:lineRule="auto"/>
        <w:sectPr>
          <w:type w:val="continuous"/>
          <w:pgSz w:w="11910" w:h="16840"/>
          <w:pgMar w:top="620" w:bottom="500" w:left="740" w:right="620"/>
          <w:cols w:num="2" w:equalWidth="0">
            <w:col w:w="2067" w:space="40"/>
            <w:col w:w="8443"/>
          </w:cols>
        </w:sectPr>
      </w:pPr>
    </w:p>
    <w:p>
      <w:pPr>
        <w:pStyle w:val="BodyText"/>
        <w:spacing w:before="5"/>
        <w:rPr>
          <w:sz w:val="25"/>
        </w:rPr>
      </w:pPr>
    </w:p>
    <w:p>
      <w:pPr>
        <w:spacing w:after="0"/>
        <w:rPr>
          <w:sz w:val="25"/>
        </w:rPr>
        <w:sectPr>
          <w:type w:val="continuous"/>
          <w:pgSz w:w="11910" w:h="16840"/>
          <w:pgMar w:top="620" w:bottom="500" w:left="740" w:right="620"/>
        </w:sectPr>
      </w:pPr>
    </w:p>
    <w:p>
      <w:pPr>
        <w:pStyle w:val="Heading4"/>
        <w:jc w:val="both"/>
      </w:pPr>
      <w:r>
        <w:rPr/>
        <w:t>因职业关系导致的人类免疫缺陷病毒</w:t>
      </w:r>
    </w:p>
    <w:p>
      <w:pPr>
        <w:spacing w:line="379" w:lineRule="exact" w:before="0"/>
        <w:ind w:left="741" w:right="0" w:firstLine="0"/>
        <w:jc w:val="both"/>
        <w:rPr>
          <w:rFonts w:ascii="微软雅黑" w:eastAsia="微软雅黑" w:hint="eastAsia"/>
          <w:b/>
          <w:sz w:val="22"/>
        </w:rPr>
      </w:pPr>
      <w:r>
        <w:rPr>
          <w:rFonts w:ascii="微软雅黑" w:eastAsia="微软雅黑" w:hint="eastAsia"/>
          <w:b/>
          <w:sz w:val="22"/>
        </w:rPr>
        <w:t>（HIV）感染</w:t>
      </w:r>
    </w:p>
    <w:p>
      <w:pPr>
        <w:pStyle w:val="BodyText"/>
        <w:spacing w:line="319" w:lineRule="auto" w:before="65"/>
        <w:ind w:left="161" w:right="114"/>
      </w:pPr>
      <w:r>
        <w:rPr/>
        <w:br w:type="column"/>
      </w:r>
      <w:r>
        <w:rPr/>
        <w:t>被保险人在其常规职业工作过程中遭遇外伤，或者职业需要处理血液或者其他体液时感染上人类免疫缺陷病毒（HIV）。</w:t>
      </w:r>
    </w:p>
    <w:p>
      <w:pPr>
        <w:pStyle w:val="BodyText"/>
        <w:spacing w:before="18"/>
        <w:ind w:left="161"/>
      </w:pPr>
      <w:r>
        <w:rPr/>
        <w:t>必须满足下列全部条件：</w:t>
      </w:r>
    </w:p>
    <w:p>
      <w:pPr>
        <w:pStyle w:val="ListParagraph"/>
        <w:numPr>
          <w:ilvl w:val="0"/>
          <w:numId w:val="19"/>
        </w:numPr>
        <w:tabs>
          <w:tab w:pos="522" w:val="left" w:leader="none"/>
        </w:tabs>
        <w:spacing w:line="319" w:lineRule="auto" w:before="90" w:after="0"/>
        <w:ind w:left="521" w:right="108" w:hanging="360"/>
        <w:jc w:val="left"/>
        <w:rPr>
          <w:sz w:val="22"/>
        </w:rPr>
      </w:pPr>
      <w:r>
        <w:rPr>
          <w:spacing w:val="-5"/>
          <w:sz w:val="22"/>
        </w:rPr>
        <w:t>感染必须是在被保险人正在从事医生、护士、医院化验室工作人员、医院护工、医生助理、救护车工作人员、助产士、消防队员、各类警察职业工作中发生；</w:t>
      </w:r>
    </w:p>
    <w:p>
      <w:pPr>
        <w:pStyle w:val="ListParagraph"/>
        <w:numPr>
          <w:ilvl w:val="0"/>
          <w:numId w:val="19"/>
        </w:numPr>
        <w:tabs>
          <w:tab w:pos="522" w:val="left" w:leader="none"/>
        </w:tabs>
        <w:spacing w:line="240" w:lineRule="auto" w:before="18" w:after="0"/>
        <w:ind w:left="521" w:right="0" w:hanging="360"/>
        <w:jc w:val="left"/>
        <w:rPr>
          <w:sz w:val="22"/>
        </w:rPr>
      </w:pPr>
      <w:r>
        <w:rPr>
          <w:spacing w:val="-7"/>
          <w:sz w:val="22"/>
        </w:rPr>
        <w:t>血清转化必须出现在事故发生后的 </w:t>
      </w:r>
      <w:r>
        <w:rPr>
          <w:sz w:val="22"/>
        </w:rPr>
        <w:t>6 个月以内；</w:t>
      </w:r>
    </w:p>
    <w:p>
      <w:pPr>
        <w:pStyle w:val="ListParagraph"/>
        <w:numPr>
          <w:ilvl w:val="0"/>
          <w:numId w:val="19"/>
        </w:numPr>
        <w:tabs>
          <w:tab w:pos="522" w:val="left" w:leader="none"/>
        </w:tabs>
        <w:spacing w:line="319" w:lineRule="auto" w:before="91" w:after="0"/>
        <w:ind w:left="521" w:right="111" w:hanging="360"/>
        <w:jc w:val="left"/>
        <w:rPr>
          <w:sz w:val="22"/>
        </w:rPr>
      </w:pPr>
      <w:r>
        <w:rPr>
          <w:spacing w:val="-3"/>
          <w:sz w:val="22"/>
        </w:rPr>
        <w:t>必须提供被保险人在所报事故发生后的 </w:t>
      </w:r>
      <w:r>
        <w:rPr>
          <w:sz w:val="22"/>
        </w:rPr>
        <w:t>5</w:t>
      </w:r>
      <w:r>
        <w:rPr>
          <w:spacing w:val="-3"/>
          <w:sz w:val="22"/>
        </w:rPr>
        <w:t> 天以内进行的检查报告，该报告必须显</w:t>
      </w:r>
      <w:r>
        <w:rPr>
          <w:spacing w:val="-10"/>
          <w:sz w:val="22"/>
        </w:rPr>
        <w:t>示被保险人血液 </w:t>
      </w:r>
      <w:r>
        <w:rPr>
          <w:sz w:val="22"/>
        </w:rPr>
        <w:t>HIV 病毒阴性和</w:t>
      </w:r>
      <w:r>
        <w:rPr>
          <w:spacing w:val="-3"/>
          <w:sz w:val="22"/>
        </w:rPr>
        <w:t>/</w:t>
      </w:r>
      <w:r>
        <w:rPr>
          <w:spacing w:val="-27"/>
          <w:sz w:val="22"/>
        </w:rPr>
        <w:t>或 </w:t>
      </w:r>
      <w:r>
        <w:rPr>
          <w:sz w:val="22"/>
        </w:rPr>
        <w:t>HIV</w:t>
      </w:r>
      <w:r>
        <w:rPr>
          <w:spacing w:val="-2"/>
          <w:sz w:val="22"/>
        </w:rPr>
        <w:t> 抗体阴性；</w:t>
      </w:r>
    </w:p>
    <w:p>
      <w:pPr>
        <w:pStyle w:val="ListParagraph"/>
        <w:numPr>
          <w:ilvl w:val="0"/>
          <w:numId w:val="19"/>
        </w:numPr>
        <w:tabs>
          <w:tab w:pos="522" w:val="left" w:leader="none"/>
        </w:tabs>
        <w:spacing w:line="240" w:lineRule="auto" w:before="18" w:after="0"/>
        <w:ind w:left="521" w:right="0" w:hanging="360"/>
        <w:jc w:val="left"/>
        <w:rPr>
          <w:sz w:val="22"/>
        </w:rPr>
      </w:pPr>
      <w:r>
        <w:rPr>
          <w:spacing w:val="-8"/>
          <w:sz w:val="22"/>
        </w:rPr>
        <w:t>必须在事故发生后的 </w:t>
      </w:r>
      <w:r>
        <w:rPr>
          <w:sz w:val="22"/>
        </w:rPr>
        <w:t>12</w:t>
      </w:r>
      <w:r>
        <w:rPr>
          <w:spacing w:val="-7"/>
          <w:sz w:val="22"/>
        </w:rPr>
        <w:t> 个月内证实被保险人体内存在 </w:t>
      </w:r>
      <w:r>
        <w:rPr>
          <w:sz w:val="22"/>
        </w:rPr>
        <w:t>HIV</w:t>
      </w:r>
      <w:r>
        <w:rPr>
          <w:spacing w:val="-10"/>
          <w:sz w:val="22"/>
        </w:rPr>
        <w:t> 病毒或者 </w:t>
      </w:r>
      <w:r>
        <w:rPr>
          <w:sz w:val="22"/>
        </w:rPr>
        <w:t>HIV 抗体。</w:t>
      </w:r>
    </w:p>
    <w:p>
      <w:pPr>
        <w:spacing w:after="0" w:line="240" w:lineRule="auto"/>
        <w:jc w:val="left"/>
        <w:rPr>
          <w:sz w:val="22"/>
        </w:rPr>
        <w:sectPr>
          <w:type w:val="continuous"/>
          <w:pgSz w:w="11910" w:h="16840"/>
          <w:pgMar w:top="620" w:bottom="500" w:left="740" w:right="620"/>
          <w:cols w:num="2" w:equalWidth="0">
            <w:col w:w="2067" w:space="40"/>
            <w:col w:w="8443"/>
          </w:cols>
        </w:sectPr>
      </w:pPr>
    </w:p>
    <w:p>
      <w:pPr>
        <w:pStyle w:val="BodyText"/>
        <w:rPr>
          <w:sz w:val="20"/>
        </w:rPr>
      </w:pPr>
    </w:p>
    <w:p>
      <w:pPr>
        <w:pStyle w:val="BodyText"/>
        <w:spacing w:line="302" w:lineRule="auto" w:before="145"/>
        <w:ind w:left="2267" w:right="111" w:hanging="1527"/>
        <w:jc w:val="both"/>
      </w:pPr>
      <w:r>
        <w:rPr>
          <w:rFonts w:ascii="微软雅黑" w:eastAsia="微软雅黑" w:hint="eastAsia"/>
          <w:b/>
          <w:spacing w:val="6"/>
        </w:rPr>
        <w:t>脊髓灰质炎   </w:t>
      </w:r>
      <w:r>
        <w:rPr>
          <w:spacing w:val="-3"/>
        </w:rPr>
        <w:t>脊髓灰质炎是由于脊髓灰质炎病毒感染所致的瘫痪性疾病，临床表现为运动功能损害或呼吸无力。脊髓灰质炎必须明确诊断。</w:t>
      </w:r>
      <w:r>
        <w:rPr>
          <w:spacing w:val="-2"/>
          <w:shd w:fill="D9D9D9" w:color="auto" w:val="clear"/>
        </w:rPr>
        <w:t>本保单仅对脊髓灰质炎造成的神经系统功能</w:t>
      </w:r>
      <w:r>
        <w:rPr>
          <w:spacing w:val="-221"/>
          <w:shd w:fill="D9D9D9" w:color="auto" w:val="clear"/>
        </w:rPr>
        <w:t>损</w:t>
      </w:r>
      <w:r>
        <w:rPr>
          <w:spacing w:val="-2"/>
          <w:shd w:fill="D9D9D9" w:color="auto" w:val="clear"/>
        </w:rPr>
        <w:t>害导致被保险人一肢或一肢以上肢体机能永久完全丧失的情况予以理赔。</w:t>
      </w:r>
      <w:r>
        <w:rPr/>
        <w:t>肢体机能永</w:t>
      </w:r>
      <w:r>
        <w:rPr>
          <w:spacing w:val="-6"/>
        </w:rPr>
        <w:t>久完全丧失，指疾病确诊 </w:t>
      </w:r>
      <w:r>
        <w:rPr/>
        <w:t>180</w:t>
      </w:r>
      <w:r>
        <w:rPr>
          <w:spacing w:val="-6"/>
        </w:rPr>
        <w:t> 天后，每肢三大关节中的两大关节仍然完全僵硬，或</w:t>
      </w:r>
    </w:p>
    <w:p>
      <w:pPr>
        <w:pStyle w:val="BodyText"/>
        <w:spacing w:before="33"/>
        <w:ind w:left="2267"/>
      </w:pPr>
      <w:r>
        <w:rPr/>
        <w:t>不能随意识活动。</w:t>
      </w:r>
    </w:p>
    <w:p>
      <w:pPr>
        <w:pStyle w:val="BodyText"/>
        <w:rPr>
          <w:sz w:val="20"/>
        </w:rPr>
      </w:pPr>
    </w:p>
    <w:p>
      <w:pPr>
        <w:spacing w:after="0"/>
        <w:rPr>
          <w:sz w:val="20"/>
        </w:rPr>
        <w:sectPr>
          <w:type w:val="continuous"/>
          <w:pgSz w:w="11910" w:h="16840"/>
          <w:pgMar w:top="620" w:bottom="500" w:left="740" w:right="620"/>
        </w:sectPr>
      </w:pPr>
    </w:p>
    <w:p>
      <w:pPr>
        <w:pStyle w:val="Heading4"/>
        <w:spacing w:before="145"/>
      </w:pPr>
      <w:r>
        <w:rPr/>
        <w:t>全身性重症肌无力</w:t>
      </w:r>
    </w:p>
    <w:p>
      <w:pPr>
        <w:pStyle w:val="BodyText"/>
        <w:spacing w:before="3"/>
        <w:rPr>
          <w:rFonts w:ascii="微软雅黑"/>
          <w:b/>
          <w:sz w:val="12"/>
        </w:rPr>
      </w:pPr>
      <w:r>
        <w:rPr/>
        <w:br w:type="column"/>
      </w:r>
      <w:r>
        <w:rPr>
          <w:rFonts w:ascii="微软雅黑"/>
          <w:b/>
          <w:sz w:val="12"/>
        </w:rPr>
      </w:r>
    </w:p>
    <w:p>
      <w:pPr>
        <w:pStyle w:val="BodyText"/>
        <w:spacing w:line="316" w:lineRule="auto"/>
        <w:ind w:left="161" w:right="114"/>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spacing w:after="0" w:line="316" w:lineRule="auto"/>
        <w:jc w:val="both"/>
        <w:sectPr>
          <w:type w:val="continuous"/>
          <w:pgSz w:w="11910" w:h="16840"/>
          <w:pgMar w:top="620" w:bottom="500" w:left="740" w:right="620"/>
          <w:cols w:num="2" w:equalWidth="0">
            <w:col w:w="2067" w:space="40"/>
            <w:col w:w="8443"/>
          </w:cols>
        </w:sectPr>
      </w:pPr>
    </w:p>
    <w:tbl>
      <w:tblPr>
        <w:tblW w:w="0" w:type="auto"/>
        <w:jc w:val="left"/>
        <w:tblInd w:w="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8470"/>
      </w:tblGrid>
      <w:tr>
        <w:trPr>
          <w:trHeight w:val="1569" w:hRule="atLeast"/>
        </w:trPr>
        <w:tc>
          <w:tcPr>
            <w:tcW w:w="1626" w:type="dxa"/>
          </w:tcPr>
          <w:p>
            <w:pPr>
              <w:pStyle w:val="TableParagraph"/>
              <w:rPr>
                <w:rFonts w:ascii="Times New Roman"/>
                <w:sz w:val="22"/>
              </w:rPr>
            </w:pPr>
          </w:p>
        </w:tc>
        <w:tc>
          <w:tcPr>
            <w:tcW w:w="8470" w:type="dxa"/>
          </w:tcPr>
          <w:p>
            <w:pPr>
              <w:pStyle w:val="TableParagraph"/>
              <w:spacing w:before="6"/>
              <w:rPr>
                <w:sz w:val="20"/>
              </w:rPr>
            </w:pPr>
          </w:p>
          <w:p>
            <w:pPr>
              <w:pStyle w:val="TableParagraph"/>
              <w:numPr>
                <w:ilvl w:val="0"/>
                <w:numId w:val="20"/>
              </w:numPr>
              <w:tabs>
                <w:tab w:pos="461" w:val="left" w:leader="none"/>
              </w:tabs>
              <w:spacing w:line="240" w:lineRule="auto" w:before="1" w:after="0"/>
              <w:ind w:left="460" w:right="0" w:hanging="360"/>
              <w:jc w:val="left"/>
              <w:rPr>
                <w:sz w:val="22"/>
              </w:rPr>
            </w:pPr>
            <w:r>
              <w:rPr>
                <w:spacing w:val="-3"/>
                <w:sz w:val="22"/>
              </w:rPr>
              <w:t>经药物治疗和胸腺切除治疗一年以上仍无法控制病情；</w:t>
            </w:r>
          </w:p>
          <w:p>
            <w:pPr>
              <w:pStyle w:val="TableParagraph"/>
              <w:numPr>
                <w:ilvl w:val="0"/>
                <w:numId w:val="20"/>
              </w:numPr>
              <w:tabs>
                <w:tab w:pos="461" w:val="left" w:leader="none"/>
              </w:tabs>
              <w:spacing w:line="316" w:lineRule="auto" w:before="91" w:after="0"/>
              <w:ind w:left="460" w:right="202" w:hanging="360"/>
              <w:jc w:val="left"/>
              <w:rPr>
                <w:sz w:val="22"/>
              </w:rPr>
            </w:pPr>
            <w:r>
              <w:rPr>
                <w:sz w:val="22"/>
              </w:rPr>
              <w:t>自主生活能力完全丧失，无法独立完成六项基本日常生活活动中的三项或三项以上。</w:t>
            </w:r>
          </w:p>
        </w:tc>
      </w:tr>
      <w:tr>
        <w:trPr>
          <w:trHeight w:val="4181"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严重类风湿性关节炎</w:t>
            </w:r>
          </w:p>
        </w:tc>
        <w:tc>
          <w:tcPr>
            <w:tcW w:w="8470" w:type="dxa"/>
          </w:tcPr>
          <w:p>
            <w:pPr>
              <w:pStyle w:val="TableParagraph"/>
              <w:spacing w:before="9"/>
              <w:rPr>
                <w:sz w:val="16"/>
              </w:rPr>
            </w:pPr>
          </w:p>
          <w:p>
            <w:pPr>
              <w:pStyle w:val="TableParagraph"/>
              <w:spacing w:line="316" w:lineRule="auto"/>
              <w:ind w:left="100" w:right="202"/>
              <w:jc w:val="both"/>
              <w:rPr>
                <w:sz w:val="22"/>
              </w:rPr>
            </w:pPr>
            <w:r>
              <w:rPr>
                <w:spacing w:val="-3"/>
                <w:sz w:val="22"/>
              </w:rPr>
              <w:t>类风湿性关节炎为广泛分布的慢性进行性多关节病变，表现为关节严重变形，侵犯至少三个主要关节或关节组【如：双手</w:t>
            </w:r>
            <w:r>
              <w:rPr>
                <w:sz w:val="22"/>
              </w:rPr>
              <w:t>（多手指）</w:t>
            </w:r>
            <w:r>
              <w:rPr>
                <w:spacing w:val="-2"/>
                <w:sz w:val="22"/>
              </w:rPr>
              <w:t>关节、双足</w:t>
            </w:r>
            <w:r>
              <w:rPr>
                <w:sz w:val="22"/>
              </w:rPr>
              <w:t>（多足趾）</w:t>
            </w:r>
            <w:r>
              <w:rPr>
                <w:spacing w:val="-2"/>
                <w:sz w:val="22"/>
              </w:rPr>
              <w:t>关节、双腕关</w:t>
            </w:r>
            <w:r>
              <w:rPr>
                <w:spacing w:val="-3"/>
                <w:sz w:val="22"/>
              </w:rPr>
              <w:t>节、双膝关节和双髋关节】。类风湿性关节炎必须明确诊断并且已经达到类风湿性关</w:t>
            </w:r>
            <w:r>
              <w:rPr>
                <w:spacing w:val="-7"/>
                <w:sz w:val="22"/>
              </w:rPr>
              <w:t>节炎功能分级 </w:t>
            </w:r>
            <w:r>
              <w:rPr>
                <w:sz w:val="22"/>
              </w:rPr>
              <w:t>III</w:t>
            </w:r>
            <w:r>
              <w:rPr>
                <w:spacing w:val="-6"/>
                <w:sz w:val="22"/>
              </w:rPr>
              <w:t> 级以上的功能障碍</w:t>
            </w:r>
            <w:r>
              <w:rPr>
                <w:sz w:val="22"/>
              </w:rPr>
              <w:t>（</w:t>
            </w:r>
            <w:r>
              <w:rPr>
                <w:spacing w:val="-3"/>
                <w:sz w:val="22"/>
              </w:rPr>
              <w:t>关节活动严重限制，不能完成大部分的日常工作和活动</w:t>
            </w:r>
            <w:r>
              <w:rPr>
                <w:sz w:val="22"/>
              </w:rPr>
              <w:t>）</w:t>
            </w:r>
            <w:r>
              <w:rPr>
                <w:spacing w:val="-3"/>
                <w:sz w:val="22"/>
              </w:rPr>
              <w:t>并且满足下列全部条件：</w:t>
            </w:r>
          </w:p>
          <w:p>
            <w:pPr>
              <w:pStyle w:val="TableParagraph"/>
              <w:numPr>
                <w:ilvl w:val="0"/>
                <w:numId w:val="21"/>
              </w:numPr>
              <w:tabs>
                <w:tab w:pos="461" w:val="left" w:leader="none"/>
              </w:tabs>
              <w:spacing w:line="240" w:lineRule="auto" w:before="22" w:after="0"/>
              <w:ind w:left="460" w:right="0" w:hanging="360"/>
              <w:jc w:val="both"/>
              <w:rPr>
                <w:sz w:val="22"/>
              </w:rPr>
            </w:pPr>
            <w:r>
              <w:rPr>
                <w:sz w:val="22"/>
              </w:rPr>
              <w:t>晨僵；</w:t>
            </w:r>
          </w:p>
          <w:p>
            <w:pPr>
              <w:pStyle w:val="TableParagraph"/>
              <w:numPr>
                <w:ilvl w:val="0"/>
                <w:numId w:val="21"/>
              </w:numPr>
              <w:tabs>
                <w:tab w:pos="461" w:val="left" w:leader="none"/>
              </w:tabs>
              <w:spacing w:line="240" w:lineRule="auto" w:before="90" w:after="0"/>
              <w:ind w:left="460" w:right="0" w:hanging="360"/>
              <w:jc w:val="both"/>
              <w:rPr>
                <w:sz w:val="22"/>
              </w:rPr>
            </w:pPr>
            <w:r>
              <w:rPr>
                <w:spacing w:val="-1"/>
                <w:sz w:val="22"/>
              </w:rPr>
              <w:t>对称性关节炎；</w:t>
            </w:r>
          </w:p>
          <w:p>
            <w:pPr>
              <w:pStyle w:val="TableParagraph"/>
              <w:numPr>
                <w:ilvl w:val="0"/>
                <w:numId w:val="21"/>
              </w:numPr>
              <w:tabs>
                <w:tab w:pos="461" w:val="left" w:leader="none"/>
              </w:tabs>
              <w:spacing w:line="240" w:lineRule="auto" w:before="90" w:after="0"/>
              <w:ind w:left="460" w:right="0" w:hanging="360"/>
              <w:jc w:val="both"/>
              <w:rPr>
                <w:sz w:val="22"/>
              </w:rPr>
            </w:pPr>
            <w:r>
              <w:rPr>
                <w:spacing w:val="-2"/>
                <w:sz w:val="22"/>
              </w:rPr>
              <w:t>类风湿性皮下结节；</w:t>
            </w:r>
          </w:p>
          <w:p>
            <w:pPr>
              <w:pStyle w:val="TableParagraph"/>
              <w:numPr>
                <w:ilvl w:val="0"/>
                <w:numId w:val="21"/>
              </w:numPr>
              <w:tabs>
                <w:tab w:pos="461" w:val="left" w:leader="none"/>
              </w:tabs>
              <w:spacing w:line="240" w:lineRule="auto" w:before="93" w:after="0"/>
              <w:ind w:left="460" w:right="0" w:hanging="360"/>
              <w:jc w:val="both"/>
              <w:rPr>
                <w:sz w:val="22"/>
              </w:rPr>
            </w:pPr>
            <w:r>
              <w:rPr>
                <w:spacing w:val="-2"/>
                <w:sz w:val="22"/>
              </w:rPr>
              <w:t>类风湿因子滴度升高；</w:t>
            </w:r>
          </w:p>
          <w:p>
            <w:pPr>
              <w:pStyle w:val="TableParagraph"/>
              <w:numPr>
                <w:ilvl w:val="0"/>
                <w:numId w:val="21"/>
              </w:numPr>
              <w:tabs>
                <w:tab w:pos="461" w:val="left" w:leader="none"/>
              </w:tabs>
              <w:spacing w:line="240" w:lineRule="auto" w:before="90" w:after="0"/>
              <w:ind w:left="460" w:right="0" w:hanging="360"/>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3420"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1 型糖尿病</w:t>
            </w:r>
          </w:p>
        </w:tc>
        <w:tc>
          <w:tcPr>
            <w:tcW w:w="8470" w:type="dxa"/>
          </w:tcPr>
          <w:p>
            <w:pPr>
              <w:pStyle w:val="TableParagraph"/>
              <w:spacing w:before="9"/>
              <w:rPr>
                <w:sz w:val="16"/>
              </w:rPr>
            </w:pPr>
          </w:p>
          <w:p>
            <w:pPr>
              <w:pStyle w:val="TableParagraph"/>
              <w:spacing w:line="316" w:lineRule="auto"/>
              <w:ind w:left="100" w:right="198"/>
              <w:jc w:val="both"/>
              <w:rPr>
                <w:sz w:val="22"/>
              </w:rPr>
            </w:pPr>
            <w:r>
              <w:rPr>
                <w:sz w:val="22"/>
              </w:rPr>
              <w:t>1</w:t>
            </w:r>
            <w:r>
              <w:rPr>
                <w:spacing w:val="1"/>
                <w:sz w:val="22"/>
              </w:rPr>
              <w:t> 型糖尿病的特征为由于胰岛素分泌绝对不足引起严重胰岛素缺乏导致慢性血糖升</w:t>
            </w:r>
            <w:r>
              <w:rPr>
                <w:spacing w:val="-4"/>
                <w:sz w:val="22"/>
              </w:rPr>
              <w:t>高，需要依赖外源性胰岛素进行机体的葡萄糖代谢和维持生命。被保险人的 </w:t>
            </w:r>
            <w:r>
              <w:rPr>
                <w:sz w:val="22"/>
              </w:rPr>
              <w:t>1</w:t>
            </w:r>
            <w:r>
              <w:rPr>
                <w:spacing w:val="-9"/>
                <w:sz w:val="22"/>
              </w:rPr>
              <w:t> 型糖尿</w:t>
            </w:r>
            <w:r>
              <w:rPr>
                <w:spacing w:val="-8"/>
                <w:sz w:val="22"/>
              </w:rPr>
              <w:t>病必须明确诊断，而且有血胰岛素测定及血 </w:t>
            </w:r>
            <w:r>
              <w:rPr>
                <w:sz w:val="22"/>
              </w:rPr>
              <w:t>C</w:t>
            </w:r>
            <w:r>
              <w:rPr>
                <w:spacing w:val="-20"/>
                <w:sz w:val="22"/>
              </w:rPr>
              <w:t> 肽或尿 </w:t>
            </w:r>
            <w:r>
              <w:rPr>
                <w:sz w:val="22"/>
              </w:rPr>
              <w:t>C</w:t>
            </w:r>
            <w:r>
              <w:rPr>
                <w:spacing w:val="-7"/>
                <w:sz w:val="22"/>
              </w:rPr>
              <w:t> 肽测定结果支持诊断，并且满</w:t>
            </w:r>
            <w:r>
              <w:rPr>
                <w:spacing w:val="-5"/>
                <w:sz w:val="22"/>
              </w:rPr>
              <w:t>足下列全部条件：</w:t>
            </w:r>
          </w:p>
          <w:p>
            <w:pPr>
              <w:pStyle w:val="TableParagraph"/>
              <w:numPr>
                <w:ilvl w:val="0"/>
                <w:numId w:val="22"/>
              </w:numPr>
              <w:tabs>
                <w:tab w:pos="461" w:val="left" w:leader="none"/>
              </w:tabs>
              <w:spacing w:line="240" w:lineRule="auto" w:before="20" w:after="0"/>
              <w:ind w:left="460" w:right="0" w:hanging="360"/>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22"/>
              </w:numPr>
              <w:tabs>
                <w:tab w:pos="461" w:val="left" w:leader="none"/>
              </w:tabs>
              <w:spacing w:line="240" w:lineRule="auto" w:before="91" w:after="0"/>
              <w:ind w:left="460" w:right="0" w:hanging="360"/>
              <w:jc w:val="both"/>
              <w:rPr>
                <w:sz w:val="22"/>
              </w:rPr>
            </w:pPr>
            <w:r>
              <w:rPr>
                <w:spacing w:val="-3"/>
                <w:sz w:val="22"/>
              </w:rPr>
              <w:t>因需要已经接受了下列治疗：</w:t>
            </w:r>
          </w:p>
          <w:p>
            <w:pPr>
              <w:pStyle w:val="TableParagraph"/>
              <w:spacing w:before="93"/>
              <w:ind w:left="100"/>
              <w:jc w:val="both"/>
              <w:rPr>
                <w:sz w:val="22"/>
              </w:rPr>
            </w:pPr>
            <w:r>
              <w:rPr>
                <w:position w:val="-2"/>
              </w:rPr>
              <w:drawing>
                <wp:inline distT="0" distB="0" distL="0" distR="0">
                  <wp:extent cx="280415" cy="140208"/>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16" cstate="print"/>
                          <a:stretch>
                            <a:fillRect/>
                          </a:stretch>
                        </pic:blipFill>
                        <pic:spPr>
                          <a:xfrm>
                            <a:off x="0" y="0"/>
                            <a:ext cx="280415" cy="140208"/>
                          </a:xfrm>
                          <a:prstGeom prst="rect">
                            <a:avLst/>
                          </a:prstGeom>
                        </pic:spPr>
                      </pic:pic>
                    </a:graphicData>
                  </a:graphic>
                </wp:inline>
              </w:drawing>
            </w:r>
            <w:r>
              <w:rPr>
                <w:position w:val="-2"/>
              </w:rPr>
            </w:r>
            <w:r>
              <w:rPr>
                <w:spacing w:val="-3"/>
                <w:sz w:val="22"/>
              </w:rPr>
              <w:t>- 因严重心律失常植入了心脏起搏器；或</w:t>
            </w:r>
          </w:p>
          <w:p>
            <w:pPr>
              <w:pStyle w:val="TableParagraph"/>
              <w:spacing w:before="91"/>
              <w:ind w:left="100"/>
              <w:jc w:val="both"/>
              <w:rPr>
                <w:sz w:val="22"/>
              </w:rPr>
            </w:pPr>
            <w:r>
              <w:rPr>
                <w:position w:val="-2"/>
              </w:rPr>
              <w:drawing>
                <wp:inline distT="0" distB="0" distL="0" distR="0">
                  <wp:extent cx="280415" cy="140208"/>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6" cstate="print"/>
                          <a:stretch>
                            <a:fillRect/>
                          </a:stretch>
                        </pic:blipFill>
                        <pic:spPr>
                          <a:xfrm>
                            <a:off x="0" y="0"/>
                            <a:ext cx="280415" cy="140208"/>
                          </a:xfrm>
                          <a:prstGeom prst="rect">
                            <a:avLst/>
                          </a:prstGeom>
                        </pic:spPr>
                      </pic:pic>
                    </a:graphicData>
                  </a:graphic>
                </wp:inline>
              </w:drawing>
            </w:r>
            <w:r>
              <w:rPr>
                <w:position w:val="-2"/>
              </w:rPr>
            </w:r>
            <w:r>
              <w:rPr>
                <w:spacing w:val="-3"/>
                <w:sz w:val="22"/>
              </w:rPr>
              <w:t>- 因坏疽自跖趾关节或以上切除了一趾或多趾。</w:t>
            </w:r>
          </w:p>
        </w:tc>
      </w:tr>
      <w:tr>
        <w:trPr>
          <w:trHeight w:val="1519" w:hRule="atLeast"/>
        </w:trPr>
        <w:tc>
          <w:tcPr>
            <w:tcW w:w="1626" w:type="dxa"/>
          </w:tcPr>
          <w:p>
            <w:pPr>
              <w:pStyle w:val="TableParagraph"/>
              <w:spacing w:before="153"/>
              <w:ind w:left="200"/>
              <w:rPr>
                <w:rFonts w:ascii="微软雅黑" w:eastAsia="微软雅黑" w:hint="eastAsia"/>
                <w:b/>
                <w:sz w:val="22"/>
              </w:rPr>
            </w:pPr>
            <w:r>
              <w:rPr>
                <w:rFonts w:ascii="微软雅黑" w:eastAsia="微软雅黑" w:hint="eastAsia"/>
                <w:b/>
                <w:sz w:val="22"/>
              </w:rPr>
              <w:t>严重克隆病</w:t>
            </w:r>
          </w:p>
        </w:tc>
        <w:tc>
          <w:tcPr>
            <w:tcW w:w="8470" w:type="dxa"/>
          </w:tcPr>
          <w:p>
            <w:pPr>
              <w:pStyle w:val="TableParagraph"/>
              <w:spacing w:before="9"/>
              <w:rPr>
                <w:sz w:val="16"/>
              </w:rPr>
            </w:pPr>
          </w:p>
          <w:p>
            <w:pPr>
              <w:pStyle w:val="TableParagraph"/>
              <w:spacing w:line="316" w:lineRule="auto"/>
              <w:ind w:left="100" w:right="205"/>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901" w:hRule="atLeast"/>
        </w:trPr>
        <w:tc>
          <w:tcPr>
            <w:tcW w:w="1626" w:type="dxa"/>
          </w:tcPr>
          <w:p>
            <w:pPr>
              <w:pStyle w:val="TableParagraph"/>
              <w:spacing w:before="153"/>
              <w:ind w:left="200" w:right="99"/>
              <w:rPr>
                <w:rFonts w:ascii="微软雅黑" w:eastAsia="微软雅黑" w:hint="eastAsia"/>
                <w:b/>
                <w:sz w:val="22"/>
              </w:rPr>
            </w:pPr>
            <w:r>
              <w:rPr>
                <w:rFonts w:ascii="微软雅黑" w:eastAsia="微软雅黑" w:hint="eastAsia"/>
                <w:b/>
                <w:sz w:val="22"/>
              </w:rPr>
              <w:t>严重溃疡性结肠炎</w:t>
            </w:r>
          </w:p>
        </w:tc>
        <w:tc>
          <w:tcPr>
            <w:tcW w:w="8470" w:type="dxa"/>
          </w:tcPr>
          <w:p>
            <w:pPr>
              <w:pStyle w:val="TableParagraph"/>
              <w:spacing w:before="9"/>
              <w:rPr>
                <w:sz w:val="16"/>
              </w:rPr>
            </w:pPr>
          </w:p>
          <w:p>
            <w:pPr>
              <w:pStyle w:val="TableParagraph"/>
              <w:spacing w:line="316" w:lineRule="auto"/>
              <w:ind w:left="100" w:right="205"/>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tc>
      </w:tr>
      <w:tr>
        <w:trPr>
          <w:trHeight w:val="2405" w:hRule="atLeast"/>
        </w:trPr>
        <w:tc>
          <w:tcPr>
            <w:tcW w:w="1626" w:type="dxa"/>
          </w:tcPr>
          <w:p>
            <w:pPr>
              <w:pStyle w:val="TableParagraph"/>
              <w:spacing w:before="154"/>
              <w:ind w:left="200" w:right="74"/>
              <w:rPr>
                <w:rFonts w:ascii="微软雅黑" w:eastAsia="微软雅黑" w:hint="eastAsia"/>
                <w:b/>
                <w:sz w:val="22"/>
              </w:rPr>
            </w:pPr>
            <w:r>
              <w:rPr>
                <w:rFonts w:ascii="微软雅黑" w:eastAsia="微软雅黑" w:hint="eastAsia"/>
                <w:b/>
                <w:sz w:val="22"/>
              </w:rPr>
              <w:t>II 级重症急性胰腺炎</w:t>
            </w:r>
          </w:p>
        </w:tc>
        <w:tc>
          <w:tcPr>
            <w:tcW w:w="8470" w:type="dxa"/>
          </w:tcPr>
          <w:p>
            <w:pPr>
              <w:pStyle w:val="TableParagraph"/>
              <w:spacing w:before="10"/>
              <w:rPr>
                <w:sz w:val="16"/>
              </w:rPr>
            </w:pPr>
          </w:p>
          <w:p>
            <w:pPr>
              <w:pStyle w:val="TableParagraph"/>
              <w:spacing w:line="316" w:lineRule="auto"/>
              <w:ind w:left="100" w:right="201"/>
              <w:jc w:val="both"/>
              <w:rPr>
                <w:sz w:val="22"/>
              </w:rPr>
            </w:pPr>
            <w:r>
              <w:rPr>
                <w:spacing w:val="-3"/>
                <w:sz w:val="22"/>
              </w:rPr>
              <w:t>Ⅱ级重症急性胰腺炎是指急性胰腺炎伴有脏器功能障碍。被保险人所患的Ⅱ级重症急</w:t>
            </w:r>
            <w:r>
              <w:rPr>
                <w:spacing w:val="-5"/>
                <w:sz w:val="22"/>
              </w:rPr>
              <w:t>性胰腺炎必须明确诊断，按 </w:t>
            </w:r>
            <w:r>
              <w:rPr>
                <w:sz w:val="22"/>
              </w:rPr>
              <w:t>APACHE</w:t>
            </w:r>
            <w:r>
              <w:rPr>
                <w:spacing w:val="-6"/>
                <w:sz w:val="22"/>
              </w:rPr>
              <w:t>Ⅱ评分达到 </w:t>
            </w:r>
            <w:r>
              <w:rPr>
                <w:sz w:val="22"/>
              </w:rPr>
              <w:t>8</w:t>
            </w:r>
            <w:r>
              <w:rPr>
                <w:spacing w:val="-15"/>
                <w:sz w:val="22"/>
              </w:rPr>
              <w:t> 分或 </w:t>
            </w:r>
            <w:r>
              <w:rPr>
                <w:sz w:val="22"/>
              </w:rPr>
              <w:t>8</w:t>
            </w:r>
            <w:r>
              <w:rPr>
                <w:spacing w:val="-11"/>
                <w:sz w:val="22"/>
              </w:rPr>
              <w:t> 分以上和 </w:t>
            </w:r>
            <w:r>
              <w:rPr>
                <w:sz w:val="22"/>
              </w:rPr>
              <w:t>Balthazar</w:t>
            </w:r>
            <w:r>
              <w:rPr>
                <w:spacing w:val="-8"/>
                <w:sz w:val="22"/>
              </w:rPr>
              <w:t> 分级系统达到Ⅱ级或Ⅱ级以上，并且接受了外科剖腹手术治疗，以进行坏死组织清除、坏死</w:t>
            </w:r>
            <w:r>
              <w:rPr>
                <w:spacing w:val="-5"/>
                <w:sz w:val="22"/>
              </w:rPr>
              <w:t>病灶切除或胰腺切除。</w:t>
            </w:r>
          </w:p>
          <w:p>
            <w:pPr>
              <w:pStyle w:val="TableParagraph"/>
              <w:spacing w:before="21"/>
              <w:ind w:left="100"/>
              <w:jc w:val="both"/>
              <w:rPr>
                <w:sz w:val="22"/>
              </w:rPr>
            </w:pPr>
            <w:r>
              <w:rPr>
                <w:sz w:val="22"/>
                <w:shd w:fill="D9D9D9" w:color="auto" w:val="clear"/>
              </w:rPr>
              <w:t>因酗酒或饮酒过量所致的急性坏死性胰腺炎以及腹腔镜手术不在本附加合同保障范围</w:t>
            </w:r>
          </w:p>
          <w:p>
            <w:pPr>
              <w:pStyle w:val="TableParagraph"/>
              <w:spacing w:line="268" w:lineRule="exact" w:before="91"/>
              <w:ind w:left="100"/>
              <w:jc w:val="both"/>
              <w:rPr>
                <w:sz w:val="22"/>
              </w:rPr>
            </w:pPr>
            <w:r>
              <w:rPr>
                <w:sz w:val="22"/>
                <w:shd w:fill="D9D9D9" w:color="auto" w:val="clear"/>
              </w:rPr>
              <w:t>内。</w:t>
            </w:r>
          </w:p>
        </w:tc>
      </w:tr>
    </w:tbl>
    <w:p>
      <w:pPr>
        <w:spacing w:after="0" w:line="268" w:lineRule="exact"/>
        <w:jc w:val="both"/>
        <w:rPr>
          <w:sz w:val="22"/>
        </w:rPr>
        <w:sectPr>
          <w:pgSz w:w="11910" w:h="16840"/>
          <w:pgMar w:header="426" w:footer="309" w:top="620" w:bottom="500" w:left="740" w:right="420"/>
        </w:sectPr>
      </w:pPr>
    </w:p>
    <w:p>
      <w:pPr>
        <w:pStyle w:val="BodyText"/>
        <w:rPr>
          <w:sz w:val="20"/>
        </w:rPr>
      </w:pPr>
    </w:p>
    <w:p>
      <w:pPr>
        <w:pStyle w:val="BodyText"/>
        <w:spacing w:before="1"/>
        <w:rPr>
          <w:sz w:val="24"/>
        </w:rPr>
      </w:pPr>
    </w:p>
    <w:p>
      <w:pPr>
        <w:pStyle w:val="BodyText"/>
        <w:spacing w:line="302" w:lineRule="auto" w:before="1"/>
        <w:ind w:left="2387" w:right="113" w:hanging="1527"/>
        <w:jc w:val="both"/>
      </w:pPr>
      <w:r>
        <w:rPr>
          <w:rFonts w:ascii="微软雅黑" w:eastAsia="微软雅黑" w:hint="eastAsia"/>
          <w:b/>
          <w:spacing w:val="5"/>
        </w:rPr>
        <w:t>肌营养不良症 </w:t>
      </w:r>
      <w:r>
        <w:rPr>
          <w:spacing w:val="-3"/>
        </w:rPr>
        <w:t>肌营养不良症是一组遗传性肌肉变性性病变，临床特征为与神经系统无关的肌肉无力和肌肉萎缩。</w:t>
      </w:r>
      <w:r>
        <w:rPr>
          <w:spacing w:val="-3"/>
          <w:shd w:fill="D9D9D9" w:color="auto" w:val="clear"/>
        </w:rPr>
        <w:t>本附加合同仅对肌营养不良症已造成永久不可逆性的神经系统功能损害导致被保险人自主生活能力完全丧失，无法独立完</w:t>
      </w:r>
      <w:r>
        <w:rPr>
          <w:spacing w:val="-221"/>
          <w:shd w:fill="D9D9D9" w:color="auto" w:val="clear"/>
        </w:rPr>
        <w:t>成</w:t>
      </w:r>
      <w:r>
        <w:rPr>
          <w:spacing w:val="-1"/>
          <w:shd w:fill="D9D9D9" w:color="auto" w:val="clear"/>
        </w:rPr>
        <w:t>六项基本日常生活活动中的三项或</w:t>
      </w:r>
      <w:r>
        <w:rPr>
          <w:spacing w:val="-3"/>
          <w:shd w:fill="D9D9D9" w:color="auto" w:val="clear"/>
        </w:rPr>
        <w:t>三项以上的情况予以理赔。</w:t>
      </w:r>
    </w:p>
    <w:p>
      <w:pPr>
        <w:pStyle w:val="BodyText"/>
        <w:spacing w:before="10"/>
        <w:rPr>
          <w:sz w:val="26"/>
        </w:rPr>
      </w:pPr>
    </w:p>
    <w:p>
      <w:pPr>
        <w:pStyle w:val="BodyText"/>
        <w:spacing w:line="302" w:lineRule="auto"/>
        <w:ind w:left="2387" w:right="110" w:hanging="1527"/>
        <w:jc w:val="both"/>
      </w:pPr>
      <w:r>
        <w:rPr>
          <w:rFonts w:ascii="微软雅黑" w:eastAsia="微软雅黑" w:hint="eastAsia"/>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D9D9D9" w:color="auto" w:val="clear"/>
        </w:rPr>
        <w:t>植物人状态必须持续 30 天以上方可申请理赔。</w:t>
      </w:r>
    </w:p>
    <w:p>
      <w:pPr>
        <w:pStyle w:val="BodyText"/>
        <w:spacing w:before="7"/>
        <w:rPr>
          <w:sz w:val="26"/>
        </w:rPr>
      </w:pPr>
    </w:p>
    <w:p>
      <w:pPr>
        <w:pStyle w:val="BodyText"/>
        <w:spacing w:line="297" w:lineRule="auto"/>
        <w:ind w:left="2387" w:right="108" w:hanging="1527"/>
        <w:jc w:val="both"/>
      </w:pPr>
      <w:r>
        <w:rPr>
          <w:rFonts w:ascii="微软雅黑" w:eastAsia="微软雅黑" w:hint="eastAsia"/>
          <w:b/>
          <w:spacing w:val="2"/>
        </w:rPr>
        <w:t>独立能力丧失 </w:t>
      </w:r>
      <w:r>
        <w:rPr>
          <w:spacing w:val="-5"/>
        </w:rPr>
        <w:t>指疾病或外伤造成被保险人至少持续 </w:t>
      </w:r>
      <w:r>
        <w:rPr/>
        <w:t>6</w:t>
      </w:r>
      <w:r>
        <w:rPr>
          <w:spacing w:val="-7"/>
        </w:rPr>
        <w:t> 个月以上完全无能力完成(无论有无他人辅助) 六项日常生活活动中的三项或以上。被保险人的日常生活活动能力丧失必须是永久性的。</w:t>
      </w:r>
    </w:p>
    <w:p>
      <w:pPr>
        <w:pStyle w:val="BodyText"/>
        <w:rPr>
          <w:sz w:val="27"/>
        </w:rPr>
      </w:pPr>
    </w:p>
    <w:p>
      <w:pPr>
        <w:pStyle w:val="BodyText"/>
        <w:spacing w:line="302" w:lineRule="auto" w:before="1"/>
        <w:ind w:left="2387" w:right="114" w:hanging="1527"/>
        <w:jc w:val="both"/>
      </w:pPr>
      <w:r>
        <w:rPr>
          <w:rFonts w:ascii="微软雅黑" w:eastAsia="微软雅黑" w:hint="eastAsia"/>
          <w:b/>
        </w:rPr>
        <w:t>终末期疾病   </w:t>
      </w: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7"/>
        <w:rPr>
          <w:sz w:val="26"/>
        </w:rPr>
      </w:pPr>
    </w:p>
    <w:p>
      <w:pPr>
        <w:spacing w:after="0"/>
        <w:rPr>
          <w:sz w:val="26"/>
        </w:rPr>
        <w:sectPr>
          <w:pgSz w:w="11910" w:h="16840"/>
          <w:pgMar w:header="426" w:footer="309" w:top="620" w:bottom="500" w:left="620" w:right="620"/>
        </w:sectPr>
      </w:pPr>
    </w:p>
    <w:p>
      <w:pPr>
        <w:pStyle w:val="Heading4"/>
        <w:ind w:left="861"/>
        <w:jc w:val="both"/>
      </w:pPr>
      <w:r>
        <w:rPr/>
        <w:t>非阿尔茨海默病所致严重痴呆</w:t>
      </w:r>
    </w:p>
    <w:p>
      <w:pPr>
        <w:pStyle w:val="BodyText"/>
        <w:spacing w:line="316" w:lineRule="auto" w:before="66"/>
        <w:ind w:left="161" w:right="114"/>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620" w:bottom="500" w:left="620" w:right="620"/>
          <w:cols w:num="2" w:equalWidth="0">
            <w:col w:w="2187" w:space="40"/>
            <w:col w:w="8443"/>
          </w:cols>
        </w:sectPr>
      </w:pPr>
    </w:p>
    <w:p>
      <w:pPr>
        <w:pStyle w:val="BodyText"/>
        <w:spacing w:before="7"/>
        <w:rPr>
          <w:sz w:val="25"/>
        </w:rPr>
      </w:pPr>
    </w:p>
    <w:p>
      <w:pPr>
        <w:pStyle w:val="BodyText"/>
        <w:spacing w:line="297" w:lineRule="auto"/>
        <w:ind w:left="2387" w:right="108" w:hanging="1527"/>
        <w:jc w:val="both"/>
      </w:pPr>
      <w:r>
        <w:rPr>
          <w:rFonts w:ascii="微软雅黑" w:eastAsia="微软雅黑" w:hint="eastAsia"/>
          <w:b/>
          <w:spacing w:val="5"/>
        </w:rPr>
        <w:t>肺源性心脏病 </w:t>
      </w:r>
      <w:r>
        <w:rPr>
          <w:spacing w:val="-3"/>
        </w:rPr>
        <w:t>指被保人因慢性肺部疾病导致慢性心功能损害造成永久不可逆性的心功能衰竭。心功能衰竭程度达到纽约心脏病学会的心功能分级标准之心功能 </w:t>
      </w:r>
      <w:r>
        <w:rPr/>
        <w:t>IV 级。被保险人永久不</w:t>
      </w:r>
      <w:r>
        <w:rPr>
          <w:spacing w:val="-3"/>
        </w:rPr>
        <w:t>可逆性的体力活动能力受限，不能从事任何体力活动。</w:t>
      </w:r>
    </w:p>
    <w:p>
      <w:pPr>
        <w:pStyle w:val="BodyText"/>
        <w:rPr>
          <w:sz w:val="32"/>
        </w:rPr>
      </w:pPr>
    </w:p>
    <w:p>
      <w:pPr>
        <w:pStyle w:val="ListParagraph"/>
        <w:numPr>
          <w:ilvl w:val="1"/>
          <w:numId w:val="23"/>
        </w:numPr>
        <w:tabs>
          <w:tab w:pos="861" w:val="left" w:leader="none"/>
          <w:tab w:pos="862" w:val="left" w:leader="none"/>
          <w:tab w:pos="2387" w:val="left" w:leader="none"/>
        </w:tabs>
        <w:spacing w:line="240" w:lineRule="auto" w:before="1" w:after="0"/>
        <w:ind w:left="2387" w:right="0" w:hanging="2271"/>
        <w:jc w:val="left"/>
        <w:rPr>
          <w:sz w:val="22"/>
        </w:rPr>
      </w:pPr>
      <w:r>
        <w:rPr>
          <w:b/>
          <w:sz w:val="22"/>
        </w:rPr>
        <w:t>意外伤害事故</w:t>
        <w:tab/>
      </w:r>
      <w:r>
        <w:rPr>
          <w:sz w:val="22"/>
        </w:rPr>
        <w:t>指外来</w:t>
      </w:r>
      <w:r>
        <w:rPr>
          <w:spacing w:val="-3"/>
          <w:sz w:val="22"/>
        </w:rPr>
        <w:t>的</w:t>
      </w:r>
      <w:r>
        <w:rPr>
          <w:sz w:val="22"/>
        </w:rPr>
        <w:t>、突</w:t>
      </w:r>
      <w:r>
        <w:rPr>
          <w:spacing w:val="-3"/>
          <w:sz w:val="22"/>
        </w:rPr>
        <w:t>发</w:t>
      </w:r>
      <w:r>
        <w:rPr>
          <w:sz w:val="22"/>
        </w:rPr>
        <w:t>的、</w:t>
      </w:r>
      <w:r>
        <w:rPr>
          <w:spacing w:val="-3"/>
          <w:sz w:val="22"/>
        </w:rPr>
        <w:t>非本</w:t>
      </w:r>
      <w:r>
        <w:rPr>
          <w:sz w:val="22"/>
        </w:rPr>
        <w:t>意的、</w:t>
      </w:r>
      <w:r>
        <w:rPr>
          <w:spacing w:val="-3"/>
          <w:sz w:val="22"/>
        </w:rPr>
        <w:t>非</w:t>
      </w:r>
      <w:r>
        <w:rPr>
          <w:sz w:val="22"/>
        </w:rPr>
        <w:t>由疾</w:t>
      </w:r>
      <w:r>
        <w:rPr>
          <w:spacing w:val="-3"/>
          <w:sz w:val="22"/>
        </w:rPr>
        <w:t>病</w:t>
      </w:r>
      <w:r>
        <w:rPr>
          <w:sz w:val="22"/>
        </w:rPr>
        <w:t>引起</w:t>
      </w:r>
      <w:r>
        <w:rPr>
          <w:spacing w:val="-3"/>
          <w:sz w:val="22"/>
        </w:rPr>
        <w:t>的使</w:t>
      </w:r>
      <w:r>
        <w:rPr>
          <w:sz w:val="22"/>
        </w:rPr>
        <w:t>身体受</w:t>
      </w:r>
      <w:r>
        <w:rPr>
          <w:spacing w:val="-3"/>
          <w:sz w:val="22"/>
        </w:rPr>
        <w:t>到</w:t>
      </w:r>
      <w:r>
        <w:rPr>
          <w:sz w:val="22"/>
        </w:rPr>
        <w:t>伤害</w:t>
      </w:r>
      <w:r>
        <w:rPr>
          <w:spacing w:val="-3"/>
          <w:sz w:val="22"/>
        </w:rPr>
        <w:t>的</w:t>
      </w:r>
      <w:r>
        <w:rPr>
          <w:sz w:val="22"/>
        </w:rPr>
        <w:t>客观</w:t>
      </w:r>
      <w:r>
        <w:rPr>
          <w:spacing w:val="-3"/>
          <w:sz w:val="22"/>
        </w:rPr>
        <w:t>事件</w:t>
      </w:r>
      <w:r>
        <w:rPr>
          <w:sz w:val="22"/>
        </w:rPr>
        <w:t>。</w:t>
      </w:r>
    </w:p>
    <w:p>
      <w:pPr>
        <w:pStyle w:val="BodyText"/>
      </w:pPr>
    </w:p>
    <w:p>
      <w:pPr>
        <w:pStyle w:val="ListParagraph"/>
        <w:numPr>
          <w:ilvl w:val="1"/>
          <w:numId w:val="23"/>
        </w:numPr>
        <w:tabs>
          <w:tab w:pos="862" w:val="left" w:leader="none"/>
        </w:tabs>
        <w:spacing w:line="316" w:lineRule="auto" w:before="183" w:after="0"/>
        <w:ind w:left="2387" w:right="112" w:hanging="2271"/>
        <w:jc w:val="both"/>
        <w:rPr>
          <w:sz w:val="22"/>
        </w:rPr>
      </w:pPr>
      <w:r>
        <w:rPr>
          <w:b/>
          <w:sz w:val="22"/>
        </w:rPr>
        <w:t>医院         </w:t>
      </w:r>
      <w:r>
        <w:rPr>
          <w:spacing w:val="-2"/>
          <w:sz w:val="22"/>
        </w:rPr>
        <w:t>指经中华人民共和国卫生行政部门评审确定的二级或以上的公立医院</w:t>
      </w:r>
      <w:r>
        <w:rPr>
          <w:sz w:val="22"/>
        </w:rPr>
        <w:t>（</w:t>
      </w:r>
      <w:r>
        <w:rPr>
          <w:spacing w:val="-2"/>
          <w:sz w:val="22"/>
          <w:shd w:fill="D9D9D9" w:color="auto" w:val="clear"/>
        </w:rPr>
        <w:t>不含港澳台医院）</w:t>
      </w:r>
      <w:r>
        <w:rPr>
          <w:spacing w:val="-3"/>
          <w:sz w:val="22"/>
          <w:shd w:fill="D9D9D9" w:color="auto" w:val="clear"/>
        </w:rPr>
        <w:t>，但不包括精神病院及专供康复、护理、疗养、戒酒、戒毒、养老等非以直接诊治病人为目的的医疗机构，</w:t>
      </w:r>
      <w:r>
        <w:rPr>
          <w:spacing w:val="-2"/>
          <w:sz w:val="22"/>
        </w:rPr>
        <w:t>该医院必须具有符合国家有关医院管理规则设置标准的医疗设施，且全天</w:t>
      </w:r>
      <w:r>
        <w:rPr>
          <w:sz w:val="22"/>
        </w:rPr>
        <w:t>24</w:t>
      </w:r>
      <w:r>
        <w:rPr>
          <w:spacing w:val="-3"/>
          <w:sz w:val="22"/>
        </w:rPr>
        <w:t>小时有合格的医师和护士驻院提供医疗和护理服务。</w:t>
      </w:r>
    </w:p>
    <w:p>
      <w:pPr>
        <w:pStyle w:val="BodyText"/>
        <w:spacing w:before="9"/>
        <w:rPr>
          <w:sz w:val="30"/>
        </w:rPr>
      </w:pPr>
    </w:p>
    <w:p>
      <w:pPr>
        <w:pStyle w:val="ListParagraph"/>
        <w:numPr>
          <w:ilvl w:val="1"/>
          <w:numId w:val="23"/>
        </w:numPr>
        <w:tabs>
          <w:tab w:pos="861" w:val="left" w:leader="none"/>
          <w:tab w:pos="862" w:val="left" w:leader="none"/>
          <w:tab w:pos="2387" w:val="left" w:leader="none"/>
        </w:tabs>
        <w:spacing w:line="240" w:lineRule="auto" w:before="0" w:after="0"/>
        <w:ind w:left="2387" w:right="0" w:hanging="2271"/>
        <w:jc w:val="left"/>
        <w:rPr>
          <w:sz w:val="22"/>
        </w:rPr>
      </w:pPr>
      <w:r>
        <w:rPr>
          <w:b/>
          <w:sz w:val="22"/>
        </w:rPr>
        <w:t>专科医生</w:t>
        <w:tab/>
      </w:r>
      <w:r>
        <w:rPr>
          <w:sz w:val="22"/>
        </w:rPr>
        <w:t>专科医</w:t>
      </w:r>
      <w:r>
        <w:rPr>
          <w:spacing w:val="-3"/>
          <w:sz w:val="22"/>
        </w:rPr>
        <w:t>生</w:t>
      </w:r>
      <w:r>
        <w:rPr>
          <w:sz w:val="22"/>
        </w:rPr>
        <w:t>应当</w:t>
      </w:r>
      <w:r>
        <w:rPr>
          <w:spacing w:val="-3"/>
          <w:sz w:val="22"/>
        </w:rPr>
        <w:t>满</w:t>
      </w:r>
      <w:r>
        <w:rPr>
          <w:sz w:val="22"/>
        </w:rPr>
        <w:t>足以</w:t>
      </w:r>
      <w:r>
        <w:rPr>
          <w:spacing w:val="-3"/>
          <w:sz w:val="22"/>
        </w:rPr>
        <w:t>下四</w:t>
      </w:r>
      <w:r>
        <w:rPr>
          <w:sz w:val="22"/>
        </w:rPr>
        <w:t>项资格</w:t>
      </w:r>
      <w:r>
        <w:rPr>
          <w:spacing w:val="-3"/>
          <w:sz w:val="22"/>
        </w:rPr>
        <w:t>条</w:t>
      </w:r>
      <w:r>
        <w:rPr>
          <w:sz w:val="22"/>
        </w:rPr>
        <w:t>件：</w:t>
      </w:r>
    </w:p>
    <w:p>
      <w:pPr>
        <w:pStyle w:val="ListParagraph"/>
        <w:numPr>
          <w:ilvl w:val="2"/>
          <w:numId w:val="23"/>
        </w:numPr>
        <w:tabs>
          <w:tab w:pos="2808" w:val="left" w:leader="none"/>
        </w:tabs>
        <w:spacing w:line="240" w:lineRule="auto" w:before="90" w:after="0"/>
        <w:ind w:left="2807" w:right="0" w:hanging="420"/>
        <w:jc w:val="left"/>
        <w:rPr>
          <w:sz w:val="22"/>
        </w:rPr>
      </w:pPr>
      <w:r>
        <w:rPr>
          <w:spacing w:val="-3"/>
          <w:sz w:val="22"/>
        </w:rPr>
        <w:t>具有有效的中华人民共和国《医师资格证书》；</w:t>
      </w:r>
    </w:p>
    <w:p>
      <w:pPr>
        <w:spacing w:after="0" w:line="240" w:lineRule="auto"/>
        <w:jc w:val="left"/>
        <w:rPr>
          <w:sz w:val="22"/>
        </w:rPr>
        <w:sectPr>
          <w:type w:val="continuous"/>
          <w:pgSz w:w="11910" w:h="16840"/>
          <w:pgMar w:top="620" w:bottom="500" w:left="6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76"/>
        <w:gridCol w:w="8483"/>
      </w:tblGrid>
      <w:tr>
        <w:trPr>
          <w:trHeight w:val="1960" w:hRule="atLeast"/>
        </w:trPr>
        <w:tc>
          <w:tcPr>
            <w:tcW w:w="794" w:type="dxa"/>
            <w:tcBorders>
              <w:top w:val="single" w:sz="4" w:space="0" w:color="000000"/>
            </w:tcBorders>
          </w:tcPr>
          <w:p>
            <w:pPr>
              <w:pStyle w:val="TableParagraph"/>
              <w:rPr>
                <w:rFonts w:ascii="Times New Roman"/>
                <w:sz w:val="20"/>
              </w:rPr>
            </w:pPr>
          </w:p>
        </w:tc>
        <w:tc>
          <w:tcPr>
            <w:tcW w:w="1576" w:type="dxa"/>
            <w:tcBorders>
              <w:top w:val="single" w:sz="4" w:space="0" w:color="000000"/>
            </w:tcBorders>
          </w:tcPr>
          <w:p>
            <w:pPr>
              <w:pStyle w:val="TableParagraph"/>
              <w:rPr>
                <w:rFonts w:ascii="Times New Roman"/>
                <w:sz w:val="20"/>
              </w:rPr>
            </w:pPr>
          </w:p>
        </w:tc>
        <w:tc>
          <w:tcPr>
            <w:tcW w:w="8483" w:type="dxa"/>
            <w:tcBorders>
              <w:top w:val="single" w:sz="4" w:space="0" w:color="000000"/>
            </w:tcBorders>
          </w:tcPr>
          <w:p>
            <w:pPr>
              <w:pStyle w:val="TableParagraph"/>
              <w:spacing w:before="1"/>
              <w:rPr>
                <w:sz w:val="20"/>
              </w:rPr>
            </w:pPr>
          </w:p>
          <w:p>
            <w:pPr>
              <w:pStyle w:val="TableParagraph"/>
              <w:numPr>
                <w:ilvl w:val="0"/>
                <w:numId w:val="24"/>
              </w:numPr>
              <w:tabs>
                <w:tab w:pos="521" w:val="left" w:leader="none"/>
              </w:tabs>
              <w:spacing w:line="240" w:lineRule="auto" w:before="1" w:after="0"/>
              <w:ind w:left="520" w:right="0" w:hanging="420"/>
              <w:jc w:val="left"/>
              <w:rPr>
                <w:sz w:val="22"/>
              </w:rPr>
            </w:pPr>
            <w:r>
              <w:rPr>
                <w:spacing w:val="-5"/>
                <w:sz w:val="22"/>
              </w:rPr>
              <w:t>具有有效的中华人民共和国《医师执业证书》，并按期到相关部门登记注册；</w:t>
            </w:r>
          </w:p>
          <w:p>
            <w:pPr>
              <w:pStyle w:val="TableParagraph"/>
              <w:numPr>
                <w:ilvl w:val="0"/>
                <w:numId w:val="24"/>
              </w:numPr>
              <w:tabs>
                <w:tab w:pos="521" w:val="left" w:leader="none"/>
              </w:tabs>
              <w:spacing w:line="316" w:lineRule="auto" w:before="91" w:after="0"/>
              <w:ind w:left="520" w:right="198" w:hanging="420"/>
              <w:jc w:val="left"/>
              <w:rPr>
                <w:sz w:val="22"/>
              </w:rPr>
            </w:pPr>
            <w:r>
              <w:rPr>
                <w:spacing w:val="12"/>
                <w:sz w:val="22"/>
              </w:rPr>
              <w:t>具有有效的中华人民共和国主治医师或主治医师以上的职称的《医师职称证</w:t>
            </w:r>
            <w:r>
              <w:rPr>
                <w:spacing w:val="-5"/>
                <w:sz w:val="22"/>
              </w:rPr>
              <w:t>书》；</w:t>
            </w:r>
          </w:p>
          <w:p>
            <w:pPr>
              <w:pStyle w:val="TableParagraph"/>
              <w:numPr>
                <w:ilvl w:val="0"/>
                <w:numId w:val="24"/>
              </w:numPr>
              <w:tabs>
                <w:tab w:pos="521" w:val="left" w:leader="none"/>
              </w:tabs>
              <w:spacing w:line="240" w:lineRule="auto" w:before="23" w:after="0"/>
              <w:ind w:left="520" w:right="0" w:hanging="420"/>
              <w:jc w:val="left"/>
              <w:rPr>
                <w:sz w:val="22"/>
              </w:rPr>
            </w:pPr>
            <w:r>
              <w:rPr>
                <w:spacing w:val="-3"/>
                <w:sz w:val="22"/>
              </w:rPr>
              <w:t>在二级或二级以上医院的相应科室从事临床工作三年以上。</w:t>
            </w:r>
          </w:p>
        </w:tc>
      </w:tr>
      <w:tr>
        <w:trPr>
          <w:trHeight w:val="1140" w:hRule="atLeast"/>
        </w:trPr>
        <w:tc>
          <w:tcPr>
            <w:tcW w:w="794" w:type="dxa"/>
          </w:tcPr>
          <w:p>
            <w:pPr>
              <w:pStyle w:val="TableParagraph"/>
              <w:spacing w:before="5"/>
              <w:rPr>
                <w:sz w:val="15"/>
              </w:rPr>
            </w:pPr>
          </w:p>
          <w:p>
            <w:pPr>
              <w:pStyle w:val="TableParagraph"/>
              <w:ind w:left="72" w:right="130"/>
              <w:jc w:val="center"/>
              <w:rPr>
                <w:b/>
                <w:sz w:val="22"/>
              </w:rPr>
            </w:pPr>
            <w:r>
              <w:rPr>
                <w:b/>
                <w:sz w:val="22"/>
              </w:rPr>
              <w:t>9.8</w:t>
            </w:r>
          </w:p>
        </w:tc>
        <w:tc>
          <w:tcPr>
            <w:tcW w:w="1576" w:type="dxa"/>
          </w:tcPr>
          <w:p>
            <w:pPr>
              <w:pStyle w:val="TableParagraph"/>
              <w:spacing w:before="5"/>
              <w:rPr>
                <w:sz w:val="15"/>
              </w:rPr>
            </w:pPr>
          </w:p>
          <w:p>
            <w:pPr>
              <w:pStyle w:val="TableParagraph"/>
              <w:ind w:left="150"/>
              <w:rPr>
                <w:b/>
                <w:sz w:val="22"/>
              </w:rPr>
            </w:pPr>
            <w:r>
              <w:rPr>
                <w:b/>
                <w:w w:val="95"/>
                <w:sz w:val="22"/>
              </w:rPr>
              <w:t>现金价值</w:t>
            </w:r>
          </w:p>
        </w:tc>
        <w:tc>
          <w:tcPr>
            <w:tcW w:w="8483" w:type="dxa"/>
          </w:tcPr>
          <w:p>
            <w:pPr>
              <w:pStyle w:val="TableParagraph"/>
              <w:spacing w:before="5"/>
              <w:rPr>
                <w:sz w:val="15"/>
              </w:rPr>
            </w:pPr>
          </w:p>
          <w:p>
            <w:pPr>
              <w:pStyle w:val="TableParagraph"/>
              <w:spacing w:line="319" w:lineRule="auto"/>
              <w:ind w:left="100" w:right="215"/>
              <w:rPr>
                <w:sz w:val="22"/>
              </w:rPr>
            </w:pPr>
            <w:r>
              <w:rPr>
                <w:sz w:val="22"/>
              </w:rPr>
              <w:t>指保险合同所具有的价值，通常体现为解除合同时，根据精算原理计算的，由我们向您退还的那部分金额。</w:t>
            </w:r>
          </w:p>
        </w:tc>
      </w:tr>
      <w:tr>
        <w:trPr>
          <w:trHeight w:val="1520" w:hRule="atLeast"/>
        </w:trPr>
        <w:tc>
          <w:tcPr>
            <w:tcW w:w="794" w:type="dxa"/>
          </w:tcPr>
          <w:p>
            <w:pPr>
              <w:pStyle w:val="TableParagraph"/>
              <w:spacing w:before="5"/>
              <w:rPr>
                <w:sz w:val="15"/>
              </w:rPr>
            </w:pPr>
          </w:p>
          <w:p>
            <w:pPr>
              <w:pStyle w:val="TableParagraph"/>
              <w:ind w:left="72" w:right="130"/>
              <w:jc w:val="center"/>
              <w:rPr>
                <w:b/>
                <w:sz w:val="22"/>
              </w:rPr>
            </w:pPr>
            <w:r>
              <w:rPr>
                <w:b/>
                <w:sz w:val="22"/>
              </w:rPr>
              <w:t>9.9</w:t>
            </w:r>
          </w:p>
        </w:tc>
        <w:tc>
          <w:tcPr>
            <w:tcW w:w="1576" w:type="dxa"/>
          </w:tcPr>
          <w:p>
            <w:pPr>
              <w:pStyle w:val="TableParagraph"/>
              <w:spacing w:before="5"/>
              <w:rPr>
                <w:sz w:val="15"/>
              </w:rPr>
            </w:pPr>
          </w:p>
          <w:p>
            <w:pPr>
              <w:pStyle w:val="TableParagraph"/>
              <w:ind w:left="150"/>
              <w:rPr>
                <w:b/>
                <w:sz w:val="22"/>
              </w:rPr>
            </w:pPr>
            <w:r>
              <w:rPr>
                <w:b/>
                <w:w w:val="95"/>
                <w:sz w:val="22"/>
              </w:rPr>
              <w:t>毒品</w:t>
            </w:r>
          </w:p>
        </w:tc>
        <w:tc>
          <w:tcPr>
            <w:tcW w:w="8483" w:type="dxa"/>
          </w:tcPr>
          <w:p>
            <w:pPr>
              <w:pStyle w:val="TableParagraph"/>
              <w:spacing w:before="5"/>
              <w:rPr>
                <w:sz w:val="15"/>
              </w:rPr>
            </w:pPr>
          </w:p>
          <w:p>
            <w:pPr>
              <w:pStyle w:val="TableParagraph"/>
              <w:spacing w:line="316" w:lineRule="auto"/>
              <w:ind w:left="100" w:right="217"/>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1519" w:hRule="atLeast"/>
        </w:trPr>
        <w:tc>
          <w:tcPr>
            <w:tcW w:w="794" w:type="dxa"/>
          </w:tcPr>
          <w:p>
            <w:pPr>
              <w:pStyle w:val="TableParagraph"/>
              <w:spacing w:before="6"/>
              <w:rPr>
                <w:sz w:val="15"/>
              </w:rPr>
            </w:pPr>
          </w:p>
          <w:p>
            <w:pPr>
              <w:pStyle w:val="TableParagraph"/>
              <w:spacing w:before="1"/>
              <w:ind w:left="180" w:right="130"/>
              <w:jc w:val="center"/>
              <w:rPr>
                <w:b/>
                <w:sz w:val="22"/>
              </w:rPr>
            </w:pPr>
            <w:r>
              <w:rPr>
                <w:b/>
                <w:sz w:val="22"/>
              </w:rPr>
              <w:t>9.10</w:t>
            </w:r>
          </w:p>
        </w:tc>
        <w:tc>
          <w:tcPr>
            <w:tcW w:w="1576" w:type="dxa"/>
          </w:tcPr>
          <w:p>
            <w:pPr>
              <w:pStyle w:val="TableParagraph"/>
              <w:spacing w:before="6"/>
              <w:rPr>
                <w:sz w:val="15"/>
              </w:rPr>
            </w:pPr>
          </w:p>
          <w:p>
            <w:pPr>
              <w:pStyle w:val="TableParagraph"/>
              <w:spacing w:before="1"/>
              <w:ind w:left="150"/>
              <w:rPr>
                <w:b/>
                <w:sz w:val="22"/>
              </w:rPr>
            </w:pPr>
            <w:r>
              <w:rPr>
                <w:b/>
                <w:w w:val="95"/>
                <w:sz w:val="22"/>
              </w:rPr>
              <w:t>酒后驾驶</w:t>
            </w:r>
          </w:p>
        </w:tc>
        <w:tc>
          <w:tcPr>
            <w:tcW w:w="8483" w:type="dxa"/>
          </w:tcPr>
          <w:p>
            <w:pPr>
              <w:pStyle w:val="TableParagraph"/>
              <w:spacing w:before="6"/>
              <w:rPr>
                <w:sz w:val="15"/>
              </w:rPr>
            </w:pPr>
          </w:p>
          <w:p>
            <w:pPr>
              <w:pStyle w:val="TableParagraph"/>
              <w:spacing w:line="316" w:lineRule="auto" w:before="1"/>
              <w:ind w:left="100" w:right="217"/>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60" w:hRule="atLeast"/>
        </w:trPr>
        <w:tc>
          <w:tcPr>
            <w:tcW w:w="794" w:type="dxa"/>
          </w:tcPr>
          <w:p>
            <w:pPr>
              <w:pStyle w:val="TableParagraph"/>
              <w:spacing w:before="6"/>
              <w:rPr>
                <w:sz w:val="15"/>
              </w:rPr>
            </w:pPr>
          </w:p>
          <w:p>
            <w:pPr>
              <w:pStyle w:val="TableParagraph"/>
              <w:ind w:left="180" w:right="130"/>
              <w:jc w:val="center"/>
              <w:rPr>
                <w:b/>
                <w:sz w:val="22"/>
              </w:rPr>
            </w:pPr>
            <w:r>
              <w:rPr>
                <w:b/>
                <w:sz w:val="22"/>
              </w:rPr>
              <w:t>9.11</w:t>
            </w:r>
          </w:p>
        </w:tc>
        <w:tc>
          <w:tcPr>
            <w:tcW w:w="1576" w:type="dxa"/>
          </w:tcPr>
          <w:p>
            <w:pPr>
              <w:pStyle w:val="TableParagraph"/>
              <w:spacing w:before="6"/>
              <w:rPr>
                <w:sz w:val="15"/>
              </w:rPr>
            </w:pPr>
          </w:p>
          <w:p>
            <w:pPr>
              <w:pStyle w:val="TableParagraph"/>
              <w:spacing w:line="316" w:lineRule="auto"/>
              <w:ind w:left="150" w:right="98"/>
              <w:rPr>
                <w:b/>
                <w:sz w:val="22"/>
              </w:rPr>
            </w:pPr>
            <w:r>
              <w:rPr>
                <w:b/>
                <w:sz w:val="22"/>
              </w:rPr>
              <w:t>无合法有效驾</w:t>
            </w:r>
            <w:r>
              <w:rPr>
                <w:b/>
                <w:w w:val="95"/>
                <w:sz w:val="22"/>
              </w:rPr>
              <w:t>驶证驾驶</w:t>
            </w:r>
          </w:p>
        </w:tc>
        <w:tc>
          <w:tcPr>
            <w:tcW w:w="8483" w:type="dxa"/>
          </w:tcPr>
          <w:p>
            <w:pPr>
              <w:pStyle w:val="TableParagraph"/>
              <w:spacing w:before="6"/>
              <w:rPr>
                <w:sz w:val="15"/>
              </w:rPr>
            </w:pPr>
          </w:p>
          <w:p>
            <w:pPr>
              <w:pStyle w:val="TableParagraph"/>
              <w:ind w:left="100"/>
              <w:rPr>
                <w:sz w:val="22"/>
              </w:rPr>
            </w:pPr>
            <w:r>
              <w:rPr>
                <w:sz w:val="22"/>
              </w:rPr>
              <w:t>指下列情形之一：</w:t>
            </w:r>
          </w:p>
          <w:p>
            <w:pPr>
              <w:pStyle w:val="TableParagraph"/>
              <w:numPr>
                <w:ilvl w:val="0"/>
                <w:numId w:val="25"/>
              </w:numPr>
              <w:tabs>
                <w:tab w:pos="461" w:val="left" w:leader="none"/>
              </w:tabs>
              <w:spacing w:line="240" w:lineRule="auto" w:before="91" w:after="0"/>
              <w:ind w:left="460" w:right="0" w:hanging="360"/>
              <w:jc w:val="left"/>
              <w:rPr>
                <w:sz w:val="22"/>
              </w:rPr>
            </w:pPr>
            <w:r>
              <w:rPr>
                <w:spacing w:val="-2"/>
                <w:sz w:val="22"/>
              </w:rPr>
              <w:t>没有取得驾驶资格；</w:t>
            </w:r>
          </w:p>
          <w:p>
            <w:pPr>
              <w:pStyle w:val="TableParagraph"/>
              <w:numPr>
                <w:ilvl w:val="0"/>
                <w:numId w:val="25"/>
              </w:numPr>
              <w:tabs>
                <w:tab w:pos="461" w:val="left" w:leader="none"/>
              </w:tabs>
              <w:spacing w:line="240" w:lineRule="auto" w:before="94" w:after="0"/>
              <w:ind w:left="460" w:right="0" w:hanging="360"/>
              <w:jc w:val="left"/>
              <w:rPr>
                <w:sz w:val="22"/>
              </w:rPr>
            </w:pPr>
            <w:r>
              <w:rPr>
                <w:spacing w:val="-3"/>
                <w:sz w:val="22"/>
              </w:rPr>
              <w:t>驾驶与驾驶证准驾车型不相符合的车辆；</w:t>
            </w:r>
          </w:p>
          <w:p>
            <w:pPr>
              <w:pStyle w:val="TableParagraph"/>
              <w:numPr>
                <w:ilvl w:val="0"/>
                <w:numId w:val="25"/>
              </w:numPr>
              <w:tabs>
                <w:tab w:pos="461" w:val="left" w:leader="none"/>
              </w:tabs>
              <w:spacing w:line="240" w:lineRule="auto" w:before="91" w:after="0"/>
              <w:ind w:left="460" w:right="0" w:hanging="360"/>
              <w:jc w:val="left"/>
              <w:rPr>
                <w:sz w:val="22"/>
              </w:rPr>
            </w:pPr>
            <w:r>
              <w:rPr>
                <w:spacing w:val="-3"/>
                <w:sz w:val="22"/>
              </w:rPr>
              <w:t>持审验不合格的驾驶证驾驶；</w:t>
            </w:r>
          </w:p>
          <w:p>
            <w:pPr>
              <w:pStyle w:val="TableParagraph"/>
              <w:numPr>
                <w:ilvl w:val="0"/>
                <w:numId w:val="25"/>
              </w:numPr>
              <w:tabs>
                <w:tab w:pos="461" w:val="left" w:leader="none"/>
              </w:tabs>
              <w:spacing w:line="319" w:lineRule="auto" w:before="91" w:after="0"/>
              <w:ind w:left="460" w:right="220" w:hanging="360"/>
              <w:jc w:val="left"/>
              <w:rPr>
                <w:sz w:val="22"/>
              </w:rPr>
            </w:pPr>
            <w:r>
              <w:rPr>
                <w:spacing w:val="5"/>
                <w:sz w:val="22"/>
              </w:rPr>
              <w:t>持学习驾驶证学习驾车时，无教练员随车指导，或不按指定时间、路线学习驾</w:t>
            </w:r>
            <w:r>
              <w:rPr>
                <w:spacing w:val="-3"/>
                <w:sz w:val="22"/>
              </w:rPr>
              <w:t>车。</w:t>
            </w:r>
          </w:p>
        </w:tc>
      </w:tr>
      <w:tr>
        <w:trPr>
          <w:trHeight w:val="1520" w:hRule="atLeast"/>
        </w:trPr>
        <w:tc>
          <w:tcPr>
            <w:tcW w:w="794" w:type="dxa"/>
          </w:tcPr>
          <w:p>
            <w:pPr>
              <w:pStyle w:val="TableParagraph"/>
              <w:spacing w:before="5"/>
              <w:rPr>
                <w:sz w:val="15"/>
              </w:rPr>
            </w:pPr>
          </w:p>
          <w:p>
            <w:pPr>
              <w:pStyle w:val="TableParagraph"/>
              <w:ind w:left="180" w:right="130"/>
              <w:jc w:val="center"/>
              <w:rPr>
                <w:b/>
                <w:sz w:val="22"/>
              </w:rPr>
            </w:pPr>
            <w:r>
              <w:rPr>
                <w:b/>
                <w:sz w:val="22"/>
              </w:rPr>
              <w:t>9.12</w:t>
            </w:r>
          </w:p>
        </w:tc>
        <w:tc>
          <w:tcPr>
            <w:tcW w:w="1576" w:type="dxa"/>
          </w:tcPr>
          <w:p>
            <w:pPr>
              <w:pStyle w:val="TableParagraph"/>
              <w:spacing w:before="5"/>
              <w:rPr>
                <w:sz w:val="15"/>
              </w:rPr>
            </w:pPr>
          </w:p>
          <w:p>
            <w:pPr>
              <w:pStyle w:val="TableParagraph"/>
              <w:ind w:left="150"/>
              <w:rPr>
                <w:b/>
                <w:sz w:val="22"/>
              </w:rPr>
            </w:pPr>
            <w:r>
              <w:rPr>
                <w:b/>
                <w:w w:val="95"/>
                <w:sz w:val="22"/>
              </w:rPr>
              <w:t>无有效行驶证</w:t>
            </w:r>
          </w:p>
        </w:tc>
        <w:tc>
          <w:tcPr>
            <w:tcW w:w="8483" w:type="dxa"/>
          </w:tcPr>
          <w:p>
            <w:pPr>
              <w:pStyle w:val="TableParagraph"/>
              <w:spacing w:before="5"/>
              <w:rPr>
                <w:sz w:val="15"/>
              </w:rPr>
            </w:pPr>
          </w:p>
          <w:p>
            <w:pPr>
              <w:pStyle w:val="TableParagraph"/>
              <w:ind w:left="100"/>
              <w:rPr>
                <w:sz w:val="22"/>
              </w:rPr>
            </w:pPr>
            <w:r>
              <w:rPr>
                <w:sz w:val="22"/>
              </w:rPr>
              <w:t>指下列情形之一：</w:t>
            </w:r>
          </w:p>
          <w:p>
            <w:pPr>
              <w:pStyle w:val="TableParagraph"/>
              <w:numPr>
                <w:ilvl w:val="0"/>
                <w:numId w:val="26"/>
              </w:numPr>
              <w:tabs>
                <w:tab w:pos="461" w:val="left" w:leader="none"/>
              </w:tabs>
              <w:spacing w:line="240" w:lineRule="auto" w:before="93" w:after="0"/>
              <w:ind w:left="460" w:right="0" w:hanging="360"/>
              <w:jc w:val="left"/>
              <w:rPr>
                <w:sz w:val="22"/>
              </w:rPr>
            </w:pPr>
            <w:r>
              <w:rPr>
                <w:spacing w:val="-3"/>
                <w:sz w:val="22"/>
              </w:rPr>
              <w:t>机动车被依法注销登记的；</w:t>
            </w:r>
          </w:p>
          <w:p>
            <w:pPr>
              <w:pStyle w:val="TableParagraph"/>
              <w:numPr>
                <w:ilvl w:val="0"/>
                <w:numId w:val="26"/>
              </w:numPr>
              <w:tabs>
                <w:tab w:pos="461" w:val="left" w:leader="none"/>
              </w:tabs>
              <w:spacing w:line="240" w:lineRule="auto" w:before="91" w:after="0"/>
              <w:ind w:left="460" w:right="0" w:hanging="360"/>
              <w:jc w:val="left"/>
              <w:rPr>
                <w:sz w:val="22"/>
              </w:rPr>
            </w:pPr>
            <w:r>
              <w:rPr>
                <w:spacing w:val="-3"/>
                <w:sz w:val="22"/>
              </w:rPr>
              <w:t>未依法按时进行或通过机动车安全技术检验。</w:t>
            </w:r>
          </w:p>
        </w:tc>
      </w:tr>
      <w:tr>
        <w:trPr>
          <w:trHeight w:val="1140" w:hRule="atLeast"/>
        </w:trPr>
        <w:tc>
          <w:tcPr>
            <w:tcW w:w="794" w:type="dxa"/>
          </w:tcPr>
          <w:p>
            <w:pPr>
              <w:pStyle w:val="TableParagraph"/>
              <w:spacing w:before="6"/>
              <w:rPr>
                <w:sz w:val="15"/>
              </w:rPr>
            </w:pPr>
          </w:p>
          <w:p>
            <w:pPr>
              <w:pStyle w:val="TableParagraph"/>
              <w:ind w:left="180" w:right="130"/>
              <w:jc w:val="center"/>
              <w:rPr>
                <w:b/>
                <w:sz w:val="22"/>
              </w:rPr>
            </w:pPr>
            <w:r>
              <w:rPr>
                <w:b/>
                <w:sz w:val="22"/>
              </w:rPr>
              <w:t>9.13</w:t>
            </w:r>
          </w:p>
        </w:tc>
        <w:tc>
          <w:tcPr>
            <w:tcW w:w="1576" w:type="dxa"/>
          </w:tcPr>
          <w:p>
            <w:pPr>
              <w:pStyle w:val="TableParagraph"/>
              <w:spacing w:before="6"/>
              <w:rPr>
                <w:sz w:val="15"/>
              </w:rPr>
            </w:pPr>
          </w:p>
          <w:p>
            <w:pPr>
              <w:pStyle w:val="TableParagraph"/>
              <w:ind w:left="150"/>
              <w:rPr>
                <w:b/>
                <w:sz w:val="22"/>
              </w:rPr>
            </w:pPr>
            <w:r>
              <w:rPr>
                <w:b/>
                <w:w w:val="95"/>
                <w:sz w:val="22"/>
              </w:rPr>
              <w:t>机动车</w:t>
            </w:r>
          </w:p>
        </w:tc>
        <w:tc>
          <w:tcPr>
            <w:tcW w:w="8483" w:type="dxa"/>
          </w:tcPr>
          <w:p>
            <w:pPr>
              <w:pStyle w:val="TableParagraph"/>
              <w:spacing w:before="6"/>
              <w:rPr>
                <w:sz w:val="15"/>
              </w:rPr>
            </w:pPr>
          </w:p>
          <w:p>
            <w:pPr>
              <w:pStyle w:val="TableParagraph"/>
              <w:spacing w:line="316" w:lineRule="auto"/>
              <w:ind w:left="100" w:right="217"/>
              <w:rPr>
                <w:sz w:val="22"/>
              </w:rPr>
            </w:pPr>
            <w:r>
              <w:rPr>
                <w:sz w:val="22"/>
              </w:rPr>
              <w:t>指以动力装置驱动或者牵引，供人员乘用或者用于运送物品以及进行工程专项作业的轮式车辆。</w:t>
            </w:r>
          </w:p>
        </w:tc>
      </w:tr>
      <w:tr>
        <w:trPr>
          <w:trHeight w:val="1848" w:hRule="atLeast"/>
        </w:trPr>
        <w:tc>
          <w:tcPr>
            <w:tcW w:w="794" w:type="dxa"/>
          </w:tcPr>
          <w:p>
            <w:pPr>
              <w:pStyle w:val="TableParagraph"/>
              <w:spacing w:before="6"/>
              <w:rPr>
                <w:sz w:val="15"/>
              </w:rPr>
            </w:pPr>
          </w:p>
          <w:p>
            <w:pPr>
              <w:pStyle w:val="TableParagraph"/>
              <w:ind w:left="180" w:right="130"/>
              <w:jc w:val="center"/>
              <w:rPr>
                <w:b/>
                <w:sz w:val="22"/>
              </w:rPr>
            </w:pPr>
            <w:r>
              <w:rPr>
                <w:b/>
                <w:sz w:val="22"/>
              </w:rPr>
              <w:t>9.14</w:t>
            </w:r>
          </w:p>
        </w:tc>
        <w:tc>
          <w:tcPr>
            <w:tcW w:w="1576" w:type="dxa"/>
          </w:tcPr>
          <w:p>
            <w:pPr>
              <w:pStyle w:val="TableParagraph"/>
              <w:spacing w:before="6"/>
              <w:rPr>
                <w:sz w:val="15"/>
              </w:rPr>
            </w:pPr>
          </w:p>
          <w:p>
            <w:pPr>
              <w:pStyle w:val="TableParagraph"/>
              <w:spacing w:line="316" w:lineRule="auto"/>
              <w:ind w:left="150" w:right="98"/>
              <w:rPr>
                <w:b/>
                <w:sz w:val="22"/>
              </w:rPr>
            </w:pPr>
            <w:r>
              <w:rPr>
                <w:b/>
                <w:sz w:val="22"/>
              </w:rPr>
              <w:t>感染艾滋病病</w:t>
            </w:r>
            <w:r>
              <w:rPr>
                <w:b/>
                <w:w w:val="95"/>
                <w:sz w:val="22"/>
              </w:rPr>
              <w:t>毒或患艾滋病</w:t>
            </w:r>
          </w:p>
        </w:tc>
        <w:tc>
          <w:tcPr>
            <w:tcW w:w="8483" w:type="dxa"/>
          </w:tcPr>
          <w:p>
            <w:pPr>
              <w:pStyle w:val="TableParagraph"/>
              <w:spacing w:before="6"/>
              <w:rPr>
                <w:sz w:val="15"/>
              </w:rPr>
            </w:pPr>
          </w:p>
          <w:p>
            <w:pPr>
              <w:pStyle w:val="TableParagraph"/>
              <w:spacing w:line="316" w:lineRule="auto"/>
              <w:ind w:left="100" w:right="212"/>
              <w:rPr>
                <w:sz w:val="22"/>
              </w:rPr>
            </w:pPr>
            <w:r>
              <w:rPr>
                <w:sz w:val="22"/>
              </w:rPr>
              <w:t>艾滋病病毒指人类免疫缺陷病毒，英文缩写为HIV。艾滋病指人类免疫缺陷病毒引起的获得性免疫缺陷综合症，英文缩写为AIDS。</w:t>
            </w:r>
          </w:p>
          <w:p>
            <w:pPr>
              <w:pStyle w:val="TableParagraph"/>
              <w:spacing w:line="319" w:lineRule="auto" w:before="21"/>
              <w:ind w:left="100" w:right="208"/>
              <w:rPr>
                <w:sz w:val="22"/>
              </w:rPr>
            </w:pPr>
            <w:r>
              <w:rPr>
                <w:spacing w:val="-8"/>
                <w:sz w:val="22"/>
              </w:rPr>
              <w:t>在人体血液或其他样本中检测到艾滋病病毒或其抗体呈阳性，没有出现临床症状或体征</w:t>
            </w:r>
            <w:r>
              <w:rPr>
                <w:spacing w:val="-10"/>
                <w:sz w:val="22"/>
              </w:rPr>
              <w:t>的，为感染艾滋病病毒；如果同时出现了明显临床症状或体征的，为患艾滋病。</w:t>
            </w:r>
          </w:p>
        </w:tc>
      </w:tr>
      <w:tr>
        <w:trPr>
          <w:trHeight w:val="1087" w:hRule="atLeast"/>
        </w:trPr>
        <w:tc>
          <w:tcPr>
            <w:tcW w:w="794" w:type="dxa"/>
          </w:tcPr>
          <w:p>
            <w:pPr>
              <w:pStyle w:val="TableParagraph"/>
              <w:spacing w:before="150"/>
              <w:ind w:left="180" w:right="130"/>
              <w:jc w:val="center"/>
              <w:rPr>
                <w:b/>
                <w:sz w:val="22"/>
              </w:rPr>
            </w:pPr>
            <w:r>
              <w:rPr>
                <w:b/>
                <w:sz w:val="22"/>
              </w:rPr>
              <w:t>9.15</w:t>
            </w:r>
          </w:p>
        </w:tc>
        <w:tc>
          <w:tcPr>
            <w:tcW w:w="1576" w:type="dxa"/>
          </w:tcPr>
          <w:p>
            <w:pPr>
              <w:pStyle w:val="TableParagraph"/>
              <w:spacing w:before="150"/>
              <w:ind w:left="150"/>
              <w:rPr>
                <w:b/>
                <w:sz w:val="22"/>
              </w:rPr>
            </w:pPr>
            <w:r>
              <w:rPr>
                <w:b/>
                <w:w w:val="95"/>
                <w:sz w:val="22"/>
              </w:rPr>
              <w:t>遗传性疾病</w:t>
            </w:r>
          </w:p>
        </w:tc>
        <w:tc>
          <w:tcPr>
            <w:tcW w:w="8483" w:type="dxa"/>
          </w:tcPr>
          <w:p>
            <w:pPr>
              <w:pStyle w:val="TableParagraph"/>
              <w:spacing w:line="316" w:lineRule="auto" w:before="150"/>
              <w:ind w:left="100" w:right="217"/>
              <w:rPr>
                <w:sz w:val="22"/>
              </w:rPr>
            </w:pPr>
            <w:r>
              <w:rPr>
                <w:sz w:val="22"/>
              </w:rPr>
              <w:t>指生殖细胞或受精卵的遗传物质（染色体和基因）发生突变或畸变所引起的疾病，通常具有由亲代传至后代的垂直传递的特征。</w:t>
            </w:r>
          </w:p>
        </w:tc>
      </w:tr>
      <w:tr>
        <w:trPr>
          <w:trHeight w:val="869" w:hRule="atLeast"/>
        </w:trPr>
        <w:tc>
          <w:tcPr>
            <w:tcW w:w="794" w:type="dxa"/>
          </w:tcPr>
          <w:p>
            <w:pPr>
              <w:pStyle w:val="TableParagraph"/>
              <w:spacing w:before="6"/>
              <w:rPr>
                <w:sz w:val="15"/>
              </w:rPr>
            </w:pPr>
          </w:p>
          <w:p>
            <w:pPr>
              <w:pStyle w:val="TableParagraph"/>
              <w:ind w:left="180" w:right="130"/>
              <w:jc w:val="center"/>
              <w:rPr>
                <w:b/>
                <w:sz w:val="22"/>
              </w:rPr>
            </w:pPr>
            <w:r>
              <w:rPr>
                <w:b/>
                <w:sz w:val="22"/>
              </w:rPr>
              <w:t>9.16</w:t>
            </w:r>
          </w:p>
        </w:tc>
        <w:tc>
          <w:tcPr>
            <w:tcW w:w="1576" w:type="dxa"/>
          </w:tcPr>
          <w:p>
            <w:pPr>
              <w:pStyle w:val="TableParagraph"/>
              <w:spacing w:line="380" w:lineRule="atLeast" w:before="110"/>
              <w:ind w:left="150" w:right="98"/>
              <w:rPr>
                <w:b/>
                <w:sz w:val="22"/>
              </w:rPr>
            </w:pPr>
            <w:r>
              <w:rPr>
                <w:b/>
                <w:sz w:val="22"/>
              </w:rPr>
              <w:t>先天性畸形、</w:t>
            </w:r>
            <w:r>
              <w:rPr>
                <w:b/>
                <w:w w:val="95"/>
                <w:sz w:val="22"/>
              </w:rPr>
              <w:t>变形或者染色</w:t>
            </w:r>
          </w:p>
        </w:tc>
        <w:tc>
          <w:tcPr>
            <w:tcW w:w="8483" w:type="dxa"/>
          </w:tcPr>
          <w:p>
            <w:pPr>
              <w:pStyle w:val="TableParagraph"/>
              <w:spacing w:line="380" w:lineRule="atLeast" w:before="110"/>
              <w:ind w:left="100" w:right="217"/>
              <w:rPr>
                <w:sz w:val="22"/>
              </w:rPr>
            </w:pPr>
            <w:r>
              <w:rPr>
                <w:sz w:val="22"/>
              </w:rPr>
              <w:t>被保险人出生时就具有的畸形、变形或染色体异常。先天性畸形、变形和染色体异常依照世界卫生组织《疾病和有关健康问题的国际统计分类》（ICD-10）确定。</w:t>
            </w:r>
          </w:p>
        </w:tc>
      </w:tr>
    </w:tbl>
    <w:p>
      <w:pPr>
        <w:spacing w:after="0" w:line="380" w:lineRule="atLeast"/>
        <w:rPr>
          <w:sz w:val="22"/>
        </w:rPr>
        <w:sectPr>
          <w:headerReference w:type="default" r:id="rId17"/>
          <w:pgSz w:w="11910" w:h="16840"/>
          <w:pgMar w:header="426" w:footer="309" w:top="620" w:bottom="500" w:left="420" w:right="4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76"/>
        <w:gridCol w:w="8467"/>
      </w:tblGrid>
      <w:tr>
        <w:trPr>
          <w:trHeight w:val="820" w:hRule="atLeast"/>
        </w:trPr>
        <w:tc>
          <w:tcPr>
            <w:tcW w:w="794" w:type="dxa"/>
            <w:tcBorders>
              <w:top w:val="single" w:sz="4" w:space="0" w:color="000000"/>
            </w:tcBorders>
          </w:tcPr>
          <w:p>
            <w:pPr>
              <w:pStyle w:val="TableParagraph"/>
              <w:rPr>
                <w:rFonts w:ascii="Times New Roman"/>
                <w:sz w:val="20"/>
              </w:rPr>
            </w:pPr>
          </w:p>
        </w:tc>
        <w:tc>
          <w:tcPr>
            <w:tcW w:w="1576" w:type="dxa"/>
            <w:tcBorders>
              <w:top w:val="single" w:sz="4" w:space="0" w:color="000000"/>
            </w:tcBorders>
          </w:tcPr>
          <w:p>
            <w:pPr>
              <w:pStyle w:val="TableParagraph"/>
              <w:spacing w:before="1"/>
              <w:rPr>
                <w:sz w:val="20"/>
              </w:rPr>
            </w:pPr>
          </w:p>
          <w:p>
            <w:pPr>
              <w:pStyle w:val="TableParagraph"/>
              <w:spacing w:before="1"/>
              <w:ind w:left="150"/>
              <w:rPr>
                <w:b/>
                <w:sz w:val="22"/>
              </w:rPr>
            </w:pPr>
            <w:r>
              <w:rPr>
                <w:b/>
                <w:w w:val="95"/>
                <w:sz w:val="22"/>
              </w:rPr>
              <w:t>体异常</w:t>
            </w:r>
          </w:p>
        </w:tc>
        <w:tc>
          <w:tcPr>
            <w:tcW w:w="8467" w:type="dxa"/>
            <w:tcBorders>
              <w:top w:val="single" w:sz="4" w:space="0" w:color="000000"/>
            </w:tcBorders>
          </w:tcPr>
          <w:p>
            <w:pPr>
              <w:pStyle w:val="TableParagraph"/>
              <w:rPr>
                <w:rFonts w:ascii="Times New Roman"/>
                <w:sz w:val="20"/>
              </w:rPr>
            </w:pPr>
          </w:p>
        </w:tc>
      </w:tr>
      <w:tr>
        <w:trPr>
          <w:trHeight w:val="716" w:hRule="atLeast"/>
        </w:trPr>
        <w:tc>
          <w:tcPr>
            <w:tcW w:w="794" w:type="dxa"/>
          </w:tcPr>
          <w:p>
            <w:pPr>
              <w:pStyle w:val="TableParagraph"/>
              <w:spacing w:before="5"/>
              <w:rPr>
                <w:sz w:val="15"/>
              </w:rPr>
            </w:pPr>
          </w:p>
          <w:p>
            <w:pPr>
              <w:pStyle w:val="TableParagraph"/>
              <w:ind w:left="180" w:right="130"/>
              <w:jc w:val="center"/>
              <w:rPr>
                <w:b/>
                <w:sz w:val="22"/>
              </w:rPr>
            </w:pPr>
            <w:r>
              <w:rPr>
                <w:b/>
                <w:sz w:val="22"/>
              </w:rPr>
              <w:t>9.17</w:t>
            </w:r>
          </w:p>
        </w:tc>
        <w:tc>
          <w:tcPr>
            <w:tcW w:w="1576" w:type="dxa"/>
          </w:tcPr>
          <w:p>
            <w:pPr>
              <w:pStyle w:val="TableParagraph"/>
              <w:spacing w:before="5"/>
              <w:rPr>
                <w:sz w:val="15"/>
              </w:rPr>
            </w:pPr>
          </w:p>
          <w:p>
            <w:pPr>
              <w:pStyle w:val="TableParagraph"/>
              <w:ind w:left="150"/>
              <w:rPr>
                <w:b/>
                <w:sz w:val="22"/>
              </w:rPr>
            </w:pPr>
            <w:r>
              <w:rPr>
                <w:b/>
                <w:w w:val="95"/>
                <w:sz w:val="22"/>
              </w:rPr>
              <w:t>保险事故</w:t>
            </w:r>
          </w:p>
        </w:tc>
        <w:tc>
          <w:tcPr>
            <w:tcW w:w="8467" w:type="dxa"/>
          </w:tcPr>
          <w:p>
            <w:pPr>
              <w:pStyle w:val="TableParagraph"/>
              <w:spacing w:before="5"/>
              <w:rPr>
                <w:sz w:val="15"/>
              </w:rPr>
            </w:pPr>
          </w:p>
          <w:p>
            <w:pPr>
              <w:pStyle w:val="TableParagraph"/>
              <w:ind w:left="100"/>
              <w:rPr>
                <w:sz w:val="22"/>
              </w:rPr>
            </w:pPr>
            <w:r>
              <w:rPr>
                <w:sz w:val="22"/>
              </w:rPr>
              <w:t>指本附加合同约定的保险责任范围内的事故。</w:t>
            </w:r>
          </w:p>
        </w:tc>
      </w:tr>
      <w:tr>
        <w:trPr>
          <w:trHeight w:val="998" w:hRule="atLeast"/>
        </w:trPr>
        <w:tc>
          <w:tcPr>
            <w:tcW w:w="794" w:type="dxa"/>
          </w:tcPr>
          <w:p>
            <w:pPr>
              <w:pStyle w:val="TableParagraph"/>
              <w:spacing w:before="10"/>
              <w:rPr>
                <w:sz w:val="18"/>
              </w:rPr>
            </w:pPr>
          </w:p>
          <w:p>
            <w:pPr>
              <w:pStyle w:val="TableParagraph"/>
              <w:ind w:left="180" w:right="130"/>
              <w:jc w:val="center"/>
              <w:rPr>
                <w:b/>
                <w:sz w:val="22"/>
              </w:rPr>
            </w:pPr>
            <w:r>
              <w:rPr>
                <w:b/>
                <w:sz w:val="22"/>
              </w:rPr>
              <w:t>9.18</w:t>
            </w:r>
          </w:p>
        </w:tc>
        <w:tc>
          <w:tcPr>
            <w:tcW w:w="1576" w:type="dxa"/>
          </w:tcPr>
          <w:p>
            <w:pPr>
              <w:pStyle w:val="TableParagraph"/>
              <w:spacing w:before="10"/>
              <w:rPr>
                <w:sz w:val="18"/>
              </w:rPr>
            </w:pPr>
          </w:p>
          <w:p>
            <w:pPr>
              <w:pStyle w:val="TableParagraph"/>
              <w:ind w:left="150"/>
              <w:rPr>
                <w:b/>
                <w:sz w:val="22"/>
              </w:rPr>
            </w:pPr>
            <w:r>
              <w:rPr>
                <w:b/>
                <w:w w:val="95"/>
                <w:sz w:val="22"/>
              </w:rPr>
              <w:t>保单贷款利率</w:t>
            </w:r>
          </w:p>
        </w:tc>
        <w:tc>
          <w:tcPr>
            <w:tcW w:w="8467" w:type="dxa"/>
          </w:tcPr>
          <w:p>
            <w:pPr>
              <w:pStyle w:val="TableParagraph"/>
              <w:spacing w:line="237" w:lineRule="auto" w:before="162"/>
              <w:ind w:left="100" w:right="223"/>
              <w:rPr>
                <w:sz w:val="22"/>
              </w:rPr>
            </w:pPr>
            <w:r>
              <w:rPr>
                <w:sz w:val="22"/>
              </w:rPr>
              <w:t>指按“计息期间开始当月中国人民银行第一个营业日颁布的人民币六个月期贷款利率与 5.5%之较大值”计算，本保单贷款利率为年利率。</w:t>
            </w:r>
          </w:p>
        </w:tc>
      </w:tr>
      <w:tr>
        <w:trPr>
          <w:trHeight w:val="1515" w:hRule="atLeast"/>
        </w:trPr>
        <w:tc>
          <w:tcPr>
            <w:tcW w:w="794" w:type="dxa"/>
          </w:tcPr>
          <w:p>
            <w:pPr>
              <w:pStyle w:val="TableParagraph"/>
              <w:spacing w:before="198"/>
              <w:ind w:left="180" w:right="130"/>
              <w:jc w:val="center"/>
              <w:rPr>
                <w:b/>
                <w:sz w:val="22"/>
              </w:rPr>
            </w:pPr>
            <w:r>
              <w:rPr>
                <w:b/>
                <w:sz w:val="22"/>
              </w:rPr>
              <w:t>9.19</w:t>
            </w:r>
          </w:p>
        </w:tc>
        <w:tc>
          <w:tcPr>
            <w:tcW w:w="1576" w:type="dxa"/>
          </w:tcPr>
          <w:p>
            <w:pPr>
              <w:pStyle w:val="TableParagraph"/>
              <w:spacing w:before="198"/>
              <w:ind w:left="150"/>
              <w:rPr>
                <w:b/>
                <w:sz w:val="22"/>
              </w:rPr>
            </w:pPr>
            <w:r>
              <w:rPr>
                <w:b/>
                <w:w w:val="95"/>
                <w:sz w:val="22"/>
              </w:rPr>
              <w:t>原位癌</w:t>
            </w:r>
          </w:p>
        </w:tc>
        <w:tc>
          <w:tcPr>
            <w:tcW w:w="8467" w:type="dxa"/>
          </w:tcPr>
          <w:p>
            <w:pPr>
              <w:pStyle w:val="TableParagraph"/>
              <w:spacing w:line="316" w:lineRule="auto" w:before="198"/>
              <w:ind w:left="100" w:right="199"/>
              <w:jc w:val="both"/>
              <w:rPr>
                <w:sz w:val="22"/>
              </w:rPr>
            </w:pPr>
            <w:r>
              <w:rPr>
                <w:sz w:val="22"/>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140" w:hRule="atLeast"/>
        </w:trPr>
        <w:tc>
          <w:tcPr>
            <w:tcW w:w="794" w:type="dxa"/>
          </w:tcPr>
          <w:p>
            <w:pPr>
              <w:pStyle w:val="TableParagraph"/>
              <w:spacing w:before="5"/>
              <w:rPr>
                <w:sz w:val="15"/>
              </w:rPr>
            </w:pPr>
          </w:p>
          <w:p>
            <w:pPr>
              <w:pStyle w:val="TableParagraph"/>
              <w:ind w:left="180" w:right="130"/>
              <w:jc w:val="center"/>
              <w:rPr>
                <w:b/>
                <w:sz w:val="22"/>
              </w:rPr>
            </w:pPr>
            <w:r>
              <w:rPr>
                <w:b/>
                <w:sz w:val="22"/>
              </w:rPr>
              <w:t>9.20</w:t>
            </w:r>
          </w:p>
        </w:tc>
        <w:tc>
          <w:tcPr>
            <w:tcW w:w="1576" w:type="dxa"/>
          </w:tcPr>
          <w:p>
            <w:pPr>
              <w:pStyle w:val="TableParagraph"/>
              <w:spacing w:before="5"/>
              <w:rPr>
                <w:sz w:val="15"/>
              </w:rPr>
            </w:pPr>
          </w:p>
          <w:p>
            <w:pPr>
              <w:pStyle w:val="TableParagraph"/>
              <w:spacing w:line="319" w:lineRule="auto"/>
              <w:ind w:left="150" w:right="98"/>
              <w:rPr>
                <w:b/>
                <w:sz w:val="22"/>
              </w:rPr>
            </w:pPr>
            <w:r>
              <w:rPr>
                <w:b/>
                <w:sz w:val="22"/>
              </w:rPr>
              <w:t>肢体机能完全</w:t>
            </w:r>
            <w:r>
              <w:rPr>
                <w:b/>
                <w:w w:val="95"/>
                <w:sz w:val="22"/>
              </w:rPr>
              <w:t>丧失</w:t>
            </w:r>
          </w:p>
        </w:tc>
        <w:tc>
          <w:tcPr>
            <w:tcW w:w="8467" w:type="dxa"/>
          </w:tcPr>
          <w:p>
            <w:pPr>
              <w:pStyle w:val="TableParagraph"/>
              <w:spacing w:before="5"/>
              <w:rPr>
                <w:sz w:val="15"/>
              </w:rPr>
            </w:pPr>
          </w:p>
          <w:p>
            <w:pPr>
              <w:pStyle w:val="TableParagraph"/>
              <w:spacing w:line="319" w:lineRule="auto"/>
              <w:ind w:left="100" w:right="199"/>
              <w:rPr>
                <w:sz w:val="22"/>
              </w:rPr>
            </w:pPr>
            <w:r>
              <w:rPr>
                <w:sz w:val="22"/>
              </w:rPr>
              <w:t>指肢体的三大关节中的两大关节僵硬，或不能随意识活动。肢体是指包括肩关节的整个上肢或包括髋关节的整个下肢。</w:t>
            </w:r>
          </w:p>
        </w:tc>
      </w:tr>
      <w:tr>
        <w:trPr>
          <w:trHeight w:val="1899" w:hRule="atLeast"/>
        </w:trPr>
        <w:tc>
          <w:tcPr>
            <w:tcW w:w="794" w:type="dxa"/>
          </w:tcPr>
          <w:p>
            <w:pPr>
              <w:pStyle w:val="TableParagraph"/>
              <w:spacing w:before="5"/>
              <w:rPr>
                <w:sz w:val="15"/>
              </w:rPr>
            </w:pPr>
          </w:p>
          <w:p>
            <w:pPr>
              <w:pStyle w:val="TableParagraph"/>
              <w:ind w:left="180" w:right="130"/>
              <w:jc w:val="center"/>
              <w:rPr>
                <w:b/>
                <w:sz w:val="22"/>
              </w:rPr>
            </w:pPr>
            <w:r>
              <w:rPr>
                <w:b/>
                <w:sz w:val="22"/>
              </w:rPr>
              <w:t>9.21</w:t>
            </w:r>
          </w:p>
        </w:tc>
        <w:tc>
          <w:tcPr>
            <w:tcW w:w="1576" w:type="dxa"/>
          </w:tcPr>
          <w:p>
            <w:pPr>
              <w:pStyle w:val="TableParagraph"/>
              <w:spacing w:before="5"/>
              <w:rPr>
                <w:sz w:val="15"/>
              </w:rPr>
            </w:pPr>
          </w:p>
          <w:p>
            <w:pPr>
              <w:pStyle w:val="TableParagraph"/>
              <w:spacing w:line="316" w:lineRule="auto"/>
              <w:ind w:left="150" w:right="98"/>
              <w:jc w:val="both"/>
              <w:rPr>
                <w:b/>
                <w:sz w:val="22"/>
              </w:rPr>
            </w:pPr>
            <w:r>
              <w:rPr>
                <w:b/>
                <w:sz w:val="22"/>
              </w:rPr>
              <w:t>语言能力或咀嚼吞咽能力完</w:t>
            </w:r>
            <w:r>
              <w:rPr>
                <w:b/>
                <w:w w:val="95"/>
                <w:sz w:val="22"/>
              </w:rPr>
              <w:t>全丧失</w:t>
            </w:r>
          </w:p>
        </w:tc>
        <w:tc>
          <w:tcPr>
            <w:tcW w:w="8467" w:type="dxa"/>
          </w:tcPr>
          <w:p>
            <w:pPr>
              <w:pStyle w:val="TableParagraph"/>
              <w:spacing w:before="5"/>
              <w:rPr>
                <w:sz w:val="15"/>
              </w:rPr>
            </w:pPr>
          </w:p>
          <w:p>
            <w:pPr>
              <w:pStyle w:val="TableParagraph"/>
              <w:spacing w:line="316" w:lineRule="auto"/>
              <w:ind w:left="100" w:right="201"/>
              <w:jc w:val="both"/>
              <w:rPr>
                <w:sz w:val="22"/>
              </w:rPr>
            </w:pPr>
            <w:r>
              <w:rPr>
                <w:sz w:val="22"/>
              </w:rPr>
              <w:t>语言能力完全丧失，指无法发出四种语音（包括口唇音、齿舌音、口盖音和喉头音） 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794" w:type="dxa"/>
          </w:tcPr>
          <w:p>
            <w:pPr>
              <w:pStyle w:val="TableParagraph"/>
              <w:spacing w:before="6"/>
              <w:rPr>
                <w:sz w:val="15"/>
              </w:rPr>
            </w:pPr>
          </w:p>
          <w:p>
            <w:pPr>
              <w:pStyle w:val="TableParagraph"/>
              <w:ind w:left="180" w:right="130"/>
              <w:jc w:val="center"/>
              <w:rPr>
                <w:b/>
                <w:sz w:val="22"/>
              </w:rPr>
            </w:pPr>
            <w:r>
              <w:rPr>
                <w:b/>
                <w:sz w:val="22"/>
              </w:rPr>
              <w:t>9.22</w:t>
            </w:r>
          </w:p>
        </w:tc>
        <w:tc>
          <w:tcPr>
            <w:tcW w:w="1576" w:type="dxa"/>
          </w:tcPr>
          <w:p>
            <w:pPr>
              <w:pStyle w:val="TableParagraph"/>
              <w:spacing w:before="6"/>
              <w:rPr>
                <w:sz w:val="15"/>
              </w:rPr>
            </w:pPr>
          </w:p>
          <w:p>
            <w:pPr>
              <w:pStyle w:val="TableParagraph"/>
              <w:spacing w:line="316" w:lineRule="auto"/>
              <w:ind w:left="150" w:right="98"/>
              <w:rPr>
                <w:b/>
                <w:sz w:val="22"/>
              </w:rPr>
            </w:pPr>
            <w:r>
              <w:rPr>
                <w:b/>
                <w:sz w:val="22"/>
              </w:rPr>
              <w:t>六项基本日常</w:t>
            </w:r>
            <w:r>
              <w:rPr>
                <w:b/>
                <w:w w:val="95"/>
                <w:sz w:val="22"/>
              </w:rPr>
              <w:t>生活活动</w:t>
            </w:r>
          </w:p>
        </w:tc>
        <w:tc>
          <w:tcPr>
            <w:tcW w:w="8467" w:type="dxa"/>
          </w:tcPr>
          <w:p>
            <w:pPr>
              <w:pStyle w:val="TableParagraph"/>
              <w:spacing w:before="6"/>
              <w:rPr>
                <w:sz w:val="15"/>
              </w:rPr>
            </w:pPr>
          </w:p>
          <w:p>
            <w:pPr>
              <w:pStyle w:val="TableParagraph"/>
              <w:ind w:left="100"/>
              <w:rPr>
                <w:sz w:val="22"/>
              </w:rPr>
            </w:pPr>
            <w:r>
              <w:rPr>
                <w:sz w:val="22"/>
              </w:rPr>
              <w:t>六项基本日常生活活动是指：</w:t>
            </w:r>
          </w:p>
          <w:p>
            <w:pPr>
              <w:pStyle w:val="TableParagraph"/>
              <w:numPr>
                <w:ilvl w:val="0"/>
                <w:numId w:val="27"/>
              </w:numPr>
              <w:tabs>
                <w:tab w:pos="521" w:val="left" w:leader="none"/>
              </w:tabs>
              <w:spacing w:line="240" w:lineRule="auto" w:before="91" w:after="0"/>
              <w:ind w:left="520" w:right="0" w:hanging="420"/>
              <w:jc w:val="left"/>
              <w:rPr>
                <w:sz w:val="22"/>
              </w:rPr>
            </w:pPr>
            <w:r>
              <w:rPr>
                <w:spacing w:val="-3"/>
                <w:sz w:val="22"/>
              </w:rPr>
              <w:t>穿衣：自己能够穿衣及脱衣；</w:t>
            </w:r>
          </w:p>
          <w:p>
            <w:pPr>
              <w:pStyle w:val="TableParagraph"/>
              <w:numPr>
                <w:ilvl w:val="0"/>
                <w:numId w:val="27"/>
              </w:numPr>
              <w:tabs>
                <w:tab w:pos="521" w:val="left" w:leader="none"/>
              </w:tabs>
              <w:spacing w:line="240" w:lineRule="auto" w:before="94" w:after="0"/>
              <w:ind w:left="520" w:right="0" w:hanging="420"/>
              <w:jc w:val="left"/>
              <w:rPr>
                <w:sz w:val="22"/>
              </w:rPr>
            </w:pPr>
            <w:r>
              <w:rPr>
                <w:spacing w:val="-3"/>
                <w:sz w:val="22"/>
              </w:rPr>
              <w:t>移动：自己从一个房间到另一个房间；</w:t>
            </w:r>
          </w:p>
          <w:p>
            <w:pPr>
              <w:pStyle w:val="TableParagraph"/>
              <w:numPr>
                <w:ilvl w:val="0"/>
                <w:numId w:val="27"/>
              </w:numPr>
              <w:tabs>
                <w:tab w:pos="521" w:val="left" w:leader="none"/>
              </w:tabs>
              <w:spacing w:line="240" w:lineRule="auto" w:before="91" w:after="0"/>
              <w:ind w:left="520" w:right="0" w:hanging="420"/>
              <w:jc w:val="left"/>
              <w:rPr>
                <w:sz w:val="22"/>
              </w:rPr>
            </w:pPr>
            <w:r>
              <w:rPr>
                <w:spacing w:val="-3"/>
                <w:sz w:val="22"/>
              </w:rPr>
              <w:t>行动：自己上下床或上下轮椅；</w:t>
            </w:r>
          </w:p>
          <w:p>
            <w:pPr>
              <w:pStyle w:val="TableParagraph"/>
              <w:numPr>
                <w:ilvl w:val="0"/>
                <w:numId w:val="27"/>
              </w:numPr>
              <w:tabs>
                <w:tab w:pos="521" w:val="left" w:leader="none"/>
              </w:tabs>
              <w:spacing w:line="240" w:lineRule="auto" w:before="91" w:after="0"/>
              <w:ind w:left="520" w:right="0" w:hanging="420"/>
              <w:jc w:val="left"/>
              <w:rPr>
                <w:sz w:val="22"/>
              </w:rPr>
            </w:pPr>
            <w:r>
              <w:rPr>
                <w:spacing w:val="-3"/>
                <w:sz w:val="22"/>
              </w:rPr>
              <w:t>如厕：自己控制进行大小便；</w:t>
            </w:r>
          </w:p>
          <w:p>
            <w:pPr>
              <w:pStyle w:val="TableParagraph"/>
              <w:numPr>
                <w:ilvl w:val="0"/>
                <w:numId w:val="27"/>
              </w:numPr>
              <w:tabs>
                <w:tab w:pos="521" w:val="left" w:leader="none"/>
              </w:tabs>
              <w:spacing w:line="240" w:lineRule="auto" w:before="93" w:after="0"/>
              <w:ind w:left="520" w:right="0" w:hanging="420"/>
              <w:jc w:val="left"/>
              <w:rPr>
                <w:sz w:val="22"/>
              </w:rPr>
            </w:pPr>
            <w:r>
              <w:rPr>
                <w:spacing w:val="-3"/>
                <w:sz w:val="22"/>
              </w:rPr>
              <w:t>进食：自己从已准备好的碗或碟中取食物放入口中；</w:t>
            </w:r>
          </w:p>
          <w:p>
            <w:pPr>
              <w:pStyle w:val="TableParagraph"/>
              <w:numPr>
                <w:ilvl w:val="0"/>
                <w:numId w:val="27"/>
              </w:numPr>
              <w:tabs>
                <w:tab w:pos="521" w:val="left" w:leader="none"/>
              </w:tabs>
              <w:spacing w:line="240" w:lineRule="auto" w:before="91" w:after="0"/>
              <w:ind w:left="520" w:right="0" w:hanging="420"/>
              <w:jc w:val="left"/>
              <w:rPr>
                <w:sz w:val="22"/>
              </w:rPr>
            </w:pPr>
            <w:r>
              <w:rPr>
                <w:spacing w:val="-3"/>
                <w:sz w:val="22"/>
              </w:rPr>
              <w:t>洗澡：自己进行淋浴或盆浴。</w:t>
            </w:r>
          </w:p>
        </w:tc>
      </w:tr>
      <w:tr>
        <w:trPr>
          <w:trHeight w:val="870" w:hRule="atLeast"/>
        </w:trPr>
        <w:tc>
          <w:tcPr>
            <w:tcW w:w="794" w:type="dxa"/>
          </w:tcPr>
          <w:p>
            <w:pPr>
              <w:pStyle w:val="TableParagraph"/>
              <w:spacing w:before="6"/>
              <w:rPr>
                <w:sz w:val="15"/>
              </w:rPr>
            </w:pPr>
          </w:p>
          <w:p>
            <w:pPr>
              <w:pStyle w:val="TableParagraph"/>
              <w:ind w:left="180" w:right="130"/>
              <w:jc w:val="center"/>
              <w:rPr>
                <w:b/>
                <w:sz w:val="22"/>
              </w:rPr>
            </w:pPr>
            <w:r>
              <w:rPr>
                <w:b/>
                <w:sz w:val="22"/>
              </w:rPr>
              <w:t>9.23</w:t>
            </w:r>
          </w:p>
        </w:tc>
        <w:tc>
          <w:tcPr>
            <w:tcW w:w="1576" w:type="dxa"/>
          </w:tcPr>
          <w:p>
            <w:pPr>
              <w:pStyle w:val="TableParagraph"/>
              <w:spacing w:before="6"/>
              <w:rPr>
                <w:sz w:val="15"/>
              </w:rPr>
            </w:pPr>
          </w:p>
          <w:p>
            <w:pPr>
              <w:pStyle w:val="TableParagraph"/>
              <w:ind w:left="150"/>
              <w:rPr>
                <w:b/>
                <w:sz w:val="22"/>
              </w:rPr>
            </w:pPr>
            <w:r>
              <w:rPr>
                <w:b/>
                <w:w w:val="95"/>
                <w:sz w:val="22"/>
              </w:rPr>
              <w:t>永久不可逆</w:t>
            </w:r>
          </w:p>
        </w:tc>
        <w:tc>
          <w:tcPr>
            <w:tcW w:w="8467" w:type="dxa"/>
          </w:tcPr>
          <w:p>
            <w:pPr>
              <w:pStyle w:val="TableParagraph"/>
              <w:spacing w:line="380" w:lineRule="atLeast" w:before="110"/>
              <w:ind w:left="100" w:right="197"/>
              <w:rPr>
                <w:sz w:val="22"/>
              </w:rPr>
            </w:pPr>
            <w:r>
              <w:rPr>
                <w:spacing w:val="-4"/>
                <w:sz w:val="22"/>
              </w:rPr>
              <w:t>永久不可逆系指自疾病确诊或意外伤害发生之日起，经过积极治疗 </w:t>
            </w:r>
            <w:r>
              <w:rPr>
                <w:sz w:val="22"/>
              </w:rPr>
              <w:t>180</w:t>
            </w:r>
            <w:r>
              <w:rPr>
                <w:spacing w:val="-6"/>
                <w:sz w:val="22"/>
              </w:rPr>
              <w:t> 天后，仍无法</w:t>
            </w:r>
            <w:r>
              <w:rPr>
                <w:spacing w:val="-5"/>
                <w:sz w:val="22"/>
              </w:rPr>
              <w:t>通过现有医疗手段恢复。</w:t>
            </w:r>
          </w:p>
        </w:tc>
      </w:tr>
    </w:tbl>
    <w:sectPr>
      <w:pgSz w:w="11910" w:h="16840"/>
      <w:pgMar w:header="426" w:footer="309" w:top="620" w:bottom="500" w:left="4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369995pt;margin-top:815.46051pt;width:25.95pt;height:13.05pt;mso-position-horizontal-relative:page;mso-position-vertical-relative:page;z-index:-37672"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r>
                  <w:rPr>
                    <w:rFonts w:ascii="Times New Roman"/>
                    <w:sz w:val="20"/>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1.599998pt;margin-top:20.320608pt;width:206.55pt;height:12pt;mso-position-horizontal-relative:page;mso-position-vertical-relative:page;z-index:-37720" type="#_x0000_t202" filled="false" stroked="false">
          <v:textbox inset="0,0,0,0">
            <w:txbxContent>
              <w:p>
                <w:pPr>
                  <w:spacing w:line="219" w:lineRule="exact" w:before="0"/>
                  <w:ind w:left="20" w:right="0" w:firstLine="0"/>
                  <w:jc w:val="left"/>
                  <w:rPr>
                    <w:sz w:val="20"/>
                  </w:rPr>
                </w:pPr>
                <w:r>
                  <w:rPr>
                    <w:sz w:val="20"/>
                  </w:rPr>
                  <w:t>君龙附加晶彩安康提前给付重大疾病保险条款</w:t>
                </w:r>
              </w:p>
            </w:txbxContent>
          </v:textbox>
          <w10:wrap type="none"/>
        </v:shape>
      </w:pict>
    </w:r>
    <w:r>
      <w:rPr/>
      <w:pict>
        <v:shape style="position:absolute;margin-left:449.910004pt;margin-top:20.320608pt;width:104pt;height:12pt;mso-position-horizontal-relative:page;mso-position-vertical-relative:page;z-index:-37696"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648" from="42.599998pt,31.559982pt" to="552.939998pt,31.559982pt" stroked="true" strokeweight=".48pt" strokecolor="#000000">
          <v:stroke dashstyle="solid"/>
          <w10:wrap type="none"/>
        </v:line>
      </w:pict>
    </w:r>
    <w:r>
      <w:rPr/>
      <w:pict>
        <v:shape style="position:absolute;margin-left:41.599998pt;margin-top:20.320608pt;width:206.55pt;height:12pt;mso-position-horizontal-relative:page;mso-position-vertical-relative:page;z-index:-37624" type="#_x0000_t202" filled="false" stroked="false">
          <v:textbox inset="0,0,0,0">
            <w:txbxContent>
              <w:p>
                <w:pPr>
                  <w:spacing w:line="219" w:lineRule="exact" w:before="0"/>
                  <w:ind w:left="20" w:right="0" w:firstLine="0"/>
                  <w:jc w:val="left"/>
                  <w:rPr>
                    <w:sz w:val="20"/>
                  </w:rPr>
                </w:pPr>
                <w:r>
                  <w:rPr>
                    <w:sz w:val="20"/>
                  </w:rPr>
                  <w:t>君龙附加晶彩安康提前给付重大疾病保险条款</w:t>
                </w:r>
              </w:p>
            </w:txbxContent>
          </v:textbox>
          <w10:wrap type="none"/>
        </v:shape>
      </w:pict>
    </w:r>
    <w:r>
      <w:rPr/>
      <w:pict>
        <v:shape style="position:absolute;margin-left:449.910004pt;margin-top:20.320608pt;width:104pt;height:12pt;mso-position-horizontal-relative:page;mso-position-vertical-relative:page;z-index:-37600"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99998pt;margin-top:20.320608pt;width:206.55pt;height:12pt;mso-position-horizontal-relative:page;mso-position-vertical-relative:page;z-index:-37576" type="#_x0000_t202" filled="false" stroked="false">
          <v:textbox inset="0,0,0,0">
            <w:txbxContent>
              <w:p>
                <w:pPr>
                  <w:spacing w:line="219" w:lineRule="exact" w:before="0"/>
                  <w:ind w:left="20" w:right="0" w:firstLine="0"/>
                  <w:jc w:val="left"/>
                  <w:rPr>
                    <w:sz w:val="20"/>
                  </w:rPr>
                </w:pPr>
                <w:r>
                  <w:rPr>
                    <w:sz w:val="20"/>
                  </w:rPr>
                  <w:t>君龙附加晶彩安康提前给付重大疾病保险条款</w:t>
                </w:r>
              </w:p>
            </w:txbxContent>
          </v:textbox>
          <w10:wrap type="none"/>
        </v:shape>
      </w:pict>
    </w:r>
    <w:r>
      <w:rPr/>
      <w:pict>
        <v:shape style="position:absolute;margin-left:449.910004pt;margin-top:20.320608pt;width:104pt;height:12pt;mso-position-horizontal-relative:page;mso-position-vertical-relative:page;z-index:-37552"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528" from="42.599998pt,31.559982pt" to="552.939998pt,31.559982pt" stroked="true" strokeweight=".48pt" strokecolor="#000000">
          <v:stroke dashstyle="solid"/>
          <w10:wrap type="none"/>
        </v:line>
      </w:pict>
    </w:r>
    <w:r>
      <w:rPr/>
      <w:pict>
        <v:shape style="position:absolute;margin-left:41.599998pt;margin-top:20.320608pt;width:206.55pt;height:12pt;mso-position-horizontal-relative:page;mso-position-vertical-relative:page;z-index:-37504" type="#_x0000_t202" filled="false" stroked="false">
          <v:textbox inset="0,0,0,0">
            <w:txbxContent>
              <w:p>
                <w:pPr>
                  <w:spacing w:line="219" w:lineRule="exact" w:before="0"/>
                  <w:ind w:left="20" w:right="0" w:firstLine="0"/>
                  <w:jc w:val="left"/>
                  <w:rPr>
                    <w:sz w:val="20"/>
                  </w:rPr>
                </w:pPr>
                <w:r>
                  <w:rPr>
                    <w:sz w:val="20"/>
                  </w:rPr>
                  <w:t>君龙附加晶彩安康提前给付重大疾病保险条款</w:t>
                </w:r>
              </w:p>
            </w:txbxContent>
          </v:textbox>
          <w10:wrap type="none"/>
        </v:shape>
      </w:pict>
    </w:r>
    <w:r>
      <w:rPr/>
      <w:pict>
        <v:shape style="position:absolute;margin-left:449.910004pt;margin-top:20.320608pt;width:104pt;height:12pt;mso-position-horizontal-relative:page;mso-position-vertical-relative:page;z-index:-37480"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99998pt;margin-top:20.320608pt;width:206.55pt;height:12pt;mso-position-horizontal-relative:page;mso-position-vertical-relative:page;z-index:-37456" type="#_x0000_t202" filled="false" stroked="false">
          <v:textbox inset="0,0,0,0">
            <w:txbxContent>
              <w:p>
                <w:pPr>
                  <w:spacing w:line="219" w:lineRule="exact" w:before="0"/>
                  <w:ind w:left="20" w:right="0" w:firstLine="0"/>
                  <w:jc w:val="left"/>
                  <w:rPr>
                    <w:sz w:val="20"/>
                  </w:rPr>
                </w:pPr>
                <w:r>
                  <w:rPr>
                    <w:sz w:val="20"/>
                  </w:rPr>
                  <w:t>君龙附加晶彩安康提前给付重大疾病保险条款</w:t>
                </w:r>
              </w:p>
            </w:txbxContent>
          </v:textbox>
          <w10:wrap type="none"/>
        </v:shape>
      </w:pict>
    </w:r>
    <w:r>
      <w:rPr/>
      <w:pict>
        <v:shape style="position:absolute;margin-left:449.910004pt;margin-top:20.320608pt;width:104pt;height:12pt;mso-position-horizontal-relative:page;mso-position-vertical-relative:page;z-index:-37432"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520" w:hanging="420"/>
        <w:jc w:val="left"/>
      </w:pPr>
      <w:rPr>
        <w:rFonts w:hint="default" w:ascii="宋体" w:hAnsi="宋体" w:eastAsia="宋体" w:cs="宋体"/>
        <w:w w:val="100"/>
        <w:sz w:val="22"/>
        <w:szCs w:val="22"/>
      </w:rPr>
    </w:lvl>
    <w:lvl w:ilvl="1">
      <w:start w:val="0"/>
      <w:numFmt w:val="bullet"/>
      <w:lvlText w:val="•"/>
      <w:lvlJc w:val="left"/>
      <w:pPr>
        <w:ind w:left="1314" w:hanging="420"/>
      </w:pPr>
      <w:rPr>
        <w:rFonts w:hint="default"/>
      </w:rPr>
    </w:lvl>
    <w:lvl w:ilvl="2">
      <w:start w:val="0"/>
      <w:numFmt w:val="bullet"/>
      <w:lvlText w:val="•"/>
      <w:lvlJc w:val="left"/>
      <w:pPr>
        <w:ind w:left="2109" w:hanging="420"/>
      </w:pPr>
      <w:rPr>
        <w:rFonts w:hint="default"/>
      </w:rPr>
    </w:lvl>
    <w:lvl w:ilvl="3">
      <w:start w:val="0"/>
      <w:numFmt w:val="bullet"/>
      <w:lvlText w:val="•"/>
      <w:lvlJc w:val="left"/>
      <w:pPr>
        <w:ind w:left="2904" w:hanging="420"/>
      </w:pPr>
      <w:rPr>
        <w:rFonts w:hint="default"/>
      </w:rPr>
    </w:lvl>
    <w:lvl w:ilvl="4">
      <w:start w:val="0"/>
      <w:numFmt w:val="bullet"/>
      <w:lvlText w:val="•"/>
      <w:lvlJc w:val="left"/>
      <w:pPr>
        <w:ind w:left="3698" w:hanging="420"/>
      </w:pPr>
      <w:rPr>
        <w:rFonts w:hint="default"/>
      </w:rPr>
    </w:lvl>
    <w:lvl w:ilvl="5">
      <w:start w:val="0"/>
      <w:numFmt w:val="bullet"/>
      <w:lvlText w:val="•"/>
      <w:lvlJc w:val="left"/>
      <w:pPr>
        <w:ind w:left="4493" w:hanging="420"/>
      </w:pPr>
      <w:rPr>
        <w:rFonts w:hint="default"/>
      </w:rPr>
    </w:lvl>
    <w:lvl w:ilvl="6">
      <w:start w:val="0"/>
      <w:numFmt w:val="bullet"/>
      <w:lvlText w:val="•"/>
      <w:lvlJc w:val="left"/>
      <w:pPr>
        <w:ind w:left="5288" w:hanging="420"/>
      </w:pPr>
      <w:rPr>
        <w:rFonts w:hint="default"/>
      </w:rPr>
    </w:lvl>
    <w:lvl w:ilvl="7">
      <w:start w:val="0"/>
      <w:numFmt w:val="bullet"/>
      <w:lvlText w:val="•"/>
      <w:lvlJc w:val="left"/>
      <w:pPr>
        <w:ind w:left="6082" w:hanging="420"/>
      </w:pPr>
      <w:rPr>
        <w:rFonts w:hint="default"/>
      </w:rPr>
    </w:lvl>
    <w:lvl w:ilvl="8">
      <w:start w:val="0"/>
      <w:numFmt w:val="bullet"/>
      <w:lvlText w:val="•"/>
      <w:lvlJc w:val="left"/>
      <w:pPr>
        <w:ind w:left="6877" w:hanging="420"/>
      </w:pPr>
      <w:rPr>
        <w:rFonts w:hint="default"/>
      </w:rPr>
    </w:lvl>
  </w:abstractNum>
  <w:abstractNum w:abstractNumId="25">
    <w:multiLevelType w:val="hybridMultilevel"/>
    <w:lvl w:ilvl="0">
      <w:start w:val="1"/>
      <w:numFmt w:val="decimal"/>
      <w:lvlText w:val="(%1)"/>
      <w:lvlJc w:val="left"/>
      <w:pPr>
        <w:ind w:left="460" w:hanging="360"/>
        <w:jc w:val="left"/>
      </w:pPr>
      <w:rPr>
        <w:rFonts w:hint="default" w:ascii="宋体" w:hAnsi="宋体" w:eastAsia="宋体" w:cs="宋体"/>
        <w:w w:val="100"/>
        <w:sz w:val="22"/>
        <w:szCs w:val="22"/>
      </w:rPr>
    </w:lvl>
    <w:lvl w:ilvl="1">
      <w:start w:val="0"/>
      <w:numFmt w:val="bullet"/>
      <w:lvlText w:val="•"/>
      <w:lvlJc w:val="left"/>
      <w:pPr>
        <w:ind w:left="1262" w:hanging="360"/>
      </w:pPr>
      <w:rPr>
        <w:rFonts w:hint="default"/>
      </w:rPr>
    </w:lvl>
    <w:lvl w:ilvl="2">
      <w:start w:val="0"/>
      <w:numFmt w:val="bullet"/>
      <w:lvlText w:val="•"/>
      <w:lvlJc w:val="left"/>
      <w:pPr>
        <w:ind w:left="2064" w:hanging="360"/>
      </w:pPr>
      <w:rPr>
        <w:rFonts w:hint="default"/>
      </w:rPr>
    </w:lvl>
    <w:lvl w:ilvl="3">
      <w:start w:val="0"/>
      <w:numFmt w:val="bullet"/>
      <w:lvlText w:val="•"/>
      <w:lvlJc w:val="left"/>
      <w:pPr>
        <w:ind w:left="2866" w:hanging="360"/>
      </w:pPr>
      <w:rPr>
        <w:rFonts w:hint="default"/>
      </w:rPr>
    </w:lvl>
    <w:lvl w:ilvl="4">
      <w:start w:val="0"/>
      <w:numFmt w:val="bullet"/>
      <w:lvlText w:val="•"/>
      <w:lvlJc w:val="left"/>
      <w:pPr>
        <w:ind w:left="3669" w:hanging="360"/>
      </w:pPr>
      <w:rPr>
        <w:rFonts w:hint="default"/>
      </w:rPr>
    </w:lvl>
    <w:lvl w:ilvl="5">
      <w:start w:val="0"/>
      <w:numFmt w:val="bullet"/>
      <w:lvlText w:val="•"/>
      <w:lvlJc w:val="left"/>
      <w:pPr>
        <w:ind w:left="4471" w:hanging="360"/>
      </w:pPr>
      <w:rPr>
        <w:rFonts w:hint="default"/>
      </w:rPr>
    </w:lvl>
    <w:lvl w:ilvl="6">
      <w:start w:val="0"/>
      <w:numFmt w:val="bullet"/>
      <w:lvlText w:val="•"/>
      <w:lvlJc w:val="left"/>
      <w:pPr>
        <w:ind w:left="5273" w:hanging="360"/>
      </w:pPr>
      <w:rPr>
        <w:rFonts w:hint="default"/>
      </w:rPr>
    </w:lvl>
    <w:lvl w:ilvl="7">
      <w:start w:val="0"/>
      <w:numFmt w:val="bullet"/>
      <w:lvlText w:val="•"/>
      <w:lvlJc w:val="left"/>
      <w:pPr>
        <w:ind w:left="6076" w:hanging="360"/>
      </w:pPr>
      <w:rPr>
        <w:rFonts w:hint="default"/>
      </w:rPr>
    </w:lvl>
    <w:lvl w:ilvl="8">
      <w:start w:val="0"/>
      <w:numFmt w:val="bullet"/>
      <w:lvlText w:val="•"/>
      <w:lvlJc w:val="left"/>
      <w:pPr>
        <w:ind w:left="6878" w:hanging="360"/>
      </w:pPr>
      <w:rPr>
        <w:rFonts w:hint="default"/>
      </w:rPr>
    </w:lvl>
  </w:abstractNum>
  <w:abstractNum w:abstractNumId="24">
    <w:multiLevelType w:val="hybridMultilevel"/>
    <w:lvl w:ilvl="0">
      <w:start w:val="1"/>
      <w:numFmt w:val="decimal"/>
      <w:lvlText w:val="(%1)"/>
      <w:lvlJc w:val="left"/>
      <w:pPr>
        <w:ind w:left="460" w:hanging="360"/>
        <w:jc w:val="left"/>
      </w:pPr>
      <w:rPr>
        <w:rFonts w:hint="default" w:ascii="宋体" w:hAnsi="宋体" w:eastAsia="宋体" w:cs="宋体"/>
        <w:w w:val="100"/>
        <w:sz w:val="22"/>
        <w:szCs w:val="22"/>
      </w:rPr>
    </w:lvl>
    <w:lvl w:ilvl="1">
      <w:start w:val="0"/>
      <w:numFmt w:val="bullet"/>
      <w:lvlText w:val="•"/>
      <w:lvlJc w:val="left"/>
      <w:pPr>
        <w:ind w:left="1262" w:hanging="360"/>
      </w:pPr>
      <w:rPr>
        <w:rFonts w:hint="default"/>
      </w:rPr>
    </w:lvl>
    <w:lvl w:ilvl="2">
      <w:start w:val="0"/>
      <w:numFmt w:val="bullet"/>
      <w:lvlText w:val="•"/>
      <w:lvlJc w:val="left"/>
      <w:pPr>
        <w:ind w:left="2064" w:hanging="360"/>
      </w:pPr>
      <w:rPr>
        <w:rFonts w:hint="default"/>
      </w:rPr>
    </w:lvl>
    <w:lvl w:ilvl="3">
      <w:start w:val="0"/>
      <w:numFmt w:val="bullet"/>
      <w:lvlText w:val="•"/>
      <w:lvlJc w:val="left"/>
      <w:pPr>
        <w:ind w:left="2866" w:hanging="360"/>
      </w:pPr>
      <w:rPr>
        <w:rFonts w:hint="default"/>
      </w:rPr>
    </w:lvl>
    <w:lvl w:ilvl="4">
      <w:start w:val="0"/>
      <w:numFmt w:val="bullet"/>
      <w:lvlText w:val="•"/>
      <w:lvlJc w:val="left"/>
      <w:pPr>
        <w:ind w:left="3669" w:hanging="360"/>
      </w:pPr>
      <w:rPr>
        <w:rFonts w:hint="default"/>
      </w:rPr>
    </w:lvl>
    <w:lvl w:ilvl="5">
      <w:start w:val="0"/>
      <w:numFmt w:val="bullet"/>
      <w:lvlText w:val="•"/>
      <w:lvlJc w:val="left"/>
      <w:pPr>
        <w:ind w:left="4471" w:hanging="360"/>
      </w:pPr>
      <w:rPr>
        <w:rFonts w:hint="default"/>
      </w:rPr>
    </w:lvl>
    <w:lvl w:ilvl="6">
      <w:start w:val="0"/>
      <w:numFmt w:val="bullet"/>
      <w:lvlText w:val="•"/>
      <w:lvlJc w:val="left"/>
      <w:pPr>
        <w:ind w:left="5273" w:hanging="360"/>
      </w:pPr>
      <w:rPr>
        <w:rFonts w:hint="default"/>
      </w:rPr>
    </w:lvl>
    <w:lvl w:ilvl="7">
      <w:start w:val="0"/>
      <w:numFmt w:val="bullet"/>
      <w:lvlText w:val="•"/>
      <w:lvlJc w:val="left"/>
      <w:pPr>
        <w:ind w:left="6076" w:hanging="360"/>
      </w:pPr>
      <w:rPr>
        <w:rFonts w:hint="default"/>
      </w:rPr>
    </w:lvl>
    <w:lvl w:ilvl="8">
      <w:start w:val="0"/>
      <w:numFmt w:val="bullet"/>
      <w:lvlText w:val="•"/>
      <w:lvlJc w:val="left"/>
      <w:pPr>
        <w:ind w:left="6878" w:hanging="360"/>
      </w:pPr>
      <w:rPr>
        <w:rFonts w:hint="default"/>
      </w:rPr>
    </w:lvl>
  </w:abstractNum>
  <w:abstractNum w:abstractNumId="23">
    <w:multiLevelType w:val="hybridMultilevel"/>
    <w:lvl w:ilvl="0">
      <w:start w:val="2"/>
      <w:numFmt w:val="decimal"/>
      <w:lvlText w:val="(%1)"/>
      <w:lvlJc w:val="left"/>
      <w:pPr>
        <w:ind w:left="520" w:hanging="420"/>
        <w:jc w:val="left"/>
      </w:pPr>
      <w:rPr>
        <w:rFonts w:hint="default" w:ascii="宋体" w:hAnsi="宋体" w:eastAsia="宋体" w:cs="宋体"/>
        <w:spacing w:val="-3"/>
        <w:w w:val="100"/>
        <w:sz w:val="22"/>
        <w:szCs w:val="22"/>
      </w:rPr>
    </w:lvl>
    <w:lvl w:ilvl="1">
      <w:start w:val="0"/>
      <w:numFmt w:val="bullet"/>
      <w:lvlText w:val="•"/>
      <w:lvlJc w:val="left"/>
      <w:pPr>
        <w:ind w:left="1316" w:hanging="420"/>
      </w:pPr>
      <w:rPr>
        <w:rFonts w:hint="default"/>
      </w:rPr>
    </w:lvl>
    <w:lvl w:ilvl="2">
      <w:start w:val="0"/>
      <w:numFmt w:val="bullet"/>
      <w:lvlText w:val="•"/>
      <w:lvlJc w:val="left"/>
      <w:pPr>
        <w:ind w:left="2112" w:hanging="420"/>
      </w:pPr>
      <w:rPr>
        <w:rFonts w:hint="default"/>
      </w:rPr>
    </w:lvl>
    <w:lvl w:ilvl="3">
      <w:start w:val="0"/>
      <w:numFmt w:val="bullet"/>
      <w:lvlText w:val="•"/>
      <w:lvlJc w:val="left"/>
      <w:pPr>
        <w:ind w:left="2908" w:hanging="420"/>
      </w:pPr>
      <w:rPr>
        <w:rFonts w:hint="default"/>
      </w:rPr>
    </w:lvl>
    <w:lvl w:ilvl="4">
      <w:start w:val="0"/>
      <w:numFmt w:val="bullet"/>
      <w:lvlText w:val="•"/>
      <w:lvlJc w:val="left"/>
      <w:pPr>
        <w:ind w:left="3705" w:hanging="420"/>
      </w:pPr>
      <w:rPr>
        <w:rFonts w:hint="default"/>
      </w:rPr>
    </w:lvl>
    <w:lvl w:ilvl="5">
      <w:start w:val="0"/>
      <w:numFmt w:val="bullet"/>
      <w:lvlText w:val="•"/>
      <w:lvlJc w:val="left"/>
      <w:pPr>
        <w:ind w:left="4501" w:hanging="420"/>
      </w:pPr>
      <w:rPr>
        <w:rFonts w:hint="default"/>
      </w:rPr>
    </w:lvl>
    <w:lvl w:ilvl="6">
      <w:start w:val="0"/>
      <w:numFmt w:val="bullet"/>
      <w:lvlText w:val="•"/>
      <w:lvlJc w:val="left"/>
      <w:pPr>
        <w:ind w:left="5297" w:hanging="420"/>
      </w:pPr>
      <w:rPr>
        <w:rFonts w:hint="default"/>
      </w:rPr>
    </w:lvl>
    <w:lvl w:ilvl="7">
      <w:start w:val="0"/>
      <w:numFmt w:val="bullet"/>
      <w:lvlText w:val="•"/>
      <w:lvlJc w:val="left"/>
      <w:pPr>
        <w:ind w:left="6094" w:hanging="420"/>
      </w:pPr>
      <w:rPr>
        <w:rFonts w:hint="default"/>
      </w:rPr>
    </w:lvl>
    <w:lvl w:ilvl="8">
      <w:start w:val="0"/>
      <w:numFmt w:val="bullet"/>
      <w:lvlText w:val="•"/>
      <w:lvlJc w:val="left"/>
      <w:pPr>
        <w:ind w:left="6890" w:hanging="420"/>
      </w:pPr>
      <w:rPr>
        <w:rFonts w:hint="default"/>
      </w:rPr>
    </w:lvl>
  </w:abstractNum>
  <w:abstractNum w:abstractNumId="22">
    <w:multiLevelType w:val="hybridMultilevel"/>
    <w:lvl w:ilvl="0">
      <w:start w:val="9"/>
      <w:numFmt w:val="decimal"/>
      <w:lvlText w:val="%1"/>
      <w:lvlJc w:val="left"/>
      <w:pPr>
        <w:ind w:left="2387" w:hanging="745"/>
        <w:jc w:val="left"/>
      </w:pPr>
      <w:rPr>
        <w:rFonts w:hint="default"/>
      </w:rPr>
    </w:lvl>
    <w:lvl w:ilvl="1">
      <w:start w:val="5"/>
      <w:numFmt w:val="decimal"/>
      <w:lvlText w:val="%1.%2"/>
      <w:lvlJc w:val="left"/>
      <w:pPr>
        <w:ind w:left="2387" w:hanging="745"/>
        <w:jc w:val="left"/>
      </w:pPr>
      <w:rPr>
        <w:rFonts w:hint="default" w:ascii="宋体" w:hAnsi="宋体" w:eastAsia="宋体" w:cs="宋体"/>
        <w:b/>
        <w:bCs/>
        <w:w w:val="99"/>
        <w:sz w:val="22"/>
        <w:szCs w:val="22"/>
      </w:rPr>
    </w:lvl>
    <w:lvl w:ilvl="2">
      <w:start w:val="1"/>
      <w:numFmt w:val="decimal"/>
      <w:lvlText w:val="(%3)"/>
      <w:lvlJc w:val="left"/>
      <w:pPr>
        <w:ind w:left="2807" w:hanging="420"/>
        <w:jc w:val="left"/>
      </w:pPr>
      <w:rPr>
        <w:rFonts w:hint="default" w:ascii="宋体" w:hAnsi="宋体" w:eastAsia="宋体" w:cs="宋体"/>
        <w:w w:val="100"/>
        <w:sz w:val="22"/>
        <w:szCs w:val="22"/>
      </w:rPr>
    </w:lvl>
    <w:lvl w:ilvl="3">
      <w:start w:val="0"/>
      <w:numFmt w:val="bullet"/>
      <w:lvlText w:val="•"/>
      <w:lvlJc w:val="left"/>
      <w:pPr>
        <w:ind w:left="4548"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296" w:hanging="420"/>
      </w:pPr>
      <w:rPr>
        <w:rFonts w:hint="default"/>
      </w:rPr>
    </w:lvl>
    <w:lvl w:ilvl="6">
      <w:start w:val="0"/>
      <w:numFmt w:val="bullet"/>
      <w:lvlText w:val="•"/>
      <w:lvlJc w:val="left"/>
      <w:pPr>
        <w:ind w:left="7170" w:hanging="420"/>
      </w:pPr>
      <w:rPr>
        <w:rFonts w:hint="default"/>
      </w:rPr>
    </w:lvl>
    <w:lvl w:ilvl="7">
      <w:start w:val="0"/>
      <w:numFmt w:val="bullet"/>
      <w:lvlText w:val="•"/>
      <w:lvlJc w:val="left"/>
      <w:pPr>
        <w:ind w:left="8044" w:hanging="420"/>
      </w:pPr>
      <w:rPr>
        <w:rFonts w:hint="default"/>
      </w:rPr>
    </w:lvl>
    <w:lvl w:ilvl="8">
      <w:start w:val="0"/>
      <w:numFmt w:val="bullet"/>
      <w:lvlText w:val="•"/>
      <w:lvlJc w:val="left"/>
      <w:pPr>
        <w:ind w:left="8918" w:hanging="420"/>
      </w:pPr>
      <w:rPr>
        <w:rFonts w:hint="default"/>
      </w:rPr>
    </w:lvl>
  </w:abstractNum>
  <w:abstractNum w:abstractNumId="21">
    <w:multiLevelType w:val="hybridMultilevel"/>
    <w:lvl w:ilvl="0">
      <w:start w:val="1"/>
      <w:numFmt w:val="decimal"/>
      <w:lvlText w:val="(%1)"/>
      <w:lvlJc w:val="left"/>
      <w:pPr>
        <w:ind w:left="460" w:hanging="360"/>
        <w:jc w:val="left"/>
      </w:pPr>
      <w:rPr>
        <w:rFonts w:hint="default" w:ascii="宋体" w:hAnsi="宋体" w:eastAsia="宋体" w:cs="宋体"/>
        <w:w w:val="100"/>
        <w:sz w:val="22"/>
        <w:szCs w:val="22"/>
      </w:rPr>
    </w:lvl>
    <w:lvl w:ilvl="1">
      <w:start w:val="0"/>
      <w:numFmt w:val="bullet"/>
      <w:lvlText w:val="•"/>
      <w:lvlJc w:val="left"/>
      <w:pPr>
        <w:ind w:left="1261" w:hanging="360"/>
      </w:pPr>
      <w:rPr>
        <w:rFonts w:hint="default"/>
      </w:rPr>
    </w:lvl>
    <w:lvl w:ilvl="2">
      <w:start w:val="0"/>
      <w:numFmt w:val="bullet"/>
      <w:lvlText w:val="•"/>
      <w:lvlJc w:val="left"/>
      <w:pPr>
        <w:ind w:left="2062" w:hanging="360"/>
      </w:pPr>
      <w:rPr>
        <w:rFonts w:hint="default"/>
      </w:rPr>
    </w:lvl>
    <w:lvl w:ilvl="3">
      <w:start w:val="0"/>
      <w:numFmt w:val="bullet"/>
      <w:lvlText w:val="•"/>
      <w:lvlJc w:val="left"/>
      <w:pPr>
        <w:ind w:left="2863" w:hanging="360"/>
      </w:pPr>
      <w:rPr>
        <w:rFonts w:hint="default"/>
      </w:rPr>
    </w:lvl>
    <w:lvl w:ilvl="4">
      <w:start w:val="0"/>
      <w:numFmt w:val="bullet"/>
      <w:lvlText w:val="•"/>
      <w:lvlJc w:val="left"/>
      <w:pPr>
        <w:ind w:left="3664" w:hanging="360"/>
      </w:pPr>
      <w:rPr>
        <w:rFonts w:hint="default"/>
      </w:rPr>
    </w:lvl>
    <w:lvl w:ilvl="5">
      <w:start w:val="0"/>
      <w:numFmt w:val="bullet"/>
      <w:lvlText w:val="•"/>
      <w:lvlJc w:val="left"/>
      <w:pPr>
        <w:ind w:left="4465" w:hanging="360"/>
      </w:pPr>
      <w:rPr>
        <w:rFonts w:hint="default"/>
      </w:rPr>
    </w:lvl>
    <w:lvl w:ilvl="6">
      <w:start w:val="0"/>
      <w:numFmt w:val="bullet"/>
      <w:lvlText w:val="•"/>
      <w:lvlJc w:val="left"/>
      <w:pPr>
        <w:ind w:left="5266" w:hanging="360"/>
      </w:pPr>
      <w:rPr>
        <w:rFonts w:hint="default"/>
      </w:rPr>
    </w:lvl>
    <w:lvl w:ilvl="7">
      <w:start w:val="0"/>
      <w:numFmt w:val="bullet"/>
      <w:lvlText w:val="•"/>
      <w:lvlJc w:val="left"/>
      <w:pPr>
        <w:ind w:left="6067" w:hanging="360"/>
      </w:pPr>
      <w:rPr>
        <w:rFonts w:hint="default"/>
      </w:rPr>
    </w:lvl>
    <w:lvl w:ilvl="8">
      <w:start w:val="0"/>
      <w:numFmt w:val="bullet"/>
      <w:lvlText w:val="•"/>
      <w:lvlJc w:val="left"/>
      <w:pPr>
        <w:ind w:left="6868" w:hanging="360"/>
      </w:pPr>
      <w:rPr>
        <w:rFonts w:hint="default"/>
      </w:rPr>
    </w:lvl>
  </w:abstractNum>
  <w:abstractNum w:abstractNumId="20">
    <w:multiLevelType w:val="hybridMultilevel"/>
    <w:lvl w:ilvl="0">
      <w:start w:val="1"/>
      <w:numFmt w:val="decimal"/>
      <w:lvlText w:val="(%1)"/>
      <w:lvlJc w:val="left"/>
      <w:pPr>
        <w:ind w:left="460" w:hanging="360"/>
        <w:jc w:val="left"/>
      </w:pPr>
      <w:rPr>
        <w:rFonts w:hint="default" w:ascii="宋体" w:hAnsi="宋体" w:eastAsia="宋体" w:cs="宋体"/>
        <w:w w:val="100"/>
        <w:sz w:val="22"/>
        <w:szCs w:val="22"/>
      </w:rPr>
    </w:lvl>
    <w:lvl w:ilvl="1">
      <w:start w:val="0"/>
      <w:numFmt w:val="bullet"/>
      <w:lvlText w:val="•"/>
      <w:lvlJc w:val="left"/>
      <w:pPr>
        <w:ind w:left="1261" w:hanging="360"/>
      </w:pPr>
      <w:rPr>
        <w:rFonts w:hint="default"/>
      </w:rPr>
    </w:lvl>
    <w:lvl w:ilvl="2">
      <w:start w:val="0"/>
      <w:numFmt w:val="bullet"/>
      <w:lvlText w:val="•"/>
      <w:lvlJc w:val="left"/>
      <w:pPr>
        <w:ind w:left="2062" w:hanging="360"/>
      </w:pPr>
      <w:rPr>
        <w:rFonts w:hint="default"/>
      </w:rPr>
    </w:lvl>
    <w:lvl w:ilvl="3">
      <w:start w:val="0"/>
      <w:numFmt w:val="bullet"/>
      <w:lvlText w:val="•"/>
      <w:lvlJc w:val="left"/>
      <w:pPr>
        <w:ind w:left="2863" w:hanging="360"/>
      </w:pPr>
      <w:rPr>
        <w:rFonts w:hint="default"/>
      </w:rPr>
    </w:lvl>
    <w:lvl w:ilvl="4">
      <w:start w:val="0"/>
      <w:numFmt w:val="bullet"/>
      <w:lvlText w:val="•"/>
      <w:lvlJc w:val="left"/>
      <w:pPr>
        <w:ind w:left="3664" w:hanging="360"/>
      </w:pPr>
      <w:rPr>
        <w:rFonts w:hint="default"/>
      </w:rPr>
    </w:lvl>
    <w:lvl w:ilvl="5">
      <w:start w:val="0"/>
      <w:numFmt w:val="bullet"/>
      <w:lvlText w:val="•"/>
      <w:lvlJc w:val="left"/>
      <w:pPr>
        <w:ind w:left="4465" w:hanging="360"/>
      </w:pPr>
      <w:rPr>
        <w:rFonts w:hint="default"/>
      </w:rPr>
    </w:lvl>
    <w:lvl w:ilvl="6">
      <w:start w:val="0"/>
      <w:numFmt w:val="bullet"/>
      <w:lvlText w:val="•"/>
      <w:lvlJc w:val="left"/>
      <w:pPr>
        <w:ind w:left="5266" w:hanging="360"/>
      </w:pPr>
      <w:rPr>
        <w:rFonts w:hint="default"/>
      </w:rPr>
    </w:lvl>
    <w:lvl w:ilvl="7">
      <w:start w:val="0"/>
      <w:numFmt w:val="bullet"/>
      <w:lvlText w:val="•"/>
      <w:lvlJc w:val="left"/>
      <w:pPr>
        <w:ind w:left="6067" w:hanging="360"/>
      </w:pPr>
      <w:rPr>
        <w:rFonts w:hint="default"/>
      </w:rPr>
    </w:lvl>
    <w:lvl w:ilvl="8">
      <w:start w:val="0"/>
      <w:numFmt w:val="bullet"/>
      <w:lvlText w:val="•"/>
      <w:lvlJc w:val="left"/>
      <w:pPr>
        <w:ind w:left="6868" w:hanging="360"/>
      </w:pPr>
      <w:rPr>
        <w:rFonts w:hint="default"/>
      </w:rPr>
    </w:lvl>
  </w:abstractNum>
  <w:abstractNum w:abstractNumId="19">
    <w:multiLevelType w:val="hybridMultilevel"/>
    <w:lvl w:ilvl="0">
      <w:start w:val="1"/>
      <w:numFmt w:val="decimal"/>
      <w:lvlText w:val="(%1)"/>
      <w:lvlJc w:val="left"/>
      <w:pPr>
        <w:ind w:left="460" w:hanging="360"/>
        <w:jc w:val="left"/>
      </w:pPr>
      <w:rPr>
        <w:rFonts w:hint="default" w:ascii="宋体" w:hAnsi="宋体" w:eastAsia="宋体" w:cs="宋体"/>
        <w:w w:val="100"/>
        <w:sz w:val="22"/>
        <w:szCs w:val="22"/>
      </w:rPr>
    </w:lvl>
    <w:lvl w:ilvl="1">
      <w:start w:val="0"/>
      <w:numFmt w:val="bullet"/>
      <w:lvlText w:val="•"/>
      <w:lvlJc w:val="left"/>
      <w:pPr>
        <w:ind w:left="1261" w:hanging="360"/>
      </w:pPr>
      <w:rPr>
        <w:rFonts w:hint="default"/>
      </w:rPr>
    </w:lvl>
    <w:lvl w:ilvl="2">
      <w:start w:val="0"/>
      <w:numFmt w:val="bullet"/>
      <w:lvlText w:val="•"/>
      <w:lvlJc w:val="left"/>
      <w:pPr>
        <w:ind w:left="2062" w:hanging="360"/>
      </w:pPr>
      <w:rPr>
        <w:rFonts w:hint="default"/>
      </w:rPr>
    </w:lvl>
    <w:lvl w:ilvl="3">
      <w:start w:val="0"/>
      <w:numFmt w:val="bullet"/>
      <w:lvlText w:val="•"/>
      <w:lvlJc w:val="left"/>
      <w:pPr>
        <w:ind w:left="2863" w:hanging="360"/>
      </w:pPr>
      <w:rPr>
        <w:rFonts w:hint="default"/>
      </w:rPr>
    </w:lvl>
    <w:lvl w:ilvl="4">
      <w:start w:val="0"/>
      <w:numFmt w:val="bullet"/>
      <w:lvlText w:val="•"/>
      <w:lvlJc w:val="left"/>
      <w:pPr>
        <w:ind w:left="3664" w:hanging="360"/>
      </w:pPr>
      <w:rPr>
        <w:rFonts w:hint="default"/>
      </w:rPr>
    </w:lvl>
    <w:lvl w:ilvl="5">
      <w:start w:val="0"/>
      <w:numFmt w:val="bullet"/>
      <w:lvlText w:val="•"/>
      <w:lvlJc w:val="left"/>
      <w:pPr>
        <w:ind w:left="4465" w:hanging="360"/>
      </w:pPr>
      <w:rPr>
        <w:rFonts w:hint="default"/>
      </w:rPr>
    </w:lvl>
    <w:lvl w:ilvl="6">
      <w:start w:val="0"/>
      <w:numFmt w:val="bullet"/>
      <w:lvlText w:val="•"/>
      <w:lvlJc w:val="left"/>
      <w:pPr>
        <w:ind w:left="5266" w:hanging="360"/>
      </w:pPr>
      <w:rPr>
        <w:rFonts w:hint="default"/>
      </w:rPr>
    </w:lvl>
    <w:lvl w:ilvl="7">
      <w:start w:val="0"/>
      <w:numFmt w:val="bullet"/>
      <w:lvlText w:val="•"/>
      <w:lvlJc w:val="left"/>
      <w:pPr>
        <w:ind w:left="6067" w:hanging="360"/>
      </w:pPr>
      <w:rPr>
        <w:rFonts w:hint="default"/>
      </w:rPr>
    </w:lvl>
    <w:lvl w:ilvl="8">
      <w:start w:val="0"/>
      <w:numFmt w:val="bullet"/>
      <w:lvlText w:val="•"/>
      <w:lvlJc w:val="left"/>
      <w:pPr>
        <w:ind w:left="6868" w:hanging="360"/>
      </w:pPr>
      <w:rPr>
        <w:rFonts w:hint="default"/>
      </w:rPr>
    </w:lvl>
  </w:abstractNum>
  <w:abstractNum w:abstractNumId="18">
    <w:multiLevelType w:val="hybridMultilevel"/>
    <w:lvl w:ilvl="0">
      <w:start w:val="1"/>
      <w:numFmt w:val="decimal"/>
      <w:lvlText w:val="(%1)"/>
      <w:lvlJc w:val="left"/>
      <w:pPr>
        <w:ind w:left="521" w:hanging="360"/>
        <w:jc w:val="left"/>
      </w:pPr>
      <w:rPr>
        <w:rFonts w:hint="default" w:ascii="宋体" w:hAnsi="宋体" w:eastAsia="宋体" w:cs="宋体"/>
        <w:spacing w:val="-5"/>
        <w:w w:val="100"/>
        <w:sz w:val="22"/>
        <w:szCs w:val="22"/>
      </w:rPr>
    </w:lvl>
    <w:lvl w:ilvl="1">
      <w:start w:val="0"/>
      <w:numFmt w:val="bullet"/>
      <w:lvlText w:val="•"/>
      <w:lvlJc w:val="left"/>
      <w:pPr>
        <w:ind w:left="1312" w:hanging="360"/>
      </w:pPr>
      <w:rPr>
        <w:rFonts w:hint="default"/>
      </w:rPr>
    </w:lvl>
    <w:lvl w:ilvl="2">
      <w:start w:val="0"/>
      <w:numFmt w:val="bullet"/>
      <w:lvlText w:val="•"/>
      <w:lvlJc w:val="left"/>
      <w:pPr>
        <w:ind w:left="2104" w:hanging="360"/>
      </w:pPr>
      <w:rPr>
        <w:rFonts w:hint="default"/>
      </w:rPr>
    </w:lvl>
    <w:lvl w:ilvl="3">
      <w:start w:val="0"/>
      <w:numFmt w:val="bullet"/>
      <w:lvlText w:val="•"/>
      <w:lvlJc w:val="left"/>
      <w:pPr>
        <w:ind w:left="2896" w:hanging="360"/>
      </w:pPr>
      <w:rPr>
        <w:rFonts w:hint="default"/>
      </w:rPr>
    </w:lvl>
    <w:lvl w:ilvl="4">
      <w:start w:val="0"/>
      <w:numFmt w:val="bullet"/>
      <w:lvlText w:val="•"/>
      <w:lvlJc w:val="left"/>
      <w:pPr>
        <w:ind w:left="3688" w:hanging="360"/>
      </w:pPr>
      <w:rPr>
        <w:rFonts w:hint="default"/>
      </w:rPr>
    </w:lvl>
    <w:lvl w:ilvl="5">
      <w:start w:val="0"/>
      <w:numFmt w:val="bullet"/>
      <w:lvlText w:val="•"/>
      <w:lvlJc w:val="left"/>
      <w:pPr>
        <w:ind w:left="4480" w:hanging="360"/>
      </w:pPr>
      <w:rPr>
        <w:rFonts w:hint="default"/>
      </w:rPr>
    </w:lvl>
    <w:lvl w:ilvl="6">
      <w:start w:val="0"/>
      <w:numFmt w:val="bullet"/>
      <w:lvlText w:val="•"/>
      <w:lvlJc w:val="left"/>
      <w:pPr>
        <w:ind w:left="5272" w:hanging="360"/>
      </w:pPr>
      <w:rPr>
        <w:rFonts w:hint="default"/>
      </w:rPr>
    </w:lvl>
    <w:lvl w:ilvl="7">
      <w:start w:val="0"/>
      <w:numFmt w:val="bullet"/>
      <w:lvlText w:val="•"/>
      <w:lvlJc w:val="left"/>
      <w:pPr>
        <w:ind w:left="6064" w:hanging="360"/>
      </w:pPr>
      <w:rPr>
        <w:rFonts w:hint="default"/>
      </w:rPr>
    </w:lvl>
    <w:lvl w:ilvl="8">
      <w:start w:val="0"/>
      <w:numFmt w:val="bullet"/>
      <w:lvlText w:val="•"/>
      <w:lvlJc w:val="left"/>
      <w:pPr>
        <w:ind w:left="6856" w:hanging="360"/>
      </w:pPr>
      <w:rPr>
        <w:rFonts w:hint="default"/>
      </w:rPr>
    </w:lvl>
  </w:abstractNum>
  <w:abstractNum w:abstractNumId="17">
    <w:multiLevelType w:val="hybridMultilevel"/>
    <w:lvl w:ilvl="0">
      <w:start w:val="1"/>
      <w:numFmt w:val="decimal"/>
      <w:lvlText w:val="(%1)"/>
      <w:lvlJc w:val="left"/>
      <w:pPr>
        <w:ind w:left="521" w:hanging="360"/>
        <w:jc w:val="left"/>
      </w:pPr>
      <w:rPr>
        <w:rFonts w:hint="default" w:ascii="宋体" w:hAnsi="宋体" w:eastAsia="宋体" w:cs="宋体"/>
        <w:w w:val="100"/>
        <w:sz w:val="22"/>
        <w:szCs w:val="22"/>
      </w:rPr>
    </w:lvl>
    <w:lvl w:ilvl="1">
      <w:start w:val="0"/>
      <w:numFmt w:val="bullet"/>
      <w:lvlText w:val="•"/>
      <w:lvlJc w:val="left"/>
      <w:pPr>
        <w:ind w:left="1312" w:hanging="360"/>
      </w:pPr>
      <w:rPr>
        <w:rFonts w:hint="default"/>
      </w:rPr>
    </w:lvl>
    <w:lvl w:ilvl="2">
      <w:start w:val="0"/>
      <w:numFmt w:val="bullet"/>
      <w:lvlText w:val="•"/>
      <w:lvlJc w:val="left"/>
      <w:pPr>
        <w:ind w:left="2104" w:hanging="360"/>
      </w:pPr>
      <w:rPr>
        <w:rFonts w:hint="default"/>
      </w:rPr>
    </w:lvl>
    <w:lvl w:ilvl="3">
      <w:start w:val="0"/>
      <w:numFmt w:val="bullet"/>
      <w:lvlText w:val="•"/>
      <w:lvlJc w:val="left"/>
      <w:pPr>
        <w:ind w:left="2896" w:hanging="360"/>
      </w:pPr>
      <w:rPr>
        <w:rFonts w:hint="default"/>
      </w:rPr>
    </w:lvl>
    <w:lvl w:ilvl="4">
      <w:start w:val="0"/>
      <w:numFmt w:val="bullet"/>
      <w:lvlText w:val="•"/>
      <w:lvlJc w:val="left"/>
      <w:pPr>
        <w:ind w:left="3688" w:hanging="360"/>
      </w:pPr>
      <w:rPr>
        <w:rFonts w:hint="default"/>
      </w:rPr>
    </w:lvl>
    <w:lvl w:ilvl="5">
      <w:start w:val="0"/>
      <w:numFmt w:val="bullet"/>
      <w:lvlText w:val="•"/>
      <w:lvlJc w:val="left"/>
      <w:pPr>
        <w:ind w:left="4480" w:hanging="360"/>
      </w:pPr>
      <w:rPr>
        <w:rFonts w:hint="default"/>
      </w:rPr>
    </w:lvl>
    <w:lvl w:ilvl="6">
      <w:start w:val="0"/>
      <w:numFmt w:val="bullet"/>
      <w:lvlText w:val="•"/>
      <w:lvlJc w:val="left"/>
      <w:pPr>
        <w:ind w:left="5272" w:hanging="360"/>
      </w:pPr>
      <w:rPr>
        <w:rFonts w:hint="default"/>
      </w:rPr>
    </w:lvl>
    <w:lvl w:ilvl="7">
      <w:start w:val="0"/>
      <w:numFmt w:val="bullet"/>
      <w:lvlText w:val="•"/>
      <w:lvlJc w:val="left"/>
      <w:pPr>
        <w:ind w:left="6064" w:hanging="360"/>
      </w:pPr>
      <w:rPr>
        <w:rFonts w:hint="default"/>
      </w:rPr>
    </w:lvl>
    <w:lvl w:ilvl="8">
      <w:start w:val="0"/>
      <w:numFmt w:val="bullet"/>
      <w:lvlText w:val="•"/>
      <w:lvlJc w:val="left"/>
      <w:pPr>
        <w:ind w:left="6856" w:hanging="360"/>
      </w:pPr>
      <w:rPr>
        <w:rFonts w:hint="default"/>
      </w:rPr>
    </w:lvl>
  </w:abstractNum>
  <w:abstractNum w:abstractNumId="16">
    <w:multiLevelType w:val="hybridMultilevel"/>
    <w:lvl w:ilvl="0">
      <w:start w:val="1"/>
      <w:numFmt w:val="decimal"/>
      <w:lvlText w:val="(%1)"/>
      <w:lvlJc w:val="left"/>
      <w:pPr>
        <w:ind w:left="460" w:hanging="360"/>
        <w:jc w:val="left"/>
      </w:pPr>
      <w:rPr>
        <w:rFonts w:hint="default" w:ascii="宋体" w:hAnsi="宋体" w:eastAsia="宋体" w:cs="宋体"/>
        <w:w w:val="100"/>
        <w:sz w:val="22"/>
        <w:szCs w:val="22"/>
      </w:rPr>
    </w:lvl>
    <w:lvl w:ilvl="1">
      <w:start w:val="0"/>
      <w:numFmt w:val="bullet"/>
      <w:lvlText w:val="•"/>
      <w:lvlJc w:val="left"/>
      <w:pPr>
        <w:ind w:left="1261" w:hanging="360"/>
      </w:pPr>
      <w:rPr>
        <w:rFonts w:hint="default"/>
      </w:rPr>
    </w:lvl>
    <w:lvl w:ilvl="2">
      <w:start w:val="0"/>
      <w:numFmt w:val="bullet"/>
      <w:lvlText w:val="•"/>
      <w:lvlJc w:val="left"/>
      <w:pPr>
        <w:ind w:left="2063" w:hanging="360"/>
      </w:pPr>
      <w:rPr>
        <w:rFonts w:hint="default"/>
      </w:rPr>
    </w:lvl>
    <w:lvl w:ilvl="3">
      <w:start w:val="0"/>
      <w:numFmt w:val="bullet"/>
      <w:lvlText w:val="•"/>
      <w:lvlJc w:val="left"/>
      <w:pPr>
        <w:ind w:left="2864" w:hanging="360"/>
      </w:pPr>
      <w:rPr>
        <w:rFonts w:hint="default"/>
      </w:rPr>
    </w:lvl>
    <w:lvl w:ilvl="4">
      <w:start w:val="0"/>
      <w:numFmt w:val="bullet"/>
      <w:lvlText w:val="•"/>
      <w:lvlJc w:val="left"/>
      <w:pPr>
        <w:ind w:left="3666" w:hanging="360"/>
      </w:pPr>
      <w:rPr>
        <w:rFonts w:hint="default"/>
      </w:rPr>
    </w:lvl>
    <w:lvl w:ilvl="5">
      <w:start w:val="0"/>
      <w:numFmt w:val="bullet"/>
      <w:lvlText w:val="•"/>
      <w:lvlJc w:val="left"/>
      <w:pPr>
        <w:ind w:left="4467" w:hanging="360"/>
      </w:pPr>
      <w:rPr>
        <w:rFonts w:hint="default"/>
      </w:rPr>
    </w:lvl>
    <w:lvl w:ilvl="6">
      <w:start w:val="0"/>
      <w:numFmt w:val="bullet"/>
      <w:lvlText w:val="•"/>
      <w:lvlJc w:val="left"/>
      <w:pPr>
        <w:ind w:left="5269" w:hanging="360"/>
      </w:pPr>
      <w:rPr>
        <w:rFonts w:hint="default"/>
      </w:rPr>
    </w:lvl>
    <w:lvl w:ilvl="7">
      <w:start w:val="0"/>
      <w:numFmt w:val="bullet"/>
      <w:lvlText w:val="•"/>
      <w:lvlJc w:val="left"/>
      <w:pPr>
        <w:ind w:left="6070" w:hanging="360"/>
      </w:pPr>
      <w:rPr>
        <w:rFonts w:hint="default"/>
      </w:rPr>
    </w:lvl>
    <w:lvl w:ilvl="8">
      <w:start w:val="0"/>
      <w:numFmt w:val="bullet"/>
      <w:lvlText w:val="•"/>
      <w:lvlJc w:val="left"/>
      <w:pPr>
        <w:ind w:left="6872" w:hanging="360"/>
      </w:pPr>
      <w:rPr>
        <w:rFonts w:hint="default"/>
      </w:rPr>
    </w:lvl>
  </w:abstractNum>
  <w:abstractNum w:abstractNumId="15">
    <w:multiLevelType w:val="hybridMultilevel"/>
    <w:lvl w:ilvl="0">
      <w:start w:val="1"/>
      <w:numFmt w:val="decimal"/>
      <w:lvlText w:val="(%1)"/>
      <w:lvlJc w:val="left"/>
      <w:pPr>
        <w:ind w:left="460" w:hanging="360"/>
        <w:jc w:val="left"/>
      </w:pPr>
      <w:rPr>
        <w:rFonts w:hint="default" w:ascii="宋体" w:hAnsi="宋体" w:eastAsia="宋体" w:cs="宋体"/>
        <w:w w:val="100"/>
        <w:sz w:val="22"/>
        <w:szCs w:val="22"/>
      </w:rPr>
    </w:lvl>
    <w:lvl w:ilvl="1">
      <w:start w:val="0"/>
      <w:numFmt w:val="bullet"/>
      <w:lvlText w:val="•"/>
      <w:lvlJc w:val="left"/>
      <w:pPr>
        <w:ind w:left="1261" w:hanging="360"/>
      </w:pPr>
      <w:rPr>
        <w:rFonts w:hint="default"/>
      </w:rPr>
    </w:lvl>
    <w:lvl w:ilvl="2">
      <w:start w:val="0"/>
      <w:numFmt w:val="bullet"/>
      <w:lvlText w:val="•"/>
      <w:lvlJc w:val="left"/>
      <w:pPr>
        <w:ind w:left="2063" w:hanging="360"/>
      </w:pPr>
      <w:rPr>
        <w:rFonts w:hint="default"/>
      </w:rPr>
    </w:lvl>
    <w:lvl w:ilvl="3">
      <w:start w:val="0"/>
      <w:numFmt w:val="bullet"/>
      <w:lvlText w:val="•"/>
      <w:lvlJc w:val="left"/>
      <w:pPr>
        <w:ind w:left="2864" w:hanging="360"/>
      </w:pPr>
      <w:rPr>
        <w:rFonts w:hint="default"/>
      </w:rPr>
    </w:lvl>
    <w:lvl w:ilvl="4">
      <w:start w:val="0"/>
      <w:numFmt w:val="bullet"/>
      <w:lvlText w:val="•"/>
      <w:lvlJc w:val="left"/>
      <w:pPr>
        <w:ind w:left="3666" w:hanging="360"/>
      </w:pPr>
      <w:rPr>
        <w:rFonts w:hint="default"/>
      </w:rPr>
    </w:lvl>
    <w:lvl w:ilvl="5">
      <w:start w:val="0"/>
      <w:numFmt w:val="bullet"/>
      <w:lvlText w:val="•"/>
      <w:lvlJc w:val="left"/>
      <w:pPr>
        <w:ind w:left="4467" w:hanging="360"/>
      </w:pPr>
      <w:rPr>
        <w:rFonts w:hint="default"/>
      </w:rPr>
    </w:lvl>
    <w:lvl w:ilvl="6">
      <w:start w:val="0"/>
      <w:numFmt w:val="bullet"/>
      <w:lvlText w:val="•"/>
      <w:lvlJc w:val="left"/>
      <w:pPr>
        <w:ind w:left="5269" w:hanging="360"/>
      </w:pPr>
      <w:rPr>
        <w:rFonts w:hint="default"/>
      </w:rPr>
    </w:lvl>
    <w:lvl w:ilvl="7">
      <w:start w:val="0"/>
      <w:numFmt w:val="bullet"/>
      <w:lvlText w:val="•"/>
      <w:lvlJc w:val="left"/>
      <w:pPr>
        <w:ind w:left="6070" w:hanging="360"/>
      </w:pPr>
      <w:rPr>
        <w:rFonts w:hint="default"/>
      </w:rPr>
    </w:lvl>
    <w:lvl w:ilvl="8">
      <w:start w:val="0"/>
      <w:numFmt w:val="bullet"/>
      <w:lvlText w:val="•"/>
      <w:lvlJc w:val="left"/>
      <w:pPr>
        <w:ind w:left="6872" w:hanging="360"/>
      </w:pPr>
      <w:rPr>
        <w:rFonts w:hint="default"/>
      </w:rPr>
    </w:lvl>
  </w:abstractNum>
  <w:abstractNum w:abstractNumId="14">
    <w:multiLevelType w:val="hybridMultilevel"/>
    <w:lvl w:ilvl="0">
      <w:start w:val="1"/>
      <w:numFmt w:val="decimal"/>
      <w:lvlText w:val="(%1)"/>
      <w:lvlJc w:val="left"/>
      <w:pPr>
        <w:ind w:left="460" w:hanging="360"/>
        <w:jc w:val="left"/>
      </w:pPr>
      <w:rPr>
        <w:rFonts w:hint="default" w:ascii="宋体" w:hAnsi="宋体" w:eastAsia="宋体" w:cs="宋体"/>
        <w:w w:val="100"/>
        <w:sz w:val="22"/>
        <w:szCs w:val="22"/>
      </w:rPr>
    </w:lvl>
    <w:lvl w:ilvl="1">
      <w:start w:val="0"/>
      <w:numFmt w:val="bullet"/>
      <w:lvlText w:val="•"/>
      <w:lvlJc w:val="left"/>
      <w:pPr>
        <w:ind w:left="1261" w:hanging="360"/>
      </w:pPr>
      <w:rPr>
        <w:rFonts w:hint="default"/>
      </w:rPr>
    </w:lvl>
    <w:lvl w:ilvl="2">
      <w:start w:val="0"/>
      <w:numFmt w:val="bullet"/>
      <w:lvlText w:val="•"/>
      <w:lvlJc w:val="left"/>
      <w:pPr>
        <w:ind w:left="2063" w:hanging="360"/>
      </w:pPr>
      <w:rPr>
        <w:rFonts w:hint="default"/>
      </w:rPr>
    </w:lvl>
    <w:lvl w:ilvl="3">
      <w:start w:val="0"/>
      <w:numFmt w:val="bullet"/>
      <w:lvlText w:val="•"/>
      <w:lvlJc w:val="left"/>
      <w:pPr>
        <w:ind w:left="2864" w:hanging="360"/>
      </w:pPr>
      <w:rPr>
        <w:rFonts w:hint="default"/>
      </w:rPr>
    </w:lvl>
    <w:lvl w:ilvl="4">
      <w:start w:val="0"/>
      <w:numFmt w:val="bullet"/>
      <w:lvlText w:val="•"/>
      <w:lvlJc w:val="left"/>
      <w:pPr>
        <w:ind w:left="3666" w:hanging="360"/>
      </w:pPr>
      <w:rPr>
        <w:rFonts w:hint="default"/>
      </w:rPr>
    </w:lvl>
    <w:lvl w:ilvl="5">
      <w:start w:val="0"/>
      <w:numFmt w:val="bullet"/>
      <w:lvlText w:val="•"/>
      <w:lvlJc w:val="left"/>
      <w:pPr>
        <w:ind w:left="4467" w:hanging="360"/>
      </w:pPr>
      <w:rPr>
        <w:rFonts w:hint="default"/>
      </w:rPr>
    </w:lvl>
    <w:lvl w:ilvl="6">
      <w:start w:val="0"/>
      <w:numFmt w:val="bullet"/>
      <w:lvlText w:val="•"/>
      <w:lvlJc w:val="left"/>
      <w:pPr>
        <w:ind w:left="5269" w:hanging="360"/>
      </w:pPr>
      <w:rPr>
        <w:rFonts w:hint="default"/>
      </w:rPr>
    </w:lvl>
    <w:lvl w:ilvl="7">
      <w:start w:val="0"/>
      <w:numFmt w:val="bullet"/>
      <w:lvlText w:val="•"/>
      <w:lvlJc w:val="left"/>
      <w:pPr>
        <w:ind w:left="6070" w:hanging="360"/>
      </w:pPr>
      <w:rPr>
        <w:rFonts w:hint="default"/>
      </w:rPr>
    </w:lvl>
    <w:lvl w:ilvl="8">
      <w:start w:val="0"/>
      <w:numFmt w:val="bullet"/>
      <w:lvlText w:val="•"/>
      <w:lvlJc w:val="left"/>
      <w:pPr>
        <w:ind w:left="6872" w:hanging="360"/>
      </w:pPr>
      <w:rPr>
        <w:rFonts w:hint="default"/>
      </w:rPr>
    </w:lvl>
  </w:abstractNum>
  <w:abstractNum w:abstractNumId="13">
    <w:multiLevelType w:val="hybridMultilevel"/>
    <w:lvl w:ilvl="0">
      <w:start w:val="1"/>
      <w:numFmt w:val="decimal"/>
      <w:lvlText w:val="(%1)"/>
      <w:lvlJc w:val="left"/>
      <w:pPr>
        <w:ind w:left="2627" w:hanging="360"/>
        <w:jc w:val="left"/>
      </w:pPr>
      <w:rPr>
        <w:rFonts w:hint="default" w:ascii="宋体" w:hAnsi="宋体" w:eastAsia="宋体" w:cs="宋体"/>
        <w:w w:val="100"/>
        <w:sz w:val="22"/>
        <w:szCs w:val="22"/>
      </w:rPr>
    </w:lvl>
    <w:lvl w:ilvl="1">
      <w:start w:val="0"/>
      <w:numFmt w:val="bullet"/>
      <w:lvlText w:val="•"/>
      <w:lvlJc w:val="left"/>
      <w:pPr>
        <w:ind w:left="3412" w:hanging="360"/>
      </w:pPr>
      <w:rPr>
        <w:rFonts w:hint="default"/>
      </w:rPr>
    </w:lvl>
    <w:lvl w:ilvl="2">
      <w:start w:val="0"/>
      <w:numFmt w:val="bullet"/>
      <w:lvlText w:val="•"/>
      <w:lvlJc w:val="left"/>
      <w:pPr>
        <w:ind w:left="4205" w:hanging="360"/>
      </w:pPr>
      <w:rPr>
        <w:rFonts w:hint="default"/>
      </w:rPr>
    </w:lvl>
    <w:lvl w:ilvl="3">
      <w:start w:val="0"/>
      <w:numFmt w:val="bullet"/>
      <w:lvlText w:val="•"/>
      <w:lvlJc w:val="left"/>
      <w:pPr>
        <w:ind w:left="4997" w:hanging="360"/>
      </w:pPr>
      <w:rPr>
        <w:rFonts w:hint="default"/>
      </w:rPr>
    </w:lvl>
    <w:lvl w:ilvl="4">
      <w:start w:val="0"/>
      <w:numFmt w:val="bullet"/>
      <w:lvlText w:val="•"/>
      <w:lvlJc w:val="left"/>
      <w:pPr>
        <w:ind w:left="5790" w:hanging="360"/>
      </w:pPr>
      <w:rPr>
        <w:rFonts w:hint="default"/>
      </w:rPr>
    </w:lvl>
    <w:lvl w:ilvl="5">
      <w:start w:val="0"/>
      <w:numFmt w:val="bullet"/>
      <w:lvlText w:val="•"/>
      <w:lvlJc w:val="left"/>
      <w:pPr>
        <w:ind w:left="6583" w:hanging="360"/>
      </w:pPr>
      <w:rPr>
        <w:rFonts w:hint="default"/>
      </w:rPr>
    </w:lvl>
    <w:lvl w:ilvl="6">
      <w:start w:val="0"/>
      <w:numFmt w:val="bullet"/>
      <w:lvlText w:val="•"/>
      <w:lvlJc w:val="left"/>
      <w:pPr>
        <w:ind w:left="7375" w:hanging="360"/>
      </w:pPr>
      <w:rPr>
        <w:rFonts w:hint="default"/>
      </w:rPr>
    </w:lvl>
    <w:lvl w:ilvl="7">
      <w:start w:val="0"/>
      <w:numFmt w:val="bullet"/>
      <w:lvlText w:val="•"/>
      <w:lvlJc w:val="left"/>
      <w:pPr>
        <w:ind w:left="8168" w:hanging="360"/>
      </w:pPr>
      <w:rPr>
        <w:rFonts w:hint="default"/>
      </w:rPr>
    </w:lvl>
    <w:lvl w:ilvl="8">
      <w:start w:val="0"/>
      <w:numFmt w:val="bullet"/>
      <w:lvlText w:val="•"/>
      <w:lvlJc w:val="left"/>
      <w:pPr>
        <w:ind w:left="8961" w:hanging="360"/>
      </w:pPr>
      <w:rPr>
        <w:rFonts w:hint="default"/>
      </w:rPr>
    </w:lvl>
  </w:abstractNum>
  <w:abstractNum w:abstractNumId="12">
    <w:multiLevelType w:val="hybridMultilevel"/>
    <w:lvl w:ilvl="0">
      <w:start w:val="1"/>
      <w:numFmt w:val="decimal"/>
      <w:lvlText w:val="(%1)"/>
      <w:lvlJc w:val="left"/>
      <w:pPr>
        <w:ind w:left="2627" w:hanging="360"/>
        <w:jc w:val="left"/>
      </w:pPr>
      <w:rPr>
        <w:rFonts w:hint="default" w:ascii="宋体" w:hAnsi="宋体" w:eastAsia="宋体" w:cs="宋体"/>
        <w:w w:val="100"/>
        <w:sz w:val="22"/>
        <w:szCs w:val="22"/>
      </w:rPr>
    </w:lvl>
    <w:lvl w:ilvl="1">
      <w:start w:val="0"/>
      <w:numFmt w:val="bullet"/>
      <w:lvlText w:val="•"/>
      <w:lvlJc w:val="left"/>
      <w:pPr>
        <w:ind w:left="3412" w:hanging="360"/>
      </w:pPr>
      <w:rPr>
        <w:rFonts w:hint="default"/>
      </w:rPr>
    </w:lvl>
    <w:lvl w:ilvl="2">
      <w:start w:val="0"/>
      <w:numFmt w:val="bullet"/>
      <w:lvlText w:val="•"/>
      <w:lvlJc w:val="left"/>
      <w:pPr>
        <w:ind w:left="4205" w:hanging="360"/>
      </w:pPr>
      <w:rPr>
        <w:rFonts w:hint="default"/>
      </w:rPr>
    </w:lvl>
    <w:lvl w:ilvl="3">
      <w:start w:val="0"/>
      <w:numFmt w:val="bullet"/>
      <w:lvlText w:val="•"/>
      <w:lvlJc w:val="left"/>
      <w:pPr>
        <w:ind w:left="4997" w:hanging="360"/>
      </w:pPr>
      <w:rPr>
        <w:rFonts w:hint="default"/>
      </w:rPr>
    </w:lvl>
    <w:lvl w:ilvl="4">
      <w:start w:val="0"/>
      <w:numFmt w:val="bullet"/>
      <w:lvlText w:val="•"/>
      <w:lvlJc w:val="left"/>
      <w:pPr>
        <w:ind w:left="5790" w:hanging="360"/>
      </w:pPr>
      <w:rPr>
        <w:rFonts w:hint="default"/>
      </w:rPr>
    </w:lvl>
    <w:lvl w:ilvl="5">
      <w:start w:val="0"/>
      <w:numFmt w:val="bullet"/>
      <w:lvlText w:val="•"/>
      <w:lvlJc w:val="left"/>
      <w:pPr>
        <w:ind w:left="6583" w:hanging="360"/>
      </w:pPr>
      <w:rPr>
        <w:rFonts w:hint="default"/>
      </w:rPr>
    </w:lvl>
    <w:lvl w:ilvl="6">
      <w:start w:val="0"/>
      <w:numFmt w:val="bullet"/>
      <w:lvlText w:val="•"/>
      <w:lvlJc w:val="left"/>
      <w:pPr>
        <w:ind w:left="7375" w:hanging="360"/>
      </w:pPr>
      <w:rPr>
        <w:rFonts w:hint="default"/>
      </w:rPr>
    </w:lvl>
    <w:lvl w:ilvl="7">
      <w:start w:val="0"/>
      <w:numFmt w:val="bullet"/>
      <w:lvlText w:val="•"/>
      <w:lvlJc w:val="left"/>
      <w:pPr>
        <w:ind w:left="8168" w:hanging="360"/>
      </w:pPr>
      <w:rPr>
        <w:rFonts w:hint="default"/>
      </w:rPr>
    </w:lvl>
    <w:lvl w:ilvl="8">
      <w:start w:val="0"/>
      <w:numFmt w:val="bullet"/>
      <w:lvlText w:val="•"/>
      <w:lvlJc w:val="left"/>
      <w:pPr>
        <w:ind w:left="8961" w:hanging="360"/>
      </w:pPr>
      <w:rPr>
        <w:rFonts w:hint="default"/>
      </w:rPr>
    </w:lvl>
  </w:abstractNum>
  <w:abstractNum w:abstractNumId="11">
    <w:multiLevelType w:val="hybridMultilevel"/>
    <w:lvl w:ilvl="0">
      <w:start w:val="1"/>
      <w:numFmt w:val="decimal"/>
      <w:lvlText w:val="(%1)"/>
      <w:lvlJc w:val="left"/>
      <w:pPr>
        <w:ind w:left="508" w:hanging="420"/>
        <w:jc w:val="left"/>
      </w:pPr>
      <w:rPr>
        <w:rFonts w:hint="default" w:ascii="宋体" w:hAnsi="宋体" w:eastAsia="宋体" w:cs="宋体"/>
        <w:w w:val="100"/>
        <w:sz w:val="22"/>
        <w:szCs w:val="22"/>
      </w:rPr>
    </w:lvl>
    <w:lvl w:ilvl="1">
      <w:start w:val="0"/>
      <w:numFmt w:val="bullet"/>
      <w:lvlText w:val="•"/>
      <w:lvlJc w:val="left"/>
      <w:pPr>
        <w:ind w:left="1295" w:hanging="420"/>
      </w:pPr>
      <w:rPr>
        <w:rFonts w:hint="default"/>
      </w:rPr>
    </w:lvl>
    <w:lvl w:ilvl="2">
      <w:start w:val="0"/>
      <w:numFmt w:val="bullet"/>
      <w:lvlText w:val="•"/>
      <w:lvlJc w:val="left"/>
      <w:pPr>
        <w:ind w:left="2090" w:hanging="420"/>
      </w:pPr>
      <w:rPr>
        <w:rFonts w:hint="default"/>
      </w:rPr>
    </w:lvl>
    <w:lvl w:ilvl="3">
      <w:start w:val="0"/>
      <w:numFmt w:val="bullet"/>
      <w:lvlText w:val="•"/>
      <w:lvlJc w:val="left"/>
      <w:pPr>
        <w:ind w:left="2885" w:hanging="420"/>
      </w:pPr>
      <w:rPr>
        <w:rFonts w:hint="default"/>
      </w:rPr>
    </w:lvl>
    <w:lvl w:ilvl="4">
      <w:start w:val="0"/>
      <w:numFmt w:val="bullet"/>
      <w:lvlText w:val="•"/>
      <w:lvlJc w:val="left"/>
      <w:pPr>
        <w:ind w:left="3680" w:hanging="420"/>
      </w:pPr>
      <w:rPr>
        <w:rFonts w:hint="default"/>
      </w:rPr>
    </w:lvl>
    <w:lvl w:ilvl="5">
      <w:start w:val="0"/>
      <w:numFmt w:val="bullet"/>
      <w:lvlText w:val="•"/>
      <w:lvlJc w:val="left"/>
      <w:pPr>
        <w:ind w:left="4475" w:hanging="420"/>
      </w:pPr>
      <w:rPr>
        <w:rFonts w:hint="default"/>
      </w:rPr>
    </w:lvl>
    <w:lvl w:ilvl="6">
      <w:start w:val="0"/>
      <w:numFmt w:val="bullet"/>
      <w:lvlText w:val="•"/>
      <w:lvlJc w:val="left"/>
      <w:pPr>
        <w:ind w:left="5270" w:hanging="420"/>
      </w:pPr>
      <w:rPr>
        <w:rFonts w:hint="default"/>
      </w:rPr>
    </w:lvl>
    <w:lvl w:ilvl="7">
      <w:start w:val="0"/>
      <w:numFmt w:val="bullet"/>
      <w:lvlText w:val="•"/>
      <w:lvlJc w:val="left"/>
      <w:pPr>
        <w:ind w:left="6065" w:hanging="420"/>
      </w:pPr>
      <w:rPr>
        <w:rFonts w:hint="default"/>
      </w:rPr>
    </w:lvl>
    <w:lvl w:ilvl="8">
      <w:start w:val="0"/>
      <w:numFmt w:val="bullet"/>
      <w:lvlText w:val="•"/>
      <w:lvlJc w:val="left"/>
      <w:pPr>
        <w:ind w:left="6860" w:hanging="420"/>
      </w:pPr>
      <w:rPr>
        <w:rFonts w:hint="default"/>
      </w:rPr>
    </w:lvl>
  </w:abstractNum>
  <w:abstractNum w:abstractNumId="10">
    <w:multiLevelType w:val="hybridMultilevel"/>
    <w:lvl w:ilvl="0">
      <w:start w:val="1"/>
      <w:numFmt w:val="decimal"/>
      <w:lvlText w:val="(%1)"/>
      <w:lvlJc w:val="left"/>
      <w:pPr>
        <w:ind w:left="508" w:hanging="420"/>
        <w:jc w:val="left"/>
      </w:pPr>
      <w:rPr>
        <w:rFonts w:hint="default" w:ascii="宋体" w:hAnsi="宋体" w:eastAsia="宋体" w:cs="宋体"/>
        <w:w w:val="100"/>
        <w:sz w:val="22"/>
        <w:szCs w:val="22"/>
      </w:rPr>
    </w:lvl>
    <w:lvl w:ilvl="1">
      <w:start w:val="0"/>
      <w:numFmt w:val="bullet"/>
      <w:lvlText w:val="•"/>
      <w:lvlJc w:val="left"/>
      <w:pPr>
        <w:ind w:left="1295" w:hanging="420"/>
      </w:pPr>
      <w:rPr>
        <w:rFonts w:hint="default"/>
      </w:rPr>
    </w:lvl>
    <w:lvl w:ilvl="2">
      <w:start w:val="0"/>
      <w:numFmt w:val="bullet"/>
      <w:lvlText w:val="•"/>
      <w:lvlJc w:val="left"/>
      <w:pPr>
        <w:ind w:left="2090" w:hanging="420"/>
      </w:pPr>
      <w:rPr>
        <w:rFonts w:hint="default"/>
      </w:rPr>
    </w:lvl>
    <w:lvl w:ilvl="3">
      <w:start w:val="0"/>
      <w:numFmt w:val="bullet"/>
      <w:lvlText w:val="•"/>
      <w:lvlJc w:val="left"/>
      <w:pPr>
        <w:ind w:left="2885" w:hanging="420"/>
      </w:pPr>
      <w:rPr>
        <w:rFonts w:hint="default"/>
      </w:rPr>
    </w:lvl>
    <w:lvl w:ilvl="4">
      <w:start w:val="0"/>
      <w:numFmt w:val="bullet"/>
      <w:lvlText w:val="•"/>
      <w:lvlJc w:val="left"/>
      <w:pPr>
        <w:ind w:left="3680" w:hanging="420"/>
      </w:pPr>
      <w:rPr>
        <w:rFonts w:hint="default"/>
      </w:rPr>
    </w:lvl>
    <w:lvl w:ilvl="5">
      <w:start w:val="0"/>
      <w:numFmt w:val="bullet"/>
      <w:lvlText w:val="•"/>
      <w:lvlJc w:val="left"/>
      <w:pPr>
        <w:ind w:left="4475" w:hanging="420"/>
      </w:pPr>
      <w:rPr>
        <w:rFonts w:hint="default"/>
      </w:rPr>
    </w:lvl>
    <w:lvl w:ilvl="6">
      <w:start w:val="0"/>
      <w:numFmt w:val="bullet"/>
      <w:lvlText w:val="•"/>
      <w:lvlJc w:val="left"/>
      <w:pPr>
        <w:ind w:left="5270" w:hanging="420"/>
      </w:pPr>
      <w:rPr>
        <w:rFonts w:hint="default"/>
      </w:rPr>
    </w:lvl>
    <w:lvl w:ilvl="7">
      <w:start w:val="0"/>
      <w:numFmt w:val="bullet"/>
      <w:lvlText w:val="•"/>
      <w:lvlJc w:val="left"/>
      <w:pPr>
        <w:ind w:left="6065" w:hanging="420"/>
      </w:pPr>
      <w:rPr>
        <w:rFonts w:hint="default"/>
      </w:rPr>
    </w:lvl>
    <w:lvl w:ilvl="8">
      <w:start w:val="0"/>
      <w:numFmt w:val="bullet"/>
      <w:lvlText w:val="•"/>
      <w:lvlJc w:val="left"/>
      <w:pPr>
        <w:ind w:left="6860" w:hanging="420"/>
      </w:pPr>
      <w:rPr>
        <w:rFonts w:hint="default"/>
      </w:rPr>
    </w:lvl>
  </w:abstractNum>
  <w:abstractNum w:abstractNumId="9">
    <w:multiLevelType w:val="hybridMultilevel"/>
    <w:lvl w:ilvl="0">
      <w:start w:val="1"/>
      <w:numFmt w:val="decimal"/>
      <w:lvlText w:val="(%1)"/>
      <w:lvlJc w:val="left"/>
      <w:pPr>
        <w:ind w:left="563" w:hanging="420"/>
        <w:jc w:val="left"/>
      </w:pPr>
      <w:rPr>
        <w:rFonts w:hint="default" w:ascii="宋体" w:hAnsi="宋体" w:eastAsia="宋体" w:cs="宋体"/>
        <w:w w:val="100"/>
        <w:sz w:val="22"/>
        <w:szCs w:val="22"/>
      </w:rPr>
    </w:lvl>
    <w:lvl w:ilvl="1">
      <w:start w:val="0"/>
      <w:numFmt w:val="bullet"/>
      <w:lvlText w:val="•"/>
      <w:lvlJc w:val="left"/>
      <w:pPr>
        <w:ind w:left="1354" w:hanging="420"/>
      </w:pPr>
      <w:rPr>
        <w:rFonts w:hint="default"/>
      </w:rPr>
    </w:lvl>
    <w:lvl w:ilvl="2">
      <w:start w:val="0"/>
      <w:numFmt w:val="bullet"/>
      <w:lvlText w:val="•"/>
      <w:lvlJc w:val="left"/>
      <w:pPr>
        <w:ind w:left="2149" w:hanging="420"/>
      </w:pPr>
      <w:rPr>
        <w:rFonts w:hint="default"/>
      </w:rPr>
    </w:lvl>
    <w:lvl w:ilvl="3">
      <w:start w:val="0"/>
      <w:numFmt w:val="bullet"/>
      <w:lvlText w:val="•"/>
      <w:lvlJc w:val="left"/>
      <w:pPr>
        <w:ind w:left="2944" w:hanging="420"/>
      </w:pPr>
      <w:rPr>
        <w:rFonts w:hint="default"/>
      </w:rPr>
    </w:lvl>
    <w:lvl w:ilvl="4">
      <w:start w:val="0"/>
      <w:numFmt w:val="bullet"/>
      <w:lvlText w:val="•"/>
      <w:lvlJc w:val="left"/>
      <w:pPr>
        <w:ind w:left="3739" w:hanging="420"/>
      </w:pPr>
      <w:rPr>
        <w:rFonts w:hint="default"/>
      </w:rPr>
    </w:lvl>
    <w:lvl w:ilvl="5">
      <w:start w:val="0"/>
      <w:numFmt w:val="bullet"/>
      <w:lvlText w:val="•"/>
      <w:lvlJc w:val="left"/>
      <w:pPr>
        <w:ind w:left="4534" w:hanging="420"/>
      </w:pPr>
      <w:rPr>
        <w:rFonts w:hint="default"/>
      </w:rPr>
    </w:lvl>
    <w:lvl w:ilvl="6">
      <w:start w:val="0"/>
      <w:numFmt w:val="bullet"/>
      <w:lvlText w:val="•"/>
      <w:lvlJc w:val="left"/>
      <w:pPr>
        <w:ind w:left="5329" w:hanging="420"/>
      </w:pPr>
      <w:rPr>
        <w:rFonts w:hint="default"/>
      </w:rPr>
    </w:lvl>
    <w:lvl w:ilvl="7">
      <w:start w:val="0"/>
      <w:numFmt w:val="bullet"/>
      <w:lvlText w:val="•"/>
      <w:lvlJc w:val="left"/>
      <w:pPr>
        <w:ind w:left="6124" w:hanging="420"/>
      </w:pPr>
      <w:rPr>
        <w:rFonts w:hint="default"/>
      </w:rPr>
    </w:lvl>
    <w:lvl w:ilvl="8">
      <w:start w:val="0"/>
      <w:numFmt w:val="bullet"/>
      <w:lvlText w:val="•"/>
      <w:lvlJc w:val="left"/>
      <w:pPr>
        <w:ind w:left="6919" w:hanging="420"/>
      </w:pPr>
      <w:rPr>
        <w:rFonts w:hint="default"/>
      </w:rPr>
    </w:lvl>
  </w:abstractNum>
  <w:abstractNum w:abstractNumId="8">
    <w:multiLevelType w:val="hybridMultilevel"/>
    <w:lvl w:ilvl="0">
      <w:start w:val="1"/>
      <w:numFmt w:val="decimal"/>
      <w:lvlText w:val="(%1)"/>
      <w:lvlJc w:val="left"/>
      <w:pPr>
        <w:ind w:left="585" w:hanging="442"/>
        <w:jc w:val="left"/>
      </w:pPr>
      <w:rPr>
        <w:rFonts w:hint="default"/>
        <w:w w:val="100"/>
        <w:highlight w:val="lightGray"/>
      </w:rPr>
    </w:lvl>
    <w:lvl w:ilvl="1">
      <w:start w:val="0"/>
      <w:numFmt w:val="bullet"/>
      <w:lvlText w:val="•"/>
      <w:lvlJc w:val="left"/>
      <w:pPr>
        <w:ind w:left="1382" w:hanging="442"/>
      </w:pPr>
      <w:rPr>
        <w:rFonts w:hint="default"/>
      </w:rPr>
    </w:lvl>
    <w:lvl w:ilvl="2">
      <w:start w:val="0"/>
      <w:numFmt w:val="bullet"/>
      <w:lvlText w:val="•"/>
      <w:lvlJc w:val="left"/>
      <w:pPr>
        <w:ind w:left="2185" w:hanging="442"/>
      </w:pPr>
      <w:rPr>
        <w:rFonts w:hint="default"/>
      </w:rPr>
    </w:lvl>
    <w:lvl w:ilvl="3">
      <w:start w:val="0"/>
      <w:numFmt w:val="bullet"/>
      <w:lvlText w:val="•"/>
      <w:lvlJc w:val="left"/>
      <w:pPr>
        <w:ind w:left="2987" w:hanging="442"/>
      </w:pPr>
      <w:rPr>
        <w:rFonts w:hint="default"/>
      </w:rPr>
    </w:lvl>
    <w:lvl w:ilvl="4">
      <w:start w:val="0"/>
      <w:numFmt w:val="bullet"/>
      <w:lvlText w:val="•"/>
      <w:lvlJc w:val="left"/>
      <w:pPr>
        <w:ind w:left="3790" w:hanging="442"/>
      </w:pPr>
      <w:rPr>
        <w:rFonts w:hint="default"/>
      </w:rPr>
    </w:lvl>
    <w:lvl w:ilvl="5">
      <w:start w:val="0"/>
      <w:numFmt w:val="bullet"/>
      <w:lvlText w:val="•"/>
      <w:lvlJc w:val="left"/>
      <w:pPr>
        <w:ind w:left="4592" w:hanging="442"/>
      </w:pPr>
      <w:rPr>
        <w:rFonts w:hint="default"/>
      </w:rPr>
    </w:lvl>
    <w:lvl w:ilvl="6">
      <w:start w:val="0"/>
      <w:numFmt w:val="bullet"/>
      <w:lvlText w:val="•"/>
      <w:lvlJc w:val="left"/>
      <w:pPr>
        <w:ind w:left="5395" w:hanging="442"/>
      </w:pPr>
      <w:rPr>
        <w:rFonts w:hint="default"/>
      </w:rPr>
    </w:lvl>
    <w:lvl w:ilvl="7">
      <w:start w:val="0"/>
      <w:numFmt w:val="bullet"/>
      <w:lvlText w:val="•"/>
      <w:lvlJc w:val="left"/>
      <w:pPr>
        <w:ind w:left="6197" w:hanging="442"/>
      </w:pPr>
      <w:rPr>
        <w:rFonts w:hint="default"/>
      </w:rPr>
    </w:lvl>
    <w:lvl w:ilvl="8">
      <w:start w:val="0"/>
      <w:numFmt w:val="bullet"/>
      <w:lvlText w:val="•"/>
      <w:lvlJc w:val="left"/>
      <w:pPr>
        <w:ind w:left="7000" w:hanging="442"/>
      </w:pPr>
      <w:rPr>
        <w:rFonts w:hint="default"/>
      </w:rPr>
    </w:lvl>
  </w:abstractNum>
  <w:abstractNum w:abstractNumId="7">
    <w:multiLevelType w:val="hybridMultilevel"/>
    <w:lvl w:ilvl="0">
      <w:start w:val="5"/>
      <w:numFmt w:val="decimal"/>
      <w:lvlText w:val="%1"/>
      <w:lvlJc w:val="left"/>
      <w:pPr>
        <w:ind w:left="2587" w:hanging="659"/>
        <w:jc w:val="left"/>
      </w:pPr>
      <w:rPr>
        <w:rFonts w:hint="default"/>
      </w:rPr>
    </w:lvl>
    <w:lvl w:ilvl="1">
      <w:start w:val="1"/>
      <w:numFmt w:val="decimal"/>
      <w:lvlText w:val="%1.%2"/>
      <w:lvlJc w:val="left"/>
      <w:pPr>
        <w:ind w:left="2587" w:hanging="659"/>
        <w:jc w:val="left"/>
      </w:pPr>
      <w:rPr>
        <w:rFonts w:hint="default" w:ascii="宋体" w:hAnsi="宋体" w:eastAsia="宋体" w:cs="宋体"/>
        <w:b/>
        <w:bCs/>
        <w:w w:val="99"/>
        <w:sz w:val="22"/>
        <w:szCs w:val="22"/>
      </w:rPr>
    </w:lvl>
    <w:lvl w:ilvl="2">
      <w:start w:val="1"/>
      <w:numFmt w:val="decimal"/>
      <w:lvlText w:val="(%3)"/>
      <w:lvlJc w:val="left"/>
      <w:pPr>
        <w:ind w:left="2687" w:hanging="420"/>
        <w:jc w:val="left"/>
      </w:pPr>
      <w:rPr>
        <w:rFonts w:hint="default" w:ascii="宋体" w:hAnsi="宋体" w:eastAsia="宋体" w:cs="宋体"/>
        <w:w w:val="100"/>
        <w:sz w:val="22"/>
        <w:szCs w:val="22"/>
      </w:rPr>
    </w:lvl>
    <w:lvl w:ilvl="3">
      <w:start w:val="0"/>
      <w:numFmt w:val="bullet"/>
      <w:lvlText w:val="•"/>
      <w:lvlJc w:val="left"/>
      <w:pPr>
        <w:ind w:left="4428" w:hanging="420"/>
      </w:pPr>
      <w:rPr>
        <w:rFonts w:hint="default"/>
      </w:rPr>
    </w:lvl>
    <w:lvl w:ilvl="4">
      <w:start w:val="0"/>
      <w:numFmt w:val="bullet"/>
      <w:lvlText w:val="•"/>
      <w:lvlJc w:val="left"/>
      <w:pPr>
        <w:ind w:left="5302" w:hanging="420"/>
      </w:pPr>
      <w:rPr>
        <w:rFonts w:hint="default"/>
      </w:rPr>
    </w:lvl>
    <w:lvl w:ilvl="5">
      <w:start w:val="0"/>
      <w:numFmt w:val="bullet"/>
      <w:lvlText w:val="•"/>
      <w:lvlJc w:val="left"/>
      <w:pPr>
        <w:ind w:left="6176" w:hanging="420"/>
      </w:pPr>
      <w:rPr>
        <w:rFonts w:hint="default"/>
      </w:rPr>
    </w:lvl>
    <w:lvl w:ilvl="6">
      <w:start w:val="0"/>
      <w:numFmt w:val="bullet"/>
      <w:lvlText w:val="•"/>
      <w:lvlJc w:val="left"/>
      <w:pPr>
        <w:ind w:left="7050" w:hanging="420"/>
      </w:pPr>
      <w:rPr>
        <w:rFonts w:hint="default"/>
      </w:rPr>
    </w:lvl>
    <w:lvl w:ilvl="7">
      <w:start w:val="0"/>
      <w:numFmt w:val="bullet"/>
      <w:lvlText w:val="•"/>
      <w:lvlJc w:val="left"/>
      <w:pPr>
        <w:ind w:left="7924" w:hanging="420"/>
      </w:pPr>
      <w:rPr>
        <w:rFonts w:hint="default"/>
      </w:rPr>
    </w:lvl>
    <w:lvl w:ilvl="8">
      <w:start w:val="0"/>
      <w:numFmt w:val="bullet"/>
      <w:lvlText w:val="•"/>
      <w:lvlJc w:val="left"/>
      <w:pPr>
        <w:ind w:left="8798" w:hanging="420"/>
      </w:pPr>
      <w:rPr>
        <w:rFonts w:hint="default"/>
      </w:rPr>
    </w:lvl>
  </w:abstractNum>
  <w:abstractNum w:abstractNumId="6">
    <w:multiLevelType w:val="hybridMultilevel"/>
    <w:lvl w:ilvl="0">
      <w:start w:val="4"/>
      <w:numFmt w:val="decimal"/>
      <w:lvlText w:val="%1"/>
      <w:lvlJc w:val="left"/>
      <w:pPr>
        <w:ind w:left="2587" w:hanging="666"/>
        <w:jc w:val="left"/>
      </w:pPr>
      <w:rPr>
        <w:rFonts w:hint="default"/>
      </w:rPr>
    </w:lvl>
    <w:lvl w:ilvl="1">
      <w:start w:val="2"/>
      <w:numFmt w:val="decimal"/>
      <w:lvlText w:val="%1.%2"/>
      <w:lvlJc w:val="left"/>
      <w:pPr>
        <w:ind w:left="2587" w:hanging="666"/>
        <w:jc w:val="left"/>
      </w:pPr>
      <w:rPr>
        <w:rFonts w:hint="default" w:ascii="宋体" w:hAnsi="宋体" w:eastAsia="宋体" w:cs="宋体"/>
        <w:b/>
        <w:bCs/>
        <w:w w:val="99"/>
        <w:sz w:val="22"/>
        <w:szCs w:val="22"/>
      </w:rPr>
    </w:lvl>
    <w:lvl w:ilvl="2">
      <w:start w:val="0"/>
      <w:numFmt w:val="bullet"/>
      <w:lvlText w:val="•"/>
      <w:lvlJc w:val="left"/>
      <w:pPr>
        <w:ind w:left="4241" w:hanging="666"/>
      </w:pPr>
      <w:rPr>
        <w:rFonts w:hint="default"/>
      </w:rPr>
    </w:lvl>
    <w:lvl w:ilvl="3">
      <w:start w:val="0"/>
      <w:numFmt w:val="bullet"/>
      <w:lvlText w:val="•"/>
      <w:lvlJc w:val="left"/>
      <w:pPr>
        <w:ind w:left="5071" w:hanging="666"/>
      </w:pPr>
      <w:rPr>
        <w:rFonts w:hint="default"/>
      </w:rPr>
    </w:lvl>
    <w:lvl w:ilvl="4">
      <w:start w:val="0"/>
      <w:numFmt w:val="bullet"/>
      <w:lvlText w:val="•"/>
      <w:lvlJc w:val="left"/>
      <w:pPr>
        <w:ind w:left="5902" w:hanging="666"/>
      </w:pPr>
      <w:rPr>
        <w:rFonts w:hint="default"/>
      </w:rPr>
    </w:lvl>
    <w:lvl w:ilvl="5">
      <w:start w:val="0"/>
      <w:numFmt w:val="bullet"/>
      <w:lvlText w:val="•"/>
      <w:lvlJc w:val="left"/>
      <w:pPr>
        <w:ind w:left="6733" w:hanging="666"/>
      </w:pPr>
      <w:rPr>
        <w:rFonts w:hint="default"/>
      </w:rPr>
    </w:lvl>
    <w:lvl w:ilvl="6">
      <w:start w:val="0"/>
      <w:numFmt w:val="bullet"/>
      <w:lvlText w:val="•"/>
      <w:lvlJc w:val="left"/>
      <w:pPr>
        <w:ind w:left="7563" w:hanging="666"/>
      </w:pPr>
      <w:rPr>
        <w:rFonts w:hint="default"/>
      </w:rPr>
    </w:lvl>
    <w:lvl w:ilvl="7">
      <w:start w:val="0"/>
      <w:numFmt w:val="bullet"/>
      <w:lvlText w:val="•"/>
      <w:lvlJc w:val="left"/>
      <w:pPr>
        <w:ind w:left="8394" w:hanging="666"/>
      </w:pPr>
      <w:rPr>
        <w:rFonts w:hint="default"/>
      </w:rPr>
    </w:lvl>
    <w:lvl w:ilvl="8">
      <w:start w:val="0"/>
      <w:numFmt w:val="bullet"/>
      <w:lvlText w:val="•"/>
      <w:lvlJc w:val="left"/>
      <w:pPr>
        <w:ind w:left="9225" w:hanging="666"/>
      </w:pPr>
      <w:rPr>
        <w:rFonts w:hint="default"/>
      </w:rPr>
    </w:lvl>
  </w:abstractNum>
  <w:abstractNum w:abstractNumId="5">
    <w:multiLevelType w:val="hybridMultilevel"/>
    <w:lvl w:ilvl="0">
      <w:start w:val="1"/>
      <w:numFmt w:val="decimal"/>
      <w:lvlText w:val="(%1)"/>
      <w:lvlJc w:val="left"/>
      <w:pPr>
        <w:ind w:left="560" w:hanging="420"/>
        <w:jc w:val="left"/>
      </w:pPr>
      <w:rPr>
        <w:rFonts w:hint="default" w:ascii="宋体" w:hAnsi="宋体" w:eastAsia="宋体" w:cs="宋体"/>
        <w:w w:val="100"/>
        <w:sz w:val="22"/>
        <w:szCs w:val="22"/>
      </w:rPr>
    </w:lvl>
    <w:lvl w:ilvl="1">
      <w:start w:val="0"/>
      <w:numFmt w:val="bullet"/>
      <w:lvlText w:val="•"/>
      <w:lvlJc w:val="left"/>
      <w:pPr>
        <w:ind w:left="1355" w:hanging="420"/>
      </w:pPr>
      <w:rPr>
        <w:rFonts w:hint="default"/>
      </w:rPr>
    </w:lvl>
    <w:lvl w:ilvl="2">
      <w:start w:val="0"/>
      <w:numFmt w:val="bullet"/>
      <w:lvlText w:val="•"/>
      <w:lvlJc w:val="left"/>
      <w:pPr>
        <w:ind w:left="2151" w:hanging="420"/>
      </w:pPr>
      <w:rPr>
        <w:rFonts w:hint="default"/>
      </w:rPr>
    </w:lvl>
    <w:lvl w:ilvl="3">
      <w:start w:val="0"/>
      <w:numFmt w:val="bullet"/>
      <w:lvlText w:val="•"/>
      <w:lvlJc w:val="left"/>
      <w:pPr>
        <w:ind w:left="2947" w:hanging="420"/>
      </w:pPr>
      <w:rPr>
        <w:rFonts w:hint="default"/>
      </w:rPr>
    </w:lvl>
    <w:lvl w:ilvl="4">
      <w:start w:val="0"/>
      <w:numFmt w:val="bullet"/>
      <w:lvlText w:val="•"/>
      <w:lvlJc w:val="left"/>
      <w:pPr>
        <w:ind w:left="3743" w:hanging="420"/>
      </w:pPr>
      <w:rPr>
        <w:rFonts w:hint="default"/>
      </w:rPr>
    </w:lvl>
    <w:lvl w:ilvl="5">
      <w:start w:val="0"/>
      <w:numFmt w:val="bullet"/>
      <w:lvlText w:val="•"/>
      <w:lvlJc w:val="left"/>
      <w:pPr>
        <w:ind w:left="4539" w:hanging="420"/>
      </w:pPr>
      <w:rPr>
        <w:rFonts w:hint="default"/>
      </w:rPr>
    </w:lvl>
    <w:lvl w:ilvl="6">
      <w:start w:val="0"/>
      <w:numFmt w:val="bullet"/>
      <w:lvlText w:val="•"/>
      <w:lvlJc w:val="left"/>
      <w:pPr>
        <w:ind w:left="5335" w:hanging="420"/>
      </w:pPr>
      <w:rPr>
        <w:rFonts w:hint="default"/>
      </w:rPr>
    </w:lvl>
    <w:lvl w:ilvl="7">
      <w:start w:val="0"/>
      <w:numFmt w:val="bullet"/>
      <w:lvlText w:val="•"/>
      <w:lvlJc w:val="left"/>
      <w:pPr>
        <w:ind w:left="6131" w:hanging="420"/>
      </w:pPr>
      <w:rPr>
        <w:rFonts w:hint="default"/>
      </w:rPr>
    </w:lvl>
    <w:lvl w:ilvl="8">
      <w:start w:val="0"/>
      <w:numFmt w:val="bullet"/>
      <w:lvlText w:val="•"/>
      <w:lvlJc w:val="left"/>
      <w:pPr>
        <w:ind w:left="6927" w:hanging="420"/>
      </w:pPr>
      <w:rPr>
        <w:rFonts w:hint="default"/>
      </w:rPr>
    </w:lvl>
  </w:abstractNum>
  <w:abstractNum w:abstractNumId="4">
    <w:multiLevelType w:val="hybridMultilevel"/>
    <w:lvl w:ilvl="0">
      <w:start w:val="2"/>
      <w:numFmt w:val="decimal"/>
      <w:lvlText w:val="%1"/>
      <w:lvlJc w:val="left"/>
      <w:pPr>
        <w:ind w:left="982" w:hanging="666"/>
        <w:jc w:val="left"/>
      </w:pPr>
      <w:rPr>
        <w:rFonts w:hint="default"/>
      </w:rPr>
    </w:lvl>
    <w:lvl w:ilvl="1">
      <w:start w:val="4"/>
      <w:numFmt w:val="decimal"/>
      <w:lvlText w:val="%1.%2"/>
      <w:lvlJc w:val="left"/>
      <w:pPr>
        <w:ind w:left="982" w:hanging="666"/>
        <w:jc w:val="left"/>
      </w:pPr>
      <w:rPr>
        <w:rFonts w:hint="default" w:ascii="宋体" w:hAnsi="宋体" w:eastAsia="宋体" w:cs="宋体"/>
        <w:b/>
        <w:bCs/>
        <w:w w:val="99"/>
        <w:sz w:val="22"/>
        <w:szCs w:val="22"/>
      </w:rPr>
    </w:lvl>
    <w:lvl w:ilvl="2">
      <w:start w:val="1"/>
      <w:numFmt w:val="decimal"/>
      <w:lvlText w:val="(%3)"/>
      <w:lvlJc w:val="left"/>
      <w:pPr>
        <w:ind w:left="3007" w:hanging="420"/>
        <w:jc w:val="left"/>
      </w:pPr>
      <w:rPr>
        <w:rFonts w:hint="default"/>
        <w:w w:val="100"/>
        <w:highlight w:val="lightGray"/>
      </w:rPr>
    </w:lvl>
    <w:lvl w:ilvl="3">
      <w:start w:val="0"/>
      <w:numFmt w:val="bullet"/>
      <w:lvlText w:val="•"/>
      <w:lvlJc w:val="left"/>
      <w:pPr>
        <w:ind w:left="4792" w:hanging="420"/>
      </w:pPr>
      <w:rPr>
        <w:rFonts w:hint="default"/>
      </w:rPr>
    </w:lvl>
    <w:lvl w:ilvl="4">
      <w:start w:val="0"/>
      <w:numFmt w:val="bullet"/>
      <w:lvlText w:val="•"/>
      <w:lvlJc w:val="left"/>
      <w:pPr>
        <w:ind w:left="5688" w:hanging="420"/>
      </w:pPr>
      <w:rPr>
        <w:rFonts w:hint="default"/>
      </w:rPr>
    </w:lvl>
    <w:lvl w:ilvl="5">
      <w:start w:val="0"/>
      <w:numFmt w:val="bullet"/>
      <w:lvlText w:val="•"/>
      <w:lvlJc w:val="left"/>
      <w:pPr>
        <w:ind w:left="6585" w:hanging="420"/>
      </w:pPr>
      <w:rPr>
        <w:rFonts w:hint="default"/>
      </w:rPr>
    </w:lvl>
    <w:lvl w:ilvl="6">
      <w:start w:val="0"/>
      <w:numFmt w:val="bullet"/>
      <w:lvlText w:val="•"/>
      <w:lvlJc w:val="left"/>
      <w:pPr>
        <w:ind w:left="7481" w:hanging="420"/>
      </w:pPr>
      <w:rPr>
        <w:rFonts w:hint="default"/>
      </w:rPr>
    </w:lvl>
    <w:lvl w:ilvl="7">
      <w:start w:val="0"/>
      <w:numFmt w:val="bullet"/>
      <w:lvlText w:val="•"/>
      <w:lvlJc w:val="left"/>
      <w:pPr>
        <w:ind w:left="8377" w:hanging="420"/>
      </w:pPr>
      <w:rPr>
        <w:rFonts w:hint="default"/>
      </w:rPr>
    </w:lvl>
    <w:lvl w:ilvl="8">
      <w:start w:val="0"/>
      <w:numFmt w:val="bullet"/>
      <w:lvlText w:val="•"/>
      <w:lvlJc w:val="left"/>
      <w:pPr>
        <w:ind w:left="9273" w:hanging="420"/>
      </w:pPr>
      <w:rPr>
        <w:rFonts w:hint="default"/>
      </w:rPr>
    </w:lvl>
  </w:abstractNum>
  <w:abstractNum w:abstractNumId="3">
    <w:multiLevelType w:val="hybridMultilevel"/>
    <w:lvl w:ilvl="0">
      <w:start w:val="9"/>
      <w:numFmt w:val="decimal"/>
      <w:lvlText w:val="%1"/>
      <w:lvlJc w:val="left"/>
      <w:pPr>
        <w:ind w:left="1102" w:hanging="569"/>
        <w:jc w:val="left"/>
      </w:pPr>
      <w:rPr>
        <w:rFonts w:hint="default"/>
      </w:rPr>
    </w:lvl>
    <w:lvl w:ilvl="1">
      <w:start w:val="15"/>
      <w:numFmt w:val="decimal"/>
      <w:lvlText w:val="%1.%2"/>
      <w:lvlJc w:val="left"/>
      <w:pPr>
        <w:ind w:left="1102" w:hanging="569"/>
        <w:jc w:val="left"/>
      </w:pPr>
      <w:rPr>
        <w:rFonts w:hint="default" w:ascii="宋体" w:hAnsi="宋体" w:eastAsia="宋体" w:cs="宋体"/>
        <w:w w:val="100"/>
        <w:sz w:val="24"/>
        <w:szCs w:val="24"/>
      </w:rPr>
    </w:lvl>
    <w:lvl w:ilvl="2">
      <w:start w:val="0"/>
      <w:numFmt w:val="bullet"/>
      <w:lvlText w:val="•"/>
      <w:lvlJc w:val="left"/>
      <w:pPr>
        <w:ind w:left="1572" w:hanging="569"/>
      </w:pPr>
      <w:rPr>
        <w:rFonts w:hint="default"/>
      </w:rPr>
    </w:lvl>
    <w:lvl w:ilvl="3">
      <w:start w:val="0"/>
      <w:numFmt w:val="bullet"/>
      <w:lvlText w:val="•"/>
      <w:lvlJc w:val="left"/>
      <w:pPr>
        <w:ind w:left="1808" w:hanging="569"/>
      </w:pPr>
      <w:rPr>
        <w:rFonts w:hint="default"/>
      </w:rPr>
    </w:lvl>
    <w:lvl w:ilvl="4">
      <w:start w:val="0"/>
      <w:numFmt w:val="bullet"/>
      <w:lvlText w:val="•"/>
      <w:lvlJc w:val="left"/>
      <w:pPr>
        <w:ind w:left="2044" w:hanging="569"/>
      </w:pPr>
      <w:rPr>
        <w:rFonts w:hint="default"/>
      </w:rPr>
    </w:lvl>
    <w:lvl w:ilvl="5">
      <w:start w:val="0"/>
      <w:numFmt w:val="bullet"/>
      <w:lvlText w:val="•"/>
      <w:lvlJc w:val="left"/>
      <w:pPr>
        <w:ind w:left="2280" w:hanging="569"/>
      </w:pPr>
      <w:rPr>
        <w:rFonts w:hint="default"/>
      </w:rPr>
    </w:lvl>
    <w:lvl w:ilvl="6">
      <w:start w:val="0"/>
      <w:numFmt w:val="bullet"/>
      <w:lvlText w:val="•"/>
      <w:lvlJc w:val="left"/>
      <w:pPr>
        <w:ind w:left="2516" w:hanging="569"/>
      </w:pPr>
      <w:rPr>
        <w:rFonts w:hint="default"/>
      </w:rPr>
    </w:lvl>
    <w:lvl w:ilvl="7">
      <w:start w:val="0"/>
      <w:numFmt w:val="bullet"/>
      <w:lvlText w:val="•"/>
      <w:lvlJc w:val="left"/>
      <w:pPr>
        <w:ind w:left="2752" w:hanging="569"/>
      </w:pPr>
      <w:rPr>
        <w:rFonts w:hint="default"/>
      </w:rPr>
    </w:lvl>
    <w:lvl w:ilvl="8">
      <w:start w:val="0"/>
      <w:numFmt w:val="bullet"/>
      <w:lvlText w:val="•"/>
      <w:lvlJc w:val="left"/>
      <w:pPr>
        <w:ind w:left="2988" w:hanging="569"/>
      </w:pPr>
      <w:rPr>
        <w:rFonts w:hint="default"/>
      </w:rPr>
    </w:lvl>
  </w:abstractNum>
  <w:abstractNum w:abstractNumId="2">
    <w:multiLevelType w:val="hybridMultilevel"/>
    <w:lvl w:ilvl="0">
      <w:start w:val="6"/>
      <w:numFmt w:val="decimal"/>
      <w:lvlText w:val="%1"/>
      <w:lvlJc w:val="left"/>
      <w:pPr>
        <w:ind w:left="533" w:hanging="284"/>
        <w:jc w:val="left"/>
      </w:pPr>
      <w:rPr>
        <w:rFonts w:hint="default" w:ascii="宋体" w:hAnsi="宋体" w:eastAsia="宋体" w:cs="宋体"/>
        <w:b/>
        <w:bCs/>
        <w:w w:val="99"/>
        <w:sz w:val="24"/>
        <w:szCs w:val="24"/>
      </w:rPr>
    </w:lvl>
    <w:lvl w:ilvl="1">
      <w:start w:val="1"/>
      <w:numFmt w:val="decimal"/>
      <w:lvlText w:val="%1.%2"/>
      <w:lvlJc w:val="left"/>
      <w:pPr>
        <w:ind w:left="1101" w:hanging="569"/>
        <w:jc w:val="left"/>
      </w:pPr>
      <w:rPr>
        <w:rFonts w:hint="default" w:ascii="宋体" w:hAnsi="宋体" w:eastAsia="宋体" w:cs="宋体"/>
        <w:w w:val="100"/>
        <w:sz w:val="24"/>
        <w:szCs w:val="24"/>
      </w:rPr>
    </w:lvl>
    <w:lvl w:ilvl="2">
      <w:start w:val="0"/>
      <w:numFmt w:val="bullet"/>
      <w:lvlText w:val="•"/>
      <w:lvlJc w:val="left"/>
      <w:pPr>
        <w:ind w:left="1100" w:hanging="569"/>
      </w:pPr>
      <w:rPr>
        <w:rFonts w:hint="default"/>
      </w:rPr>
    </w:lvl>
    <w:lvl w:ilvl="3">
      <w:start w:val="0"/>
      <w:numFmt w:val="bullet"/>
      <w:lvlText w:val="•"/>
      <w:lvlJc w:val="left"/>
      <w:pPr>
        <w:ind w:left="1398" w:hanging="569"/>
      </w:pPr>
      <w:rPr>
        <w:rFonts w:hint="default"/>
      </w:rPr>
    </w:lvl>
    <w:lvl w:ilvl="4">
      <w:start w:val="0"/>
      <w:numFmt w:val="bullet"/>
      <w:lvlText w:val="•"/>
      <w:lvlJc w:val="left"/>
      <w:pPr>
        <w:ind w:left="1696" w:hanging="569"/>
      </w:pPr>
      <w:rPr>
        <w:rFonts w:hint="default"/>
      </w:rPr>
    </w:lvl>
    <w:lvl w:ilvl="5">
      <w:start w:val="0"/>
      <w:numFmt w:val="bullet"/>
      <w:lvlText w:val="•"/>
      <w:lvlJc w:val="left"/>
      <w:pPr>
        <w:ind w:left="1995" w:hanging="569"/>
      </w:pPr>
      <w:rPr>
        <w:rFonts w:hint="default"/>
      </w:rPr>
    </w:lvl>
    <w:lvl w:ilvl="6">
      <w:start w:val="0"/>
      <w:numFmt w:val="bullet"/>
      <w:lvlText w:val="•"/>
      <w:lvlJc w:val="left"/>
      <w:pPr>
        <w:ind w:left="2293" w:hanging="569"/>
      </w:pPr>
      <w:rPr>
        <w:rFonts w:hint="default"/>
      </w:rPr>
    </w:lvl>
    <w:lvl w:ilvl="7">
      <w:start w:val="0"/>
      <w:numFmt w:val="bullet"/>
      <w:lvlText w:val="•"/>
      <w:lvlJc w:val="left"/>
      <w:pPr>
        <w:ind w:left="2591" w:hanging="569"/>
      </w:pPr>
      <w:rPr>
        <w:rFonts w:hint="default"/>
      </w:rPr>
    </w:lvl>
    <w:lvl w:ilvl="8">
      <w:start w:val="0"/>
      <w:numFmt w:val="bullet"/>
      <w:lvlText w:val="•"/>
      <w:lvlJc w:val="left"/>
      <w:pPr>
        <w:ind w:left="2890" w:hanging="569"/>
      </w:pPr>
      <w:rPr>
        <w:rFonts w:hint="default"/>
      </w:rPr>
    </w:lvl>
  </w:abstractNum>
  <w:abstractNum w:abstractNumId="1">
    <w:multiLevelType w:val="hybridMultilevel"/>
    <w:lvl w:ilvl="0">
      <w:start w:val="1"/>
      <w:numFmt w:val="decimal"/>
      <w:lvlText w:val="%1"/>
      <w:lvlJc w:val="left"/>
      <w:pPr>
        <w:ind w:left="483" w:hanging="284"/>
        <w:jc w:val="left"/>
      </w:pPr>
      <w:rPr>
        <w:rFonts w:hint="default" w:ascii="宋体" w:hAnsi="宋体" w:eastAsia="宋体" w:cs="宋体"/>
        <w:b/>
        <w:bCs/>
        <w:w w:val="99"/>
        <w:sz w:val="24"/>
        <w:szCs w:val="24"/>
      </w:rPr>
    </w:lvl>
    <w:lvl w:ilvl="1">
      <w:start w:val="1"/>
      <w:numFmt w:val="decimal"/>
      <w:lvlText w:val="%1.%2"/>
      <w:lvlJc w:val="left"/>
      <w:pPr>
        <w:ind w:left="1052" w:hanging="570"/>
        <w:jc w:val="left"/>
      </w:pPr>
      <w:rPr>
        <w:rFonts w:hint="default" w:ascii="宋体" w:hAnsi="宋体" w:eastAsia="宋体" w:cs="宋体"/>
        <w:w w:val="100"/>
        <w:sz w:val="24"/>
        <w:szCs w:val="24"/>
      </w:rPr>
    </w:lvl>
    <w:lvl w:ilvl="2">
      <w:start w:val="0"/>
      <w:numFmt w:val="bullet"/>
      <w:lvlText w:val="•"/>
      <w:lvlJc w:val="left"/>
      <w:pPr>
        <w:ind w:left="1324" w:hanging="570"/>
      </w:pPr>
      <w:rPr>
        <w:rFonts w:hint="default"/>
      </w:rPr>
    </w:lvl>
    <w:lvl w:ilvl="3">
      <w:start w:val="0"/>
      <w:numFmt w:val="bullet"/>
      <w:lvlText w:val="•"/>
      <w:lvlJc w:val="left"/>
      <w:pPr>
        <w:ind w:left="1588" w:hanging="570"/>
      </w:pPr>
      <w:rPr>
        <w:rFonts w:hint="default"/>
      </w:rPr>
    </w:lvl>
    <w:lvl w:ilvl="4">
      <w:start w:val="0"/>
      <w:numFmt w:val="bullet"/>
      <w:lvlText w:val="•"/>
      <w:lvlJc w:val="left"/>
      <w:pPr>
        <w:ind w:left="1852" w:hanging="570"/>
      </w:pPr>
      <w:rPr>
        <w:rFonts w:hint="default"/>
      </w:rPr>
    </w:lvl>
    <w:lvl w:ilvl="5">
      <w:start w:val="0"/>
      <w:numFmt w:val="bullet"/>
      <w:lvlText w:val="•"/>
      <w:lvlJc w:val="left"/>
      <w:pPr>
        <w:ind w:left="2116" w:hanging="570"/>
      </w:pPr>
      <w:rPr>
        <w:rFonts w:hint="default"/>
      </w:rPr>
    </w:lvl>
    <w:lvl w:ilvl="6">
      <w:start w:val="0"/>
      <w:numFmt w:val="bullet"/>
      <w:lvlText w:val="•"/>
      <w:lvlJc w:val="left"/>
      <w:pPr>
        <w:ind w:left="2381" w:hanging="570"/>
      </w:pPr>
      <w:rPr>
        <w:rFonts w:hint="default"/>
      </w:rPr>
    </w:lvl>
    <w:lvl w:ilvl="7">
      <w:start w:val="0"/>
      <w:numFmt w:val="bullet"/>
      <w:lvlText w:val="•"/>
      <w:lvlJc w:val="left"/>
      <w:pPr>
        <w:ind w:left="2645" w:hanging="570"/>
      </w:pPr>
      <w:rPr>
        <w:rFonts w:hint="default"/>
      </w:rPr>
    </w:lvl>
    <w:lvl w:ilvl="8">
      <w:start w:val="0"/>
      <w:numFmt w:val="bullet"/>
      <w:lvlText w:val="•"/>
      <w:lvlJc w:val="left"/>
      <w:pPr>
        <w:ind w:left="2909" w:hanging="570"/>
      </w:pPr>
      <w:rPr>
        <w:rFonts w:hint="default"/>
      </w:rPr>
    </w:lvl>
  </w:abstractNum>
  <w:abstractNum w:abstractNumId="0">
    <w:multiLevelType w:val="hybridMultilevel"/>
    <w:lvl w:ilvl="0">
      <w:start w:val="0"/>
      <w:numFmt w:val="bullet"/>
      <w:lvlText w:val=""/>
      <w:lvlJc w:val="left"/>
      <w:pPr>
        <w:ind w:left="715" w:hanging="215"/>
      </w:pPr>
      <w:rPr>
        <w:rFonts w:hint="default" w:ascii="Wingdings" w:hAnsi="Wingdings" w:eastAsia="Wingdings" w:cs="Wingdings"/>
        <w:spacing w:val="-1"/>
        <w:w w:val="100"/>
        <w:sz w:val="22"/>
        <w:szCs w:val="22"/>
      </w:rPr>
    </w:lvl>
    <w:lvl w:ilvl="1">
      <w:start w:val="0"/>
      <w:numFmt w:val="bullet"/>
      <w:lvlText w:val="•"/>
      <w:lvlJc w:val="left"/>
      <w:pPr>
        <w:ind w:left="1726" w:hanging="215"/>
      </w:pPr>
      <w:rPr>
        <w:rFonts w:hint="default"/>
      </w:rPr>
    </w:lvl>
    <w:lvl w:ilvl="2">
      <w:start w:val="0"/>
      <w:numFmt w:val="bullet"/>
      <w:lvlText w:val="•"/>
      <w:lvlJc w:val="left"/>
      <w:pPr>
        <w:ind w:left="2733" w:hanging="215"/>
      </w:pPr>
      <w:rPr>
        <w:rFonts w:hint="default"/>
      </w:rPr>
    </w:lvl>
    <w:lvl w:ilvl="3">
      <w:start w:val="0"/>
      <w:numFmt w:val="bullet"/>
      <w:lvlText w:val="•"/>
      <w:lvlJc w:val="left"/>
      <w:pPr>
        <w:ind w:left="3739" w:hanging="215"/>
      </w:pPr>
      <w:rPr>
        <w:rFonts w:hint="default"/>
      </w:rPr>
    </w:lvl>
    <w:lvl w:ilvl="4">
      <w:start w:val="0"/>
      <w:numFmt w:val="bullet"/>
      <w:lvlText w:val="•"/>
      <w:lvlJc w:val="left"/>
      <w:pPr>
        <w:ind w:left="4746" w:hanging="215"/>
      </w:pPr>
      <w:rPr>
        <w:rFonts w:hint="default"/>
      </w:rPr>
    </w:lvl>
    <w:lvl w:ilvl="5">
      <w:start w:val="0"/>
      <w:numFmt w:val="bullet"/>
      <w:lvlText w:val="•"/>
      <w:lvlJc w:val="left"/>
      <w:pPr>
        <w:ind w:left="5753" w:hanging="215"/>
      </w:pPr>
      <w:rPr>
        <w:rFonts w:hint="default"/>
      </w:rPr>
    </w:lvl>
    <w:lvl w:ilvl="6">
      <w:start w:val="0"/>
      <w:numFmt w:val="bullet"/>
      <w:lvlText w:val="•"/>
      <w:lvlJc w:val="left"/>
      <w:pPr>
        <w:ind w:left="6759" w:hanging="215"/>
      </w:pPr>
      <w:rPr>
        <w:rFonts w:hint="default"/>
      </w:rPr>
    </w:lvl>
    <w:lvl w:ilvl="7">
      <w:start w:val="0"/>
      <w:numFmt w:val="bullet"/>
      <w:lvlText w:val="•"/>
      <w:lvlJc w:val="left"/>
      <w:pPr>
        <w:ind w:left="7766" w:hanging="215"/>
      </w:pPr>
      <w:rPr>
        <w:rFonts w:hint="default"/>
      </w:rPr>
    </w:lvl>
    <w:lvl w:ilvl="8">
      <w:start w:val="0"/>
      <w:numFmt w:val="bullet"/>
      <w:lvlText w:val="•"/>
      <w:lvlJc w:val="left"/>
      <w:pPr>
        <w:ind w:left="8773" w:hanging="215"/>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ind w:left="199"/>
      <w:outlineLvl w:val="1"/>
    </w:pPr>
    <w:rPr>
      <w:rFonts w:ascii="微软雅黑" w:hAnsi="微软雅黑" w:eastAsia="微软雅黑" w:cs="微软雅黑"/>
      <w:b/>
      <w:bCs/>
      <w:sz w:val="44"/>
      <w:szCs w:val="44"/>
    </w:rPr>
  </w:style>
  <w:style w:styleId="Heading2" w:type="paragraph">
    <w:name w:val="Heading 2"/>
    <w:basedOn w:val="Normal"/>
    <w:uiPriority w:val="1"/>
    <w:qFormat/>
    <w:pPr>
      <w:ind w:left="117" w:right="192"/>
      <w:jc w:val="center"/>
      <w:outlineLvl w:val="2"/>
    </w:pPr>
    <w:rPr>
      <w:rFonts w:ascii="微软雅黑" w:hAnsi="微软雅黑" w:eastAsia="微软雅黑" w:cs="微软雅黑"/>
      <w:b/>
      <w:bCs/>
      <w:sz w:val="40"/>
      <w:szCs w:val="40"/>
    </w:rPr>
  </w:style>
  <w:style w:styleId="Heading3" w:type="paragraph">
    <w:name w:val="Heading 3"/>
    <w:basedOn w:val="Normal"/>
    <w:uiPriority w:val="1"/>
    <w:qFormat/>
    <w:pPr>
      <w:spacing w:before="75"/>
      <w:ind w:left="287"/>
      <w:outlineLvl w:val="3"/>
    </w:pPr>
    <w:rPr>
      <w:rFonts w:ascii="宋体" w:hAnsi="宋体" w:eastAsia="宋体" w:cs="宋体"/>
      <w:b/>
      <w:bCs/>
      <w:sz w:val="30"/>
      <w:szCs w:val="30"/>
      <w:u w:val="single" w:color="000000"/>
    </w:rPr>
  </w:style>
  <w:style w:styleId="Heading4" w:type="paragraph">
    <w:name w:val="Heading 4"/>
    <w:basedOn w:val="Normal"/>
    <w:uiPriority w:val="1"/>
    <w:qFormat/>
    <w:pPr>
      <w:ind w:left="741"/>
      <w:outlineLvl w:val="4"/>
    </w:pPr>
    <w:rPr>
      <w:rFonts w:ascii="微软雅黑" w:hAnsi="微软雅黑" w:eastAsia="微软雅黑" w:cs="微软雅黑"/>
      <w:b/>
      <w:bCs/>
      <w:sz w:val="22"/>
      <w:szCs w:val="22"/>
    </w:rPr>
  </w:style>
  <w:style w:styleId="ListParagraph" w:type="paragraph">
    <w:name w:val="List Paragraph"/>
    <w:basedOn w:val="Normal"/>
    <w:uiPriority w:val="1"/>
    <w:qFormat/>
    <w:pPr>
      <w:spacing w:before="91"/>
      <w:ind w:left="71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image" Target="media/image7.png"/><Relationship Id="rId17" Type="http://schemas.openxmlformats.org/officeDocument/2006/relationships/header" Target="header5.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2018-10-19T23:40:42Z</dcterms:created>
  <dcterms:modified xsi:type="dcterms:W3CDTF">2018-10-19T23:40:42Z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2014-05-04T00:00:00Z</vt:filetime>
  </property>
  <property fmtid="{D5CDD505-2E9C-101B-9397-08002B2CF9AE}" pid="3" name="Creator">
    <vt:lpwstr>Microsoft® Office Word 2007</vt:lpwstr>
  </property>
  <property fmtid="{D5CDD505-2E9C-101B-9397-08002B2CF9AE}" pid="4" name="LastSaved">
    <vt:filetime>2018-10-19T00:00:00Z</vt:filetime>
  </property>
</Properties>
</file>