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8265"/>
        <w:rPr>
          <w:rFonts w:ascii="Times New Roman"/>
          <w:sz w:val="20"/>
        </w:rPr>
      </w:pPr>
      <w:r>
        <w:rPr>
          <w:rFonts w:ascii="Times New Roman"/>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Times New Roman"/>
          <w:sz w:val="20"/>
        </w:rPr>
      </w:r>
    </w:p>
    <w:p>
      <w:pPr>
        <w:pStyle w:val="BodyText"/>
        <w:spacing w:before="1"/>
        <w:ind w:left="0"/>
        <w:rPr>
          <w:rFonts w:ascii="Times New Roman"/>
          <w:sz w:val="6"/>
        </w:rPr>
      </w:pPr>
    </w:p>
    <w:p>
      <w:pPr>
        <w:spacing w:after="0"/>
        <w:rPr>
          <w:rFonts w:ascii="Times New Roman"/>
          <w:sz w:val="6"/>
        </w:rPr>
        <w:sectPr>
          <w:footerReference w:type="default" r:id="rId5"/>
          <w:type w:val="continuous"/>
          <w:pgSz w:w="11910" w:h="16840"/>
          <w:pgMar w:footer="1008" w:top="260" w:bottom="1200" w:left="1680" w:right="380"/>
          <w:pgNumType w:start="1"/>
        </w:sectPr>
      </w:pPr>
    </w:p>
    <w:p>
      <w:pPr>
        <w:spacing w:line="756" w:lineRule="exact" w:before="0"/>
        <w:ind w:left="1141" w:right="0" w:firstLine="0"/>
        <w:jc w:val="center"/>
        <w:rPr>
          <w:rFonts w:ascii="Microsoft JhengHei" w:eastAsia="Microsoft JhengHei" w:hint="eastAsia"/>
          <w:b/>
          <w:sz w:val="52"/>
        </w:rPr>
      </w:pPr>
      <w:r>
        <w:rPr>
          <w:rFonts w:ascii="Microsoft JhengHei" w:eastAsia="Microsoft JhengHei" w:hint="eastAsia"/>
          <w:b/>
          <w:sz w:val="52"/>
        </w:rPr>
        <w:t>昆仑健康保险股份有限公司</w:t>
      </w:r>
    </w:p>
    <w:p>
      <w:pPr>
        <w:pStyle w:val="BodyText"/>
        <w:spacing w:before="135"/>
        <w:ind w:left="1142"/>
        <w:jc w:val="center"/>
      </w:pPr>
      <w:r>
        <w:rPr/>
        <w:t>（以下简称本公司）</w:t>
      </w:r>
    </w:p>
    <w:p>
      <w:pPr>
        <w:pStyle w:val="BodyText"/>
        <w:spacing w:before="5"/>
        <w:ind w:left="0"/>
        <w:rPr>
          <w:sz w:val="24"/>
        </w:rPr>
      </w:pPr>
    </w:p>
    <w:p>
      <w:pPr>
        <w:spacing w:before="0"/>
        <w:ind w:left="1141" w:right="0" w:firstLine="0"/>
        <w:jc w:val="center"/>
        <w:rPr>
          <w:b/>
          <w:sz w:val="44"/>
        </w:rPr>
      </w:pPr>
      <w:r>
        <w:rPr>
          <w:b/>
          <w:w w:val="95"/>
          <w:sz w:val="44"/>
        </w:rPr>
        <w:t>祥泰定期重大疾病保险条款</w:t>
      </w:r>
    </w:p>
    <w:p>
      <w:pPr>
        <w:spacing w:line="300" w:lineRule="auto" w:before="0"/>
        <w:ind w:left="730" w:right="346" w:firstLine="0"/>
        <w:jc w:val="center"/>
        <w:rPr>
          <w:sz w:val="18"/>
        </w:rPr>
      </w:pPr>
      <w:r>
        <w:rPr/>
        <w:br w:type="column"/>
      </w:r>
      <w:r>
        <w:rPr>
          <w:sz w:val="18"/>
        </w:rPr>
        <w:t>昆仑健康</w:t>
      </w:r>
      <w:r>
        <w:rPr>
          <w:rFonts w:ascii="Times New Roman" w:eastAsia="Times New Roman"/>
          <w:sz w:val="18"/>
        </w:rPr>
        <w:t>[2010] </w:t>
      </w:r>
      <w:r>
        <w:rPr>
          <w:sz w:val="18"/>
        </w:rPr>
        <w:t>疾病保险 </w:t>
      </w:r>
      <w:r>
        <w:rPr>
          <w:rFonts w:ascii="Times New Roman" w:eastAsia="Times New Roman"/>
          <w:sz w:val="18"/>
        </w:rPr>
        <w:t>001 </w:t>
      </w:r>
      <w:r>
        <w:rPr>
          <w:sz w:val="18"/>
        </w:rPr>
        <w:t>号</w:t>
      </w:r>
    </w:p>
    <w:p>
      <w:pPr>
        <w:spacing w:before="18"/>
        <w:ind w:left="472" w:right="91" w:firstLine="0"/>
        <w:jc w:val="center"/>
        <w:rPr>
          <w:sz w:val="18"/>
        </w:rPr>
      </w:pPr>
      <w:r>
        <w:rPr>
          <w:sz w:val="18"/>
        </w:rPr>
        <w:t>请扫描以查询验证条款</w:t>
      </w:r>
    </w:p>
    <w:p>
      <w:pPr>
        <w:spacing w:after="0"/>
        <w:jc w:val="center"/>
        <w:rPr>
          <w:sz w:val="18"/>
        </w:rPr>
        <w:sectPr>
          <w:type w:val="continuous"/>
          <w:pgSz w:w="11910" w:h="16840"/>
          <w:pgMar w:top="260" w:bottom="1200" w:left="1680" w:right="380"/>
          <w:cols w:num="2" w:equalWidth="0">
            <w:col w:w="7406" w:space="40"/>
            <w:col w:w="2404"/>
          </w:cols>
        </w:sectPr>
      </w:pPr>
    </w:p>
    <w:p>
      <w:pPr>
        <w:pStyle w:val="BodyText"/>
        <w:spacing w:before="0"/>
        <w:ind w:left="0"/>
        <w:rPr>
          <w:sz w:val="20"/>
        </w:rPr>
      </w:pPr>
    </w:p>
    <w:p>
      <w:pPr>
        <w:pStyle w:val="BodyText"/>
        <w:spacing w:before="10"/>
        <w:ind w:left="0"/>
        <w:rPr>
          <w:sz w:val="14"/>
        </w:rPr>
      </w:pPr>
    </w:p>
    <w:p>
      <w:pPr>
        <w:tabs>
          <w:tab w:pos="643" w:val="left" w:leader="none"/>
        </w:tabs>
        <w:spacing w:before="1"/>
        <w:ind w:left="0" w:right="1294" w:firstLine="0"/>
        <w:jc w:val="center"/>
        <w:rPr>
          <w:b/>
          <w:sz w:val="32"/>
        </w:rPr>
      </w:pPr>
      <w:r>
        <w:rPr>
          <w:b/>
          <w:sz w:val="32"/>
        </w:rPr>
        <w:t>目</w:t>
        <w:tab/>
        <w:t>录</w:t>
      </w:r>
    </w:p>
    <w:sdt>
      <w:sdtPr>
        <w:docPartObj>
          <w:docPartGallery w:val="Table of Contents"/>
          <w:docPartUnique/>
        </w:docPartObj>
      </w:sdtPr>
      <w:sdtEndPr/>
      <w:sdtContent>
        <w:p>
          <w:pPr>
            <w:pStyle w:val="TOC1"/>
            <w:tabs>
              <w:tab w:pos="8418" w:val="right" w:leader="dot"/>
            </w:tabs>
            <w:spacing w:before="137"/>
            <w:rPr>
              <w:rFonts w:ascii="Times New Roman" w:eastAsia="Times New Roman"/>
              <w:b w:val="0"/>
            </w:rPr>
          </w:pPr>
          <w:r>
            <w:fldChar w:fldCharType="begin"/>
          </w:r>
          <w:r>
            <w:instrText>TOC \o "1-2" \h \z \u </w:instrText>
          </w:r>
          <w:r>
            <w:fldChar w:fldCharType="separate"/>
          </w:r>
          <w:hyperlink w:history="true" w:anchor="_TOC_250029">
            <w:r>
              <w:rPr/>
              <w:t>第一部分</w:t>
            </w:r>
            <w:r>
              <w:rPr>
                <w:spacing w:val="-1"/>
              </w:rPr>
              <w:t> </w:t>
            </w:r>
            <w:r>
              <w:rPr/>
              <w:t>总则</w:t>
              <w:tab/>
            </w:r>
            <w:r>
              <w:rPr>
                <w:rFonts w:ascii="Times New Roman" w:eastAsia="Times New Roman"/>
                <w:b w:val="0"/>
              </w:rPr>
              <w:t>2</w:t>
            </w:r>
          </w:hyperlink>
        </w:p>
        <w:p>
          <w:pPr>
            <w:pStyle w:val="TOC2"/>
            <w:tabs>
              <w:tab w:pos="1587" w:val="left" w:leader="none"/>
              <w:tab w:pos="8416" w:val="right" w:leader="dot"/>
            </w:tabs>
            <w:rPr>
              <w:rFonts w:ascii="Times New Roman" w:eastAsia="Times New Roman"/>
              <w:b w:val="0"/>
            </w:rPr>
          </w:pPr>
          <w:hyperlink w:history="true" w:anchor="_TOC_250028">
            <w:r>
              <w:rPr/>
              <w:t>第一条</w:t>
              <w:tab/>
              <w:t>合同构成</w:t>
              <w:tab/>
            </w:r>
            <w:r>
              <w:rPr>
                <w:rFonts w:ascii="Times New Roman" w:eastAsia="Times New Roman"/>
                <w:b w:val="0"/>
              </w:rPr>
              <w:t>2</w:t>
            </w:r>
          </w:hyperlink>
        </w:p>
        <w:p>
          <w:pPr>
            <w:pStyle w:val="TOC2"/>
            <w:tabs>
              <w:tab w:pos="1587" w:val="left" w:leader="none"/>
              <w:tab w:pos="8417" w:val="right" w:leader="dot"/>
            </w:tabs>
            <w:rPr>
              <w:rFonts w:ascii="Times New Roman" w:eastAsia="Times New Roman"/>
              <w:b w:val="0"/>
            </w:rPr>
          </w:pPr>
          <w:hyperlink w:history="true" w:anchor="_TOC_250027">
            <w:r>
              <w:rPr/>
              <w:t>第二条</w:t>
              <w:tab/>
              <w:t>合同成立与生效</w:t>
              <w:tab/>
            </w:r>
            <w:r>
              <w:rPr>
                <w:rFonts w:ascii="Times New Roman" w:eastAsia="Times New Roman"/>
                <w:b w:val="0"/>
              </w:rPr>
              <w:t>2</w:t>
            </w:r>
          </w:hyperlink>
        </w:p>
        <w:p>
          <w:pPr>
            <w:pStyle w:val="TOC2"/>
            <w:tabs>
              <w:tab w:pos="1587" w:val="left" w:leader="none"/>
              <w:tab w:pos="8416" w:val="right" w:leader="dot"/>
            </w:tabs>
            <w:rPr>
              <w:rFonts w:ascii="Times New Roman" w:eastAsia="Times New Roman"/>
              <w:b w:val="0"/>
            </w:rPr>
          </w:pPr>
          <w:hyperlink w:history="true" w:anchor="_TOC_250026">
            <w:r>
              <w:rPr/>
              <w:t>第三条</w:t>
              <w:tab/>
              <w:t>犹豫期</w:t>
              <w:tab/>
            </w:r>
            <w:r>
              <w:rPr>
                <w:rFonts w:ascii="Times New Roman" w:eastAsia="Times New Roman"/>
                <w:b w:val="0"/>
              </w:rPr>
              <w:t>2</w:t>
            </w:r>
          </w:hyperlink>
        </w:p>
        <w:p>
          <w:pPr>
            <w:pStyle w:val="TOC2"/>
            <w:tabs>
              <w:tab w:pos="1587" w:val="left" w:leader="none"/>
              <w:tab w:pos="8417" w:val="right" w:leader="dot"/>
            </w:tabs>
            <w:rPr>
              <w:rFonts w:ascii="Times New Roman" w:eastAsia="Times New Roman"/>
              <w:b w:val="0"/>
            </w:rPr>
          </w:pPr>
          <w:hyperlink w:history="true" w:anchor="_TOC_250025">
            <w:r>
              <w:rPr/>
              <w:t>第四条</w:t>
              <w:tab/>
              <w:t>明确说明与如实告知</w:t>
              <w:tab/>
            </w:r>
            <w:r>
              <w:rPr>
                <w:rFonts w:ascii="Times New Roman" w:eastAsia="Times New Roman"/>
                <w:b w:val="0"/>
              </w:rPr>
              <w:t>2</w:t>
            </w:r>
          </w:hyperlink>
        </w:p>
        <w:p>
          <w:pPr>
            <w:pStyle w:val="TOC2"/>
            <w:tabs>
              <w:tab w:pos="1587" w:val="left" w:leader="none"/>
              <w:tab w:pos="8417" w:val="right" w:leader="dot"/>
            </w:tabs>
            <w:rPr>
              <w:rFonts w:ascii="Times New Roman" w:eastAsia="Times New Roman"/>
              <w:b w:val="0"/>
            </w:rPr>
          </w:pPr>
          <w:hyperlink w:history="true" w:anchor="_TOC_250024">
            <w:r>
              <w:rPr/>
              <w:t>第五条</w:t>
              <w:tab/>
              <w:t>本公司合同解除权的限制</w:t>
              <w:tab/>
            </w:r>
            <w:r>
              <w:rPr>
                <w:rFonts w:ascii="Times New Roman" w:eastAsia="Times New Roman"/>
                <w:b w:val="0"/>
              </w:rPr>
              <w:t>2</w:t>
            </w:r>
          </w:hyperlink>
        </w:p>
        <w:p>
          <w:pPr>
            <w:pStyle w:val="TOC1"/>
            <w:tabs>
              <w:tab w:pos="8416" w:val="right" w:leader="dot"/>
            </w:tabs>
            <w:rPr>
              <w:rFonts w:ascii="Times New Roman" w:eastAsia="Times New Roman"/>
              <w:b w:val="0"/>
            </w:rPr>
          </w:pPr>
          <w:hyperlink w:history="true" w:anchor="_TOC_250023">
            <w:r>
              <w:rPr/>
              <w:t>第二部分</w:t>
            </w:r>
            <w:r>
              <w:rPr>
                <w:spacing w:val="-1"/>
              </w:rPr>
              <w:t> </w:t>
            </w:r>
            <w:r>
              <w:rPr/>
              <w:t>保障利益条款</w:t>
              <w:tab/>
            </w:r>
            <w:r>
              <w:rPr>
                <w:rFonts w:ascii="Times New Roman" w:eastAsia="Times New Roman"/>
                <w:b w:val="0"/>
              </w:rPr>
              <w:t>2</w:t>
            </w:r>
          </w:hyperlink>
        </w:p>
        <w:p>
          <w:pPr>
            <w:pStyle w:val="TOC2"/>
            <w:tabs>
              <w:tab w:pos="1587" w:val="left" w:leader="none"/>
              <w:tab w:pos="8416" w:val="right" w:leader="dot"/>
            </w:tabs>
            <w:rPr>
              <w:rFonts w:ascii="Times New Roman" w:eastAsia="Times New Roman"/>
              <w:b w:val="0"/>
            </w:rPr>
          </w:pPr>
          <w:hyperlink w:history="true" w:anchor="_TOC_250022">
            <w:r>
              <w:rPr/>
              <w:t>第六条</w:t>
              <w:tab/>
              <w:t>保险对象</w:t>
              <w:tab/>
            </w:r>
            <w:r>
              <w:rPr>
                <w:rFonts w:ascii="Times New Roman" w:eastAsia="Times New Roman"/>
                <w:b w:val="0"/>
              </w:rPr>
              <w:t>2</w:t>
            </w:r>
          </w:hyperlink>
        </w:p>
        <w:p>
          <w:pPr>
            <w:pStyle w:val="TOC2"/>
            <w:tabs>
              <w:tab w:pos="1587" w:val="left" w:leader="none"/>
              <w:tab w:pos="8416" w:val="right" w:leader="dot"/>
            </w:tabs>
            <w:rPr>
              <w:rFonts w:ascii="Times New Roman" w:eastAsia="Times New Roman"/>
              <w:b w:val="0"/>
            </w:rPr>
          </w:pPr>
          <w:hyperlink w:history="true" w:anchor="_TOC_250021">
            <w:r>
              <w:rPr/>
              <w:t>第七条</w:t>
              <w:tab/>
              <w:t>保险责任</w:t>
              <w:tab/>
            </w:r>
            <w:r>
              <w:rPr>
                <w:rFonts w:ascii="Times New Roman" w:eastAsia="Times New Roman"/>
                <w:b w:val="0"/>
              </w:rPr>
              <w:t>3</w:t>
            </w:r>
          </w:hyperlink>
        </w:p>
        <w:p>
          <w:pPr>
            <w:pStyle w:val="TOC2"/>
            <w:tabs>
              <w:tab w:pos="1587" w:val="left" w:leader="none"/>
              <w:tab w:pos="8416" w:val="right" w:leader="dot"/>
            </w:tabs>
            <w:rPr>
              <w:rFonts w:ascii="Times New Roman" w:eastAsia="Times New Roman"/>
              <w:b w:val="0"/>
            </w:rPr>
          </w:pPr>
          <w:hyperlink w:history="true" w:anchor="_TOC_250020">
            <w:r>
              <w:rPr>
                <w:rFonts w:ascii="黑体" w:eastAsia="黑体" w:hint="eastAsia"/>
              </w:rPr>
              <w:t>第八条</w:t>
              <w:tab/>
              <w:t>责任免除</w:t>
              <w:tab/>
            </w:r>
            <w:r>
              <w:rPr>
                <w:rFonts w:ascii="Times New Roman" w:eastAsia="Times New Roman"/>
                <w:b w:val="0"/>
              </w:rPr>
              <w:t>3</w:t>
            </w:r>
          </w:hyperlink>
        </w:p>
        <w:p>
          <w:pPr>
            <w:pStyle w:val="TOC2"/>
            <w:tabs>
              <w:tab w:pos="1587" w:val="left" w:leader="none"/>
              <w:tab w:pos="8416" w:val="right" w:leader="dot"/>
            </w:tabs>
            <w:rPr>
              <w:rFonts w:ascii="Times New Roman" w:eastAsia="Times New Roman"/>
              <w:b w:val="0"/>
            </w:rPr>
          </w:pPr>
          <w:hyperlink w:history="true" w:anchor="_TOC_250019">
            <w:r>
              <w:rPr/>
              <w:t>第九条</w:t>
              <w:tab/>
              <w:t>保险期间</w:t>
              <w:tab/>
            </w:r>
            <w:r>
              <w:rPr>
                <w:rFonts w:ascii="Times New Roman" w:eastAsia="Times New Roman"/>
                <w:b w:val="0"/>
              </w:rPr>
              <w:t>3</w:t>
            </w:r>
          </w:hyperlink>
        </w:p>
        <w:p>
          <w:pPr>
            <w:pStyle w:val="TOC2"/>
            <w:tabs>
              <w:tab w:pos="1587" w:val="left" w:leader="none"/>
              <w:tab w:pos="8417" w:val="right" w:leader="dot"/>
            </w:tabs>
            <w:rPr>
              <w:rFonts w:ascii="Times New Roman" w:eastAsia="Times New Roman"/>
              <w:b w:val="0"/>
            </w:rPr>
          </w:pPr>
          <w:hyperlink w:history="true" w:anchor="_TOC_250018">
            <w:r>
              <w:rPr/>
              <w:t>第十条</w:t>
              <w:tab/>
              <w:t>保险金额和保险费</w:t>
              <w:tab/>
            </w:r>
            <w:r>
              <w:rPr>
                <w:rFonts w:ascii="Times New Roman" w:eastAsia="Times New Roman"/>
                <w:b w:val="0"/>
              </w:rPr>
              <w:t>3</w:t>
            </w:r>
          </w:hyperlink>
        </w:p>
        <w:p>
          <w:pPr>
            <w:pStyle w:val="TOC2"/>
            <w:tabs>
              <w:tab w:pos="1587" w:val="left" w:leader="none"/>
              <w:tab w:pos="8416" w:val="right" w:leader="dot"/>
            </w:tabs>
            <w:rPr>
              <w:rFonts w:ascii="Times New Roman" w:eastAsia="Times New Roman"/>
              <w:b w:val="0"/>
            </w:rPr>
          </w:pPr>
          <w:hyperlink w:history="true" w:anchor="_TOC_250017">
            <w:r>
              <w:rPr/>
              <w:t>第十一条</w:t>
              <w:tab/>
              <w:t>保险费率调整</w:t>
              <w:tab/>
            </w:r>
            <w:r>
              <w:rPr>
                <w:rFonts w:ascii="Times New Roman" w:eastAsia="Times New Roman"/>
                <w:b w:val="0"/>
              </w:rPr>
              <w:t>4</w:t>
            </w:r>
          </w:hyperlink>
        </w:p>
        <w:p>
          <w:pPr>
            <w:pStyle w:val="TOC2"/>
            <w:tabs>
              <w:tab w:pos="1587" w:val="left" w:leader="none"/>
              <w:tab w:pos="8416" w:val="right" w:leader="dot"/>
            </w:tabs>
            <w:rPr>
              <w:rFonts w:ascii="Times New Roman" w:eastAsia="Times New Roman"/>
              <w:b w:val="0"/>
            </w:rPr>
          </w:pPr>
          <w:hyperlink w:history="true" w:anchor="_TOC_250016">
            <w:r>
              <w:rPr/>
              <w:t>第十二条</w:t>
              <w:tab/>
              <w:t>宽限期</w:t>
              <w:tab/>
            </w:r>
            <w:r>
              <w:rPr>
                <w:rFonts w:ascii="Times New Roman" w:eastAsia="Times New Roman"/>
                <w:b w:val="0"/>
              </w:rPr>
              <w:t>4</w:t>
            </w:r>
          </w:hyperlink>
        </w:p>
        <w:p>
          <w:pPr>
            <w:pStyle w:val="TOC1"/>
            <w:tabs>
              <w:tab w:pos="8416" w:val="right" w:leader="dot"/>
            </w:tabs>
            <w:rPr>
              <w:rFonts w:ascii="Times New Roman" w:eastAsia="Times New Roman"/>
              <w:b w:val="0"/>
            </w:rPr>
          </w:pPr>
          <w:hyperlink w:history="true" w:anchor="_TOC_250015">
            <w:r>
              <w:rPr/>
              <w:t>第三部分</w:t>
            </w:r>
            <w:r>
              <w:rPr>
                <w:spacing w:val="-1"/>
              </w:rPr>
              <w:t> </w:t>
            </w:r>
            <w:r>
              <w:rPr/>
              <w:t>保险服务条款</w:t>
              <w:tab/>
            </w:r>
            <w:r>
              <w:rPr>
                <w:rFonts w:ascii="Times New Roman" w:eastAsia="Times New Roman"/>
                <w:b w:val="0"/>
              </w:rPr>
              <w:t>4</w:t>
            </w:r>
          </w:hyperlink>
        </w:p>
        <w:p>
          <w:pPr>
            <w:pStyle w:val="TOC2"/>
            <w:tabs>
              <w:tab w:pos="1587" w:val="left" w:leader="none"/>
              <w:tab w:pos="8416" w:val="right" w:leader="dot"/>
            </w:tabs>
            <w:rPr>
              <w:rFonts w:ascii="Times New Roman" w:eastAsia="Times New Roman"/>
              <w:b w:val="0"/>
            </w:rPr>
          </w:pPr>
          <w:hyperlink w:history="true" w:anchor="_TOC_250014">
            <w:r>
              <w:rPr/>
              <w:t>第十三条</w:t>
              <w:tab/>
              <w:t>合同内容变更</w:t>
              <w:tab/>
            </w:r>
            <w:r>
              <w:rPr>
                <w:rFonts w:ascii="Times New Roman" w:eastAsia="Times New Roman"/>
                <w:b w:val="0"/>
              </w:rPr>
              <w:t>4</w:t>
            </w:r>
          </w:hyperlink>
        </w:p>
        <w:p>
          <w:pPr>
            <w:pStyle w:val="TOC2"/>
            <w:tabs>
              <w:tab w:pos="1587" w:val="left" w:leader="none"/>
              <w:tab w:pos="8417" w:val="right" w:leader="dot"/>
            </w:tabs>
            <w:rPr>
              <w:rFonts w:ascii="Times New Roman" w:eastAsia="Times New Roman"/>
              <w:b w:val="0"/>
            </w:rPr>
          </w:pPr>
          <w:hyperlink w:history="true" w:anchor="_TOC_250013">
            <w:r>
              <w:rPr/>
              <w:t>第十四条</w:t>
              <w:tab/>
              <w:t>受益人指定和变更</w:t>
              <w:tab/>
            </w:r>
            <w:r>
              <w:rPr>
                <w:rFonts w:ascii="Times New Roman" w:eastAsia="Times New Roman"/>
                <w:b w:val="0"/>
              </w:rPr>
              <w:t>4</w:t>
            </w:r>
          </w:hyperlink>
        </w:p>
        <w:p>
          <w:pPr>
            <w:pStyle w:val="TOC2"/>
            <w:tabs>
              <w:tab w:pos="1587" w:val="left" w:leader="none"/>
              <w:tab w:pos="8416" w:val="right" w:leader="dot"/>
            </w:tabs>
            <w:rPr>
              <w:rFonts w:ascii="Times New Roman" w:eastAsia="Times New Roman"/>
              <w:b w:val="0"/>
            </w:rPr>
          </w:pPr>
          <w:hyperlink w:history="true" w:anchor="_TOC_250012">
            <w:r>
              <w:rPr/>
              <w:t>第十五条</w:t>
              <w:tab/>
              <w:t>通讯地址变更</w:t>
              <w:tab/>
            </w:r>
            <w:r>
              <w:rPr>
                <w:rFonts w:ascii="Times New Roman" w:eastAsia="Times New Roman"/>
                <w:b w:val="0"/>
              </w:rPr>
              <w:t>5</w:t>
            </w:r>
          </w:hyperlink>
        </w:p>
        <w:p>
          <w:pPr>
            <w:pStyle w:val="TOC2"/>
            <w:tabs>
              <w:tab w:pos="1587" w:val="left" w:leader="none"/>
              <w:tab w:pos="8416" w:val="right" w:leader="dot"/>
            </w:tabs>
            <w:rPr>
              <w:rFonts w:ascii="Times New Roman" w:eastAsia="Times New Roman"/>
              <w:b w:val="0"/>
            </w:rPr>
          </w:pPr>
          <w:hyperlink w:history="true" w:anchor="_TOC_250011">
            <w:r>
              <w:rPr/>
              <w:t>第十六条</w:t>
              <w:tab/>
              <w:t>年龄性别错误</w:t>
              <w:tab/>
            </w:r>
            <w:r>
              <w:rPr>
                <w:rFonts w:ascii="Times New Roman" w:eastAsia="Times New Roman"/>
                <w:b w:val="0"/>
              </w:rPr>
              <w:t>5</w:t>
            </w:r>
          </w:hyperlink>
        </w:p>
        <w:p>
          <w:pPr>
            <w:pStyle w:val="TOC2"/>
            <w:tabs>
              <w:tab w:pos="1587" w:val="left" w:leader="none"/>
              <w:tab w:pos="8416" w:val="right" w:leader="dot"/>
            </w:tabs>
            <w:rPr>
              <w:rFonts w:ascii="Times New Roman" w:eastAsia="Times New Roman"/>
              <w:b w:val="0"/>
            </w:rPr>
          </w:pPr>
          <w:hyperlink w:history="true" w:anchor="_TOC_250010">
            <w:r>
              <w:rPr/>
              <w:t>第十七条</w:t>
              <w:tab/>
              <w:t>未还款项</w:t>
              <w:tab/>
            </w:r>
            <w:r>
              <w:rPr>
                <w:rFonts w:ascii="Times New Roman" w:eastAsia="Times New Roman"/>
                <w:b w:val="0"/>
              </w:rPr>
              <w:t>5</w:t>
            </w:r>
          </w:hyperlink>
        </w:p>
        <w:p>
          <w:pPr>
            <w:pStyle w:val="TOC2"/>
            <w:tabs>
              <w:tab w:pos="1587" w:val="left" w:leader="none"/>
              <w:tab w:pos="8417" w:val="right" w:leader="dot"/>
            </w:tabs>
            <w:rPr>
              <w:rFonts w:ascii="Times New Roman" w:eastAsia="Times New Roman"/>
              <w:b w:val="0"/>
            </w:rPr>
          </w:pPr>
          <w:hyperlink w:history="true" w:anchor="_TOC_250009">
            <w:r>
              <w:rPr/>
              <w:t>第十八条</w:t>
              <w:tab/>
              <w:t>合同中止与复效</w:t>
              <w:tab/>
            </w:r>
            <w:r>
              <w:rPr>
                <w:rFonts w:ascii="Times New Roman" w:eastAsia="Times New Roman"/>
                <w:b w:val="0"/>
              </w:rPr>
              <w:t>5</w:t>
            </w:r>
          </w:hyperlink>
        </w:p>
        <w:p>
          <w:pPr>
            <w:pStyle w:val="TOC2"/>
            <w:tabs>
              <w:tab w:pos="1587" w:val="left" w:leader="none"/>
              <w:tab w:pos="8416" w:val="right" w:leader="dot"/>
            </w:tabs>
            <w:rPr>
              <w:rFonts w:ascii="Times New Roman" w:eastAsia="Times New Roman"/>
              <w:b w:val="0"/>
            </w:rPr>
          </w:pPr>
          <w:hyperlink w:history="true" w:anchor="_TOC_250008">
            <w:r>
              <w:rPr/>
              <w:t>第十九条</w:t>
              <w:tab/>
              <w:t>合同解除</w:t>
              <w:tab/>
            </w:r>
            <w:r>
              <w:rPr>
                <w:rFonts w:ascii="Times New Roman" w:eastAsia="Times New Roman"/>
                <w:b w:val="0"/>
              </w:rPr>
              <w:t>5</w:t>
            </w:r>
          </w:hyperlink>
        </w:p>
        <w:p>
          <w:pPr>
            <w:pStyle w:val="TOC1"/>
            <w:tabs>
              <w:tab w:pos="8416" w:val="right" w:leader="dot"/>
            </w:tabs>
            <w:rPr>
              <w:rFonts w:ascii="Times New Roman" w:eastAsia="Times New Roman"/>
              <w:b w:val="0"/>
            </w:rPr>
          </w:pPr>
          <w:hyperlink w:history="true" w:anchor="_TOC_250007">
            <w:r>
              <w:rPr/>
              <w:t>第四部分</w:t>
            </w:r>
            <w:r>
              <w:rPr>
                <w:spacing w:val="-1"/>
              </w:rPr>
              <w:t> </w:t>
            </w:r>
            <w:r>
              <w:rPr/>
              <w:t>保险理赔条款</w:t>
              <w:tab/>
            </w:r>
            <w:r>
              <w:rPr>
                <w:rFonts w:ascii="Times New Roman" w:eastAsia="Times New Roman"/>
                <w:b w:val="0"/>
              </w:rPr>
              <w:t>5</w:t>
            </w:r>
          </w:hyperlink>
        </w:p>
        <w:p>
          <w:pPr>
            <w:pStyle w:val="TOC2"/>
            <w:tabs>
              <w:tab w:pos="1587" w:val="left" w:leader="none"/>
              <w:tab w:pos="8416" w:val="right" w:leader="dot"/>
            </w:tabs>
            <w:rPr>
              <w:rFonts w:ascii="Times New Roman" w:eastAsia="Times New Roman"/>
              <w:b w:val="0"/>
            </w:rPr>
          </w:pPr>
          <w:hyperlink w:history="true" w:anchor="_TOC_250006">
            <w:r>
              <w:rPr/>
              <w:t>第二十条</w:t>
              <w:tab/>
              <w:t>保险事故通知</w:t>
              <w:tab/>
            </w:r>
            <w:r>
              <w:rPr>
                <w:rFonts w:ascii="Times New Roman" w:eastAsia="Times New Roman"/>
                <w:b w:val="0"/>
              </w:rPr>
              <w:t>5</w:t>
            </w:r>
          </w:hyperlink>
        </w:p>
        <w:p>
          <w:pPr>
            <w:pStyle w:val="TOC2"/>
            <w:tabs>
              <w:tab w:pos="1801" w:val="left" w:leader="none"/>
              <w:tab w:pos="8416" w:val="right" w:leader="dot"/>
            </w:tabs>
            <w:rPr>
              <w:rFonts w:ascii="Times New Roman" w:eastAsia="Times New Roman"/>
              <w:b w:val="0"/>
            </w:rPr>
          </w:pPr>
          <w:hyperlink w:history="true" w:anchor="_TOC_250005">
            <w:r>
              <w:rPr/>
              <w:t>第二十一条</w:t>
              <w:tab/>
              <w:t>保险金申请</w:t>
              <w:tab/>
            </w:r>
            <w:r>
              <w:rPr>
                <w:rFonts w:ascii="Times New Roman" w:eastAsia="Times New Roman"/>
                <w:b w:val="0"/>
              </w:rPr>
              <w:t>6</w:t>
            </w:r>
          </w:hyperlink>
        </w:p>
        <w:p>
          <w:pPr>
            <w:pStyle w:val="TOC2"/>
            <w:tabs>
              <w:tab w:pos="1801" w:val="left" w:leader="none"/>
              <w:tab w:pos="8416" w:val="right" w:leader="dot"/>
            </w:tabs>
            <w:rPr>
              <w:rFonts w:ascii="Times New Roman" w:eastAsia="Times New Roman"/>
              <w:b w:val="0"/>
            </w:rPr>
          </w:pPr>
          <w:hyperlink w:history="true" w:anchor="_TOC_250004">
            <w:r>
              <w:rPr/>
              <w:t>第二十二条</w:t>
              <w:tab/>
              <w:t>保险金给付</w:t>
              <w:tab/>
            </w:r>
            <w:r>
              <w:rPr>
                <w:rFonts w:ascii="Times New Roman" w:eastAsia="Times New Roman"/>
                <w:b w:val="0"/>
              </w:rPr>
              <w:t>6</w:t>
            </w:r>
          </w:hyperlink>
        </w:p>
        <w:p>
          <w:pPr>
            <w:pStyle w:val="TOC2"/>
            <w:tabs>
              <w:tab w:pos="1801" w:val="left" w:leader="none"/>
              <w:tab w:pos="8416" w:val="right" w:leader="dot"/>
            </w:tabs>
            <w:rPr>
              <w:rFonts w:ascii="Times New Roman" w:eastAsia="Times New Roman"/>
              <w:b w:val="0"/>
            </w:rPr>
          </w:pPr>
          <w:hyperlink w:history="true" w:anchor="_TOC_250003">
            <w:r>
              <w:rPr/>
              <w:t>第二十三条</w:t>
              <w:tab/>
              <w:t>诉讼时效</w:t>
              <w:tab/>
            </w:r>
            <w:r>
              <w:rPr>
                <w:rFonts w:ascii="Times New Roman" w:eastAsia="Times New Roman"/>
                <w:b w:val="0"/>
              </w:rPr>
              <w:t>7</w:t>
            </w:r>
          </w:hyperlink>
        </w:p>
        <w:p>
          <w:pPr>
            <w:pStyle w:val="TOC2"/>
            <w:tabs>
              <w:tab w:pos="1801" w:val="left" w:leader="none"/>
              <w:tab w:pos="8416" w:val="right" w:leader="dot"/>
            </w:tabs>
            <w:rPr>
              <w:rFonts w:ascii="Times New Roman" w:eastAsia="Times New Roman"/>
              <w:b w:val="0"/>
            </w:rPr>
          </w:pPr>
          <w:hyperlink w:history="true" w:anchor="_TOC_250002">
            <w:r>
              <w:rPr/>
              <w:t>第二十四条</w:t>
              <w:tab/>
              <w:t>争议处理</w:t>
              <w:tab/>
            </w:r>
            <w:r>
              <w:rPr>
                <w:rFonts w:ascii="Times New Roman" w:eastAsia="Times New Roman"/>
                <w:b w:val="0"/>
              </w:rPr>
              <w:t>7</w:t>
            </w:r>
          </w:hyperlink>
        </w:p>
        <w:p>
          <w:pPr>
            <w:pStyle w:val="TOC2"/>
            <w:tabs>
              <w:tab w:pos="1801" w:val="left" w:leader="none"/>
              <w:tab w:pos="8416" w:val="right" w:leader="dot"/>
            </w:tabs>
            <w:rPr>
              <w:rFonts w:ascii="Times New Roman" w:eastAsia="Times New Roman"/>
              <w:b w:val="0"/>
            </w:rPr>
          </w:pPr>
          <w:hyperlink w:history="true" w:anchor="_TOC_250001">
            <w:r>
              <w:rPr/>
              <w:t>第二十五条</w:t>
              <w:tab/>
              <w:t>司法管辖</w:t>
              <w:tab/>
            </w:r>
            <w:r>
              <w:rPr>
                <w:rFonts w:ascii="Times New Roman" w:eastAsia="Times New Roman"/>
                <w:b w:val="0"/>
              </w:rPr>
              <w:t>7</w:t>
            </w:r>
          </w:hyperlink>
        </w:p>
        <w:p>
          <w:pPr>
            <w:pStyle w:val="TOC1"/>
            <w:tabs>
              <w:tab w:pos="8418" w:val="right" w:leader="dot"/>
            </w:tabs>
            <w:rPr>
              <w:rFonts w:ascii="Times New Roman" w:eastAsia="Times New Roman"/>
              <w:b w:val="0"/>
            </w:rPr>
          </w:pPr>
          <w:hyperlink w:history="true" w:anchor="_TOC_250000">
            <w:r>
              <w:rPr/>
              <w:t>第五部分</w:t>
            </w:r>
            <w:r>
              <w:rPr>
                <w:spacing w:val="-1"/>
              </w:rPr>
              <w:t> </w:t>
            </w:r>
            <w:r>
              <w:rPr/>
              <w:t>释义</w:t>
              <w:tab/>
            </w:r>
            <w:r>
              <w:rPr>
                <w:rFonts w:ascii="Times New Roman" w:eastAsia="Times New Roman"/>
                <w:b w:val="0"/>
              </w:rPr>
              <w:t>7</w:t>
            </w:r>
          </w:hyperlink>
        </w:p>
        <w:p>
          <w:pPr/>
          <w:r>
            <w:fldChar w:fldCharType="end"/>
          </w:r>
        </w:p>
      </w:sdtContent>
    </w:sdt>
    <w:p>
      <w:pPr>
        <w:spacing w:after="0"/>
        <w:sectPr>
          <w:type w:val="continuous"/>
          <w:pgSz w:w="11910" w:h="16840"/>
          <w:pgMar w:top="260" w:bottom="1200" w:left="1680" w:right="380"/>
        </w:sectPr>
      </w:pPr>
    </w:p>
    <w:p>
      <w:pPr>
        <w:pStyle w:val="Heading1"/>
        <w:ind w:right="1473"/>
      </w:pPr>
      <w:bookmarkStart w:name="_TOC_250029" w:id="1"/>
      <w:bookmarkEnd w:id="1"/>
      <w:r>
        <w:rPr/>
        <w:t>第一部分 总则</w:t>
      </w:r>
    </w:p>
    <w:p>
      <w:pPr>
        <w:pStyle w:val="BodyText"/>
        <w:spacing w:before="5"/>
        <w:ind w:left="0"/>
        <w:rPr>
          <w:b/>
          <w:sz w:val="25"/>
        </w:rPr>
      </w:pPr>
    </w:p>
    <w:p>
      <w:pPr>
        <w:pStyle w:val="Heading2"/>
        <w:spacing w:before="1"/>
      </w:pPr>
      <w:bookmarkStart w:name="_TOC_250028" w:id="2"/>
      <w:bookmarkEnd w:id="2"/>
      <w:r>
        <w:rPr/>
        <w:t>第一条 合同构成</w:t>
      </w:r>
    </w:p>
    <w:p>
      <w:pPr>
        <w:pStyle w:val="BodyText"/>
        <w:spacing w:line="273" w:lineRule="auto"/>
        <w:ind w:left="117" w:right="212" w:firstLine="420"/>
        <w:jc w:val="both"/>
      </w:pPr>
      <w:r>
        <w:rPr>
          <w:spacing w:val="-4"/>
        </w:rPr>
        <w:t>“昆仑健康保险股份有限公司祥泰定期重大疾病保险合同”</w:t>
      </w:r>
      <w:r>
        <w:rPr/>
        <w:t>（以下简称本合同）由保险</w:t>
      </w:r>
      <w:r>
        <w:rPr>
          <w:spacing w:val="-8"/>
        </w:rPr>
        <w:t>单及所附条款、投保单、与本合同有关的投保文件、合法有效的声明、批注、附贴批单和其</w:t>
      </w:r>
      <w:r>
        <w:rPr>
          <w:spacing w:val="-1"/>
        </w:rPr>
        <w:t>他书面协议构成。</w:t>
      </w:r>
    </w:p>
    <w:p>
      <w:pPr>
        <w:pStyle w:val="BodyText"/>
        <w:spacing w:before="5"/>
        <w:ind w:left="0"/>
        <w:rPr>
          <w:sz w:val="24"/>
        </w:rPr>
      </w:pPr>
    </w:p>
    <w:p>
      <w:pPr>
        <w:pStyle w:val="Heading2"/>
      </w:pPr>
      <w:bookmarkStart w:name="_TOC_250027" w:id="3"/>
      <w:bookmarkEnd w:id="3"/>
      <w:r>
        <w:rPr/>
        <w:t>第二条 合同成立与生效</w:t>
      </w:r>
    </w:p>
    <w:p>
      <w:pPr>
        <w:pStyle w:val="BodyText"/>
        <w:spacing w:line="273" w:lineRule="auto" w:before="36"/>
        <w:ind w:left="117" w:right="105" w:firstLine="423"/>
      </w:pPr>
      <w:r>
        <w:rPr>
          <w:spacing w:val="-7"/>
        </w:rPr>
        <w:t>投保人提出保险申请、本公司同意承保，本合同成立。自本合同成立、本公司收取首期</w:t>
      </w:r>
      <w:r>
        <w:rPr>
          <w:spacing w:val="-15"/>
        </w:rPr>
        <w:t>保险费并签发保险单的次日零时起本合同生效。合同生效日期在保险单上载明。</w:t>
      </w:r>
      <w:r>
        <w:rPr>
          <w:b/>
        </w:rPr>
        <w:t>保险单月度、</w:t>
      </w:r>
      <w:r>
        <w:rPr>
          <w:b/>
          <w:w w:val="95"/>
        </w:rPr>
        <w:t>保险单年度</w:t>
      </w:r>
      <w:r>
        <w:rPr>
          <w:w w:val="95"/>
        </w:rPr>
        <w:t>和</w:t>
      </w:r>
      <w:r>
        <w:rPr>
          <w:b/>
          <w:w w:val="95"/>
        </w:rPr>
        <w:t>保险费约定交纳日</w:t>
      </w:r>
      <w:r>
        <w:rPr>
          <w:w w:val="95"/>
        </w:rPr>
        <w:t>均以合同生效日为计算基准。</w:t>
      </w:r>
    </w:p>
    <w:p>
      <w:pPr>
        <w:pStyle w:val="BodyText"/>
        <w:spacing w:before="5"/>
        <w:ind w:left="0"/>
        <w:rPr>
          <w:sz w:val="24"/>
        </w:rPr>
      </w:pPr>
    </w:p>
    <w:p>
      <w:pPr>
        <w:pStyle w:val="Heading2"/>
      </w:pPr>
      <w:bookmarkStart w:name="_TOC_250026" w:id="4"/>
      <w:bookmarkEnd w:id="4"/>
      <w:r>
        <w:rPr/>
        <w:t>第三条 犹豫期</w:t>
      </w:r>
    </w:p>
    <w:p>
      <w:pPr>
        <w:pStyle w:val="BodyText"/>
        <w:ind w:left="537"/>
      </w:pPr>
      <w:r>
        <w:rPr/>
        <w:t>自投保人签收本合同之日起，有 10 日的犹豫期。如果投保人在此期间提出撤销合同，</w:t>
      </w:r>
    </w:p>
    <w:p>
      <w:pPr>
        <w:pStyle w:val="BodyText"/>
        <w:spacing w:line="273" w:lineRule="auto"/>
        <w:ind w:left="117" w:right="211"/>
        <w:jc w:val="both"/>
      </w:pPr>
      <w:r>
        <w:rPr>
          <w:spacing w:val="-2"/>
        </w:rPr>
        <w:t>需要填写书面申请书，并提供保险合同及身份证明，本公司将在扣除 </w:t>
      </w:r>
      <w:r>
        <w:rPr/>
        <w:t>10</w:t>
      </w:r>
      <w:r>
        <w:rPr>
          <w:spacing w:val="-8"/>
        </w:rPr>
        <w:t> 元工本费后无息退</w:t>
      </w:r>
      <w:r>
        <w:rPr>
          <w:spacing w:val="-12"/>
        </w:rPr>
        <w:t>还投保人所交的保险费。自投保人书面申请解除合同之日起，本合同即被撤销，本公司自始不承担保险责任。</w:t>
      </w:r>
    </w:p>
    <w:p>
      <w:pPr>
        <w:pStyle w:val="BodyText"/>
        <w:spacing w:before="5"/>
        <w:ind w:left="0"/>
        <w:rPr>
          <w:sz w:val="24"/>
        </w:rPr>
      </w:pPr>
    </w:p>
    <w:p>
      <w:pPr>
        <w:pStyle w:val="Heading2"/>
      </w:pPr>
      <w:bookmarkStart w:name="_TOC_250025" w:id="5"/>
      <w:bookmarkEnd w:id="5"/>
      <w:r>
        <w:rPr/>
        <w:t>第四条 明确说明与如实告知</w:t>
      </w:r>
    </w:p>
    <w:p>
      <w:pPr>
        <w:pStyle w:val="BodyText"/>
        <w:spacing w:before="36"/>
        <w:ind w:left="537"/>
      </w:pPr>
      <w:r>
        <w:rPr/>
        <w:t>订立本合同时，本公司应当向投保人说明本合同内容。</w:t>
      </w:r>
    </w:p>
    <w:p>
      <w:pPr>
        <w:pStyle w:val="BodyText"/>
        <w:spacing w:line="273" w:lineRule="auto" w:before="36"/>
        <w:ind w:left="117" w:right="212" w:firstLine="420"/>
        <w:jc w:val="both"/>
      </w:pPr>
      <w:r>
        <w:rPr>
          <w:spacing w:val="-5"/>
        </w:rPr>
        <w:t>对保险条款中免除本公司责任的条款，本公司在订立合同时应当在投保单、保险单或者</w:t>
      </w:r>
      <w:r>
        <w:rPr>
          <w:spacing w:val="-9"/>
        </w:rPr>
        <w:t>其他保险凭证上作出足以引起投保人注意的提示，并对该条款的内容以书面或者口头形式向投保人作出明确说明，未作提示或者明确说明的，该条款不产生效力。</w:t>
      </w:r>
    </w:p>
    <w:p>
      <w:pPr>
        <w:pStyle w:val="BodyText"/>
        <w:spacing w:before="7"/>
        <w:ind w:left="537"/>
      </w:pPr>
      <w:r>
        <w:rPr/>
        <w:t>本公司就投保人和被保险人的有关情况提出书面询问，投保人应当如实告知。</w:t>
      </w:r>
    </w:p>
    <w:p>
      <w:pPr>
        <w:pStyle w:val="BodyText"/>
        <w:spacing w:line="273" w:lineRule="auto"/>
        <w:ind w:left="117" w:right="132" w:firstLine="420"/>
      </w:pPr>
      <w:r>
        <w:rPr/>
        <w:t>投保人故意或者因重大过失未履行如实告知义务，足以影响本公司决定是否同意承保或提高保险费率的，本公司有权解除本合同。</w:t>
      </w:r>
    </w:p>
    <w:p>
      <w:pPr>
        <w:pStyle w:val="BodyText"/>
        <w:spacing w:line="273" w:lineRule="auto" w:before="7"/>
        <w:ind w:left="117" w:right="133" w:firstLine="420"/>
      </w:pPr>
      <w:r>
        <w:rPr/>
        <w:t>投保人故意不履行如实告知义务的，对于本合同解除前发生的保险事故，本公司不承担给付保险金责任，并不退还保险费。</w:t>
      </w:r>
    </w:p>
    <w:p>
      <w:pPr>
        <w:pStyle w:val="BodyText"/>
        <w:spacing w:line="273" w:lineRule="auto" w:before="7"/>
        <w:ind w:left="117" w:right="133" w:firstLine="420"/>
      </w:pPr>
      <w:r>
        <w:rPr/>
        <w:t>投保人因重大过失未履行如实告知义务，对保险事故的发生有严重影响的，对于本合同解除前发生的保险事故，本公司不承担给付保险金责任，但会退还保险费。</w:t>
      </w:r>
    </w:p>
    <w:p>
      <w:pPr>
        <w:pStyle w:val="BodyText"/>
        <w:spacing w:line="273" w:lineRule="auto" w:before="7"/>
        <w:ind w:left="117" w:right="213" w:firstLine="420"/>
      </w:pPr>
      <w:r>
        <w:rPr>
          <w:spacing w:val="-4"/>
        </w:rPr>
        <w:t>本公司在合同订立时已经知道投保人未如实告知的情况的，本公司不得解除合同；发生保险事故的，本公司承担给付保险金的责任。</w:t>
      </w:r>
    </w:p>
    <w:p>
      <w:pPr>
        <w:pStyle w:val="BodyText"/>
        <w:spacing w:before="5"/>
        <w:ind w:left="0"/>
        <w:rPr>
          <w:sz w:val="24"/>
        </w:rPr>
      </w:pPr>
    </w:p>
    <w:p>
      <w:pPr>
        <w:pStyle w:val="Heading2"/>
      </w:pPr>
      <w:bookmarkStart w:name="_TOC_250024" w:id="6"/>
      <w:bookmarkEnd w:id="6"/>
      <w:r>
        <w:rPr/>
        <w:t>第五条 本公司合同解除权的限制</w:t>
      </w:r>
    </w:p>
    <w:p>
      <w:pPr>
        <w:pStyle w:val="BodyText"/>
        <w:ind w:left="537"/>
      </w:pPr>
      <w:r>
        <w:rPr/>
        <w:t>本合同第四条和第十六条中规定的合同解除权，自本公司知道有解除事由之日起，超过</w:t>
      </w:r>
    </w:p>
    <w:p>
      <w:pPr>
        <w:pStyle w:val="BodyText"/>
        <w:spacing w:line="273" w:lineRule="auto"/>
        <w:ind w:left="117" w:right="212"/>
      </w:pPr>
      <w:r>
        <w:rPr/>
        <w:t>30</w:t>
      </w:r>
      <w:r>
        <w:rPr>
          <w:spacing w:val="-8"/>
        </w:rPr>
        <w:t> 日不行使而消灭。自本合同成立之日起超过 </w:t>
      </w:r>
      <w:r>
        <w:rPr/>
        <w:t>2</w:t>
      </w:r>
      <w:r>
        <w:rPr>
          <w:spacing w:val="-6"/>
        </w:rPr>
        <w:t> 年的，本公司不得解除合同；发生保险事故的，本公司承担给付保险金的责任。</w:t>
      </w:r>
    </w:p>
    <w:p>
      <w:pPr>
        <w:pStyle w:val="BodyText"/>
        <w:spacing w:before="0"/>
        <w:ind w:left="0"/>
        <w:rPr>
          <w:sz w:val="20"/>
        </w:rPr>
      </w:pPr>
    </w:p>
    <w:p>
      <w:pPr>
        <w:pStyle w:val="BodyText"/>
        <w:spacing w:before="5"/>
        <w:ind w:left="0"/>
        <w:rPr>
          <w:sz w:val="26"/>
        </w:rPr>
      </w:pPr>
    </w:p>
    <w:p>
      <w:pPr>
        <w:pStyle w:val="Heading1"/>
        <w:spacing w:before="0"/>
      </w:pPr>
      <w:bookmarkStart w:name="_TOC_250023" w:id="7"/>
      <w:bookmarkEnd w:id="7"/>
      <w:r>
        <w:rPr/>
        <w:t>第二部分 保障利益条款</w:t>
      </w:r>
    </w:p>
    <w:p>
      <w:pPr>
        <w:pStyle w:val="BodyText"/>
        <w:spacing w:before="5"/>
        <w:ind w:left="0"/>
        <w:rPr>
          <w:b/>
          <w:sz w:val="25"/>
        </w:rPr>
      </w:pPr>
    </w:p>
    <w:p>
      <w:pPr>
        <w:pStyle w:val="Heading2"/>
      </w:pPr>
      <w:bookmarkStart w:name="_TOC_250022" w:id="8"/>
      <w:bookmarkEnd w:id="8"/>
      <w:r>
        <w:rPr/>
        <w:t>第六条 保险对象</w:t>
      </w:r>
    </w:p>
    <w:p>
      <w:pPr>
        <w:pStyle w:val="BodyText"/>
        <w:spacing w:line="273" w:lineRule="auto"/>
        <w:ind w:left="117" w:right="213" w:firstLine="420"/>
      </w:pPr>
      <w:r>
        <w:rPr>
          <w:spacing w:val="-11"/>
        </w:rPr>
        <w:t>凡出生满 </w:t>
      </w:r>
      <w:r>
        <w:rPr/>
        <w:t>60</w:t>
      </w:r>
      <w:r>
        <w:rPr>
          <w:spacing w:val="-28"/>
        </w:rPr>
        <w:t> 日至 </w:t>
      </w:r>
      <w:r>
        <w:rPr/>
        <w:t>55</w:t>
      </w:r>
      <w:r>
        <w:rPr>
          <w:spacing w:val="-54"/>
        </w:rPr>
        <w:t> </w:t>
      </w:r>
      <w:r>
        <w:rPr>
          <w:b/>
        </w:rPr>
        <w:t>周岁</w:t>
      </w:r>
      <w:r>
        <w:rPr>
          <w:spacing w:val="-16"/>
        </w:rPr>
        <w:t>之间</w:t>
      </w:r>
      <w:r>
        <w:rPr/>
        <w:t>（</w:t>
      </w:r>
      <w:r>
        <w:rPr>
          <w:spacing w:val="-28"/>
        </w:rPr>
        <w:t>含 </w:t>
      </w:r>
      <w:r>
        <w:rPr/>
        <w:t>60</w:t>
      </w:r>
      <w:r>
        <w:rPr>
          <w:spacing w:val="-28"/>
        </w:rPr>
        <w:t> 日和 </w:t>
      </w:r>
      <w:r>
        <w:rPr/>
        <w:t>55</w:t>
      </w:r>
      <w:r>
        <w:rPr>
          <w:spacing w:val="-18"/>
        </w:rPr>
        <w:t> 周岁</w:t>
      </w:r>
      <w:r>
        <w:rPr>
          <w:spacing w:val="-31"/>
        </w:rPr>
        <w:t>）</w:t>
      </w:r>
      <w:r>
        <w:rPr>
          <w:spacing w:val="-3"/>
        </w:rPr>
        <w:t>的身体健康者可作为被保险人，由本人或对其具有保险利益的其他人作为投保人向本公司投保本保险。</w:t>
      </w:r>
    </w:p>
    <w:p>
      <w:pPr>
        <w:spacing w:after="0" w:line="273" w:lineRule="auto"/>
        <w:sectPr>
          <w:pgSz w:w="11910" w:h="16840"/>
          <w:pgMar w:header="0" w:footer="1008" w:top="1400" w:bottom="1200" w:left="1680" w:right="1580"/>
        </w:sectPr>
      </w:pPr>
    </w:p>
    <w:p>
      <w:pPr>
        <w:pStyle w:val="BodyText"/>
        <w:spacing w:before="10"/>
        <w:ind w:left="0"/>
        <w:rPr>
          <w:sz w:val="7"/>
        </w:rPr>
      </w:pPr>
    </w:p>
    <w:p>
      <w:pPr>
        <w:pStyle w:val="Heading2"/>
        <w:spacing w:before="35"/>
      </w:pPr>
      <w:bookmarkStart w:name="_TOC_250021" w:id="9"/>
      <w:bookmarkEnd w:id="9"/>
      <w:r>
        <w:rPr/>
        <w:t>第七条 保险责任</w:t>
      </w:r>
    </w:p>
    <w:p>
      <w:pPr>
        <w:pStyle w:val="BodyText"/>
        <w:spacing w:line="273" w:lineRule="auto" w:before="36"/>
        <w:ind w:left="537" w:right="3695"/>
      </w:pPr>
      <w:r>
        <w:rPr/>
        <w:t>在本合同有效期内，本公司承担如下保险责任： 一、重大疾病保险金</w:t>
      </w:r>
    </w:p>
    <w:p>
      <w:pPr>
        <w:pStyle w:val="BodyText"/>
        <w:spacing w:line="273" w:lineRule="auto" w:before="7"/>
        <w:ind w:left="117" w:right="212" w:firstLine="419"/>
        <w:jc w:val="both"/>
      </w:pPr>
      <w:r>
        <w:rPr/>
        <w:t>被保险人因</w:t>
      </w:r>
      <w:r>
        <w:rPr>
          <w:b/>
          <w:spacing w:val="0"/>
          <w:w w:val="99"/>
        </w:rPr>
        <w:t>意外伤害</w:t>
      </w:r>
      <w:r>
        <w:rPr/>
        <w:t>首次发生并被确诊为本合同列明的</w:t>
      </w:r>
      <w:r>
        <w:rPr>
          <w:b/>
          <w:spacing w:val="0"/>
          <w:w w:val="99"/>
        </w:rPr>
        <w:t>重大疾病</w:t>
      </w:r>
      <w:r>
        <w:rPr/>
        <w:t>（无论一种或多种</w:t>
      </w:r>
      <w:r>
        <w:rPr>
          <w:spacing w:val="-105"/>
        </w:rPr>
        <w:t>）</w:t>
      </w:r>
      <w:r>
        <w:rPr/>
        <w:t>，或者被保险人在本合同生效日或最后复效日（以较迟者为准）</w:t>
      </w:r>
      <w:r>
        <w:rPr>
          <w:spacing w:val="-15"/>
        </w:rPr>
        <w:t>起满 </w:t>
      </w:r>
      <w:r>
        <w:rPr/>
        <w:t>90</w:t>
      </w:r>
      <w:r>
        <w:rPr>
          <w:spacing w:val="-7"/>
        </w:rPr>
        <w:t> 日后因疾病首次发生</w:t>
      </w:r>
      <w:r>
        <w:rPr>
          <w:spacing w:val="-4"/>
        </w:rPr>
        <w:t>并被确诊为本合同列明的重大疾病</w:t>
      </w:r>
      <w:r>
        <w:rPr/>
        <w:t>（无论一种或多种</w:t>
      </w:r>
      <w:r>
        <w:rPr>
          <w:spacing w:val="-105"/>
        </w:rPr>
        <w:t>）</w:t>
      </w:r>
      <w:r>
        <w:rPr/>
        <w:t>，本公司按保险金额给付保险金，本合同效力终止。</w:t>
      </w:r>
    </w:p>
    <w:p>
      <w:pPr>
        <w:pStyle w:val="BodyText"/>
        <w:spacing w:line="273" w:lineRule="auto" w:before="7"/>
        <w:ind w:left="117" w:right="211" w:firstLine="420"/>
        <w:jc w:val="both"/>
      </w:pPr>
      <w:r>
        <w:rPr/>
        <w:t>被保险人在本合同生效日或最后复效日（以较迟者为准）</w:t>
      </w:r>
      <w:r>
        <w:rPr>
          <w:spacing w:val="-23"/>
        </w:rPr>
        <w:t>起 </w:t>
      </w:r>
      <w:r>
        <w:rPr/>
        <w:t>90</w:t>
      </w:r>
      <w:r>
        <w:rPr>
          <w:spacing w:val="-7"/>
        </w:rPr>
        <w:t> 日内因疾病首次发生并</w:t>
      </w:r>
      <w:r>
        <w:rPr>
          <w:spacing w:val="-4"/>
        </w:rPr>
        <w:t>被确诊为本合同列明的重大疾病</w:t>
      </w:r>
      <w:r>
        <w:rPr>
          <w:spacing w:val="0"/>
        </w:rPr>
        <w:t>（</w:t>
      </w:r>
      <w:r>
        <w:rPr/>
        <w:t>无论一种或多种</w:t>
      </w:r>
      <w:r>
        <w:rPr>
          <w:spacing w:val="-105"/>
        </w:rPr>
        <w:t>）</w:t>
      </w:r>
      <w:r>
        <w:rPr/>
        <w:t>，本公司无息退还保险费，本合同效力终止。</w:t>
      </w:r>
    </w:p>
    <w:p>
      <w:pPr>
        <w:pStyle w:val="BodyText"/>
        <w:spacing w:before="7"/>
        <w:ind w:left="537"/>
      </w:pPr>
      <w:r>
        <w:rPr/>
        <w:t>二、身故保险金</w:t>
      </w:r>
    </w:p>
    <w:p>
      <w:pPr>
        <w:pStyle w:val="BodyText"/>
        <w:spacing w:line="273" w:lineRule="auto"/>
        <w:ind w:left="117" w:right="106" w:firstLine="419"/>
      </w:pPr>
      <w:r>
        <w:rPr>
          <w:spacing w:val="-11"/>
        </w:rPr>
        <w:t>被保险人因意外伤害身故，或者被保险人在本合同生效日或最后复效日</w:t>
      </w:r>
      <w:r>
        <w:rPr/>
        <w:t>（以较迟者为准） </w:t>
      </w:r>
      <w:r>
        <w:rPr>
          <w:spacing w:val="-24"/>
        </w:rPr>
        <w:t>起满 </w:t>
      </w:r>
      <w:r>
        <w:rPr/>
        <w:t>90</w:t>
      </w:r>
      <w:r>
        <w:rPr>
          <w:spacing w:val="-9"/>
        </w:rPr>
        <w:t> 日后因疾病身故，本公司按保险金额给付保险金，本合同效力终止。</w:t>
      </w:r>
    </w:p>
    <w:p>
      <w:pPr>
        <w:pStyle w:val="BodyText"/>
        <w:spacing w:line="273" w:lineRule="auto" w:before="7"/>
        <w:ind w:left="117" w:right="131" w:firstLine="420"/>
      </w:pPr>
      <w:r>
        <w:rPr/>
        <w:t>被保险人在本合同生效日或最后复效日（以较迟者为准）起 90 日内因疾病身故，本公司无息退还保险费，本合同效力终止。</w:t>
      </w:r>
    </w:p>
    <w:p>
      <w:pPr>
        <w:pStyle w:val="BodyText"/>
        <w:spacing w:before="5"/>
        <w:ind w:left="0"/>
        <w:rPr>
          <w:sz w:val="24"/>
        </w:rPr>
      </w:pPr>
    </w:p>
    <w:p>
      <w:pPr>
        <w:pStyle w:val="Heading2"/>
        <w:rPr>
          <w:rFonts w:ascii="黑体" w:eastAsia="黑体" w:hint="eastAsia"/>
        </w:rPr>
      </w:pPr>
      <w:bookmarkStart w:name="_TOC_250020" w:id="10"/>
      <w:bookmarkEnd w:id="10"/>
      <w:r>
        <w:rPr>
          <w:rFonts w:ascii="黑体" w:eastAsia="黑体" w:hint="eastAsia"/>
        </w:rPr>
        <w:t>第八条 责任免除</w:t>
      </w:r>
    </w:p>
    <w:p>
      <w:pPr>
        <w:pStyle w:val="BodyText"/>
        <w:spacing w:line="273" w:lineRule="auto"/>
        <w:ind w:left="117" w:right="210" w:firstLine="420"/>
        <w:rPr>
          <w:rFonts w:ascii="黑体" w:eastAsia="黑体" w:hint="eastAsia"/>
        </w:rPr>
      </w:pPr>
      <w:r>
        <w:rPr>
          <w:rFonts w:ascii="黑体" w:eastAsia="黑体" w:hint="eastAsia"/>
        </w:rPr>
        <w:t>因下述一种或多种情形导致被保险人身故或首次发Th并被确诊为本合同列明的重大疾病的（无论一种或多种</w:t>
      </w:r>
      <w:r>
        <w:rPr>
          <w:rFonts w:ascii="黑体" w:eastAsia="黑体" w:hint="eastAsia"/>
          <w:spacing w:val="-106"/>
        </w:rPr>
        <w:t>）</w:t>
      </w:r>
      <w:r>
        <w:rPr>
          <w:rFonts w:ascii="黑体" w:eastAsia="黑体" w:hint="eastAsia"/>
          <w:spacing w:val="-1"/>
        </w:rPr>
        <w:t>，本公司不承担给付保险金的责任：</w:t>
      </w:r>
    </w:p>
    <w:p>
      <w:pPr>
        <w:pStyle w:val="ListParagraph"/>
        <w:numPr>
          <w:ilvl w:val="0"/>
          <w:numId w:val="1"/>
        </w:numPr>
        <w:tabs>
          <w:tab w:pos="957" w:val="left" w:leader="none"/>
          <w:tab w:pos="958" w:val="left" w:leader="none"/>
        </w:tabs>
        <w:spacing w:line="240" w:lineRule="auto" w:before="7" w:after="0"/>
        <w:ind w:left="957" w:right="0" w:hanging="420"/>
        <w:jc w:val="left"/>
        <w:rPr>
          <w:rFonts w:ascii="黑体" w:eastAsia="黑体" w:hint="eastAsia"/>
          <w:sz w:val="21"/>
        </w:rPr>
      </w:pPr>
      <w:r>
        <w:rPr>
          <w:rFonts w:ascii="黑体" w:eastAsia="黑体" w:hint="eastAsia"/>
          <w:sz w:val="21"/>
        </w:rPr>
        <w:t>投保人对被保险人的故意杀害、故意伤害；</w:t>
      </w:r>
    </w:p>
    <w:p>
      <w:pPr>
        <w:pStyle w:val="ListParagraph"/>
        <w:numPr>
          <w:ilvl w:val="0"/>
          <w:numId w:val="1"/>
        </w:numPr>
        <w:tabs>
          <w:tab w:pos="957" w:val="left" w:leader="none"/>
          <w:tab w:pos="958" w:val="left" w:leader="none"/>
        </w:tabs>
        <w:spacing w:line="240" w:lineRule="auto" w:before="36" w:after="0"/>
        <w:ind w:left="957" w:right="0" w:hanging="420"/>
        <w:jc w:val="left"/>
        <w:rPr>
          <w:rFonts w:ascii="黑体" w:eastAsia="黑体" w:hint="eastAsia"/>
          <w:sz w:val="21"/>
        </w:rPr>
      </w:pPr>
      <w:r>
        <w:rPr>
          <w:rFonts w:ascii="黑体" w:eastAsia="黑体" w:hint="eastAsia"/>
          <w:sz w:val="21"/>
        </w:rPr>
        <w:t>被保险人故意犯罪或者抗拒依法采取的刑事强制措施；</w:t>
      </w:r>
    </w:p>
    <w:p>
      <w:pPr>
        <w:pStyle w:val="ListParagraph"/>
        <w:numPr>
          <w:ilvl w:val="0"/>
          <w:numId w:val="1"/>
        </w:numPr>
        <w:tabs>
          <w:tab w:pos="957" w:val="left" w:leader="none"/>
          <w:tab w:pos="958" w:val="left" w:leader="none"/>
        </w:tabs>
        <w:spacing w:line="273" w:lineRule="auto" w:before="36" w:after="0"/>
        <w:ind w:left="957" w:right="167" w:hanging="420"/>
        <w:jc w:val="left"/>
        <w:rPr>
          <w:rFonts w:ascii="黑体" w:eastAsia="黑体" w:hint="eastAsia"/>
          <w:sz w:val="21"/>
        </w:rPr>
      </w:pPr>
      <w:r>
        <w:rPr>
          <w:rFonts w:ascii="黑体" w:eastAsia="黑体" w:hint="eastAsia"/>
          <w:spacing w:val="-3"/>
          <w:sz w:val="21"/>
        </w:rPr>
        <w:t>被保险人自本合同成立或者合同效力恢复之日起 </w:t>
      </w:r>
      <w:r>
        <w:rPr>
          <w:rFonts w:ascii="黑体" w:eastAsia="黑体" w:hint="eastAsia"/>
          <w:sz w:val="21"/>
        </w:rPr>
        <w:t>2</w:t>
      </w:r>
      <w:r>
        <w:rPr>
          <w:rFonts w:ascii="黑体" w:eastAsia="黑体" w:hint="eastAsia"/>
          <w:spacing w:val="-11"/>
          <w:sz w:val="21"/>
        </w:rPr>
        <w:t> 年内自杀，但被保险人自杀时为无民事行为能力人的除外；</w:t>
      </w:r>
    </w:p>
    <w:p>
      <w:pPr>
        <w:pStyle w:val="ListParagraph"/>
        <w:numPr>
          <w:ilvl w:val="0"/>
          <w:numId w:val="1"/>
        </w:numPr>
        <w:tabs>
          <w:tab w:pos="957" w:val="left" w:leader="none"/>
          <w:tab w:pos="958" w:val="left" w:leader="none"/>
        </w:tabs>
        <w:spacing w:line="240" w:lineRule="auto" w:before="7" w:after="0"/>
        <w:ind w:left="957" w:right="0" w:hanging="420"/>
        <w:jc w:val="left"/>
        <w:rPr>
          <w:rFonts w:ascii="黑体" w:eastAsia="黑体" w:hint="eastAsia"/>
          <w:sz w:val="21"/>
        </w:rPr>
      </w:pPr>
      <w:r>
        <w:rPr>
          <w:rFonts w:ascii="黑体" w:eastAsia="黑体" w:hint="eastAsia"/>
          <w:w w:val="95"/>
          <w:sz w:val="21"/>
        </w:rPr>
        <w:t>被保险人醉酒，斗殴，故意自伤，服用、吸食或注射</w:t>
      </w:r>
      <w:r>
        <w:rPr>
          <w:rFonts w:ascii="黑体" w:eastAsia="黑体" w:hint="eastAsia"/>
          <w:b/>
          <w:w w:val="95"/>
          <w:sz w:val="21"/>
        </w:rPr>
        <w:t>毒品</w:t>
      </w:r>
      <w:r>
        <w:rPr>
          <w:rFonts w:ascii="黑体" w:eastAsia="黑体" w:hint="eastAsia"/>
          <w:w w:val="95"/>
          <w:sz w:val="21"/>
        </w:rPr>
        <w:t>；</w:t>
      </w:r>
    </w:p>
    <w:p>
      <w:pPr>
        <w:pStyle w:val="ListParagraph"/>
        <w:numPr>
          <w:ilvl w:val="0"/>
          <w:numId w:val="1"/>
        </w:numPr>
        <w:tabs>
          <w:tab w:pos="957" w:val="left" w:leader="none"/>
          <w:tab w:pos="958" w:val="left" w:leader="none"/>
        </w:tabs>
        <w:spacing w:line="240" w:lineRule="auto" w:before="37" w:after="0"/>
        <w:ind w:left="957" w:right="0" w:hanging="420"/>
        <w:jc w:val="left"/>
        <w:rPr>
          <w:rFonts w:ascii="黑体" w:eastAsia="黑体" w:hint="eastAsia"/>
          <w:sz w:val="21"/>
        </w:rPr>
      </w:pPr>
      <w:r>
        <w:rPr>
          <w:rFonts w:ascii="黑体" w:eastAsia="黑体" w:hint="eastAsia"/>
          <w:w w:val="95"/>
          <w:sz w:val="21"/>
        </w:rPr>
        <w:t>被保险人</w:t>
      </w:r>
      <w:r>
        <w:rPr>
          <w:rFonts w:ascii="黑体" w:eastAsia="黑体" w:hint="eastAsia"/>
          <w:b/>
          <w:w w:val="95"/>
          <w:sz w:val="21"/>
        </w:rPr>
        <w:t>酒后驾驶</w:t>
      </w:r>
      <w:r>
        <w:rPr>
          <w:rFonts w:ascii="黑体" w:eastAsia="黑体" w:hint="eastAsia"/>
          <w:w w:val="95"/>
          <w:sz w:val="21"/>
        </w:rPr>
        <w:t>、</w:t>
      </w:r>
      <w:r>
        <w:rPr>
          <w:rFonts w:ascii="黑体" w:eastAsia="黑体" w:hint="eastAsia"/>
          <w:b/>
          <w:w w:val="95"/>
          <w:sz w:val="21"/>
        </w:rPr>
        <w:t>无合法有效驾驶证驾驶</w:t>
      </w:r>
      <w:r>
        <w:rPr>
          <w:rFonts w:ascii="黑体" w:eastAsia="黑体" w:hint="eastAsia"/>
          <w:w w:val="95"/>
          <w:sz w:val="21"/>
        </w:rPr>
        <w:t>或驾驶</w:t>
      </w:r>
      <w:r>
        <w:rPr>
          <w:rFonts w:ascii="黑体" w:eastAsia="黑体" w:hint="eastAsia"/>
          <w:b/>
          <w:w w:val="95"/>
          <w:sz w:val="21"/>
        </w:rPr>
        <w:t>无有效行驶证</w:t>
      </w:r>
      <w:r>
        <w:rPr>
          <w:rFonts w:ascii="黑体" w:eastAsia="黑体" w:hint="eastAsia"/>
          <w:w w:val="95"/>
          <w:sz w:val="21"/>
        </w:rPr>
        <w:t>的机动车；</w:t>
      </w:r>
    </w:p>
    <w:p>
      <w:pPr>
        <w:pStyle w:val="ListParagraph"/>
        <w:numPr>
          <w:ilvl w:val="0"/>
          <w:numId w:val="1"/>
        </w:numPr>
        <w:tabs>
          <w:tab w:pos="957" w:val="left" w:leader="none"/>
          <w:tab w:pos="958" w:val="left" w:leader="none"/>
        </w:tabs>
        <w:spacing w:line="240" w:lineRule="auto" w:before="37" w:after="0"/>
        <w:ind w:left="957" w:right="0" w:hanging="420"/>
        <w:jc w:val="left"/>
        <w:rPr>
          <w:rFonts w:ascii="黑体" w:eastAsia="黑体" w:hint="eastAsia"/>
          <w:sz w:val="21"/>
        </w:rPr>
      </w:pPr>
      <w:r>
        <w:rPr>
          <w:rFonts w:ascii="黑体" w:eastAsia="黑体" w:hint="eastAsia"/>
          <w:w w:val="95"/>
          <w:sz w:val="21"/>
        </w:rPr>
        <w:t>被保险人患</w:t>
      </w:r>
      <w:r>
        <w:rPr>
          <w:rFonts w:ascii="黑体" w:eastAsia="黑体" w:hint="eastAsia"/>
          <w:b/>
          <w:w w:val="95"/>
          <w:sz w:val="21"/>
        </w:rPr>
        <w:t>先天性疾病、先天性畸形</w:t>
      </w:r>
      <w:r>
        <w:rPr>
          <w:rFonts w:ascii="黑体" w:eastAsia="黑体" w:hint="eastAsia"/>
          <w:w w:val="95"/>
          <w:sz w:val="21"/>
        </w:rPr>
        <w:t>、</w:t>
      </w:r>
      <w:r>
        <w:rPr>
          <w:rFonts w:ascii="黑体" w:eastAsia="黑体" w:hint="eastAsia"/>
          <w:b/>
          <w:w w:val="95"/>
          <w:sz w:val="21"/>
        </w:rPr>
        <w:t>遗传性疾病</w:t>
      </w:r>
      <w:r>
        <w:rPr>
          <w:rFonts w:ascii="黑体" w:eastAsia="黑体" w:hint="eastAsia"/>
          <w:w w:val="95"/>
          <w:sz w:val="21"/>
        </w:rPr>
        <w:t>；</w:t>
      </w:r>
    </w:p>
    <w:p>
      <w:pPr>
        <w:pStyle w:val="ListParagraph"/>
        <w:numPr>
          <w:ilvl w:val="0"/>
          <w:numId w:val="1"/>
        </w:numPr>
        <w:tabs>
          <w:tab w:pos="957" w:val="left" w:leader="none"/>
          <w:tab w:pos="958" w:val="left" w:leader="none"/>
        </w:tabs>
        <w:spacing w:line="273" w:lineRule="auto" w:before="37" w:after="0"/>
        <w:ind w:left="957" w:right="212" w:hanging="420"/>
        <w:jc w:val="left"/>
        <w:rPr>
          <w:rFonts w:ascii="黑体" w:eastAsia="黑体" w:hint="eastAsia"/>
          <w:sz w:val="21"/>
        </w:rPr>
      </w:pPr>
      <w:r>
        <w:rPr>
          <w:rFonts w:ascii="黑体" w:eastAsia="黑体" w:hint="eastAsia"/>
          <w:spacing w:val="-8"/>
          <w:sz w:val="21"/>
        </w:rPr>
        <w:t>被保险人不孕不育治疗、人工受精、怀孕、分娩</w:t>
      </w:r>
      <w:r>
        <w:rPr>
          <w:rFonts w:ascii="黑体" w:eastAsia="黑体" w:hint="eastAsia"/>
          <w:sz w:val="21"/>
        </w:rPr>
        <w:t>（含难产</w:t>
      </w:r>
      <w:r>
        <w:rPr>
          <w:rFonts w:ascii="黑体" w:eastAsia="黑体" w:hint="eastAsia"/>
          <w:spacing w:val="-105"/>
          <w:sz w:val="21"/>
        </w:rPr>
        <w:t>）</w:t>
      </w:r>
      <w:r>
        <w:rPr>
          <w:rFonts w:ascii="黑体" w:eastAsia="黑体" w:hint="eastAsia"/>
          <w:spacing w:val="-14"/>
          <w:sz w:val="21"/>
        </w:rPr>
        <w:t>、流产、堕胎、节育</w:t>
      </w:r>
      <w:r>
        <w:rPr>
          <w:rFonts w:ascii="黑体" w:eastAsia="黑体" w:hint="eastAsia"/>
          <w:sz w:val="21"/>
        </w:rPr>
        <w:t>（含</w:t>
      </w:r>
      <w:r>
        <w:rPr>
          <w:rFonts w:ascii="黑体" w:eastAsia="黑体" w:hint="eastAsia"/>
          <w:spacing w:val="-1"/>
          <w:sz w:val="21"/>
        </w:rPr>
        <w:t>绝育</w:t>
      </w:r>
      <w:r>
        <w:rPr>
          <w:rFonts w:ascii="黑体" w:eastAsia="黑体" w:hint="eastAsia"/>
          <w:spacing w:val="-105"/>
          <w:sz w:val="21"/>
        </w:rPr>
        <w:t>）</w:t>
      </w:r>
      <w:r>
        <w:rPr>
          <w:rFonts w:ascii="黑体" w:eastAsia="黑体" w:hint="eastAsia"/>
          <w:sz w:val="21"/>
        </w:rPr>
        <w:t>、产前产后检查以及上述原因引起的并发症；</w:t>
      </w:r>
    </w:p>
    <w:p>
      <w:pPr>
        <w:pStyle w:val="ListParagraph"/>
        <w:numPr>
          <w:ilvl w:val="0"/>
          <w:numId w:val="1"/>
        </w:numPr>
        <w:tabs>
          <w:tab w:pos="957" w:val="left" w:leader="none"/>
          <w:tab w:pos="958" w:val="left" w:leader="none"/>
        </w:tabs>
        <w:spacing w:line="240" w:lineRule="auto" w:before="7" w:after="0"/>
        <w:ind w:left="957" w:right="0" w:hanging="420"/>
        <w:jc w:val="left"/>
        <w:rPr>
          <w:rFonts w:ascii="黑体" w:eastAsia="黑体" w:hint="eastAsia"/>
          <w:sz w:val="21"/>
        </w:rPr>
      </w:pPr>
      <w:r>
        <w:rPr>
          <w:rFonts w:ascii="黑体" w:eastAsia="黑体" w:hint="eastAsia"/>
          <w:sz w:val="21"/>
        </w:rPr>
        <w:t>被保险人药物过敏、发Th医疗事故或因非意外事故所致的整容；</w:t>
      </w:r>
    </w:p>
    <w:p>
      <w:pPr>
        <w:pStyle w:val="ListParagraph"/>
        <w:numPr>
          <w:ilvl w:val="0"/>
          <w:numId w:val="1"/>
        </w:numPr>
        <w:tabs>
          <w:tab w:pos="957" w:val="left" w:leader="none"/>
          <w:tab w:pos="958" w:val="left" w:leader="none"/>
        </w:tabs>
        <w:spacing w:line="240" w:lineRule="auto" w:before="36" w:after="0"/>
        <w:ind w:left="957" w:right="0" w:hanging="420"/>
        <w:jc w:val="left"/>
        <w:rPr>
          <w:rFonts w:ascii="黑体" w:eastAsia="黑体" w:hint="eastAsia"/>
          <w:sz w:val="21"/>
        </w:rPr>
      </w:pPr>
      <w:r>
        <w:rPr>
          <w:rFonts w:ascii="黑体" w:eastAsia="黑体" w:hint="eastAsia"/>
          <w:sz w:val="21"/>
        </w:rPr>
        <w:t>被保险人未遵医嘱，私自服用、涂用、注射药物；</w:t>
      </w:r>
    </w:p>
    <w:p>
      <w:pPr>
        <w:pStyle w:val="ListParagraph"/>
        <w:numPr>
          <w:ilvl w:val="0"/>
          <w:numId w:val="1"/>
        </w:numPr>
        <w:tabs>
          <w:tab w:pos="958" w:val="left" w:leader="none"/>
        </w:tabs>
        <w:spacing w:line="273" w:lineRule="auto" w:before="36" w:after="0"/>
        <w:ind w:left="957" w:right="119" w:hanging="420"/>
        <w:jc w:val="left"/>
        <w:rPr>
          <w:rFonts w:ascii="黑体" w:eastAsia="黑体" w:hint="eastAsia"/>
          <w:sz w:val="21"/>
        </w:rPr>
      </w:pPr>
      <w:r>
        <w:rPr>
          <w:rFonts w:ascii="黑体" w:eastAsia="黑体" w:hint="eastAsia"/>
          <w:sz w:val="21"/>
        </w:rPr>
        <w:t>被保险人从事高风险运动，包括但不限于</w:t>
      </w:r>
      <w:r>
        <w:rPr>
          <w:rFonts w:ascii="黑体" w:eastAsia="黑体" w:hint="eastAsia"/>
          <w:b/>
          <w:sz w:val="21"/>
        </w:rPr>
        <w:t>潜水</w:t>
      </w:r>
      <w:r>
        <w:rPr>
          <w:rFonts w:ascii="黑体" w:eastAsia="黑体" w:hint="eastAsia"/>
          <w:sz w:val="21"/>
        </w:rPr>
        <w:t>、跳伞、</w:t>
      </w:r>
      <w:r>
        <w:rPr>
          <w:rFonts w:ascii="黑体" w:eastAsia="黑体" w:hint="eastAsia"/>
          <w:b/>
          <w:sz w:val="21"/>
        </w:rPr>
        <w:t>攀岩</w:t>
      </w:r>
      <w:r>
        <w:rPr>
          <w:rFonts w:ascii="黑体" w:eastAsia="黑体" w:hint="eastAsia"/>
          <w:sz w:val="21"/>
        </w:rPr>
        <w:t>、</w:t>
      </w:r>
      <w:r>
        <w:rPr>
          <w:rFonts w:ascii="黑体" w:eastAsia="黑体" w:hint="eastAsia"/>
          <w:b/>
          <w:sz w:val="21"/>
        </w:rPr>
        <w:t>探险</w:t>
      </w:r>
      <w:r>
        <w:rPr>
          <w:rFonts w:ascii="黑体" w:eastAsia="黑体" w:hint="eastAsia"/>
          <w:sz w:val="21"/>
        </w:rPr>
        <w:t>、蹦极、飞行、</w:t>
      </w:r>
      <w:r>
        <w:rPr>
          <w:rFonts w:ascii="黑体" w:eastAsia="黑体" w:hint="eastAsia"/>
          <w:w w:val="95"/>
          <w:sz w:val="21"/>
        </w:rPr>
        <w:t>驾驶滑翔机或滑翔伞、</w:t>
      </w:r>
      <w:r>
        <w:rPr>
          <w:rFonts w:ascii="黑体" w:eastAsia="黑体" w:hint="eastAsia"/>
          <w:b/>
          <w:w w:val="95"/>
          <w:sz w:val="21"/>
        </w:rPr>
        <w:t>武术比赛</w:t>
      </w:r>
      <w:r>
        <w:rPr>
          <w:rFonts w:ascii="黑体" w:eastAsia="黑体" w:hint="eastAsia"/>
          <w:w w:val="95"/>
          <w:sz w:val="21"/>
        </w:rPr>
        <w:t>、摔跤、</w:t>
      </w:r>
      <w:r>
        <w:rPr>
          <w:rFonts w:ascii="黑体" w:eastAsia="黑体" w:hint="eastAsia"/>
          <w:b/>
          <w:w w:val="95"/>
          <w:sz w:val="21"/>
        </w:rPr>
        <w:t>特技表演</w:t>
      </w:r>
      <w:r>
        <w:rPr>
          <w:rFonts w:ascii="黑体" w:eastAsia="黑体" w:hint="eastAsia"/>
          <w:w w:val="95"/>
          <w:sz w:val="21"/>
        </w:rPr>
        <w:t>、赛马、赛车等；</w:t>
      </w:r>
    </w:p>
    <w:p>
      <w:pPr>
        <w:pStyle w:val="ListParagraph"/>
        <w:numPr>
          <w:ilvl w:val="0"/>
          <w:numId w:val="1"/>
        </w:numPr>
        <w:tabs>
          <w:tab w:pos="958" w:val="left" w:leader="none"/>
        </w:tabs>
        <w:spacing w:line="240" w:lineRule="auto" w:before="7" w:after="0"/>
        <w:ind w:left="957" w:right="0" w:hanging="420"/>
        <w:jc w:val="left"/>
        <w:rPr>
          <w:rFonts w:ascii="黑体" w:eastAsia="黑体" w:hint="eastAsia"/>
          <w:sz w:val="21"/>
        </w:rPr>
      </w:pPr>
      <w:r>
        <w:rPr>
          <w:rFonts w:ascii="黑体" w:eastAsia="黑体" w:hint="eastAsia"/>
          <w:sz w:val="21"/>
        </w:rPr>
        <w:t>战争、军事冲突、暴乱或武装叛乱；</w:t>
      </w:r>
    </w:p>
    <w:p>
      <w:pPr>
        <w:pStyle w:val="ListParagraph"/>
        <w:numPr>
          <w:ilvl w:val="0"/>
          <w:numId w:val="1"/>
        </w:numPr>
        <w:tabs>
          <w:tab w:pos="958" w:val="left" w:leader="none"/>
        </w:tabs>
        <w:spacing w:line="240" w:lineRule="auto" w:before="37" w:after="0"/>
        <w:ind w:left="957" w:right="0" w:hanging="420"/>
        <w:jc w:val="left"/>
        <w:rPr>
          <w:rFonts w:ascii="黑体" w:eastAsia="黑体" w:hint="eastAsia"/>
          <w:sz w:val="21"/>
        </w:rPr>
      </w:pPr>
      <w:r>
        <w:rPr>
          <w:rFonts w:ascii="黑体" w:eastAsia="黑体" w:hint="eastAsia"/>
          <w:sz w:val="21"/>
        </w:rPr>
        <w:t>核爆炸、核辐射或核污染。</w:t>
      </w:r>
    </w:p>
    <w:p>
      <w:pPr>
        <w:pStyle w:val="BodyText"/>
        <w:ind w:left="537"/>
        <w:rPr>
          <w:rFonts w:ascii="黑体" w:eastAsia="黑体" w:hint="eastAsia"/>
        </w:rPr>
      </w:pPr>
      <w:r>
        <w:rPr>
          <w:rFonts w:ascii="黑体" w:eastAsia="黑体" w:hint="eastAsia"/>
        </w:rPr>
        <w:t>被保险人因上述一种或多种情形身故或首次发Th并被确诊为本合同列明的重大疾病的</w:t>
      </w:r>
    </w:p>
    <w:p>
      <w:pPr>
        <w:pStyle w:val="BodyText"/>
        <w:ind w:left="117"/>
        <w:rPr>
          <w:rFonts w:ascii="黑体" w:eastAsia="黑体" w:hint="eastAsia"/>
        </w:rPr>
      </w:pPr>
      <w:r>
        <w:rPr>
          <w:rFonts w:ascii="黑体" w:eastAsia="黑体" w:hint="eastAsia"/>
        </w:rPr>
        <w:t>（无论一种或多种</w:t>
      </w:r>
      <w:r>
        <w:rPr>
          <w:rFonts w:ascii="黑体" w:eastAsia="黑体" w:hint="eastAsia"/>
          <w:spacing w:val="-105"/>
        </w:rPr>
        <w:t>）</w:t>
      </w:r>
      <w:r>
        <w:rPr>
          <w:rFonts w:ascii="黑体" w:eastAsia="黑体" w:hint="eastAsia"/>
          <w:spacing w:val="-1"/>
        </w:rPr>
        <w:t>，本合同效力终止，本公司退还本合同的</w:t>
      </w:r>
      <w:r>
        <w:rPr>
          <w:rFonts w:ascii="黑体" w:eastAsia="黑体" w:hint="eastAsia"/>
          <w:b/>
          <w:w w:val="99"/>
        </w:rPr>
        <w:t>现金价值</w:t>
      </w:r>
      <w:r>
        <w:rPr>
          <w:rFonts w:ascii="黑体" w:eastAsia="黑体" w:hint="eastAsia"/>
        </w:rPr>
        <w:t>。</w:t>
      </w:r>
    </w:p>
    <w:p>
      <w:pPr>
        <w:pStyle w:val="BodyText"/>
        <w:spacing w:before="8"/>
        <w:ind w:left="0"/>
        <w:rPr>
          <w:rFonts w:ascii="黑体"/>
          <w:sz w:val="26"/>
        </w:rPr>
      </w:pPr>
    </w:p>
    <w:p>
      <w:pPr>
        <w:pStyle w:val="Heading2"/>
      </w:pPr>
      <w:bookmarkStart w:name="_TOC_250019" w:id="11"/>
      <w:bookmarkEnd w:id="11"/>
      <w:r>
        <w:rPr/>
        <w:t>第九条 保险期间</w:t>
      </w:r>
    </w:p>
    <w:p>
      <w:pPr>
        <w:pStyle w:val="BodyText"/>
        <w:spacing w:line="273" w:lineRule="auto" w:before="36"/>
        <w:ind w:left="117" w:right="214" w:firstLine="420"/>
      </w:pPr>
      <w:r>
        <w:rPr>
          <w:spacing w:val="-6"/>
        </w:rPr>
        <w:t>本合同保险期间为定期 </w:t>
      </w:r>
      <w:r>
        <w:rPr/>
        <w:t>15</w:t>
      </w:r>
      <w:r>
        <w:rPr>
          <w:spacing w:val="-8"/>
        </w:rPr>
        <w:t> 年，由投保人和本公司约定并在保险单上载明。本公司自生效日的零时开始承担保险责任。</w:t>
      </w:r>
    </w:p>
    <w:p>
      <w:pPr>
        <w:pStyle w:val="BodyText"/>
        <w:spacing w:before="5"/>
        <w:ind w:left="0"/>
        <w:rPr>
          <w:sz w:val="24"/>
        </w:rPr>
      </w:pPr>
    </w:p>
    <w:p>
      <w:pPr>
        <w:pStyle w:val="Heading2"/>
      </w:pPr>
      <w:bookmarkStart w:name="_TOC_250018" w:id="12"/>
      <w:bookmarkEnd w:id="12"/>
      <w:r>
        <w:rPr/>
        <w:t>第十条 保险金额和保险费</w:t>
      </w:r>
    </w:p>
    <w:p>
      <w:pPr>
        <w:pStyle w:val="BodyText"/>
        <w:spacing w:before="36"/>
        <w:ind w:left="537"/>
      </w:pPr>
      <w:r>
        <w:rPr/>
        <w:t>一、本合同的保险金额由投保人和本公司双方协商约定并在保险单上载明。</w:t>
      </w:r>
    </w:p>
    <w:p>
      <w:pPr>
        <w:spacing w:after="0"/>
        <w:sectPr>
          <w:pgSz w:w="11910" w:h="16840"/>
          <w:pgMar w:header="0" w:footer="1008" w:top="1600" w:bottom="1200" w:left="1680" w:right="1580"/>
        </w:sectPr>
      </w:pPr>
    </w:p>
    <w:p>
      <w:pPr>
        <w:pStyle w:val="BodyText"/>
        <w:spacing w:line="273" w:lineRule="auto" w:before="25"/>
        <w:ind w:left="117" w:right="211" w:firstLine="420"/>
        <w:jc w:val="both"/>
      </w:pPr>
      <w:r>
        <w:rPr>
          <w:spacing w:val="-9"/>
        </w:rPr>
        <w:t>二、本合同的保险费按照保险金额和约定的费率标准确定。交费方式和交费期间由投保</w:t>
      </w:r>
      <w:r>
        <w:rPr>
          <w:spacing w:val="-13"/>
        </w:rPr>
        <w:t>人和本公司约定并在保险单上载明，分期支付保险费的，在交纳首期保险费后，投保人应按保险费约定交纳日交纳其余各期的保险费。</w:t>
      </w:r>
    </w:p>
    <w:p>
      <w:pPr>
        <w:pStyle w:val="BodyText"/>
        <w:spacing w:before="5"/>
        <w:ind w:left="0"/>
        <w:rPr>
          <w:sz w:val="24"/>
        </w:rPr>
      </w:pPr>
    </w:p>
    <w:p>
      <w:pPr>
        <w:pStyle w:val="Heading2"/>
      </w:pPr>
      <w:bookmarkStart w:name="_TOC_250017" w:id="13"/>
      <w:bookmarkEnd w:id="13"/>
      <w:r>
        <w:rPr/>
        <w:t>第十一条 保险费率调整</w:t>
      </w:r>
    </w:p>
    <w:p>
      <w:pPr>
        <w:pStyle w:val="BodyText"/>
        <w:spacing w:before="36"/>
        <w:ind w:left="537"/>
      </w:pPr>
      <w:r>
        <w:rPr/>
        <w:t>本公司保留提高或降低保险费率的权利。</w:t>
      </w:r>
    </w:p>
    <w:p>
      <w:pPr>
        <w:pStyle w:val="BodyText"/>
        <w:spacing w:line="273" w:lineRule="auto" w:before="36"/>
        <w:ind w:left="117" w:right="211" w:firstLine="420"/>
        <w:jc w:val="both"/>
      </w:pPr>
      <w:r>
        <w:rPr>
          <w:spacing w:val="-3"/>
        </w:rPr>
        <w:t>本公司将根据本合同厘定费率所用的疾病发生率与实际情况的偏差程度，决定是否调整</w:t>
      </w:r>
      <w:r>
        <w:rPr>
          <w:spacing w:val="-11"/>
        </w:rPr>
        <w:t>保险费率，并向保险监管机关备案。保险费率的调整针对所有被保险人或同一年龄的所有被保险人。本公司进行费率调整后，投保人须按调整后的保险费率交纳续期保险费，投保人在费率调整前已经交纳的保险费不受影响。</w:t>
      </w:r>
    </w:p>
    <w:p>
      <w:pPr>
        <w:pStyle w:val="BodyText"/>
        <w:spacing w:before="5"/>
        <w:ind w:left="0"/>
        <w:rPr>
          <w:sz w:val="24"/>
        </w:rPr>
      </w:pPr>
    </w:p>
    <w:p>
      <w:pPr>
        <w:pStyle w:val="Heading2"/>
      </w:pPr>
      <w:bookmarkStart w:name="_TOC_250016" w:id="14"/>
      <w:bookmarkEnd w:id="14"/>
      <w:r>
        <w:rPr/>
        <w:t>第十二条 宽限期</w:t>
      </w:r>
    </w:p>
    <w:p>
      <w:pPr>
        <w:pStyle w:val="BodyText"/>
        <w:spacing w:line="273" w:lineRule="auto"/>
        <w:ind w:left="117" w:right="108" w:firstLine="420"/>
      </w:pPr>
      <w:r>
        <w:rPr>
          <w:spacing w:val="-7"/>
        </w:rPr>
        <w:t>分期支付保险费的，投保人支付首期保险费后，除本合同另有约定外，若投保人到期未</w:t>
      </w:r>
      <w:r>
        <w:rPr>
          <w:spacing w:val="-12"/>
        </w:rPr>
        <w:t>支付保险费，自保险费约定交纳日的次日零时起 </w:t>
      </w:r>
      <w:r>
        <w:rPr/>
        <w:t>60</w:t>
      </w:r>
      <w:r>
        <w:rPr>
          <w:spacing w:val="-11"/>
        </w:rPr>
        <w:t> 日为宽限期。宽限期内发生的保险事故， 本公司仍会承担保险责任，但在给付保险金时会扣减投保人欠交的保险费。</w:t>
      </w:r>
    </w:p>
    <w:p>
      <w:pPr>
        <w:pStyle w:val="BodyText"/>
        <w:spacing w:line="273" w:lineRule="auto" w:before="7"/>
        <w:ind w:left="117" w:right="212" w:firstLine="420"/>
        <w:jc w:val="both"/>
      </w:pPr>
      <w:r>
        <w:rPr>
          <w:spacing w:val="-5"/>
        </w:rPr>
        <w:t>若投保人在宽限期结束之后仍未交纳保险费，则本合同自宽限期届满之日次日零时起效力中止。</w:t>
      </w:r>
    </w:p>
    <w:p>
      <w:pPr>
        <w:pStyle w:val="BodyText"/>
        <w:spacing w:before="0"/>
        <w:ind w:left="0"/>
        <w:rPr>
          <w:sz w:val="20"/>
        </w:rPr>
      </w:pPr>
    </w:p>
    <w:p>
      <w:pPr>
        <w:pStyle w:val="BodyText"/>
        <w:spacing w:before="4"/>
        <w:ind w:left="0"/>
        <w:rPr>
          <w:sz w:val="26"/>
        </w:rPr>
      </w:pPr>
    </w:p>
    <w:p>
      <w:pPr>
        <w:pStyle w:val="Heading1"/>
        <w:ind w:right="1475"/>
      </w:pPr>
      <w:bookmarkStart w:name="_TOC_250015" w:id="15"/>
      <w:bookmarkEnd w:id="15"/>
      <w:r>
        <w:rPr/>
        <w:t>第三部分 保险服务条款</w:t>
      </w:r>
    </w:p>
    <w:p>
      <w:pPr>
        <w:pStyle w:val="BodyText"/>
        <w:spacing w:before="1"/>
        <w:ind w:left="0"/>
        <w:rPr>
          <w:b/>
          <w:sz w:val="20"/>
        </w:rPr>
      </w:pPr>
    </w:p>
    <w:p>
      <w:pPr>
        <w:pStyle w:val="Heading2"/>
      </w:pPr>
      <w:bookmarkStart w:name="_TOC_250014" w:id="16"/>
      <w:bookmarkEnd w:id="16"/>
      <w:r>
        <w:rPr/>
        <w:t>第十三条 合同内容变更</w:t>
      </w:r>
    </w:p>
    <w:p>
      <w:pPr>
        <w:pStyle w:val="BodyText"/>
        <w:spacing w:line="273" w:lineRule="auto" w:before="36"/>
        <w:ind w:left="117" w:right="211" w:firstLine="420"/>
        <w:jc w:val="both"/>
      </w:pPr>
      <w:r>
        <w:rPr>
          <w:spacing w:val="-7"/>
        </w:rPr>
        <w:t>在本合同有效期内，经投保人和本公司协商，可以变更本合同的有关内容。变更本合同</w:t>
      </w:r>
      <w:r>
        <w:rPr>
          <w:spacing w:val="-10"/>
        </w:rPr>
        <w:t>的，应当由本公司在原保险单上批注或附贴批单，或由投保人和本公司订立变更的书面协议后，变更方为生效。</w:t>
      </w:r>
    </w:p>
    <w:p>
      <w:pPr>
        <w:pStyle w:val="BodyText"/>
        <w:spacing w:before="5"/>
        <w:ind w:left="0"/>
        <w:rPr>
          <w:sz w:val="24"/>
        </w:rPr>
      </w:pPr>
    </w:p>
    <w:p>
      <w:pPr>
        <w:pStyle w:val="Heading2"/>
      </w:pPr>
      <w:bookmarkStart w:name="_TOC_250013" w:id="17"/>
      <w:bookmarkEnd w:id="17"/>
      <w:r>
        <w:rPr/>
        <w:t>第十四条 受益人指定和变更</w:t>
      </w:r>
    </w:p>
    <w:p>
      <w:pPr>
        <w:pStyle w:val="BodyText"/>
        <w:ind w:left="537"/>
      </w:pPr>
      <w:r>
        <w:rPr/>
        <w:t>除合同另有约定外，本合同重大疾病保险金的受益人为被保险人本人。</w:t>
      </w:r>
    </w:p>
    <w:p>
      <w:pPr>
        <w:pStyle w:val="BodyText"/>
        <w:spacing w:line="273" w:lineRule="auto"/>
        <w:ind w:left="117" w:right="211" w:firstLine="420"/>
        <w:jc w:val="both"/>
      </w:pPr>
      <w:r>
        <w:rPr>
          <w:spacing w:val="-4"/>
        </w:rPr>
        <w:t>被保险人或者投保人可指定一人或数人为身故保险金的受益人。身故保险金受益人为数</w:t>
      </w:r>
      <w:r>
        <w:rPr>
          <w:spacing w:val="-8"/>
        </w:rPr>
        <w:t>人时，被保险人或者投保人可以确定受益顺序和受益份额，未确定受益顺序的，身故保险金</w:t>
      </w:r>
      <w:r>
        <w:rPr>
          <w:spacing w:val="-13"/>
        </w:rPr>
        <w:t>受益人按照相同的顺序享有受益权；未确定受益份额的，身故保险金受益人按照相等份额享有受益权。</w:t>
      </w:r>
    </w:p>
    <w:p>
      <w:pPr>
        <w:pStyle w:val="BodyText"/>
        <w:spacing w:line="273" w:lineRule="auto" w:before="7"/>
        <w:ind w:left="537" w:right="124"/>
      </w:pPr>
      <w:r>
        <w:rPr/>
        <w:t>被保险人为无民事行为能力人或限制民事行为能力人的，可以由其监护人指定受益人。被保险人或者投保人可以变更身故保险金受益人，但需书面通知本公司。本公司收到变</w:t>
      </w:r>
    </w:p>
    <w:p>
      <w:pPr>
        <w:pStyle w:val="BodyText"/>
        <w:spacing w:line="273" w:lineRule="auto" w:before="7"/>
        <w:ind w:left="537" w:right="964" w:hanging="420"/>
      </w:pPr>
      <w:r>
        <w:rPr/>
        <w:t>更受益人的书面通知后，由本公司在保险单上或其他保险凭证上批注或附贴批单。投保人在指定和变更受益人时，须经被保险人书面同意。</w:t>
      </w:r>
    </w:p>
    <w:p>
      <w:pPr>
        <w:pStyle w:val="BodyText"/>
        <w:spacing w:line="273" w:lineRule="auto" w:before="7"/>
        <w:ind w:left="117" w:right="211" w:firstLine="420"/>
        <w:jc w:val="both"/>
      </w:pPr>
      <w:r>
        <w:rPr>
          <w:spacing w:val="-8"/>
        </w:rPr>
        <w:t>被保险人身故，有下列情形之一的，保险金作为被保险人的遗产，由本公司依照《中华人民共和国继承法》的规定履行给付保险金的义务：</w:t>
      </w:r>
    </w:p>
    <w:p>
      <w:pPr>
        <w:pStyle w:val="BodyText"/>
        <w:spacing w:line="273" w:lineRule="auto" w:before="7"/>
        <w:ind w:left="537" w:right="2854"/>
      </w:pPr>
      <w:r>
        <w:rPr/>
        <w:t>一、没有指定受益人，或者受益人指定不明无法确定的； 二、受益人先于被保险人身故，没有其他受益人的；</w:t>
      </w:r>
    </w:p>
    <w:p>
      <w:pPr>
        <w:pStyle w:val="BodyText"/>
        <w:spacing w:before="7"/>
        <w:ind w:left="537"/>
      </w:pPr>
      <w:r>
        <w:rPr/>
        <w:t>三、受益人依法丧失受益权或者放弃受益权，没有其他受益人的。</w:t>
      </w:r>
    </w:p>
    <w:p>
      <w:pPr>
        <w:pStyle w:val="BodyText"/>
        <w:spacing w:line="273" w:lineRule="auto" w:before="36"/>
        <w:ind w:left="117" w:right="145" w:firstLine="399"/>
        <w:jc w:val="both"/>
      </w:pPr>
      <w:r>
        <w:rPr/>
        <w:t>受益人与被保险人在同一事故中身故，且不能确定身故顺序的，推定受益人身故在先。</w:t>
      </w:r>
      <w:r>
        <w:rPr>
          <w:spacing w:val="-6"/>
        </w:rPr>
        <w:t>受益人故意造成被保险人身故、伤残、疾病的，或者故意杀害被保险人未遂的，该受益人丧失受益权。</w:t>
      </w:r>
    </w:p>
    <w:p>
      <w:pPr>
        <w:spacing w:after="0" w:line="273" w:lineRule="auto"/>
        <w:jc w:val="both"/>
        <w:sectPr>
          <w:pgSz w:w="11910" w:h="16840"/>
          <w:pgMar w:header="0" w:footer="1008" w:top="1400" w:bottom="1200" w:left="1680" w:right="1580"/>
        </w:sectPr>
      </w:pPr>
    </w:p>
    <w:p>
      <w:pPr>
        <w:pStyle w:val="Heading2"/>
        <w:spacing w:before="25"/>
      </w:pPr>
      <w:bookmarkStart w:name="_TOC_250012" w:id="18"/>
      <w:bookmarkEnd w:id="18"/>
      <w:r>
        <w:rPr/>
        <w:t>第十五条 通讯地址变更</w:t>
      </w:r>
    </w:p>
    <w:p>
      <w:pPr>
        <w:pStyle w:val="BodyText"/>
        <w:spacing w:line="273" w:lineRule="auto"/>
        <w:ind w:left="117" w:right="191" w:firstLine="420"/>
      </w:pPr>
      <w:r>
        <w:rPr>
          <w:spacing w:val="-6"/>
        </w:rPr>
        <w:t>投保人变更通讯地址时，应及时通知本公司。投保人未及时通知本公司的，本公司将按本合同载明的最后通讯地址发送有关通知，并视为已送达。</w:t>
      </w:r>
    </w:p>
    <w:p>
      <w:pPr>
        <w:pStyle w:val="BodyText"/>
        <w:spacing w:before="5"/>
        <w:ind w:left="0"/>
        <w:rPr>
          <w:sz w:val="24"/>
        </w:rPr>
      </w:pPr>
    </w:p>
    <w:p>
      <w:pPr>
        <w:pStyle w:val="Heading2"/>
      </w:pPr>
      <w:bookmarkStart w:name="_TOC_250011" w:id="19"/>
      <w:bookmarkEnd w:id="19"/>
      <w:r>
        <w:rPr/>
        <w:t>第十六条 年龄性别错误</w:t>
      </w:r>
    </w:p>
    <w:p>
      <w:pPr>
        <w:pStyle w:val="BodyText"/>
        <w:spacing w:line="273" w:lineRule="auto" w:before="36"/>
        <w:ind w:left="117" w:right="193" w:firstLine="420"/>
      </w:pPr>
      <w:r>
        <w:rPr>
          <w:spacing w:val="-6"/>
        </w:rPr>
        <w:t>被保险人的年龄以周岁计算。投保人在申请投保时，应将与有效身份证件相符的被保险人的出生日期、年龄和性别在投保单上填明，如果发生错误按照下列方式办理：</w:t>
      </w:r>
    </w:p>
    <w:p>
      <w:pPr>
        <w:pStyle w:val="BodyText"/>
        <w:spacing w:line="273" w:lineRule="auto" w:before="7"/>
        <w:ind w:left="117" w:right="192" w:firstLine="420"/>
      </w:pPr>
      <w:r>
        <w:rPr>
          <w:spacing w:val="-6"/>
        </w:rPr>
        <w:t>若投保人申报的被保险人年龄不真实，并且其真实年龄不符合本合同约定投保年龄限制的，本公司有权解除合同。对于解除合同的，本公司向投保人退还本合同的现金价值。</w:t>
      </w:r>
    </w:p>
    <w:p>
      <w:pPr>
        <w:pStyle w:val="BodyText"/>
        <w:spacing w:line="273" w:lineRule="auto" w:before="7"/>
        <w:ind w:left="117" w:right="190" w:firstLine="420"/>
        <w:jc w:val="both"/>
      </w:pPr>
      <w:r>
        <w:rPr/>
        <w:t>若投保人申报的被保险人年龄或性别不真实，致使投保人实交保险费少于应交保险费</w:t>
      </w:r>
      <w:r>
        <w:rPr>
          <w:spacing w:val="-8"/>
        </w:rPr>
        <w:t>的，本公司有权更正并要求投保人补交保险费。若已经发生保险事故，在给付保险金时，按实交保险费与应交保险费的比例给付。</w:t>
      </w:r>
    </w:p>
    <w:p>
      <w:pPr>
        <w:pStyle w:val="BodyText"/>
        <w:spacing w:line="273" w:lineRule="auto" w:before="7"/>
        <w:ind w:left="117" w:right="190" w:firstLine="420"/>
      </w:pPr>
      <w:r>
        <w:rPr/>
        <w:t>若投保人申报的被保险人年龄或性别不真实，致使投保人实交保险费多于应交保险费的，本公司将向投保人无息退还多收的保险费。</w:t>
      </w:r>
    </w:p>
    <w:p>
      <w:pPr>
        <w:pStyle w:val="BodyText"/>
        <w:spacing w:before="5"/>
        <w:ind w:left="0"/>
        <w:rPr>
          <w:sz w:val="24"/>
        </w:rPr>
      </w:pPr>
    </w:p>
    <w:p>
      <w:pPr>
        <w:pStyle w:val="Heading2"/>
      </w:pPr>
      <w:bookmarkStart w:name="_TOC_250010" w:id="20"/>
      <w:bookmarkEnd w:id="20"/>
      <w:r>
        <w:rPr/>
        <w:t>第十七条 未还款项</w:t>
      </w:r>
    </w:p>
    <w:p>
      <w:pPr>
        <w:pStyle w:val="BodyText"/>
        <w:spacing w:line="273" w:lineRule="auto" w:before="36"/>
        <w:ind w:left="117" w:right="191" w:firstLine="420"/>
        <w:jc w:val="both"/>
      </w:pPr>
      <w:r>
        <w:rPr>
          <w:spacing w:val="-6"/>
        </w:rPr>
        <w:t>本公司在给付各项保险金、退还现金价值或返还保险费时，若投保人有欠交的保险费或</w:t>
      </w:r>
      <w:r>
        <w:rPr>
          <w:spacing w:val="-11"/>
        </w:rPr>
        <w:t>其他未还清款项，本公司将在扣除上述欠款及应付利息后给付。应付利息按本条款</w:t>
      </w:r>
      <w:r>
        <w:rPr>
          <w:b/>
        </w:rPr>
        <w:t>约定利率</w:t>
      </w:r>
      <w:r>
        <w:rPr/>
        <w:t>计算，但本合同另有约定的除外。</w:t>
      </w:r>
    </w:p>
    <w:p>
      <w:pPr>
        <w:pStyle w:val="BodyText"/>
        <w:spacing w:before="5"/>
        <w:ind w:left="0"/>
        <w:rPr>
          <w:sz w:val="24"/>
        </w:rPr>
      </w:pPr>
    </w:p>
    <w:p>
      <w:pPr>
        <w:pStyle w:val="Heading2"/>
      </w:pPr>
      <w:bookmarkStart w:name="_TOC_250009" w:id="21"/>
      <w:bookmarkEnd w:id="21"/>
      <w:r>
        <w:rPr/>
        <w:t>第十八条 合同中止与复效</w:t>
      </w:r>
    </w:p>
    <w:p>
      <w:pPr>
        <w:pStyle w:val="BodyText"/>
        <w:ind w:left="537"/>
      </w:pPr>
      <w:r>
        <w:rPr/>
        <w:t>在本合同效力中止期间，本公司不承担保险责任。</w:t>
      </w:r>
    </w:p>
    <w:p>
      <w:pPr>
        <w:pStyle w:val="BodyText"/>
        <w:spacing w:line="273" w:lineRule="auto"/>
        <w:ind w:left="117" w:right="104" w:firstLine="420"/>
      </w:pPr>
      <w:r>
        <w:rPr>
          <w:spacing w:val="-6"/>
        </w:rPr>
        <w:t>本合同效力中止后 </w:t>
      </w:r>
      <w:r>
        <w:rPr/>
        <w:t>2</w:t>
      </w:r>
      <w:r>
        <w:rPr>
          <w:spacing w:val="-8"/>
        </w:rPr>
        <w:t> 年内，投保人可以申请恢复合同效力。投保人应填写复效申请书， </w:t>
      </w:r>
      <w:r>
        <w:rPr>
          <w:spacing w:val="-12"/>
        </w:rPr>
        <w:t>并提供被保险人的健康声明书、医院出具的体检报告书及其他相关证明文件。经本公司审核</w:t>
      </w:r>
      <w:r>
        <w:rPr>
          <w:spacing w:val="-11"/>
        </w:rPr>
        <w:t>同意，双方达成复效协议，自投保人补交保险费、利息及其他未还款项的次日零时起，合同效力恢复。应付利息按本条款约定利率计算，但本合同另有约定的除外。</w:t>
      </w:r>
    </w:p>
    <w:p>
      <w:pPr>
        <w:pStyle w:val="BodyText"/>
        <w:spacing w:line="273" w:lineRule="auto" w:before="7"/>
        <w:ind w:left="117" w:right="104" w:firstLine="420"/>
      </w:pPr>
      <w:r>
        <w:rPr>
          <w:spacing w:val="-5"/>
        </w:rPr>
        <w:t>自本合同效力中止之日起满 </w:t>
      </w:r>
      <w:r>
        <w:rPr/>
        <w:t>2</w:t>
      </w:r>
      <w:r>
        <w:rPr>
          <w:spacing w:val="-8"/>
        </w:rPr>
        <w:t> 年投保人和本公司未达成协议的，本公司有权解除合同。对于解除合同的，本公司向投保人退还本合同效力中止时的现金价值。</w:t>
      </w:r>
    </w:p>
    <w:p>
      <w:pPr>
        <w:pStyle w:val="BodyText"/>
        <w:spacing w:before="4"/>
        <w:ind w:left="0"/>
        <w:rPr>
          <w:sz w:val="24"/>
        </w:rPr>
      </w:pPr>
    </w:p>
    <w:p>
      <w:pPr>
        <w:pStyle w:val="Heading2"/>
        <w:spacing w:before="1"/>
      </w:pPr>
      <w:bookmarkStart w:name="_TOC_250008" w:id="22"/>
      <w:bookmarkEnd w:id="22"/>
      <w:r>
        <w:rPr/>
        <w:t>第十九条 合同解除</w:t>
      </w:r>
    </w:p>
    <w:p>
      <w:pPr>
        <w:pStyle w:val="BodyText"/>
        <w:spacing w:line="273" w:lineRule="auto"/>
        <w:ind w:left="117" w:right="190" w:firstLine="420"/>
      </w:pPr>
      <w:r>
        <w:rPr/>
        <w:t>如投保人在犹豫期后申请解除本合同，请填写解除合同申请书并向本公司提供下列资料：</w:t>
      </w:r>
    </w:p>
    <w:p>
      <w:pPr>
        <w:pStyle w:val="ListParagraph"/>
        <w:numPr>
          <w:ilvl w:val="0"/>
          <w:numId w:val="2"/>
        </w:numPr>
        <w:tabs>
          <w:tab w:pos="853" w:val="left" w:leader="none"/>
        </w:tabs>
        <w:spacing w:line="240" w:lineRule="auto" w:before="7" w:after="0"/>
        <w:ind w:left="852" w:right="0" w:hanging="315"/>
        <w:jc w:val="left"/>
        <w:rPr>
          <w:sz w:val="21"/>
        </w:rPr>
      </w:pPr>
      <w:r>
        <w:rPr>
          <w:spacing w:val="-1"/>
          <w:sz w:val="21"/>
        </w:rPr>
        <w:t>保险合同；</w:t>
      </w:r>
    </w:p>
    <w:p>
      <w:pPr>
        <w:pStyle w:val="ListParagraph"/>
        <w:numPr>
          <w:ilvl w:val="0"/>
          <w:numId w:val="2"/>
        </w:numPr>
        <w:tabs>
          <w:tab w:pos="853" w:val="left" w:leader="none"/>
        </w:tabs>
        <w:spacing w:line="240" w:lineRule="auto" w:before="36" w:after="0"/>
        <w:ind w:left="852" w:right="0" w:hanging="315"/>
        <w:jc w:val="left"/>
        <w:rPr>
          <w:sz w:val="21"/>
        </w:rPr>
      </w:pPr>
      <w:r>
        <w:rPr>
          <w:spacing w:val="-1"/>
          <w:sz w:val="21"/>
        </w:rPr>
        <w:t>投保人身份证明；</w:t>
      </w:r>
    </w:p>
    <w:p>
      <w:pPr>
        <w:pStyle w:val="ListParagraph"/>
        <w:numPr>
          <w:ilvl w:val="0"/>
          <w:numId w:val="2"/>
        </w:numPr>
        <w:tabs>
          <w:tab w:pos="853" w:val="left" w:leader="none"/>
        </w:tabs>
        <w:spacing w:line="240" w:lineRule="auto" w:before="36" w:after="0"/>
        <w:ind w:left="852" w:right="0" w:hanging="315"/>
        <w:jc w:val="left"/>
        <w:rPr>
          <w:sz w:val="21"/>
        </w:rPr>
      </w:pPr>
      <w:r>
        <w:rPr>
          <w:spacing w:val="-1"/>
          <w:sz w:val="21"/>
        </w:rPr>
        <w:t>保险费收据；</w:t>
      </w:r>
    </w:p>
    <w:p>
      <w:pPr>
        <w:pStyle w:val="ListParagraph"/>
        <w:numPr>
          <w:ilvl w:val="0"/>
          <w:numId w:val="2"/>
        </w:numPr>
        <w:tabs>
          <w:tab w:pos="853" w:val="left" w:leader="none"/>
        </w:tabs>
        <w:spacing w:line="240" w:lineRule="auto" w:before="36" w:after="0"/>
        <w:ind w:left="852" w:right="0" w:hanging="315"/>
        <w:jc w:val="left"/>
        <w:rPr>
          <w:sz w:val="21"/>
        </w:rPr>
      </w:pPr>
      <w:r>
        <w:rPr>
          <w:spacing w:val="-1"/>
          <w:sz w:val="21"/>
        </w:rPr>
        <w:t>解除合同申请书。</w:t>
      </w:r>
    </w:p>
    <w:p>
      <w:pPr>
        <w:pStyle w:val="BodyText"/>
        <w:spacing w:line="273" w:lineRule="auto" w:before="36"/>
        <w:ind w:left="117" w:right="113" w:firstLine="420"/>
      </w:pPr>
      <w:r>
        <w:rPr/>
        <w:t>自本公司收到解除合同申请书之日起，本合同效力终止。本公司在收到上述证明和资料之日起 30 日内向投保人退还本合同的现金价值。</w:t>
      </w:r>
    </w:p>
    <w:p>
      <w:pPr>
        <w:pStyle w:val="BodyText"/>
        <w:spacing w:before="0"/>
        <w:ind w:left="0"/>
        <w:rPr>
          <w:sz w:val="20"/>
        </w:rPr>
      </w:pPr>
    </w:p>
    <w:p>
      <w:pPr>
        <w:pStyle w:val="BodyText"/>
        <w:spacing w:before="5"/>
        <w:ind w:left="0"/>
        <w:rPr>
          <w:sz w:val="26"/>
        </w:rPr>
      </w:pPr>
    </w:p>
    <w:p>
      <w:pPr>
        <w:pStyle w:val="Heading1"/>
        <w:spacing w:before="0"/>
        <w:ind w:left="2992" w:right="3067"/>
      </w:pPr>
      <w:bookmarkStart w:name="_TOC_250007" w:id="23"/>
      <w:bookmarkEnd w:id="23"/>
      <w:r>
        <w:rPr/>
        <w:t>第四部分 保险理赔条款</w:t>
      </w:r>
    </w:p>
    <w:p>
      <w:pPr>
        <w:pStyle w:val="BodyText"/>
        <w:spacing w:before="5"/>
        <w:ind w:left="0"/>
        <w:rPr>
          <w:b/>
          <w:sz w:val="25"/>
        </w:rPr>
      </w:pPr>
    </w:p>
    <w:p>
      <w:pPr>
        <w:pStyle w:val="Heading2"/>
      </w:pPr>
      <w:bookmarkStart w:name="_TOC_250006" w:id="24"/>
      <w:bookmarkEnd w:id="24"/>
      <w:r>
        <w:rPr/>
        <w:t>第二十条 保险事故通知</w:t>
      </w:r>
    </w:p>
    <w:p>
      <w:pPr>
        <w:pStyle w:val="BodyText"/>
        <w:spacing w:before="36"/>
        <w:ind w:left="537"/>
      </w:pPr>
      <w:r>
        <w:rPr/>
        <w:t>投保人、被保险人、受益人或其他有权领取保险金的人应于知道保险事故发生之日起</w:t>
      </w:r>
    </w:p>
    <w:p>
      <w:pPr>
        <w:spacing w:after="0"/>
        <w:sectPr>
          <w:pgSz w:w="11910" w:h="16840"/>
          <w:pgMar w:header="0" w:footer="1008" w:top="1400" w:bottom="1200" w:left="1680" w:right="1600"/>
        </w:sectPr>
      </w:pPr>
    </w:p>
    <w:p>
      <w:pPr>
        <w:pStyle w:val="BodyText"/>
        <w:spacing w:line="273" w:lineRule="auto" w:before="25"/>
        <w:ind w:left="117" w:right="191"/>
        <w:jc w:val="both"/>
      </w:pPr>
      <w:r>
        <w:rPr/>
        <w:t>10 日内通知本公司。投保人、被保险人、受益人或其他有权领取保险金的人故意或者因重</w:t>
      </w:r>
      <w:r>
        <w:rPr>
          <w:spacing w:val="-6"/>
        </w:rPr>
        <w:t>大过失未及时通知，致使保险事故的性质、原因、损失程度等难以确定的，本公司对无法确</w:t>
      </w:r>
      <w:r>
        <w:rPr>
          <w:spacing w:val="-12"/>
        </w:rPr>
        <w:t>定的部分，不承担给付保险金的责任，但本公司通过其他途径已经及时知道或者应当及时知道保险事故发生的除外。</w:t>
      </w:r>
    </w:p>
    <w:p>
      <w:pPr>
        <w:pStyle w:val="BodyText"/>
        <w:spacing w:before="5"/>
        <w:ind w:left="0"/>
        <w:rPr>
          <w:sz w:val="24"/>
        </w:rPr>
      </w:pPr>
    </w:p>
    <w:p>
      <w:pPr>
        <w:pStyle w:val="Heading2"/>
      </w:pPr>
      <w:bookmarkStart w:name="_TOC_250005" w:id="25"/>
      <w:bookmarkEnd w:id="25"/>
      <w:r>
        <w:rPr/>
        <w:t>第二十一条 保险金申请</w:t>
      </w:r>
    </w:p>
    <w:p>
      <w:pPr>
        <w:pStyle w:val="BodyText"/>
        <w:spacing w:before="36"/>
        <w:ind w:left="557"/>
      </w:pPr>
      <w:r>
        <w:rPr/>
        <w:t>一、重大疾病保险金的申请</w:t>
      </w:r>
    </w:p>
    <w:p>
      <w:pPr>
        <w:pStyle w:val="BodyText"/>
        <w:spacing w:line="273" w:lineRule="auto" w:before="36"/>
        <w:ind w:left="117" w:right="191" w:firstLine="440"/>
      </w:pPr>
      <w:r>
        <w:rPr/>
        <w:t>在申请重大疾病保险金时，申请人须填写保险金给付申请书，并提交下列证明和资料向本公司申请给付：</w:t>
      </w:r>
    </w:p>
    <w:p>
      <w:pPr>
        <w:pStyle w:val="ListParagraph"/>
        <w:numPr>
          <w:ilvl w:val="0"/>
          <w:numId w:val="3"/>
        </w:numPr>
        <w:tabs>
          <w:tab w:pos="718" w:val="left" w:leader="none"/>
        </w:tabs>
        <w:spacing w:line="240" w:lineRule="auto" w:before="7" w:after="0"/>
        <w:ind w:left="685" w:right="0" w:hanging="208"/>
        <w:jc w:val="left"/>
        <w:rPr>
          <w:sz w:val="21"/>
        </w:rPr>
      </w:pPr>
      <w:r>
        <w:rPr>
          <w:sz w:val="21"/>
        </w:rPr>
        <w:t>保险合同；</w:t>
      </w:r>
    </w:p>
    <w:p>
      <w:pPr>
        <w:pStyle w:val="ListParagraph"/>
        <w:numPr>
          <w:ilvl w:val="0"/>
          <w:numId w:val="3"/>
        </w:numPr>
        <w:tabs>
          <w:tab w:pos="718" w:val="left" w:leader="none"/>
        </w:tabs>
        <w:spacing w:line="240" w:lineRule="auto" w:before="37" w:after="0"/>
        <w:ind w:left="685" w:right="0" w:hanging="208"/>
        <w:jc w:val="left"/>
        <w:rPr>
          <w:sz w:val="21"/>
        </w:rPr>
      </w:pPr>
      <w:r>
        <w:rPr>
          <w:sz w:val="21"/>
        </w:rPr>
        <w:t>申请人的有效身份证件；</w:t>
      </w:r>
    </w:p>
    <w:p>
      <w:pPr>
        <w:pStyle w:val="ListParagraph"/>
        <w:numPr>
          <w:ilvl w:val="0"/>
          <w:numId w:val="3"/>
        </w:numPr>
        <w:tabs>
          <w:tab w:pos="718" w:val="left" w:leader="none"/>
        </w:tabs>
        <w:spacing w:line="240" w:lineRule="auto" w:before="37" w:after="0"/>
        <w:ind w:left="685" w:right="0" w:hanging="208"/>
        <w:jc w:val="left"/>
        <w:rPr>
          <w:sz w:val="21"/>
        </w:rPr>
      </w:pPr>
      <w:r>
        <w:rPr>
          <w:sz w:val="21"/>
        </w:rPr>
        <w:t>受益人或其他有权领取保险金的人的户籍证明或身份证明；</w:t>
      </w:r>
    </w:p>
    <w:p>
      <w:pPr>
        <w:pStyle w:val="ListParagraph"/>
        <w:numPr>
          <w:ilvl w:val="0"/>
          <w:numId w:val="3"/>
        </w:numPr>
        <w:tabs>
          <w:tab w:pos="718" w:val="left" w:leader="none"/>
        </w:tabs>
        <w:spacing w:line="273" w:lineRule="auto" w:before="37" w:after="0"/>
        <w:ind w:left="685" w:right="192" w:hanging="208"/>
        <w:jc w:val="left"/>
        <w:rPr>
          <w:sz w:val="21"/>
        </w:rPr>
      </w:pPr>
      <w:r>
        <w:rPr>
          <w:spacing w:val="-4"/>
          <w:sz w:val="21"/>
        </w:rPr>
        <w:t>由医院出具的附有病理显微镜检查、血液检验及其他科学方法检验报告的疾病诊断证明书；</w:t>
      </w:r>
    </w:p>
    <w:p>
      <w:pPr>
        <w:pStyle w:val="ListParagraph"/>
        <w:numPr>
          <w:ilvl w:val="0"/>
          <w:numId w:val="3"/>
        </w:numPr>
        <w:tabs>
          <w:tab w:pos="718" w:val="left" w:leader="none"/>
        </w:tabs>
        <w:spacing w:line="273" w:lineRule="auto" w:before="7" w:after="0"/>
        <w:ind w:left="558" w:right="1604" w:hanging="81"/>
        <w:jc w:val="left"/>
        <w:rPr>
          <w:sz w:val="21"/>
        </w:rPr>
      </w:pPr>
      <w:r>
        <w:rPr>
          <w:sz w:val="21"/>
        </w:rPr>
        <w:t>所能提供的与确认保险事故的性质、原因等有关的其他证明和资料。二、身故保险金的申请</w:t>
      </w:r>
    </w:p>
    <w:p>
      <w:pPr>
        <w:pStyle w:val="BodyText"/>
        <w:spacing w:line="273" w:lineRule="auto" w:before="7"/>
        <w:ind w:left="117" w:right="191" w:firstLine="440"/>
      </w:pPr>
      <w:r>
        <w:rPr/>
        <w:t>在申请身故保险金时，申请人须填写保险金给付申请书，并提交下列证明和资料向本公司申请给付：</w:t>
      </w:r>
    </w:p>
    <w:p>
      <w:pPr>
        <w:pStyle w:val="ListParagraph"/>
        <w:numPr>
          <w:ilvl w:val="0"/>
          <w:numId w:val="4"/>
        </w:numPr>
        <w:tabs>
          <w:tab w:pos="718" w:val="left" w:leader="none"/>
        </w:tabs>
        <w:spacing w:line="240" w:lineRule="auto" w:before="7" w:after="0"/>
        <w:ind w:left="685" w:right="0" w:hanging="210"/>
        <w:jc w:val="left"/>
        <w:rPr>
          <w:sz w:val="21"/>
        </w:rPr>
      </w:pPr>
      <w:r>
        <w:rPr>
          <w:sz w:val="21"/>
        </w:rPr>
        <w:t>保险合同；</w:t>
      </w:r>
    </w:p>
    <w:p>
      <w:pPr>
        <w:pStyle w:val="ListParagraph"/>
        <w:numPr>
          <w:ilvl w:val="0"/>
          <w:numId w:val="4"/>
        </w:numPr>
        <w:tabs>
          <w:tab w:pos="718" w:val="left" w:leader="none"/>
        </w:tabs>
        <w:spacing w:line="240" w:lineRule="auto" w:before="36" w:after="0"/>
        <w:ind w:left="685" w:right="0" w:hanging="210"/>
        <w:jc w:val="left"/>
        <w:rPr>
          <w:sz w:val="21"/>
        </w:rPr>
      </w:pPr>
      <w:r>
        <w:rPr>
          <w:sz w:val="21"/>
        </w:rPr>
        <w:t>申请人的有效身份证件；</w:t>
      </w:r>
    </w:p>
    <w:p>
      <w:pPr>
        <w:pStyle w:val="ListParagraph"/>
        <w:numPr>
          <w:ilvl w:val="0"/>
          <w:numId w:val="4"/>
        </w:numPr>
        <w:tabs>
          <w:tab w:pos="718" w:val="left" w:leader="none"/>
        </w:tabs>
        <w:spacing w:line="240" w:lineRule="auto" w:before="36" w:after="0"/>
        <w:ind w:left="685" w:right="0" w:hanging="210"/>
        <w:jc w:val="left"/>
        <w:rPr>
          <w:sz w:val="21"/>
        </w:rPr>
      </w:pPr>
      <w:r>
        <w:rPr>
          <w:sz w:val="21"/>
        </w:rPr>
        <w:t>受益人或其他有权领取保险金的人的户籍证明或身份证明；</w:t>
      </w:r>
    </w:p>
    <w:p>
      <w:pPr>
        <w:pStyle w:val="ListParagraph"/>
        <w:numPr>
          <w:ilvl w:val="0"/>
          <w:numId w:val="4"/>
        </w:numPr>
        <w:tabs>
          <w:tab w:pos="718" w:val="left" w:leader="none"/>
        </w:tabs>
        <w:spacing w:line="273" w:lineRule="auto" w:before="36" w:after="0"/>
        <w:ind w:left="685" w:right="192" w:hanging="210"/>
        <w:jc w:val="left"/>
        <w:rPr>
          <w:sz w:val="21"/>
        </w:rPr>
      </w:pPr>
      <w:r>
        <w:rPr>
          <w:spacing w:val="-4"/>
          <w:sz w:val="21"/>
        </w:rPr>
        <w:t>国家卫生行政部门认定的医疗机构、公安部门或其他相关机构出具的被保险人的死亡证明；</w:t>
      </w:r>
    </w:p>
    <w:p>
      <w:pPr>
        <w:pStyle w:val="ListParagraph"/>
        <w:numPr>
          <w:ilvl w:val="0"/>
          <w:numId w:val="4"/>
        </w:numPr>
        <w:tabs>
          <w:tab w:pos="718" w:val="left" w:leader="none"/>
        </w:tabs>
        <w:spacing w:line="240" w:lineRule="auto" w:before="7" w:after="0"/>
        <w:ind w:left="685" w:right="0" w:hanging="210"/>
        <w:jc w:val="left"/>
        <w:rPr>
          <w:sz w:val="21"/>
        </w:rPr>
      </w:pPr>
      <w:r>
        <w:rPr>
          <w:sz w:val="21"/>
        </w:rPr>
        <w:t>如被保险人被宣告死亡，须提供人民法院出具的宣告死亡证明材料；</w:t>
      </w:r>
    </w:p>
    <w:p>
      <w:pPr>
        <w:pStyle w:val="ListParagraph"/>
        <w:numPr>
          <w:ilvl w:val="0"/>
          <w:numId w:val="4"/>
        </w:numPr>
        <w:tabs>
          <w:tab w:pos="718" w:val="left" w:leader="none"/>
        </w:tabs>
        <w:spacing w:line="240" w:lineRule="auto" w:before="37" w:after="0"/>
        <w:ind w:left="685" w:right="0" w:hanging="210"/>
        <w:jc w:val="left"/>
        <w:rPr>
          <w:sz w:val="21"/>
        </w:rPr>
      </w:pPr>
      <w:r>
        <w:rPr>
          <w:sz w:val="21"/>
        </w:rPr>
        <w:t>被保险人的户籍注销证明；</w:t>
      </w:r>
    </w:p>
    <w:p>
      <w:pPr>
        <w:pStyle w:val="ListParagraph"/>
        <w:numPr>
          <w:ilvl w:val="0"/>
          <w:numId w:val="4"/>
        </w:numPr>
        <w:tabs>
          <w:tab w:pos="718" w:val="left" w:leader="none"/>
        </w:tabs>
        <w:spacing w:line="240" w:lineRule="auto" w:before="37" w:after="0"/>
        <w:ind w:left="685" w:right="0" w:hanging="210"/>
        <w:jc w:val="left"/>
        <w:rPr>
          <w:sz w:val="21"/>
        </w:rPr>
      </w:pPr>
      <w:r>
        <w:rPr>
          <w:sz w:val="21"/>
        </w:rPr>
        <w:t>所能提供的与确认保险事故的性质、原因等有关的其他证明和资料。</w:t>
      </w:r>
    </w:p>
    <w:p>
      <w:pPr>
        <w:pStyle w:val="BodyText"/>
        <w:spacing w:line="273" w:lineRule="auto"/>
        <w:ind w:left="210" w:right="192" w:firstLine="314"/>
        <w:jc w:val="both"/>
      </w:pPr>
      <w:r>
        <w:rPr>
          <w:spacing w:val="-4"/>
        </w:rPr>
        <w:t>如果被保险人在人民法院宣告死亡后生还，本合同仍然在其被宣告死亡时终止。身故保</w:t>
      </w:r>
      <w:r>
        <w:rPr>
          <w:spacing w:val="-7"/>
        </w:rPr>
        <w:t>险金领取人应于知道或应当知道被保险人生还后 </w:t>
      </w:r>
      <w:r>
        <w:rPr/>
        <w:t>30</w:t>
      </w:r>
      <w:r>
        <w:rPr>
          <w:spacing w:val="-13"/>
        </w:rPr>
        <w:t> 日内，退还本公司已支付的身故保险金中超过被保险人被宣告死亡时的本合同现金价值以上的部分。</w:t>
      </w:r>
    </w:p>
    <w:p>
      <w:pPr>
        <w:pStyle w:val="BodyText"/>
        <w:spacing w:before="8"/>
        <w:ind w:left="524"/>
      </w:pPr>
      <w:r>
        <w:rPr/>
        <w:t>身故保险金作为被保险人遗产时，必须提供可证明合法继承权的相关权利文件。</w:t>
      </w:r>
    </w:p>
    <w:p>
      <w:pPr>
        <w:pStyle w:val="BodyText"/>
        <w:ind w:left="524"/>
      </w:pPr>
      <w:r>
        <w:rPr/>
        <w:t>以上证明和资料不完整的，本公司将及时一次性通知申请人补充提供有关证明和资料。</w:t>
      </w:r>
    </w:p>
    <w:p>
      <w:pPr>
        <w:pStyle w:val="BodyText"/>
        <w:spacing w:before="8"/>
        <w:ind w:left="0"/>
        <w:rPr>
          <w:sz w:val="26"/>
        </w:rPr>
      </w:pPr>
    </w:p>
    <w:p>
      <w:pPr>
        <w:pStyle w:val="Heading2"/>
      </w:pPr>
      <w:bookmarkStart w:name="_TOC_250004" w:id="26"/>
      <w:bookmarkEnd w:id="26"/>
      <w:r>
        <w:rPr/>
        <w:t>第二十二条 保险金给付</w:t>
      </w:r>
    </w:p>
    <w:p>
      <w:pPr>
        <w:pStyle w:val="BodyText"/>
        <w:spacing w:line="273" w:lineRule="auto" w:before="36"/>
        <w:ind w:left="117" w:right="125" w:firstLine="399"/>
      </w:pPr>
      <w:r>
        <w:rPr/>
        <w:t>本公司在收到申请人的保险金给付申请书及上述有关证明和资料后，将及时作出核定； 情形复杂的，在30日内作出核定。</w:t>
      </w:r>
    </w:p>
    <w:p>
      <w:pPr>
        <w:pStyle w:val="BodyText"/>
        <w:spacing w:line="273" w:lineRule="auto" w:before="7"/>
        <w:ind w:left="117" w:right="212" w:firstLine="399"/>
        <w:jc w:val="both"/>
      </w:pPr>
      <w:r>
        <w:rPr>
          <w:spacing w:val="-7"/>
        </w:rPr>
        <w:t>本公司作出核定后，对确定属于保险责任的，本公司在与受益人或其他有权领取保险金的人达成给付保险金协议后10日内履行给付保险金责任；对不属于保险责任的，本公司自</w:t>
      </w:r>
      <w:r>
        <w:rPr>
          <w:spacing w:val="-1"/>
        </w:rPr>
        <w:t>作出核定之日起</w:t>
      </w:r>
      <w:r>
        <w:rPr/>
        <w:t>3日内向申请人发出拒绝给付保险金通知书并说明理由。</w:t>
      </w:r>
    </w:p>
    <w:p>
      <w:pPr>
        <w:pStyle w:val="BodyText"/>
        <w:spacing w:line="273" w:lineRule="auto" w:before="7"/>
        <w:ind w:left="117" w:right="212" w:firstLine="399"/>
        <w:jc w:val="both"/>
      </w:pPr>
      <w:r>
        <w:rPr/>
        <w:t>与受益人或其他有权领取保险金的人达成给付保险金协议后10</w:t>
      </w:r>
      <w:r>
        <w:rPr>
          <w:spacing w:val="-10"/>
        </w:rPr>
        <w:t>日内，未履行给付保险金责任的，本公司除支付保险金外，会赔偿受益人或其他有权领取保险金的人因此受到的损失。</w:t>
      </w:r>
    </w:p>
    <w:p>
      <w:pPr>
        <w:pStyle w:val="BodyText"/>
        <w:spacing w:line="273" w:lineRule="auto" w:before="7"/>
        <w:ind w:left="117" w:right="212" w:firstLine="399"/>
        <w:jc w:val="both"/>
      </w:pPr>
      <w:r>
        <w:rPr/>
        <w:t>本公司自收到申请人的保险金给付申请书及上述有关证明和资料之日起60</w:t>
      </w:r>
      <w:r>
        <w:rPr>
          <w:spacing w:val="-16"/>
        </w:rPr>
        <w:t>日内，对给付保险金数额不能确定的，将根据已有证明和资料，按可以确定的数额先予给付，本公司最终确定给付保险金数额后，给付相应的差额。</w:t>
      </w:r>
    </w:p>
    <w:p>
      <w:pPr>
        <w:spacing w:after="0" w:line="273" w:lineRule="auto"/>
        <w:jc w:val="both"/>
        <w:sectPr>
          <w:pgSz w:w="11910" w:h="16840"/>
          <w:pgMar w:header="0" w:footer="1008" w:top="1400" w:bottom="1200" w:left="1680" w:right="1600"/>
        </w:sectPr>
      </w:pPr>
    </w:p>
    <w:p>
      <w:pPr>
        <w:pStyle w:val="BodyText"/>
        <w:spacing w:before="10"/>
        <w:ind w:left="0"/>
        <w:rPr>
          <w:sz w:val="7"/>
        </w:rPr>
      </w:pPr>
    </w:p>
    <w:p>
      <w:pPr>
        <w:pStyle w:val="Heading2"/>
        <w:spacing w:before="35"/>
      </w:pPr>
      <w:bookmarkStart w:name="_TOC_250003" w:id="27"/>
      <w:bookmarkEnd w:id="27"/>
      <w:r>
        <w:rPr/>
        <w:t>第二十三条 诉讼时效</w:t>
      </w:r>
    </w:p>
    <w:p>
      <w:pPr>
        <w:pStyle w:val="BodyText"/>
        <w:spacing w:line="273" w:lineRule="auto" w:before="36"/>
        <w:ind w:left="117" w:right="232" w:firstLine="399"/>
      </w:pPr>
      <w:r>
        <w:rPr>
          <w:spacing w:val="-10"/>
        </w:rPr>
        <w:t>被保险人、受益人或其他有权领取保险金的人向本公司请求给付保险金的诉讼时效期间</w:t>
      </w:r>
      <w:r>
        <w:rPr>
          <w:spacing w:val="-1"/>
        </w:rPr>
        <w:t>为2</w:t>
      </w:r>
      <w:r>
        <w:rPr/>
        <w:t>年。自其知道或应当知道保险事故发生之日起计算。</w:t>
      </w:r>
    </w:p>
    <w:p>
      <w:pPr>
        <w:pStyle w:val="BodyText"/>
        <w:spacing w:before="5"/>
        <w:ind w:left="0"/>
        <w:rPr>
          <w:sz w:val="24"/>
        </w:rPr>
      </w:pPr>
    </w:p>
    <w:p>
      <w:pPr>
        <w:pStyle w:val="Heading2"/>
      </w:pPr>
      <w:bookmarkStart w:name="_TOC_250002" w:id="28"/>
      <w:bookmarkEnd w:id="28"/>
      <w:r>
        <w:rPr/>
        <w:t>第二十四条 争议处理</w:t>
      </w:r>
    </w:p>
    <w:p>
      <w:pPr>
        <w:pStyle w:val="BodyText"/>
        <w:ind w:left="537"/>
      </w:pPr>
      <w:r>
        <w:rPr/>
        <w:t>合同争议解决方式由当事人在合同约定从下列两种方式中选择一种：</w:t>
      </w:r>
    </w:p>
    <w:p>
      <w:pPr>
        <w:pStyle w:val="BodyText"/>
        <w:tabs>
          <w:tab w:pos="8010" w:val="left" w:leader="none"/>
        </w:tabs>
        <w:spacing w:line="273" w:lineRule="auto"/>
        <w:ind w:left="117" w:right="210" w:firstLine="420"/>
      </w:pPr>
      <w:r>
        <w:rPr/>
        <w:t>一、因履行本合同发生的争议，由当事人协商解决，协商不成的，提交</w:t>
      </w:r>
      <w:r>
        <w:rPr>
          <w:u w:val="single"/>
        </w:rPr>
        <w:t> </w:t>
        <w:tab/>
      </w:r>
      <w:r>
        <w:rPr/>
        <w:t>仲裁委员会仲裁；</w:t>
      </w:r>
    </w:p>
    <w:p>
      <w:pPr>
        <w:pStyle w:val="BodyText"/>
        <w:spacing w:before="7"/>
        <w:ind w:left="537"/>
      </w:pPr>
      <w:r>
        <w:rPr>
          <w:spacing w:val="-15"/>
        </w:rPr>
        <w:t>二、因履行本合同发生的争议，由当事人协商解决，协商不成的，依法向人民法院起诉。</w:t>
      </w:r>
    </w:p>
    <w:p>
      <w:pPr>
        <w:pStyle w:val="BodyText"/>
        <w:spacing w:before="8"/>
        <w:ind w:left="0"/>
        <w:rPr>
          <w:sz w:val="26"/>
        </w:rPr>
      </w:pPr>
    </w:p>
    <w:p>
      <w:pPr>
        <w:pStyle w:val="Heading2"/>
      </w:pPr>
      <w:bookmarkStart w:name="_TOC_250001" w:id="29"/>
      <w:bookmarkEnd w:id="29"/>
      <w:r>
        <w:rPr/>
        <w:t>第二十五条 司法管辖</w:t>
      </w:r>
    </w:p>
    <w:p>
      <w:pPr>
        <w:pStyle w:val="BodyText"/>
        <w:ind w:left="537"/>
      </w:pPr>
      <w:r>
        <w:rPr/>
        <w:t>本合同受中华人民共和国司法管辖，适用中华人民共和国法律。</w:t>
      </w:r>
    </w:p>
    <w:p>
      <w:pPr>
        <w:pStyle w:val="BodyText"/>
        <w:spacing w:before="0"/>
        <w:ind w:left="0"/>
        <w:rPr>
          <w:sz w:val="20"/>
        </w:rPr>
      </w:pPr>
    </w:p>
    <w:p>
      <w:pPr>
        <w:pStyle w:val="BodyText"/>
        <w:spacing w:before="8"/>
        <w:ind w:left="0"/>
        <w:rPr>
          <w:sz w:val="28"/>
        </w:rPr>
      </w:pPr>
    </w:p>
    <w:p>
      <w:pPr>
        <w:pStyle w:val="Heading1"/>
      </w:pPr>
      <w:bookmarkStart w:name="_TOC_250000" w:id="30"/>
      <w:bookmarkEnd w:id="30"/>
      <w:r>
        <w:rPr/>
        <w:t>第五部分 释义</w:t>
      </w:r>
    </w:p>
    <w:p>
      <w:pPr>
        <w:pStyle w:val="BodyText"/>
        <w:spacing w:before="5"/>
        <w:ind w:left="0"/>
        <w:rPr>
          <w:b/>
          <w:sz w:val="25"/>
        </w:rPr>
      </w:pPr>
    </w:p>
    <w:p>
      <w:pPr>
        <w:pStyle w:val="ListParagraph"/>
        <w:numPr>
          <w:ilvl w:val="0"/>
          <w:numId w:val="5"/>
        </w:numPr>
        <w:tabs>
          <w:tab w:pos="837" w:val="left" w:leader="none"/>
          <w:tab w:pos="838" w:val="left" w:leader="none"/>
        </w:tabs>
        <w:spacing w:line="273" w:lineRule="auto" w:before="1" w:after="0"/>
        <w:ind w:left="837" w:right="213" w:hanging="539"/>
        <w:jc w:val="left"/>
        <w:rPr>
          <w:sz w:val="21"/>
        </w:rPr>
      </w:pPr>
      <w:r>
        <w:rPr>
          <w:b/>
          <w:sz w:val="21"/>
        </w:rPr>
        <w:t>保险单月度：</w:t>
      </w:r>
      <w:r>
        <w:rPr>
          <w:sz w:val="21"/>
        </w:rPr>
        <w:t>从本合同生效日或生效对应日零时起至下一月度本合同生效对应日零时止为一个保险单月度。</w:t>
      </w:r>
    </w:p>
    <w:p>
      <w:pPr>
        <w:pStyle w:val="ListParagraph"/>
        <w:numPr>
          <w:ilvl w:val="0"/>
          <w:numId w:val="5"/>
        </w:numPr>
        <w:tabs>
          <w:tab w:pos="837" w:val="left" w:leader="none"/>
          <w:tab w:pos="838" w:val="left" w:leader="none"/>
        </w:tabs>
        <w:spacing w:line="273" w:lineRule="auto" w:before="8" w:after="0"/>
        <w:ind w:left="837" w:right="213" w:hanging="539"/>
        <w:jc w:val="left"/>
        <w:rPr>
          <w:sz w:val="21"/>
        </w:rPr>
      </w:pPr>
      <w:r>
        <w:rPr>
          <w:b/>
          <w:sz w:val="21"/>
        </w:rPr>
        <w:t>保险单年度：</w:t>
      </w:r>
      <w:r>
        <w:rPr>
          <w:sz w:val="21"/>
        </w:rPr>
        <w:t>从本合同生效日或生效对应日零时起至下一年度本合同生效对应日零时止为一个保险单年度。</w:t>
      </w:r>
    </w:p>
    <w:p>
      <w:pPr>
        <w:pStyle w:val="ListParagraph"/>
        <w:numPr>
          <w:ilvl w:val="0"/>
          <w:numId w:val="5"/>
        </w:numPr>
        <w:tabs>
          <w:tab w:pos="837" w:val="left" w:leader="none"/>
          <w:tab w:pos="838" w:val="left" w:leader="none"/>
        </w:tabs>
        <w:spacing w:line="273" w:lineRule="auto" w:before="8" w:after="0"/>
        <w:ind w:left="837" w:right="212" w:hanging="539"/>
        <w:jc w:val="left"/>
        <w:rPr>
          <w:sz w:val="21"/>
        </w:rPr>
      </w:pPr>
      <w:r>
        <w:rPr>
          <w:b/>
          <w:sz w:val="21"/>
        </w:rPr>
        <w:t>保险费约定交纳日：</w:t>
      </w:r>
      <w:r>
        <w:rPr>
          <w:sz w:val="21"/>
        </w:rPr>
        <w:t>本合同生效日在每月、每季、每半年或每年（根据交费方式确定）的对应日。如果当月无对应的同一日，则以该月最后一日为对应日。</w:t>
      </w:r>
    </w:p>
    <w:p>
      <w:pPr>
        <w:pStyle w:val="ListParagraph"/>
        <w:numPr>
          <w:ilvl w:val="0"/>
          <w:numId w:val="5"/>
        </w:numPr>
        <w:tabs>
          <w:tab w:pos="837" w:val="left" w:leader="none"/>
          <w:tab w:pos="838" w:val="left" w:leader="none"/>
        </w:tabs>
        <w:spacing w:line="256" w:lineRule="auto" w:before="8" w:after="0"/>
        <w:ind w:left="837" w:right="212" w:hanging="539"/>
        <w:jc w:val="left"/>
        <w:rPr>
          <w:rFonts w:ascii="Times New Roman" w:eastAsia="Times New Roman"/>
          <w:sz w:val="21"/>
        </w:rPr>
      </w:pPr>
      <w:r>
        <w:rPr>
          <w:b/>
          <w:sz w:val="21"/>
        </w:rPr>
        <w:t>周岁：</w:t>
      </w:r>
      <w:r>
        <w:rPr>
          <w:sz w:val="21"/>
        </w:rPr>
        <w:t>指按法定身份证明文件中记载的出生日期计算的年龄，自出生之日起为零周岁，每经过一年增加一岁，不足一年的不计。</w:t>
      </w:r>
    </w:p>
    <w:p>
      <w:pPr>
        <w:pStyle w:val="ListParagraph"/>
        <w:numPr>
          <w:ilvl w:val="0"/>
          <w:numId w:val="5"/>
        </w:numPr>
        <w:tabs>
          <w:tab w:pos="837" w:val="left" w:leader="none"/>
          <w:tab w:pos="838" w:val="left" w:leader="none"/>
        </w:tabs>
        <w:spacing w:line="273" w:lineRule="auto" w:before="22" w:after="0"/>
        <w:ind w:left="837" w:right="212" w:hanging="539"/>
        <w:jc w:val="left"/>
        <w:rPr>
          <w:sz w:val="21"/>
        </w:rPr>
      </w:pPr>
      <w:r>
        <w:rPr>
          <w:b/>
          <w:sz w:val="21"/>
        </w:rPr>
        <w:t>意外伤害：</w:t>
      </w:r>
      <w:r>
        <w:rPr>
          <w:sz w:val="21"/>
        </w:rPr>
        <w:t>指遭受外来的、突发的、非本意的、非疾病的使身体受到伤害的客观事件。</w:t>
      </w:r>
    </w:p>
    <w:p>
      <w:pPr>
        <w:pStyle w:val="ListParagraph"/>
        <w:numPr>
          <w:ilvl w:val="0"/>
          <w:numId w:val="5"/>
        </w:numPr>
        <w:tabs>
          <w:tab w:pos="837" w:val="left" w:leader="none"/>
          <w:tab w:pos="838" w:val="left" w:leader="none"/>
        </w:tabs>
        <w:spacing w:line="273" w:lineRule="auto" w:before="7" w:after="0"/>
        <w:ind w:left="837" w:right="212" w:hanging="540"/>
        <w:jc w:val="left"/>
        <w:rPr>
          <w:sz w:val="21"/>
        </w:rPr>
      </w:pPr>
      <w:r>
        <w:rPr>
          <w:b/>
          <w:sz w:val="21"/>
        </w:rPr>
        <w:t>重大疾病：</w:t>
      </w:r>
      <w:r>
        <w:rPr>
          <w:sz w:val="21"/>
        </w:rPr>
        <w:t>指由</w:t>
      </w:r>
      <w:r>
        <w:rPr>
          <w:b/>
          <w:sz w:val="21"/>
        </w:rPr>
        <w:t>专科医生</w:t>
      </w:r>
      <w:r>
        <w:rPr>
          <w:sz w:val="21"/>
        </w:rPr>
        <w:t>明确诊断，被保险人发生的符合以下疾病定义所述条件的疾病。</w:t>
      </w:r>
    </w:p>
    <w:p>
      <w:pPr>
        <w:pStyle w:val="ListParagraph"/>
        <w:numPr>
          <w:ilvl w:val="1"/>
          <w:numId w:val="5"/>
        </w:numPr>
        <w:tabs>
          <w:tab w:pos="1244" w:val="left" w:leader="none"/>
        </w:tabs>
        <w:spacing w:line="240" w:lineRule="auto" w:before="7" w:after="0"/>
        <w:ind w:left="1243" w:right="0" w:hanging="420"/>
        <w:jc w:val="left"/>
        <w:rPr>
          <w:sz w:val="21"/>
        </w:rPr>
      </w:pPr>
      <w:r>
        <w:rPr>
          <w:spacing w:val="-1"/>
          <w:sz w:val="21"/>
        </w:rPr>
        <w:t>中国保险行业协会推荐的重大疾病种类</w:t>
      </w:r>
    </w:p>
    <w:p>
      <w:pPr>
        <w:pStyle w:val="ListParagraph"/>
        <w:numPr>
          <w:ilvl w:val="2"/>
          <w:numId w:val="5"/>
        </w:numPr>
        <w:tabs>
          <w:tab w:pos="1468" w:val="left" w:leader="none"/>
        </w:tabs>
        <w:spacing w:line="240" w:lineRule="auto" w:before="36" w:after="0"/>
        <w:ind w:left="835" w:right="0" w:firstLine="2"/>
        <w:jc w:val="left"/>
        <w:rPr>
          <w:sz w:val="21"/>
        </w:rPr>
      </w:pPr>
      <w:r>
        <w:rPr>
          <w:spacing w:val="-1"/>
          <w:sz w:val="21"/>
        </w:rPr>
        <w:t>恶性肿瘤</w:t>
      </w:r>
    </w:p>
    <w:p>
      <w:pPr>
        <w:pStyle w:val="BodyText"/>
        <w:spacing w:line="273" w:lineRule="auto" w:before="36"/>
        <w:ind w:right="305"/>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BodyText"/>
        <w:spacing w:line="273" w:lineRule="auto" w:before="7"/>
        <w:ind w:left="1167" w:right="4716" w:firstLine="29"/>
      </w:pPr>
      <w:r>
        <w:rPr/>
        <w:t>（ICD-10）的恶性肿瘤范畴。下列疾病不在保障范围内：</w:t>
      </w:r>
    </w:p>
    <w:p>
      <w:pPr>
        <w:pStyle w:val="BodyText"/>
        <w:spacing w:before="7"/>
        <w:ind w:left="1272"/>
      </w:pPr>
      <w:r>
        <w:rPr/>
        <w:t>（1）原位癌；</w:t>
      </w:r>
    </w:p>
    <w:p>
      <w:pPr>
        <w:pStyle w:val="BodyText"/>
        <w:spacing w:before="36"/>
        <w:ind w:left="1272"/>
      </w:pPr>
      <w:r>
        <w:rPr/>
        <w:t>（2）相当于Binet分期方案A期程度的慢性淋巴细胞白血病；</w:t>
      </w:r>
    </w:p>
    <w:p>
      <w:pPr>
        <w:pStyle w:val="BodyText"/>
        <w:spacing w:before="36"/>
        <w:ind w:left="1273"/>
      </w:pPr>
      <w:r>
        <w:rPr/>
        <w:t>（3）相当于Ann Arbor分期方案I期程度的何杰金氏病；</w:t>
      </w:r>
    </w:p>
    <w:p>
      <w:pPr>
        <w:pStyle w:val="BodyText"/>
        <w:spacing w:before="36"/>
        <w:ind w:left="1254"/>
        <w:jc w:val="both"/>
      </w:pPr>
      <w:r>
        <w:rPr/>
        <w:t>（4）皮肤癌（不包括恶性黑色素瘤及已发生转移的皮肤癌）；</w:t>
      </w:r>
    </w:p>
    <w:p>
      <w:pPr>
        <w:pStyle w:val="BodyText"/>
        <w:spacing w:line="273" w:lineRule="auto" w:before="36"/>
        <w:ind w:left="1735" w:right="164" w:hanging="482"/>
      </w:pPr>
      <w:r>
        <w:rPr>
          <w:position w:val="1"/>
        </w:rPr>
        <w:t>（5）TNM分期为T</w:t>
      </w:r>
      <w:r>
        <w:rPr>
          <w:sz w:val="11"/>
        </w:rPr>
        <w:t>1</w:t>
      </w:r>
      <w:r>
        <w:rPr>
          <w:position w:val="1"/>
        </w:rPr>
        <w:t>N</w:t>
      </w:r>
      <w:r>
        <w:rPr>
          <w:sz w:val="11"/>
        </w:rPr>
        <w:t>0</w:t>
      </w:r>
      <w:r>
        <w:rPr>
          <w:position w:val="1"/>
        </w:rPr>
        <w:t>M</w:t>
      </w:r>
      <w:r>
        <w:rPr>
          <w:sz w:val="11"/>
        </w:rPr>
        <w:t>0</w:t>
      </w:r>
      <w:r>
        <w:rPr>
          <w:position w:val="1"/>
        </w:rPr>
        <w:t>期或更轻分期的前列腺癌（如果被保险人为女性，则不包</w:t>
      </w:r>
      <w:r>
        <w:rPr/>
        <w:t>括此项）；</w:t>
      </w:r>
    </w:p>
    <w:p>
      <w:pPr>
        <w:pStyle w:val="BodyText"/>
        <w:spacing w:before="7"/>
        <w:ind w:left="1254"/>
        <w:jc w:val="both"/>
      </w:pPr>
      <w:r>
        <w:rPr/>
        <w:t>（6）感染艾滋病病毒或患艾滋病期间所患恶性肿瘤。</w:t>
      </w:r>
    </w:p>
    <w:p>
      <w:pPr>
        <w:pStyle w:val="ListParagraph"/>
        <w:numPr>
          <w:ilvl w:val="2"/>
          <w:numId w:val="5"/>
        </w:numPr>
        <w:tabs>
          <w:tab w:pos="1468" w:val="left" w:leader="none"/>
        </w:tabs>
        <w:spacing w:line="240" w:lineRule="auto" w:before="36" w:after="0"/>
        <w:ind w:left="1467" w:right="0" w:hanging="630"/>
        <w:jc w:val="left"/>
        <w:rPr>
          <w:sz w:val="21"/>
        </w:rPr>
      </w:pPr>
      <w:r>
        <w:rPr>
          <w:spacing w:val="-1"/>
          <w:sz w:val="21"/>
        </w:rPr>
        <w:t>急性心肌梗塞</w:t>
      </w:r>
    </w:p>
    <w:p>
      <w:pPr>
        <w:spacing w:after="0" w:line="240" w:lineRule="auto"/>
        <w:jc w:val="left"/>
        <w:rPr>
          <w:sz w:val="21"/>
        </w:rPr>
        <w:sectPr>
          <w:pgSz w:w="11910" w:h="16840"/>
          <w:pgMar w:header="0" w:footer="1008" w:top="1600" w:bottom="1200" w:left="1680" w:right="1580"/>
        </w:sectPr>
      </w:pPr>
    </w:p>
    <w:p>
      <w:pPr>
        <w:pStyle w:val="BodyText"/>
        <w:spacing w:line="273" w:lineRule="auto" w:before="25"/>
        <w:ind w:right="210"/>
      </w:pPr>
      <w:r>
        <w:rPr/>
        <w:t>指因冠状动脉阻塞导致的相应区域供血不足造成部分心肌坏死。须满足下列至少三项条件：</w:t>
      </w:r>
    </w:p>
    <w:p>
      <w:pPr>
        <w:pStyle w:val="BodyText"/>
        <w:spacing w:before="7"/>
        <w:ind w:left="1254"/>
      </w:pPr>
      <w:r>
        <w:rPr/>
        <w:t>（1）典型临床表现，例如急性胸痛等；</w:t>
      </w:r>
    </w:p>
    <w:p>
      <w:pPr>
        <w:pStyle w:val="BodyText"/>
        <w:spacing w:before="36"/>
        <w:ind w:left="1254"/>
      </w:pPr>
      <w:r>
        <w:rPr/>
        <w:t>（2）新近的心电图改变提示急性心肌梗塞；</w:t>
      </w:r>
    </w:p>
    <w:p>
      <w:pPr>
        <w:pStyle w:val="BodyText"/>
        <w:spacing w:line="273" w:lineRule="auto" w:before="36"/>
        <w:ind w:left="1735" w:right="141" w:hanging="482"/>
      </w:pPr>
      <w:r>
        <w:rPr/>
        <w:t>（3）心肌酶或肌钙蛋白有诊断意义的升高，或呈符合急性心肌梗塞的动态性变化；</w:t>
      </w:r>
    </w:p>
    <w:p>
      <w:pPr>
        <w:pStyle w:val="BodyText"/>
        <w:spacing w:before="7"/>
        <w:ind w:left="1254"/>
      </w:pPr>
      <w:r>
        <w:rPr/>
        <w:t>（4）发病90天后，经检查证实左心室功能降低，如左心室射血分数低于50%。</w:t>
      </w:r>
    </w:p>
    <w:p>
      <w:pPr>
        <w:pStyle w:val="ListParagraph"/>
        <w:numPr>
          <w:ilvl w:val="2"/>
          <w:numId w:val="5"/>
        </w:numPr>
        <w:tabs>
          <w:tab w:pos="1468" w:val="left" w:leader="none"/>
        </w:tabs>
        <w:spacing w:line="240" w:lineRule="auto" w:before="37" w:after="0"/>
        <w:ind w:left="1467" w:right="0" w:hanging="630"/>
        <w:jc w:val="left"/>
        <w:rPr>
          <w:sz w:val="21"/>
        </w:rPr>
      </w:pPr>
      <w:r>
        <w:rPr>
          <w:spacing w:val="-1"/>
          <w:sz w:val="21"/>
        </w:rPr>
        <w:t>脑中风后遗症</w:t>
      </w:r>
    </w:p>
    <w:p>
      <w:pPr>
        <w:pStyle w:val="BodyText"/>
        <w:spacing w:line="273" w:lineRule="auto"/>
        <w:ind w:right="210"/>
        <w:jc w:val="both"/>
      </w:pPr>
      <w:r>
        <w:rPr/>
        <w:t>指因脑血管的突发病变引起脑血管出血、栓塞或梗塞，并导致神经系统永久性</w:t>
      </w:r>
      <w:r>
        <w:rPr>
          <w:spacing w:val="-3"/>
        </w:rPr>
        <w:t>的功能障碍。神经系统永久性的功能障碍，指疾病确诊</w:t>
      </w:r>
      <w:r>
        <w:rPr/>
        <w:t>180</w:t>
      </w:r>
      <w:r>
        <w:rPr>
          <w:spacing w:val="-2"/>
        </w:rPr>
        <w:t>天后，仍遗留下列一</w:t>
      </w:r>
      <w:r>
        <w:rPr>
          <w:spacing w:val="-1"/>
        </w:rPr>
        <w:t>种或一种以上障碍：</w:t>
      </w:r>
    </w:p>
    <w:p>
      <w:pPr>
        <w:spacing w:before="7"/>
        <w:ind w:left="1254" w:right="0" w:firstLine="0"/>
        <w:jc w:val="left"/>
        <w:rPr>
          <w:sz w:val="21"/>
        </w:rPr>
      </w:pPr>
      <w:r>
        <w:rPr>
          <w:w w:val="95"/>
          <w:sz w:val="21"/>
        </w:rPr>
        <w:t>（1）一肢或一肢以上</w:t>
      </w:r>
      <w:r>
        <w:rPr>
          <w:b/>
          <w:w w:val="95"/>
          <w:sz w:val="21"/>
        </w:rPr>
        <w:t>肢体机能完全丧失（</w:t>
      </w:r>
      <w:r>
        <w:rPr>
          <w:w w:val="95"/>
          <w:sz w:val="21"/>
        </w:rPr>
        <w:t>见</w:t>
      </w:r>
      <w:r>
        <w:rPr>
          <w:b/>
          <w:w w:val="95"/>
          <w:sz w:val="21"/>
        </w:rPr>
        <w:t>6.3.1）</w:t>
      </w:r>
      <w:r>
        <w:rPr>
          <w:w w:val="95"/>
          <w:sz w:val="21"/>
        </w:rPr>
        <w:t>；</w:t>
      </w:r>
    </w:p>
    <w:p>
      <w:pPr>
        <w:pStyle w:val="Heading2"/>
        <w:spacing w:before="36"/>
        <w:ind w:left="1253"/>
        <w:rPr>
          <w:b w:val="0"/>
        </w:rPr>
      </w:pPr>
      <w:r>
        <w:rPr>
          <w:b w:val="0"/>
          <w:w w:val="95"/>
        </w:rPr>
        <w:t>（2）</w:t>
      </w:r>
      <w:r>
        <w:rPr>
          <w:w w:val="95"/>
        </w:rPr>
        <w:t>语言能力或咀嚼吞咽能力完全丧失（</w:t>
      </w:r>
      <w:r>
        <w:rPr>
          <w:b w:val="0"/>
          <w:w w:val="95"/>
        </w:rPr>
        <w:t>见</w:t>
      </w:r>
      <w:r>
        <w:rPr>
          <w:w w:val="95"/>
        </w:rPr>
        <w:t>6.3.2）</w:t>
      </w:r>
      <w:r>
        <w:rPr>
          <w:b w:val="0"/>
          <w:w w:val="95"/>
        </w:rPr>
        <w:t>；</w:t>
      </w:r>
    </w:p>
    <w:p>
      <w:pPr>
        <w:spacing w:line="273" w:lineRule="auto" w:before="36"/>
        <w:ind w:left="1735" w:right="29" w:hanging="482"/>
        <w:jc w:val="left"/>
        <w:rPr>
          <w:sz w:val="21"/>
        </w:rPr>
      </w:pPr>
      <w:r>
        <w:rPr>
          <w:sz w:val="21"/>
        </w:rPr>
        <w:t>（3）自主生活能力完全丧失，无法独立完成</w:t>
      </w:r>
      <w:r>
        <w:rPr>
          <w:b/>
          <w:sz w:val="21"/>
        </w:rPr>
        <w:t>六项基本日常生活活动（</w:t>
      </w:r>
      <w:r>
        <w:rPr>
          <w:sz w:val="21"/>
        </w:rPr>
        <w:t>见</w:t>
      </w:r>
      <w:r>
        <w:rPr>
          <w:b/>
          <w:sz w:val="21"/>
        </w:rPr>
        <w:t>6.3.3） </w:t>
      </w:r>
      <w:r>
        <w:rPr>
          <w:sz w:val="21"/>
        </w:rPr>
        <w:t>中的三项或三项以上。</w:t>
      </w:r>
    </w:p>
    <w:p>
      <w:pPr>
        <w:pStyle w:val="ListParagraph"/>
        <w:numPr>
          <w:ilvl w:val="2"/>
          <w:numId w:val="5"/>
        </w:numPr>
        <w:tabs>
          <w:tab w:pos="1468" w:val="left" w:leader="none"/>
        </w:tabs>
        <w:spacing w:line="240" w:lineRule="auto" w:before="7" w:after="0"/>
        <w:ind w:left="1467" w:right="0" w:hanging="630"/>
        <w:jc w:val="left"/>
        <w:rPr>
          <w:sz w:val="21"/>
        </w:rPr>
      </w:pPr>
      <w:r>
        <w:rPr>
          <w:spacing w:val="-1"/>
          <w:sz w:val="21"/>
        </w:rPr>
        <w:t>重大器官移植术或造血干细胞移植术</w:t>
      </w:r>
    </w:p>
    <w:p>
      <w:pPr>
        <w:pStyle w:val="BodyText"/>
        <w:spacing w:line="273" w:lineRule="auto"/>
        <w:ind w:right="210"/>
      </w:pPr>
      <w:r>
        <w:rPr/>
        <w:t>重大器官移植术，指因相应器官功能衰竭，已经实施了肾脏、肝脏、心脏或肺脏的异体移植手术。</w:t>
      </w:r>
    </w:p>
    <w:p>
      <w:pPr>
        <w:pStyle w:val="BodyText"/>
        <w:spacing w:line="273" w:lineRule="auto" w:before="7"/>
        <w:ind w:right="210"/>
        <w:jc w:val="both"/>
      </w:pPr>
      <w:r>
        <w:rPr/>
        <w:t>造血干细胞移植术，指因造血功能损害或造血系统恶性肿瘤，已经实施了造血干细胞（包括骨髓造血干细胞、外周血造血干细胞和脐血造血干细胞）的异体移植手术。</w:t>
      </w:r>
    </w:p>
    <w:p>
      <w:pPr>
        <w:pStyle w:val="ListParagraph"/>
        <w:numPr>
          <w:ilvl w:val="2"/>
          <w:numId w:val="5"/>
        </w:numPr>
        <w:tabs>
          <w:tab w:pos="1468" w:val="left" w:leader="none"/>
        </w:tabs>
        <w:spacing w:line="240" w:lineRule="auto" w:before="7" w:after="0"/>
        <w:ind w:left="1467" w:right="0" w:hanging="630"/>
        <w:jc w:val="left"/>
        <w:rPr>
          <w:sz w:val="21"/>
        </w:rPr>
      </w:pPr>
      <w:r>
        <w:rPr>
          <w:spacing w:val="-1"/>
          <w:sz w:val="21"/>
        </w:rPr>
        <w:t>冠状动脉搭桥术</w:t>
      </w:r>
      <w:r>
        <w:rPr>
          <w:sz w:val="21"/>
        </w:rPr>
        <w:t>（或称冠状动脉旁路移植术）</w:t>
      </w:r>
    </w:p>
    <w:p>
      <w:pPr>
        <w:pStyle w:val="BodyText"/>
        <w:spacing w:line="273" w:lineRule="auto"/>
        <w:ind w:right="65"/>
      </w:pPr>
      <w:r>
        <w:rPr/>
        <w:t>指为治疗严重的冠心病，实际实施了开胸进行的冠状动脉血管旁路移植的手术。冠状动脉支架植入术、心导管球囊扩张术、激光射频技术及其它非开胸的介入手术、腔镜手术不在保障范围内。</w:t>
      </w:r>
    </w:p>
    <w:p>
      <w:pPr>
        <w:pStyle w:val="ListParagraph"/>
        <w:numPr>
          <w:ilvl w:val="2"/>
          <w:numId w:val="5"/>
        </w:numPr>
        <w:tabs>
          <w:tab w:pos="1468" w:val="left" w:leader="none"/>
        </w:tabs>
        <w:spacing w:line="240" w:lineRule="auto" w:before="7" w:after="0"/>
        <w:ind w:left="1467" w:right="0" w:hanging="630"/>
        <w:jc w:val="left"/>
        <w:rPr>
          <w:sz w:val="21"/>
        </w:rPr>
      </w:pPr>
      <w:r>
        <w:rPr>
          <w:spacing w:val="-1"/>
          <w:sz w:val="21"/>
        </w:rPr>
        <w:t>终末期肾病</w:t>
      </w:r>
      <w:r>
        <w:rPr>
          <w:sz w:val="21"/>
        </w:rPr>
        <w:t>（或称慢性肾功能衰竭尿毒症期）</w:t>
      </w:r>
    </w:p>
    <w:p>
      <w:pPr>
        <w:pStyle w:val="BodyText"/>
        <w:spacing w:line="273" w:lineRule="auto" w:before="36"/>
        <w:ind w:right="208"/>
      </w:pPr>
      <w:r>
        <w:rPr/>
        <w:t>指双肾功能慢性不可逆性衰竭，达到尿毒症期，经诊断后已经进行了至少90天的规律性透析治疗或实施了肾脏移植手术。</w:t>
      </w:r>
    </w:p>
    <w:p>
      <w:pPr>
        <w:pStyle w:val="ListParagraph"/>
        <w:numPr>
          <w:ilvl w:val="2"/>
          <w:numId w:val="5"/>
        </w:numPr>
        <w:tabs>
          <w:tab w:pos="1468" w:val="left" w:leader="none"/>
        </w:tabs>
        <w:spacing w:line="240" w:lineRule="auto" w:before="7" w:after="0"/>
        <w:ind w:left="1467" w:right="0" w:hanging="630"/>
        <w:jc w:val="left"/>
        <w:rPr>
          <w:sz w:val="21"/>
        </w:rPr>
      </w:pPr>
      <w:r>
        <w:rPr>
          <w:spacing w:val="-1"/>
          <w:sz w:val="21"/>
        </w:rPr>
        <w:t>多个肢体缺失</w:t>
      </w:r>
    </w:p>
    <w:p>
      <w:pPr>
        <w:pStyle w:val="BodyText"/>
        <w:spacing w:line="273" w:lineRule="auto"/>
        <w:ind w:right="210"/>
      </w:pPr>
      <w:r>
        <w:rPr/>
        <w:t>指因疾病或意外伤害导致两个或两个以上肢体自腕关节或踝关节近端（靠近躯干端）以上完全性断离。</w:t>
      </w:r>
    </w:p>
    <w:p>
      <w:pPr>
        <w:pStyle w:val="ListParagraph"/>
        <w:numPr>
          <w:ilvl w:val="2"/>
          <w:numId w:val="5"/>
        </w:numPr>
        <w:tabs>
          <w:tab w:pos="1468" w:val="left" w:leader="none"/>
        </w:tabs>
        <w:spacing w:line="240" w:lineRule="auto" w:before="8" w:after="0"/>
        <w:ind w:left="1467" w:right="0" w:hanging="630"/>
        <w:jc w:val="left"/>
        <w:rPr>
          <w:sz w:val="21"/>
        </w:rPr>
      </w:pPr>
      <w:r>
        <w:rPr>
          <w:spacing w:val="-1"/>
          <w:sz w:val="21"/>
        </w:rPr>
        <w:t>急性或亚急性重症肝炎</w:t>
      </w:r>
    </w:p>
    <w:p>
      <w:pPr>
        <w:pStyle w:val="BodyText"/>
        <w:spacing w:line="273" w:lineRule="auto"/>
        <w:ind w:right="210"/>
      </w:pPr>
      <w:r>
        <w:rPr/>
        <w:t>指因肝炎病毒感染引起肝脏组织弥漫性坏死，导致急性肝功能衰竭，且经血清学或病毒学检查证实，并须满足下列全部条件：</w:t>
      </w:r>
    </w:p>
    <w:p>
      <w:pPr>
        <w:pStyle w:val="BodyText"/>
        <w:spacing w:before="7"/>
        <w:ind w:left="1254"/>
      </w:pPr>
      <w:r>
        <w:rPr/>
        <w:t>（1）重度黄疸或黄疸迅速加重；</w:t>
      </w:r>
    </w:p>
    <w:p>
      <w:pPr>
        <w:pStyle w:val="BodyText"/>
        <w:spacing w:before="36"/>
        <w:ind w:left="1254"/>
      </w:pPr>
      <w:r>
        <w:rPr/>
        <w:t>（2）肝性脑病；</w:t>
      </w:r>
    </w:p>
    <w:p>
      <w:pPr>
        <w:pStyle w:val="BodyText"/>
        <w:spacing w:before="36"/>
        <w:ind w:left="1254"/>
      </w:pPr>
      <w:r>
        <w:rPr/>
        <w:t>（3）B超或其它影像学检查显示肝脏体积急速萎缩；</w:t>
      </w:r>
    </w:p>
    <w:p>
      <w:pPr>
        <w:pStyle w:val="BodyText"/>
        <w:spacing w:before="36"/>
        <w:ind w:left="1254"/>
      </w:pPr>
      <w:r>
        <w:rPr/>
        <w:t>（4）肝功能指标进行性恶化。</w:t>
      </w:r>
    </w:p>
    <w:p>
      <w:pPr>
        <w:pStyle w:val="ListParagraph"/>
        <w:numPr>
          <w:ilvl w:val="2"/>
          <w:numId w:val="5"/>
        </w:numPr>
        <w:tabs>
          <w:tab w:pos="1468" w:val="left" w:leader="none"/>
        </w:tabs>
        <w:spacing w:line="240" w:lineRule="auto" w:before="36" w:after="0"/>
        <w:ind w:left="1467" w:right="0" w:hanging="630"/>
        <w:jc w:val="left"/>
        <w:rPr>
          <w:sz w:val="21"/>
        </w:rPr>
      </w:pPr>
      <w:r>
        <w:rPr>
          <w:spacing w:val="-1"/>
          <w:sz w:val="21"/>
        </w:rPr>
        <w:t>良性脑肿瘤</w:t>
      </w:r>
    </w:p>
    <w:p>
      <w:pPr>
        <w:pStyle w:val="BodyText"/>
        <w:spacing w:line="273" w:lineRule="auto" w:before="36"/>
        <w:ind w:right="209"/>
        <w:jc w:val="both"/>
      </w:pPr>
      <w:r>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BodyText"/>
        <w:spacing w:before="7"/>
        <w:ind w:left="1254"/>
      </w:pPr>
      <w:r>
        <w:rPr/>
        <w:t>（1）实际实施了开颅进行的脑肿瘤完全切除或部分切除的手术；</w:t>
      </w:r>
    </w:p>
    <w:p>
      <w:pPr>
        <w:spacing w:after="0"/>
        <w:sectPr>
          <w:pgSz w:w="11910" w:h="16840"/>
          <w:pgMar w:header="0" w:footer="1008" w:top="1400" w:bottom="1200" w:left="1680" w:right="1580"/>
        </w:sectPr>
      </w:pPr>
    </w:p>
    <w:p>
      <w:pPr>
        <w:pStyle w:val="BodyText"/>
        <w:spacing w:before="25"/>
        <w:ind w:left="1253"/>
      </w:pPr>
      <w:r>
        <w:rPr/>
        <w:t>（2）实际实施了对脑肿瘤进行的放射治疗。</w:t>
      </w:r>
    </w:p>
    <w:p>
      <w:pPr>
        <w:pStyle w:val="BodyText"/>
        <w:ind w:left="1255"/>
      </w:pPr>
      <w:r>
        <w:rPr/>
        <w:t>脑垂体瘤、脑囊肿、脑血管性疾病不在保障范围内。</w:t>
      </w:r>
    </w:p>
    <w:p>
      <w:pPr>
        <w:pStyle w:val="ListParagraph"/>
        <w:numPr>
          <w:ilvl w:val="2"/>
          <w:numId w:val="5"/>
        </w:numPr>
        <w:tabs>
          <w:tab w:pos="1573" w:val="left" w:leader="none"/>
        </w:tabs>
        <w:spacing w:line="240" w:lineRule="auto" w:before="37" w:after="0"/>
        <w:ind w:left="1572" w:right="0" w:hanging="735"/>
        <w:jc w:val="left"/>
        <w:rPr>
          <w:sz w:val="21"/>
        </w:rPr>
      </w:pPr>
      <w:r>
        <w:rPr>
          <w:spacing w:val="-1"/>
          <w:sz w:val="21"/>
        </w:rPr>
        <w:t>慢性肝功能衰竭失代偿期</w:t>
      </w:r>
    </w:p>
    <w:p>
      <w:pPr>
        <w:pStyle w:val="BodyText"/>
      </w:pPr>
      <w:r>
        <w:rPr/>
        <w:t>指因慢性肝脏疾病导致肝功能衰竭。须满足下列全部条件：</w:t>
      </w:r>
    </w:p>
    <w:p>
      <w:pPr>
        <w:pStyle w:val="BodyText"/>
        <w:ind w:left="1253"/>
      </w:pPr>
      <w:r>
        <w:rPr/>
        <w:t>（1）持续性黄疸；</w:t>
      </w:r>
    </w:p>
    <w:p>
      <w:pPr>
        <w:pStyle w:val="BodyText"/>
        <w:ind w:left="1253"/>
      </w:pPr>
      <w:r>
        <w:rPr/>
        <w:t>（2）腹水；</w:t>
      </w:r>
    </w:p>
    <w:p>
      <w:pPr>
        <w:pStyle w:val="BodyText"/>
        <w:ind w:left="1253"/>
      </w:pPr>
      <w:r>
        <w:rPr/>
        <w:t>（3）肝性脑病；</w:t>
      </w:r>
    </w:p>
    <w:p>
      <w:pPr>
        <w:pStyle w:val="BodyText"/>
        <w:spacing w:line="273" w:lineRule="auto"/>
        <w:ind w:left="1255" w:right="2244" w:hanging="2"/>
      </w:pPr>
      <w:r>
        <w:rPr/>
        <w:t>（4）充血性脾肿大伴脾功能亢进或食管胃底静脉曲张。因酗酒或药物滥用导致的肝功能衰竭不在保障范围内。</w:t>
      </w:r>
    </w:p>
    <w:p>
      <w:pPr>
        <w:pStyle w:val="ListParagraph"/>
        <w:numPr>
          <w:ilvl w:val="2"/>
          <w:numId w:val="5"/>
        </w:numPr>
        <w:tabs>
          <w:tab w:pos="1573" w:val="left" w:leader="none"/>
        </w:tabs>
        <w:spacing w:line="240" w:lineRule="auto" w:before="7" w:after="0"/>
        <w:ind w:left="1572" w:right="0" w:hanging="735"/>
        <w:jc w:val="left"/>
        <w:rPr>
          <w:sz w:val="21"/>
        </w:rPr>
      </w:pPr>
      <w:r>
        <w:rPr>
          <w:spacing w:val="-1"/>
          <w:sz w:val="21"/>
        </w:rPr>
        <w:t>脑炎后遗症或脑膜炎后遗症</w:t>
      </w:r>
    </w:p>
    <w:p>
      <w:pPr>
        <w:pStyle w:val="BodyText"/>
        <w:spacing w:line="273" w:lineRule="auto" w:before="36"/>
        <w:ind w:right="210"/>
      </w:pPr>
      <w:r>
        <w:rPr/>
        <w:t>指因患脑炎或脑膜炎导致的神经系统永久性的功能障碍。神经系统永久性的功能障碍，指疾病确诊180天后，仍遗留下列一种或一种以上障碍：</w:t>
      </w:r>
    </w:p>
    <w:p>
      <w:pPr>
        <w:pStyle w:val="BodyText"/>
        <w:spacing w:before="7"/>
        <w:ind w:left="1253"/>
      </w:pPr>
      <w:r>
        <w:rPr/>
        <w:t>（1）一肢或一肢以上肢体机能完全丧失；</w:t>
      </w:r>
    </w:p>
    <w:p>
      <w:pPr>
        <w:pStyle w:val="BodyText"/>
        <w:ind w:left="1253"/>
      </w:pPr>
      <w:r>
        <w:rPr/>
        <w:t>（2）语言能力或咀嚼吞咽能力完全丧失；</w:t>
      </w:r>
    </w:p>
    <w:p>
      <w:pPr>
        <w:pStyle w:val="BodyText"/>
        <w:spacing w:line="273" w:lineRule="auto"/>
        <w:ind w:left="1735" w:right="141" w:hanging="482"/>
      </w:pPr>
      <w:r>
        <w:rPr/>
        <w:t>（3）自主生活能力完全丧失，无法独立完成六项基本日常生活活动中的三项或三项以上。</w:t>
      </w:r>
    </w:p>
    <w:p>
      <w:pPr>
        <w:pStyle w:val="ListParagraph"/>
        <w:numPr>
          <w:ilvl w:val="2"/>
          <w:numId w:val="5"/>
        </w:numPr>
        <w:tabs>
          <w:tab w:pos="1573" w:val="left" w:leader="none"/>
        </w:tabs>
        <w:spacing w:line="240" w:lineRule="auto" w:before="7" w:after="0"/>
        <w:ind w:left="1572" w:right="0" w:hanging="735"/>
        <w:jc w:val="left"/>
        <w:rPr>
          <w:sz w:val="21"/>
        </w:rPr>
      </w:pPr>
      <w:r>
        <w:rPr>
          <w:spacing w:val="-1"/>
          <w:sz w:val="21"/>
        </w:rPr>
        <w:t>深度昏迷</w:t>
      </w:r>
    </w:p>
    <w:p>
      <w:pPr>
        <w:pStyle w:val="BodyText"/>
        <w:spacing w:line="273" w:lineRule="auto" w:before="36"/>
        <w:ind w:right="209"/>
        <w:jc w:val="both"/>
      </w:pPr>
      <w:r>
        <w:rPr/>
        <w:t>指因疾病或意外伤害导致意识丧失,对外界刺激和体内需求均无反应,昏迷程度按照格拉斯哥昏迷分级（Glasgow coma scale）结果为5分或5分以下，且已经持续使用呼吸机及其它生命维持系统96小时以上。</w:t>
      </w:r>
    </w:p>
    <w:p>
      <w:pPr>
        <w:pStyle w:val="BodyText"/>
        <w:spacing w:before="7"/>
      </w:pPr>
      <w:r>
        <w:rPr/>
        <w:t>因酗酒或药物滥用导致的深度昏迷不在保障范围内。</w:t>
      </w:r>
    </w:p>
    <w:p>
      <w:pPr>
        <w:pStyle w:val="ListParagraph"/>
        <w:numPr>
          <w:ilvl w:val="2"/>
          <w:numId w:val="5"/>
        </w:numPr>
        <w:tabs>
          <w:tab w:pos="1573" w:val="left" w:leader="none"/>
        </w:tabs>
        <w:spacing w:line="259" w:lineRule="auto" w:before="37" w:after="0"/>
        <w:ind w:left="835" w:right="213" w:firstLine="2"/>
        <w:jc w:val="left"/>
        <w:rPr>
          <w:sz w:val="21"/>
        </w:rPr>
      </w:pPr>
      <w:r>
        <w:rPr>
          <w:spacing w:val="-22"/>
          <w:sz w:val="21"/>
        </w:rPr>
        <w:t>双耳失聪</w:t>
      </w:r>
      <w:r>
        <w:rPr>
          <w:sz w:val="21"/>
        </w:rPr>
        <w:t>（</w:t>
      </w:r>
      <w:r>
        <w:rPr>
          <w:spacing w:val="-9"/>
          <w:sz w:val="21"/>
        </w:rPr>
        <w:t>被保险人在 </w:t>
      </w:r>
      <w:r>
        <w:rPr>
          <w:rFonts w:ascii="Arial" w:eastAsia="Arial"/>
          <w:sz w:val="21"/>
        </w:rPr>
        <w:t>3</w:t>
      </w:r>
      <w:r>
        <w:rPr>
          <w:rFonts w:ascii="Arial" w:eastAsia="Arial"/>
          <w:spacing w:val="-7"/>
          <w:sz w:val="21"/>
        </w:rPr>
        <w:t> </w:t>
      </w:r>
      <w:r>
        <w:rPr>
          <w:sz w:val="21"/>
        </w:rPr>
        <w:t>周岁的保险单周年日之前所患双耳失聪不在保险责任范围内）</w:t>
      </w:r>
    </w:p>
    <w:p>
      <w:pPr>
        <w:spacing w:before="20"/>
        <w:ind w:left="1196" w:right="0" w:firstLine="0"/>
        <w:jc w:val="left"/>
        <w:rPr>
          <w:sz w:val="21"/>
        </w:rPr>
      </w:pPr>
      <w:r>
        <w:rPr>
          <w:w w:val="95"/>
          <w:sz w:val="21"/>
        </w:rPr>
        <w:t>指因疾病或意外伤害导致双耳听力</w:t>
      </w:r>
      <w:r>
        <w:rPr>
          <w:b/>
          <w:w w:val="95"/>
          <w:sz w:val="21"/>
        </w:rPr>
        <w:t>永久不可逆（</w:t>
      </w:r>
      <w:r>
        <w:rPr>
          <w:w w:val="95"/>
          <w:sz w:val="21"/>
        </w:rPr>
        <w:t>见</w:t>
      </w:r>
      <w:r>
        <w:rPr>
          <w:b/>
          <w:w w:val="95"/>
          <w:sz w:val="21"/>
        </w:rPr>
        <w:t>6.3.4）</w:t>
      </w:r>
      <w:r>
        <w:rPr>
          <w:w w:val="95"/>
          <w:sz w:val="21"/>
        </w:rPr>
        <w:t>性丧失，在500赫兹、</w:t>
      </w:r>
    </w:p>
    <w:p>
      <w:pPr>
        <w:pStyle w:val="BodyText"/>
        <w:spacing w:line="273" w:lineRule="auto"/>
        <w:ind w:right="213"/>
      </w:pPr>
      <w:r>
        <w:rPr/>
        <w:t>1000赫兹和2000赫兹语音频率下，平均听阈大于90分贝，且经纯音听力测试、声导抗检测或听觉诱发电位检测等证实。</w:t>
      </w:r>
    </w:p>
    <w:p>
      <w:pPr>
        <w:pStyle w:val="ListParagraph"/>
        <w:numPr>
          <w:ilvl w:val="2"/>
          <w:numId w:val="5"/>
        </w:numPr>
        <w:tabs>
          <w:tab w:pos="1573" w:val="left" w:leader="none"/>
        </w:tabs>
        <w:spacing w:line="240" w:lineRule="auto" w:before="8" w:after="0"/>
        <w:ind w:left="1572" w:right="0" w:hanging="735"/>
        <w:jc w:val="left"/>
        <w:rPr>
          <w:sz w:val="21"/>
        </w:rPr>
      </w:pPr>
      <w:r>
        <w:rPr>
          <w:spacing w:val="-1"/>
          <w:sz w:val="21"/>
        </w:rPr>
        <w:t>双目失明</w:t>
      </w:r>
    </w:p>
    <w:p>
      <w:pPr>
        <w:pStyle w:val="BodyText"/>
        <w:spacing w:line="273" w:lineRule="auto"/>
        <w:ind w:right="210"/>
      </w:pPr>
      <w:r>
        <w:rPr/>
        <w:t>指因疾病或意外伤害导致双眼视力永久不可逆性丧失，双眼中较好眼须满足下列至少一项条件：</w:t>
      </w:r>
    </w:p>
    <w:p>
      <w:pPr>
        <w:pStyle w:val="BodyText"/>
        <w:spacing w:before="7"/>
        <w:ind w:left="1253"/>
      </w:pPr>
      <w:r>
        <w:rPr/>
        <w:t>（1）眼球缺失或摘除；</w:t>
      </w:r>
    </w:p>
    <w:p>
      <w:pPr>
        <w:pStyle w:val="BodyText"/>
        <w:spacing w:line="273" w:lineRule="auto" w:before="36"/>
        <w:ind w:left="1735" w:right="141" w:hanging="482"/>
      </w:pPr>
      <w:r>
        <w:rPr/>
        <w:t>（2）矫正视力低于0.02（采用国际标准视力表，如果使用其它视力表应进行换算）；</w:t>
      </w:r>
    </w:p>
    <w:p>
      <w:pPr>
        <w:pStyle w:val="BodyText"/>
        <w:spacing w:before="7"/>
        <w:ind w:left="1253"/>
      </w:pPr>
      <w:r>
        <w:rPr/>
        <w:t>（3）视野半径小于5度。</w:t>
      </w:r>
    </w:p>
    <w:p>
      <w:pPr>
        <w:pStyle w:val="ListParagraph"/>
        <w:numPr>
          <w:ilvl w:val="2"/>
          <w:numId w:val="5"/>
        </w:numPr>
        <w:tabs>
          <w:tab w:pos="1573" w:val="left" w:leader="none"/>
        </w:tabs>
        <w:spacing w:line="240" w:lineRule="auto" w:before="37" w:after="0"/>
        <w:ind w:left="1572" w:right="0" w:hanging="735"/>
        <w:jc w:val="left"/>
        <w:rPr>
          <w:sz w:val="21"/>
        </w:rPr>
      </w:pPr>
      <w:r>
        <w:rPr>
          <w:sz w:val="21"/>
        </w:rPr>
        <w:t>瘫痪</w:t>
      </w:r>
    </w:p>
    <w:p>
      <w:pPr>
        <w:pStyle w:val="BodyText"/>
        <w:spacing w:line="273" w:lineRule="auto"/>
        <w:ind w:right="210"/>
        <w:jc w:val="both"/>
      </w:pPr>
      <w:r>
        <w:rPr/>
        <w:t>指因疾病或意外伤害导致两肢或两肢以上肢体机能永久完全丧失。肢体机能永久完全丧失，指疾病确诊180天后或意外伤害发生180天后，每肢三大关节中的两大关节仍然完全僵硬，或不能随意识活动。</w:t>
      </w:r>
    </w:p>
    <w:p>
      <w:pPr>
        <w:pStyle w:val="ListParagraph"/>
        <w:numPr>
          <w:ilvl w:val="2"/>
          <w:numId w:val="5"/>
        </w:numPr>
        <w:tabs>
          <w:tab w:pos="1573" w:val="left" w:leader="none"/>
        </w:tabs>
        <w:spacing w:line="240" w:lineRule="auto" w:before="7" w:after="0"/>
        <w:ind w:left="1572" w:right="0" w:hanging="735"/>
        <w:jc w:val="left"/>
        <w:rPr>
          <w:sz w:val="21"/>
        </w:rPr>
      </w:pPr>
      <w:r>
        <w:rPr>
          <w:spacing w:val="-1"/>
          <w:sz w:val="21"/>
        </w:rPr>
        <w:t>心脏瓣膜手术</w:t>
      </w:r>
    </w:p>
    <w:p>
      <w:pPr>
        <w:pStyle w:val="BodyText"/>
        <w:spacing w:before="36"/>
      </w:pPr>
      <w:r>
        <w:rPr/>
        <w:t>指为治疗心脏瓣膜疾病，实际实施了开胸进行的心脏瓣膜置换或修复的手术。</w:t>
      </w:r>
    </w:p>
    <w:p>
      <w:pPr>
        <w:pStyle w:val="ListParagraph"/>
        <w:numPr>
          <w:ilvl w:val="2"/>
          <w:numId w:val="5"/>
        </w:numPr>
        <w:tabs>
          <w:tab w:pos="1573" w:val="left" w:leader="none"/>
        </w:tabs>
        <w:spacing w:line="240" w:lineRule="auto" w:before="36" w:after="0"/>
        <w:ind w:left="1572" w:right="0" w:hanging="735"/>
        <w:jc w:val="left"/>
        <w:rPr>
          <w:rFonts w:ascii="Arial" w:eastAsia="Arial"/>
          <w:sz w:val="21"/>
        </w:rPr>
      </w:pPr>
      <w:r>
        <w:rPr>
          <w:spacing w:val="-1"/>
          <w:sz w:val="21"/>
        </w:rPr>
        <w:t>严重阿尔茨海默病 </w:t>
      </w:r>
      <w:r>
        <w:rPr>
          <w:rFonts w:ascii="Arial" w:eastAsia="Arial"/>
          <w:sz w:val="21"/>
        </w:rPr>
        <w:t>(</w:t>
      </w:r>
      <w:r>
        <w:rPr>
          <w:spacing w:val="-9"/>
          <w:sz w:val="21"/>
        </w:rPr>
        <w:t>最多保障至 </w:t>
      </w:r>
      <w:r>
        <w:rPr>
          <w:rFonts w:ascii="Arial" w:eastAsia="Arial"/>
          <w:sz w:val="21"/>
        </w:rPr>
        <w:t>60</w:t>
      </w:r>
      <w:r>
        <w:rPr>
          <w:rFonts w:ascii="Arial" w:eastAsia="Arial"/>
          <w:spacing w:val="-8"/>
          <w:sz w:val="21"/>
        </w:rPr>
        <w:t> </w:t>
      </w:r>
      <w:r>
        <w:rPr>
          <w:sz w:val="21"/>
        </w:rPr>
        <w:t>周岁的保险单周年日零时止</w:t>
      </w:r>
      <w:r>
        <w:rPr>
          <w:rFonts w:ascii="Arial" w:eastAsia="Arial"/>
          <w:sz w:val="21"/>
        </w:rPr>
        <w:t>)</w:t>
      </w:r>
    </w:p>
    <w:p>
      <w:pPr>
        <w:pStyle w:val="BodyText"/>
        <w:spacing w:line="273" w:lineRule="auto" w:before="21"/>
        <w:ind w:right="107"/>
      </w:pPr>
      <w:r>
        <w:rPr/>
        <w:t>指因大脑进行性、不可逆性改变导致智能严重衰退或丧失，临床表现为明显的</w:t>
      </w:r>
      <w:r>
        <w:rPr>
          <w:spacing w:val="-2"/>
        </w:rPr>
        <w:t>认知能力障碍、行为异常和社交能力减退，其日常生活必须持续受到他人监护。</w:t>
      </w:r>
      <w:r>
        <w:rPr>
          <w:spacing w:val="-3"/>
        </w:rPr>
        <w:t>须由头颅断层扫描</w:t>
      </w:r>
      <w:r>
        <w:rPr/>
        <w:t>（CT）</w:t>
      </w:r>
      <w:r>
        <w:rPr>
          <w:spacing w:val="-3"/>
        </w:rPr>
        <w:t>、核磁共振检查</w:t>
      </w:r>
      <w:r>
        <w:rPr/>
        <w:t>（MRI）</w:t>
      </w:r>
      <w:r>
        <w:rPr>
          <w:spacing w:val="-1"/>
        </w:rPr>
        <w:t>或正电子发射断层扫描</w:t>
      </w:r>
      <w:r>
        <w:rPr/>
        <w:t>（PET） 等影像学检查证实，且自主生活能力完全丧失，无法独立完成六项基本日常生</w:t>
      </w:r>
    </w:p>
    <w:p>
      <w:pPr>
        <w:spacing w:after="0" w:line="273" w:lineRule="auto"/>
        <w:sectPr>
          <w:pgSz w:w="11910" w:h="16840"/>
          <w:pgMar w:header="0" w:footer="1008" w:top="1400" w:bottom="1200" w:left="1680" w:right="1580"/>
        </w:sectPr>
      </w:pPr>
    </w:p>
    <w:p>
      <w:pPr>
        <w:pStyle w:val="BodyText"/>
        <w:spacing w:before="25"/>
      </w:pPr>
      <w:r>
        <w:rPr/>
        <w:t>活活动中的三项或三项以上。</w:t>
      </w:r>
    </w:p>
    <w:p>
      <w:pPr>
        <w:pStyle w:val="BodyText"/>
      </w:pPr>
      <w:r>
        <w:rPr/>
        <w:t>神经官能症和精神疾病不在保障范围内。</w:t>
      </w:r>
    </w:p>
    <w:p>
      <w:pPr>
        <w:pStyle w:val="ListParagraph"/>
        <w:numPr>
          <w:ilvl w:val="2"/>
          <w:numId w:val="5"/>
        </w:numPr>
        <w:tabs>
          <w:tab w:pos="1573" w:val="left" w:leader="none"/>
        </w:tabs>
        <w:spacing w:line="240" w:lineRule="auto" w:before="37" w:after="0"/>
        <w:ind w:left="1572" w:right="0" w:hanging="735"/>
        <w:jc w:val="left"/>
        <w:rPr>
          <w:sz w:val="21"/>
        </w:rPr>
      </w:pPr>
      <w:r>
        <w:rPr>
          <w:spacing w:val="-1"/>
          <w:sz w:val="21"/>
        </w:rPr>
        <w:t>严重脑损伤</w:t>
      </w:r>
    </w:p>
    <w:p>
      <w:pPr>
        <w:pStyle w:val="BodyText"/>
        <w:spacing w:line="273" w:lineRule="auto"/>
        <w:ind w:right="169"/>
      </w:pPr>
      <w:r>
        <w:rPr/>
        <w:t>指因头部遭受机械性外力，引起脑重要部位损伤，导致神经系统永久性的功能障碍。须由头颅断层扫描（CT）、核磁共振检查（MRI）或正电子发射断层扫描</w:t>
      </w:r>
    </w:p>
    <w:p>
      <w:pPr>
        <w:pStyle w:val="BodyText"/>
        <w:spacing w:line="273" w:lineRule="auto" w:before="7"/>
        <w:ind w:right="211"/>
      </w:pPr>
      <w:r>
        <w:rPr/>
        <w:t>（PET）等影像学检查证实。神经系统永久性的功能障碍，指脑损伤180天后， 仍遗留下列一种或一种以上障碍：</w:t>
      </w:r>
    </w:p>
    <w:p>
      <w:pPr>
        <w:pStyle w:val="BodyText"/>
        <w:spacing w:before="7"/>
        <w:ind w:left="1254"/>
      </w:pPr>
      <w:r>
        <w:rPr/>
        <w:t>（1）一肢或一肢以上肢体机能完全丧失；</w:t>
      </w:r>
    </w:p>
    <w:p>
      <w:pPr>
        <w:pStyle w:val="BodyText"/>
        <w:ind w:left="1254"/>
      </w:pPr>
      <w:r>
        <w:rPr/>
        <w:t>（2）语言能力或咀嚼吞咽能力完全丧失；</w:t>
      </w:r>
    </w:p>
    <w:p>
      <w:pPr>
        <w:pStyle w:val="BodyText"/>
        <w:spacing w:line="273" w:lineRule="auto"/>
        <w:ind w:left="1735" w:right="141" w:hanging="482"/>
      </w:pPr>
      <w:r>
        <w:rPr/>
        <w:t>（3）自主生活能力完全丧失，无法独立完成六项基本日常生活活动中的三项或三项以上。</w:t>
      </w:r>
    </w:p>
    <w:p>
      <w:pPr>
        <w:pStyle w:val="ListParagraph"/>
        <w:numPr>
          <w:ilvl w:val="2"/>
          <w:numId w:val="5"/>
        </w:numPr>
        <w:tabs>
          <w:tab w:pos="1573" w:val="left" w:leader="none"/>
        </w:tabs>
        <w:spacing w:line="240" w:lineRule="auto" w:before="7" w:after="0"/>
        <w:ind w:left="1572" w:right="0" w:hanging="735"/>
        <w:jc w:val="left"/>
        <w:rPr>
          <w:rFonts w:ascii="Arial" w:eastAsia="Arial"/>
          <w:sz w:val="21"/>
        </w:rPr>
      </w:pPr>
      <w:r>
        <w:rPr>
          <w:spacing w:val="-1"/>
          <w:sz w:val="21"/>
        </w:rPr>
        <w:t>严重帕金森病 </w:t>
      </w:r>
      <w:r>
        <w:rPr>
          <w:rFonts w:ascii="Arial" w:eastAsia="Arial"/>
          <w:sz w:val="21"/>
        </w:rPr>
        <w:t>(</w:t>
      </w:r>
      <w:r>
        <w:rPr>
          <w:spacing w:val="-9"/>
          <w:sz w:val="21"/>
        </w:rPr>
        <w:t>最多保障至 </w:t>
      </w:r>
      <w:r>
        <w:rPr>
          <w:rFonts w:ascii="Arial" w:eastAsia="Arial"/>
          <w:sz w:val="21"/>
        </w:rPr>
        <w:t>60</w:t>
      </w:r>
      <w:r>
        <w:rPr>
          <w:rFonts w:ascii="Arial" w:eastAsia="Arial"/>
          <w:spacing w:val="-8"/>
          <w:sz w:val="21"/>
        </w:rPr>
        <w:t> </w:t>
      </w:r>
      <w:r>
        <w:rPr>
          <w:sz w:val="21"/>
        </w:rPr>
        <w:t>周岁的保险单周年日零时止</w:t>
      </w:r>
      <w:r>
        <w:rPr>
          <w:rFonts w:ascii="Arial" w:eastAsia="Arial"/>
          <w:sz w:val="21"/>
        </w:rPr>
        <w:t>)</w:t>
      </w:r>
    </w:p>
    <w:p>
      <w:pPr>
        <w:pStyle w:val="BodyText"/>
        <w:spacing w:line="273" w:lineRule="auto" w:before="21"/>
        <w:ind w:right="210"/>
      </w:pPr>
      <w:r>
        <w:rPr/>
        <w:t>是一种中枢神经系统的退行性疾病，临床表现为震颤麻痹、共济失调等。须满足下列全部条件：</w:t>
      </w:r>
    </w:p>
    <w:p>
      <w:pPr>
        <w:pStyle w:val="BodyText"/>
        <w:spacing w:before="7"/>
        <w:ind w:left="1253"/>
      </w:pPr>
      <w:r>
        <w:rPr/>
        <w:t>（1）药物治疗无法控制病情；</w:t>
      </w:r>
    </w:p>
    <w:p>
      <w:pPr>
        <w:pStyle w:val="BodyText"/>
        <w:spacing w:line="273" w:lineRule="auto"/>
        <w:ind w:left="1735" w:right="141" w:hanging="482"/>
      </w:pPr>
      <w:r>
        <w:rPr/>
        <w:t>（2）自主生活能力完全丧失，无法独立完成六项基本日常生活活动中的三项或三项以上。</w:t>
      </w:r>
    </w:p>
    <w:p>
      <w:pPr>
        <w:pStyle w:val="BodyText"/>
        <w:spacing w:before="8"/>
      </w:pPr>
      <w:r>
        <w:rPr/>
        <w:t>继发性帕金森综合征不在保障范围内。</w:t>
      </w:r>
    </w:p>
    <w:p>
      <w:pPr>
        <w:pStyle w:val="ListParagraph"/>
        <w:numPr>
          <w:ilvl w:val="2"/>
          <w:numId w:val="5"/>
        </w:numPr>
        <w:tabs>
          <w:tab w:pos="1573" w:val="left" w:leader="none"/>
        </w:tabs>
        <w:spacing w:line="240" w:lineRule="auto" w:before="37" w:after="0"/>
        <w:ind w:left="1572" w:right="0" w:hanging="735"/>
        <w:jc w:val="left"/>
        <w:rPr>
          <w:sz w:val="21"/>
        </w:rPr>
      </w:pPr>
      <w:r>
        <w:rPr>
          <w:spacing w:val="-1"/>
          <w:sz w:val="21"/>
        </w:rPr>
        <w:t>严重Ⅲ度烧伤</w:t>
      </w:r>
    </w:p>
    <w:p>
      <w:pPr>
        <w:pStyle w:val="BodyText"/>
        <w:spacing w:line="273" w:lineRule="auto"/>
        <w:ind w:right="210"/>
      </w:pPr>
      <w:r>
        <w:rPr/>
        <w:t>指烧伤程度为Ⅲ度，且Ⅲ度烧伤的面积达到全身体表面积的20％或20％以上。体表面积根据《中国新九分法》计算。</w:t>
      </w:r>
    </w:p>
    <w:p>
      <w:pPr>
        <w:pStyle w:val="ListParagraph"/>
        <w:numPr>
          <w:ilvl w:val="2"/>
          <w:numId w:val="5"/>
        </w:numPr>
        <w:tabs>
          <w:tab w:pos="1573" w:val="left" w:leader="none"/>
        </w:tabs>
        <w:spacing w:line="240" w:lineRule="auto" w:before="8" w:after="0"/>
        <w:ind w:left="1572" w:right="0" w:hanging="735"/>
        <w:jc w:val="left"/>
        <w:rPr>
          <w:sz w:val="21"/>
        </w:rPr>
      </w:pPr>
      <w:r>
        <w:rPr>
          <w:spacing w:val="-1"/>
          <w:sz w:val="21"/>
        </w:rPr>
        <w:t>严重原发性肺动脉高压</w:t>
      </w:r>
    </w:p>
    <w:p>
      <w:pPr>
        <w:pStyle w:val="BodyText"/>
        <w:spacing w:line="273" w:lineRule="auto"/>
        <w:ind w:right="210"/>
        <w:jc w:val="both"/>
      </w:pPr>
      <w:r>
        <w:rPr/>
        <w:t>指不明原因的肺动脉压力持续性增高，进行性发展而导致的慢性疾病，已经造成永久不可逆性的体力活动能力受限，达到美国纽约心脏病学会心功能状态分级IV级，且静息状态下肺动脉平均压超过30mmHg。</w:t>
      </w:r>
    </w:p>
    <w:p>
      <w:pPr>
        <w:pStyle w:val="ListParagraph"/>
        <w:numPr>
          <w:ilvl w:val="2"/>
          <w:numId w:val="5"/>
        </w:numPr>
        <w:tabs>
          <w:tab w:pos="1573" w:val="left" w:leader="none"/>
        </w:tabs>
        <w:spacing w:line="240" w:lineRule="auto" w:before="7" w:after="0"/>
        <w:ind w:left="1572" w:right="0" w:hanging="735"/>
        <w:jc w:val="left"/>
        <w:rPr>
          <w:sz w:val="21"/>
        </w:rPr>
      </w:pPr>
      <w:r>
        <w:rPr>
          <w:spacing w:val="-1"/>
          <w:sz w:val="21"/>
        </w:rPr>
        <w:t>严重运动神经元病</w:t>
      </w:r>
    </w:p>
    <w:p>
      <w:pPr>
        <w:pStyle w:val="BodyText"/>
        <w:spacing w:line="273" w:lineRule="auto" w:before="36"/>
        <w:ind w:right="21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ListParagraph"/>
        <w:numPr>
          <w:ilvl w:val="2"/>
          <w:numId w:val="5"/>
        </w:numPr>
        <w:tabs>
          <w:tab w:pos="1573" w:val="left" w:leader="none"/>
        </w:tabs>
        <w:spacing w:line="273" w:lineRule="auto" w:before="7" w:after="0"/>
        <w:ind w:left="835" w:right="213" w:firstLine="2"/>
        <w:jc w:val="left"/>
        <w:rPr>
          <w:sz w:val="21"/>
        </w:rPr>
      </w:pPr>
      <w:r>
        <w:rPr>
          <w:spacing w:val="-1"/>
          <w:sz w:val="21"/>
        </w:rPr>
        <w:t>语言能力丧失 </w:t>
      </w:r>
      <w:r>
        <w:rPr>
          <w:sz w:val="21"/>
        </w:rPr>
        <w:t>（</w:t>
      </w:r>
      <w:r>
        <w:rPr>
          <w:spacing w:val="-7"/>
          <w:sz w:val="21"/>
        </w:rPr>
        <w:t>被保险人在 </w:t>
      </w:r>
      <w:r>
        <w:rPr>
          <w:sz w:val="21"/>
        </w:rPr>
        <w:t>3</w:t>
      </w:r>
      <w:r>
        <w:rPr>
          <w:spacing w:val="-6"/>
          <w:sz w:val="21"/>
        </w:rPr>
        <w:t> 周岁的保险单周年日之前所患语言能力丧失不在保险责任范围内）</w:t>
      </w:r>
    </w:p>
    <w:p>
      <w:pPr>
        <w:pStyle w:val="BodyText"/>
        <w:spacing w:line="273" w:lineRule="auto" w:before="7"/>
        <w:ind w:right="209"/>
      </w:pPr>
      <w:r>
        <w:rPr/>
        <w:t>指因疾病或意外伤害导致完全丧失语言能力，经过积极治疗至少12个月（声带完全切除不受此时间限制），仍无法通过现有医疗手段恢复。</w:t>
      </w:r>
    </w:p>
    <w:p>
      <w:pPr>
        <w:pStyle w:val="BodyText"/>
        <w:spacing w:before="7"/>
      </w:pPr>
      <w:r>
        <w:rPr/>
        <w:t>精神心理因素所致的语言能力丧失不在保障范围内。</w:t>
      </w:r>
    </w:p>
    <w:p>
      <w:pPr>
        <w:pStyle w:val="ListParagraph"/>
        <w:numPr>
          <w:ilvl w:val="2"/>
          <w:numId w:val="5"/>
        </w:numPr>
        <w:tabs>
          <w:tab w:pos="1573" w:val="left" w:leader="none"/>
        </w:tabs>
        <w:spacing w:line="240" w:lineRule="auto" w:before="37" w:after="0"/>
        <w:ind w:left="1572" w:right="0" w:hanging="735"/>
        <w:jc w:val="left"/>
        <w:rPr>
          <w:sz w:val="21"/>
        </w:rPr>
      </w:pPr>
      <w:r>
        <w:rPr>
          <w:spacing w:val="-1"/>
          <w:sz w:val="21"/>
        </w:rPr>
        <w:t>重型再生障碍性贫血</w:t>
      </w:r>
    </w:p>
    <w:p>
      <w:pPr>
        <w:pStyle w:val="BodyText"/>
        <w:spacing w:line="273" w:lineRule="auto"/>
        <w:ind w:right="65"/>
      </w:pPr>
      <w:r>
        <w:rPr/>
        <w:t>指因骨髓造血功能慢性持续性衰竭导致的贫血、中性粒细胞减少及血小板减少。须满足下列全部条件：</w:t>
      </w:r>
    </w:p>
    <w:p>
      <w:pPr>
        <w:pStyle w:val="BodyText"/>
        <w:spacing w:before="7"/>
        <w:ind w:left="1253"/>
      </w:pPr>
      <w:r>
        <w:rPr/>
        <w:t>（1）骨髓穿刺检查或骨髓活检结果支持诊断；</w:t>
      </w:r>
    </w:p>
    <w:p>
      <w:pPr>
        <w:pStyle w:val="BodyText"/>
        <w:spacing w:before="36"/>
        <w:ind w:left="1253"/>
      </w:pPr>
      <w:r>
        <w:rPr/>
        <w:t>（2）外周血象须具备以下三项条件：</w:t>
      </w:r>
    </w:p>
    <w:p>
      <w:pPr>
        <w:pStyle w:val="BodyText"/>
        <w:spacing w:before="36"/>
        <w:ind w:left="756" w:right="3087"/>
        <w:jc w:val="center"/>
      </w:pPr>
      <w:r>
        <w:rPr/>
        <w:t>① 中性粒细胞绝对值≤0.6×10</w:t>
      </w:r>
      <w:r>
        <w:rPr>
          <w:position w:val="11"/>
          <w:sz w:val="11"/>
        </w:rPr>
        <w:t>9</w:t>
      </w:r>
      <w:r>
        <w:rPr/>
        <w:t>/L ；</w:t>
      </w:r>
    </w:p>
    <w:p>
      <w:pPr>
        <w:pStyle w:val="BodyText"/>
        <w:spacing w:before="36"/>
        <w:ind w:left="1395"/>
      </w:pPr>
      <w:r>
        <w:rPr/>
        <w:t>② 网织红细胞＜1%；</w:t>
      </w:r>
    </w:p>
    <w:p>
      <w:pPr>
        <w:pStyle w:val="BodyText"/>
        <w:spacing w:before="36"/>
        <w:ind w:left="1395"/>
      </w:pPr>
      <w:r>
        <w:rPr/>
        <w:t>③ 血小板绝对值≤20×10</w:t>
      </w:r>
      <w:r>
        <w:rPr>
          <w:position w:val="11"/>
          <w:sz w:val="11"/>
        </w:rPr>
        <w:t>9</w:t>
      </w:r>
      <w:r>
        <w:rPr/>
        <w:t>/L。</w:t>
      </w:r>
    </w:p>
    <w:p>
      <w:pPr>
        <w:pStyle w:val="ListParagraph"/>
        <w:numPr>
          <w:ilvl w:val="2"/>
          <w:numId w:val="5"/>
        </w:numPr>
        <w:tabs>
          <w:tab w:pos="1573" w:val="left" w:leader="none"/>
        </w:tabs>
        <w:spacing w:line="240" w:lineRule="auto" w:before="36" w:after="0"/>
        <w:ind w:left="1572" w:right="0" w:hanging="735"/>
        <w:jc w:val="left"/>
        <w:rPr>
          <w:sz w:val="21"/>
        </w:rPr>
      </w:pPr>
      <w:r>
        <w:rPr>
          <w:spacing w:val="-1"/>
          <w:sz w:val="21"/>
        </w:rPr>
        <w:t>主动脉手术</w:t>
      </w:r>
    </w:p>
    <w:p>
      <w:pPr>
        <w:spacing w:after="0" w:line="240" w:lineRule="auto"/>
        <w:jc w:val="left"/>
        <w:rPr>
          <w:sz w:val="21"/>
        </w:rPr>
        <w:sectPr>
          <w:pgSz w:w="11910" w:h="16840"/>
          <w:pgMar w:header="0" w:footer="1008" w:top="1400" w:bottom="1200" w:left="1680" w:right="1580"/>
        </w:sectPr>
      </w:pPr>
    </w:p>
    <w:p>
      <w:pPr>
        <w:pStyle w:val="BodyText"/>
        <w:spacing w:line="273" w:lineRule="auto" w:before="25"/>
        <w:ind w:right="110"/>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7"/>
        <w:jc w:val="both"/>
      </w:pPr>
      <w:r>
        <w:rPr/>
        <w:t>动脉内血管成形术不在保障范围内。</w:t>
      </w:r>
    </w:p>
    <w:p>
      <w:pPr>
        <w:pStyle w:val="ListParagraph"/>
        <w:numPr>
          <w:ilvl w:val="1"/>
          <w:numId w:val="6"/>
        </w:numPr>
        <w:tabs>
          <w:tab w:pos="1245" w:val="left" w:leader="none"/>
        </w:tabs>
        <w:spacing w:line="240" w:lineRule="auto" w:before="36" w:after="0"/>
        <w:ind w:left="1244" w:right="0" w:hanging="421"/>
        <w:jc w:val="left"/>
        <w:rPr>
          <w:sz w:val="21"/>
        </w:rPr>
      </w:pPr>
      <w:r>
        <w:rPr>
          <w:spacing w:val="-1"/>
          <w:sz w:val="21"/>
        </w:rPr>
        <w:t>本合同特有的重大疾病种类</w:t>
      </w:r>
    </w:p>
    <w:p>
      <w:pPr>
        <w:pStyle w:val="ListParagraph"/>
        <w:numPr>
          <w:ilvl w:val="2"/>
          <w:numId w:val="6"/>
        </w:numPr>
        <w:tabs>
          <w:tab w:pos="1469" w:val="left" w:leader="none"/>
        </w:tabs>
        <w:spacing w:line="240" w:lineRule="auto" w:before="36" w:after="0"/>
        <w:ind w:left="1468" w:right="0" w:hanging="631"/>
        <w:jc w:val="left"/>
        <w:rPr>
          <w:sz w:val="21"/>
        </w:rPr>
      </w:pPr>
      <w:r>
        <w:rPr>
          <w:spacing w:val="-1"/>
          <w:sz w:val="21"/>
        </w:rPr>
        <w:t>严重心肌病</w:t>
      </w:r>
    </w:p>
    <w:p>
      <w:pPr>
        <w:spacing w:line="273" w:lineRule="auto" w:before="36"/>
        <w:ind w:left="1196" w:right="107" w:firstLine="0"/>
        <w:jc w:val="both"/>
        <w:rPr>
          <w:sz w:val="21"/>
        </w:rPr>
      </w:pPr>
      <w:r>
        <w:rPr>
          <w:sz w:val="21"/>
        </w:rPr>
        <w:t>指被保险人经</w:t>
      </w:r>
      <w:r>
        <w:rPr>
          <w:b/>
          <w:sz w:val="21"/>
        </w:rPr>
        <w:t>医院</w:t>
      </w:r>
      <w:r>
        <w:rPr>
          <w:sz w:val="21"/>
        </w:rPr>
        <w:t>的心脏专科医生确诊被保险人因各种病因而出现的心室功能障碍而使其出现明显的心功能衰竭(至少达</w:t>
      </w:r>
      <w:r>
        <w:rPr>
          <w:b/>
          <w:sz w:val="21"/>
        </w:rPr>
        <w:t>纽约心脏病协会分类标准心功能四级（</w:t>
      </w:r>
      <w:r>
        <w:rPr>
          <w:sz w:val="21"/>
        </w:rPr>
        <w:t>见</w:t>
      </w:r>
      <w:r>
        <w:rPr>
          <w:b/>
          <w:sz w:val="21"/>
        </w:rPr>
        <w:t>6.3.5)</w:t>
      </w:r>
      <w:r>
        <w:rPr>
          <w:sz w:val="21"/>
        </w:rPr>
        <w:t>）。本保障范围内的心肌病包括扩张型心肌病、肥厚型心肌病及限制型心肌病。</w:t>
      </w:r>
    </w:p>
    <w:p>
      <w:pPr>
        <w:pStyle w:val="BodyText"/>
        <w:spacing w:before="7"/>
        <w:jc w:val="both"/>
      </w:pPr>
      <w:r>
        <w:rPr/>
        <w:t>继发于酒精滥用性的心肌病不在此保障范围之内。</w:t>
      </w:r>
    </w:p>
    <w:p>
      <w:pPr>
        <w:pStyle w:val="ListParagraph"/>
        <w:numPr>
          <w:ilvl w:val="2"/>
          <w:numId w:val="6"/>
        </w:numPr>
        <w:tabs>
          <w:tab w:pos="1469" w:val="left" w:leader="none"/>
        </w:tabs>
        <w:spacing w:line="240" w:lineRule="auto" w:before="37" w:after="0"/>
        <w:ind w:left="1468" w:right="0" w:hanging="631"/>
        <w:jc w:val="left"/>
        <w:rPr>
          <w:sz w:val="21"/>
        </w:rPr>
      </w:pPr>
      <w:r>
        <w:rPr>
          <w:spacing w:val="-1"/>
          <w:sz w:val="21"/>
        </w:rPr>
        <w:t>肌营养不良症</w:t>
      </w:r>
    </w:p>
    <w:p>
      <w:pPr>
        <w:pStyle w:val="BodyText"/>
        <w:spacing w:line="273" w:lineRule="auto"/>
        <w:ind w:right="107"/>
        <w:jc w:val="both"/>
      </w:pPr>
      <w:r>
        <w:rPr/>
        <w:t>是一组遗传性肌肉病变,临床特征为与神经系统无关的肌肉无力和肌肉萎缩。该疾病诊断需由神经内科主任级医师确诊,并提供肌电图显示有典型肌营养不良症阳性改变的证据及符合肌营养不良症的肌肉细胞变性、坏死等阳性改变的肌肉活检的病理学报告。须满足自主生活能力完全丧失，无法独立完成六项基本日常生活活动中的三项或三项以上的条件。</w:t>
      </w:r>
    </w:p>
    <w:p>
      <w:pPr>
        <w:pStyle w:val="BodyText"/>
        <w:spacing w:before="7"/>
        <w:jc w:val="both"/>
      </w:pPr>
      <w:r>
        <w:rPr/>
        <w:t>本合同责任免除中的遗传性疾病规定，不适用于本项疾病。</w:t>
      </w:r>
    </w:p>
    <w:p>
      <w:pPr>
        <w:pStyle w:val="ListParagraph"/>
        <w:numPr>
          <w:ilvl w:val="2"/>
          <w:numId w:val="6"/>
        </w:numPr>
        <w:tabs>
          <w:tab w:pos="1469" w:val="left" w:leader="none"/>
        </w:tabs>
        <w:spacing w:line="240" w:lineRule="auto" w:before="36" w:after="0"/>
        <w:ind w:left="1468" w:right="0" w:hanging="631"/>
        <w:jc w:val="left"/>
        <w:rPr>
          <w:sz w:val="21"/>
        </w:rPr>
      </w:pPr>
      <w:r>
        <w:rPr>
          <w:spacing w:val="-1"/>
          <w:sz w:val="21"/>
        </w:rPr>
        <w:t>终末期肺病</w:t>
      </w:r>
    </w:p>
    <w:p>
      <w:pPr>
        <w:pStyle w:val="BodyText"/>
        <w:spacing w:line="273" w:lineRule="auto" w:before="36"/>
        <w:ind w:right="110"/>
        <w:jc w:val="both"/>
      </w:pPr>
      <w:r>
        <w:rPr/>
        <w:t>指被保险人必须经医院的呼吸科专科医生确诊患有终末期肺病而出现慢性呼吸功能衰竭，其诊断标准包括以下各项：</w:t>
      </w:r>
    </w:p>
    <w:p>
      <w:pPr>
        <w:pStyle w:val="BodyText"/>
        <w:spacing w:before="7"/>
        <w:ind w:left="1254"/>
        <w:jc w:val="both"/>
      </w:pPr>
      <w:r>
        <w:rPr/>
        <w:t>（1）肺功能测试其FEV1持续低于1升；</w:t>
      </w:r>
    </w:p>
    <w:p>
      <w:pPr>
        <w:pStyle w:val="BodyText"/>
        <w:ind w:left="1254"/>
        <w:jc w:val="both"/>
      </w:pPr>
      <w:r>
        <w:rPr/>
        <w:t>（2）病人血氧不足必须持续地进行输氧治疗；</w:t>
      </w:r>
    </w:p>
    <w:p>
      <w:pPr>
        <w:pStyle w:val="BodyText"/>
        <w:ind w:left="1254"/>
        <w:jc w:val="both"/>
      </w:pPr>
      <w:r>
        <w:rPr/>
        <w:t>（3）动脉血气分析氧分压等于或低于55mmHg；</w:t>
      </w:r>
    </w:p>
    <w:p>
      <w:pPr>
        <w:pStyle w:val="BodyText"/>
        <w:ind w:left="1254"/>
        <w:jc w:val="both"/>
      </w:pPr>
      <w:r>
        <w:rPr/>
        <w:t>（4）休息时出现呼吸困难。</w:t>
      </w:r>
    </w:p>
    <w:p>
      <w:pPr>
        <w:pStyle w:val="ListParagraph"/>
        <w:numPr>
          <w:ilvl w:val="2"/>
          <w:numId w:val="6"/>
        </w:numPr>
        <w:tabs>
          <w:tab w:pos="1469" w:val="left" w:leader="none"/>
        </w:tabs>
        <w:spacing w:line="240" w:lineRule="auto" w:before="37" w:after="0"/>
        <w:ind w:left="1468" w:right="0" w:hanging="631"/>
        <w:jc w:val="left"/>
        <w:rPr>
          <w:sz w:val="21"/>
        </w:rPr>
      </w:pPr>
      <w:r>
        <w:rPr>
          <w:spacing w:val="-1"/>
          <w:sz w:val="21"/>
        </w:rPr>
        <w:t>多发性硬化症</w:t>
      </w:r>
    </w:p>
    <w:p>
      <w:pPr>
        <w:pStyle w:val="BodyText"/>
        <w:spacing w:line="273" w:lineRule="auto"/>
        <w:ind w:right="107"/>
        <w:jc w:val="both"/>
      </w:pPr>
      <w:r>
        <w:rPr/>
        <w:t>指被保险人因脑及脊髓内的脱髓鞘病变而出现的时间超过至少6个月以上的神经系统多部位的病变。该病必须经医院的神经科专科医生确诊，并且有神经系统一次以上的发作，而出现有永久性损害的证据，包括累及视神经、脑干、脊髓，出现有共济失调或感觉障碍。</w:t>
      </w:r>
    </w:p>
    <w:p>
      <w:pPr>
        <w:pStyle w:val="ListParagraph"/>
        <w:numPr>
          <w:ilvl w:val="2"/>
          <w:numId w:val="6"/>
        </w:numPr>
        <w:tabs>
          <w:tab w:pos="1469" w:val="left" w:leader="none"/>
        </w:tabs>
        <w:spacing w:line="240" w:lineRule="auto" w:before="8" w:after="0"/>
        <w:ind w:left="1468" w:right="0" w:hanging="631"/>
        <w:jc w:val="left"/>
        <w:rPr>
          <w:sz w:val="21"/>
        </w:rPr>
      </w:pPr>
      <w:r>
        <w:rPr>
          <w:spacing w:val="-1"/>
          <w:sz w:val="21"/>
        </w:rPr>
        <w:t>严重类风湿性关节炎</w:t>
      </w:r>
    </w:p>
    <w:p>
      <w:pPr>
        <w:pStyle w:val="BodyText"/>
        <w:spacing w:line="273" w:lineRule="auto"/>
        <w:ind w:right="110"/>
        <w:jc w:val="both"/>
      </w:pPr>
      <w:r>
        <w:rPr/>
        <w:t>指广泛的关节损坏,临床上存在三个或三个以上下列关节的畸形:手、腕、肘、颈椎、膝、踝、或足部跖趾关节。须满足自主生活能力完全丧失，无法独立完成六项基本日常生活活动中的三项或三项以上的条件。</w:t>
      </w:r>
    </w:p>
    <w:p>
      <w:pPr>
        <w:pStyle w:val="BodyText"/>
        <w:spacing w:before="7"/>
        <w:jc w:val="both"/>
      </w:pPr>
      <w:r>
        <w:rPr/>
        <w:t>上述畸形及功能异常须持续至少达180天。</w:t>
      </w:r>
    </w:p>
    <w:p>
      <w:pPr>
        <w:pStyle w:val="ListParagraph"/>
        <w:numPr>
          <w:ilvl w:val="2"/>
          <w:numId w:val="6"/>
        </w:numPr>
        <w:tabs>
          <w:tab w:pos="1468" w:val="left" w:leader="none"/>
        </w:tabs>
        <w:spacing w:line="240" w:lineRule="auto" w:before="36" w:after="0"/>
        <w:ind w:left="1467" w:right="0" w:hanging="630"/>
        <w:jc w:val="left"/>
        <w:rPr>
          <w:sz w:val="21"/>
        </w:rPr>
      </w:pPr>
      <w:r>
        <w:rPr>
          <w:spacing w:val="-1"/>
          <w:sz w:val="21"/>
        </w:rPr>
        <w:t>经输血导致的人类免疫缺陷病毒感染</w:t>
      </w:r>
    </w:p>
    <w:p>
      <w:pPr>
        <w:pStyle w:val="BodyText"/>
        <w:spacing w:line="273" w:lineRule="auto" w:before="36"/>
        <w:ind w:right="110"/>
        <w:jc w:val="both"/>
      </w:pPr>
      <w:r>
        <w:rPr/>
        <w:t>指在有权从事输血治疗的正规医疗机构接受输血服务而被输入感染的血液或血制品。血清出现艾滋病病毒感染必须发生在接受输血后6个月内。</w:t>
      </w:r>
    </w:p>
    <w:p>
      <w:pPr>
        <w:pStyle w:val="ListParagraph"/>
        <w:numPr>
          <w:ilvl w:val="2"/>
          <w:numId w:val="6"/>
        </w:numPr>
        <w:tabs>
          <w:tab w:pos="1469" w:val="left" w:leader="none"/>
        </w:tabs>
        <w:spacing w:line="240" w:lineRule="auto" w:before="7" w:after="0"/>
        <w:ind w:left="1468" w:right="0" w:hanging="631"/>
        <w:jc w:val="left"/>
        <w:rPr>
          <w:sz w:val="21"/>
        </w:rPr>
      </w:pPr>
      <w:r>
        <w:rPr>
          <w:spacing w:val="-1"/>
          <w:sz w:val="21"/>
        </w:rPr>
        <w:t>系统性红斑狼疮伴肾炎</w:t>
      </w:r>
    </w:p>
    <w:p>
      <w:pPr>
        <w:pStyle w:val="BodyText"/>
        <w:spacing w:line="273" w:lineRule="auto"/>
        <w:ind w:right="110"/>
        <w:jc w:val="both"/>
      </w:pPr>
      <w:r>
        <w:rPr/>
        <w:t>指以产生多种自身抗体，并由免疫反应介导的炎症为特征的自身免疫性疾病。系统性红斑狼疮的诊断必须有医院合格的免疫学专科医生依据作出。</w:t>
      </w:r>
    </w:p>
    <w:p>
      <w:pPr>
        <w:spacing w:line="273" w:lineRule="auto" w:before="8"/>
        <w:ind w:left="1196" w:right="110" w:firstLine="0"/>
        <w:jc w:val="both"/>
        <w:rPr>
          <w:sz w:val="21"/>
        </w:rPr>
      </w:pPr>
      <w:r>
        <w:rPr>
          <w:sz w:val="21"/>
        </w:rPr>
        <w:t>本合同所保障的系统性红斑狼疮仅限于累及肾脏的状况，且经肾脏活检确认， </w:t>
      </w:r>
      <w:r>
        <w:rPr>
          <w:w w:val="95"/>
          <w:sz w:val="21"/>
        </w:rPr>
        <w:t>符合</w:t>
      </w:r>
      <w:r>
        <w:rPr>
          <w:b/>
          <w:spacing w:val="-1"/>
          <w:w w:val="95"/>
          <w:sz w:val="21"/>
        </w:rPr>
        <w:t>世界卫生组织关于狼疮性肾炎诊断标准</w:t>
      </w:r>
      <w:r>
        <w:rPr>
          <w:b/>
          <w:w w:val="95"/>
          <w:sz w:val="21"/>
        </w:rPr>
        <w:t>（</w:t>
      </w:r>
      <w:r>
        <w:rPr>
          <w:w w:val="95"/>
          <w:sz w:val="21"/>
        </w:rPr>
        <w:t>见</w:t>
      </w:r>
      <w:r>
        <w:rPr>
          <w:b/>
          <w:w w:val="95"/>
          <w:sz w:val="21"/>
        </w:rPr>
        <w:t>6.3.6）</w:t>
      </w:r>
      <w:r>
        <w:rPr>
          <w:spacing w:val="-2"/>
          <w:w w:val="95"/>
          <w:sz w:val="21"/>
        </w:rPr>
        <w:t>第三型至第四型，并伴  </w:t>
      </w:r>
      <w:r>
        <w:rPr>
          <w:spacing w:val="-1"/>
          <w:sz w:val="21"/>
        </w:rPr>
        <w:t>有持续性蛋白尿</w:t>
      </w:r>
      <w:r>
        <w:rPr>
          <w:sz w:val="21"/>
        </w:rPr>
        <w:t>（尿蛋白++以上）。</w:t>
      </w:r>
    </w:p>
    <w:p>
      <w:pPr>
        <w:spacing w:after="0" w:line="273" w:lineRule="auto"/>
        <w:jc w:val="both"/>
        <w:rPr>
          <w:sz w:val="21"/>
        </w:rPr>
        <w:sectPr>
          <w:pgSz w:w="11910" w:h="16840"/>
          <w:pgMar w:header="0" w:footer="1008" w:top="1400" w:bottom="1200" w:left="1680" w:right="1680"/>
        </w:sectPr>
      </w:pPr>
    </w:p>
    <w:p>
      <w:pPr>
        <w:pStyle w:val="BodyText"/>
        <w:spacing w:line="273" w:lineRule="auto" w:before="25"/>
        <w:ind w:right="210"/>
      </w:pPr>
      <w:r>
        <w:rPr/>
        <w:t>系统性红斑狼疮的诊断依据国际普遍认可的美国风湿病学会所修订的最新诊断标准。</w:t>
      </w:r>
    </w:p>
    <w:p>
      <w:pPr>
        <w:pStyle w:val="ListParagraph"/>
        <w:numPr>
          <w:ilvl w:val="1"/>
          <w:numId w:val="7"/>
        </w:numPr>
        <w:tabs>
          <w:tab w:pos="1193" w:val="left" w:leader="none"/>
        </w:tabs>
        <w:spacing w:line="240" w:lineRule="auto" w:before="7" w:after="0"/>
        <w:ind w:left="1192" w:right="0" w:hanging="369"/>
        <w:jc w:val="left"/>
        <w:rPr>
          <w:sz w:val="21"/>
        </w:rPr>
      </w:pPr>
      <w:r>
        <w:rPr>
          <w:spacing w:val="-1"/>
          <w:sz w:val="21"/>
        </w:rPr>
        <w:t>重大疾病术语释义</w:t>
      </w:r>
    </w:p>
    <w:p>
      <w:pPr>
        <w:pStyle w:val="ListParagraph"/>
        <w:numPr>
          <w:ilvl w:val="2"/>
          <w:numId w:val="7"/>
        </w:numPr>
        <w:tabs>
          <w:tab w:pos="1469" w:val="left" w:leader="none"/>
        </w:tabs>
        <w:spacing w:line="240" w:lineRule="auto" w:before="36" w:after="0"/>
        <w:ind w:left="1196" w:right="0" w:hanging="359"/>
        <w:jc w:val="left"/>
        <w:rPr>
          <w:sz w:val="21"/>
        </w:rPr>
      </w:pPr>
      <w:r>
        <w:rPr>
          <w:spacing w:val="-1"/>
          <w:sz w:val="21"/>
        </w:rPr>
        <w:t>肢体机能完全丧失</w:t>
      </w:r>
    </w:p>
    <w:p>
      <w:pPr>
        <w:pStyle w:val="BodyText"/>
        <w:spacing w:line="273" w:lineRule="auto" w:before="36"/>
        <w:ind w:right="210"/>
      </w:pPr>
      <w:r>
        <w:rPr/>
        <w:t>指肢体的三大关节中的两大关节僵硬，或不能随意识活动。肢体是指包括肩关节的整个上肢或包括髋关节的整个下肢。</w:t>
      </w:r>
    </w:p>
    <w:p>
      <w:pPr>
        <w:pStyle w:val="ListParagraph"/>
        <w:numPr>
          <w:ilvl w:val="2"/>
          <w:numId w:val="7"/>
        </w:numPr>
        <w:tabs>
          <w:tab w:pos="1416" w:val="left" w:leader="none"/>
        </w:tabs>
        <w:spacing w:line="240" w:lineRule="auto" w:before="7" w:after="0"/>
        <w:ind w:left="1415" w:right="0" w:hanging="578"/>
        <w:jc w:val="left"/>
        <w:rPr>
          <w:sz w:val="21"/>
        </w:rPr>
      </w:pPr>
      <w:r>
        <w:rPr>
          <w:spacing w:val="-1"/>
          <w:sz w:val="21"/>
        </w:rPr>
        <w:t>语言能力或咀嚼吞咽能力完全丧失</w:t>
      </w:r>
    </w:p>
    <w:p>
      <w:pPr>
        <w:pStyle w:val="BodyText"/>
        <w:spacing w:line="273" w:lineRule="auto"/>
        <w:ind w:right="106"/>
      </w:pPr>
      <w:r>
        <w:rPr/>
        <w:t>语言能力完全丧失，指无法发出四种语音（包括口唇音、齿舌音、口盖音和喉头音</w:t>
      </w:r>
      <w:r>
        <w:rPr>
          <w:spacing w:val="-4"/>
        </w:rPr>
        <w:t>）</w:t>
      </w:r>
      <w:r>
        <w:rPr>
          <w:spacing w:val="-2"/>
        </w:rPr>
        <w:t>中的任何三种、或声带全部切除，或因大脑语言中枢受伤害而患失语症。咀嚼吞咽能力完全丧失，指因牙齿以外的原因导致器质障碍或机能障碍，以致</w:t>
      </w:r>
      <w:r>
        <w:rPr>
          <w:spacing w:val="-1"/>
        </w:rPr>
        <w:t>不能作咀嚼吞咽运动，除流质食物外不能摄取或吞咽的状态。</w:t>
      </w:r>
    </w:p>
    <w:p>
      <w:pPr>
        <w:pStyle w:val="ListParagraph"/>
        <w:numPr>
          <w:ilvl w:val="2"/>
          <w:numId w:val="7"/>
        </w:numPr>
        <w:tabs>
          <w:tab w:pos="1416" w:val="left" w:leader="none"/>
        </w:tabs>
        <w:spacing w:line="240" w:lineRule="auto" w:before="7" w:after="0"/>
        <w:ind w:left="1415" w:right="0" w:hanging="578"/>
        <w:jc w:val="left"/>
        <w:rPr>
          <w:sz w:val="21"/>
        </w:rPr>
      </w:pPr>
      <w:r>
        <w:rPr>
          <w:spacing w:val="-1"/>
          <w:sz w:val="21"/>
        </w:rPr>
        <w:t>六项基本日常生活活动</w:t>
      </w:r>
    </w:p>
    <w:p>
      <w:pPr>
        <w:pStyle w:val="BodyText"/>
        <w:spacing w:before="36"/>
        <w:ind w:left="1255"/>
      </w:pPr>
      <w:r>
        <w:rPr/>
        <w:t>（1）穿衣：自己能够穿衣及脱衣；</w:t>
      </w:r>
    </w:p>
    <w:p>
      <w:pPr>
        <w:pStyle w:val="BodyText"/>
        <w:spacing w:before="36"/>
        <w:ind w:left="1255"/>
      </w:pPr>
      <w:r>
        <w:rPr/>
        <w:t>（2）移动：自己从一个房间到另一个房间；</w:t>
      </w:r>
    </w:p>
    <w:p>
      <w:pPr>
        <w:pStyle w:val="BodyText"/>
        <w:spacing w:before="36"/>
        <w:ind w:left="1255"/>
      </w:pPr>
      <w:r>
        <w:rPr/>
        <w:t>（3）行动：自己上下床或上下轮椅；</w:t>
      </w:r>
    </w:p>
    <w:p>
      <w:pPr>
        <w:pStyle w:val="BodyText"/>
        <w:spacing w:before="36"/>
        <w:ind w:left="1255"/>
      </w:pPr>
      <w:r>
        <w:rPr/>
        <w:t>（4）如厕：自己控制进行大小便；</w:t>
      </w:r>
    </w:p>
    <w:p>
      <w:pPr>
        <w:pStyle w:val="BodyText"/>
        <w:spacing w:before="36"/>
        <w:ind w:left="1255"/>
      </w:pPr>
      <w:r>
        <w:rPr/>
        <w:t>（5）进食：自己从已准备好的碗或碟中取食物放入口中；</w:t>
      </w:r>
    </w:p>
    <w:p>
      <w:pPr>
        <w:pStyle w:val="BodyText"/>
        <w:spacing w:before="36"/>
        <w:ind w:left="1255"/>
      </w:pPr>
      <w:r>
        <w:rPr/>
        <w:t>（6）洗澡：自己进行淋浴或盆浴。</w:t>
      </w:r>
    </w:p>
    <w:p>
      <w:pPr>
        <w:pStyle w:val="ListParagraph"/>
        <w:numPr>
          <w:ilvl w:val="2"/>
          <w:numId w:val="7"/>
        </w:numPr>
        <w:tabs>
          <w:tab w:pos="1416" w:val="left" w:leader="none"/>
        </w:tabs>
        <w:spacing w:line="240" w:lineRule="auto" w:before="36" w:after="0"/>
        <w:ind w:left="1415" w:right="0" w:hanging="578"/>
        <w:jc w:val="left"/>
        <w:rPr>
          <w:sz w:val="21"/>
        </w:rPr>
      </w:pPr>
      <w:r>
        <w:rPr>
          <w:spacing w:val="-1"/>
          <w:sz w:val="21"/>
        </w:rPr>
        <w:t>永久不可逆</w:t>
      </w:r>
    </w:p>
    <w:p>
      <w:pPr>
        <w:pStyle w:val="BodyText"/>
        <w:spacing w:line="273" w:lineRule="auto" w:before="36"/>
        <w:ind w:right="170"/>
      </w:pPr>
      <w:r>
        <w:rPr/>
        <w:t>指自疾病确诊或意外伤害发生之日起，经过积极治疗180天后，仍无法通过现有医疗手段恢复。</w:t>
      </w:r>
    </w:p>
    <w:p>
      <w:pPr>
        <w:pStyle w:val="ListParagraph"/>
        <w:numPr>
          <w:ilvl w:val="2"/>
          <w:numId w:val="7"/>
        </w:numPr>
        <w:tabs>
          <w:tab w:pos="1416" w:val="left" w:leader="none"/>
        </w:tabs>
        <w:spacing w:line="240" w:lineRule="auto" w:before="7" w:after="0"/>
        <w:ind w:left="1415" w:right="0" w:hanging="578"/>
        <w:jc w:val="left"/>
        <w:rPr>
          <w:sz w:val="21"/>
        </w:rPr>
      </w:pPr>
      <w:r>
        <w:rPr>
          <w:spacing w:val="-1"/>
          <w:sz w:val="21"/>
        </w:rPr>
        <w:t>纽约心脏病协会分类标准心功能四级</w:t>
      </w:r>
    </w:p>
    <w:p>
      <w:pPr>
        <w:pStyle w:val="BodyText"/>
        <w:spacing w:line="273" w:lineRule="auto"/>
        <w:ind w:right="210"/>
      </w:pPr>
      <w:r>
        <w:rPr/>
        <w:t>指尽管病人已进行了药物治疗及饮食调节，但其在日常活动中仍出现心衰的症状，并且体检及实验室检查显示有心功能异常的证据。</w:t>
      </w:r>
    </w:p>
    <w:p>
      <w:pPr>
        <w:pStyle w:val="ListParagraph"/>
        <w:numPr>
          <w:ilvl w:val="2"/>
          <w:numId w:val="7"/>
        </w:numPr>
        <w:tabs>
          <w:tab w:pos="1416" w:val="left" w:leader="none"/>
        </w:tabs>
        <w:spacing w:line="273" w:lineRule="auto" w:before="7" w:after="0"/>
        <w:ind w:left="1196" w:right="3657" w:hanging="359"/>
        <w:jc w:val="left"/>
        <w:rPr>
          <w:sz w:val="21"/>
        </w:rPr>
      </w:pPr>
      <w:r>
        <w:rPr>
          <w:sz w:val="21"/>
        </w:rPr>
        <w:t>世界卫生组织关于狼疮性肾炎诊断标准</w:t>
      </w:r>
      <w:r>
        <w:rPr>
          <w:spacing w:val="-1"/>
          <w:sz w:val="21"/>
        </w:rPr>
        <w:t>第一型 微小病变型狼疮性肾炎</w:t>
      </w:r>
    </w:p>
    <w:p>
      <w:pPr>
        <w:pStyle w:val="BodyText"/>
        <w:spacing w:before="7"/>
      </w:pPr>
      <w:r>
        <w:rPr/>
        <w:t>第二型 系膜增生型狼疮性肾炎</w:t>
      </w:r>
    </w:p>
    <w:p>
      <w:pPr>
        <w:pStyle w:val="BodyText"/>
        <w:spacing w:line="273" w:lineRule="auto"/>
        <w:ind w:right="4191"/>
      </w:pPr>
      <w:r>
        <w:rPr/>
        <w:t>第三型 局灶节段增生型狼疮性肾炎第四型 弥漫增生型狼疮性肾炎</w:t>
      </w:r>
    </w:p>
    <w:p>
      <w:pPr>
        <w:pStyle w:val="BodyText"/>
        <w:spacing w:before="7"/>
      </w:pPr>
      <w:r>
        <w:rPr/>
        <w:t>第五型 膜型狼疮性肾炎。</w:t>
      </w:r>
    </w:p>
    <w:p>
      <w:pPr>
        <w:pStyle w:val="ListParagraph"/>
        <w:numPr>
          <w:ilvl w:val="0"/>
          <w:numId w:val="5"/>
        </w:numPr>
        <w:tabs>
          <w:tab w:pos="837" w:val="left" w:leader="none"/>
          <w:tab w:pos="838" w:val="left" w:leader="none"/>
        </w:tabs>
        <w:spacing w:line="240" w:lineRule="auto" w:before="36" w:after="0"/>
        <w:ind w:left="837" w:right="0" w:hanging="540"/>
        <w:jc w:val="left"/>
        <w:rPr>
          <w:sz w:val="21"/>
        </w:rPr>
      </w:pPr>
      <w:r>
        <w:rPr>
          <w:b/>
          <w:w w:val="95"/>
          <w:sz w:val="21"/>
        </w:rPr>
        <w:t>专科医生：</w:t>
      </w:r>
      <w:r>
        <w:rPr>
          <w:w w:val="95"/>
          <w:sz w:val="21"/>
        </w:rPr>
        <w:t>应当同时满足以下四项资格条件：</w:t>
      </w:r>
    </w:p>
    <w:p>
      <w:pPr>
        <w:pStyle w:val="BodyText"/>
        <w:spacing w:before="36"/>
        <w:ind w:left="853"/>
      </w:pPr>
      <w:r>
        <w:rPr/>
        <w:t>（1）具有有效的中华人民共和国《医师资格证书》；</w:t>
      </w:r>
    </w:p>
    <w:p>
      <w:pPr>
        <w:pStyle w:val="BodyText"/>
        <w:spacing w:before="36"/>
        <w:ind w:left="853"/>
      </w:pPr>
      <w:r>
        <w:rPr/>
        <w:t>（2）具有有效的中华人民共和国《医师执业证书》，并按期到相关部门登记注册；</w:t>
      </w:r>
    </w:p>
    <w:p>
      <w:pPr>
        <w:pStyle w:val="BodyText"/>
        <w:spacing w:before="36"/>
        <w:ind w:left="853"/>
      </w:pPr>
      <w:r>
        <w:rPr>
          <w:spacing w:val="-15"/>
        </w:rPr>
        <w:t>（3）</w:t>
      </w:r>
      <w:r>
        <w:rPr>
          <w:spacing w:val="-6"/>
        </w:rPr>
        <w:t>具有有效的中华人民共和国主治医师或主治医师以上职称的《医师职称证书》；</w:t>
      </w:r>
    </w:p>
    <w:p>
      <w:pPr>
        <w:pStyle w:val="BodyText"/>
        <w:spacing w:before="36"/>
        <w:ind w:left="853"/>
      </w:pPr>
      <w:r>
        <w:rPr/>
        <w:t>（4）在二级或二级以上医院的相应科室从事临床工作三年以上。</w:t>
      </w:r>
    </w:p>
    <w:p>
      <w:pPr>
        <w:pStyle w:val="ListParagraph"/>
        <w:numPr>
          <w:ilvl w:val="0"/>
          <w:numId w:val="5"/>
        </w:numPr>
        <w:tabs>
          <w:tab w:pos="838" w:val="left" w:leader="none"/>
        </w:tabs>
        <w:spacing w:line="273" w:lineRule="auto" w:before="36" w:after="0"/>
        <w:ind w:left="837" w:right="212" w:hanging="540"/>
        <w:jc w:val="both"/>
        <w:rPr>
          <w:sz w:val="21"/>
        </w:rPr>
      </w:pPr>
      <w:r>
        <w:rPr>
          <w:b/>
          <w:sz w:val="21"/>
        </w:rPr>
        <w:t>医院：</w:t>
      </w:r>
      <w:r>
        <w:rPr>
          <w:sz w:val="21"/>
        </w:rPr>
        <w:t>指本公司指定医院或国家卫生部医院等级分类中的二级或二级以上的医院， 但不包括主要作为康复、护理、疗养、戒酒、戒毒或相类似的医疗机构。</w:t>
      </w:r>
    </w:p>
    <w:p>
      <w:pPr>
        <w:pStyle w:val="ListParagraph"/>
        <w:numPr>
          <w:ilvl w:val="0"/>
          <w:numId w:val="5"/>
        </w:numPr>
        <w:tabs>
          <w:tab w:pos="838" w:val="left" w:leader="none"/>
        </w:tabs>
        <w:spacing w:line="273" w:lineRule="auto" w:before="7" w:after="0"/>
        <w:ind w:left="837" w:right="211" w:hanging="540"/>
        <w:jc w:val="both"/>
        <w:rPr>
          <w:sz w:val="21"/>
        </w:rPr>
      </w:pPr>
      <w:r>
        <w:rPr>
          <w:b/>
          <w:spacing w:val="-4"/>
          <w:sz w:val="21"/>
        </w:rPr>
        <w:t>毒品：</w:t>
      </w:r>
      <w:r>
        <w:rPr>
          <w:spacing w:val="-3"/>
          <w:sz w:val="21"/>
        </w:rPr>
        <w:t>指中华人民共和国刑法规定的鸦片、海洛因、甲基苯丙胺</w:t>
      </w:r>
      <w:r>
        <w:rPr>
          <w:sz w:val="21"/>
        </w:rPr>
        <w:t>（冰毒</w:t>
      </w:r>
      <w:r>
        <w:rPr>
          <w:spacing w:val="-105"/>
          <w:sz w:val="21"/>
        </w:rPr>
        <w:t>）</w:t>
      </w:r>
      <w:r>
        <w:rPr>
          <w:spacing w:val="-6"/>
          <w:sz w:val="21"/>
        </w:rPr>
        <w:t>、吗啡、大麻、可卡因以及国家规定管制的其他能够使人形成瘾癖的麻醉药品和精神药品。但不包括由医生开具并遵医嘱使用的用于治疗疾病但含有毒品成分的处方药品。</w:t>
      </w:r>
    </w:p>
    <w:p>
      <w:pPr>
        <w:pStyle w:val="ListParagraph"/>
        <w:numPr>
          <w:ilvl w:val="0"/>
          <w:numId w:val="5"/>
        </w:numPr>
        <w:tabs>
          <w:tab w:pos="838" w:val="left" w:leader="none"/>
        </w:tabs>
        <w:spacing w:line="273" w:lineRule="auto" w:before="7" w:after="0"/>
        <w:ind w:left="837" w:right="211" w:hanging="540"/>
        <w:jc w:val="both"/>
        <w:rPr>
          <w:sz w:val="21"/>
        </w:rPr>
      </w:pPr>
      <w:r>
        <w:rPr>
          <w:b/>
          <w:sz w:val="21"/>
        </w:rPr>
        <w:t>酒后驾驶：</w:t>
      </w:r>
      <w:r>
        <w:rPr>
          <w:sz w:val="21"/>
        </w:rPr>
        <w:t>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0"/>
          <w:numId w:val="5"/>
        </w:numPr>
        <w:tabs>
          <w:tab w:pos="837" w:val="left" w:leader="none"/>
          <w:tab w:pos="838" w:val="left" w:leader="none"/>
        </w:tabs>
        <w:spacing w:line="240" w:lineRule="auto" w:before="7" w:after="0"/>
        <w:ind w:left="837" w:right="0" w:hanging="540"/>
        <w:jc w:val="left"/>
        <w:rPr>
          <w:sz w:val="21"/>
        </w:rPr>
      </w:pPr>
      <w:r>
        <w:rPr>
          <w:b/>
          <w:spacing w:val="-1"/>
          <w:w w:val="95"/>
          <w:sz w:val="21"/>
        </w:rPr>
        <w:t>无合法有效驾驶证驾驶：</w:t>
      </w:r>
      <w:r>
        <w:rPr>
          <w:w w:val="95"/>
          <w:sz w:val="21"/>
        </w:rPr>
        <w:t>指下列情形之一：</w:t>
      </w:r>
    </w:p>
    <w:p>
      <w:pPr>
        <w:spacing w:after="0" w:line="240" w:lineRule="auto"/>
        <w:jc w:val="left"/>
        <w:rPr>
          <w:sz w:val="21"/>
        </w:rPr>
        <w:sectPr>
          <w:pgSz w:w="11910" w:h="16840"/>
          <w:pgMar w:header="0" w:footer="1008" w:top="1400" w:bottom="1200" w:left="1680" w:right="1580"/>
        </w:sectPr>
      </w:pPr>
    </w:p>
    <w:p>
      <w:pPr>
        <w:pStyle w:val="BodyText"/>
        <w:spacing w:before="25"/>
        <w:ind w:left="853"/>
      </w:pPr>
      <w:r>
        <w:rPr/>
        <w:t>（1）没有取得驾驶资格；</w:t>
      </w:r>
    </w:p>
    <w:p>
      <w:pPr>
        <w:pStyle w:val="BodyText"/>
        <w:ind w:left="853"/>
      </w:pPr>
      <w:r>
        <w:rPr/>
        <w:t>（2）驾驶与驾驶证准驾车型不相符合的车辆；</w:t>
      </w:r>
    </w:p>
    <w:p>
      <w:pPr>
        <w:pStyle w:val="BodyText"/>
        <w:ind w:left="853"/>
      </w:pPr>
      <w:r>
        <w:rPr/>
        <w:t>（3）持审验不合格的驾驶证驾驶；</w:t>
      </w:r>
    </w:p>
    <w:p>
      <w:pPr>
        <w:pStyle w:val="BodyText"/>
        <w:ind w:left="853"/>
      </w:pPr>
      <w:r>
        <w:rPr>
          <w:spacing w:val="-22"/>
        </w:rPr>
        <w:t>（4）</w:t>
      </w:r>
      <w:r>
        <w:rPr>
          <w:spacing w:val="-9"/>
        </w:rPr>
        <w:t>持学习驾驶证学习驾车时，无教练员随车指导，或不按指定时间路线学习驾车。</w:t>
      </w:r>
    </w:p>
    <w:p>
      <w:pPr>
        <w:pStyle w:val="ListParagraph"/>
        <w:numPr>
          <w:ilvl w:val="0"/>
          <w:numId w:val="5"/>
        </w:numPr>
        <w:tabs>
          <w:tab w:pos="837" w:val="left" w:leader="none"/>
          <w:tab w:pos="838" w:val="left" w:leader="none"/>
        </w:tabs>
        <w:spacing w:line="240" w:lineRule="auto" w:before="37" w:after="0"/>
        <w:ind w:left="837" w:right="0" w:hanging="539"/>
        <w:jc w:val="left"/>
        <w:rPr>
          <w:sz w:val="21"/>
        </w:rPr>
      </w:pPr>
      <w:r>
        <w:rPr>
          <w:b/>
          <w:w w:val="95"/>
          <w:sz w:val="21"/>
        </w:rPr>
        <w:t>无有效行驶证：</w:t>
      </w:r>
      <w:r>
        <w:rPr>
          <w:w w:val="95"/>
          <w:sz w:val="21"/>
        </w:rPr>
        <w:t>指下列情形之一：</w:t>
      </w:r>
    </w:p>
    <w:p>
      <w:pPr>
        <w:pStyle w:val="BodyText"/>
        <w:ind w:left="853"/>
      </w:pPr>
      <w:r>
        <w:rPr/>
        <w:t>（1）没有机动车行驶证；</w:t>
      </w:r>
    </w:p>
    <w:p>
      <w:pPr>
        <w:pStyle w:val="BodyText"/>
        <w:ind w:left="853"/>
      </w:pPr>
      <w:r>
        <w:rPr/>
        <w:t>（2）未在法律规定期限内按时进行或通过安全技术检验。</w:t>
      </w:r>
    </w:p>
    <w:p>
      <w:pPr>
        <w:pStyle w:val="ListParagraph"/>
        <w:numPr>
          <w:ilvl w:val="0"/>
          <w:numId w:val="5"/>
        </w:numPr>
        <w:tabs>
          <w:tab w:pos="838" w:val="left" w:leader="none"/>
        </w:tabs>
        <w:spacing w:line="273" w:lineRule="auto" w:before="37" w:after="0"/>
        <w:ind w:left="837" w:right="211" w:hanging="540"/>
        <w:jc w:val="both"/>
        <w:rPr>
          <w:sz w:val="21"/>
        </w:rPr>
      </w:pPr>
      <w:r>
        <w:rPr>
          <w:b/>
          <w:spacing w:val="-6"/>
          <w:sz w:val="21"/>
        </w:rPr>
        <w:t>先天性疾病、先天性畸形：</w:t>
      </w:r>
      <w:r>
        <w:rPr>
          <w:spacing w:val="-2"/>
          <w:sz w:val="21"/>
        </w:rPr>
        <w:t>指被保险人一出生时就具有的疾病</w:t>
      </w:r>
      <w:r>
        <w:rPr>
          <w:sz w:val="21"/>
        </w:rPr>
        <w:t>（病症或体征</w:t>
      </w:r>
      <w:r>
        <w:rPr>
          <w:spacing w:val="-105"/>
          <w:sz w:val="21"/>
        </w:rPr>
        <w:t>）</w:t>
      </w:r>
      <w:r>
        <w:rPr>
          <w:spacing w:val="-8"/>
          <w:sz w:val="21"/>
        </w:rPr>
        <w:t>。这些疾病是指因人的遗传物质（包括染色体以及位于其中的基因）发生了对人体有害的改变而引起的，或因母亲怀孕期间受到内外环境中某些物理、化学和生物等因素的作用，使胎儿局部体细胞发育不正常，导致婴儿出生时有关器官、系统在形态或功能上呈现异常。</w:t>
      </w:r>
    </w:p>
    <w:p>
      <w:pPr>
        <w:pStyle w:val="ListParagraph"/>
        <w:numPr>
          <w:ilvl w:val="0"/>
          <w:numId w:val="5"/>
        </w:numPr>
        <w:tabs>
          <w:tab w:pos="837" w:val="left" w:leader="none"/>
          <w:tab w:pos="838" w:val="left" w:leader="none"/>
        </w:tabs>
        <w:spacing w:line="273" w:lineRule="auto" w:before="7" w:after="0"/>
        <w:ind w:left="837" w:right="107" w:hanging="540"/>
        <w:jc w:val="left"/>
        <w:rPr>
          <w:sz w:val="21"/>
        </w:rPr>
      </w:pPr>
      <w:r>
        <w:rPr>
          <w:b/>
          <w:spacing w:val="-13"/>
          <w:sz w:val="21"/>
        </w:rPr>
        <w:t>遗传性疾病：</w:t>
      </w:r>
      <w:r>
        <w:rPr>
          <w:sz w:val="21"/>
        </w:rPr>
        <w:t>指由人体生殖细胞或受精卵的遗传物质异常或发生改变而引起的疾病， 可以从亲代传至后代，即指单基因遗传病及染色体病。</w:t>
      </w:r>
    </w:p>
    <w:p>
      <w:pPr>
        <w:pStyle w:val="ListParagraph"/>
        <w:numPr>
          <w:ilvl w:val="0"/>
          <w:numId w:val="5"/>
        </w:numPr>
        <w:tabs>
          <w:tab w:pos="837" w:val="left" w:leader="none"/>
          <w:tab w:pos="838" w:val="left" w:leader="none"/>
        </w:tabs>
        <w:spacing w:line="240" w:lineRule="auto" w:before="7" w:after="0"/>
        <w:ind w:left="837" w:right="0" w:hanging="540"/>
        <w:jc w:val="left"/>
        <w:rPr>
          <w:sz w:val="21"/>
        </w:rPr>
      </w:pPr>
      <w:r>
        <w:rPr>
          <w:b/>
          <w:spacing w:val="-4"/>
          <w:w w:val="95"/>
          <w:sz w:val="21"/>
        </w:rPr>
        <w:t>潜水：</w:t>
      </w:r>
      <w:r>
        <w:rPr>
          <w:spacing w:val="-5"/>
          <w:w w:val="95"/>
          <w:sz w:val="21"/>
        </w:rPr>
        <w:t>指使用辅助呼吸器材在江、河、湖、海、水库、运河等水域进行的水下运动。</w:t>
      </w:r>
    </w:p>
    <w:p>
      <w:pPr>
        <w:pStyle w:val="ListParagraph"/>
        <w:numPr>
          <w:ilvl w:val="0"/>
          <w:numId w:val="5"/>
        </w:numPr>
        <w:tabs>
          <w:tab w:pos="837" w:val="left" w:leader="none"/>
          <w:tab w:pos="838" w:val="left" w:leader="none"/>
        </w:tabs>
        <w:spacing w:line="240" w:lineRule="auto" w:before="37" w:after="0"/>
        <w:ind w:left="837" w:right="0" w:hanging="540"/>
        <w:jc w:val="left"/>
        <w:rPr>
          <w:sz w:val="21"/>
        </w:rPr>
      </w:pPr>
      <w:r>
        <w:rPr>
          <w:b/>
          <w:w w:val="95"/>
          <w:sz w:val="21"/>
        </w:rPr>
        <w:t>攀岩：</w:t>
      </w:r>
      <w:r>
        <w:rPr>
          <w:w w:val="95"/>
          <w:sz w:val="21"/>
        </w:rPr>
        <w:t>指攀登悬崖、楼宇外墙、人造悬崖、冰崖、冰ft等运动。</w:t>
      </w:r>
    </w:p>
    <w:p>
      <w:pPr>
        <w:pStyle w:val="ListParagraph"/>
        <w:numPr>
          <w:ilvl w:val="0"/>
          <w:numId w:val="5"/>
        </w:numPr>
        <w:tabs>
          <w:tab w:pos="838" w:val="left" w:leader="none"/>
        </w:tabs>
        <w:spacing w:line="273" w:lineRule="auto" w:before="37" w:after="0"/>
        <w:ind w:left="837" w:right="212" w:hanging="540"/>
        <w:jc w:val="both"/>
        <w:rPr>
          <w:sz w:val="21"/>
        </w:rPr>
      </w:pPr>
      <w:r>
        <w:rPr>
          <w:b/>
          <w:sz w:val="21"/>
        </w:rPr>
        <w:t>探险：</w:t>
      </w:r>
      <w:r>
        <w:rPr>
          <w:sz w:val="21"/>
        </w:rPr>
        <w:t>指明知在某种特定的自然条件下有失去生命或使身体受到伤害的危险，而故</w:t>
      </w:r>
      <w:r>
        <w:rPr>
          <w:spacing w:val="-5"/>
          <w:sz w:val="21"/>
        </w:rPr>
        <w:t>意使自己置身其中的行为， 包括但不限于江河漂流、徒步穿越沙漠或人迹罕至的原始森林等活动。</w:t>
      </w:r>
    </w:p>
    <w:p>
      <w:pPr>
        <w:pStyle w:val="ListParagraph"/>
        <w:numPr>
          <w:ilvl w:val="0"/>
          <w:numId w:val="5"/>
        </w:numPr>
        <w:tabs>
          <w:tab w:pos="837" w:val="left" w:leader="none"/>
          <w:tab w:pos="838" w:val="left" w:leader="none"/>
        </w:tabs>
        <w:spacing w:line="273" w:lineRule="auto" w:before="7" w:after="0"/>
        <w:ind w:left="837" w:right="212" w:hanging="540"/>
        <w:jc w:val="left"/>
        <w:rPr>
          <w:sz w:val="21"/>
        </w:rPr>
      </w:pPr>
      <w:r>
        <w:rPr>
          <w:b/>
          <w:sz w:val="21"/>
        </w:rPr>
        <w:t>武术比赛：</w:t>
      </w:r>
      <w:r>
        <w:rPr>
          <w:sz w:val="21"/>
        </w:rPr>
        <w:t>指两人或两人以上对抗性柔道、空手道、跆拳道、散打、拳击等各种拳术及各种使用器械的对抗性比赛。</w:t>
      </w:r>
    </w:p>
    <w:p>
      <w:pPr>
        <w:pStyle w:val="ListParagraph"/>
        <w:numPr>
          <w:ilvl w:val="0"/>
          <w:numId w:val="5"/>
        </w:numPr>
        <w:tabs>
          <w:tab w:pos="837" w:val="left" w:leader="none"/>
          <w:tab w:pos="838" w:val="left" w:leader="none"/>
        </w:tabs>
        <w:spacing w:line="240" w:lineRule="auto" w:before="7" w:after="0"/>
        <w:ind w:left="837" w:right="0" w:hanging="540"/>
        <w:jc w:val="left"/>
        <w:rPr>
          <w:sz w:val="21"/>
        </w:rPr>
      </w:pPr>
      <w:r>
        <w:rPr>
          <w:b/>
          <w:w w:val="95"/>
          <w:sz w:val="21"/>
        </w:rPr>
        <w:t>特技表演：</w:t>
      </w:r>
      <w:r>
        <w:rPr>
          <w:w w:val="95"/>
          <w:sz w:val="21"/>
        </w:rPr>
        <w:t>指进行马术、杂技、驯兽等表演。</w:t>
      </w:r>
    </w:p>
    <w:p>
      <w:pPr>
        <w:pStyle w:val="ListParagraph"/>
        <w:numPr>
          <w:ilvl w:val="0"/>
          <w:numId w:val="5"/>
        </w:numPr>
        <w:tabs>
          <w:tab w:pos="838" w:val="left" w:leader="none"/>
        </w:tabs>
        <w:spacing w:line="273" w:lineRule="auto" w:before="37" w:after="0"/>
        <w:ind w:left="837" w:right="211" w:hanging="540"/>
        <w:jc w:val="both"/>
        <w:rPr>
          <w:sz w:val="21"/>
        </w:rPr>
      </w:pPr>
      <w:r>
        <w:rPr>
          <w:b/>
          <w:sz w:val="21"/>
        </w:rPr>
        <w:t>现金价值：</w:t>
      </w:r>
      <w:r>
        <w:rPr>
          <w:sz w:val="21"/>
        </w:rPr>
        <w:t>指保险单的价值，通常体现为解除合同时，根据精算原理计算的，由本公司退还的那部分金额。本合同保险单月度和保险单年度末的现金价值将在保险单上载明。</w:t>
      </w:r>
    </w:p>
    <w:p>
      <w:pPr>
        <w:pStyle w:val="ListParagraph"/>
        <w:numPr>
          <w:ilvl w:val="0"/>
          <w:numId w:val="5"/>
        </w:numPr>
        <w:tabs>
          <w:tab w:pos="837" w:val="left" w:leader="none"/>
          <w:tab w:pos="838" w:val="left" w:leader="none"/>
        </w:tabs>
        <w:spacing w:line="273" w:lineRule="auto" w:before="7" w:after="0"/>
        <w:ind w:left="837" w:right="213" w:hanging="540"/>
        <w:jc w:val="left"/>
        <w:rPr>
          <w:sz w:val="21"/>
        </w:rPr>
      </w:pPr>
      <w:r>
        <w:rPr>
          <w:b/>
          <w:spacing w:val="-16"/>
          <w:sz w:val="21"/>
        </w:rPr>
        <w:t>约定利率：</w:t>
      </w:r>
      <w:r>
        <w:rPr>
          <w:spacing w:val="-1"/>
          <w:sz w:val="21"/>
        </w:rPr>
        <w:t>按“计息期间人民银行每月第一个营业日适用的人民币 </w:t>
      </w:r>
      <w:r>
        <w:rPr>
          <w:sz w:val="21"/>
        </w:rPr>
        <w:t>6</w:t>
      </w:r>
      <w:r>
        <w:rPr>
          <w:spacing w:val="-2"/>
          <w:sz w:val="21"/>
        </w:rPr>
        <w:t> 个月期贷款利率平均值与 </w:t>
      </w:r>
      <w:r>
        <w:rPr>
          <w:sz w:val="21"/>
        </w:rPr>
        <w:t>4.5%</w:t>
      </w:r>
      <w:r>
        <w:rPr>
          <w:spacing w:val="-1"/>
          <w:sz w:val="21"/>
        </w:rPr>
        <w:t> 之较大者”计算。</w:t>
      </w:r>
    </w:p>
    <w:sectPr>
      <w:pgSz w:w="11910" w:h="16840"/>
      <w:pgMar w:header="0" w:footer="1008" w:top="1400" w:bottom="1200" w:left="16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49.440002pt;margin-top:780.579651pt;width:78.5pt;height:12pt;mso-position-horizontal-relative:page;mso-position-vertical-relative:page;z-index:-13504"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13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85" w:hanging="241"/>
        <w:jc w:val="left"/>
      </w:pPr>
      <w:rPr>
        <w:rFonts w:hint="default" w:ascii="宋体" w:hAnsi="宋体" w:eastAsia="宋体" w:cs="宋体"/>
        <w:w w:val="100"/>
        <w:sz w:val="21"/>
        <w:szCs w:val="21"/>
      </w:rPr>
    </w:lvl>
    <w:lvl w:ilvl="1">
      <w:start w:val="0"/>
      <w:numFmt w:val="bullet"/>
      <w:lvlText w:val="•"/>
      <w:lvlJc w:val="left"/>
      <w:pPr>
        <w:ind w:left="1474" w:hanging="241"/>
      </w:pPr>
      <w:rPr>
        <w:rFonts w:hint="default"/>
      </w:rPr>
    </w:lvl>
    <w:lvl w:ilvl="2">
      <w:start w:val="0"/>
      <w:numFmt w:val="bullet"/>
      <w:lvlText w:val="•"/>
      <w:lvlJc w:val="left"/>
      <w:pPr>
        <w:ind w:left="2268" w:hanging="241"/>
      </w:pPr>
      <w:rPr>
        <w:rFonts w:hint="default"/>
      </w:rPr>
    </w:lvl>
    <w:lvl w:ilvl="3">
      <w:start w:val="0"/>
      <w:numFmt w:val="bullet"/>
      <w:lvlText w:val="•"/>
      <w:lvlJc w:val="left"/>
      <w:pPr>
        <w:ind w:left="3063" w:hanging="241"/>
      </w:pPr>
      <w:rPr>
        <w:rFonts w:hint="default"/>
      </w:rPr>
    </w:lvl>
    <w:lvl w:ilvl="4">
      <w:start w:val="0"/>
      <w:numFmt w:val="bullet"/>
      <w:lvlText w:val="•"/>
      <w:lvlJc w:val="left"/>
      <w:pPr>
        <w:ind w:left="3857" w:hanging="241"/>
      </w:pPr>
      <w:rPr>
        <w:rFonts w:hint="default"/>
      </w:rPr>
    </w:lvl>
    <w:lvl w:ilvl="5">
      <w:start w:val="0"/>
      <w:numFmt w:val="bullet"/>
      <w:lvlText w:val="•"/>
      <w:lvlJc w:val="left"/>
      <w:pPr>
        <w:ind w:left="4652" w:hanging="241"/>
      </w:pPr>
      <w:rPr>
        <w:rFonts w:hint="default"/>
      </w:rPr>
    </w:lvl>
    <w:lvl w:ilvl="6">
      <w:start w:val="0"/>
      <w:numFmt w:val="bullet"/>
      <w:lvlText w:val="•"/>
      <w:lvlJc w:val="left"/>
      <w:pPr>
        <w:ind w:left="5446" w:hanging="241"/>
      </w:pPr>
      <w:rPr>
        <w:rFonts w:hint="default"/>
      </w:rPr>
    </w:lvl>
    <w:lvl w:ilvl="7">
      <w:start w:val="0"/>
      <w:numFmt w:val="bullet"/>
      <w:lvlText w:val="•"/>
      <w:lvlJc w:val="left"/>
      <w:pPr>
        <w:ind w:left="6241" w:hanging="241"/>
      </w:pPr>
      <w:rPr>
        <w:rFonts w:hint="default"/>
      </w:rPr>
    </w:lvl>
    <w:lvl w:ilvl="8">
      <w:start w:val="0"/>
      <w:numFmt w:val="bullet"/>
      <w:lvlText w:val="•"/>
      <w:lvlJc w:val="left"/>
      <w:pPr>
        <w:ind w:left="7035" w:hanging="241"/>
      </w:pPr>
      <w:rPr>
        <w:rFonts w:hint="default"/>
      </w:rPr>
    </w:lvl>
  </w:abstractNum>
  <w:abstractNum w:abstractNumId="0">
    <w:multiLevelType w:val="hybridMultilevel"/>
    <w:lvl w:ilvl="0">
      <w:start w:val="1"/>
      <w:numFmt w:val="decimal"/>
      <w:lvlText w:val="%1."/>
      <w:lvlJc w:val="left"/>
      <w:pPr>
        <w:ind w:left="957" w:hanging="420"/>
        <w:jc w:val="left"/>
      </w:pPr>
      <w:rPr>
        <w:rFonts w:hint="default" w:ascii="黑体" w:hAnsi="黑体" w:eastAsia="黑体" w:cs="黑体"/>
        <w:w w:val="100"/>
        <w:sz w:val="21"/>
        <w:szCs w:val="21"/>
      </w:rPr>
    </w:lvl>
    <w:lvl w:ilvl="1">
      <w:start w:val="0"/>
      <w:numFmt w:val="bullet"/>
      <w:lvlText w:val="•"/>
      <w:lvlJc w:val="left"/>
      <w:pPr>
        <w:ind w:left="1728" w:hanging="420"/>
      </w:pPr>
      <w:rPr>
        <w:rFonts w:hint="default"/>
      </w:rPr>
    </w:lvl>
    <w:lvl w:ilvl="2">
      <w:start w:val="0"/>
      <w:numFmt w:val="bullet"/>
      <w:lvlText w:val="•"/>
      <w:lvlJc w:val="left"/>
      <w:pPr>
        <w:ind w:left="2496" w:hanging="420"/>
      </w:pPr>
      <w:rPr>
        <w:rFonts w:hint="default"/>
      </w:rPr>
    </w:lvl>
    <w:lvl w:ilvl="3">
      <w:start w:val="0"/>
      <w:numFmt w:val="bullet"/>
      <w:lvlText w:val="•"/>
      <w:lvlJc w:val="left"/>
      <w:pPr>
        <w:ind w:left="3265" w:hanging="420"/>
      </w:pPr>
      <w:rPr>
        <w:rFonts w:hint="default"/>
      </w:rPr>
    </w:lvl>
    <w:lvl w:ilvl="4">
      <w:start w:val="0"/>
      <w:numFmt w:val="bullet"/>
      <w:lvlText w:val="•"/>
      <w:lvlJc w:val="left"/>
      <w:pPr>
        <w:ind w:left="4033" w:hanging="420"/>
      </w:pPr>
      <w:rPr>
        <w:rFonts w:hint="default"/>
      </w:rPr>
    </w:lvl>
    <w:lvl w:ilvl="5">
      <w:start w:val="0"/>
      <w:numFmt w:val="bullet"/>
      <w:lvlText w:val="•"/>
      <w:lvlJc w:val="left"/>
      <w:pPr>
        <w:ind w:left="4802" w:hanging="420"/>
      </w:pPr>
      <w:rPr>
        <w:rFonts w:hint="default"/>
      </w:rPr>
    </w:lvl>
    <w:lvl w:ilvl="6">
      <w:start w:val="0"/>
      <w:numFmt w:val="bullet"/>
      <w:lvlText w:val="•"/>
      <w:lvlJc w:val="left"/>
      <w:pPr>
        <w:ind w:left="5570" w:hanging="420"/>
      </w:pPr>
      <w:rPr>
        <w:rFonts w:hint="default"/>
      </w:rPr>
    </w:lvl>
    <w:lvl w:ilvl="7">
      <w:start w:val="0"/>
      <w:numFmt w:val="bullet"/>
      <w:lvlText w:val="•"/>
      <w:lvlJc w:val="left"/>
      <w:pPr>
        <w:ind w:left="6339" w:hanging="420"/>
      </w:pPr>
      <w:rPr>
        <w:rFonts w:hint="default"/>
      </w:rPr>
    </w:lvl>
    <w:lvl w:ilvl="8">
      <w:start w:val="0"/>
      <w:numFmt w:val="bullet"/>
      <w:lvlText w:val="•"/>
      <w:lvlJc w:val="left"/>
      <w:pPr>
        <w:ind w:left="7107" w:hanging="420"/>
      </w:pPr>
      <w:rPr>
        <w:rFonts w:hint="default"/>
      </w:rPr>
    </w:lvl>
  </w:abstractNum>
  <w:abstractNum w:abstractNumId="6">
    <w:multiLevelType w:val="hybridMultilevel"/>
    <w:lvl w:ilvl="0">
      <w:start w:val="6"/>
      <w:numFmt w:val="decimal"/>
      <w:lvlText w:val="%1"/>
      <w:lvlJc w:val="left"/>
      <w:pPr>
        <w:ind w:left="1192" w:hanging="369"/>
        <w:jc w:val="left"/>
      </w:pPr>
      <w:rPr>
        <w:rFonts w:hint="default"/>
      </w:rPr>
    </w:lvl>
    <w:lvl w:ilvl="1">
      <w:start w:val="3"/>
      <w:numFmt w:val="decimal"/>
      <w:lvlText w:val="%1.%2"/>
      <w:lvlJc w:val="left"/>
      <w:pPr>
        <w:ind w:left="1192" w:hanging="369"/>
        <w:jc w:val="left"/>
      </w:pPr>
      <w:rPr>
        <w:rFonts w:hint="default" w:ascii="宋体" w:hAnsi="宋体" w:eastAsia="宋体" w:cs="宋体"/>
        <w:w w:val="100"/>
        <w:sz w:val="21"/>
        <w:szCs w:val="21"/>
      </w:rPr>
    </w:lvl>
    <w:lvl w:ilvl="2">
      <w:start w:val="1"/>
      <w:numFmt w:val="decimal"/>
      <w:lvlText w:val="%1.%2.%3"/>
      <w:lvlJc w:val="left"/>
      <w:pPr>
        <w:ind w:left="1196" w:hanging="631"/>
        <w:jc w:val="left"/>
      </w:pPr>
      <w:rPr>
        <w:rFonts w:hint="default" w:ascii="宋体" w:hAnsi="宋体" w:eastAsia="宋体" w:cs="宋体"/>
        <w:spacing w:val="-2"/>
        <w:w w:val="100"/>
        <w:sz w:val="21"/>
        <w:szCs w:val="21"/>
      </w:rPr>
    </w:lvl>
    <w:lvl w:ilvl="3">
      <w:start w:val="0"/>
      <w:numFmt w:val="bullet"/>
      <w:lvlText w:val="•"/>
      <w:lvlJc w:val="left"/>
      <w:pPr>
        <w:ind w:left="3433" w:hanging="631"/>
      </w:pPr>
      <w:rPr>
        <w:rFonts w:hint="default"/>
      </w:rPr>
    </w:lvl>
    <w:lvl w:ilvl="4">
      <w:start w:val="0"/>
      <w:numFmt w:val="bullet"/>
      <w:lvlText w:val="•"/>
      <w:lvlJc w:val="left"/>
      <w:pPr>
        <w:ind w:left="4177" w:hanging="631"/>
      </w:pPr>
      <w:rPr>
        <w:rFonts w:hint="default"/>
      </w:rPr>
    </w:lvl>
    <w:lvl w:ilvl="5">
      <w:start w:val="0"/>
      <w:numFmt w:val="bullet"/>
      <w:lvlText w:val="•"/>
      <w:lvlJc w:val="left"/>
      <w:pPr>
        <w:ind w:left="4922" w:hanging="631"/>
      </w:pPr>
      <w:rPr>
        <w:rFonts w:hint="default"/>
      </w:rPr>
    </w:lvl>
    <w:lvl w:ilvl="6">
      <w:start w:val="0"/>
      <w:numFmt w:val="bullet"/>
      <w:lvlText w:val="•"/>
      <w:lvlJc w:val="left"/>
      <w:pPr>
        <w:ind w:left="5666" w:hanging="631"/>
      </w:pPr>
      <w:rPr>
        <w:rFonts w:hint="default"/>
      </w:rPr>
    </w:lvl>
    <w:lvl w:ilvl="7">
      <w:start w:val="0"/>
      <w:numFmt w:val="bullet"/>
      <w:lvlText w:val="•"/>
      <w:lvlJc w:val="left"/>
      <w:pPr>
        <w:ind w:left="6411" w:hanging="631"/>
      </w:pPr>
      <w:rPr>
        <w:rFonts w:hint="default"/>
      </w:rPr>
    </w:lvl>
    <w:lvl w:ilvl="8">
      <w:start w:val="0"/>
      <w:numFmt w:val="bullet"/>
      <w:lvlText w:val="•"/>
      <w:lvlJc w:val="left"/>
      <w:pPr>
        <w:ind w:left="7155" w:hanging="631"/>
      </w:pPr>
      <w:rPr>
        <w:rFonts w:hint="default"/>
      </w:rPr>
    </w:lvl>
  </w:abstractNum>
  <w:abstractNum w:abstractNumId="5">
    <w:multiLevelType w:val="hybridMultilevel"/>
    <w:lvl w:ilvl="0">
      <w:start w:val="6"/>
      <w:numFmt w:val="decimal"/>
      <w:lvlText w:val="%1"/>
      <w:lvlJc w:val="left"/>
      <w:pPr>
        <w:ind w:left="1244" w:hanging="421"/>
        <w:jc w:val="left"/>
      </w:pPr>
      <w:rPr>
        <w:rFonts w:hint="default"/>
      </w:rPr>
    </w:lvl>
    <w:lvl w:ilvl="1">
      <w:start w:val="2"/>
      <w:numFmt w:val="decimal"/>
      <w:lvlText w:val="%1.%2"/>
      <w:lvlJc w:val="left"/>
      <w:pPr>
        <w:ind w:left="1244" w:hanging="421"/>
        <w:jc w:val="left"/>
      </w:pPr>
      <w:rPr>
        <w:rFonts w:hint="default" w:ascii="宋体" w:hAnsi="宋体" w:eastAsia="宋体" w:cs="宋体"/>
        <w:spacing w:val="-2"/>
        <w:w w:val="100"/>
        <w:sz w:val="21"/>
        <w:szCs w:val="21"/>
      </w:rPr>
    </w:lvl>
    <w:lvl w:ilvl="2">
      <w:start w:val="1"/>
      <w:numFmt w:val="decimal"/>
      <w:lvlText w:val="%1.%2.%3"/>
      <w:lvlJc w:val="left"/>
      <w:pPr>
        <w:ind w:left="1468" w:hanging="631"/>
        <w:jc w:val="left"/>
      </w:pPr>
      <w:rPr>
        <w:rFonts w:hint="default" w:ascii="宋体" w:hAnsi="宋体" w:eastAsia="宋体" w:cs="宋体"/>
        <w:spacing w:val="-2"/>
        <w:w w:val="100"/>
        <w:sz w:val="21"/>
        <w:szCs w:val="21"/>
      </w:rPr>
    </w:lvl>
    <w:lvl w:ilvl="3">
      <w:start w:val="0"/>
      <w:numFmt w:val="bullet"/>
      <w:lvlText w:val="•"/>
      <w:lvlJc w:val="left"/>
      <w:pPr>
        <w:ind w:left="3034" w:hanging="631"/>
      </w:pPr>
      <w:rPr>
        <w:rFonts w:hint="default"/>
      </w:rPr>
    </w:lvl>
    <w:lvl w:ilvl="4">
      <w:start w:val="0"/>
      <w:numFmt w:val="bullet"/>
      <w:lvlText w:val="•"/>
      <w:lvlJc w:val="left"/>
      <w:pPr>
        <w:ind w:left="3821" w:hanging="631"/>
      </w:pPr>
      <w:rPr>
        <w:rFonts w:hint="default"/>
      </w:rPr>
    </w:lvl>
    <w:lvl w:ilvl="5">
      <w:start w:val="0"/>
      <w:numFmt w:val="bullet"/>
      <w:lvlText w:val="•"/>
      <w:lvlJc w:val="left"/>
      <w:pPr>
        <w:ind w:left="4608" w:hanging="631"/>
      </w:pPr>
      <w:rPr>
        <w:rFonts w:hint="default"/>
      </w:rPr>
    </w:lvl>
    <w:lvl w:ilvl="6">
      <w:start w:val="0"/>
      <w:numFmt w:val="bullet"/>
      <w:lvlText w:val="•"/>
      <w:lvlJc w:val="left"/>
      <w:pPr>
        <w:ind w:left="5395" w:hanging="631"/>
      </w:pPr>
      <w:rPr>
        <w:rFonts w:hint="default"/>
      </w:rPr>
    </w:lvl>
    <w:lvl w:ilvl="7">
      <w:start w:val="0"/>
      <w:numFmt w:val="bullet"/>
      <w:lvlText w:val="•"/>
      <w:lvlJc w:val="left"/>
      <w:pPr>
        <w:ind w:left="6182" w:hanging="631"/>
      </w:pPr>
      <w:rPr>
        <w:rFonts w:hint="default"/>
      </w:rPr>
    </w:lvl>
    <w:lvl w:ilvl="8">
      <w:start w:val="0"/>
      <w:numFmt w:val="bullet"/>
      <w:lvlText w:val="•"/>
      <w:lvlJc w:val="left"/>
      <w:pPr>
        <w:ind w:left="6970" w:hanging="631"/>
      </w:pPr>
      <w:rPr>
        <w:rFonts w:hint="default"/>
      </w:rPr>
    </w:lvl>
  </w:abstractNum>
  <w:abstractNum w:abstractNumId="4">
    <w:multiLevelType w:val="hybridMultilevel"/>
    <w:lvl w:ilvl="0">
      <w:start w:val="1"/>
      <w:numFmt w:val="decimal"/>
      <w:lvlText w:val="%1."/>
      <w:lvlJc w:val="left"/>
      <w:pPr>
        <w:ind w:left="837" w:hanging="539"/>
        <w:jc w:val="left"/>
      </w:pPr>
      <w:rPr>
        <w:rFonts w:hint="default"/>
        <w:w w:val="99"/>
      </w:rPr>
    </w:lvl>
    <w:lvl w:ilvl="1">
      <w:start w:val="1"/>
      <w:numFmt w:val="decimal"/>
      <w:lvlText w:val="%1.%2"/>
      <w:lvlJc w:val="left"/>
      <w:pPr>
        <w:ind w:left="1243" w:hanging="421"/>
        <w:jc w:val="left"/>
      </w:pPr>
      <w:rPr>
        <w:rFonts w:hint="default" w:ascii="宋体" w:hAnsi="宋体" w:eastAsia="宋体" w:cs="宋体"/>
        <w:spacing w:val="-2"/>
        <w:w w:val="100"/>
        <w:sz w:val="21"/>
        <w:szCs w:val="21"/>
      </w:rPr>
    </w:lvl>
    <w:lvl w:ilvl="2">
      <w:start w:val="1"/>
      <w:numFmt w:val="decimal"/>
      <w:lvlText w:val="%1.%2.%3"/>
      <w:lvlJc w:val="left"/>
      <w:pPr>
        <w:ind w:left="835" w:hanging="631"/>
        <w:jc w:val="left"/>
      </w:pPr>
      <w:rPr>
        <w:rFonts w:hint="default" w:ascii="宋体" w:hAnsi="宋体" w:eastAsia="宋体" w:cs="宋体"/>
        <w:spacing w:val="-2"/>
        <w:w w:val="100"/>
        <w:sz w:val="21"/>
        <w:szCs w:val="21"/>
      </w:rPr>
    </w:lvl>
    <w:lvl w:ilvl="3">
      <w:start w:val="0"/>
      <w:numFmt w:val="bullet"/>
      <w:lvlText w:val="•"/>
      <w:lvlJc w:val="left"/>
      <w:pPr>
        <w:ind w:left="1780" w:hanging="631"/>
      </w:pPr>
      <w:rPr>
        <w:rFonts w:hint="default"/>
      </w:rPr>
    </w:lvl>
    <w:lvl w:ilvl="4">
      <w:start w:val="0"/>
      <w:numFmt w:val="bullet"/>
      <w:lvlText w:val="•"/>
      <w:lvlJc w:val="left"/>
      <w:pPr>
        <w:ind w:left="2760" w:hanging="631"/>
      </w:pPr>
      <w:rPr>
        <w:rFonts w:hint="default"/>
      </w:rPr>
    </w:lvl>
    <w:lvl w:ilvl="5">
      <w:start w:val="0"/>
      <w:numFmt w:val="bullet"/>
      <w:lvlText w:val="•"/>
      <w:lvlJc w:val="left"/>
      <w:pPr>
        <w:ind w:left="3741" w:hanging="631"/>
      </w:pPr>
      <w:rPr>
        <w:rFonts w:hint="default"/>
      </w:rPr>
    </w:lvl>
    <w:lvl w:ilvl="6">
      <w:start w:val="0"/>
      <w:numFmt w:val="bullet"/>
      <w:lvlText w:val="•"/>
      <w:lvlJc w:val="left"/>
      <w:pPr>
        <w:ind w:left="4721" w:hanging="631"/>
      </w:pPr>
      <w:rPr>
        <w:rFonts w:hint="default"/>
      </w:rPr>
    </w:lvl>
    <w:lvl w:ilvl="7">
      <w:start w:val="0"/>
      <w:numFmt w:val="bullet"/>
      <w:lvlText w:val="•"/>
      <w:lvlJc w:val="left"/>
      <w:pPr>
        <w:ind w:left="5702" w:hanging="631"/>
      </w:pPr>
      <w:rPr>
        <w:rFonts w:hint="default"/>
      </w:rPr>
    </w:lvl>
    <w:lvl w:ilvl="8">
      <w:start w:val="0"/>
      <w:numFmt w:val="bullet"/>
      <w:lvlText w:val="•"/>
      <w:lvlJc w:val="left"/>
      <w:pPr>
        <w:ind w:left="6683" w:hanging="631"/>
      </w:pPr>
      <w:rPr>
        <w:rFonts w:hint="default"/>
      </w:rPr>
    </w:lvl>
  </w:abstractNum>
  <w:abstractNum w:abstractNumId="3">
    <w:multiLevelType w:val="hybridMultilevel"/>
    <w:lvl w:ilvl="0">
      <w:start w:val="1"/>
      <w:numFmt w:val="decimal"/>
      <w:lvlText w:val="%1."/>
      <w:lvlJc w:val="left"/>
      <w:pPr>
        <w:ind w:left="685" w:hanging="243"/>
        <w:jc w:val="left"/>
      </w:pPr>
      <w:rPr>
        <w:rFonts w:hint="default" w:ascii="宋体" w:hAnsi="宋体" w:eastAsia="宋体" w:cs="宋体"/>
        <w:w w:val="100"/>
        <w:sz w:val="21"/>
        <w:szCs w:val="21"/>
      </w:rPr>
    </w:lvl>
    <w:lvl w:ilvl="1">
      <w:start w:val="0"/>
      <w:numFmt w:val="bullet"/>
      <w:lvlText w:val="•"/>
      <w:lvlJc w:val="left"/>
      <w:pPr>
        <w:ind w:left="1474" w:hanging="243"/>
      </w:pPr>
      <w:rPr>
        <w:rFonts w:hint="default"/>
      </w:rPr>
    </w:lvl>
    <w:lvl w:ilvl="2">
      <w:start w:val="0"/>
      <w:numFmt w:val="bullet"/>
      <w:lvlText w:val="•"/>
      <w:lvlJc w:val="left"/>
      <w:pPr>
        <w:ind w:left="2268" w:hanging="243"/>
      </w:pPr>
      <w:rPr>
        <w:rFonts w:hint="default"/>
      </w:rPr>
    </w:lvl>
    <w:lvl w:ilvl="3">
      <w:start w:val="0"/>
      <w:numFmt w:val="bullet"/>
      <w:lvlText w:val="•"/>
      <w:lvlJc w:val="left"/>
      <w:pPr>
        <w:ind w:left="3063" w:hanging="243"/>
      </w:pPr>
      <w:rPr>
        <w:rFonts w:hint="default"/>
      </w:rPr>
    </w:lvl>
    <w:lvl w:ilvl="4">
      <w:start w:val="0"/>
      <w:numFmt w:val="bullet"/>
      <w:lvlText w:val="•"/>
      <w:lvlJc w:val="left"/>
      <w:pPr>
        <w:ind w:left="3857" w:hanging="243"/>
      </w:pPr>
      <w:rPr>
        <w:rFonts w:hint="default"/>
      </w:rPr>
    </w:lvl>
    <w:lvl w:ilvl="5">
      <w:start w:val="0"/>
      <w:numFmt w:val="bullet"/>
      <w:lvlText w:val="•"/>
      <w:lvlJc w:val="left"/>
      <w:pPr>
        <w:ind w:left="4652" w:hanging="243"/>
      </w:pPr>
      <w:rPr>
        <w:rFonts w:hint="default"/>
      </w:rPr>
    </w:lvl>
    <w:lvl w:ilvl="6">
      <w:start w:val="0"/>
      <w:numFmt w:val="bullet"/>
      <w:lvlText w:val="•"/>
      <w:lvlJc w:val="left"/>
      <w:pPr>
        <w:ind w:left="5446" w:hanging="243"/>
      </w:pPr>
      <w:rPr>
        <w:rFonts w:hint="default"/>
      </w:rPr>
    </w:lvl>
    <w:lvl w:ilvl="7">
      <w:start w:val="0"/>
      <w:numFmt w:val="bullet"/>
      <w:lvlText w:val="•"/>
      <w:lvlJc w:val="left"/>
      <w:pPr>
        <w:ind w:left="6241" w:hanging="243"/>
      </w:pPr>
      <w:rPr>
        <w:rFonts w:hint="default"/>
      </w:rPr>
    </w:lvl>
    <w:lvl w:ilvl="8">
      <w:start w:val="0"/>
      <w:numFmt w:val="bullet"/>
      <w:lvlText w:val="•"/>
      <w:lvlJc w:val="left"/>
      <w:pPr>
        <w:ind w:left="7035" w:hanging="243"/>
      </w:pPr>
      <w:rPr>
        <w:rFonts w:hint="default"/>
      </w:rPr>
    </w:lvl>
  </w:abstractNum>
  <w:abstractNum w:abstractNumId="1">
    <w:multiLevelType w:val="hybridMultilevel"/>
    <w:lvl w:ilvl="0">
      <w:start w:val="1"/>
      <w:numFmt w:val="decimal"/>
      <w:lvlText w:val="%1."/>
      <w:lvlJc w:val="left"/>
      <w:pPr>
        <w:ind w:left="852" w:hanging="316"/>
        <w:jc w:val="left"/>
      </w:pPr>
      <w:rPr>
        <w:rFonts w:hint="default" w:ascii="宋体" w:hAnsi="宋体" w:eastAsia="宋体" w:cs="宋体"/>
        <w:spacing w:val="-2"/>
        <w:w w:val="100"/>
        <w:sz w:val="21"/>
        <w:szCs w:val="21"/>
      </w:rPr>
    </w:lvl>
    <w:lvl w:ilvl="1">
      <w:start w:val="0"/>
      <w:numFmt w:val="bullet"/>
      <w:lvlText w:val="•"/>
      <w:lvlJc w:val="left"/>
      <w:pPr>
        <w:ind w:left="1636" w:hanging="316"/>
      </w:pPr>
      <w:rPr>
        <w:rFonts w:hint="default"/>
      </w:rPr>
    </w:lvl>
    <w:lvl w:ilvl="2">
      <w:start w:val="0"/>
      <w:numFmt w:val="bullet"/>
      <w:lvlText w:val="•"/>
      <w:lvlJc w:val="left"/>
      <w:pPr>
        <w:ind w:left="2412" w:hanging="316"/>
      </w:pPr>
      <w:rPr>
        <w:rFonts w:hint="default"/>
      </w:rPr>
    </w:lvl>
    <w:lvl w:ilvl="3">
      <w:start w:val="0"/>
      <w:numFmt w:val="bullet"/>
      <w:lvlText w:val="•"/>
      <w:lvlJc w:val="left"/>
      <w:pPr>
        <w:ind w:left="3189" w:hanging="316"/>
      </w:pPr>
      <w:rPr>
        <w:rFonts w:hint="default"/>
      </w:rPr>
    </w:lvl>
    <w:lvl w:ilvl="4">
      <w:start w:val="0"/>
      <w:numFmt w:val="bullet"/>
      <w:lvlText w:val="•"/>
      <w:lvlJc w:val="left"/>
      <w:pPr>
        <w:ind w:left="3965" w:hanging="316"/>
      </w:pPr>
      <w:rPr>
        <w:rFonts w:hint="default"/>
      </w:rPr>
    </w:lvl>
    <w:lvl w:ilvl="5">
      <w:start w:val="0"/>
      <w:numFmt w:val="bullet"/>
      <w:lvlText w:val="•"/>
      <w:lvlJc w:val="left"/>
      <w:pPr>
        <w:ind w:left="4742" w:hanging="316"/>
      </w:pPr>
      <w:rPr>
        <w:rFonts w:hint="default"/>
      </w:rPr>
    </w:lvl>
    <w:lvl w:ilvl="6">
      <w:start w:val="0"/>
      <w:numFmt w:val="bullet"/>
      <w:lvlText w:val="•"/>
      <w:lvlJc w:val="left"/>
      <w:pPr>
        <w:ind w:left="5518" w:hanging="316"/>
      </w:pPr>
      <w:rPr>
        <w:rFonts w:hint="default"/>
      </w:rPr>
    </w:lvl>
    <w:lvl w:ilvl="7">
      <w:start w:val="0"/>
      <w:numFmt w:val="bullet"/>
      <w:lvlText w:val="•"/>
      <w:lvlJc w:val="left"/>
      <w:pPr>
        <w:ind w:left="6295" w:hanging="316"/>
      </w:pPr>
      <w:rPr>
        <w:rFonts w:hint="default"/>
      </w:rPr>
    </w:lvl>
    <w:lvl w:ilvl="8">
      <w:start w:val="0"/>
      <w:numFmt w:val="bullet"/>
      <w:lvlText w:val="•"/>
      <w:lvlJc w:val="left"/>
      <w:pPr>
        <w:ind w:left="7071" w:hanging="316"/>
      </w:pPr>
      <w:rPr>
        <w:rFonts w:hint="default"/>
      </w:rPr>
    </w:lvl>
  </w:abstractNum>
  <w:num w:numId="3">
    <w:abstractNumId w:val="2"/>
  </w:num>
  <w:num w:numId="1">
    <w:abstractNumId w:val="0"/>
  </w:num>
  <w:num w:numId="7">
    <w:abstractNumId w:val="6"/>
  </w:num>
  <w:num w:numId="6">
    <w:abstractNumId w:val="5"/>
  </w:num>
  <w:num w:numId="5">
    <w:abstractNumId w:val="4"/>
  </w:num>
  <w:num w:numId="4">
    <w:abstractNumId w:val="3"/>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left="117"/>
    </w:pPr>
    <w:rPr>
      <w:rFonts w:ascii="宋体" w:hAnsi="宋体" w:eastAsia="宋体" w:cs="宋体"/>
      <w:b/>
      <w:bCs/>
      <w:sz w:val="21"/>
      <w:szCs w:val="21"/>
    </w:rPr>
  </w:style>
  <w:style w:styleId="TOC2" w:type="paragraph">
    <w:name w:val="TOC 2"/>
    <w:basedOn w:val="Normal"/>
    <w:uiPriority w:val="1"/>
    <w:qFormat/>
    <w:pPr>
      <w:spacing w:before="21"/>
      <w:ind w:left="537"/>
    </w:pPr>
    <w:rPr>
      <w:rFonts w:ascii="宋体" w:hAnsi="宋体" w:eastAsia="宋体" w:cs="宋体"/>
      <w:b/>
      <w:bCs/>
      <w:sz w:val="21"/>
      <w:szCs w:val="21"/>
    </w:rPr>
  </w:style>
  <w:style w:styleId="BodyText" w:type="paragraph">
    <w:name w:val="Body Text"/>
    <w:basedOn w:val="Normal"/>
    <w:uiPriority w:val="1"/>
    <w:qFormat/>
    <w:pPr>
      <w:spacing w:before="37"/>
      <w:ind w:left="1196"/>
    </w:pPr>
    <w:rPr>
      <w:rFonts w:ascii="宋体" w:hAnsi="宋体" w:eastAsia="宋体" w:cs="宋体"/>
      <w:sz w:val="21"/>
      <w:szCs w:val="21"/>
    </w:rPr>
  </w:style>
  <w:style w:styleId="Heading1" w:type="paragraph">
    <w:name w:val="Heading 1"/>
    <w:basedOn w:val="Normal"/>
    <w:uiPriority w:val="1"/>
    <w:qFormat/>
    <w:pPr>
      <w:spacing w:before="1"/>
      <w:ind w:left="1379" w:right="1474"/>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spacing w:before="7"/>
      <w:ind w:left="837" w:hanging="54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2018-10-20T02:28:00Z</dcterms:created>
  <dcterms:modified xsi:type="dcterms:W3CDTF">2018-10-20T02:28:00Z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2014-05-09T00:00:00Z</vt:filetime>
  </property>
  <property fmtid="{D5CDD505-2E9C-101B-9397-08002B2CF9AE}" pid="3" name="Creator">
    <vt:lpwstr>PScript5.dll Version 5.2.2</vt:lpwstr>
  </property>
  <property fmtid="{D5CDD505-2E9C-101B-9397-08002B2CF9AE}" pid="4" name="LastSaved">
    <vt:filetime>2018-10-19T00:00:00Z</vt:filetime>
  </property>
</Properties>
</file>