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686" w:firstLine="0"/>
        <w:jc w:val="right"/>
        <w:rPr>
          <w:sz w:val="16"/>
        </w:rPr>
      </w:pPr>
      <w:r>
        <w:rPr/>
        <w:drawing>
          <wp:anchor distT="0" distB="0" distL="0" distR="0" allowOverlap="1" layoutInCell="1" locked="0" behindDoc="0" simplePos="0" relativeHeight="1048">
            <wp:simplePos x="0" y="0"/>
            <wp:positionH relativeFrom="page">
              <wp:posOffset>5566091</wp:posOffset>
            </wp:positionH>
            <wp:positionV relativeFrom="paragraph">
              <wp:posOffset>182229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025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80"/>
        </w:sectPr>
      </w:pPr>
    </w:p>
    <w:p>
      <w:pPr>
        <w:pStyle w:val="Heading1"/>
        <w:spacing w:before="109"/>
        <w:ind w:left="4132"/>
      </w:pPr>
      <w:r>
        <w:rPr/>
        <w:t>阅  读  指 引</w:t>
      </w:r>
    </w:p>
    <w:p>
      <w:pPr>
        <w:pStyle w:val="Heading4"/>
        <w:spacing w:line="469" w:lineRule="exact" w:before="82"/>
      </w:pPr>
      <w:r>
        <w:rPr/>
        <w:pict>
          <v:group style="position:absolute;margin-left:52.439999pt;margin-top:5.867721pt;width:498.75pt;height:662.8pt;mso-position-horizontal-relative:page;mso-position-vertical-relative:paragraph;z-index:-33472" coordorigin="1049,117" coordsize="9975,13256">
            <v:shape style="position:absolute;left:1734;top:5247;width:8781;height:2" coordorigin="1734,5247" coordsize="8781,0" path="m1734,5247l3144,5247m3154,5247l4561,5247m4571,5247l6686,5247m6696,5247l10514,5247e" filled="false" stroked="true" strokeweight=".48pt" strokecolor="#000000">
              <v:path arrowok="t"/>
              <v:stroke dashstyle="solid"/>
            </v:shape>
            <v:shape style="position:absolute;left:5476;top:7063;width:95;height:165" type="#_x0000_t75" stroked="false">
              <v:imagedata r:id="rId6" o:title=""/>
            </v:shape>
            <v:shape style="position:absolute;left:1734;top:6346;width:8781;height:2" coordorigin="1734,6347" coordsize="8781,0" path="m1734,6347l3144,6347m3154,6347l4561,6347m4571,6347l6686,6347m6696,6347l10514,6347e" filled="false" stroked="true" strokeweight=".48pt" strokecolor="#000000">
              <v:path arrowok="t"/>
              <v:stroke dashstyle="solid"/>
            </v:shape>
            <v:shape style="position:absolute;left:5503;top:8341;width:95;height:165" type="#_x0000_t75" stroked="false">
              <v:imagedata r:id="rId6" o:title=""/>
            </v:shape>
            <v:shape style="position:absolute;left:1734;top:8903;width:8781;height:2" coordorigin="1734,8904" coordsize="8781,0" path="m1734,8904l3144,8904m3154,8904l4561,8904m4571,8904l6686,8904m6696,8904l10514,8904e" filled="false" stroked="true" strokeweight=".481pt" strokecolor="#000000">
              <v:path arrowok="t"/>
              <v:stroke dashstyle="solid"/>
            </v:shape>
            <v:shape style="position:absolute;left:1048;top:117;width:9975;height:13256" type="#_x0000_t75" stroked="false">
              <v:imagedata r:id="rId7" o:title=""/>
            </v:shape>
            <v:rect style="position:absolute;left:1739;top:10337;width:8775;height:2597" filled="false" stroked="true" strokeweight=".75pt" strokecolor="#000000">
              <v:stroke dashstyle="shortdot"/>
            </v:rect>
            <w10:wrap type="none"/>
          </v:group>
        </w:pict>
      </w:r>
      <w:r>
        <w:rPr>
          <w:rFonts w:ascii="Arial" w:hAnsi="Arial" w:eastAsia="Arial"/>
          <w:position w:val="-11"/>
          <w:sz w:val="52"/>
        </w:rPr>
        <w:t></w:t>
      </w:r>
      <w:r>
        <w:rPr/>
        <w:t>平安附加乐享福尊享版重大疾病保险产品提供重疾和身故保障</w:t>
      </w:r>
    </w:p>
    <w:p>
      <w:pPr>
        <w:spacing w:line="36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52"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340" w:lineRule="exact" w:before="0"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340" w:lineRule="exact" w:before="0"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469" w:lineRule="exact"/>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rPr>
          <w:rFonts w:ascii="Microsoft JhengHei"/>
          <w:b/>
          <w:sz w:val="10"/>
        </w:rPr>
      </w:pP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80"/>
          <w:cols w:num="2" w:equalWidth="0">
            <w:col w:w="7060" w:space="262"/>
            <w:col w:w="2868"/>
          </w:cols>
        </w:sectPr>
      </w:pPr>
    </w:p>
    <w:p>
      <w:pPr>
        <w:pStyle w:val="BodyText"/>
        <w:spacing w:line="210" w:lineRule="exact"/>
        <w:ind w:left="789"/>
      </w:pPr>
      <w:r>
        <w:rPr/>
        <w:t>例子：王先生为其妻子李女士（30 岁）投保平安附加乐享福尊享版重大疾病保险，2016 年 3 月 1</w:t>
      </w:r>
    </w:p>
    <w:p>
      <w:pPr>
        <w:pStyle w:val="BodyText"/>
        <w:spacing w:before="45"/>
        <w:ind w:left="789"/>
      </w:pPr>
      <w:r>
        <w:rPr/>
        <w:t>日保险合同生效，基本保险金额 5 万元，15 年交费，年交保险费 2425 元，指定身故保险金受益</w:t>
      </w:r>
    </w:p>
    <w:p>
      <w:pPr>
        <w:pStyle w:val="BodyText"/>
        <w:spacing w:before="45"/>
        <w:ind w:left="789"/>
      </w:pPr>
      <w:r>
        <w:rPr/>
        <w:t>人为儿子小王。2016 年 8 月 1 日，妻子李女士经医院确诊初次发生重大疾病。2016 年 9 月 1 日</w:t>
      </w:r>
    </w:p>
    <w:p>
      <w:pPr>
        <w:pStyle w:val="BodyText"/>
        <w:spacing w:before="44"/>
        <w:ind w:left="788"/>
      </w:pPr>
      <w:r>
        <w:rPr/>
        <w:t>重大疾病保险金与首次护理保险金一起给付，以后各次护理保险金分别于 2018-2021 年每年的 3</w:t>
      </w:r>
    </w:p>
    <w:p>
      <w:pPr>
        <w:pStyle w:val="BodyText"/>
        <w:spacing w:before="45"/>
        <w:ind w:left="788"/>
      </w:pPr>
      <w:r>
        <w:rPr/>
        <w:t>月 1 日给付。</w:t>
      </w:r>
    </w:p>
    <w:p>
      <w:pPr>
        <w:pStyle w:val="BodyText"/>
        <w:spacing w:line="278" w:lineRule="auto" w:before="45" w:after="6"/>
        <w:ind w:left="788" w:right="549"/>
      </w:pPr>
      <w:r>
        <w:rPr/>
        <w:t>本例中王先生为投保人，李女士为被保险人和重大疾病保险金、护理保险金受益人，儿子小王为身故保险金受益人，平安人寿为保险人。</w:t>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2"/>
        <w:gridCol w:w="1415"/>
        <w:gridCol w:w="2125"/>
        <w:gridCol w:w="3828"/>
      </w:tblGrid>
      <w:tr>
        <w:trPr>
          <w:trHeight w:val="2929" w:hRule="atLeast"/>
        </w:trPr>
        <w:tc>
          <w:tcPr>
            <w:tcW w:w="1422" w:type="dxa"/>
            <w:tcBorders>
              <w:bottom w:val="nil"/>
            </w:tcBorders>
          </w:tcPr>
          <w:p>
            <w:pPr>
              <w:pStyle w:val="TableParagraph"/>
              <w:spacing w:line="346" w:lineRule="exact"/>
              <w:ind w:left="393"/>
              <w:rPr>
                <w:rFonts w:ascii="Microsoft JhengHei" w:eastAsia="Microsoft JhengHei" w:hint="eastAsia"/>
                <w:b/>
                <w:sz w:val="21"/>
              </w:rPr>
            </w:pPr>
            <w:r>
              <w:rPr>
                <w:rFonts w:ascii="Microsoft JhengHei" w:eastAsia="Microsoft JhengHei" w:hint="eastAsia"/>
                <w:b/>
                <w:sz w:val="21"/>
              </w:rPr>
              <w:t>保险金</w:t>
            </w:r>
          </w:p>
          <w:p>
            <w:pPr>
              <w:pStyle w:val="TableParagraph"/>
              <w:spacing w:before="2"/>
              <w:rPr>
                <w:sz w:val="24"/>
              </w:rPr>
            </w:pPr>
          </w:p>
          <w:p>
            <w:pPr>
              <w:pStyle w:val="TableParagraph"/>
              <w:spacing w:line="273" w:lineRule="auto" w:before="1"/>
              <w:ind w:left="109" w:right="58"/>
              <w:rPr>
                <w:sz w:val="21"/>
              </w:rPr>
            </w:pPr>
            <w:r>
              <w:rPr>
                <w:sz w:val="21"/>
              </w:rPr>
              <w:t>重大疾病保险金</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spacing w:line="261" w:lineRule="exact"/>
              <w:ind w:left="109"/>
              <w:rPr>
                <w:sz w:val="21"/>
              </w:rPr>
            </w:pPr>
            <w:r>
              <w:rPr>
                <w:sz w:val="21"/>
              </w:rPr>
              <w:t>护理保险金</w:t>
            </w:r>
          </w:p>
        </w:tc>
        <w:tc>
          <w:tcPr>
            <w:tcW w:w="1415" w:type="dxa"/>
            <w:tcBorders>
              <w:bottom w:val="nil"/>
            </w:tcBorders>
          </w:tcPr>
          <w:p>
            <w:pPr>
              <w:pStyle w:val="TableParagraph"/>
              <w:spacing w:line="346" w:lineRule="exact"/>
              <w:ind w:left="160" w:right="153"/>
              <w:jc w:val="center"/>
              <w:rPr>
                <w:rFonts w:ascii="Microsoft JhengHei" w:eastAsia="Microsoft JhengHei" w:hint="eastAsia"/>
                <w:b/>
                <w:sz w:val="21"/>
              </w:rPr>
            </w:pPr>
            <w:r>
              <w:rPr>
                <w:rFonts w:ascii="Microsoft JhengHei" w:eastAsia="Microsoft JhengHei" w:hint="eastAsia"/>
                <w:b/>
                <w:sz w:val="21"/>
              </w:rPr>
              <w:t>领取人</w:t>
            </w:r>
          </w:p>
          <w:p>
            <w:pPr>
              <w:pStyle w:val="TableParagraph"/>
              <w:rPr>
                <w:sz w:val="20"/>
              </w:rPr>
            </w:pPr>
          </w:p>
          <w:p>
            <w:pPr>
              <w:pStyle w:val="TableParagraph"/>
              <w:spacing w:before="1"/>
              <w:rPr>
                <w:sz w:val="16"/>
              </w:rPr>
            </w:pPr>
          </w:p>
          <w:p>
            <w:pPr>
              <w:pStyle w:val="TableParagraph"/>
              <w:spacing w:before="1"/>
              <w:ind w:left="160" w:right="154"/>
              <w:jc w:val="center"/>
              <w:rPr>
                <w:sz w:val="21"/>
              </w:rPr>
            </w:pPr>
            <w:r>
              <w:rPr>
                <w:sz w:val="21"/>
              </w:rPr>
              <w:t>妻子李女士</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4"/>
              </w:rPr>
            </w:pPr>
          </w:p>
          <w:p>
            <w:pPr>
              <w:pStyle w:val="TableParagraph"/>
              <w:ind w:left="160" w:right="154"/>
              <w:jc w:val="center"/>
              <w:rPr>
                <w:sz w:val="21"/>
              </w:rPr>
            </w:pPr>
            <w:r>
              <w:rPr>
                <w:sz w:val="21"/>
              </w:rPr>
              <w:t>妻子李女士</w:t>
            </w:r>
          </w:p>
        </w:tc>
        <w:tc>
          <w:tcPr>
            <w:tcW w:w="2125" w:type="dxa"/>
            <w:tcBorders>
              <w:bottom w:val="nil"/>
            </w:tcBorders>
          </w:tcPr>
          <w:p>
            <w:pPr>
              <w:pStyle w:val="TableParagraph"/>
              <w:spacing w:line="346" w:lineRule="exact"/>
              <w:ind w:left="44" w:right="34"/>
              <w:jc w:val="center"/>
              <w:rPr>
                <w:rFonts w:ascii="Microsoft JhengHei" w:eastAsia="Microsoft JhengHei" w:hint="eastAsia"/>
                <w:b/>
                <w:sz w:val="21"/>
              </w:rPr>
            </w:pPr>
            <w:r>
              <w:rPr>
                <w:rFonts w:ascii="Microsoft JhengHei" w:eastAsia="Microsoft JhengHei" w:hint="eastAsia"/>
                <w:b/>
                <w:sz w:val="21"/>
              </w:rPr>
              <w:t>给付金额</w:t>
            </w:r>
          </w:p>
          <w:p>
            <w:pPr>
              <w:pStyle w:val="TableParagraph"/>
              <w:rPr>
                <w:sz w:val="20"/>
              </w:rPr>
            </w:pPr>
          </w:p>
          <w:p>
            <w:pPr>
              <w:pStyle w:val="TableParagraph"/>
              <w:spacing w:before="1"/>
              <w:rPr>
                <w:sz w:val="16"/>
              </w:rPr>
            </w:pPr>
          </w:p>
          <w:p>
            <w:pPr>
              <w:pStyle w:val="TableParagraph"/>
              <w:spacing w:before="1"/>
              <w:ind w:left="44" w:right="35"/>
              <w:jc w:val="center"/>
              <w:rPr>
                <w:sz w:val="21"/>
              </w:rPr>
            </w:pPr>
            <w:r>
              <w:rPr>
                <w:sz w:val="21"/>
              </w:rPr>
              <w:t>5 万元</w:t>
            </w:r>
          </w:p>
          <w:p>
            <w:pPr>
              <w:pStyle w:val="TableParagraph"/>
              <w:rPr>
                <w:sz w:val="20"/>
              </w:rPr>
            </w:pPr>
          </w:p>
          <w:p>
            <w:pPr>
              <w:pStyle w:val="TableParagraph"/>
              <w:rPr>
                <w:sz w:val="20"/>
              </w:rPr>
            </w:pPr>
          </w:p>
          <w:p>
            <w:pPr>
              <w:pStyle w:val="TableParagraph"/>
              <w:rPr>
                <w:sz w:val="20"/>
              </w:rPr>
            </w:pPr>
          </w:p>
          <w:p>
            <w:pPr>
              <w:pStyle w:val="TableParagraph"/>
              <w:spacing w:before="4"/>
              <w:rPr>
                <w:sz w:val="22"/>
              </w:rPr>
            </w:pPr>
          </w:p>
          <w:p>
            <w:pPr>
              <w:pStyle w:val="TableParagraph"/>
              <w:ind w:left="44" w:right="36"/>
              <w:jc w:val="center"/>
              <w:rPr>
                <w:sz w:val="21"/>
              </w:rPr>
            </w:pPr>
            <w:r>
              <w:rPr>
                <w:sz w:val="21"/>
              </w:rPr>
              <w:t>5 万×20 =1 万元/次</w:t>
            </w:r>
          </w:p>
          <w:p>
            <w:pPr>
              <w:pStyle w:val="TableParagraph"/>
              <w:spacing w:before="36"/>
              <w:ind w:left="44" w:right="35"/>
              <w:jc w:val="center"/>
              <w:rPr>
                <w:sz w:val="21"/>
              </w:rPr>
            </w:pPr>
            <w:r>
              <w:rPr>
                <w:sz w:val="21"/>
              </w:rPr>
              <w:t>（共 5 次）</w:t>
            </w:r>
          </w:p>
        </w:tc>
        <w:tc>
          <w:tcPr>
            <w:tcW w:w="3828" w:type="dxa"/>
            <w:tcBorders>
              <w:bottom w:val="nil"/>
            </w:tcBorders>
          </w:tcPr>
          <w:p>
            <w:pPr>
              <w:pStyle w:val="TableParagraph"/>
              <w:spacing w:line="346" w:lineRule="exact"/>
              <w:ind w:left="1491"/>
              <w:rPr>
                <w:rFonts w:ascii="Microsoft JhengHei" w:eastAsia="Microsoft JhengHei" w:hint="eastAsia"/>
                <w:b/>
                <w:sz w:val="21"/>
              </w:rPr>
            </w:pPr>
            <w:r>
              <w:rPr>
                <w:rFonts w:ascii="Microsoft JhengHei" w:eastAsia="Microsoft JhengHei" w:hint="eastAsia"/>
                <w:b/>
                <w:sz w:val="21"/>
              </w:rPr>
              <w:t>领取条件</w:t>
            </w:r>
          </w:p>
          <w:p>
            <w:pPr>
              <w:pStyle w:val="TableParagraph"/>
              <w:spacing w:line="237" w:lineRule="auto" w:before="66"/>
              <w:ind w:left="107" w:right="95"/>
              <w:jc w:val="both"/>
              <w:rPr>
                <w:sz w:val="21"/>
              </w:rPr>
            </w:pPr>
            <w:r>
              <w:rPr>
                <w:sz w:val="21"/>
              </w:rPr>
              <w:t>等待期后被保险人经医院确诊初次发生合同约定的重大疾病</w:t>
            </w:r>
          </w:p>
          <w:p>
            <w:pPr>
              <w:pStyle w:val="TableParagraph"/>
              <w:spacing w:line="237" w:lineRule="auto"/>
              <w:ind w:left="107" w:right="79"/>
              <w:jc w:val="both"/>
              <w:rPr>
                <w:sz w:val="21"/>
              </w:rPr>
            </w:pPr>
            <w:r>
              <w:rPr>
                <w:sz w:val="21"/>
              </w:rPr>
              <w:t>我们提供保障的重大疾病包括恶性肿瘤、急性心肌梗塞等共 45 种</w:t>
            </w:r>
          </w:p>
          <w:p>
            <w:pPr>
              <w:pStyle w:val="TableParagraph"/>
              <w:spacing w:line="237" w:lineRule="auto" w:before="10"/>
              <w:ind w:left="107" w:right="95"/>
              <w:jc w:val="both"/>
              <w:rPr>
                <w:sz w:val="21"/>
              </w:rPr>
            </w:pPr>
            <w:r>
              <w:rPr>
                <w:sz w:val="21"/>
              </w:rPr>
              <w:t>护理保险金领取条件与重大疾病保险金相同</w:t>
            </w:r>
          </w:p>
          <w:p>
            <w:pPr>
              <w:pStyle w:val="TableParagraph"/>
              <w:spacing w:line="237" w:lineRule="auto"/>
              <w:ind w:left="107" w:right="95"/>
              <w:jc w:val="both"/>
              <w:rPr>
                <w:sz w:val="21"/>
              </w:rPr>
            </w:pPr>
            <w:r>
              <w:rPr>
                <w:sz w:val="21"/>
              </w:rPr>
              <w:t>首次护理保险金与重大疾病保险金一起给付。以后各次护理保险金分别在重疾</w:t>
            </w:r>
            <w:r>
              <w:rPr>
                <w:spacing w:val="-6"/>
                <w:sz w:val="21"/>
              </w:rPr>
              <w:t>确诊日以后的第 </w:t>
            </w:r>
            <w:r>
              <w:rPr>
                <w:sz w:val="21"/>
              </w:rPr>
              <w:t>2</w:t>
            </w:r>
            <w:r>
              <w:rPr>
                <w:spacing w:val="-22"/>
                <w:sz w:val="21"/>
              </w:rPr>
              <w:t> 至第 </w:t>
            </w:r>
            <w:r>
              <w:rPr>
                <w:sz w:val="21"/>
              </w:rPr>
              <w:t>5</w:t>
            </w:r>
            <w:r>
              <w:rPr>
                <w:spacing w:val="-7"/>
                <w:sz w:val="21"/>
              </w:rPr>
              <w:t> 个保单周年日</w:t>
            </w:r>
          </w:p>
        </w:tc>
      </w:tr>
      <w:tr>
        <w:trPr>
          <w:trHeight w:val="247" w:hRule="atLeast"/>
        </w:trPr>
        <w:tc>
          <w:tcPr>
            <w:tcW w:w="1422" w:type="dxa"/>
            <w:tcBorders>
              <w:top w:val="nil"/>
              <w:bottom w:val="nil"/>
            </w:tcBorders>
          </w:tcPr>
          <w:p>
            <w:pPr>
              <w:pStyle w:val="TableParagraph"/>
              <w:rPr>
                <w:rFonts w:ascii="Times New Roman"/>
                <w:sz w:val="18"/>
              </w:rPr>
            </w:pPr>
          </w:p>
        </w:tc>
        <w:tc>
          <w:tcPr>
            <w:tcW w:w="1415" w:type="dxa"/>
            <w:tcBorders>
              <w:top w:val="nil"/>
              <w:bottom w:val="nil"/>
            </w:tcBorders>
          </w:tcPr>
          <w:p>
            <w:pPr>
              <w:pStyle w:val="TableParagraph"/>
              <w:rPr>
                <w:rFonts w:ascii="Times New Roman"/>
                <w:sz w:val="18"/>
              </w:rPr>
            </w:pPr>
          </w:p>
        </w:tc>
        <w:tc>
          <w:tcPr>
            <w:tcW w:w="2125" w:type="dxa"/>
            <w:tcBorders>
              <w:top w:val="nil"/>
              <w:bottom w:val="nil"/>
            </w:tcBorders>
          </w:tcPr>
          <w:p>
            <w:pPr>
              <w:pStyle w:val="TableParagraph"/>
              <w:rPr>
                <w:rFonts w:ascii="Times New Roman"/>
                <w:sz w:val="18"/>
              </w:rPr>
            </w:pPr>
          </w:p>
        </w:tc>
        <w:tc>
          <w:tcPr>
            <w:tcW w:w="3828" w:type="dxa"/>
            <w:tcBorders>
              <w:top w:val="nil"/>
              <w:bottom w:val="nil"/>
            </w:tcBorders>
          </w:tcPr>
          <w:p>
            <w:pPr>
              <w:pStyle w:val="TableParagraph"/>
              <w:spacing w:line="217" w:lineRule="exact"/>
              <w:ind w:left="107"/>
              <w:rPr>
                <w:sz w:val="21"/>
              </w:rPr>
            </w:pPr>
            <w:r>
              <w:rPr>
                <w:spacing w:val="-18"/>
                <w:sz w:val="21"/>
              </w:rPr>
              <w:t>依次给付，即 </w:t>
            </w:r>
            <w:r>
              <w:rPr>
                <w:sz w:val="21"/>
              </w:rPr>
              <w:t>2018—2021</w:t>
            </w:r>
            <w:r>
              <w:rPr>
                <w:spacing w:val="-19"/>
                <w:sz w:val="21"/>
              </w:rPr>
              <w:t> 年每年的 </w:t>
            </w:r>
            <w:r>
              <w:rPr>
                <w:sz w:val="21"/>
              </w:rPr>
              <w:t>3</w:t>
            </w:r>
            <w:r>
              <w:rPr>
                <w:spacing w:val="-27"/>
                <w:sz w:val="21"/>
              </w:rPr>
              <w:t> 月</w:t>
            </w:r>
          </w:p>
        </w:tc>
      </w:tr>
      <w:tr>
        <w:trPr>
          <w:trHeight w:val="274" w:hRule="atLeast"/>
        </w:trPr>
        <w:tc>
          <w:tcPr>
            <w:tcW w:w="1422" w:type="dxa"/>
            <w:tcBorders>
              <w:top w:val="nil"/>
              <w:bottom w:val="nil"/>
            </w:tcBorders>
          </w:tcPr>
          <w:p>
            <w:pPr>
              <w:pStyle w:val="TableParagraph"/>
              <w:rPr>
                <w:rFonts w:ascii="Times New Roman"/>
                <w:sz w:val="20"/>
              </w:rPr>
            </w:pPr>
          </w:p>
        </w:tc>
        <w:tc>
          <w:tcPr>
            <w:tcW w:w="1415" w:type="dxa"/>
            <w:tcBorders>
              <w:top w:val="nil"/>
            </w:tcBorders>
          </w:tcPr>
          <w:p>
            <w:pPr>
              <w:pStyle w:val="TableParagraph"/>
              <w:rPr>
                <w:rFonts w:ascii="Times New Roman"/>
                <w:sz w:val="20"/>
              </w:rPr>
            </w:pPr>
          </w:p>
        </w:tc>
        <w:tc>
          <w:tcPr>
            <w:tcW w:w="2125" w:type="dxa"/>
            <w:tcBorders>
              <w:top w:val="nil"/>
            </w:tcBorders>
          </w:tcPr>
          <w:p>
            <w:pPr>
              <w:pStyle w:val="TableParagraph"/>
              <w:rPr>
                <w:rFonts w:ascii="Times New Roman"/>
                <w:sz w:val="20"/>
              </w:rPr>
            </w:pPr>
          </w:p>
        </w:tc>
        <w:tc>
          <w:tcPr>
            <w:tcW w:w="3828" w:type="dxa"/>
            <w:tcBorders>
              <w:top w:val="nil"/>
            </w:tcBorders>
          </w:tcPr>
          <w:p>
            <w:pPr>
              <w:pStyle w:val="TableParagraph"/>
              <w:spacing w:line="241" w:lineRule="exact"/>
              <w:ind w:left="108"/>
              <w:rPr>
                <w:sz w:val="21"/>
              </w:rPr>
            </w:pPr>
            <w:r>
              <w:rPr>
                <w:sz w:val="21"/>
              </w:rPr>
              <w:t>1 日</w:t>
            </w:r>
          </w:p>
        </w:tc>
      </w:tr>
      <w:tr>
        <w:trPr>
          <w:trHeight w:val="313" w:hRule="atLeast"/>
        </w:trPr>
        <w:tc>
          <w:tcPr>
            <w:tcW w:w="1422" w:type="dxa"/>
            <w:tcBorders>
              <w:top w:val="nil"/>
              <w:bottom w:val="nil"/>
            </w:tcBorders>
          </w:tcPr>
          <w:p>
            <w:pPr>
              <w:pStyle w:val="TableParagraph"/>
              <w:rPr>
                <w:rFonts w:ascii="Times New Roman"/>
                <w:sz w:val="20"/>
              </w:rPr>
            </w:pPr>
          </w:p>
        </w:tc>
        <w:tc>
          <w:tcPr>
            <w:tcW w:w="1415" w:type="dxa"/>
            <w:tcBorders>
              <w:bottom w:val="nil"/>
            </w:tcBorders>
          </w:tcPr>
          <w:p>
            <w:pPr>
              <w:pStyle w:val="TableParagraph"/>
              <w:spacing w:line="263" w:lineRule="exact"/>
              <w:ind w:left="105"/>
              <w:rPr>
                <w:sz w:val="21"/>
              </w:rPr>
            </w:pPr>
            <w:r>
              <w:rPr>
                <w:sz w:val="21"/>
              </w:rPr>
              <w:t>妻子李女士</w:t>
            </w:r>
          </w:p>
        </w:tc>
        <w:tc>
          <w:tcPr>
            <w:tcW w:w="2125" w:type="dxa"/>
            <w:tcBorders>
              <w:bottom w:val="nil"/>
            </w:tcBorders>
          </w:tcPr>
          <w:p>
            <w:pPr>
              <w:pStyle w:val="TableParagraph"/>
              <w:spacing w:line="263" w:lineRule="exact"/>
              <w:ind w:left="143"/>
              <w:rPr>
                <w:sz w:val="21"/>
              </w:rPr>
            </w:pPr>
            <w:r>
              <w:rPr>
                <w:sz w:val="21"/>
              </w:rPr>
              <w:t>5 万×20 ×（5-2）</w:t>
            </w:r>
          </w:p>
        </w:tc>
        <w:tc>
          <w:tcPr>
            <w:tcW w:w="3828" w:type="dxa"/>
            <w:tcBorders>
              <w:bottom w:val="nil"/>
            </w:tcBorders>
          </w:tcPr>
          <w:p>
            <w:pPr>
              <w:pStyle w:val="TableParagraph"/>
              <w:spacing w:before="8"/>
              <w:ind w:left="107"/>
              <w:rPr>
                <w:sz w:val="21"/>
              </w:rPr>
            </w:pPr>
            <w:r>
              <w:rPr>
                <w:sz w:val="21"/>
              </w:rPr>
              <w:t>假设领了 2 次后不幸身故，剩余护理保</w:t>
            </w:r>
          </w:p>
        </w:tc>
      </w:tr>
      <w:tr>
        <w:trPr>
          <w:trHeight w:val="951" w:hRule="atLeast"/>
        </w:trPr>
        <w:tc>
          <w:tcPr>
            <w:tcW w:w="1422" w:type="dxa"/>
            <w:tcBorders>
              <w:top w:val="nil"/>
            </w:tcBorders>
          </w:tcPr>
          <w:p>
            <w:pPr>
              <w:pStyle w:val="TableParagraph"/>
              <w:rPr>
                <w:sz w:val="20"/>
              </w:rPr>
            </w:pPr>
          </w:p>
          <w:p>
            <w:pPr>
              <w:pStyle w:val="TableParagraph"/>
              <w:spacing w:before="9"/>
              <w:rPr>
                <w:sz w:val="15"/>
              </w:rPr>
            </w:pPr>
          </w:p>
          <w:p>
            <w:pPr>
              <w:pStyle w:val="TableParagraph"/>
              <w:spacing w:before="1"/>
              <w:ind w:left="109"/>
              <w:rPr>
                <w:sz w:val="21"/>
              </w:rPr>
            </w:pPr>
            <w:r>
              <w:rPr>
                <w:sz w:val="21"/>
              </w:rPr>
              <w:t>身故保险金</w:t>
            </w:r>
          </w:p>
        </w:tc>
        <w:tc>
          <w:tcPr>
            <w:tcW w:w="1415" w:type="dxa"/>
            <w:tcBorders>
              <w:top w:val="nil"/>
            </w:tcBorders>
          </w:tcPr>
          <w:p>
            <w:pPr>
              <w:pStyle w:val="TableParagraph"/>
              <w:spacing w:line="262" w:lineRule="exact"/>
              <w:ind w:left="105"/>
              <w:rPr>
                <w:sz w:val="21"/>
              </w:rPr>
            </w:pPr>
            <w:r>
              <w:rPr>
                <w:sz w:val="21"/>
              </w:rPr>
              <w:t>的继承人</w:t>
            </w:r>
          </w:p>
          <w:p>
            <w:pPr>
              <w:pStyle w:val="TableParagraph"/>
              <w:spacing w:before="10"/>
              <w:rPr>
                <w:sz w:val="15"/>
              </w:rPr>
            </w:pPr>
          </w:p>
          <w:p>
            <w:pPr>
              <w:pStyle w:val="TableParagraph"/>
              <w:ind w:left="285"/>
              <w:rPr>
                <w:sz w:val="21"/>
              </w:rPr>
            </w:pPr>
            <w:r>
              <w:rPr>
                <w:sz w:val="21"/>
              </w:rPr>
              <w:t>儿子小王</w:t>
            </w:r>
          </w:p>
        </w:tc>
        <w:tc>
          <w:tcPr>
            <w:tcW w:w="2125" w:type="dxa"/>
            <w:tcBorders>
              <w:top w:val="nil"/>
            </w:tcBorders>
          </w:tcPr>
          <w:p>
            <w:pPr>
              <w:pStyle w:val="TableParagraph"/>
              <w:spacing w:line="262" w:lineRule="exact"/>
              <w:ind w:left="195"/>
              <w:rPr>
                <w:sz w:val="21"/>
              </w:rPr>
            </w:pPr>
            <w:r>
              <w:rPr>
                <w:sz w:val="21"/>
              </w:rPr>
              <w:t>=3 万元（一次性）</w:t>
            </w:r>
          </w:p>
          <w:p>
            <w:pPr>
              <w:pStyle w:val="TableParagraph"/>
              <w:spacing w:line="273" w:lineRule="auto" w:before="50"/>
              <w:ind w:left="107" w:right="115"/>
              <w:rPr>
                <w:sz w:val="21"/>
              </w:rPr>
            </w:pPr>
            <w:r>
              <w:rPr>
                <w:sz w:val="21"/>
              </w:rPr>
              <w:t>所交保费与现金价值取大</w:t>
            </w:r>
          </w:p>
        </w:tc>
        <w:tc>
          <w:tcPr>
            <w:tcW w:w="3828" w:type="dxa"/>
            <w:tcBorders>
              <w:top w:val="nil"/>
            </w:tcBorders>
          </w:tcPr>
          <w:p>
            <w:pPr>
              <w:pStyle w:val="TableParagraph"/>
              <w:spacing w:line="241" w:lineRule="exact"/>
              <w:ind w:left="107"/>
              <w:rPr>
                <w:sz w:val="21"/>
              </w:rPr>
            </w:pPr>
            <w:r>
              <w:rPr>
                <w:sz w:val="21"/>
              </w:rPr>
              <w:t>险金一次性给付被保险人继承人</w:t>
            </w:r>
          </w:p>
          <w:p>
            <w:pPr>
              <w:pStyle w:val="TableParagraph"/>
              <w:spacing w:line="237" w:lineRule="auto" w:before="93"/>
              <w:ind w:left="107" w:right="95"/>
              <w:rPr>
                <w:sz w:val="21"/>
              </w:rPr>
            </w:pPr>
            <w:r>
              <w:rPr>
                <w:sz w:val="21"/>
              </w:rPr>
              <w:t>被保险人在达到重大疾病保险金给付条件之前身故</w:t>
            </w:r>
          </w:p>
        </w:tc>
      </w:tr>
    </w:tbl>
    <w:p>
      <w:pPr>
        <w:pStyle w:val="Heading4"/>
        <w:spacing w:line="355" w:lineRule="exact" w:before="3"/>
        <w:ind w:left="773"/>
      </w:pPr>
      <w:r>
        <w:rPr/>
        <w:t>以上举例仅供您更好地理解产品之用，您所购买产品的具体保险利益在保险合同中载明。</w:t>
      </w:r>
    </w:p>
    <w:p>
      <w:pPr>
        <w:spacing w:line="522"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22" w:lineRule="exact"/>
        <w:jc w:val="left"/>
        <w:rPr>
          <w:rFonts w:ascii="Microsoft JhengHei" w:hAnsi="Microsoft JhengHei" w:eastAsia="Microsoft JhengHei" w:hint="eastAsia"/>
          <w:sz w:val="21"/>
        </w:rPr>
        <w:sectPr>
          <w:type w:val="continuous"/>
          <w:pgSz w:w="11910" w:h="16840"/>
          <w:pgMar w:top="560" w:bottom="280" w:left="940" w:right="780"/>
        </w:sectPr>
      </w:pPr>
    </w:p>
    <w:p>
      <w:pPr>
        <w:spacing w:line="213" w:lineRule="exact" w:before="0"/>
        <w:ind w:left="1049"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80" w:val="left" w:leader="none"/>
        </w:tabs>
        <w:spacing w:line="228" w:lineRule="exact" w:before="0" w:after="0"/>
        <w:ind w:left="1679" w:right="0" w:hanging="420"/>
        <w:jc w:val="left"/>
        <w:rPr>
          <w:sz w:val="21"/>
        </w:rPr>
      </w:pPr>
      <w:r>
        <w:rPr>
          <w:sz w:val="21"/>
        </w:rPr>
        <w:t>保险责任</w:t>
      </w:r>
    </w:p>
    <w:p>
      <w:pPr>
        <w:pStyle w:val="ListParagraph"/>
        <w:numPr>
          <w:ilvl w:val="1"/>
          <w:numId w:val="2"/>
        </w:numPr>
        <w:tabs>
          <w:tab w:pos="1680" w:val="left" w:leader="none"/>
        </w:tabs>
        <w:spacing w:line="207" w:lineRule="exact" w:before="0" w:after="0"/>
        <w:ind w:left="1679" w:right="0" w:hanging="419"/>
        <w:jc w:val="left"/>
        <w:rPr>
          <w:sz w:val="21"/>
        </w:rPr>
      </w:pPr>
      <w:r>
        <w:rPr>
          <w:sz w:val="21"/>
        </w:rPr>
        <w:t>保险期间</w:t>
      </w:r>
    </w:p>
    <w:p>
      <w:pPr>
        <w:pStyle w:val="Heading4"/>
        <w:spacing w:line="285" w:lineRule="exact"/>
        <w:ind w:left="1049"/>
      </w:pPr>
      <w:r>
        <w:rPr>
          <w:rFonts w:ascii="宋体" w:eastAsia="宋体" w:hint="eastAsia"/>
        </w:rPr>
        <w:t>2.</w:t>
      </w:r>
      <w:r>
        <w:rPr/>
        <w:t>我们不保什么</w:t>
      </w:r>
    </w:p>
    <w:p>
      <w:pPr>
        <w:pStyle w:val="ListParagraph"/>
        <w:numPr>
          <w:ilvl w:val="1"/>
          <w:numId w:val="3"/>
        </w:numPr>
        <w:tabs>
          <w:tab w:pos="1680" w:val="left" w:leader="none"/>
        </w:tabs>
        <w:spacing w:line="228" w:lineRule="exact" w:before="0" w:after="0"/>
        <w:ind w:left="1679" w:right="0" w:hanging="420"/>
        <w:jc w:val="left"/>
        <w:rPr>
          <w:sz w:val="21"/>
        </w:rPr>
      </w:pPr>
      <w:r>
        <w:rPr>
          <w:sz w:val="21"/>
        </w:rPr>
        <w:t>责任免除</w:t>
      </w:r>
    </w:p>
    <w:p>
      <w:pPr>
        <w:pStyle w:val="ListParagraph"/>
        <w:numPr>
          <w:ilvl w:val="1"/>
          <w:numId w:val="3"/>
        </w:numPr>
        <w:tabs>
          <w:tab w:pos="1680" w:val="left" w:leader="none"/>
        </w:tabs>
        <w:spacing w:line="207" w:lineRule="exact" w:before="0" w:after="0"/>
        <w:ind w:left="1679" w:right="0" w:hanging="420"/>
        <w:jc w:val="left"/>
        <w:rPr>
          <w:sz w:val="21"/>
        </w:rPr>
      </w:pPr>
      <w:r>
        <w:rPr>
          <w:sz w:val="21"/>
        </w:rPr>
        <w:t>其他免责条款</w:t>
      </w:r>
    </w:p>
    <w:p>
      <w:pPr>
        <w:pStyle w:val="Heading4"/>
        <w:spacing w:line="285" w:lineRule="exact"/>
        <w:ind w:left="1049"/>
      </w:pPr>
      <w:r>
        <w:rPr>
          <w:rFonts w:ascii="宋体" w:eastAsia="宋体" w:hint="eastAsia"/>
        </w:rPr>
        <w:t>3.</w:t>
      </w:r>
      <w:r>
        <w:rPr/>
        <w:t>如何支付保险费</w:t>
      </w:r>
    </w:p>
    <w:p>
      <w:pPr>
        <w:pStyle w:val="ListParagraph"/>
        <w:numPr>
          <w:ilvl w:val="1"/>
          <w:numId w:val="4"/>
        </w:numPr>
        <w:tabs>
          <w:tab w:pos="1680" w:val="left" w:leader="none"/>
        </w:tabs>
        <w:spacing w:line="228" w:lineRule="exact" w:before="0" w:after="0"/>
        <w:ind w:left="1679" w:right="0" w:hanging="420"/>
        <w:jc w:val="left"/>
        <w:rPr>
          <w:sz w:val="21"/>
        </w:rPr>
      </w:pPr>
      <w:r>
        <w:rPr>
          <w:sz w:val="21"/>
        </w:rPr>
        <w:t>保险费的支付</w:t>
      </w:r>
    </w:p>
    <w:p>
      <w:pPr>
        <w:pStyle w:val="ListParagraph"/>
        <w:numPr>
          <w:ilvl w:val="1"/>
          <w:numId w:val="4"/>
        </w:numPr>
        <w:tabs>
          <w:tab w:pos="1680" w:val="left" w:leader="none"/>
        </w:tabs>
        <w:spacing w:line="240" w:lineRule="exact" w:before="0" w:after="0"/>
        <w:ind w:left="1679" w:right="0" w:hanging="420"/>
        <w:jc w:val="left"/>
        <w:rPr>
          <w:sz w:val="21"/>
        </w:rPr>
      </w:pPr>
      <w:r>
        <w:rPr>
          <w:sz w:val="21"/>
        </w:rPr>
        <w:t>宽限期</w:t>
      </w:r>
    </w:p>
    <w:p>
      <w:pPr>
        <w:pStyle w:val="ListParagraph"/>
        <w:numPr>
          <w:ilvl w:val="1"/>
          <w:numId w:val="4"/>
        </w:numPr>
        <w:tabs>
          <w:tab w:pos="1680" w:val="left" w:leader="none"/>
        </w:tabs>
        <w:spacing w:line="257" w:lineRule="exact" w:before="0" w:after="0"/>
        <w:ind w:left="1679" w:right="0" w:hanging="419"/>
        <w:jc w:val="left"/>
        <w:rPr>
          <w:sz w:val="21"/>
        </w:rPr>
      </w:pPr>
      <w:r>
        <w:rPr>
          <w:sz w:val="21"/>
        </w:rPr>
        <w:t>效力中止与恢复</w:t>
      </w:r>
    </w:p>
    <w:p>
      <w:pPr>
        <w:pStyle w:val="Heading4"/>
        <w:spacing w:line="205" w:lineRule="exact"/>
        <w:ind w:left="655"/>
      </w:pPr>
      <w:r>
        <w:rPr>
          <w:b w:val="0"/>
        </w:rPr>
        <w:br w:type="column"/>
      </w:r>
      <w:r>
        <w:rPr>
          <w:rFonts w:ascii="宋体" w:eastAsia="宋体" w:hint="eastAsia"/>
        </w:rPr>
        <w:t>4.</w:t>
      </w:r>
      <w:r>
        <w:rPr/>
        <w:t>如何领取保险金</w:t>
      </w:r>
    </w:p>
    <w:p>
      <w:pPr>
        <w:pStyle w:val="ListParagraph"/>
        <w:numPr>
          <w:ilvl w:val="1"/>
          <w:numId w:val="5"/>
        </w:numPr>
        <w:tabs>
          <w:tab w:pos="1286" w:val="left" w:leader="none"/>
        </w:tabs>
        <w:spacing w:line="228" w:lineRule="exact" w:before="0" w:after="0"/>
        <w:ind w:left="1285" w:right="0" w:hanging="420"/>
        <w:jc w:val="left"/>
        <w:rPr>
          <w:sz w:val="21"/>
        </w:rPr>
      </w:pPr>
      <w:r>
        <w:rPr>
          <w:sz w:val="21"/>
        </w:rPr>
        <w:t>受益人</w:t>
      </w:r>
    </w:p>
    <w:p>
      <w:pPr>
        <w:pStyle w:val="ListParagraph"/>
        <w:numPr>
          <w:ilvl w:val="1"/>
          <w:numId w:val="5"/>
        </w:numPr>
        <w:tabs>
          <w:tab w:pos="1286" w:val="left" w:leader="none"/>
        </w:tabs>
        <w:spacing w:line="240" w:lineRule="exact" w:before="0" w:after="0"/>
        <w:ind w:left="1285" w:right="0" w:hanging="420"/>
        <w:jc w:val="left"/>
        <w:rPr>
          <w:sz w:val="21"/>
        </w:rPr>
      </w:pPr>
      <w:r>
        <w:rPr>
          <w:sz w:val="21"/>
        </w:rPr>
        <w:t>保险金申请</w:t>
      </w:r>
    </w:p>
    <w:p>
      <w:pPr>
        <w:pStyle w:val="ListParagraph"/>
        <w:numPr>
          <w:ilvl w:val="1"/>
          <w:numId w:val="5"/>
        </w:numPr>
        <w:tabs>
          <w:tab w:pos="1286" w:val="left" w:leader="none"/>
        </w:tabs>
        <w:spacing w:line="207" w:lineRule="exact" w:before="0" w:after="0"/>
        <w:ind w:left="1285" w:right="0" w:hanging="420"/>
        <w:jc w:val="left"/>
        <w:rPr>
          <w:sz w:val="21"/>
        </w:rPr>
      </w:pPr>
      <w:r>
        <w:rPr>
          <w:sz w:val="21"/>
        </w:rPr>
        <w:t>保险金的给付</w:t>
      </w:r>
    </w:p>
    <w:p>
      <w:pPr>
        <w:pStyle w:val="Heading4"/>
        <w:spacing w:line="285" w:lineRule="exact"/>
        <w:ind w:left="655"/>
      </w:pPr>
      <w:r>
        <w:rPr>
          <w:rFonts w:ascii="宋体" w:eastAsia="宋体" w:hint="eastAsia"/>
        </w:rPr>
        <w:t>5.</w:t>
      </w:r>
      <w:r>
        <w:rPr/>
        <w:t>如何退保</w:t>
      </w:r>
    </w:p>
    <w:p>
      <w:pPr>
        <w:pStyle w:val="ListParagraph"/>
        <w:numPr>
          <w:ilvl w:val="1"/>
          <w:numId w:val="6"/>
        </w:numPr>
        <w:tabs>
          <w:tab w:pos="1286" w:val="left" w:leader="none"/>
        </w:tabs>
        <w:spacing w:line="228" w:lineRule="exact" w:before="0" w:after="0"/>
        <w:ind w:left="1285" w:right="0" w:hanging="420"/>
        <w:jc w:val="left"/>
        <w:rPr>
          <w:sz w:val="21"/>
        </w:rPr>
      </w:pPr>
      <w:r>
        <w:rPr>
          <w:sz w:val="21"/>
        </w:rPr>
        <w:t>犹豫期</w:t>
      </w:r>
    </w:p>
    <w:p>
      <w:pPr>
        <w:pStyle w:val="ListParagraph"/>
        <w:numPr>
          <w:ilvl w:val="1"/>
          <w:numId w:val="6"/>
        </w:numPr>
        <w:tabs>
          <w:tab w:pos="1290" w:val="left" w:leader="none"/>
        </w:tabs>
        <w:spacing w:line="208" w:lineRule="auto" w:before="18" w:after="0"/>
        <w:ind w:left="1285" w:right="0" w:hanging="420"/>
        <w:jc w:val="left"/>
        <w:rPr>
          <w:sz w:val="21"/>
        </w:rPr>
      </w:pPr>
      <w:r>
        <w:rPr>
          <w:sz w:val="21"/>
        </w:rPr>
        <w:t>您解除合同的手续及风险</w:t>
      </w:r>
    </w:p>
    <w:p>
      <w:pPr>
        <w:pStyle w:val="Heading4"/>
        <w:spacing w:line="234" w:lineRule="exact"/>
        <w:ind w:left="655"/>
      </w:pPr>
      <w:r>
        <w:rPr>
          <w:rFonts w:ascii="宋体" w:eastAsia="宋体" w:hint="eastAsia"/>
        </w:rPr>
        <w:t>6.</w:t>
      </w:r>
      <w:r>
        <w:rPr/>
        <w:t>其他权益</w:t>
      </w:r>
    </w:p>
    <w:p>
      <w:pPr>
        <w:pStyle w:val="ListParagraph"/>
        <w:numPr>
          <w:ilvl w:val="1"/>
          <w:numId w:val="7"/>
        </w:numPr>
        <w:tabs>
          <w:tab w:pos="1286" w:val="left" w:leader="none"/>
        </w:tabs>
        <w:spacing w:line="245" w:lineRule="exact" w:before="0" w:after="0"/>
        <w:ind w:left="1285" w:right="0" w:hanging="419"/>
        <w:jc w:val="left"/>
        <w:rPr>
          <w:sz w:val="21"/>
        </w:rPr>
      </w:pPr>
      <w:r>
        <w:rPr>
          <w:sz w:val="21"/>
        </w:rPr>
        <w:t>现金价值</w:t>
      </w:r>
    </w:p>
    <w:p>
      <w:pPr>
        <w:pStyle w:val="ListParagraph"/>
        <w:numPr>
          <w:ilvl w:val="1"/>
          <w:numId w:val="7"/>
        </w:numPr>
        <w:tabs>
          <w:tab w:pos="813" w:val="left" w:leader="none"/>
        </w:tabs>
        <w:spacing w:line="175" w:lineRule="exact" w:before="0" w:after="0"/>
        <w:ind w:left="812" w:right="0" w:hanging="420"/>
        <w:jc w:val="left"/>
        <w:rPr>
          <w:sz w:val="21"/>
        </w:rPr>
      </w:pPr>
      <w:r>
        <w:rPr>
          <w:sz w:val="21"/>
        </w:rPr>
        <w:br w:type="column"/>
        <w:t>减额交清</w:t>
      </w:r>
    </w:p>
    <w:p>
      <w:pPr>
        <w:pStyle w:val="Heading4"/>
        <w:spacing w:line="252" w:lineRule="exact"/>
        <w:ind w:left="182"/>
      </w:pPr>
      <w:r>
        <w:rPr>
          <w:rFonts w:ascii="宋体" w:eastAsia="宋体" w:hint="eastAsia"/>
        </w:rPr>
        <w:t>7.</w:t>
      </w:r>
      <w:r>
        <w:rPr/>
        <w:t>重大疾病释义</w:t>
      </w:r>
    </w:p>
    <w:p>
      <w:pPr>
        <w:spacing w:line="273" w:lineRule="exact" w:before="0"/>
        <w:ind w:left="182"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ListParagraph"/>
        <w:numPr>
          <w:ilvl w:val="1"/>
          <w:numId w:val="8"/>
        </w:numPr>
        <w:tabs>
          <w:tab w:pos="813" w:val="left" w:leader="none"/>
        </w:tabs>
        <w:spacing w:line="228" w:lineRule="exact" w:before="0" w:after="0"/>
        <w:ind w:left="812" w:right="0" w:hanging="420"/>
        <w:jc w:val="left"/>
        <w:rPr>
          <w:sz w:val="21"/>
        </w:rPr>
      </w:pPr>
      <w:r>
        <w:rPr>
          <w:sz w:val="21"/>
        </w:rPr>
        <w:t>合同订立</w:t>
      </w:r>
    </w:p>
    <w:p>
      <w:pPr>
        <w:pStyle w:val="ListParagraph"/>
        <w:numPr>
          <w:ilvl w:val="1"/>
          <w:numId w:val="8"/>
        </w:numPr>
        <w:tabs>
          <w:tab w:pos="813" w:val="left" w:leader="none"/>
        </w:tabs>
        <w:spacing w:line="240" w:lineRule="exact" w:before="0" w:after="0"/>
        <w:ind w:left="812" w:right="0" w:hanging="420"/>
        <w:jc w:val="left"/>
        <w:rPr>
          <w:sz w:val="21"/>
        </w:rPr>
      </w:pPr>
      <w:r>
        <w:rPr>
          <w:sz w:val="21"/>
        </w:rPr>
        <w:t>合同生效</w:t>
      </w:r>
    </w:p>
    <w:p>
      <w:pPr>
        <w:pStyle w:val="ListParagraph"/>
        <w:numPr>
          <w:ilvl w:val="1"/>
          <w:numId w:val="8"/>
        </w:numPr>
        <w:tabs>
          <w:tab w:pos="813" w:val="left" w:leader="none"/>
        </w:tabs>
        <w:spacing w:line="240" w:lineRule="exact" w:before="0" w:after="0"/>
        <w:ind w:left="812" w:right="0" w:hanging="420"/>
        <w:jc w:val="left"/>
        <w:rPr>
          <w:sz w:val="21"/>
        </w:rPr>
      </w:pPr>
      <w:r>
        <w:rPr>
          <w:sz w:val="21"/>
        </w:rPr>
        <w:t>投保年龄</w:t>
      </w:r>
    </w:p>
    <w:p>
      <w:pPr>
        <w:pStyle w:val="ListParagraph"/>
        <w:numPr>
          <w:ilvl w:val="1"/>
          <w:numId w:val="8"/>
        </w:numPr>
        <w:tabs>
          <w:tab w:pos="813" w:val="left" w:leader="none"/>
        </w:tabs>
        <w:spacing w:line="240" w:lineRule="exact" w:before="0" w:after="0"/>
        <w:ind w:left="812" w:right="0" w:hanging="419"/>
        <w:jc w:val="left"/>
        <w:rPr>
          <w:sz w:val="21"/>
        </w:rPr>
      </w:pPr>
      <w:r>
        <w:rPr>
          <w:sz w:val="21"/>
        </w:rPr>
        <w:t>年龄错误</w:t>
      </w:r>
    </w:p>
    <w:p>
      <w:pPr>
        <w:pStyle w:val="ListParagraph"/>
        <w:numPr>
          <w:ilvl w:val="1"/>
          <w:numId w:val="8"/>
        </w:numPr>
        <w:tabs>
          <w:tab w:pos="813" w:val="left" w:leader="none"/>
        </w:tabs>
        <w:spacing w:line="240" w:lineRule="exact" w:before="0" w:after="0"/>
        <w:ind w:left="812" w:right="0" w:hanging="420"/>
        <w:jc w:val="left"/>
        <w:rPr>
          <w:sz w:val="21"/>
        </w:rPr>
      </w:pPr>
      <w:r>
        <w:rPr>
          <w:sz w:val="21"/>
        </w:rPr>
        <w:t>未成年人身故保险金限制</w:t>
      </w:r>
    </w:p>
    <w:p>
      <w:pPr>
        <w:pStyle w:val="ListParagraph"/>
        <w:numPr>
          <w:ilvl w:val="1"/>
          <w:numId w:val="8"/>
        </w:numPr>
        <w:tabs>
          <w:tab w:pos="813" w:val="left" w:leader="none"/>
        </w:tabs>
        <w:spacing w:line="240" w:lineRule="exact" w:before="0" w:after="0"/>
        <w:ind w:left="812" w:right="0" w:hanging="420"/>
        <w:jc w:val="left"/>
        <w:rPr>
          <w:sz w:val="21"/>
        </w:rPr>
      </w:pPr>
      <w:r>
        <w:rPr>
          <w:sz w:val="21"/>
        </w:rPr>
        <w:t>效力终止</w:t>
      </w:r>
    </w:p>
    <w:p>
      <w:pPr>
        <w:pStyle w:val="ListParagraph"/>
        <w:numPr>
          <w:ilvl w:val="1"/>
          <w:numId w:val="8"/>
        </w:numPr>
        <w:tabs>
          <w:tab w:pos="813" w:val="left" w:leader="none"/>
        </w:tabs>
        <w:spacing w:line="257" w:lineRule="exact" w:before="0" w:after="0"/>
        <w:ind w:left="812" w:right="0" w:hanging="420"/>
        <w:jc w:val="left"/>
        <w:rPr>
          <w:sz w:val="21"/>
        </w:rPr>
      </w:pPr>
      <w:r>
        <w:rPr>
          <w:sz w:val="21"/>
        </w:rPr>
        <w:t>适用主险合同条款</w:t>
      </w:r>
    </w:p>
    <w:p>
      <w:pPr>
        <w:spacing w:after="0" w:line="257" w:lineRule="exact"/>
        <w:jc w:val="left"/>
        <w:rPr>
          <w:sz w:val="21"/>
        </w:rPr>
        <w:sectPr>
          <w:type w:val="continuous"/>
          <w:pgSz w:w="11910" w:h="16840"/>
          <w:pgMar w:top="560" w:bottom="280" w:left="940" w:right="780"/>
          <w:cols w:num="3" w:equalWidth="0">
            <w:col w:w="3159" w:space="40"/>
            <w:col w:w="2997" w:space="39"/>
            <w:col w:w="3955"/>
          </w:cols>
        </w:sectPr>
      </w:pPr>
    </w:p>
    <w:p>
      <w:pPr>
        <w:pStyle w:val="BodyText"/>
        <w:rPr>
          <w:sz w:val="20"/>
        </w:rPr>
      </w:pPr>
    </w:p>
    <w:p>
      <w:pPr>
        <w:pStyle w:val="BodyText"/>
        <w:spacing w:before="9"/>
        <w:rPr>
          <w:sz w:val="20"/>
        </w:rPr>
      </w:pPr>
    </w:p>
    <w:p>
      <w:pPr>
        <w:spacing w:line="316" w:lineRule="auto" w:before="45"/>
        <w:ind w:left="8261" w:right="122" w:firstLine="0"/>
        <w:jc w:val="left"/>
        <w:rPr>
          <w:sz w:val="18"/>
        </w:rPr>
      </w:pPr>
      <w:r>
        <w:rPr>
          <w:sz w:val="18"/>
        </w:rPr>
        <w:t>险种简称：尊享版重疾险种代码：1152</w:t>
      </w:r>
    </w:p>
    <w:p>
      <w:pPr>
        <w:spacing w:after="0" w:line="316" w:lineRule="auto"/>
        <w:jc w:val="left"/>
        <w:rPr>
          <w:sz w:val="18"/>
        </w:rPr>
        <w:sectPr>
          <w:type w:val="continuous"/>
          <w:pgSz w:w="11910" w:h="16840"/>
          <w:pgMar w:top="560" w:bottom="280" w:left="940" w:right="780"/>
        </w:sectPr>
      </w:pPr>
    </w:p>
    <w:p>
      <w:pPr>
        <w:pStyle w:val="BodyText"/>
        <w:ind w:left="219"/>
        <w:rPr>
          <w:sz w:val="20"/>
        </w:rPr>
      </w:pPr>
      <w:r>
        <w:rPr>
          <w:sz w:val="20"/>
        </w:rPr>
        <w:drawing>
          <wp:inline distT="0" distB="0" distL="0" distR="0">
            <wp:extent cx="2045780"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45780" cy="342042"/>
                    </a:xfrm>
                    <a:prstGeom prst="rect">
                      <a:avLst/>
                    </a:prstGeom>
                  </pic:spPr>
                </pic:pic>
              </a:graphicData>
            </a:graphic>
          </wp:inline>
        </w:drawing>
      </w:r>
      <w:r>
        <w:rPr>
          <w:sz w:val="20"/>
        </w:rPr>
      </w:r>
    </w:p>
    <w:p>
      <w:pPr>
        <w:pStyle w:val="BodyText"/>
        <w:spacing w:before="7"/>
        <w:rPr>
          <w:sz w:val="19"/>
        </w:rPr>
      </w:pPr>
      <w:r>
        <w:rPr/>
        <w:drawing>
          <wp:anchor distT="0" distB="0" distL="0" distR="0" allowOverlap="1" layoutInCell="1" locked="0" behindDoc="0" simplePos="0" relativeHeight="1072">
            <wp:simplePos x="0" y="0"/>
            <wp:positionH relativeFrom="page">
              <wp:posOffset>1497507</wp:posOffset>
            </wp:positionH>
            <wp:positionV relativeFrom="paragraph">
              <wp:posOffset>187240</wp:posOffset>
            </wp:positionV>
            <wp:extent cx="4715838"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38" cy="230504"/>
                    </a:xfrm>
                    <a:prstGeom prst="rect">
                      <a:avLst/>
                    </a:prstGeom>
                  </pic:spPr>
                </pic:pic>
              </a:graphicData>
            </a:graphic>
          </wp:anchor>
        </w:drawing>
      </w:r>
    </w:p>
    <w:p>
      <w:pPr>
        <w:pStyle w:val="BodyText"/>
        <w:spacing w:before="1"/>
        <w:rPr>
          <w:sz w:val="18"/>
        </w:rPr>
      </w:pPr>
    </w:p>
    <w:p>
      <w:pPr>
        <w:pStyle w:val="Heading1"/>
        <w:spacing w:line="507" w:lineRule="exact"/>
      </w:pPr>
      <w:r>
        <w:rPr/>
        <w:t>平安附加乐享福尊享版重大疾病保险条款</w:t>
      </w:r>
    </w:p>
    <w:p>
      <w:pPr>
        <w:pStyle w:val="BodyText"/>
        <w:spacing w:before="1"/>
        <w:rPr>
          <w:rFonts w:ascii="微软雅黑"/>
          <w:b/>
          <w:sz w:val="33"/>
        </w:rPr>
      </w:pPr>
    </w:p>
    <w:p>
      <w:pPr>
        <w:pStyle w:val="BodyText"/>
        <w:ind w:left="221"/>
      </w:pPr>
      <w:r>
        <w:rPr/>
        <w:t>在本条款中，“您”指投保人，“我们”、“本公司”均指中国平安人寿保险股份有限公司。</w:t>
      </w:r>
    </w:p>
    <w:p>
      <w:pPr>
        <w:pStyle w:val="BodyText"/>
        <w:spacing w:before="12"/>
        <w:rPr>
          <w:sz w:val="26"/>
        </w:rPr>
      </w:pPr>
    </w:p>
    <w:p>
      <w:pPr>
        <w:pStyle w:val="Heading2"/>
        <w:tabs>
          <w:tab w:pos="983" w:val="left" w:leader="none"/>
        </w:tabs>
        <w:spacing w:line="456" w:lineRule="exact" w:before="0"/>
        <w:ind w:left="315"/>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4"/>
        <w:rPr>
          <w:sz w:val="13"/>
        </w:rPr>
      </w:pPr>
      <w:r>
        <w:rPr/>
        <w:pict>
          <v:group style="position:absolute;margin-left:45.66pt;margin-top:10.687149pt;width:504pt;height:1pt;mso-position-horizontal-relative:page;mso-position-vertical-relative:paragraph;z-index:1096;mso-wrap-distance-left:0;mso-wrap-distance-right:0" coordorigin="913,214" coordsize="10080,20">
            <v:line style="position:absolute" from="913,223" to="1675,223" stroked="true" strokeweight=".96pt" strokecolor="#000000">
              <v:stroke dashstyle="solid"/>
            </v:line>
            <v:rect style="position:absolute;left:1675;top:213;width:20;height:20" filled="true" fillcolor="#000000" stroked="false">
              <v:fill type="solid"/>
            </v:rect>
            <v:line style="position:absolute" from="1694,223" to="3991,223" stroked="true" strokeweight=".96pt" strokecolor="#000000">
              <v:stroke dashstyle="solid"/>
            </v:line>
            <v:rect style="position:absolute;left:3991;top:213;width:20;height:20" filled="true" fillcolor="#000000" stroked="false">
              <v:fill type="solid"/>
            </v:rect>
            <v:line style="position:absolute" from="4010,223" to="10993,223" stroked="true" strokeweight=".96pt" strokecolor="#000000">
              <v:stroke dashstyle="solid"/>
            </v:line>
            <w10:wrap type="topAndBottom"/>
          </v:group>
        </w:pict>
      </w:r>
    </w:p>
    <w:p>
      <w:pPr>
        <w:pStyle w:val="BodyText"/>
        <w:spacing w:before="2"/>
        <w:rPr>
          <w:sz w:val="14"/>
        </w:rPr>
      </w:pPr>
    </w:p>
    <w:p>
      <w:pPr>
        <w:pStyle w:val="ListParagraph"/>
        <w:numPr>
          <w:ilvl w:val="1"/>
          <w:numId w:val="9"/>
        </w:numPr>
        <w:tabs>
          <w:tab w:pos="983" w:val="left" w:leader="none"/>
          <w:tab w:pos="984" w:val="left" w:leader="none"/>
          <w:tab w:pos="3299" w:val="left" w:leader="none"/>
        </w:tabs>
        <w:spacing w:line="240" w:lineRule="auto" w:before="35" w:after="0"/>
        <w:ind w:left="983" w:right="0" w:hanging="762"/>
        <w:jc w:val="left"/>
        <w:rPr>
          <w:sz w:val="21"/>
        </w:rPr>
      </w:pPr>
      <w:r>
        <w:rPr>
          <w:b/>
          <w:sz w:val="21"/>
        </w:rPr>
        <w:t>保险责任</w:t>
        <w:tab/>
      </w:r>
      <w:r>
        <w:rPr>
          <w:sz w:val="21"/>
        </w:rPr>
        <w:t>在本附加险合同保险期间内，我们承担如下保险责任：</w:t>
      </w:r>
    </w:p>
    <w:p>
      <w:pPr>
        <w:pStyle w:val="BodyText"/>
        <w:spacing w:before="9"/>
      </w:pPr>
    </w:p>
    <w:p>
      <w:pPr>
        <w:pStyle w:val="BodyText"/>
        <w:tabs>
          <w:tab w:pos="3299" w:val="left" w:leader="none"/>
        </w:tabs>
        <w:spacing w:line="266" w:lineRule="auto"/>
        <w:ind w:left="3299" w:right="112" w:hanging="2316"/>
      </w:pPr>
      <w:r>
        <w:rPr/>
        <w:pict>
          <v:rect style="position:absolute;margin-left:204.960007pt;margin-top:19.11936pt;width:339.3pt;height:13.62pt;mso-position-horizontal-relative:page;mso-position-vertical-relative:paragraph;z-index:-33352"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r>
        <w:rPr/>
        <w:t>经</w:t>
      </w:r>
      <w:r>
        <w:rPr>
          <w:rFonts w:ascii="黑体" w:hAnsi="黑体" w:eastAsia="黑体" w:hint="eastAsia"/>
          <w:b/>
        </w:rPr>
        <w:t>医院</w:t>
      </w:r>
      <w:r>
        <w:rPr>
          <w:rFonts w:ascii="黑体" w:hAnsi="黑体" w:eastAsia="黑体" w:hint="eastAsia"/>
          <w:b/>
          <w:spacing w:val="-41"/>
        </w:rPr>
        <w:t> </w:t>
      </w:r>
      <w:hyperlink w:history="true" w:anchor="_bookmark0">
        <w:r>
          <w:rPr>
            <w:rFonts w:ascii="黑体" w:hAnsi="黑体" w:eastAsia="黑体" w:hint="eastAsia"/>
            <w:b/>
            <w:position w:val="11"/>
            <w:sz w:val="11"/>
          </w:rPr>
          <w:t>1</w:t>
        </w:r>
      </w:hyperlink>
      <w:r>
        <w:rPr/>
        <w:t>确诊为本附加险合同约定</w:t>
      </w:r>
      <w:r>
        <w:rPr>
          <w:spacing w:val="-9"/>
        </w:rPr>
        <w:t>的</w:t>
      </w:r>
      <w:r>
        <w:rPr>
          <w:rFonts w:ascii="黑体" w:hAnsi="黑体" w:eastAsia="黑体" w:hint="eastAsia"/>
          <w:b/>
        </w:rPr>
        <w:t>“重大疾病</w:t>
      </w:r>
      <w:r>
        <w:rPr>
          <w:rFonts w:ascii="黑体" w:hAnsi="黑体" w:eastAsia="黑体" w:hint="eastAsia"/>
          <w:b/>
          <w:spacing w:val="-3"/>
        </w:rPr>
        <w:t>”</w:t>
      </w:r>
      <w:hyperlink w:history="true" w:anchor="_bookmark1">
        <w:r>
          <w:rPr>
            <w:rFonts w:ascii="黑体" w:hAnsi="黑体" w:eastAsia="黑体" w:hint="eastAsia"/>
            <w:b/>
            <w:spacing w:val="-3"/>
            <w:position w:val="11"/>
            <w:sz w:val="11"/>
          </w:rPr>
          <w:t>2</w:t>
        </w:r>
      </w:hyperlink>
      <w:r>
        <w:rPr>
          <w:spacing w:val="-3"/>
        </w:rPr>
        <w:t>，</w:t>
      </w:r>
      <w:r>
        <w:rPr/>
        <w:t>我们不承担保险责任， </w:t>
      </w:r>
      <w:r>
        <w:rPr>
          <w:shd w:fill="DADADA" w:color="auto" w:val="clear"/>
        </w:rPr>
        <w:t>退还本附加险合同的现金价值</w:t>
      </w:r>
      <w:r>
        <w:rPr>
          <w:spacing w:val="-20"/>
          <w:shd w:fill="DADADA" w:color="auto" w:val="clear"/>
        </w:rPr>
        <w:t>，</w:t>
      </w:r>
      <w:r>
        <w:rPr>
          <w:shd w:fill="DADADA" w:color="auto" w:val="clear"/>
        </w:rPr>
        <w:t>本附加险合同终止</w:t>
      </w:r>
      <w:r>
        <w:rPr>
          <w:spacing w:val="-20"/>
          <w:shd w:fill="DADADA" w:color="auto" w:val="clear"/>
        </w:rPr>
        <w:t>。</w:t>
      </w:r>
      <w:r>
        <w:rPr>
          <w:shd w:fill="DADADA" w:color="auto" w:val="clear"/>
        </w:rPr>
        <w:t>这</w:t>
      </w:r>
      <w:r>
        <w:rPr>
          <w:spacing w:val="-54"/>
          <w:shd w:fill="DADADA" w:color="auto" w:val="clear"/>
        </w:rPr>
        <w:t> </w:t>
      </w:r>
      <w:r>
        <w:rPr>
          <w:shd w:fill="DADADA" w:color="auto" w:val="clear"/>
        </w:rPr>
        <w:t>90</w:t>
      </w:r>
      <w:r>
        <w:rPr>
          <w:spacing w:val="-54"/>
          <w:shd w:fill="DADADA" w:color="auto" w:val="clear"/>
        </w:rPr>
        <w:t> </w:t>
      </w:r>
      <w:r>
        <w:rPr>
          <w:shd w:fill="DADADA" w:color="auto" w:val="clear"/>
        </w:rPr>
        <w:t>日的时间称为等待期</w:t>
      </w:r>
      <w:r>
        <w:rPr>
          <w:spacing w:val="-108"/>
        </w:rPr>
        <w:t>；</w:t>
      </w:r>
      <w:r>
        <w:rPr/>
        <w:t>被保险人因</w:t>
      </w:r>
      <w:r>
        <w:rPr>
          <w:rFonts w:ascii="黑体" w:hAnsi="黑体" w:eastAsia="黑体" w:hint="eastAsia"/>
          <w:b/>
        </w:rPr>
        <w:t>意外伤害</w:t>
      </w:r>
      <w:r>
        <w:rPr>
          <w:rFonts w:ascii="黑体" w:hAnsi="黑体" w:eastAsia="黑体" w:hint="eastAsia"/>
          <w:b/>
          <w:spacing w:val="-42"/>
        </w:rPr>
        <w:t> </w:t>
      </w:r>
      <w:hyperlink w:history="true" w:anchor="_bookmark2">
        <w:r>
          <w:rPr>
            <w:rFonts w:ascii="黑体" w:hAnsi="黑体" w:eastAsia="黑体" w:hint="eastAsia"/>
            <w:b/>
            <w:position w:val="11"/>
            <w:sz w:val="11"/>
          </w:rPr>
          <w:t>3</w:t>
        </w:r>
      </w:hyperlink>
      <w:r>
        <w:rPr/>
        <w:t>发生上述情形的，无等待期。</w:t>
      </w:r>
    </w:p>
    <w:p>
      <w:pPr>
        <w:pStyle w:val="BodyText"/>
        <w:spacing w:line="273" w:lineRule="auto" w:before="10"/>
        <w:ind w:left="3299" w:right="220"/>
        <w:jc w:val="both"/>
      </w:pPr>
      <w:r>
        <w:rPr/>
        <w:t>如果在等待期后发生保险事故，我们按照下列方式给付重大疾病保险金及护理保险金：</w:t>
      </w:r>
    </w:p>
    <w:p>
      <w:pPr>
        <w:pStyle w:val="BodyText"/>
        <w:spacing w:before="5"/>
        <w:rPr>
          <w:sz w:val="19"/>
        </w:rPr>
      </w:pPr>
    </w:p>
    <w:p>
      <w:pPr>
        <w:pStyle w:val="BodyText"/>
        <w:tabs>
          <w:tab w:pos="3299" w:val="left" w:leader="none"/>
        </w:tabs>
        <w:ind w:left="983"/>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t>被保险人经医院确诊初次发生本附加险合同约定</w:t>
      </w:r>
      <w:r>
        <w:rPr>
          <w:spacing w:val="-20"/>
        </w:rPr>
        <w:t>的</w:t>
      </w:r>
      <w:r>
        <w:rPr/>
        <w:t>“重大疾病</w:t>
      </w:r>
      <w:r>
        <w:rPr>
          <w:spacing w:val="-105"/>
        </w:rPr>
        <w:t>”</w:t>
      </w:r>
      <w:r>
        <w:rPr>
          <w:spacing w:val="-20"/>
        </w:rPr>
        <w:t>，</w:t>
      </w:r>
      <w:r>
        <w:rPr/>
        <w:t>我</w:t>
      </w:r>
      <w:r>
        <w:rPr>
          <w:spacing w:val="-2"/>
        </w:rPr>
        <w:t>们</w:t>
      </w:r>
      <w:r>
        <w:rPr/>
        <w:t>按照</w:t>
      </w:r>
    </w:p>
    <w:p>
      <w:pPr>
        <w:spacing w:before="21"/>
        <w:ind w:left="3299" w:right="0" w:firstLine="0"/>
        <w:jc w:val="left"/>
        <w:rPr>
          <w:sz w:val="21"/>
        </w:rPr>
      </w:pP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给付重大疾病保险金。</w:t>
      </w:r>
    </w:p>
    <w:p>
      <w:pPr>
        <w:pStyle w:val="BodyText"/>
        <w:spacing w:before="10"/>
      </w:pPr>
    </w:p>
    <w:p>
      <w:pPr>
        <w:pStyle w:val="BodyText"/>
        <w:tabs>
          <w:tab w:pos="3299" w:val="left" w:leader="none"/>
        </w:tabs>
        <w:spacing w:line="254" w:lineRule="auto"/>
        <w:ind w:left="3299" w:right="218" w:hanging="2317"/>
      </w:pPr>
      <w:r>
        <w:rPr>
          <w:rFonts w:ascii="等线" w:hAnsi="等线" w:eastAsia="等线" w:hint="eastAsia"/>
          <w:b/>
          <w:position w:val="1"/>
          <w:sz w:val="24"/>
        </w:rPr>
        <w:t>护</w:t>
      </w:r>
      <w:r>
        <w:rPr>
          <w:rFonts w:ascii="等线" w:hAnsi="等线" w:eastAsia="等线" w:hint="eastAsia"/>
          <w:b/>
          <w:spacing w:val="0"/>
          <w:position w:val="1"/>
          <w:sz w:val="24"/>
        </w:rPr>
        <w:t>理</w:t>
      </w:r>
      <w:r>
        <w:rPr>
          <w:rFonts w:ascii="等线" w:hAnsi="等线" w:eastAsia="等线" w:hint="eastAsia"/>
          <w:b/>
          <w:position w:val="1"/>
          <w:sz w:val="24"/>
        </w:rPr>
        <w:t>保险金</w:t>
        <w:tab/>
      </w:r>
      <w:r>
        <w:rPr/>
        <w:t>被保险人经医院确诊初次发生本附加险合同约定</w:t>
      </w:r>
      <w:r>
        <w:rPr>
          <w:spacing w:val="-20"/>
        </w:rPr>
        <w:t>的</w:t>
      </w:r>
      <w:r>
        <w:rPr/>
        <w:t>“重大疾病</w:t>
      </w:r>
      <w:r>
        <w:rPr>
          <w:spacing w:val="-105"/>
        </w:rPr>
        <w:t>”</w:t>
      </w:r>
      <w:r>
        <w:rPr>
          <w:spacing w:val="-20"/>
        </w:rPr>
        <w:t>，</w:t>
      </w:r>
      <w:r>
        <w:rPr/>
        <w:t>我</w:t>
      </w:r>
      <w:r>
        <w:rPr>
          <w:spacing w:val="-2"/>
        </w:rPr>
        <w:t>们</w:t>
      </w:r>
      <w:r>
        <w:rPr/>
        <w:t>除按前项给付重大疾病保险金外，还将给付护理保险金。</w:t>
      </w:r>
    </w:p>
    <w:p>
      <w:pPr>
        <w:pStyle w:val="BodyText"/>
        <w:spacing w:line="273" w:lineRule="auto" w:before="24"/>
        <w:ind w:left="3299" w:right="215"/>
        <w:jc w:val="both"/>
      </w:pPr>
      <w:r>
        <w:rPr>
          <w:spacing w:val="-7"/>
        </w:rPr>
        <w:t>护理保险金给付 </w:t>
      </w:r>
      <w:r>
        <w:rPr/>
        <w:t>5</w:t>
      </w:r>
      <w:r>
        <w:rPr>
          <w:spacing w:val="-14"/>
        </w:rPr>
        <w:t> 次，每次给付基本保险金额的 </w:t>
      </w:r>
      <w:r>
        <w:rPr/>
        <w:t>20%</w:t>
      </w:r>
      <w:r>
        <w:rPr>
          <w:spacing w:val="-7"/>
        </w:rPr>
        <w:t>。首次护理保险金与重大疾病保险金一起给付，以后各次护理保险金分别于重大疾病确诊日之后</w:t>
      </w:r>
      <w:r>
        <w:rPr>
          <w:spacing w:val="-19"/>
        </w:rPr>
        <w:t>的第 </w:t>
      </w:r>
      <w:r>
        <w:rPr/>
        <w:t>2</w:t>
      </w:r>
      <w:r>
        <w:rPr>
          <w:spacing w:val="-22"/>
        </w:rPr>
        <w:t> 至第 </w:t>
      </w:r>
      <w:r>
        <w:rPr/>
        <w:t>5</w:t>
      </w:r>
      <w:r>
        <w:rPr>
          <w:spacing w:val="-9"/>
        </w:rPr>
        <w:t> 个保单周年日依次给付。护理保险金累计给付达到 </w:t>
      </w:r>
      <w:r>
        <w:rPr/>
        <w:t>5</w:t>
      </w:r>
      <w:r>
        <w:rPr>
          <w:spacing w:val="-11"/>
        </w:rPr>
        <w:t> 次时， 本附加险合同终止。</w:t>
      </w:r>
    </w:p>
    <w:p>
      <w:pPr>
        <w:pStyle w:val="BodyText"/>
        <w:spacing w:line="273" w:lineRule="auto" w:before="8"/>
        <w:ind w:left="3299" w:right="215"/>
        <w:jc w:val="both"/>
      </w:pPr>
      <w:r>
        <w:rPr>
          <w:spacing w:val="-4"/>
        </w:rPr>
        <w:t>若未领满 </w:t>
      </w:r>
      <w:r>
        <w:rPr/>
        <w:t>5</w:t>
      </w:r>
      <w:r>
        <w:rPr>
          <w:spacing w:val="-5"/>
        </w:rPr>
        <w:t> 次护理保险金被保险人即身故，我们将剩余的护理保险金一次性给付护理保险金受益人，本附加险合同终止。若护理保险金受益人与被保险人为同一人，则将此金额给付被保险人的继承人。</w:t>
      </w:r>
    </w:p>
    <w:p>
      <w:pPr>
        <w:pStyle w:val="BodyText"/>
        <w:spacing w:before="6"/>
        <w:rPr>
          <w:sz w:val="19"/>
        </w:rPr>
      </w:pPr>
    </w:p>
    <w:p>
      <w:pPr>
        <w:pStyle w:val="BodyText"/>
        <w:tabs>
          <w:tab w:pos="3299" w:val="left" w:leader="none"/>
        </w:tabs>
        <w:spacing w:line="254" w:lineRule="auto" w:before="1"/>
        <w:ind w:left="3299" w:right="216" w:hanging="2316"/>
      </w:pPr>
      <w:r>
        <w:rPr>
          <w:rFonts w:ascii="等线" w:eastAsia="等线" w:hint="eastAsia"/>
          <w:b/>
          <w:position w:val="1"/>
          <w:sz w:val="24"/>
        </w:rPr>
        <w:t>身故保险金</w:t>
        <w:tab/>
      </w:r>
      <w:r>
        <w:rPr/>
        <w:t>若被保险人在达到重大疾病保险金给付条件之前身故，我们按下列两者的 较大值给付身故保险金，本附加险合同终止：</w:t>
      </w:r>
    </w:p>
    <w:p>
      <w:pPr>
        <w:pStyle w:val="BodyText"/>
        <w:spacing w:before="11"/>
        <w:rPr>
          <w:sz w:val="16"/>
        </w:rPr>
      </w:pPr>
      <w:r>
        <w:rPr/>
        <w:pict>
          <v:line style="position:absolute;mso-position-horizontal-relative:page;mso-position-vertical-relative:paragraph;z-index:1120;mso-wrap-distance-left:0;mso-wrap-distance-right:0" from="51.060001pt,13.281427pt" to="195.060001pt,13.281427pt" stroked="true" strokeweight=".54pt" strokecolor="#000000">
            <v:stroke dashstyle="solid"/>
            <w10:wrap type="topAndBottom"/>
          </v:line>
        </w:pict>
      </w:r>
    </w:p>
    <w:p>
      <w:pPr>
        <w:spacing w:line="218" w:lineRule="auto" w:before="1"/>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w:t>
      </w:r>
    </w:p>
    <w:p>
      <w:pPr>
        <w:spacing w:line="226" w:lineRule="exact" w:before="0"/>
        <w:ind w:left="366" w:right="0" w:firstLine="0"/>
        <w:jc w:val="left"/>
        <w:rPr>
          <w:sz w:val="18"/>
        </w:rPr>
      </w:pPr>
      <w:r>
        <w:rPr>
          <w:sz w:val="18"/>
        </w:rPr>
        <w:t>且全天二十四小时有合格医师及护士驻院提供医疗及护理服务。</w:t>
      </w:r>
    </w:p>
    <w:p>
      <w:pPr>
        <w:spacing w:line="305" w:lineRule="exact" w:before="0"/>
        <w:ind w:left="366" w:right="0"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366" w:right="217" w:firstLine="0"/>
        <w:jc w:val="both"/>
        <w:rPr>
          <w:sz w:val="18"/>
        </w:rPr>
      </w:pPr>
      <w:r>
        <w:rPr>
          <w:spacing w:val="-3"/>
          <w:sz w:val="18"/>
        </w:rPr>
        <w:t>或手术应当由专科医生明确诊断。专科医生应当同时满足以下四项资格条件：</w:t>
      </w:r>
      <w:r>
        <w:rPr>
          <w:sz w:val="18"/>
        </w:rPr>
        <w:t>（1）具有有效的中华人民共和国《医师资格证</w:t>
      </w: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366" w:right="221" w:hanging="146"/>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900" w:bottom="280" w:left="800" w:right="800"/>
        </w:sectPr>
      </w:pPr>
    </w:p>
    <w:p>
      <w:pPr>
        <w:pStyle w:val="BodyText"/>
        <w:spacing w:before="20"/>
        <w:ind w:left="3179"/>
      </w:pPr>
      <w:r>
        <w:rPr/>
        <w:t>（1）本附加险合同的所交保险费；</w:t>
      </w:r>
    </w:p>
    <w:p>
      <w:pPr>
        <w:pStyle w:val="BodyText"/>
        <w:spacing w:before="36"/>
        <w:ind w:left="3179"/>
      </w:pPr>
      <w:r>
        <w:rPr/>
        <w:t>（2）被保险人身故当时本附加险合同的现金价值。</w:t>
      </w:r>
    </w:p>
    <w:p>
      <w:pPr>
        <w:pStyle w:val="BodyText"/>
        <w:spacing w:line="273" w:lineRule="auto" w:before="36"/>
        <w:ind w:left="3179" w:right="117"/>
      </w:pPr>
      <w:r>
        <w:rPr/>
        <w:t>上述所交保险费按照身故当时的基本保险金额确定的年交保险费和保单年度数（交费期满后为交费年度数）计算。</w:t>
      </w:r>
    </w:p>
    <w:p>
      <w:pPr>
        <w:pStyle w:val="BodyText"/>
        <w:spacing w:line="273" w:lineRule="auto" w:before="7"/>
        <w:ind w:left="3179" w:right="117"/>
      </w:pPr>
      <w:r>
        <w:rPr>
          <w:shd w:fill="DADADA" w:color="auto" w:val="clear"/>
        </w:rPr>
        <w:t>若被保险人在达到重大疾病保险金给付条件之后身故，我们不承担给付身故保险金的责任。</w:t>
      </w:r>
    </w:p>
    <w:p>
      <w:pPr>
        <w:pStyle w:val="BodyText"/>
        <w:spacing w:before="4"/>
        <w:rPr>
          <w:sz w:val="18"/>
        </w:rPr>
      </w:pPr>
    </w:p>
    <w:p>
      <w:pPr>
        <w:spacing w:after="0"/>
        <w:rPr>
          <w:sz w:val="18"/>
        </w:rPr>
        <w:sectPr>
          <w:pgSz w:w="11910" w:h="16840"/>
          <w:pgMar w:top="1080" w:bottom="280" w:left="920" w:right="900"/>
        </w:sectPr>
      </w:pPr>
    </w:p>
    <w:p>
      <w:pPr>
        <w:pStyle w:val="Heading2"/>
        <w:spacing w:line="232" w:lineRule="auto" w:before="30"/>
        <w:ind w:left="863"/>
      </w:pPr>
      <w:r>
        <w:rPr/>
        <w:t>我们所保障的重大疾病</w:t>
      </w:r>
    </w:p>
    <w:p>
      <w:pPr>
        <w:pStyle w:val="BodyText"/>
        <w:spacing w:line="273" w:lineRule="auto" w:before="52"/>
        <w:ind w:left="150" w:right="119"/>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p>
      <w:pPr>
        <w:pStyle w:val="Heading4"/>
        <w:spacing w:before="16"/>
        <w:ind w:left="263"/>
        <w:rPr>
          <w:rFonts w:ascii="宋体" w:eastAsia="宋体" w:hint="eastAsia"/>
        </w:rPr>
      </w:pPr>
      <w:r>
        <w:rPr/>
        <w:pict>
          <v:group style="position:absolute;margin-left:204.960007pt;margin-top:1.063684pt;width:336.8pt;height:481.3pt;mso-position-horizontal-relative:page;mso-position-vertical-relative:paragraph;z-index:-33328" coordorigin="4099,21" coordsize="6736,9626">
            <v:shape style="position:absolute;left:4108;top:26;width:6717;height:322" coordorigin="4109,26" coordsize="6717,322" path="m4109,26l10825,26m4109,348l6569,348e" filled="false" stroked="true" strokeweight=".48pt" strokecolor="#000000">
              <v:path arrowok="t"/>
              <v:stroke dashstyle="solid"/>
            </v:shape>
            <v:rect style="position:absolute;left:6568;top:342;width:10;height:10" filled="true" fillcolor="#000000" stroked="false">
              <v:fill type="solid"/>
            </v:rect>
            <v:shape style="position:absolute;left:4108;top:347;width:6717;height:478" coordorigin="4109,348" coordsize="6717,478" path="m6578,348l10825,348m4109,825l6569,825e" filled="false" stroked="true" strokeweight=".48pt" strokecolor="#000000">
              <v:path arrowok="t"/>
              <v:stroke dashstyle="solid"/>
            </v:shape>
            <v:rect style="position:absolute;left:6568;top:820;width:10;height:10" filled="true" fillcolor="#000000" stroked="false">
              <v:fill type="solid"/>
            </v:rect>
            <v:line style="position:absolute" from="6578,825" to="10825,825" stroked="true" strokeweight=".48pt" strokecolor="#000000">
              <v:stroke dashstyle="solid"/>
            </v:line>
            <v:line style="position:absolute" from="4109,1148" to="6569,1148" stroked="true" strokeweight=".481pt" strokecolor="#000000">
              <v:stroke dashstyle="solid"/>
            </v:line>
            <v:rect style="position:absolute;left:6568;top:1143;width:10;height:10" filled="true" fillcolor="#000000" stroked="false">
              <v:fill type="solid"/>
            </v:rect>
            <v:shape style="position:absolute;left:4108;top:1148;width:6717;height:1570" coordorigin="4109,1148" coordsize="6717,1570" path="m6578,1148l10825,1148m4109,2718l6569,2718e" filled="false" stroked="true" strokeweight=".481pt" strokecolor="#000000">
              <v:path arrowok="t"/>
              <v:stroke dashstyle="solid"/>
            </v:shape>
            <v:rect style="position:absolute;left:6568;top:2712;width:10;height:10" filled="true" fillcolor="#000000" stroked="false">
              <v:fill type="solid"/>
            </v:rect>
            <v:line style="position:absolute" from="6578,2718" to="10825,2718" stroked="true" strokeweight=".481pt" strokecolor="#000000">
              <v:stroke dashstyle="solid"/>
            </v:line>
            <v:line style="position:absolute" from="4109,3039" to="6569,3039" stroked="true" strokeweight=".48pt" strokecolor="#000000">
              <v:stroke dashstyle="solid"/>
            </v:line>
            <v:rect style="position:absolute;left:6568;top:3034;width:10;height:10" filled="true" fillcolor="#000000" stroked="false">
              <v:fill type="solid"/>
            </v:rect>
            <v:shape style="position:absolute;left:4108;top:3039;width:6717;height:2819" coordorigin="4109,3039" coordsize="6717,2819" path="m6578,3039l10825,3039m4109,5858l6569,5858e" filled="false" stroked="true" strokeweight=".48pt" strokecolor="#000000">
              <v:path arrowok="t"/>
              <v:stroke dashstyle="solid"/>
            </v:shape>
            <v:rect style="position:absolute;left:6568;top:5853;width:10;height:10" filled="true" fillcolor="#000000" stroked="false">
              <v:fill type="solid"/>
            </v:rect>
            <v:shape style="position:absolute;left:4108;top:5858;width:6717;height:322" coordorigin="4109,5858" coordsize="6717,322" path="m6578,5858l10825,5858m4109,6180l6569,6180e" filled="false" stroked="true" strokeweight=".48pt" strokecolor="#000000">
              <v:path arrowok="t"/>
              <v:stroke dashstyle="solid"/>
            </v:shape>
            <v:rect style="position:absolute;left:6568;top:6174;width:10;height:10" filled="true" fillcolor="#000000" stroked="false">
              <v:fill type="solid"/>
            </v:rect>
            <v:line style="position:absolute" from="6578,6180" to="10825,6180" stroked="true" strokeweight=".48pt" strokecolor="#000000">
              <v:stroke dashstyle="solid"/>
            </v:line>
            <v:line style="position:absolute" from="4109,8061" to="6569,8061" stroked="true" strokeweight=".48pt" strokecolor="#000000">
              <v:stroke dashstyle="solid"/>
            </v:line>
            <v:rect style="position:absolute;left:6568;top:8056;width:10;height:10" filled="true" fillcolor="#000000" stroked="false">
              <v:fill type="solid"/>
            </v:rect>
            <v:line style="position:absolute" from="6578,8061" to="10825,8061" stroked="true" strokeweight=".48pt" strokecolor="#000000">
              <v:stroke dashstyle="solid"/>
            </v:line>
            <v:line style="position:absolute" from="4109,8384" to="6569,8384" stroked="true" strokeweight=".481pt" strokecolor="#000000">
              <v:stroke dashstyle="solid"/>
            </v:line>
            <v:rect style="position:absolute;left:6568;top:8379;width:10;height:10" filled="true" fillcolor="#000000" stroked="false">
              <v:fill type="solid"/>
            </v:rect>
            <v:shape style="position:absolute;left:4104;top:21;width:6722;height:9626" coordorigin="4104,21" coordsize="6722,9626" path="m6578,8384l10825,8384m4104,21l4104,9646e" filled="false" stroked="true" strokeweight=".481pt" strokecolor="#000000">
              <v:path arrowok="t"/>
              <v:stroke dashstyle="solid"/>
            </v:shape>
            <v:line style="position:absolute" from="4109,9642" to="6569,9642" stroked="true" strokeweight=".48pt" strokecolor="#000000">
              <v:stroke dashstyle="solid"/>
            </v:line>
            <v:rect style="position:absolute;left:6554;top:9636;width:10;height:10" filled="true" fillcolor="#000000" stroked="false">
              <v:fill type="solid"/>
            </v:rect>
            <v:line style="position:absolute" from="6564,9642" to="10825,9642" stroked="true" strokeweight=".48pt" strokecolor="#000000">
              <v:stroke dashstyle="solid"/>
            </v:line>
            <v:line style="position:absolute" from="10830,21" to="10830,9646" stroked="true" strokeweight=".48pt" strokecolor="#000000">
              <v:stroke dashstyle="solid"/>
            </v:line>
            <w10:wrap type="none"/>
          </v:group>
        </w:pict>
      </w:r>
      <w:r>
        <w:rPr>
          <w:rFonts w:ascii="宋体" w:eastAsia="宋体" w:hint="eastAsia"/>
        </w:rPr>
        <w:t>第 1 类：与恶性肿瘤相关的疾病</w:t>
      </w:r>
    </w:p>
    <w:p>
      <w:pPr>
        <w:tabs>
          <w:tab w:pos="2728" w:val="left" w:leader="none"/>
        </w:tabs>
        <w:spacing w:line="350" w:lineRule="auto" w:before="124"/>
        <w:ind w:left="263" w:right="863"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5"/>
          <w:sz w:val="21"/>
        </w:rPr>
        <w:t> </w:t>
      </w:r>
      <w:r>
        <w:rPr>
          <w:b/>
          <w:sz w:val="21"/>
        </w:rPr>
        <w:t>2</w:t>
      </w:r>
      <w:r>
        <w:rPr>
          <w:b/>
          <w:spacing w:val="-56"/>
          <w:sz w:val="21"/>
        </w:rPr>
        <w:t> </w:t>
      </w:r>
      <w:r>
        <w:rPr>
          <w:b/>
          <w:sz w:val="21"/>
        </w:rPr>
        <w:t>类：与心脏或脑血管相关的疾病</w:t>
      </w:r>
    </w:p>
    <w:p>
      <w:pPr>
        <w:spacing w:after="0" w:line="350" w:lineRule="auto"/>
        <w:jc w:val="left"/>
        <w:rPr>
          <w:sz w:val="21"/>
        </w:rPr>
        <w:sectPr>
          <w:type w:val="continuous"/>
          <w:pgSz w:w="11910" w:h="16840"/>
          <w:pgMar w:top="560" w:bottom="280" w:left="920" w:right="900"/>
          <w:cols w:num="2" w:equalWidth="0">
            <w:col w:w="2989" w:space="40"/>
            <w:col w:w="7061"/>
          </w:cols>
        </w:sectPr>
      </w:pPr>
    </w:p>
    <w:p>
      <w:pPr>
        <w:pStyle w:val="BodyText"/>
        <w:spacing w:line="225" w:lineRule="exact"/>
        <w:ind w:left="3292"/>
      </w:pPr>
      <w:r>
        <w:rPr/>
        <w:t>3、急性心肌梗塞</w:t>
      </w:r>
    </w:p>
    <w:p>
      <w:pPr>
        <w:pStyle w:val="BodyText"/>
        <w:spacing w:before="37"/>
        <w:ind w:left="3292"/>
      </w:pPr>
      <w:r>
        <w:rPr/>
        <w:t>5、心脏瓣膜手术</w:t>
      </w:r>
    </w:p>
    <w:p>
      <w:pPr>
        <w:pStyle w:val="BodyText"/>
        <w:spacing w:before="37"/>
        <w:ind w:left="3292"/>
      </w:pPr>
      <w:r>
        <w:rPr/>
        <w:t>7、脑中风后遗症</w:t>
      </w:r>
    </w:p>
    <w:p>
      <w:pPr>
        <w:pStyle w:val="BodyText"/>
        <w:spacing w:before="37"/>
        <w:ind w:left="3292"/>
      </w:pPr>
      <w:r>
        <w:rPr/>
        <w:t>9、主动脉手术</w:t>
      </w:r>
    </w:p>
    <w:p>
      <w:pPr>
        <w:pStyle w:val="BodyText"/>
        <w:spacing w:before="37"/>
        <w:ind w:left="3292"/>
      </w:pPr>
      <w:r>
        <w:rPr>
          <w:spacing w:val="-1"/>
        </w:rPr>
        <w:t>10</w:t>
      </w:r>
      <w:r>
        <w:rPr>
          <w:spacing w:val="-8"/>
        </w:rPr>
        <w:t>、严重感染性心内膜炎</w:t>
      </w:r>
    </w:p>
    <w:p>
      <w:pPr>
        <w:pStyle w:val="BodyText"/>
        <w:spacing w:line="225" w:lineRule="exact"/>
        <w:ind w:left="175"/>
      </w:pPr>
      <w:r>
        <w:rPr/>
        <w:br w:type="column"/>
      </w:r>
      <w:r>
        <w:rPr/>
        <w:t>4、严重原发性肺动脉高压</w:t>
      </w:r>
    </w:p>
    <w:p>
      <w:pPr>
        <w:pStyle w:val="BodyText"/>
        <w:spacing w:before="37"/>
        <w:ind w:left="175"/>
      </w:pPr>
      <w:r>
        <w:rPr/>
        <w:t>6、严重的原发性心肌病</w:t>
      </w:r>
    </w:p>
    <w:p>
      <w:pPr>
        <w:pStyle w:val="BodyText"/>
        <w:spacing w:line="273" w:lineRule="auto" w:before="37"/>
        <w:ind w:left="491" w:right="220" w:hanging="316"/>
      </w:pPr>
      <w:r>
        <w:rPr/>
        <w:t>8、冠状动脉搭桥术（或称冠状动脉旁路移植术）</w:t>
      </w:r>
    </w:p>
    <w:p>
      <w:pPr>
        <w:spacing w:after="0" w:line="273" w:lineRule="auto"/>
        <w:sectPr>
          <w:type w:val="continuous"/>
          <w:pgSz w:w="11910" w:h="16840"/>
          <w:pgMar w:top="560" w:bottom="280" w:left="920" w:right="900"/>
          <w:cols w:num="2" w:equalWidth="0">
            <w:col w:w="5541" w:space="40"/>
            <w:col w:w="4509"/>
          </w:cols>
        </w:sectPr>
      </w:pPr>
    </w:p>
    <w:p>
      <w:pPr>
        <w:pStyle w:val="Heading4"/>
        <w:spacing w:before="46"/>
        <w:ind w:left="3292"/>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560" w:bottom="280" w:left="920" w:right="900"/>
        </w:sectPr>
      </w:pPr>
    </w:p>
    <w:p>
      <w:pPr>
        <w:pStyle w:val="BodyText"/>
        <w:spacing w:before="47"/>
        <w:ind w:left="3292"/>
      </w:pPr>
      <w:r>
        <w:rPr>
          <w:spacing w:val="-1"/>
        </w:rPr>
        <w:t>11</w:t>
      </w:r>
      <w:r>
        <w:rPr>
          <w:spacing w:val="-8"/>
        </w:rPr>
        <w:t>、重型再生障碍性贫血</w:t>
      </w:r>
    </w:p>
    <w:p>
      <w:pPr>
        <w:pStyle w:val="BodyText"/>
        <w:spacing w:before="36"/>
        <w:ind w:left="3292"/>
      </w:pPr>
      <w:r>
        <w:rPr/>
        <w:t>13、双耳失聪</w:t>
      </w:r>
    </w:p>
    <w:p>
      <w:pPr>
        <w:pStyle w:val="BodyText"/>
        <w:spacing w:before="36"/>
        <w:ind w:left="3292"/>
      </w:pPr>
      <w:r>
        <w:rPr/>
        <w:t>15、双目失明</w:t>
      </w:r>
    </w:p>
    <w:p>
      <w:pPr>
        <w:pStyle w:val="BodyText"/>
        <w:spacing w:before="36"/>
        <w:ind w:left="3292"/>
      </w:pPr>
      <w:r>
        <w:rPr/>
        <w:t>17、语言能力丧失</w:t>
      </w:r>
    </w:p>
    <w:p>
      <w:pPr>
        <w:pStyle w:val="BodyText"/>
        <w:spacing w:before="36"/>
        <w:ind w:left="3292"/>
      </w:pPr>
      <w:r>
        <w:rPr/>
        <w:t>19、严重溃疡性结肠炎</w:t>
      </w:r>
    </w:p>
    <w:p>
      <w:pPr>
        <w:pStyle w:val="BodyText"/>
        <w:spacing w:before="36"/>
        <w:ind w:left="3292"/>
      </w:pPr>
      <w:r>
        <w:rPr/>
        <w:t>21、终末期肺病</w:t>
      </w:r>
    </w:p>
    <w:p>
      <w:pPr>
        <w:pStyle w:val="BodyText"/>
        <w:spacing w:before="36"/>
        <w:ind w:left="3292"/>
      </w:pPr>
      <w:r>
        <w:rPr/>
        <w:t>22、胰腺移植</w:t>
      </w:r>
    </w:p>
    <w:p>
      <w:pPr>
        <w:pStyle w:val="BodyText"/>
        <w:spacing w:before="36"/>
        <w:ind w:left="3292"/>
      </w:pPr>
      <w:r>
        <w:rPr/>
        <w:t>24、严重肾髓质囊性病</w:t>
      </w:r>
    </w:p>
    <w:p>
      <w:pPr>
        <w:pStyle w:val="BodyText"/>
        <w:spacing w:before="36"/>
        <w:ind w:left="3292"/>
      </w:pPr>
      <w:r>
        <w:rPr>
          <w:spacing w:val="-1"/>
        </w:rPr>
        <w:t>26</w:t>
      </w:r>
      <w:r>
        <w:rPr>
          <w:spacing w:val="-8"/>
        </w:rPr>
        <w:t>、严重自身免疫性肝炎</w:t>
      </w:r>
    </w:p>
    <w:p>
      <w:pPr>
        <w:pStyle w:val="BodyText"/>
        <w:spacing w:before="47"/>
        <w:ind w:left="175"/>
      </w:pPr>
      <w:r>
        <w:rPr/>
        <w:br w:type="column"/>
      </w:r>
      <w:r>
        <w:rPr/>
        <w:t>12、重大器官移植术或造血干细胞移植术</w:t>
      </w:r>
    </w:p>
    <w:p>
      <w:pPr>
        <w:pStyle w:val="BodyText"/>
        <w:spacing w:before="37"/>
        <w:ind w:left="175"/>
      </w:pPr>
      <w:r>
        <w:rPr/>
        <w:t>14、慢性肝功能衰竭失代偿期</w:t>
      </w:r>
    </w:p>
    <w:p>
      <w:pPr>
        <w:pStyle w:val="BodyText"/>
        <w:spacing w:before="37"/>
        <w:ind w:left="175"/>
      </w:pPr>
      <w:r>
        <w:rPr/>
        <w:t>16、系统性红斑狼疮并发肾功能损害</w:t>
      </w:r>
    </w:p>
    <w:p>
      <w:pPr>
        <w:pStyle w:val="BodyText"/>
        <w:spacing w:before="37"/>
        <w:ind w:left="175"/>
      </w:pPr>
      <w:r>
        <w:rPr/>
        <w:t>18、急性或亚急性重症肝炎</w:t>
      </w:r>
    </w:p>
    <w:p>
      <w:pPr>
        <w:pStyle w:val="BodyText"/>
        <w:spacing w:line="273" w:lineRule="auto" w:before="37"/>
        <w:ind w:left="595" w:right="276" w:hanging="420"/>
      </w:pPr>
      <w:r>
        <w:rPr/>
        <w:t>20、终末期肾病（或称慢性肾功能衰竭尿毒症期）</w:t>
      </w:r>
    </w:p>
    <w:p>
      <w:pPr>
        <w:pStyle w:val="BodyText"/>
        <w:spacing w:before="7"/>
        <w:ind w:left="175"/>
      </w:pPr>
      <w:r>
        <w:rPr/>
        <w:t>23、急性坏死性胰腺炎开腹手术</w:t>
      </w:r>
    </w:p>
    <w:p>
      <w:pPr>
        <w:pStyle w:val="BodyText"/>
        <w:spacing w:before="37"/>
        <w:ind w:left="175"/>
      </w:pPr>
      <w:r>
        <w:rPr/>
        <w:t>25、严重肝豆状核变性（Wilson 病）</w:t>
      </w:r>
    </w:p>
    <w:p>
      <w:pPr>
        <w:pStyle w:val="BodyText"/>
        <w:spacing w:before="37"/>
        <w:ind w:left="175"/>
      </w:pPr>
      <w:r>
        <w:rPr/>
        <w:t>27、严重弥漫性系统性硬皮病</w:t>
      </w:r>
    </w:p>
    <w:p>
      <w:pPr>
        <w:spacing w:after="0"/>
        <w:sectPr>
          <w:type w:val="continuous"/>
          <w:pgSz w:w="11910" w:h="16840"/>
          <w:pgMar w:top="560" w:bottom="280" w:left="920" w:right="900"/>
          <w:cols w:num="2" w:equalWidth="0">
            <w:col w:w="5541" w:space="40"/>
            <w:col w:w="4509"/>
          </w:cols>
        </w:sectPr>
      </w:pPr>
    </w:p>
    <w:p>
      <w:pPr>
        <w:pStyle w:val="Heading4"/>
        <w:spacing w:before="46"/>
        <w:ind w:left="3292"/>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560" w:bottom="280" w:left="920" w:right="900"/>
        </w:sectPr>
      </w:pPr>
    </w:p>
    <w:p>
      <w:pPr>
        <w:pStyle w:val="BodyText"/>
        <w:spacing w:before="47"/>
        <w:ind w:left="3292"/>
      </w:pPr>
      <w:r>
        <w:rPr/>
        <w:t>28、良性脑肿瘤</w:t>
      </w:r>
    </w:p>
    <w:p>
      <w:pPr>
        <w:pStyle w:val="BodyText"/>
        <w:spacing w:before="37"/>
        <w:ind w:left="3292"/>
      </w:pPr>
      <w:r>
        <w:rPr/>
        <w:t>30、深度昏迷</w:t>
      </w:r>
    </w:p>
    <w:p>
      <w:pPr>
        <w:pStyle w:val="BodyText"/>
        <w:spacing w:before="37"/>
        <w:ind w:left="3292"/>
      </w:pPr>
      <w:r>
        <w:rPr/>
        <w:t>32、瘫痪</w:t>
      </w:r>
    </w:p>
    <w:p>
      <w:pPr>
        <w:pStyle w:val="BodyText"/>
        <w:spacing w:before="37"/>
        <w:ind w:left="3292"/>
      </w:pPr>
      <w:r>
        <w:rPr/>
        <w:t>34、严重帕金森病</w:t>
      </w:r>
    </w:p>
    <w:p>
      <w:pPr>
        <w:pStyle w:val="BodyText"/>
        <w:spacing w:before="37"/>
        <w:ind w:left="3292"/>
      </w:pPr>
      <w:r>
        <w:rPr/>
        <w:t>36、严重脑损伤</w:t>
      </w:r>
    </w:p>
    <w:p>
      <w:pPr>
        <w:pStyle w:val="BodyText"/>
        <w:spacing w:before="37"/>
        <w:ind w:left="3292"/>
      </w:pPr>
      <w:r>
        <w:rPr/>
        <w:t>38、植物人状态</w:t>
      </w:r>
    </w:p>
    <w:p>
      <w:pPr>
        <w:pStyle w:val="Heading4"/>
        <w:spacing w:before="47"/>
        <w:ind w:left="3292"/>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46"/>
        <w:ind w:left="3292"/>
      </w:pPr>
      <w:r>
        <w:rPr/>
        <w:t>39、多个肢体缺失</w:t>
      </w:r>
    </w:p>
    <w:p>
      <w:pPr>
        <w:pStyle w:val="BodyText"/>
        <w:spacing w:before="37"/>
        <w:ind w:left="3292"/>
      </w:pPr>
      <w:r>
        <w:rPr/>
        <w:t>41、严重Ⅲ度烧伤</w:t>
      </w:r>
    </w:p>
    <w:p>
      <w:pPr>
        <w:pStyle w:val="BodyText"/>
        <w:spacing w:before="37"/>
        <w:ind w:left="3292"/>
      </w:pPr>
      <w:r>
        <w:rPr/>
        <w:t>43、象皮病</w:t>
      </w:r>
    </w:p>
    <w:p>
      <w:pPr>
        <w:pStyle w:val="BodyText"/>
        <w:spacing w:before="37"/>
        <w:ind w:left="3292"/>
      </w:pPr>
      <w:r>
        <w:rPr/>
        <w:t>45、严重肌营养不良症</w:t>
      </w:r>
    </w:p>
    <w:p>
      <w:pPr>
        <w:pStyle w:val="BodyText"/>
        <w:spacing w:before="47"/>
        <w:ind w:left="316"/>
      </w:pPr>
      <w:r>
        <w:rPr/>
        <w:br w:type="column"/>
      </w:r>
      <w:r>
        <w:rPr/>
        <w:t>29、脑炎后遗症或脑膜炎后遗症</w:t>
      </w:r>
    </w:p>
    <w:p>
      <w:pPr>
        <w:pStyle w:val="BodyText"/>
        <w:spacing w:before="37"/>
        <w:ind w:left="316"/>
      </w:pPr>
      <w:r>
        <w:rPr/>
        <w:t>31、严重阿尔茨海默病</w:t>
      </w:r>
    </w:p>
    <w:p>
      <w:pPr>
        <w:pStyle w:val="BodyText"/>
        <w:spacing w:before="37"/>
        <w:ind w:left="316"/>
      </w:pPr>
      <w:r>
        <w:rPr/>
        <w:t>33、严重的多发性硬化</w:t>
      </w:r>
    </w:p>
    <w:p>
      <w:pPr>
        <w:pStyle w:val="BodyText"/>
        <w:spacing w:before="37"/>
        <w:ind w:left="316"/>
      </w:pPr>
      <w:r>
        <w:rPr/>
        <w:t>35、严重运动神经元病</w:t>
      </w:r>
    </w:p>
    <w:p>
      <w:pPr>
        <w:pStyle w:val="BodyText"/>
        <w:spacing w:before="37"/>
        <w:ind w:left="316"/>
      </w:pPr>
      <w:r>
        <w:rPr/>
        <w:t>37、非阿尔茨海默病所致严重痴呆</w:t>
      </w:r>
    </w:p>
    <w:p>
      <w:pPr>
        <w:pStyle w:val="BodyText"/>
        <w:rPr>
          <w:sz w:val="20"/>
        </w:rPr>
      </w:pPr>
    </w:p>
    <w:p>
      <w:pPr>
        <w:pStyle w:val="BodyText"/>
        <w:rPr>
          <w:sz w:val="20"/>
        </w:rPr>
      </w:pPr>
    </w:p>
    <w:p>
      <w:pPr>
        <w:pStyle w:val="BodyText"/>
        <w:spacing w:before="157"/>
        <w:ind w:left="316"/>
      </w:pPr>
      <w:r>
        <w:rPr/>
        <w:t>40、严重的 1 型糖尿病</w:t>
      </w:r>
    </w:p>
    <w:p>
      <w:pPr>
        <w:pStyle w:val="BodyText"/>
        <w:spacing w:before="36"/>
        <w:ind w:left="315"/>
      </w:pPr>
      <w:r>
        <w:rPr/>
        <w:t>42、严重类风湿性关节炎</w:t>
      </w:r>
    </w:p>
    <w:p>
      <w:pPr>
        <w:pStyle w:val="BodyText"/>
        <w:spacing w:line="273" w:lineRule="auto" w:before="36"/>
        <w:ind w:left="735" w:right="276" w:hanging="420"/>
      </w:pPr>
      <w:r>
        <w:rPr/>
        <w:t>44、经输血导致的艾滋病病毒感染或患艾滋病</w:t>
      </w:r>
    </w:p>
    <w:p>
      <w:pPr>
        <w:spacing w:after="0" w:line="273" w:lineRule="auto"/>
        <w:sectPr>
          <w:type w:val="continuous"/>
          <w:pgSz w:w="11910" w:h="16840"/>
          <w:pgMar w:top="560" w:bottom="280" w:left="920" w:right="900"/>
          <w:cols w:num="2" w:equalWidth="0">
            <w:col w:w="5401" w:space="40"/>
            <w:col w:w="4649"/>
          </w:cols>
        </w:sectPr>
      </w:pPr>
    </w:p>
    <w:p>
      <w:pPr>
        <w:pStyle w:val="BodyText"/>
        <w:spacing w:before="9"/>
        <w:rPr>
          <w:sz w:val="18"/>
        </w:rPr>
      </w:pPr>
    </w:p>
    <w:p>
      <w:pPr>
        <w:pStyle w:val="ListParagraph"/>
        <w:numPr>
          <w:ilvl w:val="1"/>
          <w:numId w:val="9"/>
        </w:numPr>
        <w:tabs>
          <w:tab w:pos="863" w:val="left" w:leader="none"/>
          <w:tab w:pos="864" w:val="left" w:leader="none"/>
          <w:tab w:pos="3179" w:val="left" w:leader="none"/>
        </w:tabs>
        <w:spacing w:line="240" w:lineRule="auto" w:before="36" w:after="0"/>
        <w:ind w:left="863" w:right="0" w:hanging="762"/>
        <w:jc w:val="left"/>
        <w:rPr>
          <w:sz w:val="21"/>
        </w:rPr>
      </w:pPr>
      <w:r>
        <w:rPr>
          <w:b/>
          <w:position w:val="2"/>
          <w:sz w:val="21"/>
        </w:rPr>
        <w:t>保险期间</w:t>
        <w:tab/>
      </w:r>
      <w:r>
        <w:rPr>
          <w:sz w:val="21"/>
        </w:rPr>
        <w:t>本附加险合同的保险期间为终身，自本附加险合同生效日零时起至本附加</w:t>
      </w:r>
    </w:p>
    <w:p>
      <w:pPr>
        <w:pStyle w:val="BodyText"/>
        <w:spacing w:before="37"/>
        <w:ind w:left="3179"/>
      </w:pPr>
      <w:r>
        <w:rPr/>
        <w:t>险合同约定终止时止。</w:t>
      </w:r>
    </w:p>
    <w:p>
      <w:pPr>
        <w:spacing w:after="0"/>
        <w:sectPr>
          <w:type w:val="continuous"/>
          <w:pgSz w:w="11910" w:h="16840"/>
          <w:pgMar w:top="560" w:bottom="280" w:left="920" w:right="900"/>
        </w:sectPr>
      </w:pPr>
    </w:p>
    <w:p>
      <w:pPr>
        <w:tabs>
          <w:tab w:pos="983" w:val="left" w:leader="none"/>
        </w:tabs>
        <w:spacing w:line="456" w:lineRule="exact" w:before="36"/>
        <w:ind w:left="315" w:right="0" w:firstLine="0"/>
        <w:jc w:val="left"/>
        <w:rPr>
          <w:b/>
          <w:sz w:val="24"/>
        </w:rPr>
      </w:pPr>
      <w:r>
        <w:rPr>
          <w:rFonts w:ascii="Arial" w:hAnsi="Arial" w:eastAsia="Arial"/>
          <w:b/>
          <w:position w:val="-9"/>
          <w:sz w:val="40"/>
        </w:rPr>
        <w:t></w:t>
        <w:tab/>
      </w:r>
      <w:r>
        <w:rPr>
          <w:b/>
          <w:w w:val="95"/>
          <w:sz w:val="24"/>
        </w:rPr>
        <w:t>我们不保什么</w:t>
      </w:r>
    </w:p>
    <w:p>
      <w:pPr>
        <w:spacing w:line="305" w:lineRule="exact" w:before="0"/>
        <w:ind w:left="983" w:right="0" w:firstLine="0"/>
        <w:jc w:val="left"/>
        <w:rPr>
          <w:sz w:val="24"/>
        </w:rPr>
      </w:pPr>
      <w:r>
        <w:rPr>
          <w:sz w:val="24"/>
        </w:rPr>
        <w:t>这部分讲的是我们不承担保险责任的情况。</w:t>
      </w:r>
    </w:p>
    <w:p>
      <w:pPr>
        <w:pStyle w:val="BodyText"/>
        <w:spacing w:before="4"/>
        <w:rPr>
          <w:sz w:val="13"/>
        </w:rPr>
      </w:pPr>
      <w:r>
        <w:rPr/>
        <w:pict>
          <v:group style="position:absolute;margin-left:45.66pt;margin-top:10.696931pt;width:504pt;height:1pt;mso-position-horizontal-relative:page;mso-position-vertical-relative:paragraph;z-index:1192;mso-wrap-distance-left:0;mso-wrap-distance-right:0" coordorigin="913,214" coordsize="10080,20">
            <v:line style="position:absolute" from="913,224" to="1675,224" stroked="true" strokeweight=".96pt" strokecolor="#000000">
              <v:stroke dashstyle="solid"/>
            </v:line>
            <v:rect style="position:absolute;left:1675;top:213;width:20;height:20" filled="true" fillcolor="#000000" stroked="false">
              <v:fill type="solid"/>
            </v:rect>
            <v:line style="position:absolute" from="1694,224" to="3991,224" stroked="true" strokeweight=".96pt" strokecolor="#000000">
              <v:stroke dashstyle="solid"/>
            </v:line>
            <v:rect style="position:absolute;left:3991;top:213;width:20;height:20" filled="true" fillcolor="#000000" stroked="false">
              <v:fill type="solid"/>
            </v:rect>
            <v:line style="position:absolute" from="4010,224" to="10993,224" stroked="true" strokeweight=".96pt" strokecolor="#000000">
              <v:stroke dashstyle="solid"/>
            </v:line>
            <w10:wrap type="topAndBottom"/>
          </v:group>
        </w:pict>
      </w:r>
    </w:p>
    <w:p>
      <w:pPr>
        <w:pStyle w:val="BodyText"/>
        <w:spacing w:before="8"/>
        <w:rPr>
          <w:sz w:val="12"/>
        </w:rPr>
      </w:pPr>
    </w:p>
    <w:p>
      <w:pPr>
        <w:pStyle w:val="Heading4"/>
        <w:numPr>
          <w:ilvl w:val="1"/>
          <w:numId w:val="10"/>
        </w:numPr>
        <w:tabs>
          <w:tab w:pos="983" w:val="left" w:leader="none"/>
          <w:tab w:pos="984" w:val="left" w:leader="none"/>
        </w:tabs>
        <w:spacing w:line="240" w:lineRule="auto" w:before="35" w:after="0"/>
        <w:ind w:left="983" w:right="0" w:hanging="762"/>
        <w:jc w:val="left"/>
        <w:rPr>
          <w:rFonts w:ascii="宋体" w:eastAsia="宋体" w:hint="eastAsia"/>
        </w:rPr>
      </w:pPr>
      <w:r>
        <w:rPr/>
        <w:pict>
          <v:shapetype id="_x0000_t202" o:spt="202" coordsize="21600,21600" path="m,l,21600r21600,l21600,xe">
            <v:stroke joinstyle="miter"/>
            <v:path gradientshapeok="t" o:connecttype="rect"/>
          </v:shapetype>
          <v:shape style="position:absolute;margin-left:204.960007pt;margin-top:4.473684pt;width:339.3pt;height:13.65pt;mso-position-horizontal-relative:page;mso-position-vertical-relative:paragraph;z-index:1432" type="#_x0000_t202" filled="true" fillcolor="#dadada" stroked="false">
            <v:textbox inset="0,0,0,0">
              <w:txbxContent>
                <w:p>
                  <w:pPr>
                    <w:pStyle w:val="BodyText"/>
                    <w:spacing w:line="241" w:lineRule="exact"/>
                    <w:ind w:right="-15"/>
                  </w:pPr>
                  <w:r>
                    <w:rPr/>
                    <w:t>因下列第（1）至第（9）项情形之一导致被保险人初次发生“重大疾病”</w:t>
                  </w:r>
                </w:p>
              </w:txbxContent>
            </v:textbox>
            <v:fill type="solid"/>
            <w10:wrap type="none"/>
          </v:shape>
        </w:pict>
      </w:r>
      <w:r>
        <w:rPr>
          <w:rFonts w:ascii="宋体" w:eastAsia="宋体" w:hint="eastAsia"/>
        </w:rPr>
        <w:t>责任免除</w:t>
      </w:r>
    </w:p>
    <w:p>
      <w:pPr>
        <w:pStyle w:val="BodyText"/>
        <w:spacing w:before="37"/>
        <w:ind w:left="3299"/>
      </w:pPr>
      <w:r>
        <w:rPr/>
        <w:pict>
          <v:shape style="position:absolute;margin-left:204.960007pt;margin-top:19.153688pt;width:339.3pt;height:13.65pt;mso-position-horizontal-relative:page;mso-position-vertical-relative:paragraph;z-index:1216;mso-wrap-distance-left:0;mso-wrap-distance-right:0" type="#_x0000_t202" filled="true" fillcolor="#dadada" stroked="false">
            <v:textbox inset="0,0,0,0">
              <w:txbxContent>
                <w:p>
                  <w:pPr>
                    <w:pStyle w:val="BodyText"/>
                    <w:spacing w:line="241" w:lineRule="exact"/>
                    <w:ind w:right="-15"/>
                  </w:pPr>
                  <w:r>
                    <w:rPr>
                      <w:spacing w:val="-7"/>
                    </w:rPr>
                    <w:t>至第</w:t>
                  </w:r>
                  <w:r>
                    <w:rPr>
                      <w:spacing w:val="-5"/>
                    </w:rPr>
                    <w:t>（7）</w:t>
                  </w:r>
                  <w:r>
                    <w:rPr>
                      <w:spacing w:val="-1"/>
                    </w:rPr>
                    <w:t>项情形之一导致被保险人身故的，我们不承担给付身故保险金的</w:t>
                  </w:r>
                </w:p>
              </w:txbxContent>
            </v:textbox>
            <v:fill type="solid"/>
            <w10:wrap type="topAndBottom"/>
          </v:shape>
        </w:pict>
      </w:r>
      <w:r>
        <w:rPr>
          <w:shd w:fill="DADADA" w:color="auto" w:val="clear"/>
        </w:rPr>
        <w:t>的，我们不承担给付重大疾病保险金及护理保险金的责任；因下列第（1）</w:t>
      </w:r>
    </w:p>
    <w:p>
      <w:pPr>
        <w:pStyle w:val="BodyText"/>
        <w:spacing w:line="265" w:lineRule="exact"/>
        <w:ind w:left="3299"/>
      </w:pPr>
      <w:r>
        <w:rPr>
          <w:shd w:fill="DADADA" w:color="auto" w:val="clear"/>
        </w:rPr>
        <w:t>责任：</w:t>
      </w:r>
    </w:p>
    <w:p>
      <w:pPr>
        <w:pStyle w:val="BodyText"/>
        <w:spacing w:before="37"/>
        <w:ind w:left="3299"/>
      </w:pPr>
      <w:r>
        <w:rPr>
          <w:shd w:fill="DADADA" w:color="auto" w:val="clear"/>
        </w:rPr>
        <w:t>（1）投保人对被保险人的故意杀害、故意伤害；</w:t>
      </w:r>
    </w:p>
    <w:p>
      <w:pPr>
        <w:pStyle w:val="BodyText"/>
        <w:spacing w:before="37"/>
        <w:ind w:left="3299"/>
      </w:pPr>
      <w:r>
        <w:rPr>
          <w:shd w:fill="DADADA" w:color="auto" w:val="clear"/>
        </w:rPr>
        <w:t>（2）被保险人故意自伤、故意犯罪或者抗拒依法采取的刑事强制措施；</w:t>
      </w:r>
    </w:p>
    <w:p>
      <w:pPr>
        <w:pStyle w:val="BodyText"/>
        <w:spacing w:line="273" w:lineRule="auto" w:before="37"/>
        <w:ind w:left="3824" w:right="180" w:hanging="526"/>
      </w:pPr>
      <w:r>
        <w:rPr/>
        <w:pict>
          <v:shape style="position:absolute;margin-left:204.960007pt;margin-top:34.753689pt;width:179.3pt;height:13.65pt;mso-position-horizontal-relative:page;mso-position-vertical-relative:paragraph;z-index:1240;mso-wrap-distance-left:0;mso-wrap-distance-right:0" type="#_x0000_t202" filled="true" fillcolor="#dadada" stroked="false">
            <v:textbox inset="0,0,0,0">
              <w:txbxContent>
                <w:p>
                  <w:pPr>
                    <w:spacing w:line="241" w:lineRule="exact" w:before="0"/>
                    <w:ind w:left="0" w:right="-15" w:firstLine="0"/>
                    <w:jc w:val="left"/>
                    <w:rPr>
                      <w:sz w:val="21"/>
                    </w:rPr>
                  </w:pPr>
                  <w:r>
                    <w:rPr>
                      <w:sz w:val="21"/>
                    </w:rPr>
                    <w:t>（4）被保险人主动吸食或注射</w:t>
                  </w:r>
                  <w:r>
                    <w:rPr>
                      <w:rFonts w:ascii="黑体" w:eastAsia="黑体" w:hint="eastAsia"/>
                      <w:b/>
                      <w:spacing w:val="-16"/>
                      <w:sz w:val="21"/>
                    </w:rPr>
                    <w:t>毒品 </w:t>
                  </w:r>
                  <w:hyperlink w:history="true" w:anchor="_bookmark4">
                    <w:r>
                      <w:rPr>
                        <w:rFonts w:ascii="黑体" w:eastAsia="黑体" w:hint="eastAsia"/>
                        <w:b/>
                        <w:position w:val="11"/>
                        <w:sz w:val="11"/>
                      </w:rPr>
                      <w:t>5</w:t>
                    </w:r>
                  </w:hyperlink>
                  <w:r>
                    <w:rPr>
                      <w:sz w:val="21"/>
                    </w:rPr>
                    <w:t>；</w:t>
                  </w:r>
                </w:p>
              </w:txbxContent>
            </v:textbox>
            <v:fill type="solid"/>
            <w10:wrap type="topAndBottom"/>
          </v:shape>
        </w:pict>
      </w:r>
      <w:r>
        <w:rPr>
          <w:shd w:fill="DADADA" w:color="auto" w:val="clear"/>
        </w:rPr>
        <w:t>（3）</w:t>
      </w:r>
      <w:r>
        <w:rPr>
          <w:spacing w:val="-3"/>
          <w:shd w:fill="DADADA" w:color="auto" w:val="clear"/>
        </w:rPr>
        <w:t>被保险人自本附加险合同成立或者合同效力恢复之日起 </w:t>
      </w:r>
      <w:r>
        <w:rPr>
          <w:shd w:fill="DADADA" w:color="auto" w:val="clear"/>
        </w:rPr>
        <w:t>2</w:t>
      </w:r>
      <w:r>
        <w:rPr>
          <w:spacing w:val="-12"/>
          <w:shd w:fill="DADADA" w:color="auto" w:val="clear"/>
        </w:rPr>
        <w:t> 年内自杀</w:t>
      </w:r>
      <w:r>
        <w:rPr/>
        <w:t>， 但被保险人自杀时为无民事行为能力人的除外；</w:t>
      </w:r>
    </w:p>
    <w:p>
      <w:pPr>
        <w:pStyle w:val="BodyText"/>
        <w:rPr>
          <w:sz w:val="2"/>
        </w:rPr>
      </w:pPr>
    </w:p>
    <w:p>
      <w:pPr>
        <w:pStyle w:val="BodyText"/>
        <w:ind w:left="3299"/>
        <w:rPr>
          <w:sz w:val="20"/>
        </w:rPr>
      </w:pPr>
      <w:r>
        <w:rPr>
          <w:sz w:val="20"/>
        </w:rPr>
        <w:pict>
          <v:shape style="width:164.65pt;height:13.65pt;mso-position-horizontal-relative:char;mso-position-vertical-relative:line" type="#_x0000_t202" filled="true" fillcolor="#dadada" stroked="false">
            <w10:anchorlock/>
            <v:textbox inset="0,0,0,0">
              <w:txbxContent>
                <w:p>
                  <w:pPr>
                    <w:spacing w:line="241" w:lineRule="exact" w:before="0"/>
                    <w:ind w:left="0" w:right="-15" w:firstLine="0"/>
                    <w:jc w:val="left"/>
                    <w:rPr>
                      <w:sz w:val="21"/>
                    </w:rPr>
                  </w:pPr>
                  <w:r>
                    <w:rPr>
                      <w:sz w:val="21"/>
                    </w:rPr>
                    <w:t>（5）被保险人</w:t>
                  </w:r>
                  <w:r>
                    <w:rPr>
                      <w:rFonts w:ascii="黑体" w:eastAsia="黑体" w:hint="eastAsia"/>
                      <w:b/>
                      <w:spacing w:val="-9"/>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xbxContent>
            </v:textbox>
            <v:fill type="solid"/>
          </v:shape>
        </w:pict>
      </w:r>
      <w:r>
        <w:rPr>
          <w:sz w:val="20"/>
        </w:rPr>
      </w:r>
    </w:p>
    <w:p>
      <w:pPr>
        <w:pStyle w:val="BodyText"/>
        <w:spacing w:line="251" w:lineRule="exact"/>
        <w:ind w:left="3299"/>
      </w:pPr>
      <w:r>
        <w:rPr>
          <w:shd w:fill="DADADA" w:color="auto" w:val="clear"/>
        </w:rPr>
        <w:t>（6）战争、军事冲突、暴乱或武装叛乱；</w:t>
      </w:r>
    </w:p>
    <w:p>
      <w:pPr>
        <w:pStyle w:val="BodyText"/>
        <w:spacing w:before="37"/>
        <w:ind w:left="3299"/>
      </w:pPr>
      <w:r>
        <w:rPr>
          <w:shd w:fill="DADADA" w:color="auto" w:val="clear"/>
        </w:rPr>
        <w:t>（7）核爆炸、核辐射或核污染；</w:t>
      </w:r>
    </w:p>
    <w:p>
      <w:pPr>
        <w:spacing w:line="273" w:lineRule="auto" w:before="37"/>
        <w:ind w:left="3824" w:right="219" w:hanging="526"/>
        <w:jc w:val="left"/>
        <w:rPr>
          <w:sz w:val="21"/>
        </w:rPr>
      </w:pPr>
      <w:r>
        <w:rPr/>
        <w:pict>
          <v:rect style="position:absolute;margin-left:204.960007pt;margin-top:3.553652pt;width:202.8pt;height:13.62pt;mso-position-horizontal-relative:page;mso-position-vertical-relative:paragraph;z-index:-33088" filled="true" fillcolor="#dadada" stroked="false">
            <v:fill type="solid"/>
            <w10:wrap type="none"/>
          </v:rect>
        </w:pict>
      </w:r>
      <w:r>
        <w:rPr>
          <w:sz w:val="21"/>
        </w:rPr>
        <w:t>（8）被保险人</w:t>
      </w:r>
      <w:r>
        <w:rPr>
          <w:rFonts w:ascii="黑体" w:eastAsia="黑体" w:hint="eastAsia"/>
          <w:b/>
          <w:spacing w:val="-1"/>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（不包括经输血导致的艾滋病病毒感染或患艾滋病</w:t>
      </w:r>
      <w:r>
        <w:rPr>
          <w:spacing w:val="-105"/>
          <w:sz w:val="21"/>
        </w:rPr>
        <w:t>）</w:t>
      </w:r>
      <w:r>
        <w:rPr>
          <w:sz w:val="21"/>
        </w:rPr>
        <w:t>；</w:t>
      </w:r>
    </w:p>
    <w:p>
      <w:pPr>
        <w:pStyle w:val="BodyText"/>
        <w:spacing w:before="7"/>
        <w:ind w:left="5100"/>
      </w:pPr>
      <w:r>
        <w:rPr/>
        <w:pict>
          <v:shape style="position:absolute;margin-left:203.970001pt;margin-top:2.053671pt;width:342.3pt;height:46.8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510"/>
                    <w:gridCol w:w="2825"/>
                    <w:gridCol w:w="2316"/>
                  </w:tblGrid>
                  <w:tr>
                    <w:trPr>
                      <w:trHeight w:val="269" w:hRule="atLeast"/>
                    </w:trPr>
                    <w:tc>
                      <w:tcPr>
                        <w:tcW w:w="1645" w:type="dxa"/>
                        <w:gridSpan w:val="2"/>
                        <w:tcBorders>
                          <w:bottom w:val="single" w:sz="18" w:space="0" w:color="FFFFFF"/>
                        </w:tcBorders>
                        <w:shd w:val="clear" w:color="auto" w:fill="DADADA"/>
                      </w:tcPr>
                      <w:p>
                        <w:pPr>
                          <w:pStyle w:val="TableParagraph"/>
                          <w:spacing w:line="241" w:lineRule="exact"/>
                          <w:ind w:left="19" w:right="-188"/>
                          <w:rPr>
                            <w:sz w:val="21"/>
                          </w:rPr>
                        </w:pPr>
                        <w:r>
                          <w:rPr>
                            <w:sz w:val="21"/>
                          </w:rPr>
                          <w:t>（9</w:t>
                        </w:r>
                        <w:r>
                          <w:rPr>
                            <w:spacing w:val="-54"/>
                            <w:sz w:val="21"/>
                          </w:rPr>
                          <w:t>）</w:t>
                        </w:r>
                        <w:r>
                          <w:rPr>
                            <w:rFonts w:ascii="黑体" w:eastAsia="黑体" w:hint="eastAsia"/>
                            <w:b/>
                            <w:w w:val="99"/>
                            <w:sz w:val="21"/>
                          </w:rPr>
                          <w:t>遗传性疾病</w:t>
                        </w:r>
                        <w:r>
                          <w:rPr>
                            <w:rFonts w:ascii="黑体" w:eastAsia="黑体" w:hint="eastAsia"/>
                            <w:b/>
                            <w:spacing w:val="-43"/>
                            <w:sz w:val="21"/>
                          </w:rPr>
                          <w:t> </w:t>
                        </w:r>
                        <w:hyperlink w:history="true" w:anchor="_bookmark8">
                          <w:r>
                            <w:rPr>
                              <w:rFonts w:ascii="黑体" w:eastAsia="黑体" w:hint="eastAsia"/>
                              <w:b/>
                              <w:spacing w:val="-53"/>
                              <w:w w:val="99"/>
                              <w:position w:val="11"/>
                              <w:sz w:val="11"/>
                            </w:rPr>
                            <w:t>9</w:t>
                          </w:r>
                          <w:r>
                            <w:rPr>
                              <w:sz w:val="21"/>
                            </w:rPr>
                            <w:t>（</w:t>
                          </w:r>
                        </w:hyperlink>
                      </w:p>
                    </w:tc>
                    <w:tc>
                      <w:tcPr>
                        <w:tcW w:w="5141" w:type="dxa"/>
                        <w:gridSpan w:val="2"/>
                        <w:tcBorders>
                          <w:bottom w:val="single" w:sz="18" w:space="0" w:color="FFFFFF"/>
                        </w:tcBorders>
                      </w:tcPr>
                      <w:p>
                        <w:pPr>
                          <w:pStyle w:val="TableParagraph"/>
                          <w:rPr>
                            <w:rFonts w:ascii="Times New Roman"/>
                            <w:sz w:val="18"/>
                          </w:rPr>
                        </w:pPr>
                      </w:p>
                    </w:tc>
                  </w:tr>
                  <w:tr>
                    <w:trPr>
                      <w:trHeight w:val="267" w:hRule="atLeast"/>
                    </w:trPr>
                    <w:tc>
                      <w:tcPr>
                        <w:tcW w:w="1135" w:type="dxa"/>
                        <w:tcBorders>
                          <w:top w:val="single" w:sz="18" w:space="0" w:color="FFFFFF"/>
                          <w:bottom w:val="single" w:sz="18" w:space="0" w:color="FFFFFF"/>
                        </w:tcBorders>
                      </w:tcPr>
                      <w:p>
                        <w:pPr>
                          <w:pStyle w:val="TableParagraph"/>
                          <w:spacing w:line="238" w:lineRule="exact"/>
                          <w:ind w:left="523" w:right="-29"/>
                          <w:rPr>
                            <w:sz w:val="21"/>
                          </w:rPr>
                        </w:pPr>
                        <w:r>
                          <w:rPr>
                            <w:sz w:val="21"/>
                          </w:rPr>
                          <w:t>病</w:t>
                        </w:r>
                        <w:r>
                          <w:rPr>
                            <w:spacing w:val="-105"/>
                            <w:sz w:val="21"/>
                          </w:rPr>
                          <w:t>））</w:t>
                        </w:r>
                        <w:r>
                          <w:rPr>
                            <w:sz w:val="21"/>
                          </w:rPr>
                          <w:t>，</w:t>
                        </w:r>
                      </w:p>
                    </w:tc>
                    <w:tc>
                      <w:tcPr>
                        <w:tcW w:w="3335" w:type="dxa"/>
                        <w:gridSpan w:val="2"/>
                        <w:tcBorders>
                          <w:top w:val="single" w:sz="18" w:space="0" w:color="FFFFFF"/>
                          <w:bottom w:val="single" w:sz="18" w:space="0" w:color="FFFFFF"/>
                        </w:tcBorders>
                        <w:shd w:val="clear" w:color="auto" w:fill="DADADA"/>
                      </w:tcPr>
                      <w:p>
                        <w:pPr>
                          <w:pStyle w:val="TableParagraph"/>
                          <w:spacing w:line="238" w:lineRule="exact"/>
                          <w:ind w:left="20" w:right="-29"/>
                          <w:rPr>
                            <w:sz w:val="21"/>
                          </w:rPr>
                        </w:pPr>
                        <w:r>
                          <w:rPr>
                            <w:rFonts w:ascii="黑体" w:eastAsia="黑体" w:hint="eastAsia"/>
                            <w:b/>
                            <w:spacing w:val="-4"/>
                            <w:sz w:val="21"/>
                          </w:rPr>
                          <w:t>先天性畸形、变形或染色体异常 </w:t>
                        </w:r>
                        <w:hyperlink w:history="true" w:anchor="_bookmark9">
                          <w:r>
                            <w:rPr>
                              <w:rFonts w:ascii="黑体" w:eastAsia="黑体" w:hint="eastAsia"/>
                              <w:b/>
                              <w:position w:val="11"/>
                              <w:sz w:val="11"/>
                            </w:rPr>
                            <w:t>10</w:t>
                          </w:r>
                        </w:hyperlink>
                        <w:r>
                          <w:rPr>
                            <w:sz w:val="21"/>
                          </w:rPr>
                          <w:t>。</w:t>
                        </w:r>
                      </w:p>
                    </w:tc>
                    <w:tc>
                      <w:tcPr>
                        <w:tcW w:w="2316" w:type="dxa"/>
                        <w:tcBorders>
                          <w:top w:val="single" w:sz="18" w:space="0" w:color="FFFFFF"/>
                          <w:bottom w:val="single" w:sz="18" w:space="0" w:color="FFFFFF"/>
                        </w:tcBorders>
                      </w:tcPr>
                      <w:p>
                        <w:pPr>
                          <w:pStyle w:val="TableParagraph"/>
                          <w:rPr>
                            <w:rFonts w:ascii="Times New Roman"/>
                            <w:sz w:val="18"/>
                          </w:rPr>
                        </w:pPr>
                      </w:p>
                    </w:tc>
                  </w:tr>
                  <w:tr>
                    <w:trPr>
                      <w:trHeight w:val="267" w:hRule="atLeast"/>
                    </w:trPr>
                    <w:tc>
                      <w:tcPr>
                        <w:tcW w:w="6786" w:type="dxa"/>
                        <w:gridSpan w:val="4"/>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pacing w:val="-3"/>
                            <w:sz w:val="21"/>
                          </w:rPr>
                          <w:t>发生上述第（1）项情形导致被保险人初次发生“重大疾病”的，本附加险</w:t>
                        </w:r>
                      </w:p>
                    </w:tc>
                  </w:tr>
                </w:tbl>
                <w:p>
                  <w:pPr>
                    <w:pStyle w:val="BodyText"/>
                  </w:pPr>
                </w:p>
              </w:txbxContent>
            </v:textbox>
            <w10:wrap type="none"/>
          </v:shape>
        </w:pict>
      </w:r>
      <w:r>
        <w:rPr/>
        <w:t>不包括严重肾髓质囊性病及严重肝豆状核变性（Wilson</w:t>
      </w:r>
    </w:p>
    <w:p>
      <w:pPr>
        <w:pStyle w:val="BodyText"/>
        <w:rPr>
          <w:sz w:val="20"/>
        </w:rPr>
      </w:pPr>
    </w:p>
    <w:p>
      <w:pPr>
        <w:pStyle w:val="BodyText"/>
        <w:rPr>
          <w:sz w:val="20"/>
        </w:rPr>
      </w:pPr>
    </w:p>
    <w:p>
      <w:pPr>
        <w:pStyle w:val="BodyText"/>
        <w:spacing w:before="137"/>
        <w:ind w:left="3299"/>
      </w:pPr>
      <w:r>
        <w:rPr/>
        <w:pict>
          <v:shape style="position:absolute;margin-left:204.960007pt;margin-top:24.153683pt;width:339.3pt;height:13.65pt;mso-position-horizontal-relative:page;mso-position-vertical-relative:paragraph;z-index:1288;mso-wrap-distance-left:0;mso-wrap-distance-right:0" type="#_x0000_t202" filled="true" fillcolor="#dadada" stroked="false">
            <v:textbox inset="0,0,0,0">
              <w:txbxContent>
                <w:p>
                  <w:pPr>
                    <w:pStyle w:val="BodyText"/>
                    <w:spacing w:line="241" w:lineRule="exact"/>
                    <w:ind w:right="-15"/>
                  </w:pPr>
                  <w:r>
                    <w:rPr>
                      <w:spacing w:val="-3"/>
                    </w:rPr>
                    <w:t>发生上述第</w:t>
                  </w:r>
                  <w:r>
                    <w:rPr>
                      <w:spacing w:val="-4"/>
                    </w:rPr>
                    <w:t>（1）</w:t>
                  </w:r>
                  <w:r>
                    <w:rPr>
                      <w:spacing w:val="-2"/>
                    </w:rPr>
                    <w:t>项情形导致被保险人身故的，本附加险合同终止，我们向</w:t>
                  </w:r>
                </w:p>
              </w:txbxContent>
            </v:textbox>
            <v:fill type="solid"/>
            <w10:wrap type="topAndBottom"/>
          </v:shape>
        </w:pict>
      </w:r>
      <w:r>
        <w:rPr>
          <w:shd w:fill="DADADA" w:color="auto" w:val="clear"/>
        </w:rPr>
        <w:t>合同终止，我们向被保险人退还本附加险合同的现金价值。</w:t>
      </w:r>
    </w:p>
    <w:p>
      <w:pPr>
        <w:pStyle w:val="BodyText"/>
        <w:spacing w:line="265" w:lineRule="exact" w:after="71"/>
        <w:ind w:left="3299"/>
      </w:pPr>
      <w:r>
        <w:rPr>
          <w:shd w:fill="DADADA" w:color="auto" w:val="clear"/>
        </w:rPr>
        <w:t>被保险人的继承人退还本附加险合同的现金价值。</w:t>
      </w:r>
    </w:p>
    <w:p>
      <w:pPr>
        <w:pStyle w:val="BodyText"/>
        <w:ind w:left="3299"/>
        <w:rPr>
          <w:sz w:val="20"/>
        </w:rPr>
      </w:pPr>
      <w:r>
        <w:rPr>
          <w:sz w:val="20"/>
        </w:rPr>
        <w:pict>
          <v:group style="width:344.6pt;height:13.65pt;mso-position-horizontal-relative:char;mso-position-vertical-relative:line" coordorigin="0,0" coordsize="6892,273">
            <v:rect style="position:absolute;left:0;top:0;width:6786;height:273" filled="true" fillcolor="#dadada" stroked="false">
              <v:fill type="solid"/>
            </v:rect>
            <v:shape style="position:absolute;left:0;top:0;width:6892;height:273" type="#_x0000_t202" filled="false" stroked="false">
              <v:textbox inset="0,0,0,0">
                <w:txbxContent>
                  <w:p>
                    <w:pPr>
                      <w:spacing w:line="241" w:lineRule="exact" w:before="0"/>
                      <w:ind w:left="0" w:right="0" w:firstLine="0"/>
                      <w:jc w:val="left"/>
                      <w:rPr>
                        <w:sz w:val="21"/>
                      </w:rPr>
                    </w:pPr>
                    <w:r>
                      <w:rPr>
                        <w:spacing w:val="-2"/>
                        <w:sz w:val="21"/>
                      </w:rPr>
                      <w:t>发生上述第</w:t>
                    </w:r>
                    <w:r>
                      <w:rPr>
                        <w:spacing w:val="-3"/>
                        <w:sz w:val="21"/>
                      </w:rPr>
                      <w:t>（2）</w:t>
                    </w:r>
                    <w:r>
                      <w:rPr>
                        <w:spacing w:val="-4"/>
                        <w:sz w:val="21"/>
                      </w:rPr>
                      <w:t>至第</w:t>
                    </w:r>
                    <w:r>
                      <w:rPr>
                        <w:spacing w:val="-3"/>
                        <w:sz w:val="21"/>
                      </w:rPr>
                      <w:t>（9）</w:t>
                    </w:r>
                    <w:r>
                      <w:rPr>
                        <w:spacing w:val="-2"/>
                        <w:sz w:val="21"/>
                      </w:rPr>
                      <w:t>项情形导致被保险人初次发生“重大疾病”的，</w:t>
                    </w:r>
                  </w:p>
                </w:txbxContent>
              </v:textbox>
              <w10:wrap type="none"/>
            </v:shape>
          </v:group>
        </w:pict>
      </w:r>
      <w:r>
        <w:rPr>
          <w:sz w:val="20"/>
        </w:rPr>
      </w:r>
    </w:p>
    <w:p>
      <w:pPr>
        <w:pStyle w:val="BodyText"/>
        <w:spacing w:line="243" w:lineRule="exact"/>
        <w:ind w:left="3299"/>
      </w:pPr>
      <w:r>
        <w:rPr/>
        <w:pict>
          <v:shape style="position:absolute;margin-left:204.960007pt;margin-top:15.7pt;width:339.3pt;height:13.65pt;mso-position-horizontal-relative:page;mso-position-vertical-relative:paragraph;z-index:1360;mso-wrap-distance-left:0;mso-wrap-distance-right:0" type="#_x0000_t202" filled="true" fillcolor="#dadada" stroked="false">
            <v:textbox inset="0,0,0,0">
              <w:txbxContent>
                <w:p>
                  <w:pPr>
                    <w:pStyle w:val="BodyText"/>
                    <w:spacing w:line="241" w:lineRule="exact"/>
                    <w:ind w:right="-15"/>
                  </w:pPr>
                  <w:r>
                    <w:rPr/>
                    <w:t>发生上述第（2）至第（7）项情形导致被保险人身故的，本附加险合同终</w:t>
                  </w:r>
                </w:p>
              </w:txbxContent>
            </v:textbox>
            <v:fill type="solid"/>
            <w10:wrap type="topAndBottom"/>
          </v:shape>
        </w:pict>
      </w:r>
      <w:r>
        <w:rPr>
          <w:shd w:fill="DADADA" w:color="auto" w:val="clear"/>
        </w:rPr>
        <w:t>本附加险合同终止，我们向您退还本附加险合同的现金价值。</w:t>
      </w:r>
    </w:p>
    <w:p>
      <w:pPr>
        <w:pStyle w:val="BodyText"/>
        <w:spacing w:line="265" w:lineRule="exact"/>
        <w:ind w:left="3299"/>
      </w:pPr>
      <w:r>
        <w:rPr>
          <w:shd w:fill="DADADA" w:color="auto" w:val="clear"/>
        </w:rPr>
        <w:t>止，我们向您退还本附加险合同的现金价值。</w:t>
      </w:r>
    </w:p>
    <w:p>
      <w:pPr>
        <w:pStyle w:val="BodyText"/>
        <w:spacing w:before="12"/>
        <w:rPr>
          <w:sz w:val="22"/>
        </w:rPr>
      </w:pPr>
    </w:p>
    <w:p>
      <w:pPr>
        <w:pStyle w:val="ListParagraph"/>
        <w:numPr>
          <w:ilvl w:val="1"/>
          <w:numId w:val="10"/>
        </w:numPr>
        <w:tabs>
          <w:tab w:pos="983" w:val="left" w:leader="none"/>
          <w:tab w:pos="984" w:val="left" w:leader="none"/>
          <w:tab w:pos="3299" w:val="left" w:leader="none"/>
        </w:tabs>
        <w:spacing w:line="240" w:lineRule="auto" w:before="0" w:after="0"/>
        <w:ind w:left="983" w:right="0" w:hanging="762"/>
        <w:jc w:val="left"/>
        <w:rPr>
          <w:sz w:val="21"/>
        </w:rPr>
      </w:pPr>
      <w:r>
        <w:rPr>
          <w:b/>
          <w:position w:val="2"/>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line="273" w:lineRule="auto" w:before="36"/>
        <w:ind w:left="3299" w:right="116"/>
      </w:pPr>
      <w:r>
        <w:rPr>
          <w:spacing w:val="-12"/>
        </w:rPr>
        <w:t>详见</w:t>
      </w:r>
      <w:r>
        <w:rPr/>
        <w:t>“1.1</w:t>
      </w:r>
      <w:r>
        <w:rPr>
          <w:spacing w:val="-38"/>
        </w:rPr>
        <w:t> 保险责任”、“</w:t>
      </w:r>
      <w:r>
        <w:rPr/>
        <w:t>7</w:t>
      </w:r>
      <w:r>
        <w:rPr>
          <w:spacing w:val="-30"/>
        </w:rPr>
        <w:t> 重大疾病释义”、“</w:t>
      </w:r>
      <w:r>
        <w:rPr/>
        <w:t>8.4</w:t>
      </w:r>
      <w:r>
        <w:rPr>
          <w:spacing w:val="-34"/>
        </w:rPr>
        <w:t> 年龄错误”、“脚注 </w:t>
      </w:r>
      <w:r>
        <w:rPr/>
        <w:t>1</w:t>
      </w:r>
      <w:r>
        <w:rPr>
          <w:spacing w:val="-15"/>
        </w:rPr>
        <w:t> 医院” 中背景突出显示的内容。</w:t>
      </w:r>
    </w:p>
    <w:p>
      <w:pPr>
        <w:pStyle w:val="BodyText"/>
        <w:rPr>
          <w:sz w:val="20"/>
        </w:rPr>
      </w:pPr>
    </w:p>
    <w:p>
      <w:pPr>
        <w:pStyle w:val="BodyText"/>
        <w:rPr>
          <w:sz w:val="20"/>
        </w:rPr>
      </w:pPr>
    </w:p>
    <w:p>
      <w:pPr>
        <w:pStyle w:val="BodyText"/>
        <w:spacing w:before="6"/>
        <w:rPr>
          <w:sz w:val="27"/>
        </w:rPr>
      </w:pPr>
      <w:r>
        <w:rPr/>
        <w:pict>
          <v:line style="position:absolute;mso-position-horizontal-relative:page;mso-position-vertical-relative:paragraph;z-index:1384;mso-wrap-distance-left:0;mso-wrap-distance-right:0" from="51.060001pt,20.255552pt" to="195.060001pt,20.255552pt" stroked="true" strokeweight=".54pt" strokecolor="#000000">
            <v:stroke dashstyle="solid"/>
            <w10:wrap type="topAndBottom"/>
          </v:line>
        </w:pict>
      </w:r>
    </w:p>
    <w:p>
      <w:pPr>
        <w:spacing w:line="259" w:lineRule="auto" w:before="17"/>
        <w:ind w:left="366" w:right="218" w:hanging="146"/>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9" w:hanging="146"/>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0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33"/>
        <w:gridCol w:w="7034"/>
      </w:tblGrid>
      <w:tr>
        <w:trPr>
          <w:trHeight w:val="935" w:hRule="atLeast"/>
        </w:trPr>
        <w:tc>
          <w:tcPr>
            <w:tcW w:w="715" w:type="dxa"/>
            <w:tcBorders>
              <w:bottom w:val="single" w:sz="8" w:space="0" w:color="000000"/>
            </w:tcBorders>
          </w:tcPr>
          <w:p>
            <w:pPr>
              <w:pStyle w:val="TableParagraph"/>
              <w:spacing w:line="418" w:lineRule="exact"/>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71" w:lineRule="exact"/>
              <w:ind w:left="155"/>
              <w:rPr>
                <w:b/>
                <w:sz w:val="24"/>
              </w:rPr>
            </w:pPr>
            <w:r>
              <w:rPr>
                <w:b/>
                <w:w w:val="95"/>
                <w:sz w:val="24"/>
              </w:rPr>
              <w:t>如何支付保险费</w:t>
            </w:r>
          </w:p>
          <w:p>
            <w:pPr>
              <w:pStyle w:val="TableParagraph"/>
              <w:spacing w:before="133"/>
              <w:ind w:left="155"/>
              <w:rPr>
                <w:sz w:val="24"/>
              </w:rPr>
            </w:pPr>
            <w:r>
              <w:rPr>
                <w:sz w:val="24"/>
              </w:rPr>
              <w:t>这部分讲的是您应当按时交纳保险费，如果不及时交费可能会导致合同效力中止。</w:t>
            </w:r>
          </w:p>
        </w:tc>
      </w:tr>
      <w:tr>
        <w:trPr>
          <w:trHeight w:val="1652" w:hRule="atLeast"/>
        </w:trPr>
        <w:tc>
          <w:tcPr>
            <w:tcW w:w="715" w:type="dxa"/>
            <w:tcBorders>
              <w:top w:val="single" w:sz="8" w:space="0" w:color="000000"/>
            </w:tcBorders>
          </w:tcPr>
          <w:p>
            <w:pPr>
              <w:pStyle w:val="TableParagraph"/>
              <w:spacing w:before="10"/>
              <w:rPr>
                <w:sz w:val="18"/>
              </w:rPr>
            </w:pPr>
          </w:p>
          <w:p>
            <w:pPr>
              <w:pStyle w:val="TableParagraph"/>
              <w:ind w:left="108"/>
              <w:rPr>
                <w:b/>
                <w:sz w:val="21"/>
              </w:rPr>
            </w:pPr>
            <w:r>
              <w:rPr>
                <w:b/>
                <w:sz w:val="21"/>
              </w:rPr>
              <w:t>3.1</w:t>
            </w:r>
          </w:p>
        </w:tc>
        <w:tc>
          <w:tcPr>
            <w:tcW w:w="2333" w:type="dxa"/>
            <w:tcBorders>
              <w:top w:val="single" w:sz="8" w:space="0" w:color="000000"/>
            </w:tcBorders>
          </w:tcPr>
          <w:p>
            <w:pPr>
              <w:pStyle w:val="TableParagraph"/>
              <w:spacing w:before="10"/>
              <w:rPr>
                <w:sz w:val="18"/>
              </w:rPr>
            </w:pPr>
          </w:p>
          <w:p>
            <w:pPr>
              <w:pStyle w:val="TableParagraph"/>
              <w:ind w:left="155"/>
              <w:rPr>
                <w:b/>
                <w:sz w:val="21"/>
              </w:rPr>
            </w:pPr>
            <w:r>
              <w:rPr>
                <w:b/>
                <w:w w:val="95"/>
                <w:sz w:val="21"/>
              </w:rPr>
              <w:t>保险费的支付</w:t>
            </w:r>
          </w:p>
        </w:tc>
        <w:tc>
          <w:tcPr>
            <w:tcW w:w="7034" w:type="dxa"/>
            <w:tcBorders>
              <w:top w:val="single" w:sz="8" w:space="0" w:color="000000"/>
            </w:tcBorders>
          </w:tcPr>
          <w:p>
            <w:pPr>
              <w:pStyle w:val="TableParagraph"/>
              <w:spacing w:before="10"/>
              <w:rPr>
                <w:sz w:val="18"/>
              </w:rPr>
            </w:pPr>
          </w:p>
          <w:p>
            <w:pPr>
              <w:pStyle w:val="TableParagraph"/>
              <w:spacing w:line="273" w:lineRule="auto"/>
              <w:ind w:left="138" w:right="109"/>
              <w:jc w:val="both"/>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 </w:t>
            </w:r>
            <w:hyperlink w:history="true" w:anchor="_bookmark10">
              <w:r>
                <w:rPr>
                  <w:rFonts w:ascii="黑体" w:eastAsia="黑体" w:hint="eastAsia"/>
                  <w:b/>
                  <w:position w:val="11"/>
                  <w:sz w:val="11"/>
                </w:rPr>
                <w:t>11 </w:t>
              </w:r>
            </w:hyperlink>
            <w:r>
              <w:rPr>
                <w:sz w:val="21"/>
              </w:rPr>
              <w:t>支付其余各期的保险费。</w:t>
            </w:r>
          </w:p>
          <w:p>
            <w:pPr>
              <w:pStyle w:val="TableParagraph"/>
              <w:spacing w:before="7"/>
              <w:ind w:left="138"/>
              <w:jc w:val="both"/>
              <w:rPr>
                <w:sz w:val="21"/>
              </w:rPr>
            </w:pPr>
            <w:r>
              <w:rPr>
                <w:sz w:val="21"/>
              </w:rPr>
              <w:t>本附加险合同的保险费必须随主险合同保险费一同支付，不能单独支付。</w:t>
            </w:r>
          </w:p>
        </w:tc>
      </w:tr>
      <w:tr>
        <w:trPr>
          <w:trHeight w:val="2154" w:hRule="atLeast"/>
        </w:trPr>
        <w:tc>
          <w:tcPr>
            <w:tcW w:w="715" w:type="dxa"/>
          </w:tcPr>
          <w:p>
            <w:pPr>
              <w:pStyle w:val="TableParagraph"/>
              <w:spacing w:before="123"/>
              <w:ind w:left="108"/>
              <w:rPr>
                <w:b/>
                <w:sz w:val="21"/>
              </w:rPr>
            </w:pPr>
            <w:r>
              <w:rPr>
                <w:b/>
                <w:sz w:val="21"/>
              </w:rPr>
              <w:t>3.2</w:t>
            </w:r>
          </w:p>
        </w:tc>
        <w:tc>
          <w:tcPr>
            <w:tcW w:w="2333" w:type="dxa"/>
          </w:tcPr>
          <w:p>
            <w:pPr>
              <w:pStyle w:val="TableParagraph"/>
              <w:spacing w:before="123"/>
              <w:ind w:left="155"/>
              <w:rPr>
                <w:b/>
                <w:sz w:val="21"/>
              </w:rPr>
            </w:pPr>
            <w:r>
              <w:rPr>
                <w:b/>
                <w:sz w:val="21"/>
              </w:rPr>
              <w:t>宽限期</w:t>
            </w:r>
          </w:p>
        </w:tc>
        <w:tc>
          <w:tcPr>
            <w:tcW w:w="7034" w:type="dxa"/>
          </w:tcPr>
          <w:p>
            <w:pPr>
              <w:pStyle w:val="TableParagraph"/>
              <w:spacing w:line="273" w:lineRule="auto" w:before="123"/>
              <w:ind w:left="137" w:right="105"/>
              <w:jc w:val="both"/>
              <w:rPr>
                <w:sz w:val="21"/>
              </w:rPr>
            </w:pPr>
            <w:r>
              <w:rPr>
                <w:sz w:val="21"/>
              </w:rPr>
              <w:t>分期支付保险费的，在支付首期保险费后，除本附加险合同另有约定外， </w:t>
            </w: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8"/>
              <w:ind w:left="137" w:right="106"/>
              <w:jc w:val="both"/>
              <w:rPr>
                <w:sz w:val="21"/>
              </w:rPr>
            </w:pPr>
            <w:r>
              <w:rPr>
                <w:sz w:val="21"/>
              </w:rPr>
              <w:t>如果您宽限期结束之后仍未支付保险费，则本附加险合同自宽限期满的次日零时起效力中止。</w:t>
            </w:r>
          </w:p>
        </w:tc>
      </w:tr>
      <w:tr>
        <w:trPr>
          <w:trHeight w:val="2471" w:hRule="atLeast"/>
        </w:trPr>
        <w:tc>
          <w:tcPr>
            <w:tcW w:w="715" w:type="dxa"/>
          </w:tcPr>
          <w:p>
            <w:pPr>
              <w:pStyle w:val="TableParagraph"/>
              <w:spacing w:before="123"/>
              <w:ind w:left="108"/>
              <w:rPr>
                <w:b/>
                <w:sz w:val="21"/>
              </w:rPr>
            </w:pPr>
            <w:r>
              <w:rPr>
                <w:b/>
                <w:sz w:val="21"/>
              </w:rPr>
              <w:t>3.3</w:t>
            </w:r>
          </w:p>
        </w:tc>
        <w:tc>
          <w:tcPr>
            <w:tcW w:w="2333" w:type="dxa"/>
          </w:tcPr>
          <w:p>
            <w:pPr>
              <w:pStyle w:val="TableParagraph"/>
              <w:spacing w:before="123"/>
              <w:ind w:left="155"/>
              <w:rPr>
                <w:b/>
                <w:sz w:val="21"/>
              </w:rPr>
            </w:pPr>
            <w:r>
              <w:rPr>
                <w:b/>
                <w:w w:val="95"/>
                <w:sz w:val="21"/>
              </w:rPr>
              <w:t>效力中止与恢复</w:t>
            </w:r>
          </w:p>
        </w:tc>
        <w:tc>
          <w:tcPr>
            <w:tcW w:w="7034" w:type="dxa"/>
          </w:tcPr>
          <w:p>
            <w:pPr>
              <w:pStyle w:val="TableParagraph"/>
              <w:spacing w:before="123"/>
              <w:ind w:left="138"/>
              <w:rPr>
                <w:sz w:val="21"/>
              </w:rPr>
            </w:pPr>
            <w:r>
              <w:rPr>
                <w:sz w:val="21"/>
              </w:rPr>
              <w:t>在本附加险合同效力中止期间，我们不承担保险责任。</w:t>
            </w:r>
          </w:p>
          <w:p>
            <w:pPr>
              <w:pStyle w:val="TableParagraph"/>
              <w:spacing w:line="273" w:lineRule="auto" w:before="36"/>
              <w:ind w:left="138" w:right="49"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138"/>
              <w:rPr>
                <w:sz w:val="21"/>
              </w:rPr>
            </w:pPr>
            <w:r>
              <w:rPr>
                <w:sz w:val="21"/>
              </w:rPr>
              <w:t>主险合同效力中止期间，本附加险合同不得单独申请复效。</w:t>
            </w:r>
          </w:p>
          <w:p>
            <w:pPr>
              <w:pStyle w:val="TableParagraph"/>
              <w:spacing w:line="273" w:lineRule="auto" w:before="37"/>
              <w:ind w:left="138" w:right="106" w:hanging="1"/>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31" w:hRule="atLeast"/>
        </w:trPr>
        <w:tc>
          <w:tcPr>
            <w:tcW w:w="715" w:type="dxa"/>
            <w:tcBorders>
              <w:bottom w:val="single" w:sz="8" w:space="0" w:color="000000"/>
            </w:tcBorders>
          </w:tcPr>
          <w:p>
            <w:pPr>
              <w:pStyle w:val="TableParagraph"/>
              <w:spacing w:before="154"/>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53"/>
              <w:ind w:left="155"/>
              <w:rPr>
                <w:b/>
                <w:sz w:val="24"/>
              </w:rPr>
            </w:pPr>
            <w:r>
              <w:rPr>
                <w:b/>
                <w:w w:val="95"/>
                <w:sz w:val="24"/>
              </w:rPr>
              <w:t>如何领取保险金</w:t>
            </w:r>
          </w:p>
          <w:p>
            <w:pPr>
              <w:pStyle w:val="TableParagraph"/>
              <w:spacing w:before="133"/>
              <w:ind w:left="155"/>
              <w:rPr>
                <w:sz w:val="24"/>
              </w:rPr>
            </w:pPr>
            <w:r>
              <w:rPr>
                <w:sz w:val="24"/>
              </w:rPr>
              <w:t>这部分讲的是发生保险事故后受益人如何领取保险金。</w:t>
            </w:r>
          </w:p>
        </w:tc>
      </w:tr>
      <w:tr>
        <w:trPr>
          <w:trHeight w:val="1963" w:hRule="atLeast"/>
        </w:trPr>
        <w:tc>
          <w:tcPr>
            <w:tcW w:w="715" w:type="dxa"/>
            <w:tcBorders>
              <w:top w:val="single" w:sz="8" w:space="0" w:color="000000"/>
            </w:tcBorders>
          </w:tcPr>
          <w:p>
            <w:pPr>
              <w:pStyle w:val="TableParagraph"/>
              <w:spacing w:before="7"/>
              <w:rPr>
                <w:sz w:val="18"/>
              </w:rPr>
            </w:pPr>
          </w:p>
          <w:p>
            <w:pPr>
              <w:pStyle w:val="TableParagraph"/>
              <w:spacing w:before="1"/>
              <w:ind w:left="108"/>
              <w:rPr>
                <w:b/>
                <w:sz w:val="21"/>
              </w:rPr>
            </w:pPr>
            <w:r>
              <w:rPr>
                <w:b/>
                <w:sz w:val="21"/>
              </w:rPr>
              <w:t>4.1</w:t>
            </w:r>
          </w:p>
        </w:tc>
        <w:tc>
          <w:tcPr>
            <w:tcW w:w="2333" w:type="dxa"/>
            <w:tcBorders>
              <w:top w:val="single" w:sz="8" w:space="0" w:color="000000"/>
            </w:tcBorders>
          </w:tcPr>
          <w:p>
            <w:pPr>
              <w:pStyle w:val="TableParagraph"/>
              <w:spacing w:before="7"/>
              <w:rPr>
                <w:sz w:val="18"/>
              </w:rPr>
            </w:pPr>
          </w:p>
          <w:p>
            <w:pPr>
              <w:pStyle w:val="TableParagraph"/>
              <w:spacing w:before="1"/>
              <w:ind w:left="155"/>
              <w:rPr>
                <w:b/>
                <w:sz w:val="21"/>
              </w:rPr>
            </w:pPr>
            <w:r>
              <w:rPr>
                <w:b/>
                <w:sz w:val="21"/>
              </w:rPr>
              <w:t>受益人</w:t>
            </w:r>
          </w:p>
          <w:p>
            <w:pPr>
              <w:pStyle w:val="TableParagraph"/>
              <w:spacing w:before="7"/>
              <w:rPr>
                <w:sz w:val="7"/>
              </w:rPr>
            </w:pPr>
          </w:p>
          <w:p>
            <w:pPr>
              <w:pStyle w:val="TableParagraph"/>
              <w:ind w:left="158"/>
              <w:rPr>
                <w:sz w:val="20"/>
              </w:rPr>
            </w:pPr>
            <w:r>
              <w:rPr>
                <w:sz w:val="20"/>
              </w:rPr>
              <w:drawing>
                <wp:inline distT="0" distB="0" distL="0" distR="0">
                  <wp:extent cx="543310" cy="543305"/>
                  <wp:effectExtent l="0" t="0" r="0" b="0"/>
                  <wp:docPr id="7" name="image6.png" descr="D:\Users\sangying875\Desktop\受益人.jp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43310" cy="543305"/>
                          </a:xfrm>
                          <a:prstGeom prst="rect">
                            <a:avLst/>
                          </a:prstGeom>
                        </pic:spPr>
                      </pic:pic>
                    </a:graphicData>
                  </a:graphic>
                </wp:inline>
              </w:drawing>
            </w:r>
            <w:r>
              <w:rPr>
                <w:sz w:val="20"/>
              </w:rPr>
            </w:r>
          </w:p>
          <w:p>
            <w:pPr>
              <w:pStyle w:val="TableParagraph"/>
              <w:rPr>
                <w:sz w:val="20"/>
              </w:rPr>
            </w:pPr>
          </w:p>
          <w:p>
            <w:pPr>
              <w:pStyle w:val="TableParagraph"/>
              <w:spacing w:before="6"/>
              <w:rPr>
                <w:sz w:val="17"/>
              </w:rPr>
            </w:pPr>
          </w:p>
        </w:tc>
        <w:tc>
          <w:tcPr>
            <w:tcW w:w="7034" w:type="dxa"/>
            <w:tcBorders>
              <w:top w:val="single" w:sz="8" w:space="0" w:color="000000"/>
            </w:tcBorders>
          </w:tcPr>
          <w:p>
            <w:pPr>
              <w:pStyle w:val="TableParagraph"/>
              <w:spacing w:before="7"/>
              <w:rPr>
                <w:sz w:val="18"/>
              </w:rPr>
            </w:pPr>
          </w:p>
          <w:p>
            <w:pPr>
              <w:pStyle w:val="TableParagraph"/>
              <w:spacing w:line="273" w:lineRule="auto" w:before="1"/>
              <w:ind w:left="138" w:right="104"/>
              <w:rPr>
                <w:sz w:val="21"/>
              </w:rPr>
            </w:pPr>
            <w:r>
              <w:rPr>
                <w:sz w:val="21"/>
              </w:rPr>
              <w:t>明确指定受益人很重要，请您或者被保险人慎重选择指定身故保险金受益人。</w:t>
            </w:r>
          </w:p>
          <w:p>
            <w:pPr>
              <w:pStyle w:val="TableParagraph"/>
              <w:spacing w:line="273" w:lineRule="auto" w:before="8"/>
              <w:ind w:left="138" w:right="107"/>
              <w:rPr>
                <w:sz w:val="21"/>
              </w:rPr>
            </w:pPr>
            <w:r>
              <w:rPr>
                <w:sz w:val="21"/>
              </w:rPr>
              <w:t>除另有指定外，重大疾病保险金、护理保险金受益人为被保险人本人。 </w:t>
            </w:r>
            <w:r>
              <w:rPr>
                <w:spacing w:val="-2"/>
                <w:sz w:val="21"/>
              </w:rPr>
              <w:t>关于受益人的其他规定详见《中华人民共和国保险法</w:t>
            </w:r>
            <w:r>
              <w:rPr>
                <w:spacing w:val="-124"/>
                <w:sz w:val="21"/>
              </w:rPr>
              <w:t>》</w:t>
            </w:r>
            <w:r>
              <w:rPr>
                <w:sz w:val="21"/>
              </w:rPr>
              <w:t>（请扫描二维码查看相关内容</w:t>
            </w:r>
            <w:r>
              <w:rPr>
                <w:spacing w:val="-105"/>
                <w:sz w:val="21"/>
              </w:rPr>
              <w:t>）</w:t>
            </w:r>
            <w:r>
              <w:rPr>
                <w:sz w:val="21"/>
              </w:rPr>
              <w:t>。</w:t>
            </w:r>
          </w:p>
        </w:tc>
      </w:tr>
      <w:tr>
        <w:trPr>
          <w:trHeight w:val="587" w:hRule="atLeast"/>
        </w:trPr>
        <w:tc>
          <w:tcPr>
            <w:tcW w:w="715" w:type="dxa"/>
          </w:tcPr>
          <w:p>
            <w:pPr>
              <w:pStyle w:val="TableParagraph"/>
              <w:spacing w:before="124"/>
              <w:ind w:left="108"/>
              <w:rPr>
                <w:b/>
                <w:sz w:val="21"/>
              </w:rPr>
            </w:pPr>
            <w:r>
              <w:rPr>
                <w:b/>
                <w:sz w:val="21"/>
              </w:rPr>
              <w:t>4.2</w:t>
            </w:r>
          </w:p>
        </w:tc>
        <w:tc>
          <w:tcPr>
            <w:tcW w:w="2333" w:type="dxa"/>
          </w:tcPr>
          <w:p>
            <w:pPr>
              <w:pStyle w:val="TableParagraph"/>
              <w:spacing w:before="124"/>
              <w:ind w:left="155"/>
              <w:rPr>
                <w:b/>
                <w:sz w:val="21"/>
              </w:rPr>
            </w:pPr>
            <w:r>
              <w:rPr>
                <w:b/>
                <w:w w:val="95"/>
                <w:sz w:val="21"/>
              </w:rPr>
              <w:t>保险金申请</w:t>
            </w:r>
          </w:p>
        </w:tc>
        <w:tc>
          <w:tcPr>
            <w:tcW w:w="7034" w:type="dxa"/>
          </w:tcPr>
          <w:p>
            <w:pPr>
              <w:pStyle w:val="TableParagraph"/>
              <w:spacing w:before="124"/>
              <w:ind w:left="137"/>
              <w:rPr>
                <w:sz w:val="21"/>
              </w:rPr>
            </w:pPr>
            <w:r>
              <w:rPr>
                <w:sz w:val="21"/>
              </w:rPr>
              <w:t>在申请保险金时，请按照下列方式办理：</w:t>
            </w:r>
          </w:p>
        </w:tc>
      </w:tr>
      <w:tr>
        <w:trPr>
          <w:trHeight w:val="1972" w:hRule="atLeast"/>
        </w:trPr>
        <w:tc>
          <w:tcPr>
            <w:tcW w:w="715" w:type="dxa"/>
          </w:tcPr>
          <w:p>
            <w:pPr>
              <w:pStyle w:val="TableParagraph"/>
              <w:rPr>
                <w:rFonts w:ascii="Times New Roman"/>
                <w:sz w:val="20"/>
              </w:rPr>
            </w:pPr>
          </w:p>
        </w:tc>
        <w:tc>
          <w:tcPr>
            <w:tcW w:w="2333" w:type="dxa"/>
          </w:tcPr>
          <w:p>
            <w:pPr>
              <w:pStyle w:val="TableParagraph"/>
              <w:spacing w:line="232" w:lineRule="auto" w:before="110"/>
              <w:ind w:left="155" w:right="138"/>
              <w:rPr>
                <w:rFonts w:ascii="等线" w:eastAsia="等线" w:hint="eastAsia"/>
                <w:b/>
                <w:sz w:val="24"/>
              </w:rPr>
            </w:pPr>
            <w:r>
              <w:rPr>
                <w:rFonts w:ascii="等线" w:eastAsia="等线" w:hint="eastAsia"/>
                <w:b/>
                <w:spacing w:val="-15"/>
                <w:sz w:val="24"/>
              </w:rPr>
              <w:t>重大疾病保险金、护</w:t>
            </w:r>
            <w:r>
              <w:rPr>
                <w:rFonts w:ascii="等线" w:eastAsia="等线" w:hint="eastAsia"/>
                <w:b/>
                <w:sz w:val="24"/>
              </w:rPr>
              <w:t>理保险金申请</w:t>
            </w:r>
          </w:p>
        </w:tc>
        <w:tc>
          <w:tcPr>
            <w:tcW w:w="7034" w:type="dxa"/>
          </w:tcPr>
          <w:p>
            <w:pPr>
              <w:pStyle w:val="TableParagraph"/>
              <w:spacing w:line="273" w:lineRule="auto" w:before="133"/>
              <w:ind w:left="138" w:right="107"/>
              <w:rPr>
                <w:sz w:val="21"/>
              </w:rPr>
            </w:pPr>
            <w:r>
              <w:rPr>
                <w:sz w:val="21"/>
              </w:rPr>
              <w:t>若申领重大疾病保险金及护理保险金，由重大疾病保险金、护理保险金受益人填写保险金给付申请书，并提供下列证明和资料：</w:t>
            </w:r>
          </w:p>
          <w:p>
            <w:pPr>
              <w:pStyle w:val="TableParagraph"/>
              <w:spacing w:before="8"/>
              <w:ind w:left="138"/>
              <w:rPr>
                <w:sz w:val="21"/>
              </w:rPr>
            </w:pPr>
            <w:r>
              <w:rPr>
                <w:sz w:val="21"/>
              </w:rPr>
              <w:t>（1）保险合同；</w:t>
            </w:r>
          </w:p>
          <w:p>
            <w:pPr>
              <w:pStyle w:val="TableParagraph"/>
              <w:spacing w:before="37"/>
              <w:ind w:left="138"/>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310" w:lineRule="atLeast" w:before="1"/>
              <w:ind w:left="680" w:right="40" w:hanging="526"/>
              <w:rPr>
                <w:sz w:val="21"/>
              </w:rPr>
            </w:pPr>
            <w:r>
              <w:rPr>
                <w:sz w:val="21"/>
              </w:rPr>
              <w:t>（3）医院出具的附有病理显微镜检查、血液检验及其他科学方法检验报告的疾病诊断证明书；</w:t>
            </w:r>
          </w:p>
        </w:tc>
      </w:tr>
    </w:tbl>
    <w:p>
      <w:pPr>
        <w:pStyle w:val="BodyText"/>
        <w:rPr>
          <w:sz w:val="20"/>
        </w:rPr>
      </w:pPr>
    </w:p>
    <w:p>
      <w:pPr>
        <w:pStyle w:val="BodyText"/>
        <w:spacing w:before="3"/>
        <w:rPr>
          <w:sz w:val="10"/>
        </w:rPr>
      </w:pPr>
      <w:r>
        <w:rPr/>
        <w:pict>
          <v:line style="position:absolute;mso-position-horizontal-relative:page;mso-position-vertical-relative:paragraph;z-index:1480;mso-wrap-distance-left:0;mso-wrap-distance-right:0" from="51.060001pt,8.953132pt" to="195.060001pt,8.953132pt" stroked="true" strokeweight=".54pt" strokecolor="#000000">
            <v:stroke dashstyle="solid"/>
            <w10:wrap type="topAndBottom"/>
          </v:line>
        </w:pict>
      </w:r>
    </w:p>
    <w:p>
      <w:pPr>
        <w:spacing w:line="259" w:lineRule="auto" w:before="17"/>
        <w:ind w:left="402" w:right="217"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5"/>
        <w:ind w:left="402" w:right="219"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80" w:lineRule="exact"/>
        <w:jc w:val="left"/>
        <w:rPr>
          <w:sz w:val="18"/>
        </w:rPr>
        <w:sectPr>
          <w:pgSz w:w="11910" w:h="16840"/>
          <w:pgMar w:top="1120" w:bottom="280" w:left="800" w:right="800"/>
        </w:sectPr>
      </w:pPr>
    </w:p>
    <w:p>
      <w:pPr>
        <w:pStyle w:val="BodyText"/>
        <w:spacing w:before="20"/>
        <w:ind w:left="3299"/>
      </w:pPr>
      <w:r>
        <w:rPr/>
        <w:t>（4）与确认保险事故的性质、原因等有关的其他证明和资料。</w:t>
      </w:r>
    </w:p>
    <w:p>
      <w:pPr>
        <w:pStyle w:val="BodyText"/>
        <w:spacing w:line="273" w:lineRule="auto" w:before="36"/>
        <w:ind w:left="3299" w:right="216"/>
        <w:jc w:val="both"/>
      </w:pPr>
      <w:r>
        <w:rPr>
          <w:spacing w:val="-3"/>
        </w:rPr>
        <w:t>若申领未领满 </w:t>
      </w:r>
      <w:r>
        <w:rPr/>
        <w:t>5</w:t>
      </w:r>
      <w:r>
        <w:rPr>
          <w:spacing w:val="-5"/>
        </w:rPr>
        <w:t> 次护理保险金被保险人即身故后的剩余护理保险金，由护理保险金受益人填写保险金给付申请书；护理保险金受益人为被保险人本人的，由被保险人的继承人填写保险金给付申请书，并提供下列证明和资料：</w:t>
      </w:r>
    </w:p>
    <w:p>
      <w:pPr>
        <w:pStyle w:val="BodyText"/>
        <w:spacing w:before="7"/>
        <w:ind w:left="3299"/>
      </w:pPr>
      <w:r>
        <w:rPr/>
        <w:t>（1）保险合同；</w:t>
      </w:r>
    </w:p>
    <w:p>
      <w:pPr>
        <w:pStyle w:val="BodyText"/>
        <w:spacing w:before="37"/>
        <w:ind w:left="3299"/>
      </w:pPr>
      <w:r>
        <w:rPr/>
        <w:t>（2）受益人或被保险人的继承人的有效身份证件；</w:t>
      </w:r>
    </w:p>
    <w:p>
      <w:pPr>
        <w:pStyle w:val="BodyText"/>
        <w:spacing w:line="273" w:lineRule="auto" w:before="37"/>
        <w:ind w:left="3825" w:right="162" w:hanging="526"/>
      </w:pPr>
      <w:r>
        <w:rPr/>
        <w:t>（3）国家卫生行政部门认定的医疗机构、公安部门或其他相关机构出具的被保险人的死亡证明；</w:t>
      </w:r>
    </w:p>
    <w:p>
      <w:pPr>
        <w:pStyle w:val="BodyText"/>
        <w:spacing w:before="7"/>
        <w:ind w:left="3299"/>
      </w:pPr>
      <w:r>
        <w:rPr/>
        <w:t>（4）与确认保险事故的性质、原因等有关的其他证明和资料。</w:t>
      </w:r>
    </w:p>
    <w:p>
      <w:pPr>
        <w:pStyle w:val="BodyText"/>
        <w:spacing w:before="1"/>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154"/>
        <w:gridCol w:w="7223"/>
      </w:tblGrid>
      <w:tr>
        <w:trPr>
          <w:trHeight w:val="2292" w:hRule="atLeast"/>
        </w:trPr>
        <w:tc>
          <w:tcPr>
            <w:tcW w:w="715" w:type="dxa"/>
          </w:tcPr>
          <w:p>
            <w:pPr>
              <w:pStyle w:val="TableParagraph"/>
              <w:rPr>
                <w:rFonts w:ascii="Times New Roman"/>
                <w:sz w:val="20"/>
              </w:rPr>
            </w:pPr>
          </w:p>
        </w:tc>
        <w:tc>
          <w:tcPr>
            <w:tcW w:w="2154" w:type="dxa"/>
          </w:tcPr>
          <w:p>
            <w:pPr>
              <w:pStyle w:val="TableParagraph"/>
              <w:spacing w:line="248" w:lineRule="exact"/>
              <w:ind w:left="155"/>
              <w:rPr>
                <w:rFonts w:ascii="等线" w:eastAsia="等线" w:hint="eastAsia"/>
                <w:b/>
                <w:sz w:val="24"/>
              </w:rPr>
            </w:pPr>
            <w:r>
              <w:rPr>
                <w:rFonts w:ascii="等线" w:eastAsia="等线" w:hint="eastAsia"/>
                <w:b/>
                <w:sz w:val="24"/>
              </w:rPr>
              <w:t>身故保险金申请</w:t>
            </w:r>
          </w:p>
        </w:tc>
        <w:tc>
          <w:tcPr>
            <w:tcW w:w="7223" w:type="dxa"/>
          </w:tcPr>
          <w:p>
            <w:pPr>
              <w:pStyle w:val="TableParagraph"/>
              <w:spacing w:line="228" w:lineRule="exact"/>
              <w:ind w:left="317"/>
              <w:rPr>
                <w:sz w:val="21"/>
              </w:rPr>
            </w:pPr>
            <w:r>
              <w:rPr>
                <w:sz w:val="21"/>
              </w:rPr>
              <w:t>由身故保险金受益人填写保险金给付申请书，并提供下列证明和资料：</w:t>
            </w:r>
          </w:p>
          <w:p>
            <w:pPr>
              <w:pStyle w:val="TableParagraph"/>
              <w:spacing w:before="37"/>
              <w:ind w:left="317"/>
              <w:rPr>
                <w:sz w:val="21"/>
              </w:rPr>
            </w:pPr>
            <w:r>
              <w:rPr>
                <w:sz w:val="21"/>
              </w:rPr>
              <w:t>（1）保险合同；</w:t>
            </w:r>
          </w:p>
          <w:p>
            <w:pPr>
              <w:pStyle w:val="TableParagraph"/>
              <w:spacing w:before="37"/>
              <w:ind w:left="317"/>
              <w:rPr>
                <w:sz w:val="21"/>
              </w:rPr>
            </w:pPr>
            <w:r>
              <w:rPr>
                <w:sz w:val="21"/>
              </w:rPr>
              <w:t>（2）受益人的有效身份证件；</w:t>
            </w:r>
          </w:p>
          <w:p>
            <w:pPr>
              <w:pStyle w:val="TableParagraph"/>
              <w:spacing w:line="273" w:lineRule="auto" w:before="37"/>
              <w:ind w:left="821" w:right="59" w:hanging="504"/>
              <w:rPr>
                <w:sz w:val="21"/>
              </w:rPr>
            </w:pPr>
            <w:r>
              <w:rPr>
                <w:sz w:val="21"/>
              </w:rPr>
              <w:t>（3）国家卫生行政部门认定的医疗机构、公安部门或其他相关机构出具的被保险人的死亡证明；</w:t>
            </w:r>
          </w:p>
          <w:p>
            <w:pPr>
              <w:pStyle w:val="TableParagraph"/>
              <w:spacing w:before="7"/>
              <w:ind w:left="317"/>
              <w:rPr>
                <w:sz w:val="21"/>
              </w:rPr>
            </w:pPr>
            <w:r>
              <w:rPr>
                <w:sz w:val="21"/>
              </w:rPr>
              <w:t>（4）与确认保险事故的性质、原因等有关的其他证明和资料。</w:t>
            </w:r>
          </w:p>
          <w:p>
            <w:pPr>
              <w:pStyle w:val="TableParagraph"/>
              <w:spacing w:before="36"/>
              <w:ind w:left="316"/>
              <w:rPr>
                <w:sz w:val="21"/>
              </w:rPr>
            </w:pPr>
            <w:r>
              <w:rPr>
                <w:spacing w:val="-4"/>
                <w:sz w:val="21"/>
              </w:rPr>
              <w:t>保险金作为被保险人遗产时，必须提供可证明合法继承权的相关权利文件。</w:t>
            </w:r>
          </w:p>
        </w:tc>
      </w:tr>
      <w:tr>
        <w:trPr>
          <w:trHeight w:val="907" w:hRule="atLeast"/>
        </w:trPr>
        <w:tc>
          <w:tcPr>
            <w:tcW w:w="715" w:type="dxa"/>
          </w:tcPr>
          <w:p>
            <w:pPr>
              <w:pStyle w:val="TableParagraph"/>
              <w:rPr>
                <w:rFonts w:ascii="Times New Roman"/>
                <w:sz w:val="20"/>
              </w:rPr>
            </w:pPr>
          </w:p>
        </w:tc>
        <w:tc>
          <w:tcPr>
            <w:tcW w:w="2154" w:type="dxa"/>
          </w:tcPr>
          <w:p>
            <w:pPr>
              <w:pStyle w:val="TableParagraph"/>
              <w:rPr>
                <w:rFonts w:ascii="Times New Roman"/>
                <w:sz w:val="20"/>
              </w:rPr>
            </w:pPr>
          </w:p>
        </w:tc>
        <w:tc>
          <w:tcPr>
            <w:tcW w:w="7223" w:type="dxa"/>
          </w:tcPr>
          <w:p>
            <w:pPr>
              <w:pStyle w:val="TableParagraph"/>
              <w:spacing w:line="273" w:lineRule="auto" w:before="128"/>
              <w:ind w:left="317" w:right="116"/>
              <w:rPr>
                <w:sz w:val="21"/>
              </w:rPr>
            </w:pPr>
            <w:r>
              <w:rPr>
                <w:sz w:val="21"/>
              </w:rPr>
              <w:t>以上证明和资料不完整的，我们将一次性通知受益人补充提供有关证明和资料。</w:t>
            </w:r>
          </w:p>
        </w:tc>
      </w:tr>
      <w:tr>
        <w:trPr>
          <w:trHeight w:val="4031" w:hRule="atLeast"/>
        </w:trPr>
        <w:tc>
          <w:tcPr>
            <w:tcW w:w="715" w:type="dxa"/>
          </w:tcPr>
          <w:p>
            <w:pPr>
              <w:pStyle w:val="TableParagraph"/>
              <w:spacing w:before="128"/>
              <w:ind w:left="108"/>
              <w:rPr>
                <w:b/>
                <w:sz w:val="21"/>
              </w:rPr>
            </w:pPr>
            <w:r>
              <w:rPr>
                <w:b/>
                <w:sz w:val="21"/>
              </w:rPr>
              <w:t>4.3</w:t>
            </w:r>
          </w:p>
        </w:tc>
        <w:tc>
          <w:tcPr>
            <w:tcW w:w="2154" w:type="dxa"/>
          </w:tcPr>
          <w:p>
            <w:pPr>
              <w:pStyle w:val="TableParagraph"/>
              <w:spacing w:before="128"/>
              <w:ind w:left="155"/>
              <w:rPr>
                <w:b/>
                <w:sz w:val="21"/>
              </w:rPr>
            </w:pPr>
            <w:r>
              <w:rPr>
                <w:b/>
                <w:w w:val="95"/>
                <w:sz w:val="21"/>
              </w:rPr>
              <w:t>保险金的给付</w:t>
            </w:r>
          </w:p>
        </w:tc>
        <w:tc>
          <w:tcPr>
            <w:tcW w:w="7223" w:type="dxa"/>
          </w:tcPr>
          <w:p>
            <w:pPr>
              <w:pStyle w:val="TableParagraph"/>
              <w:spacing w:before="128"/>
              <w:ind w:left="317"/>
              <w:rPr>
                <w:sz w:val="21"/>
              </w:rPr>
            </w:pPr>
            <w:r>
              <w:rPr>
                <w:sz w:val="21"/>
              </w:rPr>
              <w:t>我们在收到保险金给付申请书及上述有关证明和资料后，将在 5 日内作出</w:t>
            </w:r>
          </w:p>
          <w:p>
            <w:pPr>
              <w:pStyle w:val="TableParagraph"/>
              <w:spacing w:before="37"/>
              <w:ind w:left="317"/>
              <w:rPr>
                <w:sz w:val="21"/>
              </w:rPr>
            </w:pPr>
            <w:r>
              <w:rPr>
                <w:sz w:val="21"/>
              </w:rPr>
              <w:t>核定；情形复杂的，在 30 日内作出核定。</w:t>
            </w:r>
          </w:p>
          <w:p>
            <w:pPr>
              <w:pStyle w:val="TableParagraph"/>
              <w:spacing w:line="273" w:lineRule="auto" w:before="37"/>
              <w:ind w:left="317" w:right="116"/>
              <w:rPr>
                <w:sz w:val="21"/>
              </w:rPr>
            </w:pPr>
            <w:r>
              <w:rPr>
                <w:sz w:val="21"/>
              </w:rPr>
              <w:t>对属于保险责任的，我们在与受益人或被保险人的继承人达成给付保险金</w:t>
            </w:r>
            <w:r>
              <w:rPr>
                <w:spacing w:val="-11"/>
                <w:sz w:val="21"/>
              </w:rPr>
              <w:t>的协议后 </w:t>
            </w:r>
            <w:r>
              <w:rPr>
                <w:sz w:val="21"/>
              </w:rPr>
              <w:t>10</w:t>
            </w:r>
            <w:r>
              <w:rPr>
                <w:spacing w:val="-10"/>
                <w:sz w:val="21"/>
              </w:rPr>
              <w:t> 日内，履行给付保险金义务；若我们在收到保险金给付申请书</w:t>
            </w:r>
          </w:p>
          <w:p>
            <w:pPr>
              <w:pStyle w:val="TableParagraph"/>
              <w:spacing w:before="7"/>
              <w:ind w:left="317"/>
              <w:rPr>
                <w:sz w:val="21"/>
              </w:rPr>
            </w:pPr>
            <w:r>
              <w:rPr>
                <w:spacing w:val="-5"/>
                <w:sz w:val="21"/>
              </w:rPr>
              <w:t>及上述有关证明和资料后第 </w:t>
            </w:r>
            <w:r>
              <w:rPr>
                <w:sz w:val="21"/>
              </w:rPr>
              <w:t>30</w:t>
            </w:r>
            <w:r>
              <w:rPr>
                <w:spacing w:val="-10"/>
                <w:sz w:val="21"/>
              </w:rPr>
              <w:t> 日仍未作出核定，除支付保险金外，我们将</w:t>
            </w:r>
          </w:p>
          <w:p>
            <w:pPr>
              <w:pStyle w:val="TableParagraph"/>
              <w:spacing w:line="273" w:lineRule="auto" w:before="36"/>
              <w:ind w:left="316" w:right="115"/>
              <w:jc w:val="both"/>
              <w:rPr>
                <w:sz w:val="21"/>
              </w:rPr>
            </w:pPr>
            <w:r>
              <w:rPr>
                <w:spacing w:val="15"/>
                <w:sz w:val="21"/>
              </w:rPr>
              <w:t>从第</w:t>
            </w:r>
            <w:r>
              <w:rPr>
                <w:sz w:val="21"/>
              </w:rPr>
              <w:t>31</w:t>
            </w:r>
            <w:r>
              <w:rPr>
                <w:spacing w:val="-9"/>
                <w:sz w:val="21"/>
              </w:rPr>
              <w:t> 日起按超过天数赔偿受益人或被保险人的继承人因此受到的利息损失。利息按照我们公示的利率按单利计算，且保证该利率不低于中国人民银行公布的同期金融机构人民币活期存款基准利率。若我们要求投保人、被保险人、受益人或者被保险人的继承人补充提供有关证明和资料的，则</w:t>
            </w:r>
            <w:r>
              <w:rPr>
                <w:spacing w:val="-21"/>
                <w:sz w:val="21"/>
              </w:rPr>
              <w:t>上述的 </w:t>
            </w:r>
            <w:r>
              <w:rPr>
                <w:sz w:val="21"/>
              </w:rPr>
              <w:t>30</w:t>
            </w:r>
            <w:r>
              <w:rPr>
                <w:spacing w:val="-8"/>
                <w:sz w:val="21"/>
              </w:rPr>
              <w:t> 日不包括补充提供有关证明和资料的期间。</w:t>
            </w:r>
          </w:p>
          <w:p>
            <w:pPr>
              <w:pStyle w:val="TableParagraph"/>
              <w:spacing w:line="273" w:lineRule="auto" w:before="6"/>
              <w:ind w:left="317" w:right="59" w:hanging="1"/>
              <w:rPr>
                <w:sz w:val="21"/>
              </w:rPr>
            </w:pPr>
            <w:r>
              <w:rPr>
                <w:sz w:val="21"/>
              </w:rPr>
              <w:t>对不属于保险责任的，我们自作出核定之日起 3 日内向受益人或被保险人的继承人发出拒绝给付保险金通知书并说明理由。</w:t>
            </w:r>
          </w:p>
        </w:tc>
      </w:tr>
      <w:tr>
        <w:trPr>
          <w:trHeight w:val="1131" w:hRule="atLeast"/>
        </w:trPr>
        <w:tc>
          <w:tcPr>
            <w:tcW w:w="715" w:type="dxa"/>
            <w:tcBorders>
              <w:bottom w:val="single" w:sz="8" w:space="0" w:color="000000"/>
            </w:tcBorders>
          </w:tcPr>
          <w:p>
            <w:pPr>
              <w:pStyle w:val="TableParagraph"/>
              <w:spacing w:before="157"/>
              <w:ind w:left="202"/>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before="156"/>
              <w:ind w:left="155"/>
              <w:rPr>
                <w:b/>
                <w:sz w:val="24"/>
              </w:rPr>
            </w:pPr>
            <w:r>
              <w:rPr>
                <w:b/>
                <w:sz w:val="24"/>
              </w:rPr>
              <w:t>如何退保</w:t>
            </w:r>
          </w:p>
          <w:p>
            <w:pPr>
              <w:pStyle w:val="TableParagraph"/>
              <w:spacing w:before="133"/>
              <w:ind w:left="155"/>
              <w:rPr>
                <w:sz w:val="24"/>
              </w:rPr>
            </w:pPr>
            <w:r>
              <w:rPr>
                <w:spacing w:val="-9"/>
                <w:sz w:val="24"/>
              </w:rPr>
              <w:t>这部分讲的是您可以随时申请退保，在犹豫期内退保没有损失，犹豫期后退保会有损失。</w:t>
            </w:r>
          </w:p>
        </w:tc>
      </w:tr>
      <w:tr>
        <w:trPr>
          <w:trHeight w:val="2083"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5.1</w:t>
            </w:r>
          </w:p>
        </w:tc>
        <w:tc>
          <w:tcPr>
            <w:tcW w:w="2154" w:type="dxa"/>
            <w:tcBorders>
              <w:top w:val="single" w:sz="8" w:space="0" w:color="000000"/>
            </w:tcBorders>
          </w:tcPr>
          <w:p>
            <w:pPr>
              <w:pStyle w:val="TableParagraph"/>
              <w:rPr>
                <w:sz w:val="19"/>
              </w:rPr>
            </w:pPr>
          </w:p>
          <w:p>
            <w:pPr>
              <w:pStyle w:val="TableParagraph"/>
              <w:ind w:left="155"/>
              <w:rPr>
                <w:b/>
                <w:sz w:val="21"/>
              </w:rPr>
            </w:pPr>
            <w:r>
              <w:rPr>
                <w:b/>
                <w:sz w:val="21"/>
              </w:rPr>
              <w:t>犹豫期</w:t>
            </w:r>
          </w:p>
        </w:tc>
        <w:tc>
          <w:tcPr>
            <w:tcW w:w="7223" w:type="dxa"/>
            <w:tcBorders>
              <w:top w:val="single" w:sz="8" w:space="0" w:color="000000"/>
            </w:tcBorders>
          </w:tcPr>
          <w:p>
            <w:pPr>
              <w:pStyle w:val="TableParagraph"/>
              <w:rPr>
                <w:sz w:val="19"/>
              </w:rPr>
            </w:pPr>
          </w:p>
          <w:p>
            <w:pPr>
              <w:pStyle w:val="TableParagraph"/>
              <w:spacing w:line="273" w:lineRule="auto"/>
              <w:ind w:left="316" w:right="116"/>
              <w:rPr>
                <w:sz w:val="21"/>
              </w:rPr>
            </w:pPr>
            <w:r>
              <w:rPr>
                <w:spacing w:val="-6"/>
                <w:sz w:val="21"/>
              </w:rPr>
              <w:t>自您签收本附加险合同次日起，有 </w:t>
            </w:r>
            <w:r>
              <w:rPr>
                <w:sz w:val="21"/>
              </w:rPr>
              <w:t>20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312" w:lineRule="exact" w:before="3"/>
              <w:ind w:left="316" w:right="12"/>
              <w:rPr>
                <w:sz w:val="21"/>
              </w:rPr>
            </w:pPr>
            <w:r>
              <w:rPr>
                <w:spacing w:val="-5"/>
                <w:sz w:val="21"/>
              </w:rPr>
              <w:t>份证件。自我们收到您解除合同的书面申请时起，本附加险合同即被解除， 合同解除前发生的保险事故我们不承担保险责任。</w:t>
            </w:r>
          </w:p>
        </w:tc>
      </w:tr>
    </w:tbl>
    <w:p>
      <w:pPr>
        <w:spacing w:after="0" w:line="312" w:lineRule="exact"/>
        <w:rPr>
          <w:sz w:val="21"/>
        </w:rPr>
        <w:sectPr>
          <w:pgSz w:w="11910" w:h="16840"/>
          <w:pgMar w:top="10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7"/>
        <w:gridCol w:w="6990"/>
      </w:tblGrid>
      <w:tr>
        <w:trPr>
          <w:trHeight w:val="3214" w:hRule="atLeast"/>
        </w:trPr>
        <w:tc>
          <w:tcPr>
            <w:tcW w:w="715" w:type="dxa"/>
          </w:tcPr>
          <w:p>
            <w:pPr>
              <w:pStyle w:val="TableParagraph"/>
              <w:spacing w:line="210" w:lineRule="exact"/>
              <w:ind w:left="108"/>
              <w:rPr>
                <w:b/>
                <w:sz w:val="21"/>
              </w:rPr>
            </w:pPr>
            <w:r>
              <w:rPr>
                <w:b/>
                <w:sz w:val="21"/>
              </w:rPr>
              <w:t>5.2</w:t>
            </w:r>
          </w:p>
        </w:tc>
        <w:tc>
          <w:tcPr>
            <w:tcW w:w="2377" w:type="dxa"/>
          </w:tcPr>
          <w:p>
            <w:pPr>
              <w:pStyle w:val="TableParagraph"/>
              <w:spacing w:line="210" w:lineRule="exact"/>
              <w:ind w:left="155"/>
              <w:rPr>
                <w:b/>
                <w:sz w:val="21"/>
              </w:rPr>
            </w:pPr>
            <w:r>
              <w:rPr>
                <w:b/>
                <w:sz w:val="21"/>
              </w:rPr>
              <w:t>您解除合同的手续及</w:t>
            </w:r>
          </w:p>
          <w:p>
            <w:pPr>
              <w:pStyle w:val="TableParagraph"/>
              <w:spacing w:before="37"/>
              <w:ind w:left="155"/>
              <w:rPr>
                <w:b/>
                <w:sz w:val="21"/>
              </w:rPr>
            </w:pPr>
            <w:r>
              <w:rPr>
                <w:b/>
                <w:sz w:val="21"/>
              </w:rPr>
              <w:t>风险</w:t>
            </w:r>
          </w:p>
        </w:tc>
        <w:tc>
          <w:tcPr>
            <w:tcW w:w="6990" w:type="dxa"/>
          </w:tcPr>
          <w:p>
            <w:pPr>
              <w:pStyle w:val="TableParagraph"/>
              <w:spacing w:line="210" w:lineRule="exact"/>
              <w:ind w:left="94"/>
              <w:rPr>
                <w:sz w:val="21"/>
              </w:rPr>
            </w:pPr>
            <w:r>
              <w:rPr>
                <w:sz w:val="21"/>
              </w:rPr>
              <w:t>您在犹豫期后可以申请解除本附加险合同，请填写解除合同申请书并向我</w:t>
            </w:r>
          </w:p>
          <w:p>
            <w:pPr>
              <w:pStyle w:val="TableParagraph"/>
              <w:spacing w:before="37"/>
              <w:ind w:left="94"/>
              <w:rPr>
                <w:sz w:val="21"/>
              </w:rPr>
            </w:pPr>
            <w:r>
              <w:rPr>
                <w:sz w:val="21"/>
              </w:rPr>
              <w:t>们提供下列资料：</w:t>
            </w:r>
          </w:p>
          <w:p>
            <w:pPr>
              <w:pStyle w:val="TableParagraph"/>
              <w:spacing w:before="37"/>
              <w:ind w:left="94"/>
              <w:rPr>
                <w:sz w:val="21"/>
              </w:rPr>
            </w:pPr>
            <w:r>
              <w:rPr>
                <w:sz w:val="21"/>
              </w:rPr>
              <w:t>（1）保险合同；</w:t>
            </w:r>
          </w:p>
          <w:p>
            <w:pPr>
              <w:pStyle w:val="TableParagraph"/>
              <w:spacing w:before="37"/>
              <w:ind w:left="94"/>
              <w:rPr>
                <w:sz w:val="21"/>
              </w:rPr>
            </w:pPr>
            <w:r>
              <w:rPr>
                <w:sz w:val="21"/>
              </w:rPr>
              <w:t>（2）您的有效身份证件。</w:t>
            </w:r>
          </w:p>
          <w:p>
            <w:pPr>
              <w:pStyle w:val="TableParagraph"/>
              <w:spacing w:line="273" w:lineRule="auto" w:before="37"/>
              <w:ind w:left="94" w:right="106"/>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3" w:right="3114"/>
              <w:rPr>
                <w:sz w:val="21"/>
              </w:rPr>
            </w:pPr>
            <w:r>
              <w:rPr>
                <w:sz w:val="21"/>
              </w:rPr>
              <w:t>您在犹豫期后解除合同会遭受一定损失。解除合同后，您会失去原有的保障。</w:t>
            </w:r>
          </w:p>
          <w:p>
            <w:pPr>
              <w:pStyle w:val="TableParagraph"/>
              <w:spacing w:line="273" w:lineRule="auto" w:before="8"/>
              <w:ind w:left="93" w:right="107"/>
              <w:rPr>
                <w:sz w:val="21"/>
              </w:rPr>
            </w:pPr>
            <w:r>
              <w:rPr>
                <w:sz w:val="21"/>
              </w:rPr>
              <w:t>您在护理保险金受益人开始领取护理保险金后要求解除本附加险合同，我们不予受理。</w:t>
            </w:r>
          </w:p>
        </w:tc>
      </w:tr>
      <w:tr>
        <w:trPr>
          <w:trHeight w:val="1131" w:hRule="atLeast"/>
        </w:trPr>
        <w:tc>
          <w:tcPr>
            <w:tcW w:w="715" w:type="dxa"/>
            <w:tcBorders>
              <w:bottom w:val="single" w:sz="8" w:space="0" w:color="000000"/>
            </w:tcBorders>
          </w:tcPr>
          <w:p>
            <w:pPr>
              <w:pStyle w:val="TableParagraph"/>
              <w:spacing w:before="157"/>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56"/>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2"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6.1</w:t>
            </w:r>
          </w:p>
        </w:tc>
        <w:tc>
          <w:tcPr>
            <w:tcW w:w="2377" w:type="dxa"/>
            <w:tcBorders>
              <w:top w:val="single" w:sz="8" w:space="0" w:color="000000"/>
            </w:tcBorders>
          </w:tcPr>
          <w:p>
            <w:pPr>
              <w:pStyle w:val="TableParagraph"/>
              <w:rPr>
                <w:sz w:val="19"/>
              </w:rPr>
            </w:pPr>
          </w:p>
          <w:p>
            <w:pPr>
              <w:pStyle w:val="TableParagraph"/>
              <w:ind w:left="155"/>
              <w:rPr>
                <w:b/>
                <w:sz w:val="21"/>
              </w:rPr>
            </w:pPr>
            <w:r>
              <w:rPr>
                <w:b/>
                <w:sz w:val="21"/>
              </w:rPr>
              <w:t>现金价值</w:t>
            </w:r>
          </w:p>
        </w:tc>
        <w:tc>
          <w:tcPr>
            <w:tcW w:w="6990" w:type="dxa"/>
            <w:tcBorders>
              <w:top w:val="single" w:sz="8" w:space="0" w:color="000000"/>
            </w:tcBorders>
          </w:tcPr>
          <w:p>
            <w:pPr>
              <w:pStyle w:val="TableParagraph"/>
              <w:rPr>
                <w:sz w:val="19"/>
              </w:rPr>
            </w:pPr>
          </w:p>
          <w:p>
            <w:pPr>
              <w:pStyle w:val="TableParagraph"/>
              <w:spacing w:line="273" w:lineRule="auto"/>
              <w:ind w:left="94" w:right="106"/>
              <w:rPr>
                <w:sz w:val="21"/>
              </w:rPr>
            </w:pPr>
            <w:r>
              <w:rPr>
                <w:sz w:val="21"/>
              </w:rPr>
              <w:t>指保险单所具有的价值。通常体现为解除合同时，由本公司退还的那部分金额。</w:t>
            </w:r>
          </w:p>
          <w:p>
            <w:pPr>
              <w:pStyle w:val="TableParagraph"/>
              <w:spacing w:line="273" w:lineRule="auto" w:before="7"/>
              <w:ind w:left="94" w:right="106"/>
              <w:rPr>
                <w:sz w:val="21"/>
              </w:rPr>
            </w:pPr>
            <w:r>
              <w:rPr>
                <w:sz w:val="21"/>
              </w:rPr>
              <w:t>本附加险合同保单年度末的现金价值会在保险单上载明。保单年度内的现金价值，您可以向我们咨询。</w:t>
            </w:r>
          </w:p>
        </w:tc>
      </w:tr>
      <w:tr>
        <w:trPr>
          <w:trHeight w:val="3066" w:hRule="atLeast"/>
        </w:trPr>
        <w:tc>
          <w:tcPr>
            <w:tcW w:w="715" w:type="dxa"/>
          </w:tcPr>
          <w:p>
            <w:pPr>
              <w:pStyle w:val="TableParagraph"/>
              <w:spacing w:before="128"/>
              <w:ind w:left="108"/>
              <w:rPr>
                <w:b/>
                <w:sz w:val="21"/>
              </w:rPr>
            </w:pPr>
            <w:r>
              <w:rPr>
                <w:b/>
                <w:sz w:val="21"/>
              </w:rPr>
              <w:t>6.2</w:t>
            </w:r>
          </w:p>
        </w:tc>
        <w:tc>
          <w:tcPr>
            <w:tcW w:w="2377" w:type="dxa"/>
          </w:tcPr>
          <w:p>
            <w:pPr>
              <w:pStyle w:val="TableParagraph"/>
              <w:spacing w:before="128"/>
              <w:ind w:left="155"/>
              <w:rPr>
                <w:b/>
                <w:sz w:val="21"/>
              </w:rPr>
            </w:pPr>
            <w:r>
              <w:rPr>
                <w:b/>
                <w:sz w:val="21"/>
              </w:rPr>
              <w:t>减额交清</w:t>
            </w:r>
          </w:p>
        </w:tc>
        <w:tc>
          <w:tcPr>
            <w:tcW w:w="6990" w:type="dxa"/>
          </w:tcPr>
          <w:p>
            <w:pPr>
              <w:pStyle w:val="TableParagraph"/>
              <w:spacing w:line="273" w:lineRule="auto" w:before="128"/>
              <w:ind w:left="94" w:right="106"/>
              <w:jc w:val="both"/>
              <w:rPr>
                <w:sz w:val="21"/>
              </w:rPr>
            </w:pPr>
            <w:r>
              <w:rPr>
                <w:sz w:val="21"/>
              </w:rPr>
              <w:t>当您无法继续交费时，可用现金价值作为一次交清的保险费，基本保险金额将减少，合同继续有效。</w:t>
            </w:r>
          </w:p>
          <w:p>
            <w:pPr>
              <w:pStyle w:val="TableParagraph"/>
              <w:spacing w:line="273" w:lineRule="auto" w:before="7"/>
              <w:ind w:left="94" w:right="106"/>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2">
              <w:r>
                <w:rPr>
                  <w:rFonts w:ascii="黑体" w:eastAsia="黑体" w:hint="eastAsia"/>
                  <w:b/>
                  <w:position w:val="11"/>
                  <w:sz w:val="11"/>
                </w:rPr>
                <w:t>13</w:t>
              </w:r>
            </w:hyperlink>
            <w:r>
              <w:rPr>
                <w:sz w:val="21"/>
              </w:rPr>
              <w:t>，重新计算本附加险合同的基本保险金额。</w:t>
            </w:r>
          </w:p>
          <w:p>
            <w:pPr>
              <w:pStyle w:val="TableParagraph"/>
              <w:spacing w:line="273" w:lineRule="auto" w:before="4"/>
              <w:ind w:left="93" w:right="104"/>
              <w:jc w:val="both"/>
              <w:rPr>
                <w:sz w:val="21"/>
              </w:rPr>
            </w:pPr>
            <w:r>
              <w:rPr>
                <w:sz w:val="21"/>
              </w:rPr>
              <w:t>减额交清后，本附加险合同的基本保险金额会相应减少。您不需要再支付保险费，本附加险合同继续有效，身故保险金相应调整成减额交清后被保险人身故当时的现金价值。</w:t>
            </w:r>
          </w:p>
          <w:p>
            <w:pPr>
              <w:pStyle w:val="TableParagraph"/>
              <w:spacing w:before="7"/>
              <w:ind w:left="93"/>
              <w:jc w:val="both"/>
              <w:rPr>
                <w:sz w:val="21"/>
              </w:rPr>
            </w:pPr>
            <w:r>
              <w:rPr>
                <w:sz w:val="21"/>
              </w:rPr>
              <w:t>本附加险合同必须随主险合同一起办理减额交清，不能单独办理。</w:t>
            </w:r>
          </w:p>
        </w:tc>
      </w:tr>
      <w:tr>
        <w:trPr>
          <w:trHeight w:val="1102" w:hRule="atLeast"/>
        </w:trPr>
        <w:tc>
          <w:tcPr>
            <w:tcW w:w="715" w:type="dxa"/>
            <w:tcBorders>
              <w:bottom w:val="single" w:sz="8" w:space="0" w:color="000000"/>
            </w:tcBorders>
          </w:tcPr>
          <w:p>
            <w:pPr>
              <w:pStyle w:val="TableParagraph"/>
              <w:spacing w:before="129"/>
              <w:ind w:right="153"/>
              <w:jc w:val="right"/>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before="128"/>
              <w:ind w:left="155"/>
              <w:rPr>
                <w:b/>
                <w:sz w:val="24"/>
              </w:rPr>
            </w:pPr>
            <w:r>
              <w:rPr>
                <w:b/>
                <w:w w:val="95"/>
                <w:sz w:val="24"/>
              </w:rPr>
              <w:t>重大疾病释义</w:t>
            </w:r>
          </w:p>
          <w:p>
            <w:pPr>
              <w:pStyle w:val="TableParagraph"/>
              <w:spacing w:before="133"/>
              <w:ind w:left="155" w:right="-15"/>
              <w:rPr>
                <w:sz w:val="24"/>
              </w:rPr>
            </w:pPr>
            <w:r>
              <w:rPr>
                <w:spacing w:val="-20"/>
                <w:sz w:val="24"/>
              </w:rPr>
              <w:t>这部分讲的是我们提供保障的 </w:t>
            </w:r>
            <w:r>
              <w:rPr>
                <w:spacing w:val="-5"/>
                <w:sz w:val="24"/>
              </w:rPr>
              <w:t>45</w:t>
            </w:r>
            <w:r>
              <w:rPr>
                <w:spacing w:val="-31"/>
                <w:sz w:val="24"/>
              </w:rPr>
              <w:t> 种重大疾病的定义，其中包含一些免责条款，请您特别留意。</w:t>
            </w:r>
          </w:p>
        </w:tc>
      </w:tr>
      <w:tr>
        <w:trPr>
          <w:trHeight w:val="709" w:hRule="atLeast"/>
        </w:trPr>
        <w:tc>
          <w:tcPr>
            <w:tcW w:w="715" w:type="dxa"/>
            <w:tcBorders>
              <w:top w:val="single" w:sz="8" w:space="0" w:color="000000"/>
            </w:tcBorders>
          </w:tcPr>
          <w:p>
            <w:pPr>
              <w:pStyle w:val="TableParagraph"/>
              <w:rPr>
                <w:rFonts w:ascii="Times New Roman"/>
                <w:sz w:val="20"/>
              </w:rPr>
            </w:pPr>
          </w:p>
        </w:tc>
        <w:tc>
          <w:tcPr>
            <w:tcW w:w="2377" w:type="dxa"/>
            <w:tcBorders>
              <w:top w:val="single" w:sz="8" w:space="0" w:color="000000"/>
            </w:tcBorders>
          </w:tcPr>
          <w:p>
            <w:pPr>
              <w:pStyle w:val="TableParagraph"/>
              <w:spacing w:before="7"/>
              <w:rPr>
                <w:sz w:val="17"/>
              </w:rPr>
            </w:pPr>
          </w:p>
          <w:p>
            <w:pPr>
              <w:pStyle w:val="TableParagraph"/>
              <w:ind w:left="155"/>
              <w:rPr>
                <w:b/>
                <w:sz w:val="21"/>
              </w:rPr>
            </w:pPr>
            <w:r>
              <w:rPr>
                <w:b/>
                <w:sz w:val="21"/>
              </w:rPr>
              <w:t>第 1 类：</w:t>
            </w:r>
          </w:p>
        </w:tc>
        <w:tc>
          <w:tcPr>
            <w:tcW w:w="6990" w:type="dxa"/>
            <w:tcBorders>
              <w:top w:val="single" w:sz="8" w:space="0" w:color="000000"/>
            </w:tcBorders>
          </w:tcPr>
          <w:p>
            <w:pPr>
              <w:pStyle w:val="TableParagraph"/>
              <w:spacing w:before="1"/>
              <w:rPr>
                <w:sz w:val="19"/>
              </w:rPr>
            </w:pPr>
          </w:p>
          <w:p>
            <w:pPr>
              <w:pStyle w:val="TableParagraph"/>
              <w:ind w:left="94"/>
              <w:rPr>
                <w:b/>
                <w:sz w:val="21"/>
              </w:rPr>
            </w:pPr>
            <w:r>
              <w:rPr>
                <w:b/>
                <w:w w:val="95"/>
                <w:sz w:val="21"/>
              </w:rPr>
              <w:t>与恶性肿瘤相关的疾病</w:t>
            </w:r>
          </w:p>
        </w:tc>
      </w:tr>
      <w:tr>
        <w:trPr>
          <w:trHeight w:val="2907" w:hRule="atLeast"/>
        </w:trPr>
        <w:tc>
          <w:tcPr>
            <w:tcW w:w="715" w:type="dxa"/>
          </w:tcPr>
          <w:p>
            <w:pPr>
              <w:pStyle w:val="TableParagraph"/>
              <w:rPr>
                <w:rFonts w:ascii="Times New Roman"/>
                <w:sz w:val="20"/>
              </w:rPr>
            </w:pPr>
          </w:p>
        </w:tc>
        <w:tc>
          <w:tcPr>
            <w:tcW w:w="2377" w:type="dxa"/>
          </w:tcPr>
          <w:p>
            <w:pPr>
              <w:pStyle w:val="TableParagraph"/>
              <w:spacing w:before="105"/>
              <w:ind w:left="155"/>
              <w:rPr>
                <w:rFonts w:ascii="等线" w:eastAsia="等线" w:hint="eastAsia"/>
                <w:b/>
                <w:sz w:val="24"/>
              </w:rPr>
            </w:pPr>
            <w:r>
              <w:rPr>
                <w:rFonts w:ascii="等线" w:eastAsia="等线" w:hint="eastAsia"/>
                <w:b/>
                <w:sz w:val="24"/>
              </w:rPr>
              <w:t>恶性肿瘤</w:t>
            </w:r>
          </w:p>
        </w:tc>
        <w:tc>
          <w:tcPr>
            <w:tcW w:w="6990" w:type="dxa"/>
          </w:tcPr>
          <w:p>
            <w:pPr>
              <w:pStyle w:val="TableParagraph"/>
              <w:spacing w:line="273" w:lineRule="auto" w:before="137"/>
              <w:ind w:left="94"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7"/>
              <w:ind w:left="94"/>
              <w:jc w:val="both"/>
              <w:rPr>
                <w:sz w:val="21"/>
              </w:rPr>
            </w:pPr>
            <w:r>
              <w:rPr>
                <w:sz w:val="21"/>
                <w:shd w:fill="DADADA" w:color="auto" w:val="clear"/>
              </w:rPr>
              <w:t>（1）原位癌；</w:t>
            </w:r>
          </w:p>
          <w:p>
            <w:pPr>
              <w:pStyle w:val="TableParagraph"/>
              <w:spacing w:before="36"/>
              <w:ind w:left="94"/>
              <w:jc w:val="both"/>
              <w:rPr>
                <w:sz w:val="21"/>
              </w:rPr>
            </w:pPr>
            <w:r>
              <w:rPr>
                <w:sz w:val="21"/>
                <w:shd w:fill="DADADA" w:color="auto" w:val="clear"/>
              </w:rPr>
              <w:t>（2）相当于Binet 分期方案 A 期程度的慢性淋巴细胞白血病；</w:t>
            </w:r>
          </w:p>
          <w:p>
            <w:pPr>
              <w:pStyle w:val="TableParagraph"/>
              <w:spacing w:before="36"/>
              <w:ind w:left="94"/>
              <w:jc w:val="both"/>
              <w:rPr>
                <w:sz w:val="21"/>
              </w:rPr>
            </w:pPr>
            <w:r>
              <w:rPr>
                <w:sz w:val="21"/>
                <w:shd w:fill="DADADA" w:color="auto" w:val="clear"/>
              </w:rPr>
              <w:t>（3）相当于Ann Arbor 分期方案 I 期程度的何杰金氏病；</w:t>
            </w:r>
          </w:p>
          <w:p>
            <w:pPr>
              <w:pStyle w:val="TableParagraph"/>
              <w:spacing w:before="36"/>
              <w:ind w:left="94"/>
              <w:jc w:val="both"/>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line="255" w:lineRule="exact" w:before="36"/>
              <w:ind w:left="94"/>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bl>
    <w:p>
      <w:pPr>
        <w:pStyle w:val="BodyText"/>
        <w:spacing w:before="4"/>
      </w:pPr>
      <w:r>
        <w:rPr/>
        <w:pict>
          <v:line style="position:absolute;mso-position-horizontal-relative:page;mso-position-vertical-relative:paragraph;z-index:1504;mso-wrap-distance-left:0;mso-wrap-distance-right:0" from="51.060001pt,16.23pt" to="195.060001pt,16.23pt" stroked="true" strokeweight=".54pt" strokecolor="#000000">
            <v:stroke dashstyle="solid"/>
            <w10:wrap type="topAndBottom"/>
          </v:line>
        </w:pict>
      </w:r>
    </w:p>
    <w:p>
      <w:pPr>
        <w:spacing w:before="17"/>
        <w:ind w:left="22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p>
      <w:pPr>
        <w:pStyle w:val="BodyText"/>
        <w:spacing w:line="273" w:lineRule="auto" w:before="20"/>
        <w:ind w:left="3704" w:right="262"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1"/>
        <w:rPr>
          <w:sz w:val="25"/>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7084"/>
      </w:tblGrid>
      <w:tr>
        <w:trPr>
          <w:trHeight w:val="751" w:hRule="atLeast"/>
        </w:trPr>
        <w:tc>
          <w:tcPr>
            <w:tcW w:w="2421" w:type="dxa"/>
          </w:tcPr>
          <w:p>
            <w:pPr>
              <w:pStyle w:val="TableParagraph"/>
              <w:spacing w:line="242" w:lineRule="exact"/>
              <w:ind w:left="200"/>
              <w:rPr>
                <w:rFonts w:ascii="等线" w:eastAsia="等线" w:hint="eastAsia"/>
                <w:b/>
                <w:sz w:val="24"/>
              </w:rPr>
            </w:pPr>
            <w:r>
              <w:rPr>
                <w:rFonts w:ascii="等线" w:eastAsia="等线" w:hint="eastAsia"/>
                <w:b/>
                <w:sz w:val="24"/>
              </w:rPr>
              <w:t>侵蚀性葡萄胎（或称</w:t>
            </w:r>
          </w:p>
          <w:p>
            <w:pPr>
              <w:pStyle w:val="TableParagraph"/>
              <w:spacing w:line="322" w:lineRule="exact"/>
              <w:ind w:left="200"/>
              <w:rPr>
                <w:rFonts w:ascii="等线" w:eastAsia="等线" w:hint="eastAsia"/>
                <w:b/>
                <w:sz w:val="24"/>
              </w:rPr>
            </w:pPr>
            <w:r>
              <w:rPr>
                <w:rFonts w:ascii="等线" w:eastAsia="等线" w:hint="eastAsia"/>
                <w:b/>
                <w:sz w:val="24"/>
              </w:rPr>
              <w:t>恶性葡萄胎）</w:t>
            </w:r>
          </w:p>
        </w:tc>
        <w:tc>
          <w:tcPr>
            <w:tcW w:w="7084" w:type="dxa"/>
          </w:tcPr>
          <w:p>
            <w:pPr>
              <w:pStyle w:val="TableParagraph"/>
              <w:spacing w:line="228" w:lineRule="exact"/>
              <w:ind w:left="95"/>
              <w:rPr>
                <w:sz w:val="21"/>
              </w:rPr>
            </w:pPr>
            <w:r>
              <w:rPr>
                <w:sz w:val="21"/>
              </w:rPr>
              <w:t>指异常增生的绒毛组织浸润性生长浸入子宫肌层或转移至其他器官或组织</w:t>
            </w:r>
          </w:p>
          <w:p>
            <w:pPr>
              <w:pStyle w:val="TableParagraph"/>
              <w:spacing w:before="37"/>
              <w:ind w:left="95"/>
              <w:rPr>
                <w:sz w:val="21"/>
              </w:rPr>
            </w:pPr>
            <w:r>
              <w:rPr>
                <w:sz w:val="21"/>
              </w:rPr>
              <w:t>的葡萄胎，并已经进行化疗或手术治疗的。</w:t>
            </w:r>
          </w:p>
        </w:tc>
      </w:tr>
      <w:tr>
        <w:trPr>
          <w:trHeight w:val="579" w:hRule="atLeast"/>
        </w:trPr>
        <w:tc>
          <w:tcPr>
            <w:tcW w:w="2421" w:type="dxa"/>
          </w:tcPr>
          <w:p>
            <w:pPr>
              <w:pStyle w:val="TableParagraph"/>
              <w:spacing w:before="121"/>
              <w:ind w:left="200"/>
              <w:rPr>
                <w:b/>
                <w:sz w:val="21"/>
              </w:rPr>
            </w:pPr>
            <w:r>
              <w:rPr>
                <w:b/>
                <w:sz w:val="21"/>
              </w:rPr>
              <w:t>第 2 类：</w:t>
            </w:r>
          </w:p>
        </w:tc>
        <w:tc>
          <w:tcPr>
            <w:tcW w:w="7084" w:type="dxa"/>
          </w:tcPr>
          <w:p>
            <w:pPr>
              <w:pStyle w:val="TableParagraph"/>
              <w:spacing w:before="121"/>
              <w:ind w:left="95"/>
              <w:rPr>
                <w:b/>
                <w:sz w:val="21"/>
              </w:rPr>
            </w:pPr>
            <w:r>
              <w:rPr>
                <w:b/>
                <w:w w:val="95"/>
                <w:sz w:val="21"/>
              </w:rPr>
              <w:t>与心脏或脑血管相关的疾病</w:t>
            </w:r>
          </w:p>
        </w:tc>
      </w:tr>
      <w:tr>
        <w:trPr>
          <w:trHeight w:val="2780" w:hRule="atLeast"/>
        </w:trPr>
        <w:tc>
          <w:tcPr>
            <w:tcW w:w="2421" w:type="dxa"/>
          </w:tcPr>
          <w:p>
            <w:pPr>
              <w:pStyle w:val="TableParagraph"/>
              <w:spacing w:before="104"/>
              <w:ind w:left="200"/>
              <w:rPr>
                <w:rFonts w:ascii="等线" w:eastAsia="等线" w:hint="eastAsia"/>
                <w:b/>
                <w:sz w:val="24"/>
              </w:rPr>
            </w:pPr>
            <w:r>
              <w:rPr>
                <w:rFonts w:ascii="等线" w:eastAsia="等线" w:hint="eastAsia"/>
                <w:b/>
                <w:w w:val="105"/>
                <w:sz w:val="24"/>
              </w:rPr>
              <w:t>急性心ft梗塞</w:t>
            </w:r>
          </w:p>
        </w:tc>
        <w:tc>
          <w:tcPr>
            <w:tcW w:w="7084" w:type="dxa"/>
          </w:tcPr>
          <w:p>
            <w:pPr>
              <w:pStyle w:val="TableParagraph"/>
              <w:spacing w:line="273" w:lineRule="auto" w:before="136"/>
              <w:ind w:left="95" w:right="199"/>
              <w:rPr>
                <w:sz w:val="21"/>
              </w:rPr>
            </w:pPr>
            <w:r>
              <w:rPr>
                <w:sz w:val="21"/>
              </w:rPr>
              <w:t>指因冠状动脉阻塞导致的相应区域供血不足造成部分心肌坏死。须满足下列至少三项条件：</w:t>
            </w:r>
          </w:p>
          <w:p>
            <w:pPr>
              <w:pStyle w:val="TableParagraph"/>
              <w:spacing w:before="7"/>
              <w:ind w:left="95"/>
              <w:rPr>
                <w:sz w:val="21"/>
              </w:rPr>
            </w:pPr>
            <w:r>
              <w:rPr>
                <w:sz w:val="21"/>
              </w:rPr>
              <w:t>（1）典型临床表现，例如急性胸痛等；</w:t>
            </w:r>
          </w:p>
          <w:p>
            <w:pPr>
              <w:pStyle w:val="TableParagraph"/>
              <w:spacing w:before="37"/>
              <w:ind w:left="94"/>
              <w:rPr>
                <w:sz w:val="21"/>
              </w:rPr>
            </w:pPr>
            <w:r>
              <w:rPr>
                <w:sz w:val="21"/>
              </w:rPr>
              <w:t>（2）新近的心电图改变提示急性心肌梗塞；</w:t>
            </w:r>
          </w:p>
          <w:p>
            <w:pPr>
              <w:pStyle w:val="TableParagraph"/>
              <w:spacing w:line="273" w:lineRule="auto" w:before="37"/>
              <w:ind w:left="620" w:right="142" w:hanging="526"/>
              <w:rPr>
                <w:sz w:val="21"/>
              </w:rPr>
            </w:pPr>
            <w:r>
              <w:rPr>
                <w:sz w:val="21"/>
              </w:rPr>
              <w:t>（3）心肌酶或肌钙蛋白有诊断意义的升高，或呈符合急性心肌梗塞的动态性变化；</w:t>
            </w:r>
          </w:p>
          <w:p>
            <w:pPr>
              <w:pStyle w:val="TableParagraph"/>
              <w:spacing w:before="7"/>
              <w:ind w:left="94"/>
              <w:rPr>
                <w:sz w:val="21"/>
              </w:rPr>
            </w:pPr>
            <w:r>
              <w:rPr>
                <w:sz w:val="21"/>
              </w:rPr>
              <w:t>（4）发病 90 日后，经检查证实左心室功能降低，如左心室射血分数低于</w:t>
            </w:r>
          </w:p>
          <w:p>
            <w:pPr>
              <w:pStyle w:val="TableParagraph"/>
              <w:spacing w:before="36"/>
              <w:ind w:left="620"/>
              <w:rPr>
                <w:sz w:val="21"/>
              </w:rPr>
            </w:pPr>
            <w:r>
              <w:rPr>
                <w:sz w:val="21"/>
              </w:rPr>
              <w:t>50%。</w:t>
            </w:r>
          </w:p>
        </w:tc>
      </w:tr>
      <w:tr>
        <w:trPr>
          <w:trHeight w:val="1219" w:hRule="atLeast"/>
        </w:trPr>
        <w:tc>
          <w:tcPr>
            <w:tcW w:w="2421" w:type="dxa"/>
          </w:tcPr>
          <w:p>
            <w:pPr>
              <w:pStyle w:val="TableParagraph"/>
              <w:spacing w:line="232" w:lineRule="auto" w:before="114"/>
              <w:ind w:left="200" w:right="93"/>
              <w:rPr>
                <w:rFonts w:ascii="等线" w:eastAsia="等线" w:hint="eastAsia"/>
                <w:b/>
                <w:sz w:val="24"/>
              </w:rPr>
            </w:pPr>
            <w:r>
              <w:rPr>
                <w:rFonts w:ascii="等线" w:eastAsia="等线" w:hint="eastAsia"/>
                <w:b/>
                <w:sz w:val="24"/>
              </w:rPr>
              <w:t>严重原发性肺动脉高压</w:t>
            </w:r>
          </w:p>
        </w:tc>
        <w:tc>
          <w:tcPr>
            <w:tcW w:w="7084" w:type="dxa"/>
          </w:tcPr>
          <w:p>
            <w:pPr>
              <w:pStyle w:val="TableParagraph"/>
              <w:spacing w:line="273" w:lineRule="auto" w:before="137"/>
              <w:ind w:left="95"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3">
              <w:r>
                <w:rPr>
                  <w:rFonts w:ascii="黑体" w:eastAsia="黑体" w:hint="eastAsia"/>
                  <w:b/>
                  <w:position w:val="11"/>
                  <w:sz w:val="11"/>
                </w:rPr>
                <w:t>14</w:t>
              </w:r>
            </w:hyperlink>
            <w:r>
              <w:rPr>
                <w:sz w:val="21"/>
              </w:rPr>
              <w:t>性的体力活动能力受限，达到美国纽约心脏病学会</w:t>
            </w:r>
            <w:r>
              <w:rPr>
                <w:rFonts w:ascii="黑体" w:eastAsia="黑体" w:hint="eastAsia"/>
                <w:b/>
                <w:sz w:val="21"/>
              </w:rPr>
              <w:t>心功能状态分级 </w:t>
            </w:r>
            <w:hyperlink w:history="true" w:anchor="_bookmark14">
              <w:r>
                <w:rPr>
                  <w:rFonts w:ascii="黑体" w:eastAsia="黑体" w:hint="eastAsia"/>
                  <w:b/>
                  <w:position w:val="11"/>
                  <w:sz w:val="11"/>
                </w:rPr>
                <w:t>15</w:t>
              </w:r>
            </w:hyperlink>
            <w:r>
              <w:rPr>
                <w:sz w:val="21"/>
              </w:rPr>
              <w:t>IV 级，且静息状态下肺动脉平均压超过 30mmHg。</w:t>
            </w:r>
          </w:p>
        </w:tc>
      </w:tr>
      <w:tr>
        <w:trPr>
          <w:trHeight w:val="907" w:hRule="atLeast"/>
        </w:trPr>
        <w:tc>
          <w:tcPr>
            <w:tcW w:w="2421" w:type="dxa"/>
          </w:tcPr>
          <w:p>
            <w:pPr>
              <w:pStyle w:val="TableParagraph"/>
              <w:spacing w:before="104"/>
              <w:ind w:left="200"/>
              <w:rPr>
                <w:rFonts w:ascii="等线" w:eastAsia="等线" w:hint="eastAsia"/>
                <w:b/>
                <w:sz w:val="24"/>
              </w:rPr>
            </w:pPr>
            <w:r>
              <w:rPr>
                <w:rFonts w:ascii="等线" w:eastAsia="等线" w:hint="eastAsia"/>
                <w:b/>
                <w:sz w:val="24"/>
              </w:rPr>
              <w:t>心脏瓣膜手术</w:t>
            </w:r>
          </w:p>
        </w:tc>
        <w:tc>
          <w:tcPr>
            <w:tcW w:w="7084" w:type="dxa"/>
          </w:tcPr>
          <w:p>
            <w:pPr>
              <w:pStyle w:val="TableParagraph"/>
              <w:spacing w:line="273" w:lineRule="auto" w:before="136"/>
              <w:ind w:left="95" w:right="199"/>
              <w:rPr>
                <w:sz w:val="21"/>
              </w:rPr>
            </w:pPr>
            <w:r>
              <w:rPr>
                <w:sz w:val="21"/>
              </w:rPr>
              <w:t>指为治疗心脏瓣膜疾病，实际实施了开胸进行的心脏瓣膜置换或修复的手术。</w:t>
            </w:r>
          </w:p>
        </w:tc>
      </w:tr>
      <w:tr>
        <w:trPr>
          <w:trHeight w:val="2154" w:hRule="atLeast"/>
        </w:trPr>
        <w:tc>
          <w:tcPr>
            <w:tcW w:w="2421" w:type="dxa"/>
          </w:tcPr>
          <w:p>
            <w:pPr>
              <w:pStyle w:val="TableParagraph"/>
              <w:spacing w:line="232" w:lineRule="auto" w:before="114"/>
              <w:ind w:left="200" w:right="93"/>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84" w:type="dxa"/>
          </w:tcPr>
          <w:p>
            <w:pPr>
              <w:pStyle w:val="TableParagraph"/>
              <w:spacing w:line="273" w:lineRule="auto" w:before="137"/>
              <w:ind w:left="95"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95"/>
              <w:jc w:val="both"/>
              <w:rPr>
                <w:sz w:val="21"/>
              </w:rPr>
            </w:pPr>
            <w:r>
              <w:rPr>
                <w:sz w:val="21"/>
                <w:shd w:fill="DADADA" w:color="auto" w:val="clear"/>
              </w:rPr>
              <w:t>继发于全身性疾病或其它器官系统疾病造成的心肌病变不在保障范围内。</w:t>
            </w:r>
          </w:p>
        </w:tc>
      </w:tr>
      <w:tr>
        <w:trPr>
          <w:trHeight w:val="1482" w:hRule="atLeast"/>
        </w:trPr>
        <w:tc>
          <w:tcPr>
            <w:tcW w:w="2421" w:type="dxa"/>
          </w:tcPr>
          <w:p>
            <w:pPr>
              <w:pStyle w:val="TableParagraph"/>
              <w:spacing w:before="106"/>
              <w:ind w:left="200"/>
              <w:rPr>
                <w:rFonts w:ascii="等线" w:eastAsia="等线" w:hint="eastAsia"/>
                <w:b/>
                <w:sz w:val="24"/>
              </w:rPr>
            </w:pPr>
            <w:r>
              <w:rPr>
                <w:rFonts w:ascii="等线" w:eastAsia="等线" w:hint="eastAsia"/>
                <w:b/>
                <w:sz w:val="24"/>
              </w:rPr>
              <w:t>脑中风后遗症</w:t>
            </w:r>
          </w:p>
        </w:tc>
        <w:tc>
          <w:tcPr>
            <w:tcW w:w="7084" w:type="dxa"/>
          </w:tcPr>
          <w:p>
            <w:pPr>
              <w:pStyle w:val="TableParagraph"/>
              <w:spacing w:line="237" w:lineRule="auto" w:before="121"/>
              <w:ind w:left="94" w:right="199"/>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71" w:lineRule="exact"/>
              <w:ind w:left="94"/>
              <w:jc w:val="both"/>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pStyle w:val="TableParagraph"/>
              <w:spacing w:line="254" w:lineRule="exact"/>
              <w:ind w:left="94"/>
              <w:jc w:val="both"/>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tc>
      </w:tr>
    </w:tbl>
    <w:p>
      <w:pPr>
        <w:pStyle w:val="BodyText"/>
        <w:spacing w:before="11"/>
        <w:rPr>
          <w:sz w:val="22"/>
        </w:rPr>
      </w:pPr>
      <w:r>
        <w:rPr/>
        <w:pict>
          <v:line style="position:absolute;mso-position-horizontal-relative:page;mso-position-vertical-relative:paragraph;z-index:1528;mso-wrap-distance-left:0;mso-wrap-distance-right:0" from="51.060001pt,17.213438pt" to="195.060001pt,17.213438pt" stroked="true" strokeweight=".54pt" strokecolor="#000000">
            <v:stroke dashstyle="solid"/>
            <w10:wrap type="topAndBottom"/>
          </v:line>
        </w:pict>
      </w:r>
    </w:p>
    <w:p>
      <w:pPr>
        <w:spacing w:line="268"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3"/>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3"/>
        <w:ind w:left="311" w:right="367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3"/>
        <w:ind w:left="282" w:right="0" w:firstLine="0"/>
        <w:jc w:val="left"/>
        <w:rPr>
          <w:sz w:val="18"/>
        </w:rPr>
      </w:pPr>
      <w:r>
        <w:rPr>
          <w:sz w:val="18"/>
        </w:rPr>
        <w:t>的整个下肢。</w:t>
      </w:r>
    </w:p>
    <w:p>
      <w:pPr>
        <w:spacing w:line="280" w:lineRule="exact" w:before="36"/>
        <w:ind w:left="282" w:right="319" w:hanging="182"/>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3"/>
        <w:ind w:left="259" w:right="302" w:firstLine="0"/>
        <w:jc w:val="left"/>
        <w:rPr>
          <w:sz w:val="18"/>
        </w:rPr>
      </w:pPr>
      <w:r>
        <w:rPr>
          <w:sz w:val="18"/>
        </w:rPr>
        <w:t>咀嚼吞咽能力完全丧失，指因牙齿以外的原因导致器质障碍或机能障碍，以致不能作咀嚼吞咽运动，除流质食物外不能摄取或吞咽的状态。</w:t>
      </w:r>
    </w:p>
    <w:p>
      <w:pPr>
        <w:spacing w:after="0" w:line="285" w:lineRule="auto"/>
        <w:jc w:val="left"/>
        <w:rPr>
          <w:sz w:val="18"/>
        </w:rPr>
        <w:sectPr>
          <w:pgSz w:w="11910" w:h="16840"/>
          <w:pgMar w:top="1080" w:bottom="280" w:left="920" w:right="700"/>
        </w:sectPr>
      </w:pPr>
    </w:p>
    <w:p>
      <w:pPr>
        <w:spacing w:line="237" w:lineRule="auto" w:before="43"/>
        <w:ind w:left="3704" w:right="154"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7">
        <w:r>
          <w:rPr>
            <w:rFonts w:ascii="黑体" w:eastAsia="黑体" w:hint="eastAsia"/>
            <w:b/>
            <w:position w:val="11"/>
            <w:sz w:val="11"/>
          </w:rPr>
          <w:t>18</w:t>
        </w:r>
      </w:hyperlink>
      <w:r>
        <w:rPr>
          <w:sz w:val="21"/>
        </w:rPr>
        <w:t>中的三项或三项以上。</w:t>
      </w:r>
    </w:p>
    <w:p>
      <w:pPr>
        <w:pStyle w:val="BodyText"/>
        <w:rPr>
          <w:sz w:val="19"/>
        </w:rPr>
      </w:pPr>
    </w:p>
    <w:p>
      <w:pPr>
        <w:spacing w:after="0"/>
        <w:rPr>
          <w:sz w:val="19"/>
        </w:rPr>
        <w:sectPr>
          <w:pgSz w:w="11910" w:h="16840"/>
          <w:pgMar w:top="1040" w:bottom="280" w:left="920" w:right="800"/>
        </w:sectPr>
      </w:pPr>
    </w:p>
    <w:p>
      <w:pPr>
        <w:pStyle w:val="Heading2"/>
        <w:spacing w:line="232" w:lineRule="auto"/>
        <w:ind w:left="863"/>
        <w:jc w:val="both"/>
      </w:pPr>
      <w:r>
        <w:rPr>
          <w:spacing w:val="-9"/>
        </w:rPr>
        <w:t>冠状动脉搭桥术</w:t>
      </w:r>
      <w:r>
        <w:rPr/>
        <w:t>（或</w:t>
      </w:r>
      <w:r>
        <w:rPr>
          <w:spacing w:val="25"/>
        </w:rPr>
        <w:t>称冠状动脉旁路移</w:t>
      </w:r>
      <w:r>
        <w:rPr/>
        <w:t>植术）</w:t>
      </w:r>
    </w:p>
    <w:p>
      <w:pPr>
        <w:pStyle w:val="BodyText"/>
        <w:spacing w:line="273" w:lineRule="auto" w:before="53"/>
        <w:ind w:left="150" w:right="217"/>
      </w:pPr>
      <w:r>
        <w:rPr/>
        <w:br w:type="column"/>
      </w:r>
      <w:r>
        <w:rPr/>
        <w:t>指为治疗严重的冠心病，实际实施了开胸进行的冠状动脉血管旁路移植的手术。</w:t>
      </w:r>
    </w:p>
    <w:p>
      <w:pPr>
        <w:pStyle w:val="BodyText"/>
        <w:spacing w:line="273" w:lineRule="auto" w:before="7"/>
        <w:ind w:left="150" w:right="21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800"/>
          <w:cols w:num="2" w:equalWidth="0">
            <w:col w:w="2989" w:space="40"/>
            <w:col w:w="7161"/>
          </w:cols>
        </w:sectPr>
      </w:pPr>
    </w:p>
    <w:p>
      <w:pPr>
        <w:pStyle w:val="BodyText"/>
        <w:spacing w:before="2"/>
        <w:rPr>
          <w:sz w:val="18"/>
        </w:rPr>
      </w:pPr>
    </w:p>
    <w:p>
      <w:pPr>
        <w:pStyle w:val="BodyText"/>
        <w:tabs>
          <w:tab w:pos="3179" w:val="left" w:leader="none"/>
        </w:tabs>
        <w:spacing w:line="254" w:lineRule="auto" w:before="17"/>
        <w:ind w:left="3179" w:right="217" w:hanging="2316"/>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9" w:right="285"/>
      </w:pPr>
      <w:r>
        <w:rPr/>
        <w:t>主动脉指胸主动脉和腹主动脉，</w:t>
      </w:r>
      <w:r>
        <w:rPr>
          <w:shd w:fill="DADADA" w:color="auto" w:val="clear"/>
        </w:rPr>
        <w:t>不包括胸主动脉和腹主动脉的分支血管。</w:t>
      </w:r>
      <w:r>
        <w:rPr>
          <w:spacing w:val="-210"/>
          <w:shd w:fill="DADADA" w:color="auto" w:val="clear"/>
        </w:rPr>
        <w:t>动</w:t>
      </w:r>
      <w:r>
        <w:rPr>
          <w:shd w:fill="DADADA" w:color="auto" w:val="clear"/>
        </w:rPr>
        <w:t>脉内血管成形术不在保障范围内。</w:t>
      </w:r>
    </w:p>
    <w:p>
      <w:pPr>
        <w:pStyle w:val="BodyText"/>
        <w:spacing w:before="3"/>
        <w:rPr>
          <w:sz w:val="18"/>
        </w:rPr>
      </w:pPr>
    </w:p>
    <w:p>
      <w:pPr>
        <w:spacing w:after="0"/>
        <w:rPr>
          <w:sz w:val="18"/>
        </w:rPr>
        <w:sectPr>
          <w:type w:val="continuous"/>
          <w:pgSz w:w="11910" w:h="16840"/>
          <w:pgMar w:top="560" w:bottom="280" w:left="920" w:right="800"/>
        </w:sectPr>
      </w:pPr>
    </w:p>
    <w:p>
      <w:pPr>
        <w:pStyle w:val="Heading2"/>
        <w:spacing w:line="232" w:lineRule="auto" w:before="30"/>
        <w:ind w:left="863"/>
      </w:pPr>
      <w:r>
        <w:rPr/>
        <w:t>严重感染性心内膜炎</w:t>
      </w:r>
    </w:p>
    <w:p>
      <w:pPr>
        <w:pStyle w:val="BodyText"/>
        <w:spacing w:line="273" w:lineRule="auto" w:before="64"/>
        <w:ind w:left="150" w:right="218"/>
        <w:rPr>
          <w:rFonts w:ascii="Times New Roman" w:eastAsia="Times New Roman"/>
        </w:rPr>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r>
        <w:rPr>
          <w:rFonts w:ascii="Times New Roman" w:eastAsia="Times New Roman"/>
        </w:rPr>
        <w:t>:</w:t>
      </w:r>
    </w:p>
    <w:p>
      <w:pPr>
        <w:pStyle w:val="BodyText"/>
        <w:spacing w:before="10"/>
        <w:ind w:left="150"/>
      </w:pPr>
      <w:r>
        <w:rPr/>
        <w:t>（1）以下方法之一血液培养测试结果为阳性，证实存在感染性微生物：</w:t>
      </w:r>
    </w:p>
    <w:p>
      <w:pPr>
        <w:pStyle w:val="BodyText"/>
        <w:tabs>
          <w:tab w:pos="677" w:val="left" w:leader="none"/>
        </w:tabs>
        <w:spacing w:before="57"/>
        <w:ind w:left="256"/>
      </w:pPr>
      <w:r>
        <w:rPr/>
        <w:t>①</w:t>
        <w:tab/>
      </w:r>
      <w:r>
        <w:rPr>
          <w:spacing w:val="-1"/>
        </w:rPr>
        <w:t>微生物：在赘生物或心脏内脓疡经培养或组织检查证实有微生物；</w:t>
      </w:r>
    </w:p>
    <w:p>
      <w:pPr>
        <w:pStyle w:val="BodyText"/>
        <w:tabs>
          <w:tab w:pos="677" w:val="left" w:leader="none"/>
        </w:tabs>
        <w:spacing w:before="57"/>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42"/>
        <w:ind w:left="256"/>
      </w:pPr>
      <w:r>
        <w:rPr/>
        <w:t>③</w:t>
        <w:tab/>
      </w:r>
      <w:r>
        <w:rPr>
          <w:spacing w:val="-1"/>
        </w:rPr>
        <w:t>分别两次血液培养证实有微生物，且与心内膜炎符合；</w:t>
      </w:r>
    </w:p>
    <w:p>
      <w:pPr>
        <w:pStyle w:val="BodyText"/>
        <w:spacing w:line="273" w:lineRule="auto" w:before="46"/>
        <w:ind w:left="696" w:right="219" w:hanging="505"/>
      </w:pPr>
      <w:r>
        <w:rPr>
          <w:spacing w:val="-14"/>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60" w:bottom="280" w:left="920" w:right="800"/>
          <w:cols w:num="2" w:equalWidth="0">
            <w:col w:w="2989" w:space="40"/>
            <w:col w:w="7161"/>
          </w:cols>
        </w:sectPr>
      </w:pPr>
    </w:p>
    <w:p>
      <w:pPr>
        <w:pStyle w:val="BodyText"/>
        <w:spacing w:before="7"/>
        <w:rPr>
          <w:sz w:val="19"/>
        </w:rPr>
      </w:pPr>
    </w:p>
    <w:p>
      <w:pPr>
        <w:pStyle w:val="Heading4"/>
        <w:tabs>
          <w:tab w:pos="3179" w:val="left" w:leader="none"/>
        </w:tabs>
        <w:spacing w:before="36"/>
        <w:ind w:left="86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560" w:bottom="280" w:left="920" w:right="800"/>
        </w:sectPr>
      </w:pPr>
    </w:p>
    <w:p>
      <w:pPr>
        <w:spacing w:line="232" w:lineRule="auto" w:before="31"/>
        <w:ind w:left="863"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50" w:right="217"/>
      </w:pPr>
      <w:r>
        <w:rPr/>
        <w:br w:type="column"/>
      </w:r>
      <w:r>
        <w:rPr/>
        <w:t>指因骨髓造血功能慢性持续性衰竭导致的贫血、中性粒细胞减少及血小板减少。须满足下列全部条件：</w:t>
      </w:r>
    </w:p>
    <w:p>
      <w:pPr>
        <w:pStyle w:val="BodyText"/>
        <w:spacing w:before="7"/>
        <w:ind w:left="150"/>
      </w:pPr>
      <w:r>
        <w:rPr/>
        <w:t>（1）骨髓穿刺检查或骨髓活检结果支持诊断；</w:t>
      </w:r>
    </w:p>
    <w:p>
      <w:pPr>
        <w:pStyle w:val="BodyText"/>
        <w:spacing w:before="37"/>
        <w:ind w:left="150"/>
      </w:pPr>
      <w:r>
        <w:rPr/>
        <w:t>（2）外周血象须具备以下三项条件：</w:t>
      </w:r>
    </w:p>
    <w:p>
      <w:pPr>
        <w:pStyle w:val="BodyText"/>
        <w:tabs>
          <w:tab w:pos="677" w:val="left" w:leader="none"/>
        </w:tabs>
        <w:spacing w:before="37"/>
        <w:ind w:left="256"/>
      </w:pPr>
      <w:r>
        <w:rPr/>
        <w:t>①</w:t>
        <w:tab/>
      </w:r>
      <w:r>
        <w:rPr>
          <w:spacing w:val="-1"/>
        </w:rPr>
        <w:t>中性粒细胞绝对值</w:t>
      </w:r>
      <w:r>
        <w:rPr/>
        <w:t>≤0.5×10</w:t>
      </w:r>
      <w:r>
        <w:rPr>
          <w:position w:val="11"/>
          <w:sz w:val="11"/>
        </w:rPr>
        <w:t>9</w:t>
      </w:r>
      <w:r>
        <w:rPr/>
        <w:t>/L；</w:t>
      </w:r>
    </w:p>
    <w:p>
      <w:pPr>
        <w:pStyle w:val="BodyText"/>
        <w:tabs>
          <w:tab w:pos="677" w:val="left" w:leader="none"/>
        </w:tabs>
        <w:spacing w:before="36"/>
        <w:ind w:left="256"/>
      </w:pPr>
      <w:r>
        <w:rPr/>
        <w:t>②</w:t>
        <w:tab/>
      </w:r>
      <w:r>
        <w:rPr>
          <w:spacing w:val="-1"/>
        </w:rPr>
        <w:t>网织红细胞</w:t>
      </w:r>
      <w:r>
        <w:rPr/>
        <w:t>＜1%；</w:t>
      </w:r>
    </w:p>
    <w:p>
      <w:pPr>
        <w:pStyle w:val="BodyText"/>
        <w:tabs>
          <w:tab w:pos="677" w:val="left" w:leader="none"/>
        </w:tabs>
        <w:spacing w:before="36"/>
        <w:ind w:left="256"/>
      </w:pPr>
      <w:r>
        <w:rPr/>
        <w:t>③</w:t>
        <w:tab/>
      </w:r>
      <w:r>
        <w:rPr>
          <w:spacing w:val="-1"/>
        </w:rPr>
        <w:t>血小板绝对值</w:t>
      </w:r>
      <w:r>
        <w:rPr/>
        <w:t>≤20×10</w:t>
      </w:r>
      <w:r>
        <w:rPr>
          <w:position w:val="11"/>
          <w:sz w:val="11"/>
        </w:rPr>
        <w:t>9</w:t>
      </w:r>
      <w:r>
        <w:rPr/>
        <w:t>/L。</w:t>
      </w:r>
    </w:p>
    <w:p>
      <w:pPr>
        <w:spacing w:after="0"/>
        <w:sectPr>
          <w:type w:val="continuous"/>
          <w:pgSz w:w="11910" w:h="16840"/>
          <w:pgMar w:top="560" w:bottom="280" w:left="920" w:right="800"/>
          <w:cols w:num="2" w:equalWidth="0">
            <w:col w:w="2989" w:space="40"/>
            <w:col w:w="7161"/>
          </w:cols>
        </w:sectPr>
      </w:pPr>
    </w:p>
    <w:p>
      <w:pPr>
        <w:pStyle w:val="BodyText"/>
        <w:spacing w:before="6"/>
        <w:rPr>
          <w:sz w:val="20"/>
        </w:rPr>
      </w:pPr>
    </w:p>
    <w:p>
      <w:pPr>
        <w:spacing w:after="0"/>
        <w:rPr>
          <w:sz w:val="20"/>
        </w:rPr>
        <w:sectPr>
          <w:type w:val="continuous"/>
          <w:pgSz w:w="11910" w:h="16840"/>
          <w:pgMar w:top="560" w:bottom="280" w:left="920" w:right="800"/>
        </w:sectPr>
      </w:pPr>
    </w:p>
    <w:p>
      <w:pPr>
        <w:pStyle w:val="Heading2"/>
        <w:spacing w:line="232" w:lineRule="auto" w:before="30"/>
        <w:ind w:left="863"/>
      </w:pPr>
      <w:r>
        <w:rPr/>
        <w:t>重大器官移植术或造血干细胞移植术</w:t>
      </w:r>
    </w:p>
    <w:p>
      <w:pPr>
        <w:pStyle w:val="BodyText"/>
        <w:spacing w:line="273" w:lineRule="auto" w:before="53"/>
        <w:ind w:left="150" w:right="217"/>
      </w:pPr>
      <w:r>
        <w:rPr/>
        <w:br w:type="column"/>
      </w:r>
      <w:r>
        <w:rPr/>
        <w:t>重大器官移植术，指因相应器官功能衰竭，已经实施了肾脏、肝脏、心脏或肺脏的异体移植手术。</w:t>
      </w:r>
    </w:p>
    <w:p>
      <w:pPr>
        <w:pStyle w:val="BodyText"/>
        <w:spacing w:line="273" w:lineRule="auto" w:before="7"/>
        <w:ind w:left="150" w:right="113"/>
      </w:pPr>
      <w:r>
        <w:rPr/>
        <w:t>造血干细胞移植术，指因造血功能损害或造血系统恶性肿瘤，已经实施了</w:t>
      </w:r>
      <w:r>
        <w:rPr>
          <w:spacing w:val="-4"/>
        </w:rPr>
        <w:t>造血干细胞</w:t>
      </w:r>
      <w:r>
        <w:rPr/>
        <w:t>（</w:t>
      </w:r>
      <w:r>
        <w:rPr>
          <w:spacing w:val="-2"/>
        </w:rPr>
        <w:t>包括骨髓造血干细胞、外周血造血干细胞和脐血造血干细胞</w:t>
      </w:r>
      <w:r>
        <w:rPr/>
        <w:t>） 的异体移植手术。</w:t>
      </w:r>
    </w:p>
    <w:p>
      <w:pPr>
        <w:spacing w:after="0" w:line="273" w:lineRule="auto"/>
        <w:sectPr>
          <w:type w:val="continuous"/>
          <w:pgSz w:w="11910" w:h="16840"/>
          <w:pgMar w:top="560" w:bottom="280" w:left="920" w:right="800"/>
          <w:cols w:num="2" w:equalWidth="0">
            <w:col w:w="2989" w:space="40"/>
            <w:col w:w="7161"/>
          </w:cols>
        </w:sectPr>
      </w:pPr>
    </w:p>
    <w:p>
      <w:pPr>
        <w:pStyle w:val="BodyText"/>
        <w:spacing w:before="2"/>
        <w:rPr>
          <w:sz w:val="18"/>
        </w:rPr>
      </w:pPr>
    </w:p>
    <w:p>
      <w:pPr>
        <w:pStyle w:val="BodyText"/>
        <w:tabs>
          <w:tab w:pos="3179" w:val="left" w:leader="none"/>
        </w:tabs>
        <w:spacing w:line="254" w:lineRule="auto" w:before="16"/>
        <w:ind w:left="3179" w:right="114" w:hanging="2316"/>
      </w:pPr>
      <w:r>
        <w:rPr>
          <w:rFonts w:ascii="等线" w:eastAsia="等线" w:hint="eastAsia"/>
          <w:b/>
          <w:position w:val="1"/>
          <w:sz w:val="24"/>
        </w:rPr>
        <w:t>双耳失聪</w:t>
        <w:tab/>
      </w:r>
      <w:r>
        <w:rPr/>
        <w:t>指因疾病或意外伤害导致双耳听力永久不可逆性丧失，在</w:t>
      </w:r>
      <w:r>
        <w:rPr>
          <w:spacing w:val="-23"/>
        </w:rPr>
        <w:t> </w:t>
      </w:r>
      <w:r>
        <w:rPr/>
        <w:t>500</w:t>
      </w:r>
      <w:r>
        <w:rPr>
          <w:spacing w:val="-23"/>
        </w:rPr>
        <w:t> </w:t>
      </w:r>
      <w:r>
        <w:rPr/>
        <w:t>赫兹、1000赫兹和</w:t>
      </w:r>
      <w:r>
        <w:rPr>
          <w:spacing w:val="-54"/>
        </w:rPr>
        <w:t> </w:t>
      </w:r>
      <w:r>
        <w:rPr/>
        <w:t>2000</w:t>
      </w:r>
      <w:r>
        <w:rPr>
          <w:spacing w:val="-54"/>
        </w:rPr>
        <w:t> </w:t>
      </w:r>
      <w:r>
        <w:rPr/>
        <w:t>赫兹语音频率下</w:t>
      </w:r>
      <w:r>
        <w:rPr>
          <w:spacing w:val="-20"/>
        </w:rPr>
        <w:t>，</w:t>
      </w:r>
      <w:r>
        <w:rPr/>
        <w:t>平均听阈大于</w:t>
      </w:r>
      <w:r>
        <w:rPr>
          <w:spacing w:val="-54"/>
        </w:rPr>
        <w:t> </w:t>
      </w:r>
      <w:r>
        <w:rPr/>
        <w:t>90</w:t>
      </w:r>
      <w:r>
        <w:rPr>
          <w:spacing w:val="-54"/>
        </w:rPr>
        <w:t> </w:t>
      </w:r>
      <w:r>
        <w:rPr/>
        <w:t>分贝</w:t>
      </w:r>
      <w:r>
        <w:rPr>
          <w:spacing w:val="-20"/>
        </w:rPr>
        <w:t>，</w:t>
      </w:r>
      <w:r>
        <w:rPr/>
        <w:t>且经纯音听力测试、</w:t>
      </w:r>
    </w:p>
    <w:p>
      <w:pPr>
        <w:pStyle w:val="BodyText"/>
        <w:spacing w:before="9"/>
        <w:rPr>
          <w:sz w:val="13"/>
        </w:rPr>
      </w:pPr>
      <w:r>
        <w:rPr/>
        <w:pict>
          <v:line style="position:absolute;mso-position-horizontal-relative:page;mso-position-vertical-relative:paragraph;z-index:1552;mso-wrap-distance-left:0;mso-wrap-distance-right:0" from="51.060001pt,11.212194pt" to="195.060001pt,11.212194pt" stroked="true" strokeweight=".54pt" strokecolor="#000000">
            <v:stroke dashstyle="solid"/>
            <w10:wrap type="topAndBottom"/>
          </v:line>
        </w:pict>
      </w:r>
    </w:p>
    <w:p>
      <w:pPr>
        <w:spacing w:before="17"/>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4"/>
        <w:ind w:left="248" w:right="0" w:firstLine="0"/>
        <w:jc w:val="left"/>
        <w:rPr>
          <w:sz w:val="18"/>
        </w:rPr>
      </w:pPr>
      <w:r>
        <w:rPr>
          <w:sz w:val="18"/>
        </w:rPr>
        <w:t>（1）穿衣：自己能够穿衣及脱衣；</w:t>
      </w:r>
    </w:p>
    <w:p>
      <w:pPr>
        <w:spacing w:before="43"/>
        <w:ind w:left="248" w:right="0" w:firstLine="0"/>
        <w:jc w:val="left"/>
        <w:rPr>
          <w:sz w:val="18"/>
        </w:rPr>
      </w:pPr>
      <w:r>
        <w:rPr>
          <w:sz w:val="18"/>
        </w:rPr>
        <w:t>（2）移动：自己从一个房间到另一个房间；</w:t>
      </w:r>
    </w:p>
    <w:p>
      <w:pPr>
        <w:spacing w:before="43"/>
        <w:ind w:left="248" w:right="0" w:firstLine="0"/>
        <w:jc w:val="left"/>
        <w:rPr>
          <w:sz w:val="18"/>
        </w:rPr>
      </w:pPr>
      <w:r>
        <w:rPr>
          <w:sz w:val="18"/>
        </w:rPr>
        <w:t>（3）行动：自己上下床或上下轮椅；</w:t>
      </w:r>
    </w:p>
    <w:p>
      <w:pPr>
        <w:spacing w:before="44"/>
        <w:ind w:left="248" w:right="0" w:firstLine="0"/>
        <w:jc w:val="left"/>
        <w:rPr>
          <w:sz w:val="18"/>
        </w:rPr>
      </w:pPr>
      <w:r>
        <w:rPr>
          <w:sz w:val="18"/>
        </w:rPr>
        <w:t>（4）如厕：自己控制进行大小便；</w:t>
      </w:r>
    </w:p>
    <w:p>
      <w:pPr>
        <w:spacing w:before="43"/>
        <w:ind w:left="248" w:right="0" w:firstLine="0"/>
        <w:jc w:val="left"/>
        <w:rPr>
          <w:sz w:val="18"/>
        </w:rPr>
      </w:pPr>
      <w:r>
        <w:rPr>
          <w:sz w:val="18"/>
        </w:rPr>
        <w:t>（5）进食：自己从已准备好的碗或碟中取食物放入口中；</w:t>
      </w:r>
    </w:p>
    <w:p>
      <w:pPr>
        <w:spacing w:before="43"/>
        <w:ind w:left="248" w:right="0" w:firstLine="0"/>
        <w:jc w:val="left"/>
        <w:rPr>
          <w:sz w:val="18"/>
        </w:rPr>
      </w:pPr>
      <w:r>
        <w:rPr>
          <w:sz w:val="18"/>
        </w:rPr>
        <w:t>（6）洗澡：自己进行淋浴或盆浴。</w:t>
      </w:r>
    </w:p>
    <w:p>
      <w:pPr>
        <w:spacing w:after="0"/>
        <w:jc w:val="left"/>
        <w:rPr>
          <w:sz w:val="18"/>
        </w:rPr>
        <w:sectPr>
          <w:type w:val="continuous"/>
          <w:pgSz w:w="11910" w:h="16840"/>
          <w:pgMar w:top="560" w:bottom="280" w:left="920" w:right="800"/>
        </w:sectPr>
      </w:pPr>
    </w:p>
    <w:p>
      <w:pPr>
        <w:pStyle w:val="BodyText"/>
        <w:spacing w:before="20"/>
        <w:ind w:left="2619"/>
      </w:pPr>
      <w:r>
        <w:rPr/>
        <w:t>声导抗检测或听觉诱发电位检测等证实。</w:t>
      </w:r>
    </w:p>
    <w:p>
      <w:pPr>
        <w:pStyle w:val="BodyText"/>
        <w:spacing w:line="273" w:lineRule="auto" w:before="36"/>
        <w:ind w:left="2619" w:right="31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周岁保单周年日期间双耳失聪，在本附加险合同保险期间内我们对双耳失聪不承担保险责任。</w:t>
      </w:r>
    </w:p>
    <w:p>
      <w:pPr>
        <w:pStyle w:val="BodyText"/>
        <w:spacing w:before="8"/>
        <w:rPr>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082"/>
      </w:tblGrid>
      <w:tr>
        <w:trPr>
          <w:trHeight w:val="1971" w:hRule="atLeast"/>
        </w:trPr>
        <w:tc>
          <w:tcPr>
            <w:tcW w:w="2420" w:type="dxa"/>
          </w:tcPr>
          <w:p>
            <w:pPr>
              <w:pStyle w:val="TableParagraph"/>
              <w:spacing w:line="243" w:lineRule="exact"/>
              <w:ind w:left="200"/>
              <w:rPr>
                <w:rFonts w:ascii="等线" w:eastAsia="等线" w:hint="eastAsia"/>
                <w:b/>
                <w:sz w:val="24"/>
              </w:rPr>
            </w:pPr>
            <w:r>
              <w:rPr>
                <w:rFonts w:ascii="等线" w:eastAsia="等线" w:hint="eastAsia"/>
                <w:b/>
                <w:sz w:val="24"/>
              </w:rPr>
              <w:t>慢性肝功能衰竭失</w:t>
            </w:r>
          </w:p>
          <w:p>
            <w:pPr>
              <w:pStyle w:val="TableParagraph"/>
              <w:spacing w:line="323" w:lineRule="exact"/>
              <w:ind w:left="200"/>
              <w:rPr>
                <w:rFonts w:ascii="等线" w:eastAsia="等线" w:hint="eastAsia"/>
                <w:b/>
                <w:sz w:val="24"/>
              </w:rPr>
            </w:pPr>
            <w:r>
              <w:rPr>
                <w:rFonts w:ascii="等线" w:eastAsia="等线" w:hint="eastAsia"/>
                <w:b/>
                <w:sz w:val="24"/>
              </w:rPr>
              <w:t>代偿期</w:t>
            </w:r>
          </w:p>
        </w:tc>
        <w:tc>
          <w:tcPr>
            <w:tcW w:w="7082" w:type="dxa"/>
          </w:tcPr>
          <w:p>
            <w:pPr>
              <w:pStyle w:val="TableParagraph"/>
              <w:spacing w:line="228" w:lineRule="exact"/>
              <w:ind w:left="96"/>
              <w:rPr>
                <w:sz w:val="21"/>
              </w:rPr>
            </w:pPr>
            <w:r>
              <w:rPr>
                <w:sz w:val="21"/>
              </w:rPr>
              <w:t>指因慢性肝脏疾病导致肝功能衰竭。须满足下列全部条件：</w:t>
            </w:r>
          </w:p>
          <w:p>
            <w:pPr>
              <w:pStyle w:val="TableParagraph"/>
              <w:spacing w:before="37"/>
              <w:ind w:left="95"/>
              <w:rPr>
                <w:sz w:val="21"/>
              </w:rPr>
            </w:pPr>
            <w:r>
              <w:rPr>
                <w:sz w:val="21"/>
              </w:rPr>
              <w:t>（1）持续性黄疸；</w:t>
            </w:r>
          </w:p>
          <w:p>
            <w:pPr>
              <w:pStyle w:val="TableParagraph"/>
              <w:spacing w:before="37"/>
              <w:ind w:left="95"/>
              <w:rPr>
                <w:sz w:val="21"/>
              </w:rPr>
            </w:pPr>
            <w:r>
              <w:rPr>
                <w:sz w:val="21"/>
              </w:rPr>
              <w:t>（2）腹水；</w:t>
            </w:r>
          </w:p>
          <w:p>
            <w:pPr>
              <w:pStyle w:val="TableParagraph"/>
              <w:spacing w:before="37"/>
              <w:ind w:left="95"/>
              <w:rPr>
                <w:sz w:val="21"/>
              </w:rPr>
            </w:pPr>
            <w:r>
              <w:rPr>
                <w:sz w:val="21"/>
              </w:rPr>
              <w:t>（3）肝性脑病；</w:t>
            </w:r>
          </w:p>
          <w:p>
            <w:pPr>
              <w:pStyle w:val="TableParagraph"/>
              <w:spacing w:line="271" w:lineRule="auto" w:before="37"/>
              <w:ind w:left="96" w:right="183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420"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082" w:type="dxa"/>
          </w:tcPr>
          <w:p>
            <w:pPr>
              <w:pStyle w:val="TableParagraph"/>
              <w:spacing w:line="273" w:lineRule="auto" w:before="137"/>
              <w:ind w:left="96" w:right="196"/>
              <w:rPr>
                <w:sz w:val="21"/>
              </w:rPr>
            </w:pPr>
            <w:r>
              <w:rPr>
                <w:sz w:val="21"/>
              </w:rPr>
              <w:t>指因疾病或意外伤害导致双眼视力永久不可逆性丧失，双眼中较好眼须满足下列至少一项条件：</w:t>
            </w:r>
          </w:p>
          <w:p>
            <w:pPr>
              <w:pStyle w:val="TableParagraph"/>
              <w:spacing w:before="7"/>
              <w:ind w:left="96"/>
              <w:rPr>
                <w:sz w:val="21"/>
              </w:rPr>
            </w:pPr>
            <w:r>
              <w:rPr>
                <w:sz w:val="21"/>
              </w:rPr>
              <w:t>（1）眼球缺失或摘除；</w:t>
            </w:r>
          </w:p>
          <w:p>
            <w:pPr>
              <w:pStyle w:val="TableParagraph"/>
              <w:spacing w:line="273" w:lineRule="auto" w:before="36"/>
              <w:ind w:left="621" w:right="196"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ind w:left="95"/>
              <w:rPr>
                <w:sz w:val="21"/>
              </w:rPr>
            </w:pPr>
            <w:r>
              <w:rPr>
                <w:sz w:val="21"/>
              </w:rPr>
              <w:t>（3）视野半径小于 5 度。</w:t>
            </w:r>
          </w:p>
        </w:tc>
      </w:tr>
      <w:tr>
        <w:trPr>
          <w:trHeight w:val="8837" w:hRule="atLeast"/>
        </w:trPr>
        <w:tc>
          <w:tcPr>
            <w:tcW w:w="2420" w:type="dxa"/>
          </w:tcPr>
          <w:p>
            <w:pPr>
              <w:pStyle w:val="TableParagraph"/>
              <w:spacing w:line="232" w:lineRule="auto" w:before="114"/>
              <w:ind w:left="200" w:right="92"/>
              <w:rPr>
                <w:rFonts w:ascii="等线" w:eastAsia="等线" w:hint="eastAsia"/>
                <w:b/>
                <w:sz w:val="24"/>
              </w:rPr>
            </w:pPr>
            <w:r>
              <w:rPr>
                <w:rFonts w:ascii="等线" w:eastAsia="等线" w:hint="eastAsia"/>
                <w:b/>
                <w:sz w:val="24"/>
              </w:rPr>
              <w:t>系统性红斑狼疮并发肾功能损害</w:t>
            </w:r>
          </w:p>
        </w:tc>
        <w:tc>
          <w:tcPr>
            <w:tcW w:w="7082" w:type="dxa"/>
          </w:tcPr>
          <w:p>
            <w:pPr>
              <w:pStyle w:val="TableParagraph"/>
              <w:spacing w:line="273" w:lineRule="auto" w:before="137"/>
              <w:ind w:left="96" w:right="196"/>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8"/>
              <w:ind w:left="96"/>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273" w:lineRule="auto" w:before="37"/>
              <w:ind w:left="621" w:right="198"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7"/>
              <w:ind w:left="95"/>
              <w:jc w:val="both"/>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ind w:left="95"/>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6" w:val="left" w:leader="none"/>
              </w:tabs>
              <w:spacing w:line="273" w:lineRule="auto" w:before="37"/>
              <w:ind w:left="614" w:right="199" w:hanging="389"/>
              <w:rPr>
                <w:sz w:val="21"/>
              </w:rPr>
            </w:pPr>
            <w:r>
              <w:rPr>
                <w:sz w:val="21"/>
              </w:rPr>
              <w:t>①</w:t>
              <w:tab/>
              <w:tab/>
            </w:r>
            <w:r>
              <w:rPr>
                <w:spacing w:val="-1"/>
                <w:sz w:val="21"/>
              </w:rPr>
              <w:t>系统性红斑狼疮造成肾脏功能损害，尿蛋白</w:t>
            </w:r>
            <w:r>
              <w:rPr>
                <w:sz w:val="21"/>
              </w:rPr>
              <w:t>＞2g/24</w:t>
            </w:r>
            <w:r>
              <w:rPr>
                <w:spacing w:val="-8"/>
                <w:sz w:val="21"/>
              </w:rPr>
              <w:t> 小时且持续性蛋</w:t>
            </w:r>
            <w:r>
              <w:rPr>
                <w:spacing w:val="-1"/>
                <w:sz w:val="21"/>
              </w:rPr>
              <w:t>白尿＞+++；</w:t>
            </w:r>
          </w:p>
          <w:p>
            <w:pPr>
              <w:pStyle w:val="TableParagraph"/>
              <w:tabs>
                <w:tab w:pos="615" w:val="left" w:leader="none"/>
              </w:tabs>
              <w:spacing w:line="273" w:lineRule="auto" w:before="8"/>
              <w:ind w:left="95" w:right="1425" w:firstLine="9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ind w:left="95"/>
              <w:jc w:val="both"/>
              <w:rPr>
                <w:sz w:val="21"/>
              </w:rPr>
            </w:pPr>
            <w:r>
              <w:rPr>
                <w:sz w:val="21"/>
              </w:rPr>
              <w:t>Ⅰ型（微小病变型）  镜下阴性，尿液正常；</w:t>
            </w:r>
          </w:p>
          <w:p>
            <w:pPr>
              <w:pStyle w:val="TableParagraph"/>
              <w:spacing w:before="37"/>
              <w:ind w:left="95"/>
              <w:jc w:val="both"/>
              <w:rPr>
                <w:sz w:val="21"/>
              </w:rPr>
            </w:pPr>
            <w:r>
              <w:rPr>
                <w:sz w:val="21"/>
              </w:rPr>
              <w:t>Ⅱ型（系膜病变型）  中度蛋白尿，偶有尿沉渣改变；</w:t>
            </w:r>
          </w:p>
          <w:p>
            <w:pPr>
              <w:pStyle w:val="TableParagraph"/>
              <w:spacing w:before="37"/>
              <w:ind w:left="95"/>
              <w:jc w:val="both"/>
              <w:rPr>
                <w:sz w:val="21"/>
              </w:rPr>
            </w:pPr>
            <w:r>
              <w:rPr>
                <w:sz w:val="21"/>
              </w:rPr>
              <w:t>Ⅲ型（局灶及节段增生型） 蛋白尿，尿沉渣改变；</w:t>
            </w:r>
          </w:p>
          <w:p>
            <w:pPr>
              <w:pStyle w:val="TableParagraph"/>
              <w:spacing w:before="37"/>
              <w:ind w:left="95"/>
              <w:jc w:val="both"/>
              <w:rPr>
                <w:sz w:val="21"/>
              </w:rPr>
            </w:pPr>
            <w:r>
              <w:rPr>
                <w:sz w:val="21"/>
              </w:rPr>
              <w:t>Ⅳ型（弥漫增生型） 急性肾炎伴有尿沉渣改变及/或肾病综合征；</w:t>
            </w:r>
          </w:p>
          <w:p>
            <w:pPr>
              <w:pStyle w:val="TableParagraph"/>
              <w:spacing w:line="255" w:lineRule="exact" w:before="37"/>
              <w:ind w:left="95"/>
              <w:jc w:val="both"/>
              <w:rPr>
                <w:sz w:val="21"/>
              </w:rPr>
            </w:pPr>
            <w:r>
              <w:rPr>
                <w:sz w:val="21"/>
              </w:rPr>
              <w:t>Ⅴ型（膜型） 肾病综合征或重度蛋白尿。</w:t>
            </w:r>
          </w:p>
        </w:tc>
      </w:tr>
    </w:tbl>
    <w:p>
      <w:pPr>
        <w:spacing w:after="0" w:line="255" w:lineRule="exact"/>
        <w:jc w:val="both"/>
        <w:rPr>
          <w:sz w:val="21"/>
        </w:rPr>
        <w:sectPr>
          <w:pgSz w:w="11910" w:h="16840"/>
          <w:pgMar w:top="1080" w:bottom="280" w:left="1480" w:right="700"/>
        </w:sectPr>
      </w:pPr>
    </w:p>
    <w:p>
      <w:pPr>
        <w:pStyle w:val="BodyText"/>
        <w:tabs>
          <w:tab w:pos="2419" w:val="left" w:leader="none"/>
        </w:tabs>
        <w:spacing w:line="254" w:lineRule="auto" w:before="4"/>
        <w:ind w:left="2419" w:right="140" w:hanging="2316"/>
      </w:pPr>
      <w:r>
        <w:rPr>
          <w:rFonts w:ascii="等线" w:eastAsia="等线" w:hint="eastAsia"/>
          <w:b/>
          <w:position w:val="1"/>
          <w:sz w:val="24"/>
        </w:rPr>
        <w:t>语言能力丧失</w:t>
        <w:tab/>
      </w:r>
      <w:r>
        <w:rPr/>
        <w:t>指因疾病或意外伤害导致完全丧失语言能力</w:t>
      </w:r>
      <w:r>
        <w:rPr>
          <w:spacing w:val="-105"/>
        </w:rPr>
        <w:t>，</w:t>
      </w:r>
      <w:r>
        <w:rPr/>
        <w:t>经过积极治疗至</w:t>
      </w:r>
      <w:r>
        <w:rPr>
          <w:spacing w:val="30"/>
        </w:rPr>
        <w:t>少</w:t>
      </w:r>
      <w:r>
        <w:rPr/>
        <w:t>12</w:t>
      </w:r>
      <w:r>
        <w:rPr>
          <w:spacing w:val="-74"/>
        </w:rPr>
        <w:t> </w:t>
      </w:r>
      <w:r>
        <w:rPr/>
        <w:t>个</w:t>
      </w:r>
      <w:r>
        <w:rPr>
          <w:spacing w:val="-106"/>
        </w:rPr>
        <w:t>月</w:t>
      </w:r>
      <w:r>
        <w:rPr/>
        <w:t>（声带完全切除不受此时间限制</w:t>
      </w:r>
      <w:r>
        <w:rPr>
          <w:spacing w:val="-105"/>
        </w:rPr>
        <w:t>）</w:t>
      </w:r>
      <w:r>
        <w:rPr/>
        <w:t>，仍</w:t>
      </w:r>
      <w:r>
        <w:rPr>
          <w:spacing w:val="-2"/>
        </w:rPr>
        <w:t>无</w:t>
      </w:r>
      <w:r>
        <w:rPr/>
        <w:t>法通过现有医疗手段恢复。</w:t>
      </w:r>
    </w:p>
    <w:p>
      <w:pPr>
        <w:pStyle w:val="BodyText"/>
        <w:spacing w:before="24"/>
        <w:ind w:left="2419"/>
      </w:pPr>
      <w:r>
        <w:rPr>
          <w:shd w:fill="DADADA" w:color="auto" w:val="clear"/>
        </w:rPr>
        <w:t>精神心理因素所致的语言能力丧失不在保障范围内。</w:t>
      </w:r>
    </w:p>
    <w:p>
      <w:pPr>
        <w:pStyle w:val="BodyText"/>
        <w:spacing w:line="273" w:lineRule="auto" w:before="37"/>
        <w:ind w:left="2419" w:right="139"/>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6"/>
          <w:shd w:fill="DADADA" w:color="auto" w:val="clear"/>
        </w:rPr>
        <w:t> 周岁保单周年日期间语言能力丧失，在本附加险合同保险期间内我们对语言能力丧失不承担保险责任。</w:t>
      </w:r>
    </w:p>
    <w:p>
      <w:pPr>
        <w:pStyle w:val="BodyText"/>
        <w:spacing w:before="3"/>
        <w:rPr>
          <w:sz w:val="18"/>
        </w:rPr>
      </w:pPr>
    </w:p>
    <w:p>
      <w:pPr>
        <w:spacing w:after="0"/>
        <w:rPr>
          <w:sz w:val="18"/>
        </w:rPr>
        <w:sectPr>
          <w:pgSz w:w="11910" w:h="16840"/>
          <w:pgMar w:top="1060" w:bottom="280" w:left="1680" w:right="880"/>
        </w:sectPr>
      </w:pPr>
    </w:p>
    <w:p>
      <w:pPr>
        <w:pStyle w:val="Heading2"/>
        <w:spacing w:line="232" w:lineRule="auto"/>
      </w:pPr>
      <w:r>
        <w:rPr/>
        <w:t>急性或亚急性重症肝炎</w:t>
      </w:r>
    </w:p>
    <w:p>
      <w:pPr>
        <w:pStyle w:val="BodyText"/>
        <w:spacing w:line="273" w:lineRule="auto" w:before="53"/>
        <w:ind w:left="103" w:right="137"/>
      </w:pPr>
      <w:r>
        <w:rPr/>
        <w:br w:type="column"/>
      </w:r>
      <w:r>
        <w:rPr/>
        <w:t>指因肝炎病毒感染引起肝脏组织弥漫性坏死，导致急性肝功能衰竭，且经血清学或病毒学检查证实，并须满足下列全部条件：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7"/>
        <w:ind w:left="103"/>
      </w:pPr>
      <w:r>
        <w:rPr/>
        <w:t>（2）肝性脑病；</w:t>
      </w:r>
    </w:p>
    <w:p>
      <w:pPr>
        <w:pStyle w:val="BodyText"/>
        <w:spacing w:before="37"/>
        <w:ind w:left="103"/>
      </w:pPr>
      <w:r>
        <w:rPr/>
        <w:t>（3）B 超或其它影像学检查显示肝脏体积急速萎缩；</w:t>
      </w:r>
    </w:p>
    <w:p>
      <w:pPr>
        <w:pStyle w:val="BodyText"/>
        <w:spacing w:before="37"/>
        <w:ind w:left="103"/>
      </w:pPr>
      <w:r>
        <w:rPr/>
        <w:t>（4）肝功能指标进行性恶化。</w:t>
      </w:r>
    </w:p>
    <w:p>
      <w:pPr>
        <w:spacing w:after="0"/>
        <w:sectPr>
          <w:type w:val="continuous"/>
          <w:pgSz w:w="11910" w:h="16840"/>
          <w:pgMar w:top="560" w:bottom="280" w:left="1680" w:right="880"/>
          <w:cols w:num="2" w:equalWidth="0">
            <w:col w:w="2229" w:space="87"/>
            <w:col w:w="7034"/>
          </w:cols>
        </w:sectPr>
      </w:pPr>
    </w:p>
    <w:p>
      <w:pPr>
        <w:pStyle w:val="BodyText"/>
        <w:spacing w:before="5"/>
        <w:rPr>
          <w:sz w:val="20"/>
        </w:rPr>
      </w:pPr>
    </w:p>
    <w:p>
      <w:pPr>
        <w:pStyle w:val="BodyText"/>
        <w:spacing w:line="266" w:lineRule="auto" w:before="17"/>
        <w:ind w:left="2419" w:right="137" w:hanging="2316"/>
        <w:jc w:val="both"/>
      </w:pPr>
      <w:r>
        <w:rPr>
          <w:rFonts w:ascii="等线" w:eastAsia="等线" w:hint="eastAsia"/>
          <w:b/>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9"/>
        <w:rPr>
          <w:sz w:val="18"/>
        </w:rPr>
      </w:pPr>
    </w:p>
    <w:p>
      <w:pPr>
        <w:spacing w:after="0"/>
        <w:rPr>
          <w:sz w:val="18"/>
        </w:rPr>
        <w:sectPr>
          <w:type w:val="continuous"/>
          <w:pgSz w:w="11910" w:h="16840"/>
          <w:pgMar w:top="560" w:bottom="280" w:left="1680" w:right="880"/>
        </w:sectPr>
      </w:pPr>
    </w:p>
    <w:p>
      <w:pPr>
        <w:pStyle w:val="Heading2"/>
        <w:spacing w:line="232" w:lineRule="auto"/>
        <w:jc w:val="both"/>
      </w:pPr>
      <w:r>
        <w:rPr>
          <w:spacing w:val="-13"/>
        </w:rPr>
        <w:t>终末期肾病</w:t>
      </w:r>
      <w:r>
        <w:rPr/>
        <w:t>（或称慢</w:t>
      </w:r>
      <w:r>
        <w:rPr>
          <w:spacing w:val="25"/>
        </w:rPr>
        <w:t>性肾功能衰竭尿毒</w:t>
      </w:r>
      <w:r>
        <w:rPr/>
        <w:t>症期）</w:t>
      </w:r>
    </w:p>
    <w:p>
      <w:pPr>
        <w:pStyle w:val="BodyText"/>
        <w:spacing w:before="53"/>
        <w:ind w:left="103"/>
      </w:pPr>
      <w:r>
        <w:rPr/>
        <w:br w:type="column"/>
      </w:r>
      <w:r>
        <w:rPr/>
        <w:t>指双肾功能慢性不可逆性衰竭，达到尿毒症期，经诊断后已经进行了至少</w:t>
      </w:r>
    </w:p>
    <w:p>
      <w:pPr>
        <w:pStyle w:val="BodyText"/>
        <w:spacing w:before="36"/>
        <w:ind w:left="103"/>
      </w:pPr>
      <w:r>
        <w:rPr/>
        <w:t>90 日的规律性透析治疗或实施了肾脏移植手术。</w:t>
      </w:r>
    </w:p>
    <w:p>
      <w:pPr>
        <w:spacing w:after="0"/>
        <w:sectPr>
          <w:type w:val="continuous"/>
          <w:pgSz w:w="11910" w:h="16840"/>
          <w:pgMar w:top="560" w:bottom="280" w:left="1680" w:right="880"/>
          <w:cols w:num="2" w:equalWidth="0">
            <w:col w:w="2229" w:space="87"/>
            <w:col w:w="7034"/>
          </w:cols>
        </w:sectPr>
      </w:pPr>
    </w:p>
    <w:p>
      <w:pPr>
        <w:pStyle w:val="BodyText"/>
        <w:spacing w:before="4"/>
        <w:rPr>
          <w:sz w:val="19"/>
        </w:rPr>
      </w:pPr>
    </w:p>
    <w:p>
      <w:pPr>
        <w:pStyle w:val="BodyText"/>
        <w:tabs>
          <w:tab w:pos="2419" w:val="left" w:leader="none"/>
        </w:tabs>
        <w:spacing w:line="254" w:lineRule="auto" w:before="17"/>
        <w:ind w:left="2419" w:right="137" w:hanging="2316"/>
      </w:pPr>
      <w:r>
        <w:rPr>
          <w:rFonts w:ascii="等线" w:eastAsia="等线" w:hint="eastAsia"/>
          <w:b/>
          <w:position w:val="1"/>
          <w:sz w:val="24"/>
        </w:rPr>
        <w:t>终末期肺病</w:t>
        <w:tab/>
      </w:r>
      <w:r>
        <w:rPr/>
        <w:t>指经专科医生明确诊断，且被保险人已出现慢性呼吸功能衰竭，其诊断标 准必须满足下列所有条件：</w:t>
      </w:r>
    </w:p>
    <w:p>
      <w:pPr>
        <w:pStyle w:val="BodyText"/>
        <w:spacing w:before="24"/>
        <w:ind w:left="2419"/>
      </w:pPr>
      <w:r>
        <w:rPr/>
        <w:t>（1）肺功能测试其 FEV1 持续低于 1 升；</w:t>
      </w:r>
    </w:p>
    <w:p>
      <w:pPr>
        <w:pStyle w:val="BodyText"/>
        <w:spacing w:before="36"/>
        <w:ind w:left="2419"/>
      </w:pPr>
      <w:r>
        <w:rPr/>
        <w:t>（2）动脉血气分析氧分压低于 55mmHg；</w:t>
      </w:r>
    </w:p>
    <w:p>
      <w:pPr>
        <w:pStyle w:val="BodyText"/>
        <w:spacing w:before="36"/>
        <w:ind w:left="2419"/>
      </w:pPr>
      <w:r>
        <w:rPr/>
        <w:t>（3）病人缺氧必须进行输氧治疗。</w:t>
      </w:r>
    </w:p>
    <w:p>
      <w:pPr>
        <w:pStyle w:val="BodyText"/>
        <w:spacing w:before="9"/>
      </w:pPr>
    </w:p>
    <w:p>
      <w:pPr>
        <w:pStyle w:val="BodyText"/>
        <w:tabs>
          <w:tab w:pos="2419" w:val="left" w:leader="none"/>
        </w:tabs>
        <w:spacing w:line="254" w:lineRule="auto"/>
        <w:ind w:left="2419" w:right="137" w:hanging="2316"/>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419"/>
      </w:pPr>
      <w:r>
        <w:rPr>
          <w:shd w:fill="DADADA" w:color="auto" w:val="clear"/>
        </w:rPr>
        <w:t>单纯胰岛移植、部分胰腺组织或细胞的移植不在保障范围内。</w:t>
      </w:r>
    </w:p>
    <w:p>
      <w:pPr>
        <w:pStyle w:val="BodyText"/>
        <w:spacing w:before="7"/>
        <w:rPr>
          <w:sz w:val="20"/>
        </w:rPr>
      </w:pPr>
    </w:p>
    <w:p>
      <w:pPr>
        <w:spacing w:after="0"/>
        <w:rPr>
          <w:sz w:val="20"/>
        </w:rPr>
        <w:sectPr>
          <w:type w:val="continuous"/>
          <w:pgSz w:w="11910" w:h="16840"/>
          <w:pgMar w:top="560" w:bottom="280" w:left="1680" w:right="880"/>
        </w:sectPr>
      </w:pPr>
    </w:p>
    <w:p>
      <w:pPr>
        <w:pStyle w:val="Heading2"/>
        <w:spacing w:line="232" w:lineRule="auto" w:before="30"/>
      </w:pPr>
      <w:r>
        <w:rPr/>
        <w:t>急性坏死性胰腺炎开腹手术</w:t>
      </w:r>
    </w:p>
    <w:p>
      <w:pPr>
        <w:pStyle w:val="BodyText"/>
        <w:spacing w:line="273" w:lineRule="auto" w:before="53"/>
        <w:ind w:left="103" w:right="137"/>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3" w:right="137"/>
      </w:pPr>
      <w:r>
        <w:rPr>
          <w:shd w:fill="DADADA" w:color="auto" w:val="clear"/>
        </w:rPr>
        <w:t>因酗酒或饮酒过量所致的急性坏死性胰腺炎以及腹腔镜手术不在保障范围内。</w:t>
      </w:r>
    </w:p>
    <w:p>
      <w:pPr>
        <w:spacing w:after="0" w:line="273" w:lineRule="auto"/>
        <w:sectPr>
          <w:type w:val="continuous"/>
          <w:pgSz w:w="11910" w:h="16840"/>
          <w:pgMar w:top="560" w:bottom="280" w:left="1680" w:right="880"/>
          <w:cols w:num="2" w:equalWidth="0">
            <w:col w:w="2229" w:space="87"/>
            <w:col w:w="7034"/>
          </w:cols>
        </w:sectPr>
      </w:pPr>
    </w:p>
    <w:p>
      <w:pPr>
        <w:pStyle w:val="BodyText"/>
        <w:spacing w:before="2"/>
        <w:rPr>
          <w:sz w:val="18"/>
        </w:rPr>
      </w:pPr>
    </w:p>
    <w:p>
      <w:pPr>
        <w:tabs>
          <w:tab w:pos="2419" w:val="left" w:leader="none"/>
        </w:tabs>
        <w:spacing w:before="16"/>
        <w:ind w:left="103"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9"/>
      </w:pPr>
      <w:r>
        <w:rPr/>
        <w:t>（1）肾髓质有囊肿、肾小管萎缩及间质纤维化等病理改变；</w:t>
      </w:r>
    </w:p>
    <w:p>
      <w:pPr>
        <w:pStyle w:val="BodyText"/>
        <w:spacing w:before="36"/>
        <w:ind w:left="2419"/>
      </w:pPr>
      <w:r>
        <w:rPr/>
        <w:t>（2）贫血、多尿及肾功能衰竭等临床表现；</w:t>
      </w:r>
    </w:p>
    <w:p>
      <w:pPr>
        <w:pStyle w:val="BodyText"/>
        <w:spacing w:before="36"/>
        <w:ind w:left="2419"/>
      </w:pPr>
      <w:r>
        <w:rPr/>
        <w:t>（3）诊断须由肾组织活检确定。</w:t>
      </w:r>
    </w:p>
    <w:p>
      <w:pPr>
        <w:pStyle w:val="BodyText"/>
        <w:spacing w:before="6"/>
        <w:rPr>
          <w:sz w:val="20"/>
        </w:rPr>
      </w:pPr>
    </w:p>
    <w:p>
      <w:pPr>
        <w:spacing w:after="0"/>
        <w:rPr>
          <w:sz w:val="20"/>
        </w:rPr>
        <w:sectPr>
          <w:type w:val="continuous"/>
          <w:pgSz w:w="11910" w:h="16840"/>
          <w:pgMar w:top="560" w:bottom="280" w:left="1680" w:right="880"/>
        </w:sectPr>
      </w:pPr>
    </w:p>
    <w:p>
      <w:pPr>
        <w:pStyle w:val="Heading2"/>
        <w:spacing w:line="323" w:lineRule="exact" w:before="20"/>
      </w:pPr>
      <w:r>
        <w:rPr/>
        <w:t>严重肝豆状核变性</w:t>
      </w:r>
    </w:p>
    <w:p>
      <w:pPr>
        <w:spacing w:line="323" w:lineRule="exact" w:before="0"/>
        <w:ind w:left="10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3" w:right="137"/>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8"/>
        <w:ind w:left="628" w:right="100" w:hanging="526"/>
      </w:pPr>
      <w:r>
        <w:rPr/>
        <w:t>（1）临床表现包括：进行性加剧的肢体震颤，肌强直，吞咽及发音困难， 精神异常；</w:t>
      </w:r>
    </w:p>
    <w:p>
      <w:pPr>
        <w:pStyle w:val="BodyText"/>
        <w:spacing w:before="8"/>
        <w:ind w:left="103"/>
      </w:pPr>
      <w:r>
        <w:rPr/>
        <w:t>（2）角膜色素环（</w:t>
      </w:r>
      <w:r>
        <w:rPr>
          <w:rFonts w:ascii="Times New Roman" w:eastAsia="Times New Roman"/>
        </w:rPr>
        <w:t>K-F </w:t>
      </w:r>
      <w:r>
        <w:rPr/>
        <w:t>环</w:t>
      </w:r>
      <w:r>
        <w:rPr>
          <w:spacing w:val="-105"/>
        </w:rPr>
        <w:t>）；</w:t>
      </w:r>
    </w:p>
    <w:p>
      <w:pPr>
        <w:spacing w:after="0"/>
        <w:sectPr>
          <w:type w:val="continuous"/>
          <w:pgSz w:w="11910" w:h="16840"/>
          <w:pgMar w:top="560" w:bottom="280" w:left="1680" w:right="880"/>
          <w:cols w:num="2" w:equalWidth="0">
            <w:col w:w="2229" w:space="87"/>
            <w:col w:w="7034"/>
          </w:cols>
        </w:sectPr>
      </w:pPr>
    </w:p>
    <w:p>
      <w:pPr>
        <w:pStyle w:val="BodyText"/>
        <w:spacing w:before="20"/>
        <w:ind w:left="2419"/>
      </w:pPr>
      <w:r>
        <w:rPr/>
        <w:t>（3）血清铜和血清铜蓝蛋白降低，尿铜增加；</w:t>
      </w:r>
    </w:p>
    <w:p>
      <w:pPr>
        <w:pStyle w:val="BodyText"/>
        <w:spacing w:before="36"/>
        <w:ind w:left="2419"/>
      </w:pPr>
      <w:r>
        <w:rPr/>
        <w:t>（4）食管静脉曲张；</w:t>
      </w:r>
    </w:p>
    <w:p>
      <w:pPr>
        <w:pStyle w:val="BodyText"/>
        <w:spacing w:before="36"/>
        <w:ind w:left="2419"/>
      </w:pPr>
      <w:r>
        <w:rPr/>
        <w:t>（5）腹水。</w:t>
      </w:r>
    </w:p>
    <w:p>
      <w:pPr>
        <w:pStyle w:val="BodyText"/>
        <w:spacing w:before="6"/>
        <w:rPr>
          <w:sz w:val="20"/>
        </w:rPr>
      </w:pPr>
    </w:p>
    <w:p>
      <w:pPr>
        <w:spacing w:after="0"/>
        <w:rPr>
          <w:sz w:val="20"/>
        </w:rPr>
        <w:sectPr>
          <w:pgSz w:w="11910" w:h="16840"/>
          <w:pgMar w:top="1080" w:bottom="280" w:left="1680" w:right="900"/>
        </w:sectPr>
      </w:pPr>
    </w:p>
    <w:p>
      <w:pPr>
        <w:pStyle w:val="Heading2"/>
        <w:spacing w:line="232" w:lineRule="auto" w:before="30"/>
      </w:pPr>
      <w:r>
        <w:rPr/>
        <w:t>严重自身免疫性肝炎</w:t>
      </w:r>
    </w:p>
    <w:p>
      <w:pPr>
        <w:pStyle w:val="BodyText"/>
        <w:spacing w:line="273" w:lineRule="auto" w:before="53"/>
        <w:ind w:left="103" w:right="11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3"/>
      </w:pPr>
      <w:r>
        <w:rPr/>
        <w:t>（1）高γ球蛋白血症；</w:t>
      </w:r>
    </w:p>
    <w:p>
      <w:pPr>
        <w:pStyle w:val="BodyText"/>
        <w:spacing w:line="273" w:lineRule="auto" w:before="37"/>
        <w:ind w:left="621" w:right="116" w:hanging="502"/>
      </w:pPr>
      <w:r>
        <w:rPr/>
        <w:t>（2）血液中存在高水平的自身免疫抗体，如 ANA（抗核抗体）、SMA（抗平滑肌抗体）、抗 LKM1 抗体或抗-SLA/LP 抗体；</w:t>
      </w:r>
    </w:p>
    <w:p>
      <w:pPr>
        <w:pStyle w:val="BodyText"/>
        <w:spacing w:before="7"/>
        <w:ind w:left="103"/>
        <w:jc w:val="both"/>
      </w:pPr>
      <w:r>
        <w:rPr/>
        <w:t>（3）肝脏活检证实免疫性肝炎；</w:t>
      </w:r>
    </w:p>
    <w:p>
      <w:pPr>
        <w:pStyle w:val="BodyText"/>
        <w:spacing w:before="37"/>
        <w:ind w:left="103"/>
        <w:jc w:val="both"/>
      </w:pPr>
      <w:r>
        <w:rPr/>
        <w:t>（4）临床已经出现腹水、食道静脉曲张和脾肿大等肝硬化表现。</w:t>
      </w:r>
    </w:p>
    <w:p>
      <w:pPr>
        <w:spacing w:after="0"/>
        <w:jc w:val="both"/>
        <w:sectPr>
          <w:type w:val="continuous"/>
          <w:pgSz w:w="11910" w:h="16840"/>
          <w:pgMar w:top="560" w:bottom="280" w:left="1680" w:right="900"/>
          <w:cols w:num="2" w:equalWidth="0">
            <w:col w:w="2229" w:space="87"/>
            <w:col w:w="7014"/>
          </w:cols>
        </w:sectPr>
      </w:pPr>
    </w:p>
    <w:p>
      <w:pPr>
        <w:pStyle w:val="BodyText"/>
        <w:spacing w:before="5"/>
        <w:rPr>
          <w:sz w:val="20"/>
        </w:rPr>
      </w:pPr>
    </w:p>
    <w:p>
      <w:pPr>
        <w:spacing w:after="0"/>
        <w:rPr>
          <w:sz w:val="20"/>
        </w:rPr>
        <w:sectPr>
          <w:type w:val="continuous"/>
          <w:pgSz w:w="11910" w:h="16840"/>
          <w:pgMar w:top="560" w:bottom="280" w:left="1680" w:right="900"/>
        </w:sectPr>
      </w:pPr>
    </w:p>
    <w:p>
      <w:pPr>
        <w:pStyle w:val="Heading2"/>
        <w:spacing w:line="232" w:lineRule="auto"/>
      </w:pPr>
      <w:r>
        <w:rPr/>
        <w:t>严重弥漫性系统性硬皮病</w:t>
      </w:r>
    </w:p>
    <w:p>
      <w:pPr>
        <w:pStyle w:val="BodyText"/>
        <w:spacing w:line="273" w:lineRule="auto" w:before="53"/>
        <w:ind w:left="103" w:right="11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7"/>
        <w:ind w:left="621" w:right="54" w:hanging="502"/>
      </w:pPr>
      <w:r>
        <w:rPr/>
        <w:t>（2）心脏功能损害，心脏功能衰竭程度达到纽约心脏病学会的心功能分级标准之心功能 IV 级；</w:t>
      </w:r>
    </w:p>
    <w:p>
      <w:pPr>
        <w:pStyle w:val="BodyText"/>
        <w:spacing w:line="271" w:lineRule="auto" w:before="8"/>
        <w:ind w:left="103" w:right="2811" w:hanging="1"/>
      </w:pPr>
      <w:r>
        <w:rPr/>
        <w:t>（3）肾脏功能损害，已经出现肾功能衰竭。</w:t>
      </w:r>
      <w:r>
        <w:rPr>
          <w:shd w:fill="DADADA" w:color="auto" w:val="clear"/>
        </w:rPr>
        <w:t>下列疾病不在保障范围内：</w:t>
      </w:r>
    </w:p>
    <w:p>
      <w:pPr>
        <w:pStyle w:val="BodyText"/>
        <w:spacing w:before="10"/>
        <w:ind w:left="103"/>
        <w:jc w:val="both"/>
      </w:pPr>
      <w:r>
        <w:rPr>
          <w:shd w:fill="DADADA" w:color="auto" w:val="clear"/>
        </w:rPr>
        <w:t>（1）局限硬皮病；</w:t>
      </w:r>
    </w:p>
    <w:p>
      <w:pPr>
        <w:pStyle w:val="BodyText"/>
        <w:spacing w:before="37"/>
        <w:ind w:left="103"/>
        <w:jc w:val="both"/>
      </w:pPr>
      <w:r>
        <w:rPr>
          <w:shd w:fill="DADADA" w:color="auto" w:val="clear"/>
        </w:rPr>
        <w:t>（2）嗜酸细胞筋膜炎；</w:t>
      </w:r>
    </w:p>
    <w:p>
      <w:pPr>
        <w:pStyle w:val="BodyText"/>
        <w:spacing w:before="37"/>
        <w:ind w:left="103"/>
        <w:jc w:val="both"/>
      </w:pPr>
      <w:r>
        <w:rPr>
          <w:shd w:fill="DADADA" w:color="auto" w:val="clear"/>
        </w:rPr>
        <w:t>（3）CREST 综合征。</w:t>
      </w:r>
    </w:p>
    <w:p>
      <w:pPr>
        <w:spacing w:after="0"/>
        <w:jc w:val="both"/>
        <w:sectPr>
          <w:type w:val="continuous"/>
          <w:pgSz w:w="11910" w:h="16840"/>
          <w:pgMar w:top="560" w:bottom="280" w:left="1680" w:right="900"/>
          <w:cols w:num="2" w:equalWidth="0">
            <w:col w:w="2229" w:space="87"/>
            <w:col w:w="7014"/>
          </w:cols>
        </w:sectPr>
      </w:pPr>
    </w:p>
    <w:p>
      <w:pPr>
        <w:pStyle w:val="BodyText"/>
        <w:spacing w:before="11"/>
      </w:pPr>
    </w:p>
    <w:p>
      <w:pPr>
        <w:pStyle w:val="Heading4"/>
        <w:tabs>
          <w:tab w:pos="2419" w:val="left" w:leader="none"/>
        </w:tabs>
        <w:spacing w:before="36"/>
        <w:ind w:left="103"/>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10"/>
        <w:rPr>
          <w:b/>
        </w:rPr>
      </w:pPr>
    </w:p>
    <w:p>
      <w:pPr>
        <w:pStyle w:val="BodyText"/>
        <w:tabs>
          <w:tab w:pos="2419" w:val="left" w:leader="none"/>
        </w:tabs>
        <w:spacing w:line="266" w:lineRule="auto"/>
        <w:ind w:left="2419" w:right="117" w:hanging="2316"/>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6"/>
        </w:rPr>
        <w:t>）、</w:t>
      </w:r>
      <w:r>
        <w:rPr/>
        <w:t>核磁共振检查（MRI）或正电子发射断层扫描（PET）等影像学检查证实， 并须满足下列至少一项条件：</w:t>
      </w:r>
    </w:p>
    <w:p>
      <w:pPr>
        <w:pStyle w:val="BodyText"/>
        <w:spacing w:before="13"/>
        <w:ind w:left="2419"/>
      </w:pPr>
      <w:r>
        <w:rPr/>
        <w:t>（1）实际实施了开颅进行的脑肿瘤完全切除或部分切除的手术；</w:t>
      </w:r>
    </w:p>
    <w:p>
      <w:pPr>
        <w:pStyle w:val="BodyText"/>
        <w:spacing w:before="36"/>
        <w:ind w:left="2419"/>
      </w:pPr>
      <w:r>
        <w:rPr/>
        <w:t>（2）实际实施了对脑肿瘤进行的放射治疗。</w:t>
      </w:r>
    </w:p>
    <w:p>
      <w:pPr>
        <w:pStyle w:val="BodyText"/>
        <w:spacing w:before="36"/>
        <w:ind w:left="2419"/>
      </w:pPr>
      <w:r>
        <w:rPr>
          <w:shd w:fill="DADADA" w:color="auto" w:val="clear"/>
        </w:rPr>
        <w:t>脑垂体瘤、脑囊肿、脑血管性疾病不在保障范围内。</w:t>
      </w:r>
    </w:p>
    <w:p>
      <w:pPr>
        <w:pStyle w:val="BodyText"/>
        <w:spacing w:before="5"/>
        <w:rPr>
          <w:sz w:val="20"/>
        </w:rPr>
      </w:pPr>
    </w:p>
    <w:p>
      <w:pPr>
        <w:spacing w:after="0"/>
        <w:rPr>
          <w:sz w:val="20"/>
        </w:rPr>
        <w:sectPr>
          <w:type w:val="continuous"/>
          <w:pgSz w:w="11910" w:h="16840"/>
          <w:pgMar w:top="560" w:bottom="280" w:left="1680" w:right="900"/>
        </w:sectPr>
      </w:pPr>
    </w:p>
    <w:p>
      <w:pPr>
        <w:pStyle w:val="Heading2"/>
        <w:spacing w:line="232" w:lineRule="auto"/>
      </w:pPr>
      <w:r>
        <w:rPr/>
        <w:t>脑炎后遗症或脑膜炎后遗症</w:t>
      </w:r>
    </w:p>
    <w:p>
      <w:pPr>
        <w:pStyle w:val="BodyText"/>
        <w:spacing w:line="273" w:lineRule="auto" w:before="53"/>
        <w:ind w:left="103" w:right="117"/>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03"/>
      </w:pPr>
      <w:r>
        <w:rPr/>
        <w:t>（1）一肢或一肢以上肢体机能完全丧失；</w:t>
      </w:r>
    </w:p>
    <w:p>
      <w:pPr>
        <w:pStyle w:val="BodyText"/>
        <w:spacing w:before="37"/>
        <w:ind w:left="103"/>
      </w:pPr>
      <w:r>
        <w:rPr/>
        <w:t>（2）语言能力或咀嚼吞咽能力完全丧失；</w:t>
      </w:r>
    </w:p>
    <w:p>
      <w:pPr>
        <w:pStyle w:val="BodyText"/>
        <w:spacing w:line="273" w:lineRule="auto" w:before="37"/>
        <w:ind w:left="628" w:right="62" w:hanging="526"/>
      </w:pPr>
      <w:r>
        <w:rPr/>
        <w:t>（3）自主生活能力完全丧失，无法独立完成六项基本日常生活活动中的三项或三项以上。</w:t>
      </w:r>
    </w:p>
    <w:p>
      <w:pPr>
        <w:spacing w:after="0" w:line="273" w:lineRule="auto"/>
        <w:sectPr>
          <w:type w:val="continuous"/>
          <w:pgSz w:w="11910" w:h="16840"/>
          <w:pgMar w:top="560" w:bottom="280" w:left="1680" w:right="900"/>
          <w:cols w:num="2" w:equalWidth="0">
            <w:col w:w="2229" w:space="87"/>
            <w:col w:w="7014"/>
          </w:cols>
        </w:sectPr>
      </w:pPr>
    </w:p>
    <w:p>
      <w:pPr>
        <w:pStyle w:val="BodyText"/>
        <w:spacing w:before="3"/>
        <w:rPr>
          <w:sz w:val="18"/>
        </w:rPr>
      </w:pPr>
    </w:p>
    <w:p>
      <w:pPr>
        <w:pStyle w:val="BodyText"/>
        <w:tabs>
          <w:tab w:pos="2419" w:val="left" w:leader="none"/>
        </w:tabs>
        <w:spacing w:line="264" w:lineRule="auto" w:before="16"/>
        <w:ind w:left="2419" w:right="117" w:hanging="2316"/>
        <w:jc w:val="both"/>
      </w:pPr>
      <w:r>
        <w:rPr>
          <w:rFonts w:ascii="等线" w:eastAsia="等线" w:hint="eastAsia"/>
          <w:b/>
          <w:position w:val="1"/>
          <w:sz w:val="24"/>
        </w:rPr>
        <w:t>深度昏迷</w:t>
        <w:tab/>
      </w:r>
      <w:r>
        <w:rPr/>
        <w:t>指因疾病或意外伤害导致意识丧失，对外界刺激和体内需求均无反应，昏 迷程度按照格拉斯哥昏迷分级（Glasgow</w:t>
      </w:r>
      <w:r>
        <w:rPr>
          <w:spacing w:val="-3"/>
        </w:rPr>
        <w:t> </w:t>
      </w:r>
      <w:r>
        <w:rPr/>
        <w:t>coma</w:t>
      </w:r>
      <w:r>
        <w:rPr>
          <w:spacing w:val="-3"/>
        </w:rPr>
        <w:t> </w:t>
      </w:r>
      <w:r>
        <w:rPr/>
        <w:t>scale）结果为</w:t>
      </w:r>
      <w:r>
        <w:rPr>
          <w:spacing w:val="-39"/>
        </w:rPr>
        <w:t> </w:t>
      </w:r>
      <w:r>
        <w:rPr/>
        <w:t>5</w:t>
      </w:r>
      <w:r>
        <w:rPr>
          <w:spacing w:val="-38"/>
        </w:rPr>
        <w:t> </w:t>
      </w:r>
      <w:r>
        <w:rPr/>
        <w:t>分或</w:t>
      </w:r>
      <w:r>
        <w:rPr>
          <w:spacing w:val="-39"/>
        </w:rPr>
        <w:t> </w:t>
      </w:r>
      <w:r>
        <w:rPr/>
        <w:t>5</w:t>
      </w:r>
      <w:r>
        <w:rPr>
          <w:spacing w:val="-37"/>
        </w:rPr>
        <w:t> </w:t>
      </w:r>
      <w:r>
        <w:rPr/>
        <w:t>分以下，且已经持续使用呼吸机及其它生命维持系统</w:t>
      </w:r>
      <w:r>
        <w:rPr>
          <w:spacing w:val="-55"/>
        </w:rPr>
        <w:t> </w:t>
      </w:r>
      <w:r>
        <w:rPr/>
        <w:t>96</w:t>
      </w:r>
      <w:r>
        <w:rPr>
          <w:spacing w:val="-54"/>
        </w:rPr>
        <w:t> </w:t>
      </w:r>
      <w:r>
        <w:rPr/>
        <w:t>小时以上。</w:t>
      </w:r>
    </w:p>
    <w:p>
      <w:pPr>
        <w:pStyle w:val="BodyText"/>
        <w:spacing w:before="15"/>
        <w:ind w:left="2419"/>
      </w:pPr>
      <w:r>
        <w:rPr>
          <w:shd w:fill="DADADA" w:color="auto" w:val="clear"/>
        </w:rPr>
        <w:t>因酗酒或药物滥用导致的深度昏迷不在保障范围内。</w:t>
      </w:r>
    </w:p>
    <w:p>
      <w:pPr>
        <w:spacing w:after="0"/>
        <w:sectPr>
          <w:type w:val="continuous"/>
          <w:pgSz w:w="11910" w:h="16840"/>
          <w:pgMar w:top="560" w:bottom="280" w:left="168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5"/>
      </w:tblGrid>
      <w:tr>
        <w:trPr>
          <w:trHeight w:val="1943" w:hRule="atLeast"/>
        </w:trPr>
        <w:tc>
          <w:tcPr>
            <w:tcW w:w="2420" w:type="dxa"/>
          </w:tcPr>
          <w:p>
            <w:pPr>
              <w:pStyle w:val="TableParagraph"/>
              <w:spacing w:line="248" w:lineRule="exact"/>
              <w:ind w:left="200"/>
              <w:rPr>
                <w:rFonts w:ascii="等线" w:eastAsia="等线" w:hint="eastAsia"/>
                <w:b/>
                <w:sz w:val="24"/>
              </w:rPr>
            </w:pPr>
            <w:r>
              <w:rPr>
                <w:rFonts w:ascii="等线" w:eastAsia="等线" w:hint="eastAsia"/>
                <w:b/>
                <w:sz w:val="24"/>
              </w:rPr>
              <w:t>严重阿尔茨海默病</w:t>
            </w:r>
          </w:p>
        </w:tc>
        <w:tc>
          <w:tcPr>
            <w:tcW w:w="7185" w:type="dxa"/>
          </w:tcPr>
          <w:p>
            <w:pPr>
              <w:pStyle w:val="TableParagraph"/>
              <w:spacing w:line="228" w:lineRule="exact"/>
              <w:ind w:left="96"/>
              <w:rPr>
                <w:sz w:val="21"/>
              </w:rPr>
            </w:pPr>
            <w:r>
              <w:rPr>
                <w:sz w:val="21"/>
              </w:rPr>
              <w:t>指因大脑进行性、不可逆性改变导致智能严重衰退或丧失，临床表现为明</w:t>
            </w:r>
          </w:p>
          <w:p>
            <w:pPr>
              <w:pStyle w:val="TableParagraph"/>
              <w:spacing w:line="273" w:lineRule="auto" w:before="37"/>
              <w:ind w:left="95" w:right="299"/>
              <w:jc w:val="both"/>
              <w:rPr>
                <w:sz w:val="21"/>
              </w:rPr>
            </w:pPr>
            <w:r>
              <w:rPr>
                <w:sz w:val="21"/>
              </w:rPr>
              <w:t>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7"/>
              <w:ind w:left="96"/>
              <w:jc w:val="both"/>
              <w:rPr>
                <w:sz w:val="21"/>
              </w:rPr>
            </w:pPr>
            <w:r>
              <w:rPr>
                <w:sz w:val="21"/>
                <w:shd w:fill="DADADA" w:color="auto" w:val="clear"/>
              </w:rPr>
              <w:t>神经官能症和精神疾病不在保障范围内。</w:t>
            </w:r>
          </w:p>
        </w:tc>
      </w:tr>
      <w:tr>
        <w:trPr>
          <w:trHeight w:val="116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瘫痪</w:t>
            </w:r>
          </w:p>
        </w:tc>
        <w:tc>
          <w:tcPr>
            <w:tcW w:w="7185" w:type="dxa"/>
          </w:tcPr>
          <w:p>
            <w:pPr>
              <w:pStyle w:val="TableParagraph"/>
              <w:spacing w:line="273" w:lineRule="auto" w:before="108"/>
              <w:ind w:left="96" w:right="299"/>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0"/>
                <w:sz w:val="21"/>
              </w:rPr>
              <w:t> 日后或意外伤害发生 </w:t>
            </w:r>
            <w:r>
              <w:rPr>
                <w:sz w:val="21"/>
              </w:rPr>
              <w:t>180</w:t>
            </w:r>
            <w:r>
              <w:rPr>
                <w:spacing w:val="-6"/>
                <w:sz w:val="21"/>
              </w:rPr>
              <w:t> 日后，每肢三大关节中的两大关节仍然完全僵硬，或不能随意识活动。</w:t>
            </w:r>
          </w:p>
        </w:tc>
      </w:tr>
      <w:tr>
        <w:trPr>
          <w:trHeight w:val="272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严重的多发性硬化</w:t>
            </w:r>
          </w:p>
        </w:tc>
        <w:tc>
          <w:tcPr>
            <w:tcW w:w="7185" w:type="dxa"/>
          </w:tcPr>
          <w:p>
            <w:pPr>
              <w:pStyle w:val="TableParagraph"/>
              <w:spacing w:line="273" w:lineRule="auto" w:before="108"/>
              <w:ind w:left="96" w:right="196"/>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w:t>
            </w:r>
            <w:r>
              <w:rPr>
                <w:spacing w:val="-1"/>
                <w:sz w:val="21"/>
              </w:rPr>
              <w:t>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95"/>
              <w:rPr>
                <w:sz w:val="21"/>
              </w:rPr>
            </w:pPr>
            <w:r>
              <w:rPr>
                <w:sz w:val="21"/>
              </w:rPr>
              <w:t>由神经科专科医生提供的明确诊断必须同时包含下列内容：</w:t>
            </w:r>
          </w:p>
          <w:p>
            <w:pPr>
              <w:pStyle w:val="TableParagraph"/>
              <w:spacing w:before="36"/>
              <w:ind w:left="95"/>
              <w:rPr>
                <w:sz w:val="21"/>
              </w:rPr>
            </w:pPr>
            <w:r>
              <w:rPr>
                <w:sz w:val="21"/>
              </w:rPr>
              <w:t>（1）明确出现因视神经、脑干和脊髓损伤而导致的临床表现；</w:t>
            </w:r>
          </w:p>
          <w:p>
            <w:pPr>
              <w:pStyle w:val="TableParagraph"/>
              <w:spacing w:before="36"/>
              <w:ind w:left="95"/>
              <w:rPr>
                <w:sz w:val="21"/>
              </w:rPr>
            </w:pPr>
            <w:r>
              <w:rPr>
                <w:sz w:val="21"/>
              </w:rPr>
              <w:t>（2）神经系统散在的多部位病变；</w:t>
            </w:r>
          </w:p>
          <w:p>
            <w:pPr>
              <w:pStyle w:val="TableParagraph"/>
              <w:spacing w:before="36"/>
              <w:ind w:left="95"/>
              <w:rPr>
                <w:sz w:val="21"/>
              </w:rPr>
            </w:pPr>
            <w:r>
              <w:rPr>
                <w:sz w:val="21"/>
              </w:rPr>
              <w:t>（3）有明确的上述症状及神经损伤反复恶化、减轻的病史纪录。</w:t>
            </w:r>
          </w:p>
        </w:tc>
      </w:tr>
      <w:tr>
        <w:trPr>
          <w:trHeight w:val="2099"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严重帕金森病</w:t>
            </w:r>
          </w:p>
        </w:tc>
        <w:tc>
          <w:tcPr>
            <w:tcW w:w="7185" w:type="dxa"/>
          </w:tcPr>
          <w:p>
            <w:pPr>
              <w:pStyle w:val="TableParagraph"/>
              <w:spacing w:line="273" w:lineRule="auto" w:before="108"/>
              <w:ind w:left="96" w:right="299"/>
              <w:rPr>
                <w:sz w:val="21"/>
              </w:rPr>
            </w:pPr>
            <w:r>
              <w:rPr>
                <w:sz w:val="21"/>
              </w:rPr>
              <w:t>是一种中枢神经系统的退行性疾病，临床表现为震颤麻痹、共济失调等。须满足下列全部条件：</w:t>
            </w:r>
          </w:p>
          <w:p>
            <w:pPr>
              <w:pStyle w:val="TableParagraph"/>
              <w:spacing w:before="7"/>
              <w:ind w:left="95"/>
              <w:rPr>
                <w:sz w:val="21"/>
              </w:rPr>
            </w:pPr>
            <w:r>
              <w:rPr>
                <w:sz w:val="21"/>
              </w:rPr>
              <w:t>（1）药物治疗无法控制病情；</w:t>
            </w:r>
          </w:p>
          <w:p>
            <w:pPr>
              <w:pStyle w:val="TableParagraph"/>
              <w:spacing w:line="271" w:lineRule="auto" w:before="36"/>
              <w:ind w:left="578" w:right="242" w:hanging="483"/>
              <w:rPr>
                <w:sz w:val="21"/>
              </w:rPr>
            </w:pPr>
            <w:r>
              <w:rPr>
                <w:sz w:val="21"/>
              </w:rPr>
              <w:t>（2）自主生活能力完全丧失，无法独立完成六项基本日常生活活动中的三项或三项以上。</w:t>
            </w:r>
          </w:p>
          <w:p>
            <w:pPr>
              <w:pStyle w:val="TableParagraph"/>
              <w:spacing w:before="9"/>
              <w:ind w:left="96"/>
              <w:rPr>
                <w:sz w:val="21"/>
              </w:rPr>
            </w:pPr>
            <w:r>
              <w:rPr>
                <w:sz w:val="21"/>
                <w:shd w:fill="DADADA" w:color="auto" w:val="clear"/>
              </w:rPr>
              <w:t>继发性帕金森综合征不在保障范围内。</w:t>
            </w:r>
          </w:p>
        </w:tc>
      </w:tr>
      <w:tr>
        <w:trPr>
          <w:trHeight w:val="1475"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严重运动神经元病</w:t>
            </w:r>
          </w:p>
        </w:tc>
        <w:tc>
          <w:tcPr>
            <w:tcW w:w="7185" w:type="dxa"/>
          </w:tcPr>
          <w:p>
            <w:pPr>
              <w:pStyle w:val="TableParagraph"/>
              <w:spacing w:line="273" w:lineRule="auto" w:before="109"/>
              <w:ind w:left="96"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22" w:hRule="atLeast"/>
        </w:trPr>
        <w:tc>
          <w:tcPr>
            <w:tcW w:w="2420" w:type="dxa"/>
          </w:tcPr>
          <w:p>
            <w:pPr>
              <w:pStyle w:val="TableParagraph"/>
              <w:spacing w:before="76"/>
              <w:ind w:left="200"/>
              <w:rPr>
                <w:rFonts w:ascii="等线" w:eastAsia="等线" w:hint="eastAsia"/>
                <w:b/>
                <w:sz w:val="24"/>
              </w:rPr>
            </w:pPr>
            <w:r>
              <w:rPr>
                <w:rFonts w:ascii="等线" w:eastAsia="等线" w:hint="eastAsia"/>
                <w:b/>
                <w:sz w:val="24"/>
              </w:rPr>
              <w:t>严重脑损伤</w:t>
            </w:r>
          </w:p>
        </w:tc>
        <w:tc>
          <w:tcPr>
            <w:tcW w:w="7185" w:type="dxa"/>
          </w:tcPr>
          <w:p>
            <w:pPr>
              <w:pStyle w:val="TableParagraph"/>
              <w:spacing w:line="273" w:lineRule="auto" w:before="108"/>
              <w:ind w:left="95" w:right="299"/>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3"/>
                <w:sz w:val="21"/>
              </w:rPr>
              <w:t>断层扫描（PET）等影像学检查证实。神经系统永久性的功能障碍，指脑损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ind w:left="95"/>
              <w:rPr>
                <w:sz w:val="21"/>
              </w:rPr>
            </w:pPr>
            <w:r>
              <w:rPr>
                <w:sz w:val="21"/>
              </w:rPr>
              <w:t>（1）一肢或一肢以上肢体机能完全丧失；</w:t>
            </w:r>
          </w:p>
          <w:p>
            <w:pPr>
              <w:pStyle w:val="TableParagraph"/>
              <w:spacing w:before="36"/>
              <w:ind w:left="95"/>
              <w:rPr>
                <w:sz w:val="21"/>
              </w:rPr>
            </w:pPr>
            <w:r>
              <w:rPr>
                <w:sz w:val="21"/>
              </w:rPr>
              <w:t>（2）语言能力或咀嚼吞咽能力完全丧失；</w:t>
            </w:r>
          </w:p>
          <w:p>
            <w:pPr>
              <w:pStyle w:val="TableParagraph"/>
              <w:spacing w:line="273" w:lineRule="auto" w:before="36"/>
              <w:ind w:left="578" w:right="242" w:hanging="483"/>
              <w:rPr>
                <w:sz w:val="21"/>
              </w:rPr>
            </w:pPr>
            <w:r>
              <w:rPr>
                <w:sz w:val="21"/>
              </w:rPr>
              <w:t>（3）自主生活能力完全丧失，无法独立完成六项基本日常生活活动中的三项或三项以上。</w:t>
            </w:r>
          </w:p>
        </w:tc>
      </w:tr>
      <w:tr>
        <w:trPr>
          <w:trHeight w:val="2254" w:hRule="atLeast"/>
        </w:trPr>
        <w:tc>
          <w:tcPr>
            <w:tcW w:w="2420" w:type="dxa"/>
          </w:tcPr>
          <w:p>
            <w:pPr>
              <w:pStyle w:val="TableParagraph"/>
              <w:spacing w:line="232" w:lineRule="auto" w:before="85"/>
              <w:ind w:left="200" w:right="92"/>
              <w:rPr>
                <w:rFonts w:ascii="等线" w:eastAsia="等线" w:hint="eastAsia"/>
                <w:b/>
                <w:sz w:val="24"/>
              </w:rPr>
            </w:pPr>
            <w:r>
              <w:rPr>
                <w:rFonts w:ascii="等线" w:eastAsia="等线" w:hint="eastAsia"/>
                <w:b/>
                <w:sz w:val="24"/>
              </w:rPr>
              <w:t>非阿尔茨海默病所致严重痴呆</w:t>
            </w:r>
          </w:p>
        </w:tc>
        <w:tc>
          <w:tcPr>
            <w:tcW w:w="7185" w:type="dxa"/>
          </w:tcPr>
          <w:p>
            <w:pPr>
              <w:pStyle w:val="TableParagraph"/>
              <w:spacing w:line="273" w:lineRule="auto" w:before="108"/>
              <w:ind w:left="96" w:right="2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55" w:lineRule="exact" w:before="7"/>
              <w:ind w:left="96"/>
              <w:jc w:val="both"/>
              <w:rPr>
                <w:sz w:val="21"/>
              </w:rPr>
            </w:pPr>
            <w:r>
              <w:rPr>
                <w:sz w:val="21"/>
                <w:shd w:fill="DADADA" w:color="auto" w:val="clear"/>
              </w:rPr>
              <w:t>神经官能症、精神疾病及酒精中毒所致脑损害不在保障范围内。</w:t>
            </w:r>
          </w:p>
        </w:tc>
      </w:tr>
    </w:tbl>
    <w:p>
      <w:pPr>
        <w:spacing w:after="0" w:line="255" w:lineRule="exact"/>
        <w:jc w:val="both"/>
        <w:rPr>
          <w:sz w:val="21"/>
        </w:rPr>
        <w:sectPr>
          <w:pgSz w:w="11910" w:h="16840"/>
          <w:pgMar w:top="114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7184"/>
      </w:tblGrid>
      <w:tr>
        <w:trPr>
          <w:trHeight w:val="1356" w:hRule="atLeast"/>
        </w:trPr>
        <w:tc>
          <w:tcPr>
            <w:tcW w:w="2420" w:type="dxa"/>
          </w:tcPr>
          <w:p>
            <w:pPr>
              <w:pStyle w:val="TableParagraph"/>
              <w:spacing w:line="240" w:lineRule="exact"/>
              <w:ind w:left="200"/>
              <w:rPr>
                <w:rFonts w:ascii="等线" w:eastAsia="等线" w:hint="eastAsia"/>
                <w:b/>
                <w:sz w:val="24"/>
              </w:rPr>
            </w:pPr>
            <w:r>
              <w:rPr>
                <w:rFonts w:ascii="等线" w:eastAsia="等线" w:hint="eastAsia"/>
                <w:b/>
                <w:sz w:val="24"/>
              </w:rPr>
              <w:t>植物人状态</w:t>
            </w:r>
          </w:p>
        </w:tc>
        <w:tc>
          <w:tcPr>
            <w:tcW w:w="7184" w:type="dxa"/>
          </w:tcPr>
          <w:p>
            <w:pPr>
              <w:pStyle w:val="TableParagraph"/>
              <w:spacing w:line="220" w:lineRule="exact"/>
              <w:ind w:left="96"/>
              <w:rPr>
                <w:sz w:val="21"/>
              </w:rPr>
            </w:pPr>
            <w:r>
              <w:rPr>
                <w:sz w:val="21"/>
              </w:rPr>
              <w:t>指经专科医师确诊，由于意外事故或疾病所致大脑皮质全面坏死，意识完</w:t>
            </w:r>
          </w:p>
          <w:p>
            <w:pPr>
              <w:pStyle w:val="TableParagraph"/>
              <w:spacing w:line="273" w:lineRule="auto" w:before="37"/>
              <w:ind w:left="96" w:right="298"/>
              <w:rPr>
                <w:sz w:val="21"/>
              </w:rPr>
            </w:pPr>
            <w:r>
              <w:rPr>
                <w:sz w:val="21"/>
              </w:rPr>
              <w:t>全丧失，但脑干及脑干以下中枢神经功能仍保持完好，且此情况持续一个月或以上。</w:t>
            </w:r>
          </w:p>
          <w:p>
            <w:pPr>
              <w:pStyle w:val="TableParagraph"/>
              <w:spacing w:before="7"/>
              <w:ind w:left="96"/>
              <w:rPr>
                <w:sz w:val="21"/>
              </w:rPr>
            </w:pPr>
            <w:r>
              <w:rPr>
                <w:sz w:val="21"/>
                <w:shd w:fill="DADADA" w:color="auto" w:val="clear"/>
              </w:rPr>
              <w:t>由于酗酒或滥用药物所致的植物人状态不在保障范围内。</w:t>
            </w:r>
          </w:p>
        </w:tc>
      </w:tr>
      <w:tr>
        <w:trPr>
          <w:trHeight w:val="587" w:hRule="atLeast"/>
        </w:trPr>
        <w:tc>
          <w:tcPr>
            <w:tcW w:w="2420" w:type="dxa"/>
          </w:tcPr>
          <w:p>
            <w:pPr>
              <w:pStyle w:val="TableParagraph"/>
              <w:spacing w:before="120"/>
              <w:ind w:left="200"/>
              <w:rPr>
                <w:b/>
                <w:sz w:val="21"/>
              </w:rPr>
            </w:pPr>
            <w:r>
              <w:rPr>
                <w:b/>
                <w:sz w:val="21"/>
              </w:rPr>
              <w:t>第 5 类：</w:t>
            </w:r>
          </w:p>
        </w:tc>
        <w:tc>
          <w:tcPr>
            <w:tcW w:w="7184" w:type="dxa"/>
          </w:tcPr>
          <w:p>
            <w:pPr>
              <w:pStyle w:val="TableParagraph"/>
              <w:spacing w:before="120"/>
              <w:ind w:left="96"/>
              <w:rPr>
                <w:b/>
                <w:sz w:val="21"/>
              </w:rPr>
            </w:pPr>
            <w:r>
              <w:rPr>
                <w:b/>
                <w:w w:val="95"/>
                <w:sz w:val="21"/>
              </w:rPr>
              <w:t>其他重大疾病</w:t>
            </w:r>
          </w:p>
        </w:tc>
      </w:tr>
      <w:tr>
        <w:trPr>
          <w:trHeight w:val="908"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多个肢体缺失</w:t>
            </w:r>
          </w:p>
        </w:tc>
        <w:tc>
          <w:tcPr>
            <w:tcW w:w="7184" w:type="dxa"/>
          </w:tcPr>
          <w:p>
            <w:pPr>
              <w:pStyle w:val="TableParagraph"/>
              <w:spacing w:line="273" w:lineRule="auto" w:before="129"/>
              <w:ind w:left="96" w:right="298"/>
              <w:rPr>
                <w:sz w:val="21"/>
              </w:rPr>
            </w:pPr>
            <w:r>
              <w:rPr>
                <w:sz w:val="21"/>
              </w:rPr>
              <w:t>指因疾病或意外伤害导致两个或两个以上肢体自腕关节或踝关节近端（靠近躯干端）以上完全性断离。</w:t>
            </w:r>
          </w:p>
        </w:tc>
      </w:tr>
      <w:tr>
        <w:trPr>
          <w:trHeight w:val="2467"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严重的 1 型糖尿病</w:t>
            </w:r>
          </w:p>
        </w:tc>
        <w:tc>
          <w:tcPr>
            <w:tcW w:w="7184" w:type="dxa"/>
          </w:tcPr>
          <w:p>
            <w:pPr>
              <w:pStyle w:val="TableParagraph"/>
              <w:spacing w:line="273" w:lineRule="auto" w:before="129"/>
              <w:ind w:left="96" w:right="298"/>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5"/>
                <w:sz w:val="21"/>
              </w:rPr>
              <w:t> 肽测定，结果异常，并由内分泌科专科医生明确诊断。并须在本附加险合同保</w:t>
            </w:r>
            <w:r>
              <w:rPr>
                <w:spacing w:val="-19"/>
                <w:sz w:val="21"/>
              </w:rPr>
              <w:t>险期间内，满足下述至少 </w:t>
            </w:r>
            <w:r>
              <w:rPr>
                <w:sz w:val="21"/>
              </w:rPr>
              <w:t>1</w:t>
            </w:r>
            <w:r>
              <w:rPr>
                <w:spacing w:val="-12"/>
                <w:sz w:val="21"/>
              </w:rPr>
              <w:t> 个条件：</w:t>
            </w:r>
          </w:p>
          <w:p>
            <w:pPr>
              <w:pStyle w:val="TableParagraph"/>
              <w:spacing w:before="7"/>
              <w:ind w:left="95"/>
              <w:jc w:val="both"/>
              <w:rPr>
                <w:sz w:val="21"/>
              </w:rPr>
            </w:pPr>
            <w:r>
              <w:rPr>
                <w:sz w:val="21"/>
              </w:rPr>
              <w:t>（1）已出现增殖性视网膜病变；</w:t>
            </w:r>
          </w:p>
          <w:p>
            <w:pPr>
              <w:pStyle w:val="TableParagraph"/>
              <w:spacing w:before="37"/>
              <w:ind w:left="95"/>
              <w:jc w:val="both"/>
              <w:rPr>
                <w:sz w:val="21"/>
              </w:rPr>
            </w:pPr>
            <w:r>
              <w:rPr>
                <w:sz w:val="21"/>
              </w:rPr>
              <w:t>（2）须植入心脏起搏器治疗心脏病；</w:t>
            </w:r>
          </w:p>
          <w:p>
            <w:pPr>
              <w:pStyle w:val="TableParagraph"/>
              <w:spacing w:before="37"/>
              <w:ind w:left="95"/>
              <w:jc w:val="both"/>
              <w:rPr>
                <w:sz w:val="21"/>
              </w:rPr>
            </w:pPr>
            <w:r>
              <w:rPr>
                <w:sz w:val="21"/>
              </w:rPr>
              <w:t>（3）因坏疽需切除至少一个脚趾。</w:t>
            </w:r>
          </w:p>
        </w:tc>
      </w:tr>
      <w:tr>
        <w:trPr>
          <w:trHeight w:val="907" w:hRule="atLeast"/>
        </w:trPr>
        <w:tc>
          <w:tcPr>
            <w:tcW w:w="2420" w:type="dxa"/>
          </w:tcPr>
          <w:p>
            <w:pPr>
              <w:pStyle w:val="TableParagraph"/>
              <w:spacing w:before="96"/>
              <w:ind w:left="200"/>
              <w:rPr>
                <w:rFonts w:ascii="等线" w:hAnsi="等线" w:eastAsia="等线" w:hint="eastAsia"/>
                <w:b/>
                <w:sz w:val="24"/>
              </w:rPr>
            </w:pPr>
            <w:r>
              <w:rPr>
                <w:rFonts w:ascii="等线" w:hAnsi="等线" w:eastAsia="等线" w:hint="eastAsia"/>
                <w:b/>
                <w:sz w:val="24"/>
              </w:rPr>
              <w:t>严重Ⅲ度烧伤</w:t>
            </w:r>
          </w:p>
        </w:tc>
        <w:tc>
          <w:tcPr>
            <w:tcW w:w="7184" w:type="dxa"/>
          </w:tcPr>
          <w:p>
            <w:pPr>
              <w:pStyle w:val="TableParagraph"/>
              <w:spacing w:line="273" w:lineRule="auto" w:before="128"/>
              <w:ind w:left="96" w:right="154"/>
              <w:rPr>
                <w:sz w:val="21"/>
              </w:rPr>
            </w:pPr>
            <w:r>
              <w:rPr>
                <w:sz w:val="21"/>
              </w:rPr>
              <w:t>指烧伤程度为Ⅲ度，且Ⅲ度烧伤的面积达到全身体表面积的20%或20%以上。体表面积根据《中国新九分法》计算。</w:t>
            </w:r>
          </w:p>
        </w:tc>
      </w:tr>
      <w:tr>
        <w:trPr>
          <w:trHeight w:val="4964" w:hRule="atLeast"/>
        </w:trPr>
        <w:tc>
          <w:tcPr>
            <w:tcW w:w="2420" w:type="dxa"/>
          </w:tcPr>
          <w:p>
            <w:pPr>
              <w:pStyle w:val="TableParagraph"/>
              <w:spacing w:line="232" w:lineRule="auto" w:before="107"/>
              <w:ind w:left="200" w:right="92"/>
              <w:rPr>
                <w:rFonts w:ascii="等线" w:eastAsia="等线" w:hint="eastAsia"/>
                <w:b/>
                <w:sz w:val="24"/>
              </w:rPr>
            </w:pPr>
            <w:r>
              <w:rPr>
                <w:rFonts w:ascii="等线" w:eastAsia="等线" w:hint="eastAsia"/>
                <w:b/>
                <w:sz w:val="24"/>
              </w:rPr>
              <w:t>严重类风湿性关节炎</w:t>
            </w:r>
          </w:p>
        </w:tc>
        <w:tc>
          <w:tcPr>
            <w:tcW w:w="7184" w:type="dxa"/>
          </w:tcPr>
          <w:p>
            <w:pPr>
              <w:pStyle w:val="TableParagraph"/>
              <w:spacing w:line="273" w:lineRule="auto" w:before="129"/>
              <w:ind w:left="95" w:right="297"/>
              <w:jc w:val="both"/>
              <w:rPr>
                <w:sz w:val="21"/>
              </w:rPr>
            </w:pPr>
            <w:r>
              <w:rPr>
                <w:sz w:val="21"/>
              </w:rPr>
              <w:t>指广泛分布的慢性进行性多关节病变，表现为关节严重变形，侵犯至少三个主要关节或关节组，[如:双手（多手指）关节、双足（多足趾）关节、</w:t>
            </w:r>
            <w:r>
              <w:rPr>
                <w:spacing w:val="-6"/>
                <w:sz w:val="21"/>
              </w:rPr>
              <w:t>双腕关节、双膝关节和双髋关节]。被保人所患的类风湿性关节炎必须明确</w:t>
            </w:r>
            <w:r>
              <w:rPr>
                <w:spacing w:val="-5"/>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ind w:left="95"/>
              <w:jc w:val="both"/>
              <w:rPr>
                <w:sz w:val="21"/>
              </w:rPr>
            </w:pPr>
            <w:r>
              <w:rPr>
                <w:sz w:val="21"/>
              </w:rPr>
              <w:t>（1）晨僵；</w:t>
            </w:r>
          </w:p>
          <w:p>
            <w:pPr>
              <w:pStyle w:val="TableParagraph"/>
              <w:spacing w:before="37"/>
              <w:ind w:left="95"/>
              <w:jc w:val="both"/>
              <w:rPr>
                <w:sz w:val="21"/>
              </w:rPr>
            </w:pPr>
            <w:r>
              <w:rPr>
                <w:sz w:val="21"/>
              </w:rPr>
              <w:t>（2）对称性关节炎；</w:t>
            </w:r>
          </w:p>
          <w:p>
            <w:pPr>
              <w:pStyle w:val="TableParagraph"/>
              <w:spacing w:before="37"/>
              <w:ind w:left="95"/>
              <w:jc w:val="both"/>
              <w:rPr>
                <w:sz w:val="21"/>
              </w:rPr>
            </w:pPr>
            <w:r>
              <w:rPr>
                <w:sz w:val="21"/>
              </w:rPr>
              <w:t>（3）类风湿性皮下结节；</w:t>
            </w:r>
          </w:p>
          <w:p>
            <w:pPr>
              <w:pStyle w:val="TableParagraph"/>
              <w:spacing w:before="37"/>
              <w:ind w:left="95"/>
              <w:jc w:val="both"/>
              <w:rPr>
                <w:sz w:val="21"/>
              </w:rPr>
            </w:pPr>
            <w:r>
              <w:rPr>
                <w:sz w:val="21"/>
              </w:rPr>
              <w:t>（4）类风湿因子滴度升高；</w:t>
            </w:r>
          </w:p>
          <w:p>
            <w:pPr>
              <w:pStyle w:val="TableParagraph"/>
              <w:spacing w:line="273" w:lineRule="auto" w:before="37"/>
              <w:ind w:left="95" w:right="1718"/>
              <w:rPr>
                <w:sz w:val="21"/>
              </w:rPr>
            </w:pPr>
            <w:r>
              <w:rPr>
                <w:sz w:val="21"/>
              </w:rPr>
              <w:t>（5）X 线显示严重的关节（软骨和骨）破坏和关节畸形。类风湿性关节炎功能分级标准：</w:t>
            </w:r>
          </w:p>
          <w:p>
            <w:pPr>
              <w:pStyle w:val="TableParagraph"/>
              <w:spacing w:before="7"/>
              <w:ind w:left="9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7"/>
              <w:ind w:left="96"/>
              <w:jc w:val="both"/>
              <w:rPr>
                <w:sz w:val="21"/>
              </w:rPr>
            </w:pPr>
            <w:r>
              <w:rPr>
                <w:sz w:val="21"/>
              </w:rPr>
              <w:t>Ⅱ级 生活自理和工作，非职业活动受限；</w:t>
            </w:r>
          </w:p>
          <w:p>
            <w:pPr>
              <w:pStyle w:val="TableParagraph"/>
              <w:spacing w:before="37"/>
              <w:ind w:left="96"/>
              <w:jc w:val="both"/>
              <w:rPr>
                <w:sz w:val="21"/>
              </w:rPr>
            </w:pPr>
            <w:r>
              <w:rPr>
                <w:sz w:val="21"/>
              </w:rPr>
              <w:t>Ⅲ级 生活自理和工作，职业和非职业活动受限；</w:t>
            </w:r>
          </w:p>
          <w:p>
            <w:pPr>
              <w:pStyle w:val="TableParagraph"/>
              <w:spacing w:before="37"/>
              <w:ind w:left="96"/>
              <w:jc w:val="both"/>
              <w:rPr>
                <w:sz w:val="21"/>
              </w:rPr>
            </w:pPr>
            <w:r>
              <w:rPr>
                <w:sz w:val="21"/>
              </w:rPr>
              <w:t>Ⅳ级 生活不能自理，且丧失工作能力。</w:t>
            </w:r>
          </w:p>
        </w:tc>
      </w:tr>
      <w:tr>
        <w:trPr>
          <w:trHeight w:val="1219" w:hRule="atLeast"/>
        </w:trPr>
        <w:tc>
          <w:tcPr>
            <w:tcW w:w="2420" w:type="dxa"/>
          </w:tcPr>
          <w:p>
            <w:pPr>
              <w:pStyle w:val="TableParagraph"/>
              <w:spacing w:before="97"/>
              <w:ind w:left="200"/>
              <w:rPr>
                <w:rFonts w:ascii="等线" w:eastAsia="等线" w:hint="eastAsia"/>
                <w:b/>
                <w:sz w:val="24"/>
              </w:rPr>
            </w:pPr>
            <w:r>
              <w:rPr>
                <w:rFonts w:ascii="等线" w:eastAsia="等线" w:hint="eastAsia"/>
                <w:b/>
                <w:sz w:val="24"/>
              </w:rPr>
              <w:t>象皮病</w:t>
            </w:r>
          </w:p>
        </w:tc>
        <w:tc>
          <w:tcPr>
            <w:tcW w:w="7184" w:type="dxa"/>
          </w:tcPr>
          <w:p>
            <w:pPr>
              <w:pStyle w:val="TableParagraph"/>
              <w:spacing w:line="273" w:lineRule="auto" w:before="129"/>
              <w:ind w:left="96" w:right="2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659" w:hRule="atLeast"/>
        </w:trPr>
        <w:tc>
          <w:tcPr>
            <w:tcW w:w="2420" w:type="dxa"/>
          </w:tcPr>
          <w:p>
            <w:pPr>
              <w:pStyle w:val="TableParagraph"/>
              <w:spacing w:line="232" w:lineRule="auto" w:before="106"/>
              <w:ind w:left="200" w:right="92"/>
              <w:jc w:val="both"/>
              <w:rPr>
                <w:rFonts w:ascii="等线" w:eastAsia="等线" w:hint="eastAsia"/>
                <w:b/>
                <w:sz w:val="24"/>
              </w:rPr>
            </w:pPr>
            <w:r>
              <w:rPr>
                <w:rFonts w:ascii="等线" w:eastAsia="等线" w:hint="eastAsia"/>
                <w:b/>
                <w:sz w:val="24"/>
              </w:rPr>
              <w:t>经输血导致的艾滋病病毒感染或患艾滋病</w:t>
            </w:r>
          </w:p>
        </w:tc>
        <w:tc>
          <w:tcPr>
            <w:tcW w:w="7184" w:type="dxa"/>
          </w:tcPr>
          <w:p>
            <w:pPr>
              <w:pStyle w:val="TableParagraph"/>
              <w:spacing w:line="273" w:lineRule="auto" w:before="129"/>
              <w:ind w:left="96" w:right="240"/>
              <w:rPr>
                <w:sz w:val="21"/>
              </w:rPr>
            </w:pPr>
            <w:r>
              <w:rPr>
                <w:sz w:val="21"/>
              </w:rPr>
              <w:t>指被保险人因输血而感染上人类免疫缺陷病毒（HIV）或患艾滋病必须满足以下全部条件：</w:t>
            </w:r>
          </w:p>
          <w:p>
            <w:pPr>
              <w:pStyle w:val="TableParagraph"/>
              <w:spacing w:before="8"/>
              <w:ind w:left="96"/>
              <w:rPr>
                <w:sz w:val="21"/>
              </w:rPr>
            </w:pPr>
            <w:r>
              <w:rPr>
                <w:sz w:val="21"/>
              </w:rPr>
              <w:t>（1）被保险人因输血而感染 HIV 或患艾滋病；</w:t>
            </w:r>
          </w:p>
          <w:p>
            <w:pPr>
              <w:pStyle w:val="TableParagraph"/>
              <w:spacing w:line="310" w:lineRule="atLeast" w:before="2"/>
              <w:ind w:left="621" w:right="241" w:hanging="526"/>
              <w:rPr>
                <w:sz w:val="21"/>
              </w:rPr>
            </w:pPr>
            <w:r>
              <w:rPr>
                <w:sz w:val="21"/>
              </w:rPr>
              <w:t>（2）提供输血治疗的输血中心或医院出具该项输血感染属医疗责任事故的报告，或者法院终审裁定为医疗责任；</w:t>
            </w:r>
          </w:p>
        </w:tc>
      </w:tr>
    </w:tbl>
    <w:p>
      <w:pPr>
        <w:spacing w:after="0" w:line="310" w:lineRule="atLeast"/>
        <w:rPr>
          <w:sz w:val="21"/>
        </w:rPr>
        <w:sectPr>
          <w:pgSz w:w="11910" w:h="16840"/>
          <w:pgMar w:top="144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275"/>
        <w:gridCol w:w="7091"/>
      </w:tblGrid>
      <w:tr>
        <w:trPr>
          <w:trHeight w:val="1330" w:hRule="atLeast"/>
        </w:trPr>
        <w:tc>
          <w:tcPr>
            <w:tcW w:w="715" w:type="dxa"/>
          </w:tcPr>
          <w:p>
            <w:pPr>
              <w:pStyle w:val="TableParagraph"/>
              <w:rPr>
                <w:rFonts w:ascii="Times New Roman"/>
                <w:sz w:val="20"/>
              </w:rPr>
            </w:pPr>
          </w:p>
        </w:tc>
        <w:tc>
          <w:tcPr>
            <w:tcW w:w="2275" w:type="dxa"/>
          </w:tcPr>
          <w:p>
            <w:pPr>
              <w:pStyle w:val="TableParagraph"/>
              <w:rPr>
                <w:rFonts w:ascii="Times New Roman"/>
                <w:sz w:val="20"/>
              </w:rPr>
            </w:pPr>
          </w:p>
        </w:tc>
        <w:tc>
          <w:tcPr>
            <w:tcW w:w="7091" w:type="dxa"/>
          </w:tcPr>
          <w:p>
            <w:pPr>
              <w:pStyle w:val="TableParagraph"/>
              <w:spacing w:line="210" w:lineRule="exact"/>
              <w:ind w:left="196"/>
              <w:rPr>
                <w:sz w:val="21"/>
              </w:rPr>
            </w:pPr>
            <w:r>
              <w:rPr>
                <w:sz w:val="21"/>
              </w:rPr>
              <w:t>（3）受感染的被保险人不是血友病患者。</w:t>
            </w:r>
          </w:p>
          <w:p>
            <w:pPr>
              <w:pStyle w:val="TableParagraph"/>
              <w:spacing w:line="273" w:lineRule="auto" w:before="37"/>
              <w:ind w:left="195" w:right="105"/>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感染或患艾滋病不在保障范围内。</w:t>
            </w:r>
            <w:r>
              <w:rPr>
                <w:spacing w:val="-8"/>
                <w:sz w:val="21"/>
              </w:rPr>
              <w:t>本公司具有获得使用被保险人的所有血液样本的权利和能够对这些样本进行独立检验的权利。</w:t>
            </w:r>
          </w:p>
        </w:tc>
      </w:tr>
      <w:tr>
        <w:trPr>
          <w:trHeight w:val="2196" w:hRule="atLeast"/>
        </w:trPr>
        <w:tc>
          <w:tcPr>
            <w:tcW w:w="715" w:type="dxa"/>
          </w:tcPr>
          <w:p>
            <w:pPr>
              <w:pStyle w:val="TableParagraph"/>
              <w:rPr>
                <w:rFonts w:ascii="Times New Roman"/>
                <w:sz w:val="20"/>
              </w:rPr>
            </w:pPr>
          </w:p>
        </w:tc>
        <w:tc>
          <w:tcPr>
            <w:tcW w:w="2275" w:type="dxa"/>
          </w:tcPr>
          <w:p>
            <w:pPr>
              <w:pStyle w:val="TableParagraph"/>
              <w:spacing w:before="105"/>
              <w:ind w:left="155"/>
              <w:rPr>
                <w:rFonts w:ascii="等线" w:eastAsia="等线" w:hint="eastAsia"/>
                <w:b/>
                <w:sz w:val="24"/>
              </w:rPr>
            </w:pPr>
            <w:r>
              <w:rPr>
                <w:rFonts w:ascii="等线" w:eastAsia="等线" w:hint="eastAsia"/>
                <w:b/>
                <w:sz w:val="24"/>
              </w:rPr>
              <w:t>严重ft营养不良症</w:t>
            </w:r>
          </w:p>
        </w:tc>
        <w:tc>
          <w:tcPr>
            <w:tcW w:w="7091" w:type="dxa"/>
          </w:tcPr>
          <w:p>
            <w:pPr>
              <w:pStyle w:val="TableParagraph"/>
              <w:spacing w:line="273" w:lineRule="auto" w:before="137"/>
              <w:ind w:left="196" w:right="105"/>
              <w:rPr>
                <w:sz w:val="21"/>
              </w:rPr>
            </w:pPr>
            <w:r>
              <w:rPr>
                <w:sz w:val="21"/>
              </w:rPr>
              <w:t>指一组原发于肌肉的疾病，临床表现为与神经系统无关的肌肉无力和肌肉萎缩。且须满足下列全部条件：</w:t>
            </w:r>
          </w:p>
          <w:p>
            <w:pPr>
              <w:pStyle w:val="TableParagraph"/>
              <w:spacing w:line="273" w:lineRule="auto" w:before="7"/>
              <w:ind w:left="722" w:right="47" w:hanging="525"/>
              <w:rPr>
                <w:sz w:val="21"/>
              </w:rPr>
            </w:pPr>
            <w:r>
              <w:rPr>
                <w:sz w:val="21"/>
              </w:rPr>
              <w:t>（1）肌肉组织活检结果满足肌营养不良症的肌肉细胞变性、坏死等阳性改变；</w:t>
            </w:r>
          </w:p>
          <w:p>
            <w:pPr>
              <w:pStyle w:val="TableParagraph"/>
              <w:spacing w:line="273" w:lineRule="auto" w:before="7"/>
              <w:ind w:left="721" w:right="48" w:hanging="526"/>
              <w:rPr>
                <w:sz w:val="21"/>
              </w:rPr>
            </w:pPr>
            <w:r>
              <w:rPr>
                <w:sz w:val="21"/>
              </w:rPr>
              <w:t>（2）自主生活能力完全丧失，无法独立完成六项基本日常生活活动中的三项或三项以上。</w:t>
            </w:r>
          </w:p>
        </w:tc>
      </w:tr>
      <w:tr>
        <w:trPr>
          <w:trHeight w:val="1159" w:hRule="atLeast"/>
        </w:trPr>
        <w:tc>
          <w:tcPr>
            <w:tcW w:w="715" w:type="dxa"/>
            <w:tcBorders>
              <w:bottom w:val="single" w:sz="8" w:space="0" w:color="000000"/>
            </w:tcBorders>
          </w:tcPr>
          <w:p>
            <w:pPr>
              <w:pStyle w:val="TableParagraph"/>
              <w:spacing w:before="185"/>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84"/>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716" w:hRule="atLeast"/>
        </w:trPr>
        <w:tc>
          <w:tcPr>
            <w:tcW w:w="715" w:type="dxa"/>
            <w:tcBorders>
              <w:top w:val="single" w:sz="8" w:space="0" w:color="000000"/>
            </w:tcBorders>
          </w:tcPr>
          <w:p>
            <w:pPr>
              <w:pStyle w:val="TableParagraph"/>
              <w:rPr>
                <w:sz w:val="19"/>
              </w:rPr>
            </w:pPr>
          </w:p>
          <w:p>
            <w:pPr>
              <w:pStyle w:val="TableParagraph"/>
              <w:ind w:left="108"/>
              <w:rPr>
                <w:b/>
                <w:sz w:val="21"/>
              </w:rPr>
            </w:pPr>
            <w:r>
              <w:rPr>
                <w:b/>
                <w:sz w:val="21"/>
              </w:rPr>
              <w:t>8.1</w:t>
            </w:r>
          </w:p>
        </w:tc>
        <w:tc>
          <w:tcPr>
            <w:tcW w:w="2275" w:type="dxa"/>
            <w:tcBorders>
              <w:top w:val="single" w:sz="8" w:space="0" w:color="000000"/>
            </w:tcBorders>
          </w:tcPr>
          <w:p>
            <w:pPr>
              <w:pStyle w:val="TableParagraph"/>
              <w:rPr>
                <w:sz w:val="19"/>
              </w:rPr>
            </w:pPr>
          </w:p>
          <w:p>
            <w:pPr>
              <w:pStyle w:val="TableParagraph"/>
              <w:ind w:left="155"/>
              <w:rPr>
                <w:b/>
                <w:sz w:val="21"/>
              </w:rPr>
            </w:pPr>
            <w:r>
              <w:rPr>
                <w:b/>
                <w:sz w:val="21"/>
              </w:rPr>
              <w:t>合同订立</w:t>
            </w:r>
          </w:p>
        </w:tc>
        <w:tc>
          <w:tcPr>
            <w:tcW w:w="7091" w:type="dxa"/>
            <w:tcBorders>
              <w:top w:val="single" w:sz="8" w:space="0" w:color="000000"/>
            </w:tcBorders>
          </w:tcPr>
          <w:p>
            <w:pPr>
              <w:pStyle w:val="TableParagraph"/>
              <w:rPr>
                <w:sz w:val="19"/>
              </w:rPr>
            </w:pPr>
          </w:p>
          <w:p>
            <w:pPr>
              <w:pStyle w:val="TableParagraph"/>
              <w:ind w:left="196"/>
              <w:rPr>
                <w:sz w:val="21"/>
              </w:rPr>
            </w:pPr>
            <w:r>
              <w:rPr>
                <w:sz w:val="21"/>
              </w:rPr>
              <w:t>本附加险合同由主险合同投保人提出申请，经我们同意而订立。</w:t>
            </w:r>
          </w:p>
        </w:tc>
      </w:tr>
      <w:tr>
        <w:trPr>
          <w:trHeight w:val="1235" w:hRule="atLeast"/>
        </w:trPr>
        <w:tc>
          <w:tcPr>
            <w:tcW w:w="715" w:type="dxa"/>
          </w:tcPr>
          <w:p>
            <w:pPr>
              <w:pStyle w:val="TableParagraph"/>
              <w:spacing w:before="127"/>
              <w:ind w:left="108"/>
              <w:rPr>
                <w:b/>
                <w:sz w:val="21"/>
              </w:rPr>
            </w:pPr>
            <w:r>
              <w:rPr>
                <w:b/>
                <w:sz w:val="21"/>
              </w:rPr>
              <w:t>8.2</w:t>
            </w:r>
          </w:p>
        </w:tc>
        <w:tc>
          <w:tcPr>
            <w:tcW w:w="2275" w:type="dxa"/>
          </w:tcPr>
          <w:p>
            <w:pPr>
              <w:pStyle w:val="TableParagraph"/>
              <w:spacing w:before="127"/>
              <w:ind w:left="155"/>
              <w:rPr>
                <w:b/>
                <w:sz w:val="21"/>
              </w:rPr>
            </w:pPr>
            <w:r>
              <w:rPr>
                <w:b/>
                <w:sz w:val="21"/>
              </w:rPr>
              <w:t>合同生效</w:t>
            </w:r>
          </w:p>
        </w:tc>
        <w:tc>
          <w:tcPr>
            <w:tcW w:w="7091" w:type="dxa"/>
          </w:tcPr>
          <w:p>
            <w:pPr>
              <w:pStyle w:val="TableParagraph"/>
              <w:spacing w:line="273" w:lineRule="auto" w:before="127"/>
              <w:ind w:left="196" w:right="3114"/>
              <w:rPr>
                <w:sz w:val="21"/>
              </w:rPr>
            </w:pPr>
            <w:r>
              <w:rPr>
                <w:sz w:val="21"/>
              </w:rPr>
              <w:t>本附加险合同须与主险合同同时投保。 本附加险合同的生效日与主险合同相同。</w:t>
            </w:r>
          </w:p>
          <w:p>
            <w:pPr>
              <w:pStyle w:val="TableParagraph"/>
              <w:spacing w:before="7"/>
              <w:ind w:left="196"/>
              <w:rPr>
                <w:sz w:val="21"/>
              </w:rPr>
            </w:pPr>
            <w:r>
              <w:rPr>
                <w:sz w:val="21"/>
              </w:rPr>
              <w:t>本附加险合同的保单周年日同主险合同的保单周年日。</w:t>
            </w:r>
          </w:p>
        </w:tc>
      </w:tr>
      <w:tr>
        <w:trPr>
          <w:trHeight w:val="1288" w:hRule="atLeast"/>
        </w:trPr>
        <w:tc>
          <w:tcPr>
            <w:tcW w:w="715" w:type="dxa"/>
          </w:tcPr>
          <w:p>
            <w:pPr>
              <w:pStyle w:val="TableParagraph"/>
              <w:spacing w:before="168"/>
              <w:ind w:left="108"/>
              <w:rPr>
                <w:b/>
                <w:sz w:val="21"/>
              </w:rPr>
            </w:pPr>
            <w:r>
              <w:rPr>
                <w:b/>
                <w:sz w:val="21"/>
              </w:rPr>
              <w:t>8.3</w:t>
            </w:r>
          </w:p>
        </w:tc>
        <w:tc>
          <w:tcPr>
            <w:tcW w:w="2275" w:type="dxa"/>
          </w:tcPr>
          <w:p>
            <w:pPr>
              <w:pStyle w:val="TableParagraph"/>
              <w:spacing w:before="168"/>
              <w:ind w:left="155"/>
              <w:rPr>
                <w:b/>
                <w:sz w:val="21"/>
              </w:rPr>
            </w:pPr>
            <w:r>
              <w:rPr>
                <w:b/>
                <w:sz w:val="21"/>
              </w:rPr>
              <w:t>投保年龄</w:t>
            </w:r>
          </w:p>
        </w:tc>
        <w:tc>
          <w:tcPr>
            <w:tcW w:w="7091" w:type="dxa"/>
          </w:tcPr>
          <w:p>
            <w:pPr>
              <w:pStyle w:val="TableParagraph"/>
              <w:spacing w:line="273" w:lineRule="auto" w:before="168"/>
              <w:ind w:left="195" w:right="105"/>
              <w:rPr>
                <w:sz w:val="21"/>
              </w:rPr>
            </w:pPr>
            <w:r>
              <w:rPr>
                <w:sz w:val="21"/>
              </w:rPr>
              <w:t>指投保时被保险人的年龄，投保年龄以</w:t>
            </w:r>
            <w:r>
              <w:rPr>
                <w:rFonts w:ascii="黑体" w:eastAsia="黑体" w:hint="eastAsia"/>
                <w:b/>
                <w:spacing w:val="10"/>
                <w:sz w:val="21"/>
              </w:rPr>
              <w:t>周岁 </w:t>
            </w:r>
            <w:hyperlink w:history="true" w:anchor="_bookmark18">
              <w:r>
                <w:rPr>
                  <w:rFonts w:ascii="黑体" w:eastAsia="黑体" w:hint="eastAsia"/>
                  <w:b/>
                  <w:spacing w:val="2"/>
                  <w:position w:val="11"/>
                  <w:sz w:val="11"/>
                </w:rPr>
                <w:t>19</w:t>
              </w:r>
            </w:hyperlink>
            <w:r>
              <w:rPr>
                <w:sz w:val="21"/>
              </w:rPr>
              <w:t>计算。本附加险合同接受的</w:t>
            </w:r>
            <w:r>
              <w:rPr>
                <w:spacing w:val="-9"/>
                <w:sz w:val="21"/>
              </w:rPr>
              <w:t>投保年龄为 </w:t>
            </w:r>
            <w:r>
              <w:rPr>
                <w:sz w:val="21"/>
              </w:rPr>
              <w:t>0</w:t>
            </w:r>
            <w:r>
              <w:rPr>
                <w:spacing w:val="-23"/>
                <w:sz w:val="21"/>
              </w:rPr>
              <w:t> 周岁至 </w:t>
            </w:r>
            <w:r>
              <w:rPr>
                <w:sz w:val="21"/>
              </w:rPr>
              <w:t>55</w:t>
            </w:r>
            <w:r>
              <w:rPr>
                <w:spacing w:val="-13"/>
                <w:sz w:val="21"/>
              </w:rPr>
              <w:t> 周岁，投保时被保险人为 </w:t>
            </w:r>
            <w:r>
              <w:rPr>
                <w:sz w:val="21"/>
              </w:rPr>
              <w:t>0</w:t>
            </w:r>
            <w:r>
              <w:rPr>
                <w:spacing w:val="-9"/>
                <w:sz w:val="21"/>
              </w:rPr>
              <w:t> 周岁的，应当为出生满</w:t>
            </w:r>
          </w:p>
          <w:p>
            <w:pPr>
              <w:pStyle w:val="TableParagraph"/>
              <w:spacing w:before="7"/>
              <w:ind w:left="195"/>
              <w:rPr>
                <w:sz w:val="21"/>
              </w:rPr>
            </w:pPr>
            <w:r>
              <w:rPr>
                <w:sz w:val="21"/>
              </w:rPr>
              <w:t>28 日且已健康出院的婴儿。</w:t>
            </w:r>
          </w:p>
        </w:tc>
      </w:tr>
      <w:tr>
        <w:trPr>
          <w:trHeight w:val="5735" w:hRule="atLeast"/>
        </w:trPr>
        <w:tc>
          <w:tcPr>
            <w:tcW w:w="715" w:type="dxa"/>
          </w:tcPr>
          <w:p>
            <w:pPr>
              <w:pStyle w:val="TableParagraph"/>
              <w:spacing w:before="156"/>
              <w:ind w:left="108"/>
              <w:rPr>
                <w:b/>
                <w:sz w:val="21"/>
              </w:rPr>
            </w:pPr>
            <w:r>
              <w:rPr>
                <w:b/>
                <w:sz w:val="21"/>
              </w:rPr>
              <w:t>8.4</w:t>
            </w:r>
          </w:p>
        </w:tc>
        <w:tc>
          <w:tcPr>
            <w:tcW w:w="2275" w:type="dxa"/>
          </w:tcPr>
          <w:p>
            <w:pPr>
              <w:pStyle w:val="TableParagraph"/>
              <w:spacing w:before="156"/>
              <w:ind w:left="155"/>
              <w:rPr>
                <w:b/>
                <w:sz w:val="21"/>
              </w:rPr>
            </w:pPr>
            <w:r>
              <w:rPr>
                <w:b/>
                <w:sz w:val="21"/>
              </w:rPr>
              <w:t>年龄错误</w:t>
            </w:r>
          </w:p>
        </w:tc>
        <w:tc>
          <w:tcPr>
            <w:tcW w:w="7091" w:type="dxa"/>
          </w:tcPr>
          <w:p>
            <w:pPr>
              <w:pStyle w:val="TableParagraph"/>
              <w:spacing w:line="273" w:lineRule="auto" w:before="156"/>
              <w:ind w:left="196" w:right="107"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00" w:right="106" w:hanging="505"/>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“8.7（2）明确说明与如实告知”中合同解除权限制的规定。</w:t>
            </w:r>
          </w:p>
          <w:p>
            <w:pPr>
              <w:pStyle w:val="TableParagraph"/>
              <w:spacing w:line="273" w:lineRule="auto" w:before="7"/>
              <w:ind w:left="700" w:right="2" w:hanging="504"/>
              <w:rPr>
                <w:sz w:val="21"/>
              </w:rPr>
            </w:pPr>
            <w:r>
              <w:rPr>
                <w:spacing w:val="-24"/>
                <w:sz w:val="21"/>
              </w:rPr>
              <w:t>（2）</w:t>
            </w:r>
            <w:r>
              <w:rPr>
                <w:spacing w:val="-6"/>
                <w:sz w:val="21"/>
                <w:shd w:fill="DADADA" w:color="auto" w:val="clear"/>
              </w:rPr>
              <w:t>您申报的被保险人年龄不真实，致使您实付保险费少于应付保险费的， 我们有权更正并要求您补交保险费</w:t>
            </w:r>
            <w:r>
              <w:rPr>
                <w:spacing w:val="-17"/>
                <w:sz w:val="21"/>
                <w:shd w:fill="DADADA" w:color="auto" w:val="clear"/>
              </w:rPr>
              <w:t>。若已经发生保险事故，在给付保险金时按实付保险费和应付保险费的比例给付。</w:t>
            </w:r>
          </w:p>
          <w:p>
            <w:pPr>
              <w:pStyle w:val="TableParagraph"/>
              <w:spacing w:line="273" w:lineRule="auto" w:before="7"/>
              <w:ind w:left="700" w:right="2" w:hanging="504"/>
              <w:rPr>
                <w:sz w:val="21"/>
              </w:rPr>
            </w:pPr>
            <w:r>
              <w:rPr>
                <w:spacing w:val="-25"/>
                <w:sz w:val="21"/>
              </w:rPr>
              <w:t>（3）</w:t>
            </w:r>
            <w:r>
              <w:rPr>
                <w:spacing w:val="-6"/>
                <w:sz w:val="21"/>
              </w:rPr>
              <w:t>您申报的被保险人年龄不真实，致使您实付保险费多于应付保险费的， 我们会将多收的保险费退还给您。</w:t>
            </w:r>
          </w:p>
          <w:p>
            <w:pPr>
              <w:pStyle w:val="TableParagraph"/>
              <w:spacing w:line="273" w:lineRule="auto" w:before="7"/>
              <w:ind w:left="700" w:right="106" w:hanging="504"/>
              <w:jc w:val="both"/>
              <w:rPr>
                <w:sz w:val="21"/>
              </w:rPr>
            </w:pPr>
            <w:r>
              <w:rPr>
                <w:spacing w:val="-7"/>
                <w:sz w:val="21"/>
              </w:rPr>
              <w:t>（4）</w:t>
            </w:r>
            <w:r>
              <w:rPr>
                <w:spacing w:val="-2"/>
                <w:sz w:val="21"/>
              </w:rPr>
              <w:t>您申报的被保险人年龄不真实，致使受益人或被保险人的继承人实领</w:t>
            </w:r>
            <w:r>
              <w:rPr>
                <w:spacing w:val="-4"/>
                <w:sz w:val="21"/>
              </w:rPr>
              <w:t>的重大疾病保险金、护理保险金多于应领金额的，我们有权更正并要</w:t>
            </w:r>
            <w:r>
              <w:rPr>
                <w:spacing w:val="-6"/>
                <w:sz w:val="21"/>
              </w:rPr>
              <w:t>求其向我们退还多给付的金额，或者在给付各项保险金、退还现金价值或返还保险费时，我们在扣除上述多给付的金额后给付。</w:t>
            </w:r>
          </w:p>
          <w:p>
            <w:pPr>
              <w:pStyle w:val="TableParagraph"/>
              <w:spacing w:line="312" w:lineRule="exact" w:before="3"/>
              <w:ind w:left="700" w:right="106" w:hanging="504"/>
              <w:jc w:val="both"/>
              <w:rPr>
                <w:sz w:val="21"/>
              </w:rPr>
            </w:pPr>
            <w:r>
              <w:rPr>
                <w:spacing w:val="-7"/>
                <w:sz w:val="21"/>
              </w:rPr>
              <w:t>（5）</w:t>
            </w:r>
            <w:r>
              <w:rPr>
                <w:spacing w:val="-2"/>
                <w:sz w:val="21"/>
              </w:rPr>
              <w:t>您申报的被保险人年龄不真实，致使受益人或被保险人的继承人实领</w:t>
            </w:r>
            <w:r>
              <w:rPr>
                <w:spacing w:val="-4"/>
                <w:sz w:val="21"/>
              </w:rPr>
              <w:t>的重大疾病保险金、护理保险金少于应领金额的，我们会将应领金额与实领金额的差额无息退还给受益人或被保险人的继承人。</w:t>
            </w:r>
          </w:p>
        </w:tc>
      </w:tr>
    </w:tbl>
    <w:p>
      <w:pPr>
        <w:pStyle w:val="BodyText"/>
        <w:rPr>
          <w:sz w:val="20"/>
        </w:rPr>
      </w:pPr>
      <w:r>
        <w:rPr/>
        <w:pict>
          <v:line style="position:absolute;mso-position-horizontal-relative:page;mso-position-vertical-relative:paragraph;z-index:1576;mso-wrap-distance-left:0;mso-wrap-distance-right:0" from="51.060001pt,15.369pt" to="195.060001pt,15.369pt" stroked="true" strokeweight=".54pt" strokecolor="#000000">
            <v:stroke dashstyle="solid"/>
            <w10:wrap type="topAndBottom"/>
          </v:line>
        </w:pict>
      </w:r>
    </w:p>
    <w:p>
      <w:pPr>
        <w:spacing w:line="287" w:lineRule="exact" w:before="0"/>
        <w:ind w:left="22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87" w:lineRule="exact"/>
        <w:jc w:val="left"/>
        <w:rPr>
          <w:sz w:val="18"/>
        </w:rPr>
        <w:sectPr>
          <w:pgSz w:w="11910" w:h="16840"/>
          <w:pgMar w:top="116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444"/>
        <w:gridCol w:w="7082"/>
      </w:tblGrid>
      <w:tr>
        <w:trPr>
          <w:trHeight w:val="1026" w:hRule="atLeast"/>
        </w:trPr>
        <w:tc>
          <w:tcPr>
            <w:tcW w:w="740" w:type="dxa"/>
          </w:tcPr>
          <w:p>
            <w:pPr>
              <w:pStyle w:val="TableParagraph"/>
              <w:spacing w:line="210" w:lineRule="exact"/>
              <w:ind w:left="181" w:right="201"/>
              <w:jc w:val="center"/>
              <w:rPr>
                <w:b/>
                <w:sz w:val="21"/>
              </w:rPr>
            </w:pPr>
            <w:r>
              <w:rPr>
                <w:b/>
                <w:sz w:val="21"/>
              </w:rPr>
              <w:t>8.5</w:t>
            </w:r>
          </w:p>
        </w:tc>
        <w:tc>
          <w:tcPr>
            <w:tcW w:w="2444" w:type="dxa"/>
          </w:tcPr>
          <w:p>
            <w:pPr>
              <w:pStyle w:val="TableParagraph"/>
              <w:spacing w:line="210" w:lineRule="exact"/>
              <w:ind w:left="221"/>
              <w:rPr>
                <w:b/>
                <w:sz w:val="21"/>
              </w:rPr>
            </w:pPr>
            <w:r>
              <w:rPr>
                <w:b/>
                <w:sz w:val="21"/>
              </w:rPr>
              <w:t>未成年人身故保险金</w:t>
            </w:r>
          </w:p>
          <w:p>
            <w:pPr>
              <w:pStyle w:val="TableParagraph"/>
              <w:spacing w:before="37"/>
              <w:ind w:left="221"/>
              <w:rPr>
                <w:b/>
                <w:sz w:val="21"/>
              </w:rPr>
            </w:pPr>
            <w:r>
              <w:rPr>
                <w:b/>
                <w:sz w:val="21"/>
              </w:rPr>
              <w:t>限制</w:t>
            </w:r>
          </w:p>
        </w:tc>
        <w:tc>
          <w:tcPr>
            <w:tcW w:w="7082" w:type="dxa"/>
          </w:tcPr>
          <w:p>
            <w:pPr>
              <w:pStyle w:val="TableParagraph"/>
              <w:spacing w:line="210" w:lineRule="exact"/>
              <w:ind w:left="94"/>
              <w:rPr>
                <w:sz w:val="21"/>
              </w:rPr>
            </w:pPr>
            <w:r>
              <w:rPr>
                <w:sz w:val="21"/>
              </w:rPr>
              <w:t>为未成年子女投保的人身保险，在被保险人成年之前，因被保险人身故给</w:t>
            </w:r>
          </w:p>
          <w:p>
            <w:pPr>
              <w:pStyle w:val="TableParagraph"/>
              <w:spacing w:line="273" w:lineRule="auto" w:before="37"/>
              <w:ind w:left="94" w:right="198"/>
              <w:rPr>
                <w:sz w:val="21"/>
              </w:rPr>
            </w:pPr>
            <w:r>
              <w:rPr>
                <w:sz w:val="21"/>
              </w:rPr>
              <w:t>付的保险金总和不得超过国务院保险监督管理机构规定的限额，身故给付的保险金额总和约定也不得超过前述限额。</w:t>
            </w:r>
          </w:p>
        </w:tc>
      </w:tr>
      <w:tr>
        <w:trPr>
          <w:trHeight w:val="1233" w:hRule="atLeast"/>
        </w:trPr>
        <w:tc>
          <w:tcPr>
            <w:tcW w:w="740" w:type="dxa"/>
          </w:tcPr>
          <w:p>
            <w:pPr>
              <w:pStyle w:val="TableParagraph"/>
              <w:spacing w:before="127"/>
              <w:ind w:left="181" w:right="201"/>
              <w:jc w:val="center"/>
              <w:rPr>
                <w:b/>
                <w:sz w:val="21"/>
              </w:rPr>
            </w:pPr>
            <w:r>
              <w:rPr>
                <w:b/>
                <w:sz w:val="21"/>
              </w:rPr>
              <w:t>8.6</w:t>
            </w:r>
          </w:p>
        </w:tc>
        <w:tc>
          <w:tcPr>
            <w:tcW w:w="2444" w:type="dxa"/>
          </w:tcPr>
          <w:p>
            <w:pPr>
              <w:pStyle w:val="TableParagraph"/>
              <w:spacing w:before="127"/>
              <w:ind w:left="221"/>
              <w:rPr>
                <w:b/>
                <w:sz w:val="21"/>
              </w:rPr>
            </w:pPr>
            <w:r>
              <w:rPr>
                <w:b/>
                <w:sz w:val="21"/>
              </w:rPr>
              <w:t>效力终止</w:t>
            </w:r>
          </w:p>
        </w:tc>
        <w:tc>
          <w:tcPr>
            <w:tcW w:w="7082" w:type="dxa"/>
          </w:tcPr>
          <w:p>
            <w:pPr>
              <w:pStyle w:val="TableParagraph"/>
              <w:spacing w:before="127"/>
              <w:ind w:left="93"/>
              <w:rPr>
                <w:sz w:val="21"/>
              </w:rPr>
            </w:pPr>
            <w:r>
              <w:rPr>
                <w:sz w:val="21"/>
              </w:rPr>
              <w:t>当发生下列情形之一时，本附加险合同效力终止：</w:t>
            </w:r>
          </w:p>
          <w:p>
            <w:pPr>
              <w:pStyle w:val="TableParagraph"/>
              <w:spacing w:before="36"/>
              <w:ind w:left="93"/>
              <w:rPr>
                <w:sz w:val="21"/>
              </w:rPr>
            </w:pPr>
            <w:r>
              <w:rPr>
                <w:sz w:val="21"/>
              </w:rPr>
              <w:t>（1）主险合同效力终止；</w:t>
            </w:r>
          </w:p>
          <w:p>
            <w:pPr>
              <w:pStyle w:val="TableParagraph"/>
              <w:spacing w:before="36"/>
              <w:ind w:left="93"/>
              <w:rPr>
                <w:sz w:val="21"/>
              </w:rPr>
            </w:pPr>
            <w:r>
              <w:rPr>
                <w:sz w:val="21"/>
              </w:rPr>
              <w:t>（2）您申请解除本附加险合同。</w:t>
            </w:r>
          </w:p>
        </w:tc>
      </w:tr>
      <w:tr>
        <w:trPr>
          <w:trHeight w:val="1977" w:hRule="atLeast"/>
        </w:trPr>
        <w:tc>
          <w:tcPr>
            <w:tcW w:w="740" w:type="dxa"/>
          </w:tcPr>
          <w:p>
            <w:pPr>
              <w:pStyle w:val="TableParagraph"/>
              <w:spacing w:before="142"/>
              <w:ind w:left="181" w:right="201"/>
              <w:jc w:val="center"/>
              <w:rPr>
                <w:b/>
                <w:sz w:val="21"/>
              </w:rPr>
            </w:pPr>
            <w:r>
              <w:rPr>
                <w:b/>
                <w:sz w:val="21"/>
              </w:rPr>
              <w:t>8.7</w:t>
            </w:r>
          </w:p>
        </w:tc>
        <w:tc>
          <w:tcPr>
            <w:tcW w:w="2444" w:type="dxa"/>
          </w:tcPr>
          <w:p>
            <w:pPr>
              <w:pStyle w:val="TableParagraph"/>
              <w:spacing w:before="142"/>
              <w:ind w:left="221"/>
              <w:rPr>
                <w:b/>
                <w:sz w:val="21"/>
              </w:rPr>
            </w:pPr>
            <w:r>
              <w:rPr>
                <w:b/>
                <w:w w:val="95"/>
                <w:sz w:val="21"/>
              </w:rPr>
              <w:t>适用主险合同条款</w:t>
            </w:r>
          </w:p>
        </w:tc>
        <w:tc>
          <w:tcPr>
            <w:tcW w:w="7082" w:type="dxa"/>
          </w:tcPr>
          <w:p>
            <w:pPr>
              <w:pStyle w:val="TableParagraph"/>
              <w:spacing w:before="142"/>
              <w:ind w:left="94"/>
              <w:rPr>
                <w:sz w:val="21"/>
              </w:rPr>
            </w:pPr>
            <w:r>
              <w:rPr>
                <w:sz w:val="21"/>
              </w:rPr>
              <w:t>下列各项条款，适用主险合同条款：</w:t>
            </w:r>
          </w:p>
          <w:p>
            <w:pPr>
              <w:pStyle w:val="TableParagraph"/>
              <w:spacing w:before="37"/>
              <w:ind w:left="94"/>
              <w:rPr>
                <w:sz w:val="21"/>
              </w:rPr>
            </w:pPr>
            <w:r>
              <w:rPr>
                <w:sz w:val="21"/>
              </w:rPr>
              <w:t>（1）保险事故通知；</w:t>
            </w:r>
          </w:p>
          <w:p>
            <w:pPr>
              <w:pStyle w:val="TableParagraph"/>
              <w:spacing w:before="37"/>
              <w:ind w:left="94"/>
              <w:rPr>
                <w:sz w:val="21"/>
              </w:rPr>
            </w:pPr>
            <w:r>
              <w:rPr>
                <w:sz w:val="21"/>
              </w:rPr>
              <w:t>（2）明确说明与如实告知；</w:t>
            </w:r>
          </w:p>
          <w:p>
            <w:pPr>
              <w:pStyle w:val="TableParagraph"/>
              <w:spacing w:before="37"/>
              <w:ind w:left="94"/>
              <w:rPr>
                <w:sz w:val="21"/>
              </w:rPr>
            </w:pPr>
            <w:r>
              <w:rPr>
                <w:sz w:val="21"/>
              </w:rPr>
              <w:t>（3）未还款项；</w:t>
            </w:r>
          </w:p>
          <w:p>
            <w:pPr>
              <w:pStyle w:val="TableParagraph"/>
              <w:spacing w:before="37"/>
              <w:ind w:left="94"/>
              <w:rPr>
                <w:sz w:val="21"/>
              </w:rPr>
            </w:pPr>
            <w:r>
              <w:rPr>
                <w:sz w:val="21"/>
              </w:rPr>
              <w:t>（4）合同内容变更；</w:t>
            </w:r>
          </w:p>
          <w:p>
            <w:pPr>
              <w:pStyle w:val="TableParagraph"/>
              <w:spacing w:line="255" w:lineRule="exact" w:before="37"/>
              <w:ind w:left="94"/>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4"/>
        </w:rPr>
      </w:pPr>
    </w:p>
    <w:p>
      <w:pPr>
        <w:pStyle w:val="BodyText"/>
        <w:spacing w:before="35"/>
        <w:ind w:left="4900" w:right="4919"/>
        <w:jc w:val="center"/>
      </w:pPr>
      <w:r>
        <w:rPr/>
        <w:t>（完）</w:t>
      </w:r>
    </w:p>
    <w:sectPr>
      <w:pgSz w:w="11910" w:h="16840"/>
      <w:pgMar w:top="144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983" w:hanging="762"/>
        <w:jc w:val="left"/>
      </w:pPr>
      <w:rPr>
        <w:rFonts w:hint="default"/>
      </w:rPr>
    </w:lvl>
    <w:lvl w:ilvl="1">
      <w:start w:val="1"/>
      <w:numFmt w:val="decimal"/>
      <w:lvlText w:val="%1.%2"/>
      <w:lvlJc w:val="left"/>
      <w:pPr>
        <w:ind w:left="983" w:hanging="762"/>
        <w:jc w:val="left"/>
      </w:pPr>
      <w:rPr>
        <w:rFonts w:hint="default" w:ascii="宋体" w:hAnsi="宋体" w:eastAsia="宋体" w:cs="宋体"/>
        <w:b/>
        <w:bCs/>
        <w:w w:val="99"/>
        <w:position w:val="-1"/>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8">
    <w:multiLevelType w:val="hybridMultilevel"/>
    <w:lvl w:ilvl="0">
      <w:start w:val="1"/>
      <w:numFmt w:val="decimal"/>
      <w:lvlText w:val="%1"/>
      <w:lvlJc w:val="left"/>
      <w:pPr>
        <w:ind w:left="983" w:hanging="762"/>
        <w:jc w:val="left"/>
      </w:pPr>
      <w:rPr>
        <w:rFonts w:hint="default"/>
      </w:rPr>
    </w:lvl>
    <w:lvl w:ilvl="1">
      <w:start w:val="1"/>
      <w:numFmt w:val="decimal"/>
      <w:lvlText w:val="%1.%2"/>
      <w:lvlJc w:val="left"/>
      <w:pPr>
        <w:ind w:left="983" w:hanging="762"/>
        <w:jc w:val="righ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7">
    <w:multiLevelType w:val="hybridMultilevel"/>
    <w:lvl w:ilvl="0">
      <w:start w:val="8"/>
      <w:numFmt w:val="decimal"/>
      <w:lvlText w:val="%1"/>
      <w:lvlJc w:val="left"/>
      <w:pPr>
        <w:ind w:left="812" w:hanging="420"/>
        <w:jc w:val="left"/>
      </w:pPr>
      <w:rPr>
        <w:rFonts w:hint="default"/>
      </w:rPr>
    </w:lvl>
    <w:lvl w:ilvl="1">
      <w:start w:val="1"/>
      <w:numFmt w:val="decimal"/>
      <w:lvlText w:val="%1.%2"/>
      <w:lvlJc w:val="left"/>
      <w:pPr>
        <w:ind w:left="812" w:hanging="420"/>
        <w:jc w:val="left"/>
      </w:pPr>
      <w:rPr>
        <w:rFonts w:hint="default" w:ascii="宋体" w:hAnsi="宋体" w:eastAsia="宋体" w:cs="宋体"/>
        <w:spacing w:val="-1"/>
        <w:w w:val="100"/>
        <w:sz w:val="21"/>
        <w:szCs w:val="21"/>
      </w:rPr>
    </w:lvl>
    <w:lvl w:ilvl="2">
      <w:start w:val="0"/>
      <w:numFmt w:val="bullet"/>
      <w:lvlText w:val="•"/>
      <w:lvlJc w:val="left"/>
      <w:pPr>
        <w:ind w:left="1446" w:hanging="420"/>
      </w:pPr>
      <w:rPr>
        <w:rFonts w:hint="default"/>
      </w:rPr>
    </w:lvl>
    <w:lvl w:ilvl="3">
      <w:start w:val="0"/>
      <w:numFmt w:val="bullet"/>
      <w:lvlText w:val="•"/>
      <w:lvlJc w:val="left"/>
      <w:pPr>
        <w:ind w:left="1759" w:hanging="420"/>
      </w:pPr>
      <w:rPr>
        <w:rFonts w:hint="default"/>
      </w:rPr>
    </w:lvl>
    <w:lvl w:ilvl="4">
      <w:start w:val="0"/>
      <w:numFmt w:val="bullet"/>
      <w:lvlText w:val="•"/>
      <w:lvlJc w:val="left"/>
      <w:pPr>
        <w:ind w:left="2072" w:hanging="420"/>
      </w:pPr>
      <w:rPr>
        <w:rFonts w:hint="default"/>
      </w:rPr>
    </w:lvl>
    <w:lvl w:ilvl="5">
      <w:start w:val="0"/>
      <w:numFmt w:val="bullet"/>
      <w:lvlText w:val="•"/>
      <w:lvlJc w:val="left"/>
      <w:pPr>
        <w:ind w:left="2385" w:hanging="420"/>
      </w:pPr>
      <w:rPr>
        <w:rFonts w:hint="default"/>
      </w:rPr>
    </w:lvl>
    <w:lvl w:ilvl="6">
      <w:start w:val="0"/>
      <w:numFmt w:val="bullet"/>
      <w:lvlText w:val="•"/>
      <w:lvlJc w:val="left"/>
      <w:pPr>
        <w:ind w:left="2698"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325" w:hanging="420"/>
      </w:pPr>
      <w:rPr>
        <w:rFonts w:hint="default"/>
      </w:rPr>
    </w:lvl>
  </w:abstractNum>
  <w:abstractNum w:abstractNumId="6">
    <w:multiLevelType w:val="hybridMultilevel"/>
    <w:lvl w:ilvl="0">
      <w:start w:val="6"/>
      <w:numFmt w:val="decimal"/>
      <w:lvlText w:val="%1"/>
      <w:lvlJc w:val="left"/>
      <w:pPr>
        <w:ind w:left="1285" w:hanging="419"/>
        <w:jc w:val="left"/>
      </w:pPr>
      <w:rPr>
        <w:rFonts w:hint="default"/>
      </w:rPr>
    </w:lvl>
    <w:lvl w:ilvl="1">
      <w:start w:val="1"/>
      <w:numFmt w:val="decimal"/>
      <w:lvlText w:val="%1.%2"/>
      <w:lvlJc w:val="left"/>
      <w:pPr>
        <w:ind w:left="1285" w:hanging="419"/>
        <w:jc w:val="right"/>
      </w:pPr>
      <w:rPr>
        <w:rFonts w:hint="default" w:ascii="宋体" w:hAnsi="宋体" w:eastAsia="宋体" w:cs="宋体"/>
        <w:spacing w:val="-1"/>
        <w:w w:val="100"/>
        <w:sz w:val="21"/>
        <w:szCs w:val="21"/>
      </w:rPr>
    </w:lvl>
    <w:lvl w:ilvl="2">
      <w:start w:val="0"/>
      <w:numFmt w:val="bullet"/>
      <w:lvlText w:val="•"/>
      <w:lvlJc w:val="left"/>
      <w:pPr>
        <w:ind w:left="1623" w:hanging="419"/>
      </w:pPr>
      <w:rPr>
        <w:rFonts w:hint="default"/>
      </w:rPr>
    </w:lvl>
    <w:lvl w:ilvl="3">
      <w:start w:val="0"/>
      <w:numFmt w:val="bullet"/>
      <w:lvlText w:val="•"/>
      <w:lvlJc w:val="left"/>
      <w:pPr>
        <w:ind w:left="1794" w:hanging="419"/>
      </w:pPr>
      <w:rPr>
        <w:rFonts w:hint="default"/>
      </w:rPr>
    </w:lvl>
    <w:lvl w:ilvl="4">
      <w:start w:val="0"/>
      <w:numFmt w:val="bullet"/>
      <w:lvlText w:val="•"/>
      <w:lvlJc w:val="left"/>
      <w:pPr>
        <w:ind w:left="1966" w:hanging="419"/>
      </w:pPr>
      <w:rPr>
        <w:rFonts w:hint="default"/>
      </w:rPr>
    </w:lvl>
    <w:lvl w:ilvl="5">
      <w:start w:val="0"/>
      <w:numFmt w:val="bullet"/>
      <w:lvlText w:val="•"/>
      <w:lvlJc w:val="left"/>
      <w:pPr>
        <w:ind w:left="2138" w:hanging="419"/>
      </w:pPr>
      <w:rPr>
        <w:rFonts w:hint="default"/>
      </w:rPr>
    </w:lvl>
    <w:lvl w:ilvl="6">
      <w:start w:val="0"/>
      <w:numFmt w:val="bullet"/>
      <w:lvlText w:val="•"/>
      <w:lvlJc w:val="left"/>
      <w:pPr>
        <w:ind w:left="2309" w:hanging="419"/>
      </w:pPr>
      <w:rPr>
        <w:rFonts w:hint="default"/>
      </w:rPr>
    </w:lvl>
    <w:lvl w:ilvl="7">
      <w:start w:val="0"/>
      <w:numFmt w:val="bullet"/>
      <w:lvlText w:val="•"/>
      <w:lvlJc w:val="left"/>
      <w:pPr>
        <w:ind w:left="2481" w:hanging="419"/>
      </w:pPr>
      <w:rPr>
        <w:rFonts w:hint="default"/>
      </w:rPr>
    </w:lvl>
    <w:lvl w:ilvl="8">
      <w:start w:val="0"/>
      <w:numFmt w:val="bullet"/>
      <w:lvlText w:val="•"/>
      <w:lvlJc w:val="left"/>
      <w:pPr>
        <w:ind w:left="2653" w:hanging="419"/>
      </w:pPr>
      <w:rPr>
        <w:rFonts w:hint="default"/>
      </w:rPr>
    </w:lvl>
  </w:abstractNum>
  <w:abstractNum w:abstractNumId="5">
    <w:multiLevelType w:val="hybridMultilevel"/>
    <w:lvl w:ilvl="0">
      <w:start w:val="5"/>
      <w:numFmt w:val="decimal"/>
      <w:lvlText w:val="%1"/>
      <w:lvlJc w:val="left"/>
      <w:pPr>
        <w:ind w:left="1285" w:hanging="420"/>
        <w:jc w:val="left"/>
      </w:pPr>
      <w:rPr>
        <w:rFonts w:hint="default"/>
      </w:rPr>
    </w:lvl>
    <w:lvl w:ilvl="1">
      <w:start w:val="1"/>
      <w:numFmt w:val="decimal"/>
      <w:lvlText w:val="%1.%2"/>
      <w:lvlJc w:val="left"/>
      <w:pPr>
        <w:ind w:left="1285" w:hanging="420"/>
        <w:jc w:val="left"/>
      </w:pPr>
      <w:rPr>
        <w:rFonts w:hint="default" w:ascii="宋体" w:hAnsi="宋体" w:eastAsia="宋体" w:cs="宋体"/>
        <w:spacing w:val="-1"/>
        <w:w w:val="100"/>
        <w:sz w:val="21"/>
        <w:szCs w:val="21"/>
      </w:rPr>
    </w:lvl>
    <w:lvl w:ilvl="2">
      <w:start w:val="0"/>
      <w:numFmt w:val="bullet"/>
      <w:lvlText w:val="•"/>
      <w:lvlJc w:val="left"/>
      <w:pPr>
        <w:ind w:left="1623" w:hanging="420"/>
      </w:pPr>
      <w:rPr>
        <w:rFonts w:hint="default"/>
      </w:rPr>
    </w:lvl>
    <w:lvl w:ilvl="3">
      <w:start w:val="0"/>
      <w:numFmt w:val="bullet"/>
      <w:lvlText w:val="•"/>
      <w:lvlJc w:val="left"/>
      <w:pPr>
        <w:ind w:left="1794" w:hanging="420"/>
      </w:pPr>
      <w:rPr>
        <w:rFonts w:hint="default"/>
      </w:rPr>
    </w:lvl>
    <w:lvl w:ilvl="4">
      <w:start w:val="0"/>
      <w:numFmt w:val="bullet"/>
      <w:lvlText w:val="•"/>
      <w:lvlJc w:val="left"/>
      <w:pPr>
        <w:ind w:left="1966" w:hanging="420"/>
      </w:pPr>
      <w:rPr>
        <w:rFonts w:hint="default"/>
      </w:rPr>
    </w:lvl>
    <w:lvl w:ilvl="5">
      <w:start w:val="0"/>
      <w:numFmt w:val="bullet"/>
      <w:lvlText w:val="•"/>
      <w:lvlJc w:val="left"/>
      <w:pPr>
        <w:ind w:left="2138" w:hanging="420"/>
      </w:pPr>
      <w:rPr>
        <w:rFonts w:hint="default"/>
      </w:rPr>
    </w:lvl>
    <w:lvl w:ilvl="6">
      <w:start w:val="0"/>
      <w:numFmt w:val="bullet"/>
      <w:lvlText w:val="•"/>
      <w:lvlJc w:val="left"/>
      <w:pPr>
        <w:ind w:left="2309" w:hanging="420"/>
      </w:pPr>
      <w:rPr>
        <w:rFonts w:hint="default"/>
      </w:rPr>
    </w:lvl>
    <w:lvl w:ilvl="7">
      <w:start w:val="0"/>
      <w:numFmt w:val="bullet"/>
      <w:lvlText w:val="•"/>
      <w:lvlJc w:val="left"/>
      <w:pPr>
        <w:ind w:left="2481" w:hanging="420"/>
      </w:pPr>
      <w:rPr>
        <w:rFonts w:hint="default"/>
      </w:rPr>
    </w:lvl>
    <w:lvl w:ilvl="8">
      <w:start w:val="0"/>
      <w:numFmt w:val="bullet"/>
      <w:lvlText w:val="•"/>
      <w:lvlJc w:val="left"/>
      <w:pPr>
        <w:ind w:left="2653" w:hanging="420"/>
      </w:pPr>
      <w:rPr>
        <w:rFonts w:hint="default"/>
      </w:rPr>
    </w:lvl>
  </w:abstractNum>
  <w:abstractNum w:abstractNumId="4">
    <w:multiLevelType w:val="hybridMultilevel"/>
    <w:lvl w:ilvl="0">
      <w:start w:val="4"/>
      <w:numFmt w:val="decimal"/>
      <w:lvlText w:val="%1"/>
      <w:lvlJc w:val="left"/>
      <w:pPr>
        <w:ind w:left="1285" w:hanging="420"/>
        <w:jc w:val="left"/>
      </w:pPr>
      <w:rPr>
        <w:rFonts w:hint="default"/>
      </w:rPr>
    </w:lvl>
    <w:lvl w:ilvl="1">
      <w:start w:val="1"/>
      <w:numFmt w:val="decimal"/>
      <w:lvlText w:val="%1.%2"/>
      <w:lvlJc w:val="left"/>
      <w:pPr>
        <w:ind w:left="1285" w:hanging="420"/>
        <w:jc w:val="left"/>
      </w:pPr>
      <w:rPr>
        <w:rFonts w:hint="default" w:ascii="宋体" w:hAnsi="宋体" w:eastAsia="宋体" w:cs="宋体"/>
        <w:spacing w:val="-1"/>
        <w:w w:val="100"/>
        <w:sz w:val="21"/>
        <w:szCs w:val="21"/>
      </w:rPr>
    </w:lvl>
    <w:lvl w:ilvl="2">
      <w:start w:val="0"/>
      <w:numFmt w:val="bullet"/>
      <w:lvlText w:val="•"/>
      <w:lvlJc w:val="left"/>
      <w:pPr>
        <w:ind w:left="1623" w:hanging="420"/>
      </w:pPr>
      <w:rPr>
        <w:rFonts w:hint="default"/>
      </w:rPr>
    </w:lvl>
    <w:lvl w:ilvl="3">
      <w:start w:val="0"/>
      <w:numFmt w:val="bullet"/>
      <w:lvlText w:val="•"/>
      <w:lvlJc w:val="left"/>
      <w:pPr>
        <w:ind w:left="1794" w:hanging="420"/>
      </w:pPr>
      <w:rPr>
        <w:rFonts w:hint="default"/>
      </w:rPr>
    </w:lvl>
    <w:lvl w:ilvl="4">
      <w:start w:val="0"/>
      <w:numFmt w:val="bullet"/>
      <w:lvlText w:val="•"/>
      <w:lvlJc w:val="left"/>
      <w:pPr>
        <w:ind w:left="1966" w:hanging="420"/>
      </w:pPr>
      <w:rPr>
        <w:rFonts w:hint="default"/>
      </w:rPr>
    </w:lvl>
    <w:lvl w:ilvl="5">
      <w:start w:val="0"/>
      <w:numFmt w:val="bullet"/>
      <w:lvlText w:val="•"/>
      <w:lvlJc w:val="left"/>
      <w:pPr>
        <w:ind w:left="2138" w:hanging="420"/>
      </w:pPr>
      <w:rPr>
        <w:rFonts w:hint="default"/>
      </w:rPr>
    </w:lvl>
    <w:lvl w:ilvl="6">
      <w:start w:val="0"/>
      <w:numFmt w:val="bullet"/>
      <w:lvlText w:val="•"/>
      <w:lvlJc w:val="left"/>
      <w:pPr>
        <w:ind w:left="2309" w:hanging="420"/>
      </w:pPr>
      <w:rPr>
        <w:rFonts w:hint="default"/>
      </w:rPr>
    </w:lvl>
    <w:lvl w:ilvl="7">
      <w:start w:val="0"/>
      <w:numFmt w:val="bullet"/>
      <w:lvlText w:val="•"/>
      <w:lvlJc w:val="left"/>
      <w:pPr>
        <w:ind w:left="2481" w:hanging="420"/>
      </w:pPr>
      <w:rPr>
        <w:rFonts w:hint="default"/>
      </w:rPr>
    </w:lvl>
    <w:lvl w:ilvl="8">
      <w:start w:val="0"/>
      <w:numFmt w:val="bullet"/>
      <w:lvlText w:val="•"/>
      <w:lvlJc w:val="left"/>
      <w:pPr>
        <w:ind w:left="2653" w:hanging="420"/>
      </w:pPr>
      <w:rPr>
        <w:rFonts w:hint="default"/>
      </w:rPr>
    </w:lvl>
  </w:abstractNum>
  <w:abstractNum w:abstractNumId="3">
    <w:multiLevelType w:val="hybridMultilevel"/>
    <w:lvl w:ilvl="0">
      <w:start w:val="3"/>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2">
    <w:multiLevelType w:val="hybridMultilevel"/>
    <w:lvl w:ilvl="0">
      <w:start w:val="2"/>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1">
    <w:multiLevelType w:val="hybridMultilevel"/>
    <w:lvl w:ilvl="0">
      <w:start w:val="1"/>
      <w:numFmt w:val="decimal"/>
      <w:lvlText w:val="%1"/>
      <w:lvlJc w:val="left"/>
      <w:pPr>
        <w:ind w:left="1679" w:hanging="420"/>
        <w:jc w:val="left"/>
      </w:pPr>
      <w:rPr>
        <w:rFonts w:hint="default"/>
      </w:rPr>
    </w:lvl>
    <w:lvl w:ilvl="1">
      <w:start w:val="1"/>
      <w:numFmt w:val="decimal"/>
      <w:lvlText w:val="%1.%2"/>
      <w:lvlJc w:val="left"/>
      <w:pPr>
        <w:ind w:left="1679" w:hanging="420"/>
        <w:jc w:val="left"/>
      </w:pPr>
      <w:rPr>
        <w:rFonts w:hint="default" w:ascii="宋体" w:hAnsi="宋体" w:eastAsia="宋体" w:cs="宋体"/>
        <w:spacing w:val="-1"/>
        <w:w w:val="100"/>
        <w:sz w:val="21"/>
        <w:szCs w:val="21"/>
      </w:rPr>
    </w:lvl>
    <w:lvl w:ilvl="2">
      <w:start w:val="0"/>
      <w:numFmt w:val="bullet"/>
      <w:lvlText w:val="•"/>
      <w:lvlJc w:val="left"/>
      <w:pPr>
        <w:ind w:left="1975"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2271" w:hanging="420"/>
      </w:pPr>
      <w:rPr>
        <w:rFonts w:hint="default"/>
      </w:rPr>
    </w:lvl>
    <w:lvl w:ilvl="5">
      <w:start w:val="0"/>
      <w:numFmt w:val="bullet"/>
      <w:lvlText w:val="•"/>
      <w:lvlJc w:val="left"/>
      <w:pPr>
        <w:ind w:left="2419" w:hanging="420"/>
      </w:pPr>
      <w:rPr>
        <w:rFonts w:hint="default"/>
      </w:rPr>
    </w:lvl>
    <w:lvl w:ilvl="6">
      <w:start w:val="0"/>
      <w:numFmt w:val="bullet"/>
      <w:lvlText w:val="•"/>
      <w:lvlJc w:val="left"/>
      <w:pPr>
        <w:ind w:left="2567" w:hanging="420"/>
      </w:pPr>
      <w:rPr>
        <w:rFonts w:hint="default"/>
      </w:rPr>
    </w:lvl>
    <w:lvl w:ilvl="7">
      <w:start w:val="0"/>
      <w:numFmt w:val="bullet"/>
      <w:lvlText w:val="•"/>
      <w:lvlJc w:val="left"/>
      <w:pPr>
        <w:ind w:left="2714" w:hanging="420"/>
      </w:pPr>
      <w:rPr>
        <w:rFonts w:hint="default"/>
      </w:rPr>
    </w:lvl>
    <w:lvl w:ilvl="8">
      <w:start w:val="0"/>
      <w:numFmt w:val="bullet"/>
      <w:lvlText w:val="•"/>
      <w:lvlJc w:val="left"/>
      <w:pPr>
        <w:ind w:left="2862"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6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103"/>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40" w:lineRule="exact"/>
      <w:ind w:left="81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2018-10-20T02:38:45Z</dcterms:created>
  <dcterms:modified xsi:type="dcterms:W3CDTF">2018-10-20T02:38:45Z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Acrobat PDFMaker 11 Word 版</vt:lpwstr>
  </property>
  <property fmtid="{D5CDD505-2E9C-101B-9397-08002B2CF9AE}" pid="4" name="LastSaved">
    <vt:filetime>2018-10-19T00:00:00Z</vt:filetime>
  </property>
</Properties>
</file>